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178" w:rsidRPr="0023443B" w:rsidRDefault="00A36178" w:rsidP="00A36178">
      <w:pPr>
        <w:tabs>
          <w:tab w:val="left" w:pos="567"/>
        </w:tabs>
        <w:rPr>
          <w:rFonts w:cs="Verdana Bold"/>
          <w:b/>
          <w:bCs/>
          <w:caps/>
          <w:szCs w:val="20"/>
          <w:lang w:val="es-CR"/>
        </w:rPr>
      </w:pPr>
      <w:bookmarkStart w:id="0" w:name="_GoBack"/>
      <w:bookmarkEnd w:id="0"/>
    </w:p>
    <w:p w:rsidR="00A36178" w:rsidRPr="0023443B" w:rsidRDefault="00A36178" w:rsidP="00A36178">
      <w:pPr>
        <w:tabs>
          <w:tab w:val="left" w:pos="567"/>
        </w:tabs>
        <w:rPr>
          <w:rFonts w:cs="Verdana Bold"/>
          <w:b/>
          <w:bCs/>
          <w:caps/>
          <w:szCs w:val="20"/>
          <w:lang w:val="es-CR"/>
        </w:rPr>
      </w:pPr>
    </w:p>
    <w:p w:rsidR="00A36178" w:rsidRDefault="00A36178" w:rsidP="00490B31">
      <w:pPr>
        <w:tabs>
          <w:tab w:val="left" w:pos="567"/>
        </w:tabs>
        <w:jc w:val="right"/>
        <w:rPr>
          <w:rFonts w:cs="Verdana Bold"/>
          <w:b/>
          <w:bCs/>
          <w:caps/>
          <w:szCs w:val="20"/>
          <w:lang w:val="es-CR"/>
        </w:rPr>
      </w:pPr>
    </w:p>
    <w:p w:rsidR="006636EF" w:rsidRDefault="006636EF" w:rsidP="00490B31">
      <w:pPr>
        <w:tabs>
          <w:tab w:val="left" w:pos="567"/>
        </w:tabs>
        <w:jc w:val="right"/>
        <w:rPr>
          <w:rFonts w:cs="Verdana Bold"/>
          <w:b/>
          <w:bCs/>
          <w:caps/>
          <w:szCs w:val="20"/>
          <w:lang w:val="es-CR"/>
        </w:rPr>
      </w:pPr>
    </w:p>
    <w:p w:rsidR="006636EF" w:rsidRPr="0023443B" w:rsidRDefault="006636EF" w:rsidP="00490B31">
      <w:pPr>
        <w:tabs>
          <w:tab w:val="left" w:pos="567"/>
        </w:tabs>
        <w:jc w:val="right"/>
        <w:rPr>
          <w:rFonts w:cs="Verdana Bold"/>
          <w:b/>
          <w:bCs/>
          <w:caps/>
          <w:szCs w:val="20"/>
          <w:lang w:val="es-CR"/>
        </w:rPr>
      </w:pPr>
    </w:p>
    <w:p w:rsidR="00A36178" w:rsidRPr="0023443B" w:rsidRDefault="00A36178" w:rsidP="00A36178">
      <w:pPr>
        <w:tabs>
          <w:tab w:val="left" w:pos="567"/>
        </w:tabs>
        <w:rPr>
          <w:rFonts w:cs="Verdana Bold"/>
          <w:b/>
          <w:bCs/>
          <w:caps/>
          <w:szCs w:val="20"/>
          <w:lang w:val="es-CR"/>
        </w:rPr>
      </w:pPr>
    </w:p>
    <w:p w:rsidR="00A36178" w:rsidRDefault="00A36178" w:rsidP="00A36178">
      <w:pPr>
        <w:jc w:val="center"/>
        <w:rPr>
          <w:rFonts w:ascii="Times New Roman" w:eastAsiaTheme="minorHAnsi" w:hAnsi="Times New Roman"/>
          <w:sz w:val="24"/>
          <w:szCs w:val="24"/>
        </w:rPr>
      </w:pPr>
      <w:r w:rsidRPr="00CF1787">
        <w:rPr>
          <w:b/>
          <w:spacing w:val="-4"/>
          <w:lang w:val="es-CR"/>
        </w:rPr>
        <w:t>CORTE INTERAMERICANA DE DERECHOS HUMANOS</w:t>
      </w:r>
    </w:p>
    <w:p w:rsidR="00A36178" w:rsidRPr="00CF1787" w:rsidRDefault="00A36178" w:rsidP="00A36178">
      <w:pPr>
        <w:tabs>
          <w:tab w:val="left" w:pos="567"/>
        </w:tabs>
        <w:rPr>
          <w:b/>
          <w:spacing w:val="-4"/>
          <w:lang w:val="es-CR"/>
        </w:rPr>
      </w:pPr>
    </w:p>
    <w:p w:rsidR="00A36178" w:rsidRPr="00CF1787" w:rsidRDefault="00A36178" w:rsidP="00A36178">
      <w:pPr>
        <w:tabs>
          <w:tab w:val="left" w:pos="567"/>
        </w:tabs>
        <w:jc w:val="center"/>
        <w:rPr>
          <w:b/>
          <w:spacing w:val="-4"/>
          <w:lang w:val="es-CR"/>
        </w:rPr>
      </w:pPr>
      <w:bookmarkStart w:id="1" w:name="_Toc424833991"/>
      <w:bookmarkStart w:id="2" w:name="_Toc424834592"/>
      <w:bookmarkStart w:id="3" w:name="_Toc424834675"/>
      <w:bookmarkStart w:id="4" w:name="_Toc424834742"/>
      <w:r w:rsidRPr="00CF1787">
        <w:rPr>
          <w:b/>
          <w:spacing w:val="-4"/>
          <w:lang w:val="es-CR"/>
        </w:rPr>
        <w:t xml:space="preserve">CASO </w:t>
      </w:r>
      <w:bookmarkEnd w:id="1"/>
      <w:bookmarkEnd w:id="2"/>
      <w:bookmarkEnd w:id="3"/>
      <w:bookmarkEnd w:id="4"/>
      <w:r w:rsidR="00BC4C9F">
        <w:rPr>
          <w:b/>
          <w:spacing w:val="-4"/>
          <w:lang w:val="es-CR"/>
        </w:rPr>
        <w:t xml:space="preserve">TERRONES SILVA </w:t>
      </w:r>
      <w:r>
        <w:rPr>
          <w:b/>
          <w:spacing w:val="-4"/>
          <w:lang w:val="es-CR"/>
        </w:rPr>
        <w:t xml:space="preserve">Y OTROS VS. </w:t>
      </w:r>
      <w:r w:rsidR="00BC4C9F">
        <w:rPr>
          <w:b/>
          <w:spacing w:val="-4"/>
          <w:lang w:val="es-CR"/>
        </w:rPr>
        <w:t>PERÚ</w:t>
      </w:r>
    </w:p>
    <w:p w:rsidR="00A36178" w:rsidRPr="00CF1787" w:rsidRDefault="00A36178" w:rsidP="00A36178">
      <w:pPr>
        <w:tabs>
          <w:tab w:val="left" w:pos="567"/>
        </w:tabs>
        <w:jc w:val="center"/>
        <w:rPr>
          <w:b/>
          <w:spacing w:val="-4"/>
          <w:lang w:val="es-CR"/>
        </w:rPr>
      </w:pPr>
    </w:p>
    <w:p w:rsidR="00A36178" w:rsidRPr="00CF1787" w:rsidRDefault="00A36178" w:rsidP="00A36178">
      <w:pPr>
        <w:tabs>
          <w:tab w:val="left" w:pos="567"/>
        </w:tabs>
        <w:jc w:val="center"/>
        <w:rPr>
          <w:b/>
          <w:spacing w:val="-4"/>
          <w:lang w:val="es-CR"/>
        </w:rPr>
      </w:pPr>
      <w:bookmarkStart w:id="5" w:name="_Toc424833992"/>
      <w:bookmarkStart w:id="6" w:name="_Toc424834593"/>
      <w:bookmarkStart w:id="7" w:name="_Toc424834676"/>
      <w:bookmarkStart w:id="8" w:name="_Toc424834743"/>
      <w:r w:rsidRPr="00CF1787">
        <w:rPr>
          <w:b/>
          <w:spacing w:val="-4"/>
          <w:lang w:val="es-CR"/>
        </w:rPr>
        <w:t xml:space="preserve">SENTENCIA DE </w:t>
      </w:r>
      <w:bookmarkEnd w:id="5"/>
      <w:bookmarkEnd w:id="6"/>
      <w:bookmarkEnd w:id="7"/>
      <w:bookmarkEnd w:id="8"/>
      <w:r w:rsidR="00B47950" w:rsidRPr="00B47950">
        <w:rPr>
          <w:b/>
          <w:spacing w:val="-4"/>
          <w:lang w:val="es-CR"/>
        </w:rPr>
        <w:t>26</w:t>
      </w:r>
      <w:r w:rsidR="00880E09" w:rsidRPr="00B47950">
        <w:rPr>
          <w:b/>
          <w:spacing w:val="-4"/>
          <w:lang w:val="es-CR"/>
        </w:rPr>
        <w:t xml:space="preserve"> DE SEPTIEMBRE</w:t>
      </w:r>
      <w:r w:rsidR="00880E09" w:rsidRPr="00860CC1">
        <w:rPr>
          <w:b/>
          <w:spacing w:val="-4"/>
          <w:lang w:val="es-CR"/>
        </w:rPr>
        <w:t xml:space="preserve"> DE</w:t>
      </w:r>
      <w:r w:rsidR="002605FA" w:rsidRPr="00860CC1">
        <w:rPr>
          <w:b/>
          <w:spacing w:val="-4"/>
          <w:lang w:val="es-CR"/>
        </w:rPr>
        <w:t xml:space="preserve"> 2018</w:t>
      </w:r>
    </w:p>
    <w:p w:rsidR="00A36178" w:rsidRPr="00CF1787" w:rsidRDefault="00A36178" w:rsidP="00A36178">
      <w:pPr>
        <w:tabs>
          <w:tab w:val="left" w:pos="567"/>
        </w:tabs>
        <w:rPr>
          <w:spacing w:val="-4"/>
          <w:lang w:val="es-CR"/>
        </w:rPr>
      </w:pPr>
    </w:p>
    <w:p w:rsidR="00A36178" w:rsidRPr="00CF1787" w:rsidRDefault="00A36178" w:rsidP="00A36178">
      <w:pPr>
        <w:tabs>
          <w:tab w:val="left" w:pos="567"/>
        </w:tabs>
        <w:jc w:val="center"/>
        <w:rPr>
          <w:b/>
          <w:spacing w:val="-4"/>
          <w:lang w:val="es-CR"/>
        </w:rPr>
      </w:pPr>
      <w:bookmarkStart w:id="9" w:name="_Toc424833993"/>
      <w:bookmarkStart w:id="10" w:name="_Toc424834594"/>
      <w:bookmarkStart w:id="11" w:name="_Toc424834677"/>
      <w:bookmarkStart w:id="12" w:name="_Toc424834744"/>
      <w:r w:rsidRPr="00CF1787">
        <w:rPr>
          <w:b/>
          <w:spacing w:val="-4"/>
          <w:lang w:val="es-CR"/>
        </w:rPr>
        <w:t>(</w:t>
      </w:r>
      <w:r w:rsidRPr="00CF1787">
        <w:rPr>
          <w:b/>
          <w:i/>
          <w:spacing w:val="-4"/>
          <w:lang w:val="es-CR"/>
        </w:rPr>
        <w:t>Excepciones Preliminares, Fondo, Reparaciones y Costas</w:t>
      </w:r>
      <w:r w:rsidRPr="00CF1787">
        <w:rPr>
          <w:b/>
          <w:spacing w:val="-4"/>
          <w:lang w:val="es-CR"/>
        </w:rPr>
        <w:t>)</w:t>
      </w:r>
      <w:bookmarkEnd w:id="9"/>
      <w:bookmarkEnd w:id="10"/>
      <w:bookmarkEnd w:id="11"/>
      <w:bookmarkEnd w:id="12"/>
    </w:p>
    <w:p w:rsidR="00A36178" w:rsidRPr="00CF1787" w:rsidRDefault="00A36178" w:rsidP="00A36178">
      <w:pPr>
        <w:widowControl w:val="0"/>
        <w:tabs>
          <w:tab w:val="left" w:pos="567"/>
          <w:tab w:val="left" w:pos="720"/>
        </w:tabs>
        <w:adjustRightInd w:val="0"/>
        <w:textAlignment w:val="baseline"/>
        <w:rPr>
          <w:rFonts w:cs="Verdana"/>
          <w:spacing w:val="-4"/>
          <w:szCs w:val="20"/>
          <w:lang w:val="es-CR" w:eastAsia="es-CR"/>
        </w:rPr>
      </w:pPr>
    </w:p>
    <w:p w:rsidR="00A36178" w:rsidRPr="00CF1787" w:rsidRDefault="00A36178" w:rsidP="00A36178">
      <w:pPr>
        <w:widowControl w:val="0"/>
        <w:tabs>
          <w:tab w:val="left" w:pos="567"/>
          <w:tab w:val="left" w:pos="720"/>
        </w:tabs>
        <w:adjustRightInd w:val="0"/>
        <w:textAlignment w:val="baseline"/>
        <w:rPr>
          <w:rFonts w:cs="Verdana"/>
          <w:spacing w:val="-4"/>
          <w:szCs w:val="20"/>
          <w:lang w:val="es-CR" w:eastAsia="es-CR"/>
        </w:rPr>
      </w:pPr>
    </w:p>
    <w:p w:rsidR="00A36178" w:rsidRPr="00CF1787" w:rsidRDefault="00A36178" w:rsidP="00A36178">
      <w:pPr>
        <w:widowControl w:val="0"/>
        <w:tabs>
          <w:tab w:val="left" w:pos="567"/>
          <w:tab w:val="left" w:pos="720"/>
        </w:tabs>
        <w:adjustRightInd w:val="0"/>
        <w:textAlignment w:val="baseline"/>
        <w:rPr>
          <w:rFonts w:cs="Verdana"/>
          <w:spacing w:val="-4"/>
          <w:szCs w:val="20"/>
          <w:lang w:val="es-CR" w:eastAsia="es-CR"/>
        </w:rPr>
      </w:pPr>
    </w:p>
    <w:p w:rsidR="00A36178" w:rsidRPr="00CF1787" w:rsidRDefault="00A36178" w:rsidP="00A36178">
      <w:pPr>
        <w:widowControl w:val="0"/>
        <w:tabs>
          <w:tab w:val="left" w:pos="567"/>
          <w:tab w:val="left" w:pos="720"/>
        </w:tabs>
        <w:adjustRightInd w:val="0"/>
        <w:textAlignment w:val="baseline"/>
        <w:rPr>
          <w:rFonts w:cs="Verdana"/>
          <w:spacing w:val="-4"/>
          <w:szCs w:val="20"/>
          <w:lang w:val="es-CR" w:eastAsia="es-CR"/>
        </w:rPr>
      </w:pPr>
    </w:p>
    <w:p w:rsidR="00A36178" w:rsidRPr="00CF1787" w:rsidRDefault="00A36178" w:rsidP="00A36178">
      <w:pPr>
        <w:widowControl w:val="0"/>
        <w:tabs>
          <w:tab w:val="left" w:pos="567"/>
          <w:tab w:val="left" w:pos="720"/>
        </w:tabs>
        <w:adjustRightInd w:val="0"/>
        <w:textAlignment w:val="baseline"/>
        <w:rPr>
          <w:rFonts w:cs="Verdana"/>
          <w:i/>
          <w:iCs/>
          <w:spacing w:val="-4"/>
          <w:szCs w:val="20"/>
          <w:lang w:val="es-CR" w:eastAsia="es-CR"/>
        </w:rPr>
      </w:pPr>
      <w:r w:rsidRPr="00CF1787">
        <w:rPr>
          <w:rFonts w:cs="Verdana"/>
          <w:spacing w:val="-4"/>
          <w:szCs w:val="20"/>
          <w:lang w:val="es-CR" w:eastAsia="es-CR"/>
        </w:rPr>
        <w:t>En el caso</w:t>
      </w:r>
      <w:r w:rsidRPr="00CF1787">
        <w:rPr>
          <w:rFonts w:cs="Verdana"/>
          <w:i/>
          <w:iCs/>
          <w:spacing w:val="-4"/>
          <w:szCs w:val="20"/>
          <w:lang w:val="es-CR" w:eastAsia="es-CR"/>
        </w:rPr>
        <w:t xml:space="preserve"> </w:t>
      </w:r>
      <w:r w:rsidR="00480351">
        <w:rPr>
          <w:rFonts w:cs="Verdana"/>
          <w:i/>
          <w:iCs/>
          <w:spacing w:val="-4"/>
          <w:szCs w:val="20"/>
          <w:lang w:val="es-CR" w:eastAsia="es-CR"/>
        </w:rPr>
        <w:t>Terrones Silva y Otros V</w:t>
      </w:r>
      <w:r w:rsidR="00BC4C9F">
        <w:rPr>
          <w:rFonts w:cs="Verdana"/>
          <w:i/>
          <w:iCs/>
          <w:spacing w:val="-4"/>
          <w:szCs w:val="20"/>
          <w:lang w:val="es-CR" w:eastAsia="es-CR"/>
        </w:rPr>
        <w:t>s. Perú</w:t>
      </w:r>
      <w:r w:rsidRPr="00CF1787">
        <w:rPr>
          <w:rFonts w:cs="Verdana"/>
          <w:i/>
          <w:iCs/>
          <w:spacing w:val="-4"/>
          <w:szCs w:val="20"/>
          <w:lang w:val="es-CR" w:eastAsia="es-CR"/>
        </w:rPr>
        <w:t xml:space="preserve">, </w:t>
      </w:r>
    </w:p>
    <w:p w:rsidR="00A36178" w:rsidRPr="00CF1787" w:rsidRDefault="00A36178" w:rsidP="00A36178">
      <w:pPr>
        <w:widowControl w:val="0"/>
        <w:tabs>
          <w:tab w:val="left" w:pos="567"/>
          <w:tab w:val="left" w:pos="720"/>
        </w:tabs>
        <w:adjustRightInd w:val="0"/>
        <w:textAlignment w:val="baseline"/>
        <w:rPr>
          <w:rFonts w:cs="Verdana"/>
          <w:spacing w:val="-4"/>
          <w:szCs w:val="20"/>
          <w:lang w:val="es-CR" w:eastAsia="es-CR"/>
        </w:rPr>
      </w:pPr>
    </w:p>
    <w:p w:rsidR="00A36178" w:rsidRDefault="00A36178" w:rsidP="00A36178">
      <w:pPr>
        <w:widowControl w:val="0"/>
        <w:tabs>
          <w:tab w:val="left" w:pos="567"/>
          <w:tab w:val="left" w:pos="720"/>
        </w:tabs>
        <w:adjustRightInd w:val="0"/>
        <w:textAlignment w:val="baseline"/>
        <w:rPr>
          <w:rFonts w:cs="Verdana"/>
          <w:spacing w:val="-4"/>
          <w:szCs w:val="20"/>
          <w:lang w:val="es-CR" w:eastAsia="es-CR"/>
        </w:rPr>
      </w:pPr>
      <w:r w:rsidRPr="00CF1787">
        <w:rPr>
          <w:rFonts w:cs="Verdana"/>
          <w:spacing w:val="-4"/>
          <w:szCs w:val="20"/>
          <w:lang w:val="es-CR" w:eastAsia="es-CR"/>
        </w:rPr>
        <w:t>la Corte Interamericana de Derechos Humanos (en adelante “la Corte Interamericana”, “la Corte” o “este Tribunal”)</w:t>
      </w:r>
      <w:r w:rsidR="002605FA">
        <w:rPr>
          <w:rFonts w:cs="Verdana"/>
          <w:spacing w:val="-4"/>
          <w:szCs w:val="20"/>
          <w:lang w:val="es-CR" w:eastAsia="es-CR"/>
        </w:rPr>
        <w:t>, integrada por los siguientes J</w:t>
      </w:r>
      <w:r w:rsidRPr="00CF1787">
        <w:rPr>
          <w:rFonts w:cs="Verdana"/>
          <w:spacing w:val="-4"/>
          <w:szCs w:val="20"/>
          <w:lang w:val="es-CR" w:eastAsia="es-CR"/>
        </w:rPr>
        <w:t>ueces</w:t>
      </w:r>
      <w:r w:rsidR="00E7355C" w:rsidRPr="0043341E">
        <w:rPr>
          <w:szCs w:val="20"/>
        </w:rPr>
        <w:footnoteReference w:customMarkFollows="1" w:id="1"/>
        <w:t>*</w:t>
      </w:r>
      <w:r w:rsidRPr="00CF1787">
        <w:rPr>
          <w:rFonts w:cs="Verdana"/>
          <w:spacing w:val="-4"/>
          <w:szCs w:val="20"/>
          <w:lang w:val="es-CR" w:eastAsia="es-CR"/>
        </w:rPr>
        <w:t>:</w:t>
      </w:r>
    </w:p>
    <w:p w:rsidR="002605FA" w:rsidRPr="00CF1787" w:rsidRDefault="002605FA" w:rsidP="00A36178">
      <w:pPr>
        <w:widowControl w:val="0"/>
        <w:tabs>
          <w:tab w:val="left" w:pos="567"/>
          <w:tab w:val="left" w:pos="720"/>
        </w:tabs>
        <w:adjustRightInd w:val="0"/>
        <w:textAlignment w:val="baseline"/>
        <w:rPr>
          <w:rFonts w:cs="Verdana"/>
          <w:spacing w:val="-4"/>
          <w:szCs w:val="20"/>
          <w:lang w:val="es-CR" w:eastAsia="es-CR"/>
        </w:rPr>
      </w:pPr>
    </w:p>
    <w:p w:rsidR="002605FA" w:rsidRPr="00CF1787" w:rsidRDefault="002605FA" w:rsidP="002605FA">
      <w:pPr>
        <w:pStyle w:val="citaindirecta"/>
        <w:tabs>
          <w:tab w:val="left" w:pos="567"/>
          <w:tab w:val="left" w:pos="851"/>
        </w:tabs>
        <w:ind w:left="0" w:right="-174"/>
        <w:rPr>
          <w:spacing w:val="-4"/>
          <w:lang w:val="pt-BR"/>
        </w:rPr>
      </w:pPr>
      <w:r w:rsidRPr="00CF1787">
        <w:rPr>
          <w:spacing w:val="-4"/>
          <w:lang w:val="pt-BR"/>
        </w:rPr>
        <w:t>Eduardo Ferrer Mac-Gregor Poisot,</w:t>
      </w:r>
      <w:r>
        <w:rPr>
          <w:rFonts w:cs="Verdana"/>
          <w:spacing w:val="-4"/>
          <w:lang w:val="pt-BR"/>
        </w:rPr>
        <w:t xml:space="preserve"> P</w:t>
      </w:r>
      <w:r w:rsidRPr="00CF1787">
        <w:rPr>
          <w:rFonts w:cs="Verdana"/>
          <w:spacing w:val="-4"/>
          <w:lang w:val="pt-BR"/>
        </w:rPr>
        <w:t>residente;</w:t>
      </w:r>
    </w:p>
    <w:p w:rsidR="00A36178" w:rsidRDefault="002605FA" w:rsidP="002605FA">
      <w:pPr>
        <w:pStyle w:val="citaindirecta"/>
        <w:tabs>
          <w:tab w:val="left" w:pos="567"/>
          <w:tab w:val="left" w:pos="851"/>
        </w:tabs>
        <w:ind w:left="0" w:right="-174"/>
        <w:rPr>
          <w:spacing w:val="-4"/>
          <w:lang w:val="es-CR"/>
        </w:rPr>
      </w:pPr>
      <w:r w:rsidRPr="00CF1787">
        <w:rPr>
          <w:spacing w:val="-4"/>
          <w:lang w:val="es-CR"/>
        </w:rPr>
        <w:t xml:space="preserve">Eduardo Vio Grossi, </w:t>
      </w:r>
      <w:r>
        <w:rPr>
          <w:spacing w:val="-4"/>
          <w:lang w:val="es-CR"/>
        </w:rPr>
        <w:t>Juez, Vicepresidente;</w:t>
      </w:r>
    </w:p>
    <w:p w:rsidR="00BC4C9F" w:rsidRPr="002605FA" w:rsidRDefault="00BC4C9F" w:rsidP="002605FA">
      <w:pPr>
        <w:pStyle w:val="citaindirecta"/>
        <w:tabs>
          <w:tab w:val="left" w:pos="567"/>
          <w:tab w:val="left" w:pos="851"/>
        </w:tabs>
        <w:ind w:left="0" w:right="-174"/>
        <w:rPr>
          <w:spacing w:val="-4"/>
          <w:lang w:val="es-CR"/>
        </w:rPr>
      </w:pPr>
      <w:r>
        <w:rPr>
          <w:spacing w:val="-4"/>
          <w:lang w:val="es-CR"/>
        </w:rPr>
        <w:t>Humberto Antonio Sierra Porto, Juez;</w:t>
      </w:r>
    </w:p>
    <w:p w:rsidR="00A36178" w:rsidRDefault="00A36178" w:rsidP="00A36178">
      <w:pPr>
        <w:tabs>
          <w:tab w:val="left" w:pos="567"/>
          <w:tab w:val="left" w:pos="720"/>
          <w:tab w:val="left" w:pos="851"/>
        </w:tabs>
        <w:ind w:right="-174"/>
        <w:rPr>
          <w:spacing w:val="-4"/>
          <w:szCs w:val="20"/>
          <w:lang w:val="es-CR"/>
        </w:rPr>
      </w:pPr>
      <w:r w:rsidRPr="00CF1787">
        <w:rPr>
          <w:spacing w:val="-4"/>
          <w:szCs w:val="20"/>
          <w:lang w:val="es-CR"/>
        </w:rPr>
        <w:t>Eugenio Raúl Zaffaroni,</w:t>
      </w:r>
      <w:r w:rsidRPr="00CF1787">
        <w:rPr>
          <w:rFonts w:cs="Verdana"/>
          <w:spacing w:val="-4"/>
          <w:szCs w:val="20"/>
          <w:lang w:val="es-CR"/>
        </w:rPr>
        <w:t xml:space="preserve"> </w:t>
      </w:r>
      <w:r w:rsidRPr="00CF1787">
        <w:rPr>
          <w:spacing w:val="-4"/>
          <w:szCs w:val="20"/>
          <w:lang w:val="es-CR"/>
        </w:rPr>
        <w:t>Juez</w:t>
      </w:r>
      <w:r w:rsidR="00480351">
        <w:rPr>
          <w:spacing w:val="-4"/>
          <w:szCs w:val="20"/>
          <w:lang w:val="es-CR"/>
        </w:rPr>
        <w:t>,</w:t>
      </w:r>
      <w:r>
        <w:rPr>
          <w:spacing w:val="-4"/>
          <w:szCs w:val="20"/>
          <w:lang w:val="es-CR"/>
        </w:rPr>
        <w:t xml:space="preserve"> y</w:t>
      </w:r>
    </w:p>
    <w:p w:rsidR="00A36178" w:rsidRPr="00CF1787" w:rsidRDefault="00A36178" w:rsidP="00A36178">
      <w:pPr>
        <w:tabs>
          <w:tab w:val="left" w:pos="567"/>
          <w:tab w:val="left" w:pos="720"/>
          <w:tab w:val="left" w:pos="851"/>
        </w:tabs>
        <w:ind w:right="-174"/>
        <w:rPr>
          <w:rFonts w:cs="Verdana"/>
          <w:spacing w:val="-4"/>
          <w:szCs w:val="20"/>
          <w:lang w:val="es-CR"/>
        </w:rPr>
      </w:pPr>
      <w:r w:rsidRPr="00CF1787">
        <w:t>Patricio Pazmiño Freire</w:t>
      </w:r>
      <w:r>
        <w:t>, Juez.</w:t>
      </w:r>
    </w:p>
    <w:p w:rsidR="00A36178" w:rsidRPr="00CF1787" w:rsidRDefault="00A36178" w:rsidP="00A36178">
      <w:pPr>
        <w:widowControl w:val="0"/>
        <w:tabs>
          <w:tab w:val="left" w:pos="567"/>
          <w:tab w:val="left" w:pos="720"/>
        </w:tabs>
        <w:adjustRightInd w:val="0"/>
        <w:textAlignment w:val="baseline"/>
        <w:rPr>
          <w:rFonts w:cs="Verdana"/>
          <w:spacing w:val="-4"/>
          <w:szCs w:val="20"/>
          <w:lang w:val="es-CR" w:eastAsia="es-CR"/>
        </w:rPr>
      </w:pPr>
    </w:p>
    <w:p w:rsidR="00A36178" w:rsidRPr="00CF1787" w:rsidRDefault="00A36178" w:rsidP="00A36178">
      <w:pPr>
        <w:widowControl w:val="0"/>
        <w:tabs>
          <w:tab w:val="left" w:pos="567"/>
          <w:tab w:val="left" w:pos="720"/>
        </w:tabs>
        <w:adjustRightInd w:val="0"/>
        <w:textAlignment w:val="baseline"/>
        <w:rPr>
          <w:rFonts w:cs="Verdana"/>
          <w:spacing w:val="-4"/>
          <w:szCs w:val="20"/>
          <w:lang w:val="es-CR" w:eastAsia="es-CR"/>
        </w:rPr>
      </w:pPr>
      <w:r w:rsidRPr="00CF1787">
        <w:rPr>
          <w:rFonts w:cs="Verdana"/>
          <w:spacing w:val="-4"/>
          <w:szCs w:val="20"/>
          <w:lang w:val="es-CR" w:eastAsia="es-CR"/>
        </w:rPr>
        <w:t>Presentes además,</w:t>
      </w:r>
    </w:p>
    <w:p w:rsidR="00A36178" w:rsidRPr="00CF1787" w:rsidRDefault="00A36178" w:rsidP="00A36178">
      <w:pPr>
        <w:widowControl w:val="0"/>
        <w:tabs>
          <w:tab w:val="left" w:pos="567"/>
          <w:tab w:val="left" w:pos="720"/>
        </w:tabs>
        <w:adjustRightInd w:val="0"/>
        <w:textAlignment w:val="baseline"/>
        <w:rPr>
          <w:rFonts w:cs="Verdana"/>
          <w:spacing w:val="-4"/>
          <w:szCs w:val="20"/>
          <w:lang w:val="es-CR" w:eastAsia="es-CR"/>
        </w:rPr>
      </w:pPr>
    </w:p>
    <w:p w:rsidR="00A36178" w:rsidRPr="00CF1787" w:rsidRDefault="00A36178" w:rsidP="00A36178">
      <w:pPr>
        <w:widowControl w:val="0"/>
        <w:tabs>
          <w:tab w:val="left" w:pos="567"/>
          <w:tab w:val="left" w:pos="720"/>
        </w:tabs>
        <w:adjustRightInd w:val="0"/>
        <w:textAlignment w:val="baseline"/>
        <w:rPr>
          <w:rFonts w:cs="Verdana"/>
          <w:spacing w:val="-4"/>
          <w:szCs w:val="20"/>
          <w:lang w:val="es-CR" w:eastAsia="es-CR"/>
        </w:rPr>
      </w:pPr>
      <w:r w:rsidRPr="00CF1787">
        <w:rPr>
          <w:rFonts w:cs="Verdana"/>
          <w:spacing w:val="-4"/>
          <w:szCs w:val="20"/>
          <w:lang w:val="es-CR" w:eastAsia="es-CR"/>
        </w:rPr>
        <w:t xml:space="preserve">Pablo Saavedra Alessandri, Secretario, y </w:t>
      </w:r>
    </w:p>
    <w:p w:rsidR="00A36178" w:rsidRPr="00CF1787" w:rsidRDefault="00A36178" w:rsidP="00A36178">
      <w:pPr>
        <w:widowControl w:val="0"/>
        <w:tabs>
          <w:tab w:val="left" w:pos="567"/>
          <w:tab w:val="left" w:pos="720"/>
        </w:tabs>
        <w:adjustRightInd w:val="0"/>
        <w:textAlignment w:val="baseline"/>
        <w:rPr>
          <w:rFonts w:cs="Verdana"/>
          <w:spacing w:val="-4"/>
          <w:szCs w:val="20"/>
          <w:lang w:val="es-CR" w:eastAsia="es-CR"/>
        </w:rPr>
      </w:pPr>
      <w:r w:rsidRPr="00CF1787">
        <w:rPr>
          <w:rFonts w:cs="Verdana"/>
          <w:spacing w:val="-4"/>
          <w:szCs w:val="20"/>
          <w:lang w:val="es-CR" w:eastAsia="es-MX"/>
        </w:rPr>
        <w:t>Emilia Segare</w:t>
      </w:r>
      <w:r>
        <w:rPr>
          <w:rFonts w:cs="Verdana"/>
          <w:spacing w:val="-4"/>
          <w:szCs w:val="20"/>
          <w:lang w:val="es-CR" w:eastAsia="es-MX"/>
        </w:rPr>
        <w:t>s Rodríguez, Secretaria Adjunta.</w:t>
      </w:r>
    </w:p>
    <w:p w:rsidR="00A36178" w:rsidRPr="00CF1787" w:rsidRDefault="00A36178" w:rsidP="00A36178">
      <w:pPr>
        <w:widowControl w:val="0"/>
        <w:tabs>
          <w:tab w:val="left" w:pos="567"/>
          <w:tab w:val="left" w:pos="720"/>
        </w:tabs>
        <w:adjustRightInd w:val="0"/>
        <w:textAlignment w:val="baseline"/>
        <w:rPr>
          <w:rFonts w:cs="Verdana"/>
          <w:spacing w:val="-4"/>
          <w:szCs w:val="20"/>
          <w:lang w:val="es-CR" w:eastAsia="es-CR"/>
        </w:rPr>
      </w:pPr>
    </w:p>
    <w:p w:rsidR="00A36178" w:rsidRPr="00CF1787" w:rsidRDefault="00A36178" w:rsidP="00A36178">
      <w:pPr>
        <w:widowControl w:val="0"/>
        <w:tabs>
          <w:tab w:val="left" w:pos="567"/>
          <w:tab w:val="left" w:pos="720"/>
        </w:tabs>
        <w:adjustRightInd w:val="0"/>
        <w:textAlignment w:val="baseline"/>
        <w:rPr>
          <w:rFonts w:cs="Verdana"/>
          <w:spacing w:val="-4"/>
          <w:szCs w:val="20"/>
          <w:lang w:val="es-CR" w:eastAsia="es-CR"/>
        </w:rPr>
      </w:pPr>
      <w:r>
        <w:rPr>
          <w:rFonts w:cs="Verdana"/>
          <w:spacing w:val="-4"/>
          <w:szCs w:val="20"/>
          <w:lang w:val="es-CR" w:eastAsia="es-CR"/>
        </w:rPr>
        <w:t>D</w:t>
      </w:r>
      <w:r w:rsidRPr="00CF1787">
        <w:rPr>
          <w:rFonts w:cs="Verdana"/>
          <w:spacing w:val="-4"/>
          <w:szCs w:val="20"/>
          <w:lang w:val="es-CR" w:eastAsia="es-CR"/>
        </w:rPr>
        <w:t>e conformidad con los artículos 62.3 y 63.1 de la Convención Americana sobre Derechos Humanos (en adelante “la Convención Americana” o “la Convención”) y con los artículos 31, 32, 42, 65 y 67 del Reglamento de la Corte</w:t>
      </w:r>
      <w:r w:rsidR="00972715">
        <w:rPr>
          <w:rFonts w:cs="Verdana"/>
          <w:spacing w:val="-4"/>
          <w:szCs w:val="20"/>
          <w:lang w:val="es-CR" w:eastAsia="es-CR"/>
        </w:rPr>
        <w:t xml:space="preserve"> </w:t>
      </w:r>
      <w:r w:rsidR="00972715">
        <w:rPr>
          <w:rFonts w:cs="Verdana"/>
          <w:spacing w:val="-4"/>
          <w:szCs w:val="20"/>
          <w:lang w:eastAsia="es-CR"/>
        </w:rPr>
        <w:t xml:space="preserve">Interamericana </w:t>
      </w:r>
      <w:r w:rsidRPr="00CF1787">
        <w:rPr>
          <w:rFonts w:cs="Verdana"/>
          <w:spacing w:val="-4"/>
          <w:szCs w:val="20"/>
          <w:lang w:val="es-CR" w:eastAsia="es-CR"/>
        </w:rPr>
        <w:t>(en adelante “Reglamento de la Corte”</w:t>
      </w:r>
      <w:r w:rsidR="00972715">
        <w:rPr>
          <w:rFonts w:cs="Verdana"/>
          <w:spacing w:val="-4"/>
          <w:szCs w:val="20"/>
          <w:lang w:val="es-CR" w:eastAsia="es-CR"/>
        </w:rPr>
        <w:t xml:space="preserve"> o “el Reglamento”</w:t>
      </w:r>
      <w:r w:rsidRPr="00CF1787">
        <w:rPr>
          <w:rFonts w:cs="Verdana"/>
          <w:spacing w:val="-4"/>
          <w:szCs w:val="20"/>
          <w:lang w:val="es-CR" w:eastAsia="es-CR"/>
        </w:rPr>
        <w:t>), dicta la presente Sentencia que se estructura en el siguiente orden:</w:t>
      </w:r>
    </w:p>
    <w:p w:rsidR="00A36178" w:rsidRPr="00CF1787" w:rsidRDefault="00A36178" w:rsidP="00A36178">
      <w:pPr>
        <w:tabs>
          <w:tab w:val="left" w:pos="567"/>
        </w:tabs>
        <w:spacing w:after="200" w:line="276" w:lineRule="auto"/>
        <w:jc w:val="left"/>
        <w:rPr>
          <w:b/>
          <w:spacing w:val="-4"/>
          <w:lang w:val="es-CR" w:eastAsia="es-CR"/>
        </w:rPr>
      </w:pPr>
      <w:bookmarkStart w:id="13" w:name="_Toc424834678"/>
      <w:bookmarkStart w:id="14" w:name="_Toc427932784"/>
      <w:bookmarkStart w:id="15" w:name="_Toc431584601"/>
      <w:bookmarkStart w:id="16" w:name="_Toc434850389"/>
      <w:r w:rsidRPr="00CF1787">
        <w:rPr>
          <w:spacing w:val="-4"/>
          <w:lang w:val="es-CR"/>
        </w:rPr>
        <w:br w:type="page"/>
      </w:r>
    </w:p>
    <w:bookmarkEnd w:id="16" w:displacedByCustomXml="next"/>
    <w:bookmarkEnd w:id="15" w:displacedByCustomXml="next"/>
    <w:bookmarkEnd w:id="14" w:displacedByCustomXml="next"/>
    <w:bookmarkEnd w:id="13" w:displacedByCustomXml="next"/>
    <w:sdt>
      <w:sdtPr>
        <w:rPr>
          <w:noProof w:val="0"/>
          <w:sz w:val="18"/>
          <w:szCs w:val="18"/>
          <w:lang w:eastAsia="en-US"/>
        </w:rPr>
        <w:id w:val="41866353"/>
        <w:docPartObj>
          <w:docPartGallery w:val="Table of Contents"/>
          <w:docPartUnique/>
        </w:docPartObj>
      </w:sdtPr>
      <w:sdtEndPr/>
      <w:sdtContent>
        <w:p w:rsidR="000023E7" w:rsidRPr="004525F7" w:rsidRDefault="00426533" w:rsidP="00336FDD">
          <w:pPr>
            <w:pStyle w:val="TOC1"/>
          </w:pPr>
          <w:r w:rsidRPr="004525F7">
            <w:rPr>
              <w:b/>
              <w:szCs w:val="18"/>
            </w:rPr>
            <w:t>ÍNDICE DE CONTENIDOS</w:t>
          </w:r>
          <w:r w:rsidR="00A36178" w:rsidRPr="004525F7">
            <w:rPr>
              <w:noProof w:val="0"/>
              <w:sz w:val="18"/>
              <w:szCs w:val="18"/>
            </w:rPr>
            <w:fldChar w:fldCharType="begin"/>
          </w:r>
          <w:r w:rsidR="00A36178" w:rsidRPr="004525F7">
            <w:rPr>
              <w:sz w:val="18"/>
              <w:szCs w:val="18"/>
            </w:rPr>
            <w:instrText xml:space="preserve"> TOC \o "1-3" \h \z \u </w:instrText>
          </w:r>
          <w:r w:rsidR="00A36178" w:rsidRPr="004525F7">
            <w:rPr>
              <w:noProof w:val="0"/>
              <w:sz w:val="18"/>
              <w:szCs w:val="18"/>
            </w:rPr>
            <w:fldChar w:fldCharType="separate"/>
          </w:r>
        </w:p>
        <w:p w:rsidR="000023E7" w:rsidRPr="004525F7" w:rsidRDefault="00E63A3E">
          <w:pPr>
            <w:pStyle w:val="TOC1"/>
            <w:rPr>
              <w:rFonts w:asciiTheme="minorHAnsi" w:eastAsiaTheme="minorEastAsia" w:hAnsiTheme="minorHAnsi" w:cstheme="minorBidi"/>
              <w:sz w:val="22"/>
              <w:lang w:val="en-US" w:eastAsia="en-US"/>
            </w:rPr>
          </w:pPr>
          <w:hyperlink w:anchor="_Toc527993501" w:history="1">
            <w:r w:rsidR="000023E7" w:rsidRPr="004525F7">
              <w:rPr>
                <w:rStyle w:val="Hyperlink"/>
              </w:rPr>
              <w:t>INTRODUCCIÓN A LA CAUSA Y OBJETO DE LA CONTROVERSIA</w:t>
            </w:r>
            <w:r w:rsidR="000023E7" w:rsidRPr="004525F7">
              <w:rPr>
                <w:webHidden/>
              </w:rPr>
              <w:tab/>
            </w:r>
            <w:r w:rsidR="000023E7" w:rsidRPr="004525F7">
              <w:rPr>
                <w:webHidden/>
              </w:rPr>
              <w:fldChar w:fldCharType="begin"/>
            </w:r>
            <w:r w:rsidR="000023E7" w:rsidRPr="004525F7">
              <w:rPr>
                <w:webHidden/>
              </w:rPr>
              <w:instrText xml:space="preserve"> PAGEREF _Toc527993501 \h </w:instrText>
            </w:r>
            <w:r w:rsidR="000023E7" w:rsidRPr="004525F7">
              <w:rPr>
                <w:webHidden/>
              </w:rPr>
            </w:r>
            <w:r w:rsidR="000023E7" w:rsidRPr="004525F7">
              <w:rPr>
                <w:webHidden/>
              </w:rPr>
              <w:fldChar w:fldCharType="separate"/>
            </w:r>
            <w:r>
              <w:rPr>
                <w:webHidden/>
              </w:rPr>
              <w:t>4</w:t>
            </w:r>
            <w:r w:rsidR="000023E7" w:rsidRPr="004525F7">
              <w:rPr>
                <w:webHidden/>
              </w:rPr>
              <w:fldChar w:fldCharType="end"/>
            </w:r>
          </w:hyperlink>
        </w:p>
        <w:p w:rsidR="000023E7" w:rsidRPr="004525F7" w:rsidRDefault="00E63A3E">
          <w:pPr>
            <w:pStyle w:val="TOC1"/>
            <w:rPr>
              <w:rFonts w:asciiTheme="minorHAnsi" w:eastAsiaTheme="minorEastAsia" w:hAnsiTheme="minorHAnsi" w:cstheme="minorBidi"/>
              <w:sz w:val="22"/>
              <w:lang w:val="en-US" w:eastAsia="en-US"/>
            </w:rPr>
          </w:pPr>
          <w:hyperlink w:anchor="_Toc527993503" w:history="1">
            <w:r w:rsidR="000023E7" w:rsidRPr="004525F7">
              <w:rPr>
                <w:rStyle w:val="Hyperlink"/>
                <w:lang w:val="es-ES_tradnl"/>
              </w:rPr>
              <w:t>PROCEDIMIENTO ANTE LA CORTE</w:t>
            </w:r>
            <w:r w:rsidR="000023E7" w:rsidRPr="004525F7">
              <w:rPr>
                <w:webHidden/>
              </w:rPr>
              <w:tab/>
            </w:r>
            <w:r w:rsidR="000023E7" w:rsidRPr="004525F7">
              <w:rPr>
                <w:webHidden/>
              </w:rPr>
              <w:fldChar w:fldCharType="begin"/>
            </w:r>
            <w:r w:rsidR="000023E7" w:rsidRPr="004525F7">
              <w:rPr>
                <w:webHidden/>
              </w:rPr>
              <w:instrText xml:space="preserve"> PAGEREF _Toc527993503 \h </w:instrText>
            </w:r>
            <w:r w:rsidR="000023E7" w:rsidRPr="004525F7">
              <w:rPr>
                <w:webHidden/>
              </w:rPr>
            </w:r>
            <w:r w:rsidR="000023E7" w:rsidRPr="004525F7">
              <w:rPr>
                <w:webHidden/>
              </w:rPr>
              <w:fldChar w:fldCharType="separate"/>
            </w:r>
            <w:r>
              <w:rPr>
                <w:webHidden/>
              </w:rPr>
              <w:t>6</w:t>
            </w:r>
            <w:r w:rsidR="000023E7" w:rsidRPr="004525F7">
              <w:rPr>
                <w:webHidden/>
              </w:rPr>
              <w:fldChar w:fldCharType="end"/>
            </w:r>
          </w:hyperlink>
        </w:p>
        <w:p w:rsidR="000023E7" w:rsidRPr="004525F7" w:rsidRDefault="00E63A3E">
          <w:pPr>
            <w:pStyle w:val="TOC1"/>
            <w:rPr>
              <w:rFonts w:asciiTheme="minorHAnsi" w:eastAsiaTheme="minorEastAsia" w:hAnsiTheme="minorHAnsi" w:cstheme="minorBidi"/>
              <w:sz w:val="22"/>
              <w:lang w:val="en-US" w:eastAsia="en-US"/>
            </w:rPr>
          </w:pPr>
          <w:hyperlink w:anchor="_Toc527993505" w:history="1">
            <w:r w:rsidR="000023E7" w:rsidRPr="004525F7">
              <w:rPr>
                <w:rStyle w:val="Hyperlink"/>
                <w:lang w:val="es-ES_tradnl"/>
              </w:rPr>
              <w:t>COMPETENCIA</w:t>
            </w:r>
            <w:r w:rsidR="000023E7" w:rsidRPr="004525F7">
              <w:rPr>
                <w:webHidden/>
              </w:rPr>
              <w:tab/>
            </w:r>
            <w:r w:rsidR="000023E7" w:rsidRPr="004525F7">
              <w:rPr>
                <w:webHidden/>
              </w:rPr>
              <w:fldChar w:fldCharType="begin"/>
            </w:r>
            <w:r w:rsidR="000023E7" w:rsidRPr="004525F7">
              <w:rPr>
                <w:webHidden/>
              </w:rPr>
              <w:instrText xml:space="preserve"> PAGEREF _Toc527993505 \h </w:instrText>
            </w:r>
            <w:r w:rsidR="000023E7" w:rsidRPr="004525F7">
              <w:rPr>
                <w:webHidden/>
              </w:rPr>
            </w:r>
            <w:r w:rsidR="000023E7" w:rsidRPr="004525F7">
              <w:rPr>
                <w:webHidden/>
              </w:rPr>
              <w:fldChar w:fldCharType="separate"/>
            </w:r>
            <w:r>
              <w:rPr>
                <w:webHidden/>
              </w:rPr>
              <w:t>8</w:t>
            </w:r>
            <w:r w:rsidR="000023E7" w:rsidRPr="004525F7">
              <w:rPr>
                <w:webHidden/>
              </w:rPr>
              <w:fldChar w:fldCharType="end"/>
            </w:r>
          </w:hyperlink>
        </w:p>
        <w:p w:rsidR="000023E7" w:rsidRPr="004525F7" w:rsidRDefault="00E63A3E">
          <w:pPr>
            <w:pStyle w:val="TOC1"/>
            <w:rPr>
              <w:rFonts w:asciiTheme="minorHAnsi" w:eastAsiaTheme="minorEastAsia" w:hAnsiTheme="minorHAnsi" w:cstheme="minorBidi"/>
              <w:sz w:val="22"/>
              <w:lang w:val="en-US" w:eastAsia="en-US"/>
            </w:rPr>
          </w:pPr>
          <w:hyperlink w:anchor="_Toc527993507" w:history="1">
            <w:r w:rsidR="000023E7" w:rsidRPr="004525F7">
              <w:rPr>
                <w:rStyle w:val="Hyperlink"/>
                <w:lang w:val="es-ES_tradnl"/>
              </w:rPr>
              <w:t>EXCEPCIONES PRELIMINARES</w:t>
            </w:r>
            <w:r w:rsidR="000023E7" w:rsidRPr="004525F7">
              <w:rPr>
                <w:webHidden/>
              </w:rPr>
              <w:tab/>
            </w:r>
            <w:r w:rsidR="000023E7" w:rsidRPr="004525F7">
              <w:rPr>
                <w:webHidden/>
              </w:rPr>
              <w:fldChar w:fldCharType="begin"/>
            </w:r>
            <w:r w:rsidR="000023E7" w:rsidRPr="004525F7">
              <w:rPr>
                <w:webHidden/>
              </w:rPr>
              <w:instrText xml:space="preserve"> PAGEREF _Toc527993507 \h </w:instrText>
            </w:r>
            <w:r w:rsidR="000023E7" w:rsidRPr="004525F7">
              <w:rPr>
                <w:webHidden/>
              </w:rPr>
            </w:r>
            <w:r w:rsidR="000023E7" w:rsidRPr="004525F7">
              <w:rPr>
                <w:webHidden/>
              </w:rPr>
              <w:fldChar w:fldCharType="separate"/>
            </w:r>
            <w:r>
              <w:rPr>
                <w:webHidden/>
              </w:rPr>
              <w:t>8</w:t>
            </w:r>
            <w:r w:rsidR="000023E7" w:rsidRPr="004525F7">
              <w:rPr>
                <w:webHidden/>
              </w:rPr>
              <w:fldChar w:fldCharType="end"/>
            </w:r>
          </w:hyperlink>
        </w:p>
        <w:p w:rsidR="000023E7" w:rsidRPr="004525F7" w:rsidRDefault="00E63A3E">
          <w:pPr>
            <w:pStyle w:val="TOC2"/>
            <w:rPr>
              <w:rFonts w:asciiTheme="minorHAnsi" w:eastAsiaTheme="minorEastAsia" w:hAnsiTheme="minorHAnsi" w:cstheme="minorBidi"/>
              <w:noProof/>
              <w:sz w:val="22"/>
              <w:lang w:val="en-US"/>
            </w:rPr>
          </w:pPr>
          <w:hyperlink w:anchor="_Toc527993508" w:history="1">
            <w:r w:rsidR="000023E7" w:rsidRPr="004525F7">
              <w:rPr>
                <w:rStyle w:val="Hyperlink"/>
                <w:noProof/>
                <w:lang w:val="es-ES_tradnl"/>
              </w:rPr>
              <w:t>A.  Excepción de falta de agotamiento de recursos</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_Toc527993508 \h </w:instrText>
            </w:r>
            <w:r w:rsidR="000023E7" w:rsidRPr="004525F7">
              <w:rPr>
                <w:noProof/>
                <w:webHidden/>
              </w:rPr>
            </w:r>
            <w:r w:rsidR="000023E7" w:rsidRPr="004525F7">
              <w:rPr>
                <w:noProof/>
                <w:webHidden/>
              </w:rPr>
              <w:fldChar w:fldCharType="separate"/>
            </w:r>
            <w:r>
              <w:rPr>
                <w:noProof/>
                <w:webHidden/>
              </w:rPr>
              <w:t>8</w:t>
            </w:r>
            <w:r w:rsidR="000023E7" w:rsidRPr="004525F7">
              <w:rPr>
                <w:noProof/>
                <w:webHidden/>
              </w:rPr>
              <w:fldChar w:fldCharType="end"/>
            </w:r>
          </w:hyperlink>
        </w:p>
        <w:p w:rsidR="000023E7" w:rsidRPr="004525F7" w:rsidRDefault="00E63A3E">
          <w:pPr>
            <w:pStyle w:val="TOC3"/>
            <w:tabs>
              <w:tab w:val="right" w:leader="dot" w:pos="9394"/>
            </w:tabs>
            <w:rPr>
              <w:rFonts w:asciiTheme="minorHAnsi" w:eastAsiaTheme="minorEastAsia" w:hAnsiTheme="minorHAnsi" w:cstheme="minorBidi"/>
              <w:noProof/>
              <w:sz w:val="22"/>
              <w:lang w:val="en-US"/>
            </w:rPr>
          </w:pPr>
          <w:hyperlink w:anchor="_Toc527993509" w:history="1">
            <w:r w:rsidR="000023E7" w:rsidRPr="004525F7">
              <w:rPr>
                <w:rStyle w:val="Hyperlink"/>
                <w:noProof/>
                <w:lang w:val="es-ES_tradnl"/>
              </w:rPr>
              <w:t>A.1. Alegatos del Estado y observaciones de la Comisión y los representantes</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_Toc527993509 \h </w:instrText>
            </w:r>
            <w:r w:rsidR="000023E7" w:rsidRPr="004525F7">
              <w:rPr>
                <w:noProof/>
                <w:webHidden/>
              </w:rPr>
            </w:r>
            <w:r w:rsidR="000023E7" w:rsidRPr="004525F7">
              <w:rPr>
                <w:noProof/>
                <w:webHidden/>
              </w:rPr>
              <w:fldChar w:fldCharType="separate"/>
            </w:r>
            <w:r>
              <w:rPr>
                <w:noProof/>
                <w:webHidden/>
              </w:rPr>
              <w:t>8</w:t>
            </w:r>
            <w:r w:rsidR="000023E7" w:rsidRPr="004525F7">
              <w:rPr>
                <w:noProof/>
                <w:webHidden/>
              </w:rPr>
              <w:fldChar w:fldCharType="end"/>
            </w:r>
          </w:hyperlink>
        </w:p>
        <w:p w:rsidR="000023E7" w:rsidRPr="004525F7" w:rsidRDefault="00E63A3E">
          <w:pPr>
            <w:pStyle w:val="TOC3"/>
            <w:tabs>
              <w:tab w:val="right" w:leader="dot" w:pos="9394"/>
            </w:tabs>
            <w:rPr>
              <w:rFonts w:asciiTheme="minorHAnsi" w:eastAsiaTheme="minorEastAsia" w:hAnsiTheme="minorHAnsi" w:cstheme="minorBidi"/>
              <w:noProof/>
              <w:sz w:val="22"/>
              <w:lang w:val="en-US"/>
            </w:rPr>
          </w:pPr>
          <w:hyperlink w:anchor="_Toc527993510" w:history="1">
            <w:r w:rsidR="000023E7" w:rsidRPr="004525F7">
              <w:rPr>
                <w:rStyle w:val="Hyperlink"/>
                <w:noProof/>
                <w:lang w:val="es-ES_tradnl"/>
              </w:rPr>
              <w:t>A.2. Consideraciones de la Corte</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_Toc527993510 \h </w:instrText>
            </w:r>
            <w:r w:rsidR="000023E7" w:rsidRPr="004525F7">
              <w:rPr>
                <w:noProof/>
                <w:webHidden/>
              </w:rPr>
            </w:r>
            <w:r w:rsidR="000023E7" w:rsidRPr="004525F7">
              <w:rPr>
                <w:noProof/>
                <w:webHidden/>
              </w:rPr>
              <w:fldChar w:fldCharType="separate"/>
            </w:r>
            <w:r>
              <w:rPr>
                <w:noProof/>
                <w:webHidden/>
              </w:rPr>
              <w:t>9</w:t>
            </w:r>
            <w:r w:rsidR="000023E7" w:rsidRPr="004525F7">
              <w:rPr>
                <w:noProof/>
                <w:webHidden/>
              </w:rPr>
              <w:fldChar w:fldCharType="end"/>
            </w:r>
          </w:hyperlink>
        </w:p>
        <w:p w:rsidR="000023E7" w:rsidRPr="004525F7" w:rsidRDefault="00E63A3E">
          <w:pPr>
            <w:pStyle w:val="TOC2"/>
            <w:rPr>
              <w:rFonts w:asciiTheme="minorHAnsi" w:eastAsiaTheme="minorEastAsia" w:hAnsiTheme="minorHAnsi" w:cstheme="minorBidi"/>
              <w:noProof/>
              <w:sz w:val="22"/>
              <w:lang w:val="en-US"/>
            </w:rPr>
          </w:pPr>
          <w:hyperlink w:anchor="_Toc527993511" w:history="1">
            <w:r w:rsidR="000023E7" w:rsidRPr="004525F7">
              <w:rPr>
                <w:rStyle w:val="Hyperlink"/>
                <w:noProof/>
                <w:lang w:val="es-ES"/>
              </w:rPr>
              <w:t xml:space="preserve">B. </w:t>
            </w:r>
            <w:r w:rsidR="000023E7" w:rsidRPr="004525F7">
              <w:rPr>
                <w:rStyle w:val="Hyperlink"/>
                <w:noProof/>
                <w:lang w:val="es-ES_tradnl"/>
              </w:rPr>
              <w:t xml:space="preserve">Excepción por falta de competencia </w:t>
            </w:r>
            <w:r w:rsidR="000023E7" w:rsidRPr="004525F7">
              <w:rPr>
                <w:rStyle w:val="Hyperlink"/>
                <w:i/>
                <w:noProof/>
                <w:lang w:val="es-ES_tradnl"/>
              </w:rPr>
              <w:t>ratione temporis</w:t>
            </w:r>
            <w:r w:rsidR="000023E7" w:rsidRPr="004525F7">
              <w:rPr>
                <w:rStyle w:val="Hyperlink"/>
                <w:noProof/>
                <w:lang w:val="es-ES_tradnl"/>
              </w:rPr>
              <w:t xml:space="preserve"> de la Corte respecto a la </w:t>
            </w:r>
            <w:r w:rsidR="000023E7" w:rsidRPr="004525F7">
              <w:rPr>
                <w:rStyle w:val="Hyperlink"/>
                <w:noProof/>
              </w:rPr>
              <w:t>Convención Interamericana sobre Desaparición Forzada de Personas</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_Toc527993511 \h </w:instrText>
            </w:r>
            <w:r w:rsidR="000023E7" w:rsidRPr="004525F7">
              <w:rPr>
                <w:noProof/>
                <w:webHidden/>
              </w:rPr>
            </w:r>
            <w:r w:rsidR="000023E7" w:rsidRPr="004525F7">
              <w:rPr>
                <w:noProof/>
                <w:webHidden/>
              </w:rPr>
              <w:fldChar w:fldCharType="separate"/>
            </w:r>
            <w:r>
              <w:rPr>
                <w:noProof/>
                <w:webHidden/>
              </w:rPr>
              <w:t>11</w:t>
            </w:r>
            <w:r w:rsidR="000023E7" w:rsidRPr="004525F7">
              <w:rPr>
                <w:noProof/>
                <w:webHidden/>
              </w:rPr>
              <w:fldChar w:fldCharType="end"/>
            </w:r>
          </w:hyperlink>
        </w:p>
        <w:p w:rsidR="000023E7" w:rsidRPr="004525F7" w:rsidRDefault="00E63A3E">
          <w:pPr>
            <w:pStyle w:val="TOC3"/>
            <w:tabs>
              <w:tab w:val="right" w:leader="dot" w:pos="9394"/>
            </w:tabs>
            <w:rPr>
              <w:rFonts w:asciiTheme="minorHAnsi" w:eastAsiaTheme="minorEastAsia" w:hAnsiTheme="minorHAnsi" w:cstheme="minorBidi"/>
              <w:noProof/>
              <w:sz w:val="22"/>
              <w:lang w:val="en-US"/>
            </w:rPr>
          </w:pPr>
          <w:hyperlink w:anchor="_Toc527993512" w:history="1">
            <w:r w:rsidR="000023E7" w:rsidRPr="004525F7">
              <w:rPr>
                <w:rStyle w:val="Hyperlink"/>
                <w:noProof/>
                <w:lang w:val="es-ES_tradnl"/>
              </w:rPr>
              <w:t>B.1. Alegatos del Estado y observaciones de la Comisión y los representantes</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_Toc527993512 \h </w:instrText>
            </w:r>
            <w:r w:rsidR="000023E7" w:rsidRPr="004525F7">
              <w:rPr>
                <w:noProof/>
                <w:webHidden/>
              </w:rPr>
            </w:r>
            <w:r w:rsidR="000023E7" w:rsidRPr="004525F7">
              <w:rPr>
                <w:noProof/>
                <w:webHidden/>
              </w:rPr>
              <w:fldChar w:fldCharType="separate"/>
            </w:r>
            <w:r>
              <w:rPr>
                <w:noProof/>
                <w:webHidden/>
              </w:rPr>
              <w:t>11</w:t>
            </w:r>
            <w:r w:rsidR="000023E7" w:rsidRPr="004525F7">
              <w:rPr>
                <w:noProof/>
                <w:webHidden/>
              </w:rPr>
              <w:fldChar w:fldCharType="end"/>
            </w:r>
          </w:hyperlink>
        </w:p>
        <w:p w:rsidR="000023E7" w:rsidRPr="004525F7" w:rsidRDefault="00E63A3E">
          <w:pPr>
            <w:pStyle w:val="TOC3"/>
            <w:tabs>
              <w:tab w:val="right" w:leader="dot" w:pos="9394"/>
            </w:tabs>
            <w:rPr>
              <w:rFonts w:asciiTheme="minorHAnsi" w:eastAsiaTheme="minorEastAsia" w:hAnsiTheme="minorHAnsi" w:cstheme="minorBidi"/>
              <w:noProof/>
              <w:sz w:val="22"/>
              <w:lang w:val="en-US"/>
            </w:rPr>
          </w:pPr>
          <w:hyperlink w:anchor="_Toc527993513" w:history="1">
            <w:r w:rsidR="000023E7" w:rsidRPr="004525F7">
              <w:rPr>
                <w:rStyle w:val="Hyperlink"/>
                <w:rFonts w:eastAsiaTheme="majorEastAsia" w:cstheme="majorBidi"/>
                <w:bCs/>
                <w:noProof/>
                <w:lang w:val="es-ES_tradnl"/>
              </w:rPr>
              <w:t>B.2. Consideraciones de la Corte</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_Toc527993513 \h </w:instrText>
            </w:r>
            <w:r w:rsidR="000023E7" w:rsidRPr="004525F7">
              <w:rPr>
                <w:noProof/>
                <w:webHidden/>
              </w:rPr>
            </w:r>
            <w:r w:rsidR="000023E7" w:rsidRPr="004525F7">
              <w:rPr>
                <w:noProof/>
                <w:webHidden/>
              </w:rPr>
              <w:fldChar w:fldCharType="separate"/>
            </w:r>
            <w:r>
              <w:rPr>
                <w:noProof/>
                <w:webHidden/>
              </w:rPr>
              <w:t>12</w:t>
            </w:r>
            <w:r w:rsidR="000023E7" w:rsidRPr="004525F7">
              <w:rPr>
                <w:noProof/>
                <w:webHidden/>
              </w:rPr>
              <w:fldChar w:fldCharType="end"/>
            </w:r>
          </w:hyperlink>
        </w:p>
        <w:p w:rsidR="000023E7" w:rsidRPr="004525F7" w:rsidRDefault="00E63A3E">
          <w:pPr>
            <w:pStyle w:val="TOC2"/>
            <w:rPr>
              <w:rFonts w:asciiTheme="minorHAnsi" w:eastAsiaTheme="minorEastAsia" w:hAnsiTheme="minorHAnsi" w:cstheme="minorBidi"/>
              <w:noProof/>
              <w:sz w:val="22"/>
              <w:lang w:val="en-US"/>
            </w:rPr>
          </w:pPr>
          <w:hyperlink w:anchor="_Toc527993514" w:history="1">
            <w:r w:rsidR="000023E7" w:rsidRPr="004525F7">
              <w:rPr>
                <w:rStyle w:val="Hyperlink"/>
                <w:noProof/>
                <w:lang w:val="es-ES_tradnl"/>
              </w:rPr>
              <w:t xml:space="preserve">C. Excepción por falta de competencia </w:t>
            </w:r>
            <w:r w:rsidR="000023E7" w:rsidRPr="004525F7">
              <w:rPr>
                <w:rStyle w:val="Hyperlink"/>
                <w:i/>
                <w:noProof/>
                <w:lang w:val="es-ES_tradnl"/>
              </w:rPr>
              <w:t>ratione temporis</w:t>
            </w:r>
            <w:r w:rsidR="000023E7" w:rsidRPr="004525F7">
              <w:rPr>
                <w:rStyle w:val="Hyperlink"/>
                <w:noProof/>
                <w:lang w:val="es-ES_tradnl"/>
              </w:rPr>
              <w:t xml:space="preserve"> de la Corte Interamericana respecto a la </w:t>
            </w:r>
            <w:r w:rsidR="000023E7" w:rsidRPr="004525F7">
              <w:rPr>
                <w:rStyle w:val="Hyperlink"/>
                <w:noProof/>
                <w:lang w:val="es-CR"/>
              </w:rPr>
              <w:t>Convención Interamericana para Prevenir y Sancionar la Tortura</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_Toc527993514 \h </w:instrText>
            </w:r>
            <w:r w:rsidR="000023E7" w:rsidRPr="004525F7">
              <w:rPr>
                <w:noProof/>
                <w:webHidden/>
              </w:rPr>
            </w:r>
            <w:r w:rsidR="000023E7" w:rsidRPr="004525F7">
              <w:rPr>
                <w:noProof/>
                <w:webHidden/>
              </w:rPr>
              <w:fldChar w:fldCharType="separate"/>
            </w:r>
            <w:r>
              <w:rPr>
                <w:noProof/>
                <w:webHidden/>
              </w:rPr>
              <w:t>12</w:t>
            </w:r>
            <w:r w:rsidR="000023E7" w:rsidRPr="004525F7">
              <w:rPr>
                <w:noProof/>
                <w:webHidden/>
              </w:rPr>
              <w:fldChar w:fldCharType="end"/>
            </w:r>
          </w:hyperlink>
        </w:p>
        <w:p w:rsidR="000023E7" w:rsidRPr="004525F7" w:rsidRDefault="00E63A3E">
          <w:pPr>
            <w:pStyle w:val="TOC3"/>
            <w:tabs>
              <w:tab w:val="right" w:leader="dot" w:pos="9394"/>
            </w:tabs>
            <w:rPr>
              <w:rFonts w:asciiTheme="minorHAnsi" w:eastAsiaTheme="minorEastAsia" w:hAnsiTheme="minorHAnsi" w:cstheme="minorBidi"/>
              <w:noProof/>
              <w:sz w:val="22"/>
              <w:lang w:val="en-US"/>
            </w:rPr>
          </w:pPr>
          <w:hyperlink w:anchor="_Toc527993515" w:history="1">
            <w:r w:rsidR="000023E7" w:rsidRPr="004525F7">
              <w:rPr>
                <w:rStyle w:val="Hyperlink"/>
                <w:noProof/>
                <w:lang w:val="es-ES_tradnl"/>
              </w:rPr>
              <w:t>C.1. Alegatos del Estado y observaciones de la Comisión y los representantes</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_Toc527993515 \h </w:instrText>
            </w:r>
            <w:r w:rsidR="000023E7" w:rsidRPr="004525F7">
              <w:rPr>
                <w:noProof/>
                <w:webHidden/>
              </w:rPr>
            </w:r>
            <w:r w:rsidR="000023E7" w:rsidRPr="004525F7">
              <w:rPr>
                <w:noProof/>
                <w:webHidden/>
              </w:rPr>
              <w:fldChar w:fldCharType="separate"/>
            </w:r>
            <w:r>
              <w:rPr>
                <w:noProof/>
                <w:webHidden/>
              </w:rPr>
              <w:t>12</w:t>
            </w:r>
            <w:r w:rsidR="000023E7" w:rsidRPr="004525F7">
              <w:rPr>
                <w:noProof/>
                <w:webHidden/>
              </w:rPr>
              <w:fldChar w:fldCharType="end"/>
            </w:r>
          </w:hyperlink>
        </w:p>
        <w:p w:rsidR="000023E7" w:rsidRPr="004525F7" w:rsidRDefault="00E63A3E">
          <w:pPr>
            <w:pStyle w:val="TOC3"/>
            <w:tabs>
              <w:tab w:val="right" w:leader="dot" w:pos="9394"/>
            </w:tabs>
            <w:rPr>
              <w:rFonts w:asciiTheme="minorHAnsi" w:eastAsiaTheme="minorEastAsia" w:hAnsiTheme="minorHAnsi" w:cstheme="minorBidi"/>
              <w:noProof/>
              <w:sz w:val="22"/>
              <w:lang w:val="en-US"/>
            </w:rPr>
          </w:pPr>
          <w:hyperlink w:anchor="_Toc527993516" w:history="1">
            <w:r w:rsidR="000023E7" w:rsidRPr="004525F7">
              <w:rPr>
                <w:rStyle w:val="Hyperlink"/>
                <w:noProof/>
                <w:lang w:val="es-ES_tradnl"/>
              </w:rPr>
              <w:t xml:space="preserve">C.2. </w:t>
            </w:r>
            <w:r w:rsidR="000023E7" w:rsidRPr="004525F7">
              <w:rPr>
                <w:rStyle w:val="Hyperlink"/>
                <w:rFonts w:eastAsiaTheme="majorEastAsia" w:cstheme="majorBidi"/>
                <w:bCs/>
                <w:noProof/>
                <w:lang w:val="es-ES_tradnl"/>
              </w:rPr>
              <w:t>Consideraciones de la Corte</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_Toc527993516 \h </w:instrText>
            </w:r>
            <w:r w:rsidR="000023E7" w:rsidRPr="004525F7">
              <w:rPr>
                <w:noProof/>
                <w:webHidden/>
              </w:rPr>
            </w:r>
            <w:r w:rsidR="000023E7" w:rsidRPr="004525F7">
              <w:rPr>
                <w:noProof/>
                <w:webHidden/>
              </w:rPr>
              <w:fldChar w:fldCharType="separate"/>
            </w:r>
            <w:r>
              <w:rPr>
                <w:noProof/>
                <w:webHidden/>
              </w:rPr>
              <w:t>13</w:t>
            </w:r>
            <w:r w:rsidR="000023E7" w:rsidRPr="004525F7">
              <w:rPr>
                <w:noProof/>
                <w:webHidden/>
              </w:rPr>
              <w:fldChar w:fldCharType="end"/>
            </w:r>
          </w:hyperlink>
        </w:p>
        <w:p w:rsidR="000023E7" w:rsidRPr="004525F7" w:rsidRDefault="00E63A3E">
          <w:pPr>
            <w:pStyle w:val="TOC1"/>
            <w:rPr>
              <w:rFonts w:asciiTheme="minorHAnsi" w:eastAsiaTheme="minorEastAsia" w:hAnsiTheme="minorHAnsi" w:cstheme="minorBidi"/>
              <w:sz w:val="22"/>
              <w:lang w:val="en-US" w:eastAsia="en-US"/>
            </w:rPr>
          </w:pPr>
          <w:hyperlink w:anchor="_Toc527993518" w:history="1">
            <w:r w:rsidR="000023E7" w:rsidRPr="004525F7">
              <w:rPr>
                <w:rStyle w:val="Hyperlink"/>
                <w:rFonts w:eastAsia="Batang" w:cs="Times"/>
                <w:spacing w:val="-2"/>
                <w:lang w:val="es-ES"/>
              </w:rPr>
              <w:t>CONSIDERACIÓN PREVIA</w:t>
            </w:r>
            <w:r w:rsidR="000023E7" w:rsidRPr="004525F7">
              <w:rPr>
                <w:webHidden/>
              </w:rPr>
              <w:tab/>
            </w:r>
            <w:r w:rsidR="000023E7" w:rsidRPr="004525F7">
              <w:rPr>
                <w:webHidden/>
              </w:rPr>
              <w:fldChar w:fldCharType="begin"/>
            </w:r>
            <w:r w:rsidR="000023E7" w:rsidRPr="004525F7">
              <w:rPr>
                <w:webHidden/>
              </w:rPr>
              <w:instrText xml:space="preserve"> PAGEREF _Toc527993518 \h </w:instrText>
            </w:r>
            <w:r w:rsidR="000023E7" w:rsidRPr="004525F7">
              <w:rPr>
                <w:webHidden/>
              </w:rPr>
            </w:r>
            <w:r w:rsidR="000023E7" w:rsidRPr="004525F7">
              <w:rPr>
                <w:webHidden/>
              </w:rPr>
              <w:fldChar w:fldCharType="separate"/>
            </w:r>
            <w:r>
              <w:rPr>
                <w:webHidden/>
              </w:rPr>
              <w:t>13</w:t>
            </w:r>
            <w:r w:rsidR="000023E7" w:rsidRPr="004525F7">
              <w:rPr>
                <w:webHidden/>
              </w:rPr>
              <w:fldChar w:fldCharType="end"/>
            </w:r>
          </w:hyperlink>
        </w:p>
        <w:p w:rsidR="000023E7" w:rsidRPr="004525F7" w:rsidRDefault="00E63A3E">
          <w:pPr>
            <w:pStyle w:val="TOC2"/>
            <w:rPr>
              <w:rFonts w:asciiTheme="minorHAnsi" w:eastAsiaTheme="minorEastAsia" w:hAnsiTheme="minorHAnsi" w:cstheme="minorBidi"/>
              <w:noProof/>
              <w:sz w:val="22"/>
              <w:lang w:val="en-US"/>
            </w:rPr>
          </w:pPr>
          <w:hyperlink w:anchor="_Toc527993519" w:history="1">
            <w:r w:rsidR="000023E7" w:rsidRPr="004525F7">
              <w:rPr>
                <w:rStyle w:val="Hyperlink"/>
                <w:rFonts w:eastAsia="Batang" w:cs="Times"/>
                <w:noProof/>
                <w:spacing w:val="-2"/>
                <w:lang w:val="es-ES"/>
              </w:rPr>
              <w:t>A.</w:t>
            </w:r>
            <w:r w:rsidR="000023E7" w:rsidRPr="004525F7">
              <w:rPr>
                <w:rFonts w:asciiTheme="minorHAnsi" w:eastAsiaTheme="minorEastAsia" w:hAnsiTheme="minorHAnsi" w:cstheme="minorBidi"/>
                <w:noProof/>
                <w:sz w:val="22"/>
                <w:lang w:val="en-US"/>
              </w:rPr>
              <w:tab/>
            </w:r>
            <w:r w:rsidR="000023E7" w:rsidRPr="004525F7">
              <w:rPr>
                <w:rStyle w:val="Hyperlink"/>
                <w:rFonts w:eastAsia="Batang" w:cs="Times"/>
                <w:noProof/>
                <w:spacing w:val="-2"/>
                <w:lang w:val="es-ES"/>
              </w:rPr>
              <w:t>Sobre la determinación de las presuntas víctimas</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_Toc527993519 \h </w:instrText>
            </w:r>
            <w:r w:rsidR="000023E7" w:rsidRPr="004525F7">
              <w:rPr>
                <w:noProof/>
                <w:webHidden/>
              </w:rPr>
            </w:r>
            <w:r w:rsidR="000023E7" w:rsidRPr="004525F7">
              <w:rPr>
                <w:noProof/>
                <w:webHidden/>
              </w:rPr>
              <w:fldChar w:fldCharType="separate"/>
            </w:r>
            <w:r>
              <w:rPr>
                <w:noProof/>
                <w:webHidden/>
              </w:rPr>
              <w:t>13</w:t>
            </w:r>
            <w:r w:rsidR="000023E7" w:rsidRPr="004525F7">
              <w:rPr>
                <w:noProof/>
                <w:webHidden/>
              </w:rPr>
              <w:fldChar w:fldCharType="end"/>
            </w:r>
          </w:hyperlink>
        </w:p>
        <w:p w:rsidR="000023E7" w:rsidRPr="004525F7" w:rsidRDefault="00E63A3E">
          <w:pPr>
            <w:pStyle w:val="TOC3"/>
            <w:tabs>
              <w:tab w:val="right" w:leader="dot" w:pos="9394"/>
            </w:tabs>
            <w:rPr>
              <w:rFonts w:asciiTheme="minorHAnsi" w:eastAsiaTheme="minorEastAsia" w:hAnsiTheme="minorHAnsi" w:cstheme="minorBidi"/>
              <w:noProof/>
              <w:sz w:val="22"/>
              <w:lang w:val="en-US"/>
            </w:rPr>
          </w:pPr>
          <w:hyperlink w:anchor="_Toc527993520" w:history="1">
            <w:r w:rsidR="000023E7" w:rsidRPr="004525F7">
              <w:rPr>
                <w:rStyle w:val="Hyperlink"/>
                <w:rFonts w:eastAsia="Batang" w:cs="Times"/>
                <w:noProof/>
                <w:spacing w:val="-2"/>
                <w:lang w:val="es-ES"/>
              </w:rPr>
              <w:t>A.1. Alegatos del Estado y observaciones de la Comisión y los representantes</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_Toc527993520 \h </w:instrText>
            </w:r>
            <w:r w:rsidR="000023E7" w:rsidRPr="004525F7">
              <w:rPr>
                <w:noProof/>
                <w:webHidden/>
              </w:rPr>
            </w:r>
            <w:r w:rsidR="000023E7" w:rsidRPr="004525F7">
              <w:rPr>
                <w:noProof/>
                <w:webHidden/>
              </w:rPr>
              <w:fldChar w:fldCharType="separate"/>
            </w:r>
            <w:r>
              <w:rPr>
                <w:noProof/>
                <w:webHidden/>
              </w:rPr>
              <w:t>13</w:t>
            </w:r>
            <w:r w:rsidR="000023E7" w:rsidRPr="004525F7">
              <w:rPr>
                <w:noProof/>
                <w:webHidden/>
              </w:rPr>
              <w:fldChar w:fldCharType="end"/>
            </w:r>
          </w:hyperlink>
        </w:p>
        <w:p w:rsidR="000023E7" w:rsidRPr="004525F7" w:rsidRDefault="00E63A3E">
          <w:pPr>
            <w:pStyle w:val="TOC3"/>
            <w:tabs>
              <w:tab w:val="right" w:leader="dot" w:pos="9394"/>
            </w:tabs>
            <w:rPr>
              <w:rFonts w:asciiTheme="minorHAnsi" w:eastAsiaTheme="minorEastAsia" w:hAnsiTheme="minorHAnsi" w:cstheme="minorBidi"/>
              <w:noProof/>
              <w:sz w:val="22"/>
              <w:lang w:val="en-US"/>
            </w:rPr>
          </w:pPr>
          <w:hyperlink w:anchor="_Toc527993521" w:history="1">
            <w:r w:rsidR="000023E7" w:rsidRPr="004525F7">
              <w:rPr>
                <w:rStyle w:val="Hyperlink"/>
                <w:rFonts w:eastAsia="Batang" w:cs="Times"/>
                <w:noProof/>
                <w:spacing w:val="-2"/>
                <w:lang w:val="es-ES"/>
              </w:rPr>
              <w:t>A.2.   Consideraciones de la Corte</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_Toc527993521 \h </w:instrText>
            </w:r>
            <w:r w:rsidR="000023E7" w:rsidRPr="004525F7">
              <w:rPr>
                <w:noProof/>
                <w:webHidden/>
              </w:rPr>
            </w:r>
            <w:r w:rsidR="000023E7" w:rsidRPr="004525F7">
              <w:rPr>
                <w:noProof/>
                <w:webHidden/>
              </w:rPr>
              <w:fldChar w:fldCharType="separate"/>
            </w:r>
            <w:r>
              <w:rPr>
                <w:noProof/>
                <w:webHidden/>
              </w:rPr>
              <w:t>14</w:t>
            </w:r>
            <w:r w:rsidR="000023E7" w:rsidRPr="004525F7">
              <w:rPr>
                <w:noProof/>
                <w:webHidden/>
              </w:rPr>
              <w:fldChar w:fldCharType="end"/>
            </w:r>
          </w:hyperlink>
        </w:p>
        <w:p w:rsidR="000023E7" w:rsidRPr="004525F7" w:rsidRDefault="00E63A3E">
          <w:pPr>
            <w:pStyle w:val="TOC1"/>
            <w:rPr>
              <w:rFonts w:asciiTheme="minorHAnsi" w:eastAsiaTheme="minorEastAsia" w:hAnsiTheme="minorHAnsi" w:cstheme="minorBidi"/>
              <w:sz w:val="22"/>
              <w:lang w:val="en-US" w:eastAsia="en-US"/>
            </w:rPr>
          </w:pPr>
          <w:hyperlink w:anchor="_Toc527993523" w:history="1">
            <w:r w:rsidR="000023E7" w:rsidRPr="004525F7">
              <w:rPr>
                <w:rStyle w:val="Hyperlink"/>
                <w:lang w:val="es-ES_tradnl"/>
              </w:rPr>
              <w:t>PRUEBA</w:t>
            </w:r>
            <w:r w:rsidR="000023E7" w:rsidRPr="004525F7">
              <w:rPr>
                <w:webHidden/>
              </w:rPr>
              <w:tab/>
            </w:r>
            <w:r w:rsidR="000023E7" w:rsidRPr="004525F7">
              <w:rPr>
                <w:webHidden/>
              </w:rPr>
              <w:fldChar w:fldCharType="begin"/>
            </w:r>
            <w:r w:rsidR="000023E7" w:rsidRPr="004525F7">
              <w:rPr>
                <w:webHidden/>
              </w:rPr>
              <w:instrText xml:space="preserve"> PAGEREF _Toc527993523 \h </w:instrText>
            </w:r>
            <w:r w:rsidR="000023E7" w:rsidRPr="004525F7">
              <w:rPr>
                <w:webHidden/>
              </w:rPr>
            </w:r>
            <w:r w:rsidR="000023E7" w:rsidRPr="004525F7">
              <w:rPr>
                <w:webHidden/>
              </w:rPr>
              <w:fldChar w:fldCharType="separate"/>
            </w:r>
            <w:r>
              <w:rPr>
                <w:webHidden/>
              </w:rPr>
              <w:t>15</w:t>
            </w:r>
            <w:r w:rsidR="000023E7" w:rsidRPr="004525F7">
              <w:rPr>
                <w:webHidden/>
              </w:rPr>
              <w:fldChar w:fldCharType="end"/>
            </w:r>
          </w:hyperlink>
        </w:p>
        <w:p w:rsidR="000023E7" w:rsidRPr="004525F7" w:rsidRDefault="00E63A3E">
          <w:pPr>
            <w:pStyle w:val="TOC2"/>
            <w:rPr>
              <w:rFonts w:asciiTheme="minorHAnsi" w:eastAsiaTheme="minorEastAsia" w:hAnsiTheme="minorHAnsi" w:cstheme="minorBidi"/>
              <w:noProof/>
              <w:sz w:val="22"/>
              <w:lang w:val="en-US"/>
            </w:rPr>
          </w:pPr>
          <w:hyperlink w:anchor="_Toc527993524" w:history="1">
            <w:r w:rsidR="000023E7" w:rsidRPr="004525F7">
              <w:rPr>
                <w:rStyle w:val="Hyperlink"/>
                <w:noProof/>
                <w:lang w:val="es-ES_tradnl"/>
              </w:rPr>
              <w:t>A.</w:t>
            </w:r>
            <w:r w:rsidR="000023E7" w:rsidRPr="004525F7">
              <w:rPr>
                <w:rFonts w:asciiTheme="minorHAnsi" w:eastAsiaTheme="minorEastAsia" w:hAnsiTheme="minorHAnsi" w:cstheme="minorBidi"/>
                <w:noProof/>
                <w:sz w:val="22"/>
                <w:lang w:val="en-US"/>
              </w:rPr>
              <w:tab/>
            </w:r>
            <w:r w:rsidR="000023E7" w:rsidRPr="004525F7">
              <w:rPr>
                <w:rStyle w:val="Hyperlink"/>
                <w:noProof/>
                <w:lang w:val="es-ES_tradnl"/>
              </w:rPr>
              <w:t>Admisibilidad de la prueba documental</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_Toc527993524 \h </w:instrText>
            </w:r>
            <w:r w:rsidR="000023E7" w:rsidRPr="004525F7">
              <w:rPr>
                <w:noProof/>
                <w:webHidden/>
              </w:rPr>
            </w:r>
            <w:r w:rsidR="000023E7" w:rsidRPr="004525F7">
              <w:rPr>
                <w:noProof/>
                <w:webHidden/>
              </w:rPr>
              <w:fldChar w:fldCharType="separate"/>
            </w:r>
            <w:r>
              <w:rPr>
                <w:noProof/>
                <w:webHidden/>
              </w:rPr>
              <w:t>15</w:t>
            </w:r>
            <w:r w:rsidR="000023E7" w:rsidRPr="004525F7">
              <w:rPr>
                <w:noProof/>
                <w:webHidden/>
              </w:rPr>
              <w:fldChar w:fldCharType="end"/>
            </w:r>
          </w:hyperlink>
        </w:p>
        <w:p w:rsidR="000023E7" w:rsidRPr="004525F7" w:rsidRDefault="00E63A3E">
          <w:pPr>
            <w:pStyle w:val="TOC3"/>
            <w:tabs>
              <w:tab w:val="right" w:leader="dot" w:pos="9394"/>
            </w:tabs>
            <w:rPr>
              <w:rFonts w:asciiTheme="minorHAnsi" w:eastAsiaTheme="minorEastAsia" w:hAnsiTheme="minorHAnsi" w:cstheme="minorBidi"/>
              <w:noProof/>
              <w:sz w:val="22"/>
              <w:lang w:val="en-US"/>
            </w:rPr>
          </w:pPr>
          <w:hyperlink w:anchor="_Toc527993525" w:history="1">
            <w:r w:rsidR="000023E7" w:rsidRPr="004525F7">
              <w:rPr>
                <w:rStyle w:val="Hyperlink"/>
                <w:noProof/>
                <w:lang w:val="es-ES_tradnl"/>
              </w:rPr>
              <w:t>B. Admisibilidad de las declaraciones y dictámenes periciales</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_Toc527993525 \h </w:instrText>
            </w:r>
            <w:r w:rsidR="000023E7" w:rsidRPr="004525F7">
              <w:rPr>
                <w:noProof/>
                <w:webHidden/>
              </w:rPr>
            </w:r>
            <w:r w:rsidR="000023E7" w:rsidRPr="004525F7">
              <w:rPr>
                <w:noProof/>
                <w:webHidden/>
              </w:rPr>
              <w:fldChar w:fldCharType="separate"/>
            </w:r>
            <w:r>
              <w:rPr>
                <w:noProof/>
                <w:webHidden/>
              </w:rPr>
              <w:t>15</w:t>
            </w:r>
            <w:r w:rsidR="000023E7" w:rsidRPr="004525F7">
              <w:rPr>
                <w:noProof/>
                <w:webHidden/>
              </w:rPr>
              <w:fldChar w:fldCharType="end"/>
            </w:r>
          </w:hyperlink>
        </w:p>
        <w:p w:rsidR="000023E7" w:rsidRPr="004525F7" w:rsidRDefault="00E63A3E">
          <w:pPr>
            <w:pStyle w:val="TOC1"/>
            <w:rPr>
              <w:rFonts w:asciiTheme="minorHAnsi" w:eastAsiaTheme="minorEastAsia" w:hAnsiTheme="minorHAnsi" w:cstheme="minorBidi"/>
              <w:sz w:val="22"/>
              <w:lang w:val="en-US" w:eastAsia="en-US"/>
            </w:rPr>
          </w:pPr>
          <w:hyperlink w:anchor="_Toc527993527" w:history="1">
            <w:r w:rsidR="000023E7" w:rsidRPr="004525F7">
              <w:rPr>
                <w:rStyle w:val="Hyperlink"/>
                <w:lang w:val="es-ES_tradnl"/>
              </w:rPr>
              <w:t>HECHOS</w:t>
            </w:r>
            <w:r w:rsidR="000023E7" w:rsidRPr="004525F7">
              <w:rPr>
                <w:webHidden/>
              </w:rPr>
              <w:tab/>
            </w:r>
            <w:r w:rsidR="000023E7" w:rsidRPr="004525F7">
              <w:rPr>
                <w:webHidden/>
              </w:rPr>
              <w:fldChar w:fldCharType="begin"/>
            </w:r>
            <w:r w:rsidR="000023E7" w:rsidRPr="004525F7">
              <w:rPr>
                <w:webHidden/>
              </w:rPr>
              <w:instrText xml:space="preserve"> PAGEREF _Toc527993527 \h </w:instrText>
            </w:r>
            <w:r w:rsidR="000023E7" w:rsidRPr="004525F7">
              <w:rPr>
                <w:webHidden/>
              </w:rPr>
            </w:r>
            <w:r w:rsidR="000023E7" w:rsidRPr="004525F7">
              <w:rPr>
                <w:webHidden/>
              </w:rPr>
              <w:fldChar w:fldCharType="separate"/>
            </w:r>
            <w:r>
              <w:rPr>
                <w:webHidden/>
              </w:rPr>
              <w:t>16</w:t>
            </w:r>
            <w:r w:rsidR="000023E7" w:rsidRPr="004525F7">
              <w:rPr>
                <w:webHidden/>
              </w:rPr>
              <w:fldChar w:fldCharType="end"/>
            </w:r>
          </w:hyperlink>
        </w:p>
        <w:p w:rsidR="000023E7" w:rsidRPr="004525F7" w:rsidRDefault="00E63A3E">
          <w:pPr>
            <w:pStyle w:val="TOC2"/>
            <w:rPr>
              <w:rFonts w:asciiTheme="minorHAnsi" w:eastAsiaTheme="minorEastAsia" w:hAnsiTheme="minorHAnsi" w:cstheme="minorBidi"/>
              <w:noProof/>
              <w:sz w:val="22"/>
              <w:lang w:val="en-US"/>
            </w:rPr>
          </w:pPr>
          <w:hyperlink w:anchor="_Toc527993528" w:history="1">
            <w:r w:rsidR="000023E7" w:rsidRPr="004525F7">
              <w:rPr>
                <w:rStyle w:val="Hyperlink"/>
                <w:noProof/>
                <w:lang w:val="es-CR"/>
              </w:rPr>
              <w:t>A.</w:t>
            </w:r>
            <w:r w:rsidR="000023E7" w:rsidRPr="004525F7">
              <w:rPr>
                <w:rFonts w:asciiTheme="minorHAnsi" w:eastAsiaTheme="minorEastAsia" w:hAnsiTheme="minorHAnsi" w:cstheme="minorBidi"/>
                <w:noProof/>
                <w:sz w:val="22"/>
                <w:lang w:val="en-US"/>
              </w:rPr>
              <w:tab/>
            </w:r>
            <w:r w:rsidR="000023E7" w:rsidRPr="004525F7">
              <w:rPr>
                <w:rStyle w:val="Hyperlink"/>
                <w:noProof/>
                <w:lang w:val="es-CR"/>
              </w:rPr>
              <w:t>Contexto</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_Toc527993528 \h </w:instrText>
            </w:r>
            <w:r w:rsidR="000023E7" w:rsidRPr="004525F7">
              <w:rPr>
                <w:noProof/>
                <w:webHidden/>
              </w:rPr>
            </w:r>
            <w:r w:rsidR="000023E7" w:rsidRPr="004525F7">
              <w:rPr>
                <w:noProof/>
                <w:webHidden/>
              </w:rPr>
              <w:fldChar w:fldCharType="separate"/>
            </w:r>
            <w:r>
              <w:rPr>
                <w:noProof/>
                <w:webHidden/>
              </w:rPr>
              <w:t>16</w:t>
            </w:r>
            <w:r w:rsidR="000023E7" w:rsidRPr="004525F7">
              <w:rPr>
                <w:noProof/>
                <w:webHidden/>
              </w:rPr>
              <w:fldChar w:fldCharType="end"/>
            </w:r>
          </w:hyperlink>
        </w:p>
        <w:p w:rsidR="000023E7" w:rsidRPr="004525F7" w:rsidRDefault="00E63A3E">
          <w:pPr>
            <w:pStyle w:val="TOC2"/>
            <w:rPr>
              <w:rFonts w:asciiTheme="minorHAnsi" w:eastAsiaTheme="minorEastAsia" w:hAnsiTheme="minorHAnsi" w:cstheme="minorBidi"/>
              <w:noProof/>
              <w:sz w:val="22"/>
              <w:lang w:val="en-US"/>
            </w:rPr>
          </w:pPr>
          <w:hyperlink w:anchor="_Toc527993529" w:history="1">
            <w:r w:rsidR="000023E7" w:rsidRPr="004525F7">
              <w:rPr>
                <w:rStyle w:val="Hyperlink"/>
                <w:noProof/>
                <w:lang w:val="es-ES_tradnl" w:eastAsia="es-CR"/>
              </w:rPr>
              <w:t>B.</w:t>
            </w:r>
            <w:r w:rsidR="000023E7" w:rsidRPr="004525F7">
              <w:rPr>
                <w:rFonts w:asciiTheme="minorHAnsi" w:eastAsiaTheme="minorEastAsia" w:hAnsiTheme="minorHAnsi" w:cstheme="minorBidi"/>
                <w:noProof/>
                <w:sz w:val="22"/>
                <w:lang w:val="en-US"/>
              </w:rPr>
              <w:tab/>
            </w:r>
            <w:r w:rsidR="000023E7" w:rsidRPr="004525F7">
              <w:rPr>
                <w:rStyle w:val="Hyperlink"/>
                <w:noProof/>
                <w:lang w:val="es-ES_tradnl" w:eastAsia="es-CR"/>
              </w:rPr>
              <w:t>Hechos respecto de cada víctima</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_Toc527993529 \h </w:instrText>
            </w:r>
            <w:r w:rsidR="000023E7" w:rsidRPr="004525F7">
              <w:rPr>
                <w:noProof/>
                <w:webHidden/>
              </w:rPr>
            </w:r>
            <w:r w:rsidR="000023E7" w:rsidRPr="004525F7">
              <w:rPr>
                <w:noProof/>
                <w:webHidden/>
              </w:rPr>
              <w:fldChar w:fldCharType="separate"/>
            </w:r>
            <w:r>
              <w:rPr>
                <w:noProof/>
                <w:webHidden/>
              </w:rPr>
              <w:t>18</w:t>
            </w:r>
            <w:r w:rsidR="000023E7" w:rsidRPr="004525F7">
              <w:rPr>
                <w:noProof/>
                <w:webHidden/>
              </w:rPr>
              <w:fldChar w:fldCharType="end"/>
            </w:r>
          </w:hyperlink>
        </w:p>
        <w:p w:rsidR="000023E7" w:rsidRPr="004525F7" w:rsidRDefault="00E63A3E">
          <w:pPr>
            <w:pStyle w:val="TOC3"/>
            <w:tabs>
              <w:tab w:val="right" w:leader="dot" w:pos="9394"/>
            </w:tabs>
            <w:rPr>
              <w:rFonts w:asciiTheme="minorHAnsi" w:eastAsiaTheme="minorEastAsia" w:hAnsiTheme="minorHAnsi" w:cstheme="minorBidi"/>
              <w:noProof/>
              <w:sz w:val="22"/>
              <w:lang w:val="en-US"/>
            </w:rPr>
          </w:pPr>
          <w:hyperlink w:anchor="_Toc527993530" w:history="1">
            <w:r w:rsidR="000023E7" w:rsidRPr="004525F7">
              <w:rPr>
                <w:rStyle w:val="Hyperlink"/>
                <w:noProof/>
                <w:lang w:val="es-ES_tradnl" w:eastAsia="es-CR"/>
              </w:rPr>
              <w:t>B.1. Wilfredo Terrones Silva</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_Toc527993530 \h </w:instrText>
            </w:r>
            <w:r w:rsidR="000023E7" w:rsidRPr="004525F7">
              <w:rPr>
                <w:noProof/>
                <w:webHidden/>
              </w:rPr>
            </w:r>
            <w:r w:rsidR="000023E7" w:rsidRPr="004525F7">
              <w:rPr>
                <w:noProof/>
                <w:webHidden/>
              </w:rPr>
              <w:fldChar w:fldCharType="separate"/>
            </w:r>
            <w:r>
              <w:rPr>
                <w:noProof/>
                <w:webHidden/>
              </w:rPr>
              <w:t>18</w:t>
            </w:r>
            <w:r w:rsidR="000023E7" w:rsidRPr="004525F7">
              <w:rPr>
                <w:noProof/>
                <w:webHidden/>
              </w:rPr>
              <w:fldChar w:fldCharType="end"/>
            </w:r>
          </w:hyperlink>
        </w:p>
        <w:p w:rsidR="000023E7" w:rsidRPr="004525F7" w:rsidRDefault="00E63A3E">
          <w:pPr>
            <w:pStyle w:val="TOC3"/>
            <w:tabs>
              <w:tab w:val="right" w:leader="dot" w:pos="9394"/>
            </w:tabs>
            <w:rPr>
              <w:rFonts w:asciiTheme="minorHAnsi" w:eastAsiaTheme="minorEastAsia" w:hAnsiTheme="minorHAnsi" w:cstheme="minorBidi"/>
              <w:noProof/>
              <w:sz w:val="22"/>
              <w:lang w:val="en-US"/>
            </w:rPr>
          </w:pPr>
          <w:hyperlink w:anchor="_Toc527993531" w:history="1">
            <w:r w:rsidR="000023E7" w:rsidRPr="004525F7">
              <w:rPr>
                <w:rStyle w:val="Hyperlink"/>
                <w:noProof/>
                <w:lang w:val="es-ES_tradnl"/>
              </w:rPr>
              <w:t>B.2. Teresa Díaz Aparicio</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_Toc527993531 \h </w:instrText>
            </w:r>
            <w:r w:rsidR="000023E7" w:rsidRPr="004525F7">
              <w:rPr>
                <w:noProof/>
                <w:webHidden/>
              </w:rPr>
            </w:r>
            <w:r w:rsidR="000023E7" w:rsidRPr="004525F7">
              <w:rPr>
                <w:noProof/>
                <w:webHidden/>
              </w:rPr>
              <w:fldChar w:fldCharType="separate"/>
            </w:r>
            <w:r>
              <w:rPr>
                <w:noProof/>
                <w:webHidden/>
              </w:rPr>
              <w:t>21</w:t>
            </w:r>
            <w:r w:rsidR="000023E7" w:rsidRPr="004525F7">
              <w:rPr>
                <w:noProof/>
                <w:webHidden/>
              </w:rPr>
              <w:fldChar w:fldCharType="end"/>
            </w:r>
          </w:hyperlink>
        </w:p>
        <w:p w:rsidR="000023E7" w:rsidRPr="004525F7" w:rsidRDefault="00E63A3E">
          <w:pPr>
            <w:pStyle w:val="TOC3"/>
            <w:tabs>
              <w:tab w:val="right" w:leader="dot" w:pos="9394"/>
            </w:tabs>
            <w:rPr>
              <w:rFonts w:asciiTheme="minorHAnsi" w:eastAsiaTheme="minorEastAsia" w:hAnsiTheme="minorHAnsi" w:cstheme="minorBidi"/>
              <w:noProof/>
              <w:sz w:val="22"/>
              <w:lang w:val="en-US"/>
            </w:rPr>
          </w:pPr>
          <w:hyperlink w:anchor="_Toc527993532" w:history="1">
            <w:r w:rsidR="000023E7" w:rsidRPr="004525F7">
              <w:rPr>
                <w:rStyle w:val="Hyperlink"/>
                <w:noProof/>
                <w:lang w:val="es-ES_tradnl"/>
              </w:rPr>
              <w:t>B.3. Cory Clodolia Tenicela Tello</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_Toc527993532 \h </w:instrText>
            </w:r>
            <w:r w:rsidR="000023E7" w:rsidRPr="004525F7">
              <w:rPr>
                <w:noProof/>
                <w:webHidden/>
              </w:rPr>
            </w:r>
            <w:r w:rsidR="000023E7" w:rsidRPr="004525F7">
              <w:rPr>
                <w:noProof/>
                <w:webHidden/>
              </w:rPr>
              <w:fldChar w:fldCharType="separate"/>
            </w:r>
            <w:r>
              <w:rPr>
                <w:noProof/>
                <w:webHidden/>
              </w:rPr>
              <w:t>26</w:t>
            </w:r>
            <w:r w:rsidR="000023E7" w:rsidRPr="004525F7">
              <w:rPr>
                <w:noProof/>
                <w:webHidden/>
              </w:rPr>
              <w:fldChar w:fldCharType="end"/>
            </w:r>
          </w:hyperlink>
        </w:p>
        <w:p w:rsidR="000023E7" w:rsidRPr="004525F7" w:rsidRDefault="00E63A3E">
          <w:pPr>
            <w:pStyle w:val="TOC3"/>
            <w:tabs>
              <w:tab w:val="right" w:leader="dot" w:pos="9394"/>
            </w:tabs>
            <w:rPr>
              <w:rFonts w:asciiTheme="minorHAnsi" w:eastAsiaTheme="minorEastAsia" w:hAnsiTheme="minorHAnsi" w:cstheme="minorBidi"/>
              <w:noProof/>
              <w:sz w:val="22"/>
              <w:lang w:val="en-US"/>
            </w:rPr>
          </w:pPr>
          <w:hyperlink w:anchor="_Toc527993533" w:history="1">
            <w:r w:rsidR="000023E7" w:rsidRPr="004525F7">
              <w:rPr>
                <w:rStyle w:val="Hyperlink"/>
                <w:noProof/>
                <w:lang w:val="es-ES_tradnl"/>
              </w:rPr>
              <w:t>B.4. Néstor Rojas Medina</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_Toc527993533 \h </w:instrText>
            </w:r>
            <w:r w:rsidR="000023E7" w:rsidRPr="004525F7">
              <w:rPr>
                <w:noProof/>
                <w:webHidden/>
              </w:rPr>
            </w:r>
            <w:r w:rsidR="000023E7" w:rsidRPr="004525F7">
              <w:rPr>
                <w:noProof/>
                <w:webHidden/>
              </w:rPr>
              <w:fldChar w:fldCharType="separate"/>
            </w:r>
            <w:r>
              <w:rPr>
                <w:noProof/>
                <w:webHidden/>
              </w:rPr>
              <w:t>30</w:t>
            </w:r>
            <w:r w:rsidR="000023E7" w:rsidRPr="004525F7">
              <w:rPr>
                <w:noProof/>
                <w:webHidden/>
              </w:rPr>
              <w:fldChar w:fldCharType="end"/>
            </w:r>
          </w:hyperlink>
        </w:p>
        <w:p w:rsidR="000023E7" w:rsidRPr="004525F7" w:rsidRDefault="00E63A3E">
          <w:pPr>
            <w:pStyle w:val="TOC3"/>
            <w:tabs>
              <w:tab w:val="right" w:leader="dot" w:pos="9394"/>
            </w:tabs>
            <w:rPr>
              <w:rFonts w:asciiTheme="minorHAnsi" w:eastAsiaTheme="minorEastAsia" w:hAnsiTheme="minorHAnsi" w:cstheme="minorBidi"/>
              <w:noProof/>
              <w:sz w:val="22"/>
              <w:lang w:val="en-US"/>
            </w:rPr>
          </w:pPr>
          <w:hyperlink w:anchor="_Toc527993534" w:history="1">
            <w:r w:rsidR="000023E7" w:rsidRPr="004525F7">
              <w:rPr>
                <w:rStyle w:val="Hyperlink"/>
                <w:noProof/>
                <w:lang w:val="es-ES_tradnl"/>
              </w:rPr>
              <w:t>B.5. Santiago Antezana Cueto</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_Toc527993534 \h </w:instrText>
            </w:r>
            <w:r w:rsidR="000023E7" w:rsidRPr="004525F7">
              <w:rPr>
                <w:noProof/>
                <w:webHidden/>
              </w:rPr>
            </w:r>
            <w:r w:rsidR="000023E7" w:rsidRPr="004525F7">
              <w:rPr>
                <w:noProof/>
                <w:webHidden/>
              </w:rPr>
              <w:fldChar w:fldCharType="separate"/>
            </w:r>
            <w:r>
              <w:rPr>
                <w:noProof/>
                <w:webHidden/>
              </w:rPr>
              <w:t>38</w:t>
            </w:r>
            <w:r w:rsidR="000023E7" w:rsidRPr="004525F7">
              <w:rPr>
                <w:noProof/>
                <w:webHidden/>
              </w:rPr>
              <w:fldChar w:fldCharType="end"/>
            </w:r>
          </w:hyperlink>
        </w:p>
        <w:p w:rsidR="000023E7" w:rsidRPr="004525F7" w:rsidRDefault="00E63A3E">
          <w:pPr>
            <w:pStyle w:val="TOC1"/>
            <w:rPr>
              <w:rFonts w:asciiTheme="minorHAnsi" w:eastAsiaTheme="minorEastAsia" w:hAnsiTheme="minorHAnsi" w:cstheme="minorBidi"/>
              <w:sz w:val="22"/>
              <w:lang w:val="en-US" w:eastAsia="en-US"/>
            </w:rPr>
          </w:pPr>
          <w:hyperlink w:anchor="_Toc527993536" w:history="1">
            <w:r w:rsidR="000023E7" w:rsidRPr="004525F7">
              <w:rPr>
                <w:rStyle w:val="Hyperlink"/>
              </w:rPr>
              <w:t>FONDO</w:t>
            </w:r>
            <w:r w:rsidR="000023E7" w:rsidRPr="004525F7">
              <w:rPr>
                <w:webHidden/>
              </w:rPr>
              <w:tab/>
            </w:r>
            <w:r w:rsidR="000023E7" w:rsidRPr="004525F7">
              <w:rPr>
                <w:webHidden/>
              </w:rPr>
              <w:fldChar w:fldCharType="begin"/>
            </w:r>
            <w:r w:rsidR="000023E7" w:rsidRPr="004525F7">
              <w:rPr>
                <w:webHidden/>
              </w:rPr>
              <w:instrText xml:space="preserve"> PAGEREF _Toc527993536 \h </w:instrText>
            </w:r>
            <w:r w:rsidR="000023E7" w:rsidRPr="004525F7">
              <w:rPr>
                <w:webHidden/>
              </w:rPr>
            </w:r>
            <w:r w:rsidR="000023E7" w:rsidRPr="004525F7">
              <w:rPr>
                <w:webHidden/>
              </w:rPr>
              <w:fldChar w:fldCharType="separate"/>
            </w:r>
            <w:r>
              <w:rPr>
                <w:webHidden/>
              </w:rPr>
              <w:t>41</w:t>
            </w:r>
            <w:r w:rsidR="000023E7" w:rsidRPr="004525F7">
              <w:rPr>
                <w:webHidden/>
              </w:rPr>
              <w:fldChar w:fldCharType="end"/>
            </w:r>
          </w:hyperlink>
        </w:p>
        <w:p w:rsidR="000023E7" w:rsidRPr="004525F7" w:rsidRDefault="00E63A3E">
          <w:pPr>
            <w:pStyle w:val="TOC1"/>
            <w:rPr>
              <w:rFonts w:asciiTheme="minorHAnsi" w:eastAsiaTheme="minorEastAsia" w:hAnsiTheme="minorHAnsi" w:cstheme="minorBidi"/>
              <w:sz w:val="22"/>
              <w:lang w:val="en-US" w:eastAsia="en-US"/>
            </w:rPr>
          </w:pPr>
          <w:hyperlink w:anchor="_Toc527993538" w:history="1">
            <w:r w:rsidR="000023E7" w:rsidRPr="004525F7">
              <w:rPr>
                <w:rStyle w:val="Hyperlink"/>
              </w:rPr>
              <w:t>DESAPARICIÓN FORZADA</w:t>
            </w:r>
            <w:r w:rsidR="000023E7" w:rsidRPr="004525F7">
              <w:rPr>
                <w:webHidden/>
              </w:rPr>
              <w:tab/>
            </w:r>
            <w:r w:rsidR="000023E7" w:rsidRPr="004525F7">
              <w:rPr>
                <w:webHidden/>
              </w:rPr>
              <w:fldChar w:fldCharType="begin"/>
            </w:r>
            <w:r w:rsidR="000023E7" w:rsidRPr="004525F7">
              <w:rPr>
                <w:webHidden/>
              </w:rPr>
              <w:instrText xml:space="preserve"> PAGEREF _Toc527993538 \h </w:instrText>
            </w:r>
            <w:r w:rsidR="000023E7" w:rsidRPr="004525F7">
              <w:rPr>
                <w:webHidden/>
              </w:rPr>
            </w:r>
            <w:r w:rsidR="000023E7" w:rsidRPr="004525F7">
              <w:rPr>
                <w:webHidden/>
              </w:rPr>
              <w:fldChar w:fldCharType="separate"/>
            </w:r>
            <w:r>
              <w:rPr>
                <w:webHidden/>
              </w:rPr>
              <w:t>43</w:t>
            </w:r>
            <w:r w:rsidR="000023E7" w:rsidRPr="004525F7">
              <w:rPr>
                <w:webHidden/>
              </w:rPr>
              <w:fldChar w:fldCharType="end"/>
            </w:r>
          </w:hyperlink>
        </w:p>
        <w:p w:rsidR="000023E7" w:rsidRPr="004525F7" w:rsidRDefault="00E63A3E">
          <w:pPr>
            <w:pStyle w:val="TOC2"/>
            <w:rPr>
              <w:rFonts w:asciiTheme="minorHAnsi" w:eastAsiaTheme="minorEastAsia" w:hAnsiTheme="minorHAnsi" w:cstheme="minorBidi"/>
              <w:noProof/>
              <w:sz w:val="22"/>
              <w:lang w:val="en-US"/>
            </w:rPr>
          </w:pPr>
          <w:hyperlink w:anchor="_Toc527993539" w:history="1">
            <w:r w:rsidR="000023E7" w:rsidRPr="004525F7">
              <w:rPr>
                <w:rStyle w:val="Hyperlink"/>
                <w:noProof/>
                <w:lang w:val="es-CR"/>
              </w:rPr>
              <w:t>A.</w:t>
            </w:r>
            <w:r w:rsidR="000023E7" w:rsidRPr="004525F7">
              <w:rPr>
                <w:rFonts w:asciiTheme="minorHAnsi" w:eastAsiaTheme="minorEastAsia" w:hAnsiTheme="minorHAnsi" w:cstheme="minorBidi"/>
                <w:noProof/>
                <w:sz w:val="22"/>
                <w:lang w:val="en-US"/>
              </w:rPr>
              <w:tab/>
            </w:r>
            <w:r w:rsidR="000023E7" w:rsidRPr="004525F7">
              <w:rPr>
                <w:rStyle w:val="Hyperlink"/>
                <w:noProof/>
                <w:lang w:val="es-CR"/>
              </w:rPr>
              <w:t>Argumentos de las partes y de la Comisión</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_Toc527993539 \h </w:instrText>
            </w:r>
            <w:r w:rsidR="000023E7" w:rsidRPr="004525F7">
              <w:rPr>
                <w:noProof/>
                <w:webHidden/>
              </w:rPr>
            </w:r>
            <w:r w:rsidR="000023E7" w:rsidRPr="004525F7">
              <w:rPr>
                <w:noProof/>
                <w:webHidden/>
              </w:rPr>
              <w:fldChar w:fldCharType="separate"/>
            </w:r>
            <w:r>
              <w:rPr>
                <w:noProof/>
                <w:webHidden/>
              </w:rPr>
              <w:t>43</w:t>
            </w:r>
            <w:r w:rsidR="000023E7" w:rsidRPr="004525F7">
              <w:rPr>
                <w:noProof/>
                <w:webHidden/>
              </w:rPr>
              <w:fldChar w:fldCharType="end"/>
            </w:r>
          </w:hyperlink>
        </w:p>
        <w:p w:rsidR="000023E7" w:rsidRPr="004525F7" w:rsidRDefault="00E63A3E">
          <w:pPr>
            <w:pStyle w:val="TOC2"/>
            <w:rPr>
              <w:rFonts w:asciiTheme="minorHAnsi" w:eastAsiaTheme="minorEastAsia" w:hAnsiTheme="minorHAnsi" w:cstheme="minorBidi"/>
              <w:noProof/>
              <w:sz w:val="22"/>
              <w:lang w:val="en-US"/>
            </w:rPr>
          </w:pPr>
          <w:hyperlink w:anchor="_Toc527993540" w:history="1">
            <w:r w:rsidR="000023E7" w:rsidRPr="004525F7">
              <w:rPr>
                <w:rStyle w:val="Hyperlink"/>
                <w:noProof/>
                <w:lang w:val="es-AR"/>
              </w:rPr>
              <w:t>B.</w:t>
            </w:r>
            <w:r w:rsidR="000023E7" w:rsidRPr="004525F7">
              <w:rPr>
                <w:rFonts w:asciiTheme="minorHAnsi" w:eastAsiaTheme="minorEastAsia" w:hAnsiTheme="minorHAnsi" w:cstheme="minorBidi"/>
                <w:noProof/>
                <w:sz w:val="22"/>
                <w:lang w:val="en-US"/>
              </w:rPr>
              <w:tab/>
            </w:r>
            <w:r w:rsidR="000023E7" w:rsidRPr="004525F7">
              <w:rPr>
                <w:rStyle w:val="Hyperlink"/>
                <w:noProof/>
                <w:lang w:val="es-CR"/>
              </w:rPr>
              <w:t>Consideraciones de la Corte</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_Toc527993540 \h </w:instrText>
            </w:r>
            <w:r w:rsidR="000023E7" w:rsidRPr="004525F7">
              <w:rPr>
                <w:noProof/>
                <w:webHidden/>
              </w:rPr>
            </w:r>
            <w:r w:rsidR="000023E7" w:rsidRPr="004525F7">
              <w:rPr>
                <w:noProof/>
                <w:webHidden/>
              </w:rPr>
              <w:fldChar w:fldCharType="separate"/>
            </w:r>
            <w:r>
              <w:rPr>
                <w:noProof/>
                <w:webHidden/>
              </w:rPr>
              <w:t>44</w:t>
            </w:r>
            <w:r w:rsidR="000023E7" w:rsidRPr="004525F7">
              <w:rPr>
                <w:noProof/>
                <w:webHidden/>
              </w:rPr>
              <w:fldChar w:fldCharType="end"/>
            </w:r>
          </w:hyperlink>
        </w:p>
        <w:p w:rsidR="000023E7" w:rsidRPr="004525F7" w:rsidRDefault="00E63A3E">
          <w:pPr>
            <w:pStyle w:val="TOC3"/>
            <w:tabs>
              <w:tab w:val="right" w:leader="dot" w:pos="9394"/>
            </w:tabs>
            <w:rPr>
              <w:rFonts w:asciiTheme="minorHAnsi" w:eastAsiaTheme="minorEastAsia" w:hAnsiTheme="minorHAnsi" w:cstheme="minorBidi"/>
              <w:noProof/>
              <w:sz w:val="22"/>
              <w:lang w:val="en-US"/>
            </w:rPr>
          </w:pPr>
          <w:hyperlink w:anchor="_Toc527993541" w:history="1">
            <w:r w:rsidR="000023E7" w:rsidRPr="004525F7">
              <w:rPr>
                <w:rStyle w:val="Hyperlink"/>
                <w:i/>
                <w:noProof/>
                <w:lang w:val="es-AR"/>
              </w:rPr>
              <w:t>B.1. Consideraciones generales sobre la Desaparición Forzada</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_Toc527993541 \h </w:instrText>
            </w:r>
            <w:r w:rsidR="000023E7" w:rsidRPr="004525F7">
              <w:rPr>
                <w:noProof/>
                <w:webHidden/>
              </w:rPr>
            </w:r>
            <w:r w:rsidR="000023E7" w:rsidRPr="004525F7">
              <w:rPr>
                <w:noProof/>
                <w:webHidden/>
              </w:rPr>
              <w:fldChar w:fldCharType="separate"/>
            </w:r>
            <w:r>
              <w:rPr>
                <w:noProof/>
                <w:webHidden/>
              </w:rPr>
              <w:t>44</w:t>
            </w:r>
            <w:r w:rsidR="000023E7" w:rsidRPr="004525F7">
              <w:rPr>
                <w:noProof/>
                <w:webHidden/>
              </w:rPr>
              <w:fldChar w:fldCharType="end"/>
            </w:r>
          </w:hyperlink>
        </w:p>
        <w:p w:rsidR="000023E7" w:rsidRPr="004525F7" w:rsidRDefault="00E63A3E">
          <w:pPr>
            <w:pStyle w:val="TOC3"/>
            <w:tabs>
              <w:tab w:val="right" w:leader="dot" w:pos="9394"/>
            </w:tabs>
            <w:rPr>
              <w:rFonts w:asciiTheme="minorHAnsi" w:eastAsiaTheme="minorEastAsia" w:hAnsiTheme="minorHAnsi" w:cstheme="minorBidi"/>
              <w:noProof/>
              <w:sz w:val="22"/>
              <w:lang w:val="en-US"/>
            </w:rPr>
          </w:pPr>
          <w:hyperlink w:anchor="_Toc527993542" w:history="1">
            <w:r w:rsidR="000023E7" w:rsidRPr="004525F7">
              <w:rPr>
                <w:rStyle w:val="Hyperlink"/>
                <w:i/>
                <w:noProof/>
              </w:rPr>
              <w:t>B.2.  Desaparición Forzada de Wilfredo Terrones Silva</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_Toc527993542 \h </w:instrText>
            </w:r>
            <w:r w:rsidR="000023E7" w:rsidRPr="004525F7">
              <w:rPr>
                <w:noProof/>
                <w:webHidden/>
              </w:rPr>
            </w:r>
            <w:r w:rsidR="000023E7" w:rsidRPr="004525F7">
              <w:rPr>
                <w:noProof/>
                <w:webHidden/>
              </w:rPr>
              <w:fldChar w:fldCharType="separate"/>
            </w:r>
            <w:r>
              <w:rPr>
                <w:noProof/>
                <w:webHidden/>
              </w:rPr>
              <w:t>46</w:t>
            </w:r>
            <w:r w:rsidR="000023E7" w:rsidRPr="004525F7">
              <w:rPr>
                <w:noProof/>
                <w:webHidden/>
              </w:rPr>
              <w:fldChar w:fldCharType="end"/>
            </w:r>
          </w:hyperlink>
        </w:p>
        <w:p w:rsidR="000023E7" w:rsidRPr="004525F7" w:rsidRDefault="00E63A3E">
          <w:pPr>
            <w:pStyle w:val="TOC3"/>
            <w:tabs>
              <w:tab w:val="right" w:leader="dot" w:pos="9394"/>
            </w:tabs>
            <w:rPr>
              <w:rFonts w:asciiTheme="minorHAnsi" w:eastAsiaTheme="minorEastAsia" w:hAnsiTheme="minorHAnsi" w:cstheme="minorBidi"/>
              <w:noProof/>
              <w:sz w:val="22"/>
              <w:lang w:val="en-US"/>
            </w:rPr>
          </w:pPr>
          <w:hyperlink w:anchor="_Toc527993543" w:history="1">
            <w:r w:rsidR="000023E7" w:rsidRPr="004525F7">
              <w:rPr>
                <w:rStyle w:val="Hyperlink"/>
                <w:i/>
                <w:noProof/>
              </w:rPr>
              <w:t>B.3. Desaparición Forzada de Teresa Díaz Aparicio</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_Toc527993543 \h </w:instrText>
            </w:r>
            <w:r w:rsidR="000023E7" w:rsidRPr="004525F7">
              <w:rPr>
                <w:noProof/>
                <w:webHidden/>
              </w:rPr>
            </w:r>
            <w:r w:rsidR="000023E7" w:rsidRPr="004525F7">
              <w:rPr>
                <w:noProof/>
                <w:webHidden/>
              </w:rPr>
              <w:fldChar w:fldCharType="separate"/>
            </w:r>
            <w:r>
              <w:rPr>
                <w:noProof/>
                <w:webHidden/>
              </w:rPr>
              <w:t>48</w:t>
            </w:r>
            <w:r w:rsidR="000023E7" w:rsidRPr="004525F7">
              <w:rPr>
                <w:noProof/>
                <w:webHidden/>
              </w:rPr>
              <w:fldChar w:fldCharType="end"/>
            </w:r>
          </w:hyperlink>
        </w:p>
        <w:p w:rsidR="000023E7" w:rsidRPr="004525F7" w:rsidRDefault="00E63A3E">
          <w:pPr>
            <w:pStyle w:val="TOC3"/>
            <w:tabs>
              <w:tab w:val="right" w:leader="dot" w:pos="9394"/>
            </w:tabs>
            <w:rPr>
              <w:rFonts w:asciiTheme="minorHAnsi" w:eastAsiaTheme="minorEastAsia" w:hAnsiTheme="minorHAnsi" w:cstheme="minorBidi"/>
              <w:noProof/>
              <w:sz w:val="22"/>
              <w:lang w:val="en-US"/>
            </w:rPr>
          </w:pPr>
          <w:hyperlink w:anchor="_Toc527993544" w:history="1">
            <w:r w:rsidR="000023E7" w:rsidRPr="004525F7">
              <w:rPr>
                <w:rStyle w:val="Hyperlink"/>
                <w:i/>
                <w:noProof/>
              </w:rPr>
              <w:t>B.4. Desaparición Forzada de Cory Clod</w:t>
            </w:r>
            <w:r w:rsidR="00603D8C">
              <w:rPr>
                <w:rStyle w:val="Hyperlink"/>
                <w:i/>
                <w:noProof/>
              </w:rPr>
              <w:t>o</w:t>
            </w:r>
            <w:r w:rsidR="000023E7" w:rsidRPr="004525F7">
              <w:rPr>
                <w:rStyle w:val="Hyperlink"/>
                <w:i/>
                <w:noProof/>
              </w:rPr>
              <w:t>lia Tenicela Tello</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_Toc527993544 \h </w:instrText>
            </w:r>
            <w:r w:rsidR="000023E7" w:rsidRPr="004525F7">
              <w:rPr>
                <w:noProof/>
                <w:webHidden/>
              </w:rPr>
            </w:r>
            <w:r w:rsidR="000023E7" w:rsidRPr="004525F7">
              <w:rPr>
                <w:noProof/>
                <w:webHidden/>
              </w:rPr>
              <w:fldChar w:fldCharType="separate"/>
            </w:r>
            <w:r>
              <w:rPr>
                <w:noProof/>
                <w:webHidden/>
              </w:rPr>
              <w:t>49</w:t>
            </w:r>
            <w:r w:rsidR="000023E7" w:rsidRPr="004525F7">
              <w:rPr>
                <w:noProof/>
                <w:webHidden/>
              </w:rPr>
              <w:fldChar w:fldCharType="end"/>
            </w:r>
          </w:hyperlink>
        </w:p>
        <w:p w:rsidR="000023E7" w:rsidRPr="004525F7" w:rsidRDefault="00E63A3E">
          <w:pPr>
            <w:pStyle w:val="TOC3"/>
            <w:tabs>
              <w:tab w:val="right" w:leader="dot" w:pos="9394"/>
            </w:tabs>
            <w:rPr>
              <w:rFonts w:asciiTheme="minorHAnsi" w:eastAsiaTheme="minorEastAsia" w:hAnsiTheme="minorHAnsi" w:cstheme="minorBidi"/>
              <w:noProof/>
              <w:sz w:val="22"/>
              <w:lang w:val="en-US"/>
            </w:rPr>
          </w:pPr>
          <w:hyperlink w:anchor="_Toc527993545" w:history="1">
            <w:r w:rsidR="000023E7" w:rsidRPr="004525F7">
              <w:rPr>
                <w:rStyle w:val="Hyperlink"/>
                <w:i/>
                <w:noProof/>
              </w:rPr>
              <w:t>B.5. Desaparición Forzada de Néstor Rojas Medina</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_Toc527993545 \h </w:instrText>
            </w:r>
            <w:r w:rsidR="000023E7" w:rsidRPr="004525F7">
              <w:rPr>
                <w:noProof/>
                <w:webHidden/>
              </w:rPr>
            </w:r>
            <w:r w:rsidR="000023E7" w:rsidRPr="004525F7">
              <w:rPr>
                <w:noProof/>
                <w:webHidden/>
              </w:rPr>
              <w:fldChar w:fldCharType="separate"/>
            </w:r>
            <w:r>
              <w:rPr>
                <w:noProof/>
                <w:webHidden/>
              </w:rPr>
              <w:t>50</w:t>
            </w:r>
            <w:r w:rsidR="000023E7" w:rsidRPr="004525F7">
              <w:rPr>
                <w:noProof/>
                <w:webHidden/>
              </w:rPr>
              <w:fldChar w:fldCharType="end"/>
            </w:r>
          </w:hyperlink>
        </w:p>
        <w:p w:rsidR="000023E7" w:rsidRPr="004525F7" w:rsidRDefault="00E63A3E">
          <w:pPr>
            <w:pStyle w:val="TOC3"/>
            <w:tabs>
              <w:tab w:val="left" w:pos="1100"/>
              <w:tab w:val="right" w:leader="dot" w:pos="9394"/>
            </w:tabs>
            <w:rPr>
              <w:rFonts w:asciiTheme="minorHAnsi" w:eastAsiaTheme="minorEastAsia" w:hAnsiTheme="minorHAnsi" w:cstheme="minorBidi"/>
              <w:noProof/>
              <w:sz w:val="22"/>
              <w:lang w:val="en-US"/>
            </w:rPr>
          </w:pPr>
          <w:hyperlink w:anchor="_Toc527993546" w:history="1">
            <w:r w:rsidR="000023E7" w:rsidRPr="004525F7">
              <w:rPr>
                <w:rStyle w:val="Hyperlink"/>
                <w:i/>
                <w:noProof/>
              </w:rPr>
              <w:t>B.6.</w:t>
            </w:r>
            <w:r w:rsidR="000023E7" w:rsidRPr="004525F7">
              <w:rPr>
                <w:rFonts w:asciiTheme="minorHAnsi" w:eastAsiaTheme="minorEastAsia" w:hAnsiTheme="minorHAnsi" w:cstheme="minorBidi"/>
                <w:noProof/>
                <w:sz w:val="22"/>
                <w:lang w:val="en-US"/>
              </w:rPr>
              <w:tab/>
            </w:r>
            <w:r w:rsidR="000023E7" w:rsidRPr="004525F7">
              <w:rPr>
                <w:rStyle w:val="Hyperlink"/>
                <w:i/>
                <w:noProof/>
              </w:rPr>
              <w:t>Desaparición Forzada de Santiago Antezana Cueto</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_Toc527993546 \h </w:instrText>
            </w:r>
            <w:r w:rsidR="000023E7" w:rsidRPr="004525F7">
              <w:rPr>
                <w:noProof/>
                <w:webHidden/>
              </w:rPr>
            </w:r>
            <w:r w:rsidR="000023E7" w:rsidRPr="004525F7">
              <w:rPr>
                <w:noProof/>
                <w:webHidden/>
              </w:rPr>
              <w:fldChar w:fldCharType="separate"/>
            </w:r>
            <w:r>
              <w:rPr>
                <w:noProof/>
                <w:webHidden/>
              </w:rPr>
              <w:t>52</w:t>
            </w:r>
            <w:r w:rsidR="000023E7" w:rsidRPr="004525F7">
              <w:rPr>
                <w:noProof/>
                <w:webHidden/>
              </w:rPr>
              <w:fldChar w:fldCharType="end"/>
            </w:r>
          </w:hyperlink>
        </w:p>
        <w:p w:rsidR="000023E7" w:rsidRPr="004525F7" w:rsidRDefault="00E63A3E">
          <w:pPr>
            <w:pStyle w:val="TOC3"/>
            <w:tabs>
              <w:tab w:val="right" w:leader="dot" w:pos="9394"/>
            </w:tabs>
            <w:rPr>
              <w:rFonts w:asciiTheme="minorHAnsi" w:eastAsiaTheme="minorEastAsia" w:hAnsiTheme="minorHAnsi" w:cstheme="minorBidi"/>
              <w:noProof/>
              <w:sz w:val="22"/>
              <w:lang w:val="en-US"/>
            </w:rPr>
          </w:pPr>
          <w:hyperlink w:anchor="_Toc527993547" w:history="1">
            <w:r w:rsidR="000023E7" w:rsidRPr="004525F7">
              <w:rPr>
                <w:rStyle w:val="Hyperlink"/>
                <w:i/>
                <w:noProof/>
              </w:rPr>
              <w:t>B.7. Conclusión</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_Toc527993547 \h </w:instrText>
            </w:r>
            <w:r w:rsidR="000023E7" w:rsidRPr="004525F7">
              <w:rPr>
                <w:noProof/>
                <w:webHidden/>
              </w:rPr>
            </w:r>
            <w:r w:rsidR="000023E7" w:rsidRPr="004525F7">
              <w:rPr>
                <w:noProof/>
                <w:webHidden/>
              </w:rPr>
              <w:fldChar w:fldCharType="separate"/>
            </w:r>
            <w:r>
              <w:rPr>
                <w:noProof/>
                <w:webHidden/>
              </w:rPr>
              <w:t>54</w:t>
            </w:r>
            <w:r w:rsidR="000023E7" w:rsidRPr="004525F7">
              <w:rPr>
                <w:noProof/>
                <w:webHidden/>
              </w:rPr>
              <w:fldChar w:fldCharType="end"/>
            </w:r>
          </w:hyperlink>
        </w:p>
        <w:p w:rsidR="000023E7" w:rsidRPr="004525F7" w:rsidRDefault="00E63A3E" w:rsidP="004525F7">
          <w:pPr>
            <w:pStyle w:val="TOC1"/>
            <w:jc w:val="both"/>
            <w:rPr>
              <w:rFonts w:asciiTheme="minorHAnsi" w:eastAsiaTheme="minorEastAsia" w:hAnsiTheme="minorHAnsi" w:cstheme="minorBidi"/>
              <w:sz w:val="22"/>
              <w:lang w:val="en-US" w:eastAsia="en-US"/>
            </w:rPr>
          </w:pPr>
          <w:hyperlink w:anchor="_Toc527993549" w:history="1">
            <w:r w:rsidR="000023E7" w:rsidRPr="004525F7">
              <w:rPr>
                <w:rStyle w:val="Hyperlink"/>
              </w:rPr>
              <w:t>DERECHO A LAS GARANTÍAS JUDICIALES Y PROTECCIÓN JUDICIAL</w:t>
            </w:r>
            <w:r w:rsidR="000023E7" w:rsidRPr="004525F7">
              <w:rPr>
                <w:rStyle w:val="Hyperlink"/>
                <w:vertAlign w:val="superscript"/>
              </w:rPr>
              <w:t xml:space="preserve"> </w:t>
            </w:r>
            <w:r w:rsidR="000023E7" w:rsidRPr="004525F7">
              <w:rPr>
                <w:rStyle w:val="Hyperlink"/>
              </w:rPr>
              <w:t>RESPECTO DE LAS VÍCTIMAS DE DESAPARICIÓN FORZADA Y SUS FAMILIARES Y LAS OBLIGACIONES DERIVADAS DEL ARTICULO I.B DE LA CONVENCIÓN INTERAMERICANA SOBRE DESAPARICIÓN FORZADA DE PERSONAS</w:t>
            </w:r>
            <w:r w:rsidR="0077509E">
              <w:rPr>
                <w:rStyle w:val="Hyperlink"/>
              </w:rPr>
              <w:t xml:space="preserve"> </w:t>
            </w:r>
            <w:r w:rsidR="0077509E" w:rsidRPr="0077509E">
              <w:rPr>
                <w:rStyle w:val="Hyperlink"/>
              </w:rPr>
              <w:t>Y RESPECTO DE LA VÍCTIMA DE TORTURA Y LAS OBLIGACIONES DERIVADAS DE LOS ARTÍCULOS 1, 6 Y 8 DE LA CONVENCIÓN INTERAMERICANA PARA PREVENIR Y SANCIONAR LA TORTURA</w:t>
            </w:r>
            <w:r w:rsidR="000023E7" w:rsidRPr="004525F7">
              <w:rPr>
                <w:webHidden/>
              </w:rPr>
              <w:tab/>
            </w:r>
            <w:r w:rsidR="000023E7" w:rsidRPr="004525F7">
              <w:rPr>
                <w:webHidden/>
              </w:rPr>
              <w:fldChar w:fldCharType="begin"/>
            </w:r>
            <w:r w:rsidR="000023E7" w:rsidRPr="004525F7">
              <w:rPr>
                <w:webHidden/>
              </w:rPr>
              <w:instrText xml:space="preserve"> PAGEREF _Toc527993549 \h </w:instrText>
            </w:r>
            <w:r w:rsidR="000023E7" w:rsidRPr="004525F7">
              <w:rPr>
                <w:webHidden/>
              </w:rPr>
            </w:r>
            <w:r w:rsidR="000023E7" w:rsidRPr="004525F7">
              <w:rPr>
                <w:webHidden/>
              </w:rPr>
              <w:fldChar w:fldCharType="separate"/>
            </w:r>
            <w:r>
              <w:rPr>
                <w:webHidden/>
              </w:rPr>
              <w:t>55</w:t>
            </w:r>
            <w:r w:rsidR="000023E7" w:rsidRPr="004525F7">
              <w:rPr>
                <w:webHidden/>
              </w:rPr>
              <w:fldChar w:fldCharType="end"/>
            </w:r>
          </w:hyperlink>
        </w:p>
        <w:p w:rsidR="000023E7" w:rsidRPr="004525F7" w:rsidRDefault="00E63A3E">
          <w:pPr>
            <w:pStyle w:val="TOC2"/>
            <w:rPr>
              <w:rFonts w:asciiTheme="minorHAnsi" w:eastAsiaTheme="minorEastAsia" w:hAnsiTheme="minorHAnsi" w:cstheme="minorBidi"/>
              <w:noProof/>
              <w:sz w:val="22"/>
              <w:lang w:val="en-US"/>
            </w:rPr>
          </w:pPr>
          <w:hyperlink w:anchor="_Toc527993550" w:history="1">
            <w:r w:rsidR="000023E7" w:rsidRPr="004525F7">
              <w:rPr>
                <w:rStyle w:val="Hyperlink"/>
                <w:noProof/>
                <w:lang w:val="es-CR"/>
              </w:rPr>
              <w:t>A.</w:t>
            </w:r>
            <w:r w:rsidR="000023E7" w:rsidRPr="004525F7">
              <w:rPr>
                <w:rFonts w:asciiTheme="minorHAnsi" w:eastAsiaTheme="minorEastAsia" w:hAnsiTheme="minorHAnsi" w:cstheme="minorBidi"/>
                <w:noProof/>
                <w:sz w:val="22"/>
                <w:lang w:val="en-US"/>
              </w:rPr>
              <w:tab/>
            </w:r>
            <w:r w:rsidR="000023E7" w:rsidRPr="004525F7">
              <w:rPr>
                <w:rStyle w:val="Hyperlink"/>
                <w:noProof/>
                <w:lang w:val="es-CR"/>
              </w:rPr>
              <w:t>Argumentos de las partes y de la Comisión</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_Toc527993550 \h </w:instrText>
            </w:r>
            <w:r w:rsidR="000023E7" w:rsidRPr="004525F7">
              <w:rPr>
                <w:noProof/>
                <w:webHidden/>
              </w:rPr>
            </w:r>
            <w:r w:rsidR="000023E7" w:rsidRPr="004525F7">
              <w:rPr>
                <w:noProof/>
                <w:webHidden/>
              </w:rPr>
              <w:fldChar w:fldCharType="separate"/>
            </w:r>
            <w:r>
              <w:rPr>
                <w:noProof/>
                <w:webHidden/>
              </w:rPr>
              <w:t>55</w:t>
            </w:r>
            <w:r w:rsidR="000023E7" w:rsidRPr="004525F7">
              <w:rPr>
                <w:noProof/>
                <w:webHidden/>
              </w:rPr>
              <w:fldChar w:fldCharType="end"/>
            </w:r>
          </w:hyperlink>
        </w:p>
        <w:p w:rsidR="000023E7" w:rsidRPr="004525F7" w:rsidRDefault="00E63A3E">
          <w:pPr>
            <w:pStyle w:val="TOC2"/>
            <w:rPr>
              <w:rFonts w:asciiTheme="minorHAnsi" w:eastAsiaTheme="minorEastAsia" w:hAnsiTheme="minorHAnsi" w:cstheme="minorBidi"/>
              <w:noProof/>
              <w:sz w:val="22"/>
              <w:lang w:val="en-US"/>
            </w:rPr>
          </w:pPr>
          <w:hyperlink w:anchor="_Toc527993551" w:history="1">
            <w:r w:rsidR="000023E7" w:rsidRPr="004525F7">
              <w:rPr>
                <w:rStyle w:val="Hyperlink"/>
                <w:noProof/>
                <w:lang w:val="es-CR"/>
              </w:rPr>
              <w:t>B.</w:t>
            </w:r>
            <w:r w:rsidR="000023E7" w:rsidRPr="004525F7">
              <w:rPr>
                <w:rFonts w:asciiTheme="minorHAnsi" w:eastAsiaTheme="minorEastAsia" w:hAnsiTheme="minorHAnsi" w:cstheme="minorBidi"/>
                <w:noProof/>
                <w:sz w:val="22"/>
                <w:lang w:val="en-US"/>
              </w:rPr>
              <w:tab/>
            </w:r>
            <w:r w:rsidR="000023E7" w:rsidRPr="004525F7">
              <w:rPr>
                <w:rStyle w:val="Hyperlink"/>
                <w:noProof/>
                <w:lang w:val="es-CR"/>
              </w:rPr>
              <w:t>Consideraciones de la Corte</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_Toc527993551 \h </w:instrText>
            </w:r>
            <w:r w:rsidR="000023E7" w:rsidRPr="004525F7">
              <w:rPr>
                <w:noProof/>
                <w:webHidden/>
              </w:rPr>
            </w:r>
            <w:r w:rsidR="000023E7" w:rsidRPr="004525F7">
              <w:rPr>
                <w:noProof/>
                <w:webHidden/>
              </w:rPr>
              <w:fldChar w:fldCharType="separate"/>
            </w:r>
            <w:r>
              <w:rPr>
                <w:noProof/>
                <w:webHidden/>
              </w:rPr>
              <w:t>58</w:t>
            </w:r>
            <w:r w:rsidR="000023E7" w:rsidRPr="004525F7">
              <w:rPr>
                <w:noProof/>
                <w:webHidden/>
              </w:rPr>
              <w:fldChar w:fldCharType="end"/>
            </w:r>
          </w:hyperlink>
        </w:p>
        <w:p w:rsidR="000023E7" w:rsidRPr="004525F7" w:rsidRDefault="00E63A3E">
          <w:pPr>
            <w:pStyle w:val="TOC3"/>
            <w:tabs>
              <w:tab w:val="right" w:leader="dot" w:pos="9394"/>
            </w:tabs>
            <w:rPr>
              <w:rFonts w:asciiTheme="minorHAnsi" w:eastAsiaTheme="minorEastAsia" w:hAnsiTheme="minorHAnsi" w:cstheme="minorBidi"/>
              <w:noProof/>
              <w:sz w:val="22"/>
              <w:lang w:val="en-US"/>
            </w:rPr>
          </w:pPr>
          <w:hyperlink w:anchor="_Toc527993552" w:history="1">
            <w:r w:rsidR="000023E7" w:rsidRPr="004525F7">
              <w:rPr>
                <w:rStyle w:val="Hyperlink"/>
                <w:i/>
                <w:noProof/>
              </w:rPr>
              <w:t>B.1. Garantía del plazo razonable en las investigaciones</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_Toc527993552 \h </w:instrText>
            </w:r>
            <w:r w:rsidR="000023E7" w:rsidRPr="004525F7">
              <w:rPr>
                <w:noProof/>
                <w:webHidden/>
              </w:rPr>
            </w:r>
            <w:r w:rsidR="000023E7" w:rsidRPr="004525F7">
              <w:rPr>
                <w:noProof/>
                <w:webHidden/>
              </w:rPr>
              <w:fldChar w:fldCharType="separate"/>
            </w:r>
            <w:r>
              <w:rPr>
                <w:noProof/>
                <w:webHidden/>
              </w:rPr>
              <w:t>59</w:t>
            </w:r>
            <w:r w:rsidR="000023E7" w:rsidRPr="004525F7">
              <w:rPr>
                <w:noProof/>
                <w:webHidden/>
              </w:rPr>
              <w:fldChar w:fldCharType="end"/>
            </w:r>
          </w:hyperlink>
        </w:p>
        <w:p w:rsidR="000023E7" w:rsidRPr="004525F7" w:rsidRDefault="00E63A3E">
          <w:pPr>
            <w:pStyle w:val="TOC3"/>
            <w:tabs>
              <w:tab w:val="right" w:leader="dot" w:pos="9394"/>
            </w:tabs>
            <w:rPr>
              <w:rFonts w:asciiTheme="minorHAnsi" w:eastAsiaTheme="minorEastAsia" w:hAnsiTheme="minorHAnsi" w:cstheme="minorBidi"/>
              <w:noProof/>
              <w:sz w:val="22"/>
              <w:lang w:val="en-US"/>
            </w:rPr>
          </w:pPr>
          <w:hyperlink w:anchor="_Toc527993553" w:history="1">
            <w:r w:rsidR="000023E7" w:rsidRPr="004525F7">
              <w:rPr>
                <w:rStyle w:val="Hyperlink"/>
                <w:i/>
                <w:noProof/>
              </w:rPr>
              <w:t>B.2. Violación al deber del Estado de iniciar investigaciones ex officio y de seguir las investigaciones con la debida diligencia</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_Toc527993553 \h </w:instrText>
            </w:r>
            <w:r w:rsidR="000023E7" w:rsidRPr="004525F7">
              <w:rPr>
                <w:noProof/>
                <w:webHidden/>
              </w:rPr>
            </w:r>
            <w:r w:rsidR="000023E7" w:rsidRPr="004525F7">
              <w:rPr>
                <w:noProof/>
                <w:webHidden/>
              </w:rPr>
              <w:fldChar w:fldCharType="separate"/>
            </w:r>
            <w:r>
              <w:rPr>
                <w:noProof/>
                <w:webHidden/>
              </w:rPr>
              <w:t>61</w:t>
            </w:r>
            <w:r w:rsidR="000023E7" w:rsidRPr="004525F7">
              <w:rPr>
                <w:noProof/>
                <w:webHidden/>
              </w:rPr>
              <w:fldChar w:fldCharType="end"/>
            </w:r>
          </w:hyperlink>
        </w:p>
        <w:p w:rsidR="000023E7" w:rsidRPr="004525F7" w:rsidRDefault="00E63A3E">
          <w:pPr>
            <w:pStyle w:val="TOC3"/>
            <w:tabs>
              <w:tab w:val="right" w:leader="dot" w:pos="9394"/>
            </w:tabs>
            <w:rPr>
              <w:rFonts w:asciiTheme="minorHAnsi" w:eastAsiaTheme="minorEastAsia" w:hAnsiTheme="minorHAnsi" w:cstheme="minorBidi"/>
              <w:noProof/>
              <w:sz w:val="22"/>
              <w:lang w:val="en-US"/>
            </w:rPr>
          </w:pPr>
          <w:hyperlink w:anchor="_Toc527993554" w:history="1">
            <w:r w:rsidR="000023E7" w:rsidRPr="004525F7">
              <w:rPr>
                <w:rStyle w:val="Hyperlink"/>
                <w:i/>
                <w:noProof/>
              </w:rPr>
              <w:t>B.3. Falta de diligencia con relación a la búsqueda del paradero de las cinco presuntas víctimas</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_Toc527993554 \h </w:instrText>
            </w:r>
            <w:r w:rsidR="000023E7" w:rsidRPr="004525F7">
              <w:rPr>
                <w:noProof/>
                <w:webHidden/>
              </w:rPr>
            </w:r>
            <w:r w:rsidR="000023E7" w:rsidRPr="004525F7">
              <w:rPr>
                <w:noProof/>
                <w:webHidden/>
              </w:rPr>
              <w:fldChar w:fldCharType="separate"/>
            </w:r>
            <w:r>
              <w:rPr>
                <w:noProof/>
                <w:webHidden/>
              </w:rPr>
              <w:t>64</w:t>
            </w:r>
            <w:r w:rsidR="000023E7" w:rsidRPr="004525F7">
              <w:rPr>
                <w:noProof/>
                <w:webHidden/>
              </w:rPr>
              <w:fldChar w:fldCharType="end"/>
            </w:r>
          </w:hyperlink>
        </w:p>
        <w:p w:rsidR="000023E7" w:rsidRPr="004525F7" w:rsidRDefault="00E63A3E">
          <w:pPr>
            <w:pStyle w:val="TOC3"/>
            <w:tabs>
              <w:tab w:val="right" w:leader="dot" w:pos="9394"/>
            </w:tabs>
            <w:rPr>
              <w:rFonts w:asciiTheme="minorHAnsi" w:eastAsiaTheme="minorEastAsia" w:hAnsiTheme="minorHAnsi" w:cstheme="minorBidi"/>
              <w:noProof/>
              <w:sz w:val="22"/>
              <w:lang w:val="en-US"/>
            </w:rPr>
          </w:pPr>
          <w:hyperlink w:anchor="_Toc527993555" w:history="1">
            <w:r w:rsidR="000023E7" w:rsidRPr="004525F7">
              <w:rPr>
                <w:rStyle w:val="Hyperlink"/>
                <w:i/>
                <w:noProof/>
              </w:rPr>
              <w:t>B.4. Falta de investigación de los hechos de tortura en perjuicio de Santiago Antezana Cueto</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_Toc527993555 \h </w:instrText>
            </w:r>
            <w:r w:rsidR="000023E7" w:rsidRPr="004525F7">
              <w:rPr>
                <w:noProof/>
                <w:webHidden/>
              </w:rPr>
            </w:r>
            <w:r w:rsidR="000023E7" w:rsidRPr="004525F7">
              <w:rPr>
                <w:noProof/>
                <w:webHidden/>
              </w:rPr>
              <w:fldChar w:fldCharType="separate"/>
            </w:r>
            <w:r>
              <w:rPr>
                <w:noProof/>
                <w:webHidden/>
              </w:rPr>
              <w:t>65</w:t>
            </w:r>
            <w:r w:rsidR="000023E7" w:rsidRPr="004525F7">
              <w:rPr>
                <w:noProof/>
                <w:webHidden/>
              </w:rPr>
              <w:fldChar w:fldCharType="end"/>
            </w:r>
          </w:hyperlink>
        </w:p>
        <w:p w:rsidR="000023E7" w:rsidRPr="004525F7" w:rsidRDefault="00E63A3E">
          <w:pPr>
            <w:pStyle w:val="TOC3"/>
            <w:tabs>
              <w:tab w:val="right" w:leader="dot" w:pos="9394"/>
            </w:tabs>
            <w:rPr>
              <w:rFonts w:asciiTheme="minorHAnsi" w:eastAsiaTheme="minorEastAsia" w:hAnsiTheme="minorHAnsi" w:cstheme="minorBidi"/>
              <w:noProof/>
              <w:sz w:val="22"/>
              <w:lang w:val="en-US"/>
            </w:rPr>
          </w:pPr>
          <w:hyperlink w:anchor="_Toc527993556" w:history="1">
            <w:r w:rsidR="000023E7" w:rsidRPr="004525F7">
              <w:rPr>
                <w:rStyle w:val="Hyperlink"/>
                <w:i/>
                <w:noProof/>
              </w:rPr>
              <w:t>B.5. Falta de ejecución de la sentencia condenatoria dictada en contra de uno de los responsables de la desaparición forzada de Santiago Antezana Cueto</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_Toc527993556 \h </w:instrText>
            </w:r>
            <w:r w:rsidR="000023E7" w:rsidRPr="004525F7">
              <w:rPr>
                <w:noProof/>
                <w:webHidden/>
              </w:rPr>
            </w:r>
            <w:r w:rsidR="000023E7" w:rsidRPr="004525F7">
              <w:rPr>
                <w:noProof/>
                <w:webHidden/>
              </w:rPr>
              <w:fldChar w:fldCharType="separate"/>
            </w:r>
            <w:r>
              <w:rPr>
                <w:noProof/>
                <w:webHidden/>
              </w:rPr>
              <w:t>65</w:t>
            </w:r>
            <w:r w:rsidR="000023E7" w:rsidRPr="004525F7">
              <w:rPr>
                <w:noProof/>
                <w:webHidden/>
              </w:rPr>
              <w:fldChar w:fldCharType="end"/>
            </w:r>
          </w:hyperlink>
        </w:p>
        <w:p w:rsidR="000023E7" w:rsidRPr="004525F7" w:rsidRDefault="00E63A3E">
          <w:pPr>
            <w:pStyle w:val="TOC3"/>
            <w:tabs>
              <w:tab w:val="right" w:leader="dot" w:pos="9394"/>
            </w:tabs>
            <w:rPr>
              <w:rFonts w:asciiTheme="minorHAnsi" w:eastAsiaTheme="minorEastAsia" w:hAnsiTheme="minorHAnsi" w:cstheme="minorBidi"/>
              <w:noProof/>
              <w:sz w:val="22"/>
              <w:lang w:val="en-US"/>
            </w:rPr>
          </w:pPr>
          <w:hyperlink w:anchor="_Toc527993557" w:history="1">
            <w:r w:rsidR="000023E7" w:rsidRPr="004525F7">
              <w:rPr>
                <w:rStyle w:val="Hyperlink"/>
                <w:i/>
                <w:noProof/>
              </w:rPr>
              <w:t>B.6. Violación al derecho a conocer la verdad</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_Toc527993557 \h </w:instrText>
            </w:r>
            <w:r w:rsidR="000023E7" w:rsidRPr="004525F7">
              <w:rPr>
                <w:noProof/>
                <w:webHidden/>
              </w:rPr>
            </w:r>
            <w:r w:rsidR="000023E7" w:rsidRPr="004525F7">
              <w:rPr>
                <w:noProof/>
                <w:webHidden/>
              </w:rPr>
              <w:fldChar w:fldCharType="separate"/>
            </w:r>
            <w:r>
              <w:rPr>
                <w:noProof/>
                <w:webHidden/>
              </w:rPr>
              <w:t>66</w:t>
            </w:r>
            <w:r w:rsidR="000023E7" w:rsidRPr="004525F7">
              <w:rPr>
                <w:noProof/>
                <w:webHidden/>
              </w:rPr>
              <w:fldChar w:fldCharType="end"/>
            </w:r>
          </w:hyperlink>
        </w:p>
        <w:p w:rsidR="000023E7" w:rsidRPr="004525F7" w:rsidRDefault="00E63A3E">
          <w:pPr>
            <w:pStyle w:val="TOC3"/>
            <w:tabs>
              <w:tab w:val="right" w:leader="dot" w:pos="9394"/>
            </w:tabs>
            <w:rPr>
              <w:rFonts w:asciiTheme="minorHAnsi" w:eastAsiaTheme="minorEastAsia" w:hAnsiTheme="minorHAnsi" w:cstheme="minorBidi"/>
              <w:noProof/>
              <w:sz w:val="22"/>
              <w:lang w:val="en-US"/>
            </w:rPr>
          </w:pPr>
          <w:hyperlink w:anchor="_Toc527993558" w:history="1">
            <w:r w:rsidR="000023E7" w:rsidRPr="004525F7">
              <w:rPr>
                <w:rStyle w:val="Hyperlink"/>
                <w:i/>
                <w:noProof/>
              </w:rPr>
              <w:t>B.7. Otros alegatos relacionados con diversos obstáculos relacionados con la investigación</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_Toc527993558 \h </w:instrText>
            </w:r>
            <w:r w:rsidR="000023E7" w:rsidRPr="004525F7">
              <w:rPr>
                <w:noProof/>
                <w:webHidden/>
              </w:rPr>
            </w:r>
            <w:r w:rsidR="000023E7" w:rsidRPr="004525F7">
              <w:rPr>
                <w:noProof/>
                <w:webHidden/>
              </w:rPr>
              <w:fldChar w:fldCharType="separate"/>
            </w:r>
            <w:r>
              <w:rPr>
                <w:noProof/>
                <w:webHidden/>
              </w:rPr>
              <w:t>67</w:t>
            </w:r>
            <w:r w:rsidR="000023E7" w:rsidRPr="004525F7">
              <w:rPr>
                <w:noProof/>
                <w:webHidden/>
              </w:rPr>
              <w:fldChar w:fldCharType="end"/>
            </w:r>
          </w:hyperlink>
        </w:p>
        <w:p w:rsidR="000023E7" w:rsidRPr="004525F7" w:rsidRDefault="00E63A3E">
          <w:pPr>
            <w:pStyle w:val="TOC3"/>
            <w:tabs>
              <w:tab w:val="right" w:leader="dot" w:pos="9394"/>
            </w:tabs>
            <w:rPr>
              <w:rFonts w:asciiTheme="minorHAnsi" w:eastAsiaTheme="minorEastAsia" w:hAnsiTheme="minorHAnsi" w:cstheme="minorBidi"/>
              <w:noProof/>
              <w:sz w:val="22"/>
              <w:lang w:val="en-US"/>
            </w:rPr>
          </w:pPr>
          <w:hyperlink w:anchor="_Toc527993559" w:history="1">
            <w:r w:rsidR="000023E7" w:rsidRPr="004525F7">
              <w:rPr>
                <w:rStyle w:val="Hyperlink"/>
                <w:i/>
                <w:noProof/>
              </w:rPr>
              <w:t>B.8. Conclusión</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_Toc527993559 \h </w:instrText>
            </w:r>
            <w:r w:rsidR="000023E7" w:rsidRPr="004525F7">
              <w:rPr>
                <w:noProof/>
                <w:webHidden/>
              </w:rPr>
            </w:r>
            <w:r w:rsidR="000023E7" w:rsidRPr="004525F7">
              <w:rPr>
                <w:noProof/>
                <w:webHidden/>
              </w:rPr>
              <w:fldChar w:fldCharType="separate"/>
            </w:r>
            <w:r>
              <w:rPr>
                <w:noProof/>
                <w:webHidden/>
              </w:rPr>
              <w:t>68</w:t>
            </w:r>
            <w:r w:rsidR="000023E7" w:rsidRPr="004525F7">
              <w:rPr>
                <w:noProof/>
                <w:webHidden/>
              </w:rPr>
              <w:fldChar w:fldCharType="end"/>
            </w:r>
          </w:hyperlink>
        </w:p>
        <w:p w:rsidR="000023E7" w:rsidRPr="004525F7" w:rsidRDefault="00E63A3E" w:rsidP="004525F7">
          <w:pPr>
            <w:pStyle w:val="TOC1"/>
            <w:jc w:val="both"/>
            <w:rPr>
              <w:rFonts w:asciiTheme="minorHAnsi" w:eastAsiaTheme="minorEastAsia" w:hAnsiTheme="minorHAnsi" w:cstheme="minorBidi"/>
              <w:sz w:val="22"/>
              <w:lang w:val="en-US" w:eastAsia="en-US"/>
            </w:rPr>
          </w:pPr>
          <w:hyperlink w:anchor="_Toc527993561" w:history="1">
            <w:r w:rsidR="000023E7" w:rsidRPr="004525F7">
              <w:rPr>
                <w:rStyle w:val="Hyperlink"/>
              </w:rPr>
              <w:t>DERECHO A LA INTEGRIDAD PERSONAL</w:t>
            </w:r>
          </w:hyperlink>
          <w:r w:rsidR="004525F7" w:rsidRPr="004525F7">
            <w:rPr>
              <w:rFonts w:asciiTheme="minorHAnsi" w:eastAsiaTheme="minorEastAsia" w:hAnsiTheme="minorHAnsi" w:cstheme="minorBidi"/>
              <w:sz w:val="22"/>
              <w:lang w:val="en-US" w:eastAsia="en-US"/>
            </w:rPr>
            <w:t xml:space="preserve"> </w:t>
          </w:r>
          <w:hyperlink w:anchor="_Toc527993562" w:history="1">
            <w:r w:rsidR="000023E7" w:rsidRPr="004525F7">
              <w:rPr>
                <w:rStyle w:val="Hyperlink"/>
              </w:rPr>
              <w:t>(Artículo 5.1, con relación al 1.1 de la Convención Americana),</w:t>
            </w:r>
          </w:hyperlink>
          <w:r w:rsidR="004525F7" w:rsidRPr="004525F7">
            <w:rPr>
              <w:rStyle w:val="Hyperlink"/>
              <w:u w:val="none"/>
            </w:rPr>
            <w:t xml:space="preserve"> </w:t>
          </w:r>
          <w:hyperlink w:anchor="_Toc527993563" w:history="1">
            <w:r w:rsidR="004525F7" w:rsidRPr="004525F7">
              <w:rPr>
                <w:rStyle w:val="Hyperlink"/>
              </w:rPr>
              <w:t>e</w:t>
            </w:r>
            <w:r w:rsidR="000023E7" w:rsidRPr="004525F7">
              <w:rPr>
                <w:rStyle w:val="Hyperlink"/>
              </w:rPr>
              <w:t>n perjuicio de los familiares de las personas desaparecidas</w:t>
            </w:r>
            <w:r w:rsidR="000023E7" w:rsidRPr="004525F7">
              <w:rPr>
                <w:webHidden/>
              </w:rPr>
              <w:tab/>
            </w:r>
            <w:r w:rsidR="000023E7" w:rsidRPr="004525F7">
              <w:rPr>
                <w:webHidden/>
              </w:rPr>
              <w:fldChar w:fldCharType="begin"/>
            </w:r>
            <w:r w:rsidR="000023E7" w:rsidRPr="004525F7">
              <w:rPr>
                <w:webHidden/>
              </w:rPr>
              <w:instrText xml:space="preserve"> PAGEREF _Toc527993563 \h </w:instrText>
            </w:r>
            <w:r w:rsidR="000023E7" w:rsidRPr="004525F7">
              <w:rPr>
                <w:webHidden/>
              </w:rPr>
            </w:r>
            <w:r w:rsidR="000023E7" w:rsidRPr="004525F7">
              <w:rPr>
                <w:webHidden/>
              </w:rPr>
              <w:fldChar w:fldCharType="separate"/>
            </w:r>
            <w:r>
              <w:rPr>
                <w:webHidden/>
              </w:rPr>
              <w:t>69</w:t>
            </w:r>
            <w:r w:rsidR="000023E7" w:rsidRPr="004525F7">
              <w:rPr>
                <w:webHidden/>
              </w:rPr>
              <w:fldChar w:fldCharType="end"/>
            </w:r>
          </w:hyperlink>
        </w:p>
        <w:p w:rsidR="000023E7" w:rsidRPr="004525F7" w:rsidRDefault="00E63A3E">
          <w:pPr>
            <w:pStyle w:val="TOC2"/>
            <w:rPr>
              <w:rFonts w:asciiTheme="minorHAnsi" w:eastAsiaTheme="minorEastAsia" w:hAnsiTheme="minorHAnsi" w:cstheme="minorBidi"/>
              <w:noProof/>
              <w:sz w:val="22"/>
              <w:lang w:val="en-US"/>
            </w:rPr>
          </w:pPr>
          <w:hyperlink w:anchor="_Toc527993564" w:history="1">
            <w:r w:rsidR="000023E7" w:rsidRPr="004525F7">
              <w:rPr>
                <w:rStyle w:val="Hyperlink"/>
                <w:noProof/>
              </w:rPr>
              <w:t>A.</w:t>
            </w:r>
            <w:r w:rsidR="000023E7" w:rsidRPr="004525F7">
              <w:rPr>
                <w:rFonts w:asciiTheme="minorHAnsi" w:eastAsiaTheme="minorEastAsia" w:hAnsiTheme="minorHAnsi" w:cstheme="minorBidi"/>
                <w:noProof/>
                <w:sz w:val="22"/>
                <w:lang w:val="en-US"/>
              </w:rPr>
              <w:tab/>
            </w:r>
            <w:r w:rsidR="000023E7" w:rsidRPr="004525F7">
              <w:rPr>
                <w:rStyle w:val="Hyperlink"/>
                <w:noProof/>
              </w:rPr>
              <w:t>Argumentos de las partes y de la Comisión</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_Toc527993564 \h </w:instrText>
            </w:r>
            <w:r w:rsidR="000023E7" w:rsidRPr="004525F7">
              <w:rPr>
                <w:noProof/>
                <w:webHidden/>
              </w:rPr>
            </w:r>
            <w:r w:rsidR="000023E7" w:rsidRPr="004525F7">
              <w:rPr>
                <w:noProof/>
                <w:webHidden/>
              </w:rPr>
              <w:fldChar w:fldCharType="separate"/>
            </w:r>
            <w:r>
              <w:rPr>
                <w:noProof/>
                <w:webHidden/>
              </w:rPr>
              <w:t>69</w:t>
            </w:r>
            <w:r w:rsidR="000023E7" w:rsidRPr="004525F7">
              <w:rPr>
                <w:noProof/>
                <w:webHidden/>
              </w:rPr>
              <w:fldChar w:fldCharType="end"/>
            </w:r>
          </w:hyperlink>
        </w:p>
        <w:p w:rsidR="000023E7" w:rsidRPr="004525F7" w:rsidRDefault="00E63A3E">
          <w:pPr>
            <w:pStyle w:val="TOC2"/>
            <w:rPr>
              <w:rFonts w:asciiTheme="minorHAnsi" w:eastAsiaTheme="minorEastAsia" w:hAnsiTheme="minorHAnsi" w:cstheme="minorBidi"/>
              <w:noProof/>
              <w:sz w:val="22"/>
              <w:lang w:val="en-US"/>
            </w:rPr>
          </w:pPr>
          <w:hyperlink w:anchor="_Toc527993565" w:history="1">
            <w:r w:rsidR="000023E7" w:rsidRPr="004525F7">
              <w:rPr>
                <w:rStyle w:val="Hyperlink"/>
                <w:noProof/>
                <w:lang w:val="es-AR"/>
              </w:rPr>
              <w:t>B.</w:t>
            </w:r>
            <w:r w:rsidR="000023E7" w:rsidRPr="004525F7">
              <w:rPr>
                <w:rFonts w:asciiTheme="minorHAnsi" w:eastAsiaTheme="minorEastAsia" w:hAnsiTheme="minorHAnsi" w:cstheme="minorBidi"/>
                <w:noProof/>
                <w:sz w:val="22"/>
                <w:lang w:val="en-US"/>
              </w:rPr>
              <w:tab/>
            </w:r>
            <w:r w:rsidR="000023E7" w:rsidRPr="004525F7">
              <w:rPr>
                <w:rStyle w:val="Hyperlink"/>
                <w:noProof/>
                <w:lang w:val="es-AR"/>
              </w:rPr>
              <w:t>Consideraciones de la Corte</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_Toc527993565 \h </w:instrText>
            </w:r>
            <w:r w:rsidR="000023E7" w:rsidRPr="004525F7">
              <w:rPr>
                <w:noProof/>
                <w:webHidden/>
              </w:rPr>
            </w:r>
            <w:r w:rsidR="000023E7" w:rsidRPr="004525F7">
              <w:rPr>
                <w:noProof/>
                <w:webHidden/>
              </w:rPr>
              <w:fldChar w:fldCharType="separate"/>
            </w:r>
            <w:r>
              <w:rPr>
                <w:noProof/>
                <w:webHidden/>
              </w:rPr>
              <w:t>70</w:t>
            </w:r>
            <w:r w:rsidR="000023E7" w:rsidRPr="004525F7">
              <w:rPr>
                <w:noProof/>
                <w:webHidden/>
              </w:rPr>
              <w:fldChar w:fldCharType="end"/>
            </w:r>
          </w:hyperlink>
        </w:p>
        <w:p w:rsidR="000023E7" w:rsidRPr="004525F7" w:rsidRDefault="00E63A3E" w:rsidP="004525F7">
          <w:pPr>
            <w:pStyle w:val="TOC1"/>
            <w:jc w:val="both"/>
            <w:rPr>
              <w:rFonts w:asciiTheme="minorHAnsi" w:eastAsiaTheme="minorEastAsia" w:hAnsiTheme="minorHAnsi" w:cstheme="minorBidi"/>
              <w:sz w:val="22"/>
              <w:lang w:val="en-US" w:eastAsia="en-US"/>
            </w:rPr>
          </w:pPr>
          <w:hyperlink w:anchor="_Toc527993567" w:history="1">
            <w:r w:rsidR="000023E7" w:rsidRPr="004525F7">
              <w:rPr>
                <w:rStyle w:val="Hyperlink"/>
                <w:spacing w:val="-2"/>
                <w:lang w:val="es-CR"/>
              </w:rPr>
              <w:t>REPARACIONES</w:t>
            </w:r>
          </w:hyperlink>
          <w:r w:rsidR="004525F7" w:rsidRPr="004525F7">
            <w:rPr>
              <w:rFonts w:asciiTheme="minorHAnsi" w:eastAsiaTheme="minorEastAsia" w:hAnsiTheme="minorHAnsi" w:cstheme="minorBidi"/>
              <w:sz w:val="22"/>
              <w:lang w:val="en-US" w:eastAsia="en-US"/>
            </w:rPr>
            <w:t xml:space="preserve"> </w:t>
          </w:r>
          <w:hyperlink w:anchor="_Toc527993568" w:history="1">
            <w:r w:rsidR="000023E7" w:rsidRPr="004525F7">
              <w:rPr>
                <w:rStyle w:val="Hyperlink"/>
                <w:spacing w:val="-2"/>
              </w:rPr>
              <w:t>(Aplicación del artículo 63.1 de la Convención Americana)</w:t>
            </w:r>
            <w:r w:rsidR="000023E7" w:rsidRPr="004525F7">
              <w:rPr>
                <w:webHidden/>
              </w:rPr>
              <w:tab/>
            </w:r>
            <w:r w:rsidR="000023E7" w:rsidRPr="004525F7">
              <w:rPr>
                <w:webHidden/>
              </w:rPr>
              <w:fldChar w:fldCharType="begin"/>
            </w:r>
            <w:r w:rsidR="000023E7" w:rsidRPr="004525F7">
              <w:rPr>
                <w:webHidden/>
              </w:rPr>
              <w:instrText xml:space="preserve"> PAGEREF _Toc527993568 \h </w:instrText>
            </w:r>
            <w:r w:rsidR="000023E7" w:rsidRPr="004525F7">
              <w:rPr>
                <w:webHidden/>
              </w:rPr>
            </w:r>
            <w:r w:rsidR="000023E7" w:rsidRPr="004525F7">
              <w:rPr>
                <w:webHidden/>
              </w:rPr>
              <w:fldChar w:fldCharType="separate"/>
            </w:r>
            <w:r>
              <w:rPr>
                <w:webHidden/>
              </w:rPr>
              <w:t>72</w:t>
            </w:r>
            <w:r w:rsidR="000023E7" w:rsidRPr="004525F7">
              <w:rPr>
                <w:webHidden/>
              </w:rPr>
              <w:fldChar w:fldCharType="end"/>
            </w:r>
          </w:hyperlink>
        </w:p>
        <w:p w:rsidR="000023E7" w:rsidRPr="004525F7" w:rsidRDefault="00E63A3E">
          <w:pPr>
            <w:pStyle w:val="TOC2"/>
            <w:rPr>
              <w:rFonts w:asciiTheme="minorHAnsi" w:eastAsiaTheme="minorEastAsia" w:hAnsiTheme="minorHAnsi" w:cstheme="minorBidi"/>
              <w:noProof/>
              <w:sz w:val="22"/>
              <w:lang w:val="en-US"/>
            </w:rPr>
          </w:pPr>
          <w:hyperlink w:anchor="_Toc527993569" w:history="1">
            <w:r w:rsidR="000023E7" w:rsidRPr="004525F7">
              <w:rPr>
                <w:rStyle w:val="Hyperlink"/>
                <w:noProof/>
                <w:spacing w:val="-2"/>
                <w:lang w:val="es-CR" w:bidi="en-US"/>
              </w:rPr>
              <w:t>A. Parte Lesionada</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_Toc527993569 \h </w:instrText>
            </w:r>
            <w:r w:rsidR="000023E7" w:rsidRPr="004525F7">
              <w:rPr>
                <w:noProof/>
                <w:webHidden/>
              </w:rPr>
            </w:r>
            <w:r w:rsidR="000023E7" w:rsidRPr="004525F7">
              <w:rPr>
                <w:noProof/>
                <w:webHidden/>
              </w:rPr>
              <w:fldChar w:fldCharType="separate"/>
            </w:r>
            <w:r>
              <w:rPr>
                <w:noProof/>
                <w:webHidden/>
              </w:rPr>
              <w:t>73</w:t>
            </w:r>
            <w:r w:rsidR="000023E7" w:rsidRPr="004525F7">
              <w:rPr>
                <w:noProof/>
                <w:webHidden/>
              </w:rPr>
              <w:fldChar w:fldCharType="end"/>
            </w:r>
          </w:hyperlink>
        </w:p>
        <w:p w:rsidR="000023E7" w:rsidRPr="004525F7" w:rsidRDefault="00E63A3E">
          <w:pPr>
            <w:pStyle w:val="TOC2"/>
            <w:rPr>
              <w:rFonts w:asciiTheme="minorHAnsi" w:eastAsiaTheme="minorEastAsia" w:hAnsiTheme="minorHAnsi" w:cstheme="minorBidi"/>
              <w:noProof/>
              <w:sz w:val="22"/>
              <w:lang w:val="en-US"/>
            </w:rPr>
          </w:pPr>
          <w:hyperlink w:anchor="_Toc527993570" w:history="1">
            <w:r w:rsidR="000023E7" w:rsidRPr="004525F7">
              <w:rPr>
                <w:rStyle w:val="Hyperlink"/>
                <w:noProof/>
                <w:spacing w:val="-2"/>
                <w:lang w:bidi="en-US"/>
              </w:rPr>
              <w:t>B. Obligación de investigar</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_Toc527993570 \h </w:instrText>
            </w:r>
            <w:r w:rsidR="000023E7" w:rsidRPr="004525F7">
              <w:rPr>
                <w:noProof/>
                <w:webHidden/>
              </w:rPr>
            </w:r>
            <w:r w:rsidR="000023E7" w:rsidRPr="004525F7">
              <w:rPr>
                <w:noProof/>
                <w:webHidden/>
              </w:rPr>
              <w:fldChar w:fldCharType="separate"/>
            </w:r>
            <w:r>
              <w:rPr>
                <w:noProof/>
                <w:webHidden/>
              </w:rPr>
              <w:t>73</w:t>
            </w:r>
            <w:r w:rsidR="000023E7" w:rsidRPr="004525F7">
              <w:rPr>
                <w:noProof/>
                <w:webHidden/>
              </w:rPr>
              <w:fldChar w:fldCharType="end"/>
            </w:r>
          </w:hyperlink>
        </w:p>
        <w:p w:rsidR="000023E7" w:rsidRPr="004525F7" w:rsidRDefault="00E63A3E">
          <w:pPr>
            <w:pStyle w:val="TOC2"/>
            <w:rPr>
              <w:rFonts w:asciiTheme="minorHAnsi" w:eastAsiaTheme="minorEastAsia" w:hAnsiTheme="minorHAnsi" w:cstheme="minorBidi"/>
              <w:noProof/>
              <w:sz w:val="22"/>
              <w:lang w:val="en-US"/>
            </w:rPr>
          </w:pPr>
          <w:hyperlink w:anchor="_Toc527993571" w:history="1">
            <w:r w:rsidR="000023E7" w:rsidRPr="004525F7">
              <w:rPr>
                <w:rStyle w:val="Hyperlink"/>
                <w:noProof/>
                <w:spacing w:val="-2"/>
                <w:lang w:val="es-CR" w:bidi="en-US"/>
              </w:rPr>
              <w:t>C. Medidas de rehabilitación</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_Toc527993571 \h </w:instrText>
            </w:r>
            <w:r w:rsidR="000023E7" w:rsidRPr="004525F7">
              <w:rPr>
                <w:noProof/>
                <w:webHidden/>
              </w:rPr>
            </w:r>
            <w:r w:rsidR="000023E7" w:rsidRPr="004525F7">
              <w:rPr>
                <w:noProof/>
                <w:webHidden/>
              </w:rPr>
              <w:fldChar w:fldCharType="separate"/>
            </w:r>
            <w:r>
              <w:rPr>
                <w:noProof/>
                <w:webHidden/>
              </w:rPr>
              <w:t>75</w:t>
            </w:r>
            <w:r w:rsidR="000023E7" w:rsidRPr="004525F7">
              <w:rPr>
                <w:noProof/>
                <w:webHidden/>
              </w:rPr>
              <w:fldChar w:fldCharType="end"/>
            </w:r>
          </w:hyperlink>
        </w:p>
        <w:p w:rsidR="000023E7" w:rsidRPr="004525F7" w:rsidRDefault="00E63A3E">
          <w:pPr>
            <w:pStyle w:val="TOC2"/>
            <w:rPr>
              <w:rFonts w:asciiTheme="minorHAnsi" w:eastAsiaTheme="minorEastAsia" w:hAnsiTheme="minorHAnsi" w:cstheme="minorBidi"/>
              <w:noProof/>
              <w:sz w:val="22"/>
              <w:lang w:val="en-US"/>
            </w:rPr>
          </w:pPr>
          <w:hyperlink w:anchor="_Toc527993572" w:history="1">
            <w:r w:rsidR="000023E7" w:rsidRPr="004525F7">
              <w:rPr>
                <w:rStyle w:val="Hyperlink"/>
                <w:noProof/>
                <w:spacing w:val="-2"/>
                <w:lang w:val="es-CR" w:bidi="en-US"/>
              </w:rPr>
              <w:t>D. Medidas de satisfacción</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_Toc527993572 \h </w:instrText>
            </w:r>
            <w:r w:rsidR="000023E7" w:rsidRPr="004525F7">
              <w:rPr>
                <w:noProof/>
                <w:webHidden/>
              </w:rPr>
            </w:r>
            <w:r w:rsidR="000023E7" w:rsidRPr="004525F7">
              <w:rPr>
                <w:noProof/>
                <w:webHidden/>
              </w:rPr>
              <w:fldChar w:fldCharType="separate"/>
            </w:r>
            <w:r>
              <w:rPr>
                <w:noProof/>
                <w:webHidden/>
              </w:rPr>
              <w:t>76</w:t>
            </w:r>
            <w:r w:rsidR="000023E7" w:rsidRPr="004525F7">
              <w:rPr>
                <w:noProof/>
                <w:webHidden/>
              </w:rPr>
              <w:fldChar w:fldCharType="end"/>
            </w:r>
          </w:hyperlink>
        </w:p>
        <w:p w:rsidR="000023E7" w:rsidRPr="004525F7" w:rsidRDefault="00E63A3E">
          <w:pPr>
            <w:pStyle w:val="TOC2"/>
            <w:rPr>
              <w:rFonts w:asciiTheme="minorHAnsi" w:eastAsiaTheme="minorEastAsia" w:hAnsiTheme="minorHAnsi" w:cstheme="minorBidi"/>
              <w:noProof/>
              <w:sz w:val="22"/>
              <w:lang w:val="en-US"/>
            </w:rPr>
          </w:pPr>
          <w:hyperlink w:anchor="_Toc527993573" w:history="1">
            <w:r w:rsidR="000023E7" w:rsidRPr="004525F7">
              <w:rPr>
                <w:rStyle w:val="Hyperlink"/>
                <w:noProof/>
                <w:spacing w:val="-2"/>
                <w:lang w:bidi="en-US"/>
              </w:rPr>
              <w:t>E. Otras medidas solicitadas</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_Toc527993573 \h </w:instrText>
            </w:r>
            <w:r w:rsidR="000023E7" w:rsidRPr="004525F7">
              <w:rPr>
                <w:noProof/>
                <w:webHidden/>
              </w:rPr>
            </w:r>
            <w:r w:rsidR="000023E7" w:rsidRPr="004525F7">
              <w:rPr>
                <w:noProof/>
                <w:webHidden/>
              </w:rPr>
              <w:fldChar w:fldCharType="separate"/>
            </w:r>
            <w:r>
              <w:rPr>
                <w:noProof/>
                <w:webHidden/>
              </w:rPr>
              <w:t>77</w:t>
            </w:r>
            <w:r w:rsidR="000023E7" w:rsidRPr="004525F7">
              <w:rPr>
                <w:noProof/>
                <w:webHidden/>
              </w:rPr>
              <w:fldChar w:fldCharType="end"/>
            </w:r>
          </w:hyperlink>
        </w:p>
        <w:p w:rsidR="000023E7" w:rsidRPr="004525F7" w:rsidRDefault="00E63A3E">
          <w:pPr>
            <w:pStyle w:val="TOC2"/>
            <w:rPr>
              <w:rFonts w:asciiTheme="minorHAnsi" w:eastAsiaTheme="minorEastAsia" w:hAnsiTheme="minorHAnsi" w:cstheme="minorBidi"/>
              <w:noProof/>
              <w:sz w:val="22"/>
              <w:lang w:val="en-US"/>
            </w:rPr>
          </w:pPr>
          <w:hyperlink w:anchor="_Toc527993574" w:history="1">
            <w:r w:rsidR="000023E7" w:rsidRPr="004525F7">
              <w:rPr>
                <w:rStyle w:val="Hyperlink"/>
                <w:noProof/>
                <w:spacing w:val="-2"/>
                <w:lang w:bidi="en-US"/>
              </w:rPr>
              <w:t>F. Indemnizaciones compensatorias</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_Toc527993574 \h </w:instrText>
            </w:r>
            <w:r w:rsidR="000023E7" w:rsidRPr="004525F7">
              <w:rPr>
                <w:noProof/>
                <w:webHidden/>
              </w:rPr>
            </w:r>
            <w:r w:rsidR="000023E7" w:rsidRPr="004525F7">
              <w:rPr>
                <w:noProof/>
                <w:webHidden/>
              </w:rPr>
              <w:fldChar w:fldCharType="separate"/>
            </w:r>
            <w:r>
              <w:rPr>
                <w:noProof/>
                <w:webHidden/>
              </w:rPr>
              <w:t>78</w:t>
            </w:r>
            <w:r w:rsidR="000023E7" w:rsidRPr="004525F7">
              <w:rPr>
                <w:noProof/>
                <w:webHidden/>
              </w:rPr>
              <w:fldChar w:fldCharType="end"/>
            </w:r>
          </w:hyperlink>
        </w:p>
        <w:p w:rsidR="000023E7" w:rsidRPr="004525F7" w:rsidRDefault="00E63A3E">
          <w:pPr>
            <w:pStyle w:val="TOC2"/>
            <w:rPr>
              <w:rFonts w:asciiTheme="minorHAnsi" w:eastAsiaTheme="minorEastAsia" w:hAnsiTheme="minorHAnsi" w:cstheme="minorBidi"/>
              <w:noProof/>
              <w:sz w:val="22"/>
              <w:lang w:val="en-US"/>
            </w:rPr>
          </w:pPr>
          <w:hyperlink w:anchor="_Toc527993575" w:history="1">
            <w:r w:rsidR="000023E7" w:rsidRPr="004525F7">
              <w:rPr>
                <w:rStyle w:val="Hyperlink"/>
                <w:noProof/>
                <w:spacing w:val="-2"/>
                <w:lang w:bidi="en-US"/>
              </w:rPr>
              <w:t>H. Costas</w:t>
            </w:r>
            <w:r w:rsidR="000023E7" w:rsidRPr="004525F7">
              <w:rPr>
                <w:rStyle w:val="Hyperlink"/>
                <w:noProof/>
                <w:spacing w:val="-2"/>
                <w:lang w:val="es-CR"/>
              </w:rPr>
              <w:t xml:space="preserve"> y Gastos</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_Toc527993575 \h </w:instrText>
            </w:r>
            <w:r w:rsidR="000023E7" w:rsidRPr="004525F7">
              <w:rPr>
                <w:noProof/>
                <w:webHidden/>
              </w:rPr>
            </w:r>
            <w:r w:rsidR="000023E7" w:rsidRPr="004525F7">
              <w:rPr>
                <w:noProof/>
                <w:webHidden/>
              </w:rPr>
              <w:fldChar w:fldCharType="separate"/>
            </w:r>
            <w:r>
              <w:rPr>
                <w:noProof/>
                <w:webHidden/>
              </w:rPr>
              <w:t>83</w:t>
            </w:r>
            <w:r w:rsidR="000023E7" w:rsidRPr="004525F7">
              <w:rPr>
                <w:noProof/>
                <w:webHidden/>
              </w:rPr>
              <w:fldChar w:fldCharType="end"/>
            </w:r>
          </w:hyperlink>
        </w:p>
        <w:p w:rsidR="000023E7" w:rsidRPr="004525F7" w:rsidRDefault="00E63A3E">
          <w:pPr>
            <w:pStyle w:val="TOC2"/>
            <w:rPr>
              <w:rFonts w:asciiTheme="minorHAnsi" w:eastAsiaTheme="minorEastAsia" w:hAnsiTheme="minorHAnsi" w:cstheme="minorBidi"/>
              <w:noProof/>
              <w:sz w:val="22"/>
              <w:lang w:val="en-US"/>
            </w:rPr>
          </w:pPr>
          <w:hyperlink w:anchor="_Toc527993576" w:history="1">
            <w:r w:rsidR="000023E7" w:rsidRPr="004525F7">
              <w:rPr>
                <w:rStyle w:val="Hyperlink"/>
                <w:noProof/>
                <w:spacing w:val="-2"/>
                <w:lang w:val="es-ES"/>
              </w:rPr>
              <w:t>I.</w:t>
            </w:r>
            <w:r w:rsidR="000023E7" w:rsidRPr="004525F7">
              <w:rPr>
                <w:rStyle w:val="Hyperlink"/>
                <w:noProof/>
                <w:spacing w:val="-2"/>
                <w:lang w:val="es-CR"/>
              </w:rPr>
              <w:t xml:space="preserve"> Reintegro de los gastos al Fondo de Asistencia Legal de Víctimas</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_Toc527993576 \h </w:instrText>
            </w:r>
            <w:r w:rsidR="000023E7" w:rsidRPr="004525F7">
              <w:rPr>
                <w:noProof/>
                <w:webHidden/>
              </w:rPr>
            </w:r>
            <w:r w:rsidR="000023E7" w:rsidRPr="004525F7">
              <w:rPr>
                <w:noProof/>
                <w:webHidden/>
              </w:rPr>
              <w:fldChar w:fldCharType="separate"/>
            </w:r>
            <w:r>
              <w:rPr>
                <w:noProof/>
                <w:webHidden/>
              </w:rPr>
              <w:t>84</w:t>
            </w:r>
            <w:r w:rsidR="000023E7" w:rsidRPr="004525F7">
              <w:rPr>
                <w:noProof/>
                <w:webHidden/>
              </w:rPr>
              <w:fldChar w:fldCharType="end"/>
            </w:r>
          </w:hyperlink>
        </w:p>
        <w:p w:rsidR="000023E7" w:rsidRPr="004525F7" w:rsidRDefault="00E63A3E">
          <w:pPr>
            <w:pStyle w:val="TOC2"/>
            <w:rPr>
              <w:rFonts w:asciiTheme="minorHAnsi" w:eastAsiaTheme="minorEastAsia" w:hAnsiTheme="minorHAnsi" w:cstheme="minorBidi"/>
              <w:noProof/>
              <w:sz w:val="22"/>
              <w:lang w:val="en-US"/>
            </w:rPr>
          </w:pPr>
          <w:hyperlink w:anchor="_Toc527993577" w:history="1">
            <w:r w:rsidR="000023E7" w:rsidRPr="004525F7">
              <w:rPr>
                <w:rStyle w:val="Hyperlink"/>
                <w:noProof/>
                <w:spacing w:val="-2"/>
                <w:lang w:val="es-CR" w:bidi="en-US"/>
              </w:rPr>
              <w:t>J. Modalidad</w:t>
            </w:r>
            <w:r w:rsidR="000023E7" w:rsidRPr="004525F7">
              <w:rPr>
                <w:rStyle w:val="Hyperlink"/>
                <w:noProof/>
                <w:spacing w:val="-2"/>
                <w:lang w:val="es-CR"/>
              </w:rPr>
              <w:t xml:space="preserve"> de cumplimiento de los pagos ordenados</w:t>
            </w:r>
            <w:r w:rsidR="000023E7" w:rsidRPr="004525F7">
              <w:rPr>
                <w:noProof/>
                <w:webHidden/>
              </w:rPr>
              <w:tab/>
            </w:r>
            <w:r w:rsidR="000023E7" w:rsidRPr="004525F7">
              <w:rPr>
                <w:noProof/>
                <w:webHidden/>
              </w:rPr>
              <w:fldChar w:fldCharType="begin"/>
            </w:r>
            <w:r w:rsidR="000023E7" w:rsidRPr="004525F7">
              <w:rPr>
                <w:noProof/>
                <w:webHidden/>
              </w:rPr>
              <w:instrText xml:space="preserve"> PAGEREF _Toc527993577 \h </w:instrText>
            </w:r>
            <w:r w:rsidR="000023E7" w:rsidRPr="004525F7">
              <w:rPr>
                <w:noProof/>
                <w:webHidden/>
              </w:rPr>
            </w:r>
            <w:r w:rsidR="000023E7" w:rsidRPr="004525F7">
              <w:rPr>
                <w:noProof/>
                <w:webHidden/>
              </w:rPr>
              <w:fldChar w:fldCharType="separate"/>
            </w:r>
            <w:r>
              <w:rPr>
                <w:noProof/>
                <w:webHidden/>
              </w:rPr>
              <w:t>85</w:t>
            </w:r>
            <w:r w:rsidR="000023E7" w:rsidRPr="004525F7">
              <w:rPr>
                <w:noProof/>
                <w:webHidden/>
              </w:rPr>
              <w:fldChar w:fldCharType="end"/>
            </w:r>
          </w:hyperlink>
        </w:p>
        <w:p w:rsidR="000023E7" w:rsidRPr="004525F7" w:rsidRDefault="00E63A3E">
          <w:pPr>
            <w:pStyle w:val="TOC1"/>
            <w:rPr>
              <w:rFonts w:asciiTheme="minorHAnsi" w:eastAsiaTheme="minorEastAsia" w:hAnsiTheme="minorHAnsi" w:cstheme="minorBidi"/>
              <w:sz w:val="22"/>
              <w:lang w:val="en-US" w:eastAsia="en-US"/>
            </w:rPr>
          </w:pPr>
          <w:hyperlink w:anchor="_Toc527993579" w:history="1">
            <w:r w:rsidR="000023E7" w:rsidRPr="004525F7">
              <w:rPr>
                <w:rStyle w:val="Hyperlink"/>
                <w:spacing w:val="-2"/>
                <w:lang w:val="es-CR"/>
              </w:rPr>
              <w:t>PUNTOS RESOLUTIVOS</w:t>
            </w:r>
            <w:r w:rsidR="000023E7" w:rsidRPr="004525F7">
              <w:rPr>
                <w:webHidden/>
              </w:rPr>
              <w:tab/>
            </w:r>
            <w:r w:rsidR="000023E7" w:rsidRPr="004525F7">
              <w:rPr>
                <w:webHidden/>
              </w:rPr>
              <w:fldChar w:fldCharType="begin"/>
            </w:r>
            <w:r w:rsidR="000023E7" w:rsidRPr="004525F7">
              <w:rPr>
                <w:webHidden/>
              </w:rPr>
              <w:instrText xml:space="preserve"> PAGEREF _Toc527993579 \h </w:instrText>
            </w:r>
            <w:r w:rsidR="000023E7" w:rsidRPr="004525F7">
              <w:rPr>
                <w:webHidden/>
              </w:rPr>
            </w:r>
            <w:r w:rsidR="000023E7" w:rsidRPr="004525F7">
              <w:rPr>
                <w:webHidden/>
              </w:rPr>
              <w:fldChar w:fldCharType="separate"/>
            </w:r>
            <w:r>
              <w:rPr>
                <w:webHidden/>
              </w:rPr>
              <w:t>86</w:t>
            </w:r>
            <w:r w:rsidR="000023E7" w:rsidRPr="004525F7">
              <w:rPr>
                <w:webHidden/>
              </w:rPr>
              <w:fldChar w:fldCharType="end"/>
            </w:r>
          </w:hyperlink>
        </w:p>
        <w:p w:rsidR="0077509E" w:rsidRDefault="00A36178" w:rsidP="00464722">
          <w:pPr>
            <w:rPr>
              <w:sz w:val="18"/>
              <w:szCs w:val="18"/>
            </w:rPr>
          </w:pPr>
          <w:r w:rsidRPr="004525F7">
            <w:rPr>
              <w:bCs/>
              <w:noProof/>
              <w:sz w:val="18"/>
              <w:szCs w:val="18"/>
            </w:rPr>
            <w:fldChar w:fldCharType="end"/>
          </w:r>
        </w:p>
      </w:sdtContent>
    </w:sdt>
    <w:p w:rsidR="008146AF" w:rsidRPr="00336FDD" w:rsidRDefault="008146AF" w:rsidP="00464722">
      <w:pPr>
        <w:rPr>
          <w:noProof/>
          <w:sz w:val="18"/>
          <w:szCs w:val="18"/>
        </w:rPr>
      </w:pPr>
    </w:p>
    <w:p w:rsidR="00A36178" w:rsidRPr="009B6028" w:rsidRDefault="00A36178" w:rsidP="00A36178">
      <w:pPr>
        <w:pStyle w:val="Heading1"/>
        <w:spacing w:before="0"/>
        <w:ind w:left="360"/>
        <w:jc w:val="center"/>
        <w:rPr>
          <w:sz w:val="22"/>
          <w:szCs w:val="22"/>
        </w:rPr>
      </w:pPr>
      <w:bookmarkStart w:id="17" w:name="_Toc521932404"/>
      <w:bookmarkStart w:id="18" w:name="_Toc521932478"/>
      <w:bookmarkStart w:id="19" w:name="_Toc522543473"/>
      <w:bookmarkStart w:id="20" w:name="_Toc523934888"/>
      <w:bookmarkStart w:id="21" w:name="_Toc525218136"/>
      <w:bookmarkStart w:id="22" w:name="_Toc525218224"/>
      <w:bookmarkStart w:id="23" w:name="_Toc525225474"/>
      <w:bookmarkStart w:id="24" w:name="_Toc399131120"/>
      <w:bookmarkStart w:id="25" w:name="_Toc399131764"/>
      <w:bookmarkStart w:id="26" w:name="_Toc525293008"/>
      <w:bookmarkStart w:id="27" w:name="_Toc525723148"/>
      <w:bookmarkStart w:id="28" w:name="_Toc527993500"/>
      <w:bookmarkStart w:id="29" w:name="_Toc395213475"/>
      <w:bookmarkStart w:id="30" w:name="_Toc396514775"/>
      <w:bookmarkStart w:id="31" w:name="_Toc396514834"/>
      <w:bookmarkStart w:id="32" w:name="_Toc396515103"/>
      <w:bookmarkStart w:id="33" w:name="_Toc402039401"/>
      <w:bookmarkStart w:id="34" w:name="_Toc403670644"/>
      <w:bookmarkStart w:id="35" w:name="_Toc403671380"/>
      <w:bookmarkStart w:id="36" w:name="_Toc405774572"/>
      <w:bookmarkStart w:id="37" w:name="_Toc405857775"/>
      <w:bookmarkStart w:id="38" w:name="_Toc431212850"/>
      <w:bookmarkStart w:id="39" w:name="_Toc432075334"/>
      <w:bookmarkStart w:id="40" w:name="_Toc432156825"/>
      <w:bookmarkStart w:id="41" w:name="_Toc436735323"/>
      <w:bookmarkStart w:id="42" w:name="_Toc438134890"/>
      <w:bookmarkStart w:id="43" w:name="_Toc440636702"/>
      <w:bookmarkStart w:id="44" w:name="_Toc446096847"/>
      <w:bookmarkStart w:id="45" w:name="_Toc469654504"/>
      <w:bookmarkStart w:id="46" w:name="_Toc471739140"/>
      <w:r w:rsidRPr="009B6028">
        <w:rPr>
          <w:sz w:val="22"/>
          <w:szCs w:val="22"/>
        </w:rPr>
        <w:t>I</w:t>
      </w:r>
      <w:bookmarkEnd w:id="17"/>
      <w:bookmarkEnd w:id="18"/>
      <w:bookmarkEnd w:id="19"/>
      <w:bookmarkEnd w:id="20"/>
      <w:bookmarkEnd w:id="21"/>
      <w:bookmarkEnd w:id="22"/>
      <w:bookmarkEnd w:id="23"/>
      <w:bookmarkEnd w:id="24"/>
      <w:bookmarkEnd w:id="25"/>
      <w:bookmarkEnd w:id="26"/>
      <w:bookmarkEnd w:id="27"/>
      <w:bookmarkEnd w:id="28"/>
    </w:p>
    <w:p w:rsidR="00A36178" w:rsidRPr="000B22D5" w:rsidRDefault="00A36178" w:rsidP="00A36178">
      <w:pPr>
        <w:pStyle w:val="Heading1"/>
        <w:spacing w:before="0"/>
        <w:ind w:left="720"/>
        <w:jc w:val="center"/>
        <w:rPr>
          <w:sz w:val="20"/>
        </w:rPr>
      </w:pPr>
      <w:bookmarkStart w:id="47" w:name="_Toc527993501"/>
      <w:r w:rsidRPr="009B6028">
        <w:rPr>
          <w:sz w:val="22"/>
          <w:szCs w:val="22"/>
        </w:rPr>
        <w:t>INTRODUCCIÓN A LA CAUSA Y OBJETO DE LA CONTROVERSIA</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A36178" w:rsidRPr="00141137" w:rsidRDefault="00C56B9B" w:rsidP="00E1677F">
      <w:pPr>
        <w:tabs>
          <w:tab w:val="left" w:pos="7311"/>
        </w:tabs>
        <w:rPr>
          <w:lang w:val="es-ES_tradnl"/>
        </w:rPr>
      </w:pPr>
      <w:r>
        <w:rPr>
          <w:lang w:val="es-ES_tradnl"/>
        </w:rPr>
        <w:tab/>
      </w:r>
    </w:p>
    <w:p w:rsidR="003D758A" w:rsidRPr="00830C61" w:rsidRDefault="003D758A" w:rsidP="003D758A">
      <w:pPr>
        <w:pStyle w:val="ListParagraph"/>
        <w:numPr>
          <w:ilvl w:val="0"/>
          <w:numId w:val="1"/>
        </w:numPr>
        <w:ind w:left="0" w:right="-144" w:firstLine="0"/>
        <w:rPr>
          <w:rFonts w:eastAsiaTheme="minorHAnsi" w:cs="Arial"/>
          <w:color w:val="0F0F0F"/>
          <w:szCs w:val="20"/>
          <w:lang w:val="es-CR"/>
        </w:rPr>
      </w:pPr>
      <w:r w:rsidRPr="00DA1AE6">
        <w:rPr>
          <w:rFonts w:cs="Verdana"/>
          <w:i/>
          <w:iCs/>
          <w:szCs w:val="20"/>
          <w:lang w:val="es-ES" w:eastAsia="es-CR"/>
        </w:rPr>
        <w:t>El caso sometido a la Corte.</w:t>
      </w:r>
      <w:r w:rsidRPr="00DA1AE6">
        <w:rPr>
          <w:rFonts w:cs="Verdana"/>
          <w:szCs w:val="20"/>
          <w:lang w:val="es-ES" w:eastAsia="es-CR"/>
        </w:rPr>
        <w:t xml:space="preserve"> – </w:t>
      </w:r>
      <w:r>
        <w:rPr>
          <w:rFonts w:cs="Verdana"/>
          <w:szCs w:val="20"/>
          <w:lang w:eastAsia="es-CR"/>
        </w:rPr>
        <w:t>El 9 de noviembre de 2016</w:t>
      </w:r>
      <w:r w:rsidRPr="00DA1AE6">
        <w:rPr>
          <w:rFonts w:cs="Verdana"/>
          <w:szCs w:val="20"/>
          <w:lang w:eastAsia="es-CR"/>
        </w:rPr>
        <w:t>,</w:t>
      </w:r>
      <w:r w:rsidRPr="00DA1AE6">
        <w:rPr>
          <w:rFonts w:cs="Verdana"/>
          <w:szCs w:val="20"/>
          <w:lang w:val="es-AR" w:eastAsia="es-CR"/>
        </w:rPr>
        <w:t xml:space="preserve"> de conformidad con lo dispuesto en los artículos 51 y 61 de la Convención Americana y el artículo 35 del Reglamento,</w:t>
      </w:r>
      <w:r w:rsidRPr="00DA1AE6">
        <w:rPr>
          <w:rFonts w:cs="Verdana"/>
          <w:szCs w:val="20"/>
          <w:lang w:eastAsia="es-CR"/>
        </w:rPr>
        <w:t xml:space="preserve"> la Comisión Interamericana de Derechos Humanos (en adelante</w:t>
      </w:r>
      <w:r>
        <w:rPr>
          <w:rFonts w:cs="Verdana"/>
          <w:szCs w:val="20"/>
          <w:lang w:eastAsia="es-CR"/>
        </w:rPr>
        <w:t xml:space="preserve"> también </w:t>
      </w:r>
      <w:r w:rsidRPr="00DA1AE6">
        <w:rPr>
          <w:rFonts w:cs="Verdana"/>
          <w:szCs w:val="20"/>
          <w:lang w:eastAsia="es-CR"/>
        </w:rPr>
        <w:t xml:space="preserve">“la Comisión Interamericana” o “la Comisión”) sometió a la jurisdicción de la Corte Interamericana el caso que denominó </w:t>
      </w:r>
      <w:r>
        <w:rPr>
          <w:rFonts w:cs="Verdana"/>
          <w:i/>
          <w:szCs w:val="20"/>
          <w:lang w:eastAsia="es-CR"/>
        </w:rPr>
        <w:t>Terrones Silva y Otros Vs. Perú</w:t>
      </w:r>
      <w:r w:rsidRPr="00DA1AE6">
        <w:rPr>
          <w:rFonts w:cs="Verdana"/>
          <w:i/>
          <w:szCs w:val="20"/>
          <w:lang w:eastAsia="es-CR"/>
        </w:rPr>
        <w:t xml:space="preserve"> </w:t>
      </w:r>
      <w:r w:rsidRPr="00DA1AE6">
        <w:rPr>
          <w:rFonts w:cs="Verdana"/>
          <w:szCs w:val="20"/>
          <w:lang w:val="es-ES" w:eastAsia="es-CR"/>
        </w:rPr>
        <w:t>(en adelante “el Estado” o “</w:t>
      </w:r>
      <w:r>
        <w:rPr>
          <w:rFonts w:cs="Verdana"/>
          <w:szCs w:val="20"/>
          <w:lang w:val="es-ES" w:eastAsia="es-CR"/>
        </w:rPr>
        <w:t>Perú</w:t>
      </w:r>
      <w:r w:rsidRPr="00DA1AE6">
        <w:rPr>
          <w:rFonts w:cs="Verdana"/>
          <w:szCs w:val="20"/>
          <w:lang w:val="es-ES" w:eastAsia="es-CR"/>
        </w:rPr>
        <w:t>”).</w:t>
      </w:r>
      <w:r w:rsidRPr="00DA1AE6">
        <w:rPr>
          <w:rFonts w:cs="Verdana"/>
          <w:i/>
          <w:iCs/>
          <w:szCs w:val="20"/>
          <w:lang w:val="es-ES" w:eastAsia="es-CR"/>
        </w:rPr>
        <w:t xml:space="preserve"> </w:t>
      </w:r>
      <w:r w:rsidRPr="00DA1AE6">
        <w:rPr>
          <w:noProof/>
          <w:szCs w:val="20"/>
          <w:lang w:eastAsia="es-CR"/>
        </w:rPr>
        <w:t xml:space="preserve">La Comisión expresó que el caso se relaciona </w:t>
      </w:r>
      <w:r w:rsidRPr="001A6AC5">
        <w:rPr>
          <w:lang w:val="es-ES"/>
        </w:rPr>
        <w:t xml:space="preserve">con las desapariciones forzadas de </w:t>
      </w:r>
      <w:r w:rsidRPr="00033B8D">
        <w:rPr>
          <w:lang w:val="es-ES"/>
        </w:rPr>
        <w:t>Santiago Antezana Cueto (desde el 7 de mayo de 1984)</w:t>
      </w:r>
      <w:r>
        <w:rPr>
          <w:lang w:val="es-ES"/>
        </w:rPr>
        <w:t xml:space="preserve">, </w:t>
      </w:r>
      <w:r w:rsidRPr="00033B8D">
        <w:rPr>
          <w:lang w:val="es-ES"/>
        </w:rPr>
        <w:t>Néstor Rojas Medina (desde el 2</w:t>
      </w:r>
      <w:r w:rsidRPr="002C2F60">
        <w:rPr>
          <w:lang w:val="es-ES"/>
        </w:rPr>
        <w:t>6 de enero de 1991)</w:t>
      </w:r>
      <w:r>
        <w:rPr>
          <w:lang w:val="es-ES"/>
        </w:rPr>
        <w:t>,</w:t>
      </w:r>
      <w:r w:rsidRPr="00FF51C3">
        <w:rPr>
          <w:lang w:val="es-ES"/>
        </w:rPr>
        <w:t xml:space="preserve"> </w:t>
      </w:r>
      <w:r w:rsidRPr="00033B8D">
        <w:rPr>
          <w:lang w:val="es-ES"/>
        </w:rPr>
        <w:t>Teresa Díaz Aparicio (</w:t>
      </w:r>
      <w:r>
        <w:rPr>
          <w:lang w:val="es-ES"/>
        </w:rPr>
        <w:t>desde el 19 de agosto de 1992),</w:t>
      </w:r>
      <w:r w:rsidRPr="002C2F60">
        <w:rPr>
          <w:lang w:val="es-ES"/>
        </w:rPr>
        <w:t xml:space="preserve"> </w:t>
      </w:r>
      <w:r w:rsidRPr="001A6AC5">
        <w:rPr>
          <w:lang w:val="es-ES"/>
        </w:rPr>
        <w:t>Wilfred</w:t>
      </w:r>
      <w:r w:rsidRPr="00033B8D">
        <w:rPr>
          <w:lang w:val="es-ES"/>
        </w:rPr>
        <w:t>o Terrones Silva (</w:t>
      </w:r>
      <w:r>
        <w:rPr>
          <w:lang w:val="es-ES"/>
        </w:rPr>
        <w:t>desde el 26 de agosto de 1992),</w:t>
      </w:r>
      <w:r w:rsidRPr="00033B8D">
        <w:rPr>
          <w:lang w:val="es-ES"/>
        </w:rPr>
        <w:t xml:space="preserve"> </w:t>
      </w:r>
      <w:r w:rsidRPr="002C2F60">
        <w:rPr>
          <w:lang w:val="es-ES"/>
        </w:rPr>
        <w:t>y Cory Clodolia Tenicela Tello (desde el 2 de octubre de 1992). Lo anterior tuvo lugar en el contexto de la práctica sistemática y generalizada de la desaparición forzada en el marco de la lucha antiterrorista por parte del Estado</w:t>
      </w:r>
      <w:r w:rsidRPr="009A6A52">
        <w:rPr>
          <w:lang w:val="es-ES"/>
        </w:rPr>
        <w:t xml:space="preserve">, con especial incidencia en dichos años. </w:t>
      </w:r>
      <w:r>
        <w:rPr>
          <w:lang w:val="es-ES"/>
        </w:rPr>
        <w:t xml:space="preserve">Según la Comisión, el </w:t>
      </w:r>
      <w:r w:rsidRPr="00830C61">
        <w:rPr>
          <w:rFonts w:eastAsiaTheme="minorHAnsi" w:cs="Arial"/>
          <w:color w:val="0F0F0F"/>
          <w:szCs w:val="20"/>
          <w:lang w:val="es-CR"/>
        </w:rPr>
        <w:t xml:space="preserve">Estado </w:t>
      </w:r>
      <w:r>
        <w:rPr>
          <w:rFonts w:eastAsiaTheme="minorHAnsi" w:cs="Arial"/>
          <w:color w:val="0F0F0F"/>
          <w:szCs w:val="20"/>
          <w:lang w:val="es-CR"/>
        </w:rPr>
        <w:t xml:space="preserve">sería también responsable </w:t>
      </w:r>
      <w:r w:rsidRPr="00830C61">
        <w:rPr>
          <w:rFonts w:eastAsiaTheme="minorHAnsi" w:cs="Arial"/>
          <w:color w:val="0F0F0F"/>
          <w:szCs w:val="20"/>
          <w:lang w:val="es-CR"/>
        </w:rPr>
        <w:t xml:space="preserve">por la </w:t>
      </w:r>
      <w:r>
        <w:rPr>
          <w:rFonts w:eastAsiaTheme="minorHAnsi" w:cs="Arial"/>
          <w:color w:val="0F0F0F"/>
          <w:szCs w:val="20"/>
          <w:lang w:val="es-CR"/>
        </w:rPr>
        <w:t xml:space="preserve">tortura sufrida por </w:t>
      </w:r>
      <w:r w:rsidRPr="0072478D">
        <w:rPr>
          <w:rFonts w:eastAsiaTheme="minorHAnsi" w:cs="Arial"/>
          <w:color w:val="0F0F0F"/>
          <w:szCs w:val="20"/>
        </w:rPr>
        <w:t>Santiago Antezana Cueto</w:t>
      </w:r>
      <w:r>
        <w:rPr>
          <w:rFonts w:eastAsiaTheme="minorHAnsi" w:cs="Arial"/>
          <w:color w:val="0F0F0F"/>
          <w:szCs w:val="20"/>
        </w:rPr>
        <w:t xml:space="preserve"> en la Base Militar de Acobamba</w:t>
      </w:r>
      <w:r w:rsidRPr="00830C61">
        <w:rPr>
          <w:rFonts w:eastAsiaTheme="minorHAnsi" w:cs="Arial"/>
          <w:color w:val="0F0F0F"/>
          <w:szCs w:val="20"/>
          <w:lang w:val="es-CR"/>
        </w:rPr>
        <w:t xml:space="preserve">. </w:t>
      </w:r>
      <w:r>
        <w:rPr>
          <w:szCs w:val="20"/>
        </w:rPr>
        <w:t xml:space="preserve">La Comisión también adujo que desde las desapariciones entre los años 1984 y 1992 han transcurrido largos años en todos los casos, sin que el Estado haya concluido las investigaciones para establecer el paradero de las presuntas víctimas e identificar, procesar y, en su caso, sancionar a los responsables. </w:t>
      </w:r>
      <w:r>
        <w:rPr>
          <w:rFonts w:eastAsiaTheme="minorHAnsi" w:cs="Arial"/>
          <w:color w:val="0F0F0F"/>
          <w:szCs w:val="20"/>
          <w:lang w:val="es-CR"/>
        </w:rPr>
        <w:t>Con respecto a los familiares</w:t>
      </w:r>
      <w:r w:rsidRPr="00830C61">
        <w:rPr>
          <w:rStyle w:val="FootnoteReference"/>
          <w:rFonts w:eastAsiaTheme="minorHAnsi"/>
          <w:color w:val="0F0F0F"/>
          <w:sz w:val="20"/>
          <w:szCs w:val="20"/>
          <w:lang w:val="es-CR"/>
        </w:rPr>
        <w:footnoteReference w:id="2"/>
      </w:r>
      <w:r>
        <w:rPr>
          <w:rFonts w:eastAsiaTheme="minorHAnsi" w:cs="Arial"/>
          <w:color w:val="0F0F0F"/>
          <w:szCs w:val="20"/>
          <w:lang w:val="es-CR"/>
        </w:rPr>
        <w:t xml:space="preserve">, la Comisión solicitó que la Corte declare la responsabilidad del Estado por la violación de los derechos a la integridad personal, a las garantías judiciales y a un recurso judicial efectivo. Asimismo, solicitó que la Corte declare la violación de los artículos I y III de la Convención Interamericana sobre Desaparición Forzada de Personas (en adelante también “Convención Interamericana sobre Desaparición Forzada” o “CIDFP”), en perjuicio de </w:t>
      </w:r>
      <w:r w:rsidRPr="001A6AC5">
        <w:rPr>
          <w:lang w:val="es-ES"/>
        </w:rPr>
        <w:t>Wilfred</w:t>
      </w:r>
      <w:r w:rsidRPr="00033B8D">
        <w:rPr>
          <w:lang w:val="es-ES"/>
        </w:rPr>
        <w:t>o Terrones Silva</w:t>
      </w:r>
      <w:r>
        <w:rPr>
          <w:lang w:val="es-ES"/>
        </w:rPr>
        <w:t xml:space="preserve">, </w:t>
      </w:r>
      <w:r w:rsidRPr="00033B8D">
        <w:rPr>
          <w:lang w:val="es-ES"/>
        </w:rPr>
        <w:t>Teresa Díaz Aparicio</w:t>
      </w:r>
      <w:r>
        <w:rPr>
          <w:lang w:val="es-ES"/>
        </w:rPr>
        <w:t xml:space="preserve">, </w:t>
      </w:r>
      <w:r w:rsidRPr="00033B8D">
        <w:rPr>
          <w:lang w:val="es-ES"/>
        </w:rPr>
        <w:t>Néstor Rojas Medina</w:t>
      </w:r>
      <w:r>
        <w:rPr>
          <w:lang w:val="es-ES"/>
        </w:rPr>
        <w:t xml:space="preserve">, </w:t>
      </w:r>
      <w:r w:rsidRPr="0072478D">
        <w:rPr>
          <w:rFonts w:eastAsiaTheme="minorHAnsi" w:cs="Arial"/>
          <w:color w:val="0F0F0F"/>
          <w:szCs w:val="20"/>
        </w:rPr>
        <w:t>Santiago Antezana Cueto</w:t>
      </w:r>
      <w:r>
        <w:rPr>
          <w:rFonts w:eastAsiaTheme="minorHAnsi" w:cs="Arial"/>
          <w:color w:val="0F0F0F"/>
          <w:szCs w:val="20"/>
        </w:rPr>
        <w:t xml:space="preserve"> y </w:t>
      </w:r>
      <w:r w:rsidRPr="002C2F60">
        <w:rPr>
          <w:lang w:val="es-ES"/>
        </w:rPr>
        <w:t>Cory Clodolia Tenicela Tello</w:t>
      </w:r>
      <w:r w:rsidR="00E505FA">
        <w:rPr>
          <w:lang w:val="es-ES"/>
        </w:rPr>
        <w:t>,</w:t>
      </w:r>
      <w:r>
        <w:rPr>
          <w:rFonts w:eastAsiaTheme="minorHAnsi" w:cs="Arial"/>
          <w:color w:val="0F0F0F"/>
          <w:szCs w:val="20"/>
          <w:lang w:val="es-CR"/>
        </w:rPr>
        <w:t xml:space="preserve"> y la violación de los artículos 1, 6 y 8 de la Convención Interamericana para Prevenir y Sancionar la Tortura (en adelante también “Convención Interamericana sobre Tortura” o “CIPST”), en perjuicio de </w:t>
      </w:r>
      <w:r w:rsidRPr="0072478D">
        <w:rPr>
          <w:rFonts w:eastAsiaTheme="minorHAnsi" w:cs="Arial"/>
          <w:color w:val="0F0F0F"/>
          <w:szCs w:val="20"/>
        </w:rPr>
        <w:t>Santiago Antezana Cueto</w:t>
      </w:r>
      <w:r>
        <w:rPr>
          <w:rFonts w:eastAsiaTheme="minorHAnsi" w:cs="Arial"/>
          <w:color w:val="0F0F0F"/>
          <w:szCs w:val="20"/>
        </w:rPr>
        <w:t>.</w:t>
      </w:r>
    </w:p>
    <w:p w:rsidR="003D758A" w:rsidRPr="00EF6511" w:rsidRDefault="003D758A" w:rsidP="003D758A">
      <w:pPr>
        <w:pStyle w:val="ListParagraph"/>
        <w:ind w:left="0" w:right="-144"/>
        <w:rPr>
          <w:rFonts w:eastAsiaTheme="minorHAnsi" w:cs="Arial"/>
          <w:color w:val="0F0F0F"/>
          <w:szCs w:val="20"/>
          <w:lang w:val="es-CR"/>
        </w:rPr>
      </w:pPr>
    </w:p>
    <w:p w:rsidR="003D758A" w:rsidRDefault="003D758A" w:rsidP="003D758A">
      <w:pPr>
        <w:pStyle w:val="ListParagraph"/>
        <w:numPr>
          <w:ilvl w:val="0"/>
          <w:numId w:val="1"/>
        </w:numPr>
        <w:ind w:left="0" w:right="-144" w:firstLine="0"/>
        <w:rPr>
          <w:rFonts w:eastAsiaTheme="minorHAnsi" w:cs="Arial"/>
          <w:color w:val="0F0F0F"/>
          <w:szCs w:val="20"/>
          <w:lang w:val="es-CR"/>
        </w:rPr>
      </w:pPr>
      <w:r w:rsidRPr="009F79C2">
        <w:rPr>
          <w:rFonts w:eastAsiaTheme="minorHAnsi" w:cs="Arial"/>
          <w:i/>
          <w:color w:val="0F0F0F"/>
          <w:szCs w:val="20"/>
          <w:lang w:val="es-CR"/>
        </w:rPr>
        <w:t>Trámite ante la Comisión</w:t>
      </w:r>
      <w:r>
        <w:rPr>
          <w:rFonts w:eastAsiaTheme="minorHAnsi" w:cs="Arial"/>
          <w:color w:val="0F0F0F"/>
          <w:szCs w:val="20"/>
          <w:lang w:val="es-CR"/>
        </w:rPr>
        <w:t>.</w:t>
      </w:r>
      <w:r w:rsidRPr="009F79C2">
        <w:rPr>
          <w:rFonts w:eastAsiaTheme="minorHAnsi" w:cs="Arial"/>
          <w:color w:val="0F0F0F"/>
          <w:szCs w:val="20"/>
          <w:lang w:val="es-CR"/>
        </w:rPr>
        <w:t>- El trámite ante la Comisión fue el siguiente:</w:t>
      </w:r>
    </w:p>
    <w:p w:rsidR="003D758A" w:rsidRPr="009F79C2" w:rsidRDefault="003D758A" w:rsidP="003D758A">
      <w:pPr>
        <w:pStyle w:val="ListParagraph"/>
        <w:rPr>
          <w:rFonts w:eastAsiaTheme="minorHAnsi" w:cs="Arial"/>
          <w:color w:val="0F0F0F"/>
          <w:szCs w:val="20"/>
          <w:lang w:val="es-CR"/>
        </w:rPr>
      </w:pPr>
    </w:p>
    <w:p w:rsidR="003D758A" w:rsidRPr="009F79C2" w:rsidRDefault="003D758A" w:rsidP="003D758A">
      <w:pPr>
        <w:pStyle w:val="ListParagraph"/>
        <w:numPr>
          <w:ilvl w:val="0"/>
          <w:numId w:val="2"/>
        </w:numPr>
        <w:ind w:right="-144" w:firstLine="0"/>
        <w:rPr>
          <w:rFonts w:eastAsiaTheme="minorHAnsi" w:cs="Arial"/>
          <w:i/>
          <w:color w:val="0F0F0F"/>
          <w:szCs w:val="20"/>
          <w:lang w:val="es-CR"/>
        </w:rPr>
      </w:pPr>
      <w:r>
        <w:rPr>
          <w:rFonts w:eastAsiaTheme="minorHAnsi" w:cs="Arial"/>
          <w:i/>
          <w:color w:val="0F0F0F"/>
          <w:szCs w:val="20"/>
          <w:lang w:val="es-CR"/>
        </w:rPr>
        <w:t>Petición</w:t>
      </w:r>
      <w:r w:rsidRPr="009F79C2">
        <w:rPr>
          <w:rFonts w:eastAsiaTheme="minorHAnsi" w:cs="Arial"/>
          <w:i/>
          <w:color w:val="0F0F0F"/>
          <w:szCs w:val="20"/>
          <w:lang w:val="es-CR"/>
        </w:rPr>
        <w:t>.-</w:t>
      </w:r>
      <w:r>
        <w:rPr>
          <w:rFonts w:eastAsiaTheme="minorHAnsi" w:cs="Arial"/>
          <w:i/>
          <w:color w:val="0F0F0F"/>
          <w:szCs w:val="20"/>
          <w:lang w:val="es-CR"/>
        </w:rPr>
        <w:t xml:space="preserve"> </w:t>
      </w:r>
      <w:r w:rsidRPr="006C71FC">
        <w:rPr>
          <w:rFonts w:eastAsiaTheme="minorHAnsi" w:cs="Arial"/>
          <w:color w:val="0F0F0F"/>
          <w:szCs w:val="20"/>
          <w:lang w:val="es-CR"/>
        </w:rPr>
        <w:t xml:space="preserve">Entre agosto de 1992 y junio de 2003 la Comisión recibió cinco peticiones, en las cuales se alegó la responsabilidad </w:t>
      </w:r>
      <w:r>
        <w:rPr>
          <w:rFonts w:eastAsiaTheme="minorHAnsi" w:cs="Arial"/>
          <w:color w:val="0F0F0F"/>
          <w:szCs w:val="20"/>
          <w:lang w:val="es-CR"/>
        </w:rPr>
        <w:t xml:space="preserve">internacional </w:t>
      </w:r>
      <w:r w:rsidRPr="006C71FC">
        <w:rPr>
          <w:rFonts w:eastAsiaTheme="minorHAnsi" w:cs="Arial"/>
          <w:color w:val="0F0F0F"/>
          <w:szCs w:val="20"/>
          <w:lang w:val="es-CR"/>
        </w:rPr>
        <w:t>del Estado por las supuestas desapariciones forzadas de Wilfredo Terrones Silva</w:t>
      </w:r>
      <w:r>
        <w:rPr>
          <w:rFonts w:eastAsiaTheme="minorHAnsi" w:cs="Arial"/>
          <w:color w:val="0F0F0F"/>
          <w:szCs w:val="20"/>
          <w:lang w:val="es-CR"/>
        </w:rPr>
        <w:t xml:space="preserve"> (en adelante también “señor Terrones Silva”)</w:t>
      </w:r>
      <w:r w:rsidRPr="006C71FC">
        <w:rPr>
          <w:rFonts w:eastAsiaTheme="minorHAnsi" w:cs="Arial"/>
          <w:color w:val="0F0F0F"/>
          <w:szCs w:val="20"/>
          <w:lang w:val="es-CR"/>
        </w:rPr>
        <w:t>, Teresa Díaz Aparicio</w:t>
      </w:r>
      <w:r>
        <w:rPr>
          <w:rFonts w:eastAsiaTheme="minorHAnsi" w:cs="Arial"/>
          <w:color w:val="0F0F0F"/>
          <w:szCs w:val="20"/>
          <w:lang w:val="es-CR"/>
        </w:rPr>
        <w:t xml:space="preserve"> (en adelante también “señora Díaz Aparicio”)</w:t>
      </w:r>
      <w:r w:rsidRPr="006C71FC">
        <w:rPr>
          <w:rFonts w:eastAsiaTheme="minorHAnsi" w:cs="Arial"/>
          <w:color w:val="0F0F0F"/>
          <w:szCs w:val="20"/>
          <w:lang w:val="es-CR"/>
        </w:rPr>
        <w:t>, Santiago Antezana Cueto</w:t>
      </w:r>
      <w:r>
        <w:rPr>
          <w:rFonts w:eastAsiaTheme="minorHAnsi" w:cs="Arial"/>
          <w:color w:val="0F0F0F"/>
          <w:szCs w:val="20"/>
          <w:lang w:val="es-CR"/>
        </w:rPr>
        <w:t xml:space="preserve"> </w:t>
      </w:r>
      <w:r w:rsidRPr="003A2630">
        <w:rPr>
          <w:rFonts w:eastAsiaTheme="minorHAnsi" w:cs="Arial"/>
          <w:color w:val="0F0F0F"/>
          <w:szCs w:val="20"/>
        </w:rPr>
        <w:t>(en adelante también “señor Antezana Cueto”)</w:t>
      </w:r>
      <w:r w:rsidRPr="006C71FC">
        <w:rPr>
          <w:rFonts w:eastAsiaTheme="minorHAnsi" w:cs="Arial"/>
          <w:color w:val="0F0F0F"/>
          <w:szCs w:val="20"/>
          <w:lang w:val="es-CR"/>
        </w:rPr>
        <w:t xml:space="preserve">, Néstor Rojas Medina </w:t>
      </w:r>
      <w:r>
        <w:rPr>
          <w:rFonts w:eastAsiaTheme="minorHAnsi" w:cs="Arial"/>
          <w:color w:val="0F0F0F"/>
          <w:szCs w:val="20"/>
          <w:lang w:val="es-CR"/>
        </w:rPr>
        <w:t xml:space="preserve">(en adelante también “señor Rojas Medina”) </w:t>
      </w:r>
      <w:r w:rsidRPr="006C71FC">
        <w:rPr>
          <w:rFonts w:eastAsiaTheme="minorHAnsi" w:cs="Arial"/>
          <w:color w:val="0F0F0F"/>
          <w:szCs w:val="20"/>
          <w:lang w:val="es-CR"/>
        </w:rPr>
        <w:t>y Cory Clodolia Tenicela Tello</w:t>
      </w:r>
      <w:r>
        <w:rPr>
          <w:rFonts w:eastAsiaTheme="minorHAnsi" w:cs="Arial"/>
          <w:color w:val="0F0F0F"/>
          <w:szCs w:val="20"/>
          <w:lang w:val="es-CR"/>
        </w:rPr>
        <w:t xml:space="preserve"> (en adelante también “señora Tenicela Tello”)</w:t>
      </w:r>
      <w:r w:rsidRPr="006C71FC">
        <w:rPr>
          <w:rFonts w:eastAsiaTheme="minorHAnsi" w:cs="Arial"/>
          <w:color w:val="0F0F0F"/>
          <w:szCs w:val="20"/>
          <w:lang w:val="es-CR"/>
        </w:rPr>
        <w:t>.</w:t>
      </w:r>
    </w:p>
    <w:p w:rsidR="003D758A" w:rsidRPr="009731BA" w:rsidRDefault="003D758A" w:rsidP="003D758A">
      <w:pPr>
        <w:pStyle w:val="ListParagraph"/>
        <w:numPr>
          <w:ilvl w:val="0"/>
          <w:numId w:val="2"/>
        </w:numPr>
        <w:ind w:right="-144" w:firstLine="0"/>
        <w:rPr>
          <w:rFonts w:eastAsiaTheme="minorHAnsi" w:cs="Arial"/>
          <w:i/>
          <w:color w:val="0F0F0F"/>
          <w:szCs w:val="20"/>
          <w:lang w:val="es-CR"/>
        </w:rPr>
      </w:pPr>
      <w:r>
        <w:rPr>
          <w:rFonts w:eastAsiaTheme="minorHAnsi" w:cs="Arial"/>
          <w:i/>
          <w:color w:val="0F0F0F"/>
          <w:szCs w:val="20"/>
          <w:lang w:val="es-CR"/>
        </w:rPr>
        <w:t xml:space="preserve">Informe de Admisibilidad.- </w:t>
      </w:r>
      <w:r w:rsidRPr="00D44D37">
        <w:rPr>
          <w:rFonts w:eastAsiaTheme="minorHAnsi" w:cs="Arial"/>
          <w:color w:val="0F0F0F"/>
          <w:szCs w:val="20"/>
          <w:lang w:val="es-CR"/>
        </w:rPr>
        <w:t>El 22 de julio de 2011 la Comisión adoptó el</w:t>
      </w:r>
      <w:r w:rsidRPr="00D44D37">
        <w:rPr>
          <w:szCs w:val="20"/>
        </w:rPr>
        <w:t xml:space="preserve"> Informe No. 108/11 para el caso de Cory Clodolia Tenicela Tello; </w:t>
      </w:r>
      <w:r>
        <w:rPr>
          <w:szCs w:val="20"/>
        </w:rPr>
        <w:t xml:space="preserve">el 2 de noviembre de 2011 </w:t>
      </w:r>
      <w:r w:rsidRPr="00D44D37">
        <w:rPr>
          <w:szCs w:val="20"/>
        </w:rPr>
        <w:t xml:space="preserve">el </w:t>
      </w:r>
      <w:r w:rsidRPr="00D44D37">
        <w:rPr>
          <w:szCs w:val="20"/>
        </w:rPr>
        <w:lastRenderedPageBreak/>
        <w:t xml:space="preserve">Informe No. 163/11 para el caso de Teresa Díaz Aparicio, y </w:t>
      </w:r>
      <w:r>
        <w:rPr>
          <w:szCs w:val="20"/>
        </w:rPr>
        <w:t xml:space="preserve">el 27 de enero de 2012 </w:t>
      </w:r>
      <w:r w:rsidRPr="00D44D37">
        <w:rPr>
          <w:szCs w:val="20"/>
        </w:rPr>
        <w:t xml:space="preserve">el Informe No. 3/12 para el </w:t>
      </w:r>
      <w:r>
        <w:rPr>
          <w:szCs w:val="20"/>
        </w:rPr>
        <w:t>caso de Santiago Antezana Cueto</w:t>
      </w:r>
      <w:r w:rsidRPr="00D44D37">
        <w:rPr>
          <w:rStyle w:val="FootnoteReference"/>
          <w:rFonts w:eastAsiaTheme="minorHAnsi"/>
          <w:color w:val="0F0F0F"/>
          <w:sz w:val="20"/>
          <w:szCs w:val="20"/>
          <w:lang w:val="es-CR"/>
        </w:rPr>
        <w:footnoteReference w:id="3"/>
      </w:r>
      <w:r w:rsidRPr="00D44D37">
        <w:rPr>
          <w:rFonts w:eastAsiaTheme="minorHAnsi" w:cs="Arial"/>
          <w:color w:val="0F0F0F"/>
          <w:szCs w:val="20"/>
          <w:lang w:val="es-CR"/>
        </w:rPr>
        <w:t xml:space="preserve">. </w:t>
      </w:r>
    </w:p>
    <w:p w:rsidR="003D758A" w:rsidRPr="00DB1EAD" w:rsidRDefault="003D758A" w:rsidP="003D758A">
      <w:pPr>
        <w:pStyle w:val="ListParagraph"/>
        <w:numPr>
          <w:ilvl w:val="0"/>
          <w:numId w:val="2"/>
        </w:numPr>
        <w:ind w:right="-144" w:firstLine="0"/>
        <w:rPr>
          <w:rFonts w:eastAsiaTheme="minorHAnsi" w:cs="Arial"/>
          <w:i/>
          <w:color w:val="0F0F0F"/>
          <w:szCs w:val="20"/>
          <w:lang w:val="es-CR"/>
        </w:rPr>
      </w:pPr>
      <w:r>
        <w:rPr>
          <w:rFonts w:eastAsiaTheme="minorHAnsi" w:cs="Arial"/>
          <w:i/>
          <w:color w:val="0F0F0F"/>
          <w:szCs w:val="20"/>
          <w:lang w:val="es-CR"/>
        </w:rPr>
        <w:t xml:space="preserve">Informe de Admisibilidad y Fondo.- </w:t>
      </w:r>
      <w:r>
        <w:rPr>
          <w:rFonts w:eastAsiaTheme="minorHAnsi" w:cs="Arial"/>
          <w:color w:val="0F0F0F"/>
          <w:szCs w:val="20"/>
          <w:lang w:val="es-CR"/>
        </w:rPr>
        <w:t>El 13 de abril de 2016 la Comisión emitió el Informe de Admisibilidad y Fondo No. 5/16 (en adelante también “Informe de Fondo y Admisibilidad” o “el Informe Fondo” o “Informe”), en el cual la Comisión dispuso la acumulación de los casos. Dicho Informe de Admisibilidad y Fondo es para los casos de Wilfredo Terrones Silva y Néstor Rojas Medina, y es de Fondo para los casos de Cory Clodolia Tenicela Tello, Teresa Díaz Aparicio y Santiago Antezana Cueto, en los términos del artículo 50 de la Convención, ya que respecto de estos casos ya se había emitido el Informe de Admisibilidad (</w:t>
      </w:r>
      <w:r w:rsidRPr="00617F46">
        <w:rPr>
          <w:rFonts w:eastAsiaTheme="minorHAnsi" w:cs="Arial"/>
          <w:i/>
          <w:color w:val="0F0F0F"/>
          <w:szCs w:val="20"/>
          <w:lang w:val="es-CR"/>
        </w:rPr>
        <w:t xml:space="preserve">supra </w:t>
      </w:r>
      <w:r>
        <w:rPr>
          <w:rFonts w:eastAsiaTheme="minorHAnsi" w:cs="Arial"/>
          <w:color w:val="0F0F0F"/>
          <w:szCs w:val="20"/>
          <w:lang w:val="es-CR"/>
        </w:rPr>
        <w:t>párr. 2</w:t>
      </w:r>
      <w:r w:rsidR="00AA3B16">
        <w:rPr>
          <w:rFonts w:eastAsiaTheme="minorHAnsi" w:cs="Arial"/>
          <w:color w:val="0F0F0F"/>
          <w:szCs w:val="20"/>
          <w:lang w:val="es-CR"/>
        </w:rPr>
        <w:t>.b</w:t>
      </w:r>
      <w:r>
        <w:rPr>
          <w:rFonts w:eastAsiaTheme="minorHAnsi" w:cs="Arial"/>
          <w:color w:val="0F0F0F"/>
          <w:szCs w:val="20"/>
          <w:lang w:val="es-CR"/>
        </w:rPr>
        <w:t xml:space="preserve">), en el cual llegó a una serie de conclusiones en donde estableció que el Estado era responsable de distintas violaciones a derechos humanos consagrados en la Convención </w:t>
      </w:r>
      <w:r w:rsidRPr="00DB1EAD">
        <w:rPr>
          <w:rFonts w:eastAsiaTheme="minorHAnsi" w:cs="Arial"/>
          <w:color w:val="0F0F0F"/>
          <w:szCs w:val="20"/>
          <w:lang w:val="es-CR"/>
        </w:rPr>
        <w:t>Americana</w:t>
      </w:r>
      <w:r w:rsidRPr="00DB1EAD">
        <w:rPr>
          <w:rStyle w:val="FootnoteReference"/>
          <w:rFonts w:eastAsiaTheme="minorHAnsi"/>
          <w:color w:val="0F0F0F"/>
          <w:sz w:val="20"/>
          <w:szCs w:val="20"/>
          <w:lang w:val="es-CR"/>
        </w:rPr>
        <w:footnoteReference w:id="4"/>
      </w:r>
      <w:r w:rsidRPr="00DB1EAD">
        <w:rPr>
          <w:rFonts w:eastAsiaTheme="minorHAnsi" w:cs="Arial"/>
          <w:color w:val="0F0F0F"/>
          <w:szCs w:val="20"/>
          <w:lang w:val="es-CR"/>
        </w:rPr>
        <w:t xml:space="preserve"> y formuló varias recomendaciones al Estado</w:t>
      </w:r>
      <w:r w:rsidRPr="00DB1EAD">
        <w:rPr>
          <w:rStyle w:val="FootnoteReference"/>
          <w:rFonts w:eastAsiaTheme="minorHAnsi"/>
          <w:color w:val="0F0F0F"/>
          <w:sz w:val="20"/>
          <w:szCs w:val="20"/>
          <w:lang w:val="es-CR"/>
        </w:rPr>
        <w:footnoteReference w:id="5"/>
      </w:r>
      <w:r w:rsidRPr="00DB1EAD">
        <w:rPr>
          <w:rFonts w:eastAsiaTheme="minorHAnsi" w:cs="Arial"/>
          <w:color w:val="0F0F0F"/>
          <w:szCs w:val="20"/>
          <w:lang w:val="es-CR"/>
        </w:rPr>
        <w:t>.</w:t>
      </w:r>
    </w:p>
    <w:p w:rsidR="003D758A" w:rsidRPr="00DB1EAD" w:rsidRDefault="003D758A" w:rsidP="003D758A">
      <w:pPr>
        <w:ind w:left="720" w:right="-144"/>
        <w:rPr>
          <w:rFonts w:eastAsiaTheme="minorHAnsi" w:cs="Arial"/>
          <w:color w:val="0F0F0F"/>
          <w:szCs w:val="20"/>
          <w:lang w:val="es-CR"/>
        </w:rPr>
      </w:pPr>
    </w:p>
    <w:p w:rsidR="003D758A" w:rsidRPr="004F2A8E" w:rsidRDefault="003D758A" w:rsidP="003D758A">
      <w:pPr>
        <w:pStyle w:val="ListParagraph"/>
        <w:numPr>
          <w:ilvl w:val="0"/>
          <w:numId w:val="2"/>
        </w:numPr>
        <w:ind w:right="-144" w:firstLine="0"/>
        <w:rPr>
          <w:rFonts w:eastAsiaTheme="minorHAnsi" w:cs="Arial"/>
          <w:color w:val="0F0F0F"/>
          <w:szCs w:val="20"/>
          <w:lang w:val="es-CR"/>
        </w:rPr>
      </w:pPr>
      <w:r w:rsidRPr="004F2A8E">
        <w:rPr>
          <w:rFonts w:eastAsiaTheme="minorHAnsi" w:cs="Arial"/>
          <w:i/>
          <w:color w:val="0F0F0F"/>
          <w:szCs w:val="20"/>
          <w:lang w:val="es-CR"/>
        </w:rPr>
        <w:lastRenderedPageBreak/>
        <w:t xml:space="preserve">Notificación al Estado.- </w:t>
      </w:r>
      <w:r w:rsidRPr="004F2A8E">
        <w:rPr>
          <w:rFonts w:eastAsiaTheme="minorHAnsi" w:cs="Arial"/>
          <w:color w:val="0F0F0F"/>
          <w:szCs w:val="20"/>
          <w:lang w:val="es-CR"/>
        </w:rPr>
        <w:t xml:space="preserve">La Comisión notificó el Informe de Fondo al Estado el 9 de junio de 2016, otorgándole un plazo de dos meses para informar </w:t>
      </w:r>
      <w:r w:rsidRPr="00897CBE">
        <w:t>sobre el cumplimiento de las recomendaciones</w:t>
      </w:r>
      <w:r w:rsidRPr="0040607E">
        <w:t>.</w:t>
      </w:r>
      <w:r>
        <w:t xml:space="preserve"> Tras el otorgamiento de una prórroga, la Comisión observa que el Estado no ha dado cumplimiento a las recomendaciones.</w:t>
      </w:r>
    </w:p>
    <w:p w:rsidR="003D758A" w:rsidRPr="001747BB" w:rsidRDefault="003D758A" w:rsidP="003D758A">
      <w:pPr>
        <w:pStyle w:val="ListParagraph"/>
        <w:rPr>
          <w:rFonts w:eastAsiaTheme="minorHAnsi" w:cs="Arial"/>
          <w:color w:val="0F0F0F"/>
          <w:szCs w:val="20"/>
          <w:lang w:val="es-CR"/>
        </w:rPr>
      </w:pPr>
    </w:p>
    <w:p w:rsidR="003D758A" w:rsidRPr="00F23541" w:rsidRDefault="003D758A" w:rsidP="003D758A">
      <w:pPr>
        <w:pStyle w:val="ListParagraph"/>
        <w:numPr>
          <w:ilvl w:val="0"/>
          <w:numId w:val="1"/>
        </w:numPr>
        <w:ind w:left="0" w:right="-144" w:firstLine="0"/>
        <w:rPr>
          <w:rFonts w:eastAsiaTheme="minorHAnsi" w:cs="Arial"/>
          <w:b/>
          <w:color w:val="0F0F0F"/>
          <w:sz w:val="16"/>
          <w:szCs w:val="16"/>
          <w:lang w:val="es-CR"/>
        </w:rPr>
      </w:pPr>
      <w:r w:rsidRPr="001747BB">
        <w:rPr>
          <w:rFonts w:eastAsiaTheme="minorHAnsi" w:cs="Arial"/>
          <w:i/>
          <w:color w:val="0F0F0F"/>
          <w:szCs w:val="20"/>
          <w:lang w:val="es-CR"/>
        </w:rPr>
        <w:t xml:space="preserve">Sometimiento a la Corte.- </w:t>
      </w:r>
      <w:r>
        <w:rPr>
          <w:rFonts w:eastAsiaTheme="minorHAnsi" w:cs="Arial"/>
          <w:color w:val="0F0F0F"/>
          <w:szCs w:val="20"/>
          <w:lang w:val="es-CR"/>
        </w:rPr>
        <w:t>El 9 de noviembre de 2016</w:t>
      </w:r>
      <w:r w:rsidRPr="001747BB">
        <w:rPr>
          <w:rFonts w:eastAsiaTheme="minorHAnsi" w:cs="Arial"/>
          <w:color w:val="0F0F0F"/>
          <w:szCs w:val="20"/>
          <w:lang w:val="es-CR"/>
        </w:rPr>
        <w:t xml:space="preserve"> la Comisión</w:t>
      </w:r>
      <w:r>
        <w:rPr>
          <w:rFonts w:eastAsiaTheme="minorHAnsi" w:cs="Arial"/>
          <w:color w:val="0F0F0F"/>
          <w:szCs w:val="20"/>
          <w:lang w:val="es-CR"/>
        </w:rPr>
        <w:t xml:space="preserve"> </w:t>
      </w:r>
      <w:r w:rsidRPr="001747BB">
        <w:rPr>
          <w:rFonts w:eastAsiaTheme="minorHAnsi" w:cs="Arial"/>
          <w:color w:val="0F0F0F"/>
          <w:szCs w:val="20"/>
          <w:lang w:val="es-CR"/>
        </w:rPr>
        <w:t>sometió a la jurisdicción de la Corte Interamericana la totalidad de los hechos y alegadas violaciones de derechos humanos descritos en el Informe de Fondo “</w:t>
      </w:r>
      <w:r>
        <w:rPr>
          <w:rFonts w:eastAsiaTheme="minorHAnsi" w:cs="Arial"/>
          <w:color w:val="0F0F0F"/>
          <w:szCs w:val="20"/>
          <w:lang w:val="es-CR"/>
        </w:rPr>
        <w:t>ante</w:t>
      </w:r>
      <w:r w:rsidRPr="001747BB">
        <w:rPr>
          <w:rFonts w:eastAsiaTheme="minorHAnsi" w:cs="Arial"/>
          <w:color w:val="0F0F0F"/>
          <w:szCs w:val="20"/>
          <w:lang w:val="es-CR"/>
        </w:rPr>
        <w:t xml:space="preserve"> la necesidad de obtención de justicia para l</w:t>
      </w:r>
      <w:r>
        <w:rPr>
          <w:rFonts w:eastAsiaTheme="minorHAnsi" w:cs="Arial"/>
          <w:color w:val="0F0F0F"/>
          <w:szCs w:val="20"/>
          <w:lang w:val="es-CR"/>
        </w:rPr>
        <w:t xml:space="preserve">as víctimas”. </w:t>
      </w:r>
    </w:p>
    <w:p w:rsidR="003D758A" w:rsidRDefault="003D758A" w:rsidP="003D758A">
      <w:pPr>
        <w:pStyle w:val="ListParagraph"/>
        <w:ind w:left="0" w:right="-144"/>
        <w:rPr>
          <w:rFonts w:eastAsiaTheme="minorHAnsi" w:cs="Arial"/>
          <w:color w:val="0F0F0F"/>
          <w:szCs w:val="20"/>
          <w:lang w:val="es-CR"/>
        </w:rPr>
      </w:pPr>
    </w:p>
    <w:p w:rsidR="003D758A" w:rsidRPr="00473A82" w:rsidRDefault="003D758A" w:rsidP="003D758A">
      <w:pPr>
        <w:pStyle w:val="ListParagraph"/>
        <w:numPr>
          <w:ilvl w:val="0"/>
          <w:numId w:val="1"/>
        </w:numPr>
        <w:ind w:left="0" w:right="-144" w:firstLine="0"/>
      </w:pPr>
      <w:r w:rsidRPr="00FC2B45">
        <w:rPr>
          <w:i/>
        </w:rPr>
        <w:t xml:space="preserve">Solicitud </w:t>
      </w:r>
      <w:r>
        <w:rPr>
          <w:i/>
        </w:rPr>
        <w:t>de la Comisión Interamericana.-</w:t>
      </w:r>
      <w:r w:rsidRPr="00FC2B45">
        <w:rPr>
          <w:i/>
        </w:rPr>
        <w:t xml:space="preserve"> </w:t>
      </w:r>
      <w:r w:rsidRPr="00FC2B45">
        <w:rPr>
          <w:szCs w:val="20"/>
        </w:rPr>
        <w:t>Con base en lo an</w:t>
      </w:r>
      <w:r>
        <w:rPr>
          <w:szCs w:val="20"/>
        </w:rPr>
        <w:t xml:space="preserve">terior, la Comisión solicitó a la Corte </w:t>
      </w:r>
      <w:r w:rsidRPr="00FC2B45">
        <w:rPr>
          <w:szCs w:val="20"/>
        </w:rPr>
        <w:t xml:space="preserve">que </w:t>
      </w:r>
      <w:r>
        <w:rPr>
          <w:szCs w:val="20"/>
        </w:rPr>
        <w:t xml:space="preserve">concluya y </w:t>
      </w:r>
      <w:r w:rsidRPr="00FC2B45">
        <w:rPr>
          <w:szCs w:val="20"/>
        </w:rPr>
        <w:t>declare la respon</w:t>
      </w:r>
      <w:r>
        <w:rPr>
          <w:szCs w:val="20"/>
        </w:rPr>
        <w:t xml:space="preserve">sabilidad internacional del Perú </w:t>
      </w:r>
      <w:r w:rsidRPr="00FC2B45">
        <w:rPr>
          <w:szCs w:val="20"/>
        </w:rPr>
        <w:t xml:space="preserve">por </w:t>
      </w:r>
      <w:r w:rsidRPr="00BC1EDE">
        <w:t xml:space="preserve">la </w:t>
      </w:r>
      <w:r>
        <w:t xml:space="preserve">alegada </w:t>
      </w:r>
      <w:r w:rsidRPr="00BC1EDE">
        <w:t xml:space="preserve">violación de los derechos anteriormente indicados en las conclusiones del Informe de </w:t>
      </w:r>
      <w:r>
        <w:t>F</w:t>
      </w:r>
      <w:r w:rsidRPr="00BC1EDE">
        <w:t>ondo</w:t>
      </w:r>
      <w:r>
        <w:t xml:space="preserve"> y Admisibilidad</w:t>
      </w:r>
      <w:r w:rsidRPr="00FC2B45">
        <w:rPr>
          <w:rFonts w:eastAsiaTheme="minorHAnsi" w:cs="Arial"/>
          <w:bCs/>
          <w:szCs w:val="20"/>
          <w:lang w:val="es-CR"/>
        </w:rPr>
        <w:t xml:space="preserve">. </w:t>
      </w:r>
      <w:r w:rsidRPr="004F5D9D">
        <w:rPr>
          <w:rFonts w:eastAsiaTheme="minorHAnsi" w:cs="Arial"/>
          <w:color w:val="0F0F0F"/>
          <w:szCs w:val="20"/>
          <w:lang w:val="es-CR"/>
        </w:rPr>
        <w:t>Adicionalmente</w:t>
      </w:r>
      <w:r w:rsidRPr="00BC1EDE">
        <w:t>, la Comisión solicitó a la Corte que ordene al Estado determinadas medidas de reparación, que se detallarán y analizarán en el capítulo correspondiente</w:t>
      </w:r>
      <w:r w:rsidRPr="00FC2B45">
        <w:rPr>
          <w:szCs w:val="20"/>
        </w:rPr>
        <w:t xml:space="preserve">. </w:t>
      </w:r>
    </w:p>
    <w:p w:rsidR="003D758A" w:rsidRPr="001A2834" w:rsidRDefault="003D758A" w:rsidP="003D758A">
      <w:pPr>
        <w:pStyle w:val="ListParagraph"/>
        <w:ind w:left="0" w:right="-144"/>
        <w:rPr>
          <w:rFonts w:eastAsiaTheme="minorHAnsi" w:cs="Arial"/>
          <w:color w:val="0F0F0F"/>
          <w:szCs w:val="20"/>
          <w:lang w:val="es-CR"/>
        </w:rPr>
      </w:pPr>
    </w:p>
    <w:p w:rsidR="003D758A" w:rsidRPr="009B6028" w:rsidRDefault="003D758A" w:rsidP="003D758A">
      <w:pPr>
        <w:pStyle w:val="Heading1"/>
        <w:spacing w:before="0"/>
        <w:jc w:val="center"/>
        <w:rPr>
          <w:sz w:val="22"/>
          <w:szCs w:val="22"/>
          <w:lang w:val="es-ES_tradnl"/>
        </w:rPr>
      </w:pPr>
      <w:bookmarkStart w:id="48" w:name="_Toc527993502"/>
      <w:r w:rsidRPr="009B6028">
        <w:rPr>
          <w:sz w:val="22"/>
          <w:szCs w:val="22"/>
          <w:lang w:val="es-ES_tradnl"/>
        </w:rPr>
        <w:t>II</w:t>
      </w:r>
      <w:bookmarkEnd w:id="48"/>
    </w:p>
    <w:p w:rsidR="003D758A" w:rsidRDefault="003D758A" w:rsidP="003D758A">
      <w:pPr>
        <w:pStyle w:val="Heading1"/>
        <w:spacing w:before="0"/>
        <w:jc w:val="center"/>
        <w:rPr>
          <w:sz w:val="20"/>
          <w:szCs w:val="20"/>
          <w:lang w:val="es-ES_tradnl"/>
        </w:rPr>
      </w:pPr>
      <w:bookmarkStart w:id="49" w:name="_Toc527993503"/>
      <w:r w:rsidRPr="009B6028">
        <w:rPr>
          <w:sz w:val="22"/>
          <w:szCs w:val="22"/>
          <w:lang w:val="es-ES_tradnl"/>
        </w:rPr>
        <w:t>PROCEDIMIENTO ANTE LA CORTE</w:t>
      </w:r>
      <w:bookmarkEnd w:id="49"/>
    </w:p>
    <w:p w:rsidR="003D758A" w:rsidRPr="001747BB" w:rsidRDefault="003D758A" w:rsidP="003D758A">
      <w:pPr>
        <w:pStyle w:val="ListParagraph"/>
        <w:ind w:left="0" w:right="-235"/>
        <w:jc w:val="center"/>
        <w:rPr>
          <w:rFonts w:eastAsiaTheme="minorHAnsi" w:cs="Arial"/>
          <w:color w:val="0F0F0F"/>
          <w:szCs w:val="20"/>
          <w:lang w:val="es-ES_tradnl"/>
        </w:rPr>
      </w:pPr>
    </w:p>
    <w:p w:rsidR="003D758A" w:rsidRPr="00F23541" w:rsidRDefault="003D758A" w:rsidP="003D758A">
      <w:pPr>
        <w:pStyle w:val="PrrafodeSentencia"/>
        <w:numPr>
          <w:ilvl w:val="0"/>
          <w:numId w:val="1"/>
        </w:numPr>
        <w:tabs>
          <w:tab w:val="clear" w:pos="567"/>
        </w:tabs>
        <w:ind w:left="0" w:right="-235" w:firstLine="0"/>
        <w:rPr>
          <w:sz w:val="16"/>
          <w:szCs w:val="16"/>
        </w:rPr>
      </w:pPr>
      <w:r w:rsidRPr="006804CD">
        <w:rPr>
          <w:szCs w:val="20"/>
        </w:rPr>
        <w:t>El sometimiento del caso fue notificado a los representantes</w:t>
      </w:r>
      <w:r w:rsidRPr="007A333E">
        <w:rPr>
          <w:rStyle w:val="FootnoteReference"/>
          <w:sz w:val="20"/>
          <w:szCs w:val="20"/>
        </w:rPr>
        <w:footnoteReference w:id="6"/>
      </w:r>
      <w:r w:rsidRPr="006804CD">
        <w:rPr>
          <w:szCs w:val="20"/>
        </w:rPr>
        <w:t xml:space="preserve"> de las presuntas víctimas </w:t>
      </w:r>
      <w:r>
        <w:rPr>
          <w:szCs w:val="20"/>
        </w:rPr>
        <w:t xml:space="preserve">(en adelante también “los representantes”) </w:t>
      </w:r>
      <w:r w:rsidRPr="006804CD">
        <w:rPr>
          <w:szCs w:val="20"/>
        </w:rPr>
        <w:t xml:space="preserve">y al Estado el </w:t>
      </w:r>
      <w:r>
        <w:rPr>
          <w:szCs w:val="20"/>
        </w:rPr>
        <w:t>13 de febrero</w:t>
      </w:r>
      <w:r w:rsidRPr="006804CD">
        <w:rPr>
          <w:szCs w:val="20"/>
        </w:rPr>
        <w:t xml:space="preserve"> de 201</w:t>
      </w:r>
      <w:r>
        <w:rPr>
          <w:szCs w:val="20"/>
        </w:rPr>
        <w:t>7</w:t>
      </w:r>
      <w:r w:rsidRPr="006804CD">
        <w:rPr>
          <w:szCs w:val="20"/>
        </w:rPr>
        <w:t>, respectivamente.</w:t>
      </w:r>
    </w:p>
    <w:p w:rsidR="003D758A" w:rsidRPr="004A0940" w:rsidRDefault="003D758A" w:rsidP="003D758A">
      <w:pPr>
        <w:pStyle w:val="PrrafodeSentencia"/>
        <w:ind w:right="-235"/>
      </w:pPr>
    </w:p>
    <w:p w:rsidR="003D758A" w:rsidRDefault="003D758A" w:rsidP="003D758A">
      <w:pPr>
        <w:pStyle w:val="PrrafodeSentencia"/>
        <w:numPr>
          <w:ilvl w:val="0"/>
          <w:numId w:val="1"/>
        </w:numPr>
        <w:ind w:left="0" w:right="-235" w:firstLine="0"/>
        <w:rPr>
          <w:rFonts w:eastAsiaTheme="minorHAnsi" w:cs="Arial"/>
          <w:color w:val="0F0F0F"/>
          <w:sz w:val="16"/>
          <w:szCs w:val="16"/>
        </w:rPr>
      </w:pPr>
      <w:r w:rsidRPr="00B31C66">
        <w:rPr>
          <w:i/>
        </w:rPr>
        <w:t xml:space="preserve">Escrito de solicitudes, argumentos y pruebas. - </w:t>
      </w:r>
      <w:r>
        <w:t>El 11 de abril de 2017</w:t>
      </w:r>
      <w:r w:rsidRPr="004A0940">
        <w:t xml:space="preserve"> </w:t>
      </w:r>
      <w:r>
        <w:t>la Asociación Pro Derechos Humanos (en adelante también “APRODEH”), la Comisión de Derechos Humanos (en adelante también “COMISEDH”) y el Instituto de Defensa Legal (en adelante también “IDL”) presentaron</w:t>
      </w:r>
      <w:r w:rsidRPr="004A0940">
        <w:t xml:space="preserve"> su escrito de solicitudes, argumentos y pruebas (en adelante “escrito de solicitudes y argumentos”</w:t>
      </w:r>
      <w:r>
        <w:t xml:space="preserve"> o “ESAP”</w:t>
      </w:r>
      <w:r w:rsidRPr="004A0940">
        <w:t>), conforme a los artículos 25 y 40 del Reglamento de la Corte. Los representantes coincidieron sustancialmente con los alegatos de la Comisión y solicitaron a la Corte que declarara la responsabilidad internacional del Estado por la violación de los mismos artí</w:t>
      </w:r>
      <w:r>
        <w:t xml:space="preserve">culos alegados por la Comisión. </w:t>
      </w:r>
      <w:r w:rsidRPr="004A0940">
        <w:t xml:space="preserve">Finalmente, los representantes solicitaron diversas medidas de reparación y el reintegro de costas y gastos. </w:t>
      </w:r>
    </w:p>
    <w:p w:rsidR="003D758A" w:rsidRPr="00B31C66" w:rsidRDefault="003D758A" w:rsidP="003D758A">
      <w:pPr>
        <w:rPr>
          <w:lang w:val="es-CR" w:eastAsia="es-MX"/>
        </w:rPr>
      </w:pPr>
    </w:p>
    <w:p w:rsidR="003D758A" w:rsidRDefault="003D758A" w:rsidP="003D758A">
      <w:pPr>
        <w:pStyle w:val="PrrafodeSentencia"/>
        <w:numPr>
          <w:ilvl w:val="0"/>
          <w:numId w:val="1"/>
        </w:numPr>
        <w:ind w:left="0" w:right="-235" w:firstLine="0"/>
        <w:rPr>
          <w:b/>
          <w:sz w:val="16"/>
          <w:szCs w:val="16"/>
        </w:rPr>
      </w:pPr>
      <w:r w:rsidRPr="004A0940">
        <w:rPr>
          <w:i/>
        </w:rPr>
        <w:t xml:space="preserve">Escrito de contestación. - </w:t>
      </w:r>
      <w:r>
        <w:t>El 5 de julio de 2017</w:t>
      </w:r>
      <w:r w:rsidRPr="004A0940">
        <w:t xml:space="preserve"> el Estado presentó ante la Corte su escrito </w:t>
      </w:r>
      <w:r>
        <w:t xml:space="preserve">de interposición de excepciones preliminares y </w:t>
      </w:r>
      <w:r w:rsidRPr="004A0940">
        <w:t>contestación al sometimiento del caso de la Comisión y de observaciones al escrito de solicitudes y argumentos (en adelante “escrito de c</w:t>
      </w:r>
      <w:r>
        <w:t>ontestación”)</w:t>
      </w:r>
      <w:r w:rsidR="0006689D">
        <w:rPr>
          <w:rStyle w:val="FootnoteReference"/>
        </w:rPr>
        <w:footnoteReference w:id="7"/>
      </w:r>
      <w:r>
        <w:t xml:space="preserve">. </w:t>
      </w:r>
    </w:p>
    <w:p w:rsidR="003D758A" w:rsidRPr="001102C1" w:rsidRDefault="003D758A" w:rsidP="003D758A">
      <w:pPr>
        <w:rPr>
          <w:i/>
          <w:lang w:val="es-CR" w:eastAsia="es-MX"/>
        </w:rPr>
      </w:pPr>
    </w:p>
    <w:p w:rsidR="003D758A" w:rsidRPr="006C3195" w:rsidRDefault="003D758A" w:rsidP="003D758A">
      <w:pPr>
        <w:pStyle w:val="ListParagraph"/>
        <w:numPr>
          <w:ilvl w:val="0"/>
          <w:numId w:val="1"/>
        </w:numPr>
        <w:ind w:left="0" w:right="-226" w:firstLine="0"/>
        <w:rPr>
          <w:i/>
          <w:lang w:val="es-CR" w:eastAsia="es-MX"/>
        </w:rPr>
      </w:pPr>
      <w:r w:rsidRPr="006C3195">
        <w:rPr>
          <w:i/>
          <w:lang w:val="es-CR" w:eastAsia="es-MX"/>
        </w:rPr>
        <w:t>Resolución de Fondo de Asistenci</w:t>
      </w:r>
      <w:r>
        <w:rPr>
          <w:i/>
          <w:lang w:val="es-CR" w:eastAsia="es-MX"/>
        </w:rPr>
        <w:t>a L</w:t>
      </w:r>
      <w:r w:rsidRPr="006C3195">
        <w:rPr>
          <w:i/>
          <w:lang w:val="es-CR" w:eastAsia="es-MX"/>
        </w:rPr>
        <w:t xml:space="preserve">egal de Víctimas.- </w:t>
      </w:r>
      <w:r w:rsidRPr="006C3195">
        <w:rPr>
          <w:lang w:val="es-CR" w:eastAsia="es-MX"/>
        </w:rPr>
        <w:t>El 24 de julio de 2017 el Pre</w:t>
      </w:r>
      <w:r>
        <w:rPr>
          <w:lang w:val="es-CR" w:eastAsia="es-MX"/>
        </w:rPr>
        <w:t>sidente emitió una R</w:t>
      </w:r>
      <w:r w:rsidRPr="006C3195">
        <w:rPr>
          <w:lang w:val="es-CR" w:eastAsia="es-MX"/>
        </w:rPr>
        <w:t>esolución, mediante la cual</w:t>
      </w:r>
      <w:r>
        <w:rPr>
          <w:lang w:val="es-CR" w:eastAsia="es-MX"/>
        </w:rPr>
        <w:t xml:space="preserve"> declaró procedente la solicitud interpuesta por las presuntas víctimas, a través de sus representantes, para acogerse al Fondo de Asistencia de la Corte</w:t>
      </w:r>
      <w:r w:rsidRPr="006C3195">
        <w:rPr>
          <w:rStyle w:val="FootnoteReference"/>
          <w:sz w:val="20"/>
          <w:szCs w:val="20"/>
          <w:lang w:val="es-CR" w:eastAsia="es-MX"/>
        </w:rPr>
        <w:footnoteReference w:id="8"/>
      </w:r>
      <w:r w:rsidRPr="006C3195">
        <w:rPr>
          <w:szCs w:val="20"/>
          <w:lang w:val="es-CR" w:eastAsia="es-MX"/>
        </w:rPr>
        <w:t>.</w:t>
      </w:r>
    </w:p>
    <w:p w:rsidR="003D758A" w:rsidRPr="001102C1" w:rsidRDefault="003D758A" w:rsidP="003D758A">
      <w:pPr>
        <w:pStyle w:val="ListParagraph"/>
        <w:ind w:left="0"/>
        <w:rPr>
          <w:i/>
          <w:lang w:val="es-CR" w:eastAsia="es-MX"/>
        </w:rPr>
      </w:pPr>
    </w:p>
    <w:p w:rsidR="003D758A" w:rsidRPr="00FA6510" w:rsidRDefault="003D758A" w:rsidP="003D758A">
      <w:pPr>
        <w:pStyle w:val="PrrafodeSentencia"/>
        <w:numPr>
          <w:ilvl w:val="0"/>
          <w:numId w:val="1"/>
        </w:numPr>
        <w:ind w:left="0" w:right="-235" w:firstLine="0"/>
        <w:rPr>
          <w:i/>
        </w:rPr>
      </w:pPr>
      <w:r w:rsidRPr="00FA6510">
        <w:rPr>
          <w:i/>
        </w:rPr>
        <w:lastRenderedPageBreak/>
        <w:t>Observaciones a las excepciones preliminares.-</w:t>
      </w:r>
      <w:r>
        <w:rPr>
          <w:i/>
        </w:rPr>
        <w:t xml:space="preserve"> </w:t>
      </w:r>
      <w:r w:rsidRPr="00DE5BB1">
        <w:t xml:space="preserve">El 17 de </w:t>
      </w:r>
      <w:r>
        <w:t>agosto</w:t>
      </w:r>
      <w:r w:rsidRPr="00DE5BB1">
        <w:t xml:space="preserve"> de 2017</w:t>
      </w:r>
      <w:r>
        <w:t xml:space="preserve"> la Comisión y los representantes presentaron, respectivamente, sus observaciones a las excepciones preliminares interpuestas por el Estado y solicitaron su rechazo. </w:t>
      </w:r>
    </w:p>
    <w:p w:rsidR="003D758A" w:rsidRPr="004A0940" w:rsidRDefault="003D758A" w:rsidP="003D758A">
      <w:pPr>
        <w:pStyle w:val="PrrafodeSentencia"/>
        <w:ind w:right="-235"/>
      </w:pPr>
    </w:p>
    <w:p w:rsidR="003D758A" w:rsidRDefault="003D758A" w:rsidP="003D758A">
      <w:pPr>
        <w:pStyle w:val="PrrafodeSentencia"/>
        <w:numPr>
          <w:ilvl w:val="0"/>
          <w:numId w:val="1"/>
        </w:numPr>
        <w:ind w:left="0" w:right="-235" w:firstLine="0"/>
      </w:pPr>
      <w:r w:rsidRPr="004A0940">
        <w:rPr>
          <w:i/>
        </w:rPr>
        <w:t xml:space="preserve">Audiencia </w:t>
      </w:r>
      <w:r w:rsidR="00C75413">
        <w:rPr>
          <w:i/>
        </w:rPr>
        <w:t>p</w:t>
      </w:r>
      <w:r w:rsidRPr="004A0940">
        <w:rPr>
          <w:i/>
        </w:rPr>
        <w:t xml:space="preserve">ública. - </w:t>
      </w:r>
      <w:r>
        <w:t xml:space="preserve">El 20 de febrero de 2018 </w:t>
      </w:r>
      <w:r w:rsidRPr="004A0940">
        <w:t>el Presidente emitió una Resolución</w:t>
      </w:r>
      <w:r w:rsidRPr="00A5696F">
        <w:rPr>
          <w:szCs w:val="20"/>
        </w:rPr>
        <w:t xml:space="preserve"> </w:t>
      </w:r>
      <w:r w:rsidRPr="004A0940">
        <w:t xml:space="preserve">mediante la cual convocó al Estado, </w:t>
      </w:r>
      <w:r>
        <w:t xml:space="preserve">a </w:t>
      </w:r>
      <w:r w:rsidRPr="004A0940">
        <w:t xml:space="preserve">los representantes y a la Comisión Interamericana a la celebración de una audiencia pública, </w:t>
      </w:r>
      <w:r>
        <w:t xml:space="preserve">sobre las excepciones preliminares y eventuales fondo, </w:t>
      </w:r>
      <w:r w:rsidRPr="004A0940">
        <w:t xml:space="preserve">reparaciones y costas, para escuchar los alegatos finales orales de las partes, y las observaciones finales orales de la Comisión respecto </w:t>
      </w:r>
      <w:r>
        <w:t>a esos</w:t>
      </w:r>
      <w:r w:rsidRPr="004A0940">
        <w:t xml:space="preserve"> temas</w:t>
      </w:r>
      <w:r w:rsidRPr="00617F46">
        <w:rPr>
          <w:rStyle w:val="FootnoteReference"/>
          <w:sz w:val="20"/>
          <w:szCs w:val="20"/>
        </w:rPr>
        <w:footnoteReference w:id="9"/>
      </w:r>
      <w:r w:rsidRPr="004A0940">
        <w:t>.</w:t>
      </w:r>
      <w:r>
        <w:t xml:space="preserve"> </w:t>
      </w:r>
      <w:r w:rsidRPr="004A0940">
        <w:rPr>
          <w:bCs/>
        </w:rPr>
        <w:t xml:space="preserve">Asimismo, mediante dicha Resolución se </w:t>
      </w:r>
      <w:r w:rsidRPr="004A0940">
        <w:t>ordenó recibir declaraciones rendidas ante fedatario público (</w:t>
      </w:r>
      <w:r w:rsidRPr="004A0940">
        <w:rPr>
          <w:i/>
        </w:rPr>
        <w:t>a</w:t>
      </w:r>
      <w:r>
        <w:rPr>
          <w:i/>
        </w:rPr>
        <w:t>ff</w:t>
      </w:r>
      <w:r w:rsidRPr="004A0940">
        <w:rPr>
          <w:i/>
        </w:rPr>
        <w:t>idávit</w:t>
      </w:r>
      <w:r w:rsidRPr="004A0940">
        <w:t>) de</w:t>
      </w:r>
      <w:r>
        <w:t xml:space="preserve"> dos declarantes propuestos por los representantes,</w:t>
      </w:r>
      <w:r w:rsidRPr="004A0940">
        <w:t xml:space="preserve"> </w:t>
      </w:r>
      <w:r>
        <w:t>dos testigos</w:t>
      </w:r>
      <w:r w:rsidRPr="004A0940">
        <w:t xml:space="preserve"> </w:t>
      </w:r>
      <w:r>
        <w:t xml:space="preserve">propuestos por el Estado </w:t>
      </w:r>
      <w:r w:rsidRPr="004A0940">
        <w:t xml:space="preserve">y </w:t>
      </w:r>
      <w:r w:rsidRPr="004F1ED8">
        <w:t>tres</w:t>
      </w:r>
      <w:r>
        <w:t xml:space="preserve"> </w:t>
      </w:r>
      <w:r w:rsidRPr="004A0940">
        <w:t>peritos,</w:t>
      </w:r>
      <w:r>
        <w:t xml:space="preserve"> según el caso, propuestos por la Comisión y los representantes. Los días 7 y 9 de marzo de 2018 el Estado y los representantes, y la Comisión, respectivamente, remitieron los affidávits de los declarantes. </w:t>
      </w:r>
      <w:r w:rsidRPr="004A0940">
        <w:t xml:space="preserve">Adicionalmente, </w:t>
      </w:r>
      <w:r>
        <w:t xml:space="preserve">conforme a la referida Resolución </w:t>
      </w:r>
      <w:r w:rsidRPr="004A0940">
        <w:t>se convocó a declar</w:t>
      </w:r>
      <w:r>
        <w:t>ar en la audiencia pública a tres</w:t>
      </w:r>
      <w:r w:rsidRPr="004A0940">
        <w:t xml:space="preserve"> </w:t>
      </w:r>
      <w:r w:rsidR="00AA3B16">
        <w:t xml:space="preserve">declarantes </w:t>
      </w:r>
      <w:r>
        <w:t>propuest</w:t>
      </w:r>
      <w:r w:rsidR="00AA3B16">
        <w:t>o</w:t>
      </w:r>
      <w:r>
        <w:t xml:space="preserve">s por los representantes y a un testigo </w:t>
      </w:r>
      <w:r w:rsidRPr="004A0940">
        <w:t>propues</w:t>
      </w:r>
      <w:r>
        <w:t>to por el Estado</w:t>
      </w:r>
      <w:r w:rsidRPr="004A0940">
        <w:t xml:space="preserve">. </w:t>
      </w:r>
      <w:r w:rsidRPr="00167264">
        <w:rPr>
          <w:szCs w:val="20"/>
        </w:rPr>
        <w:t xml:space="preserve">La audiencia pública fue celebrada </w:t>
      </w:r>
      <w:r>
        <w:rPr>
          <w:szCs w:val="20"/>
        </w:rPr>
        <w:t>los días 13 y 14 de marzo de 2018 durante el 122 Período O</w:t>
      </w:r>
      <w:r w:rsidRPr="00167264">
        <w:rPr>
          <w:szCs w:val="20"/>
        </w:rPr>
        <w:t>rdinario de Sesiones de la Co</w:t>
      </w:r>
      <w:r>
        <w:rPr>
          <w:szCs w:val="20"/>
        </w:rPr>
        <w:t>rte, llevado a cabo en la sede del Tribunal</w:t>
      </w:r>
      <w:r w:rsidRPr="00167264">
        <w:rPr>
          <w:szCs w:val="20"/>
          <w:vertAlign w:val="superscript"/>
        </w:rPr>
        <w:footnoteReference w:id="10"/>
      </w:r>
      <w:r w:rsidRPr="00167264">
        <w:rPr>
          <w:szCs w:val="20"/>
        </w:rPr>
        <w:t xml:space="preserve">. </w:t>
      </w:r>
    </w:p>
    <w:p w:rsidR="003D758A" w:rsidRPr="00C356C1" w:rsidRDefault="003D758A" w:rsidP="003D758A">
      <w:pPr>
        <w:rPr>
          <w:lang w:val="es-CR" w:eastAsia="es-MX"/>
        </w:rPr>
      </w:pPr>
    </w:p>
    <w:p w:rsidR="003D758A" w:rsidRPr="0063159A" w:rsidRDefault="003D758A" w:rsidP="003D758A">
      <w:pPr>
        <w:pStyle w:val="PrrafodeSentencia"/>
        <w:numPr>
          <w:ilvl w:val="0"/>
          <w:numId w:val="1"/>
        </w:numPr>
        <w:ind w:left="0" w:right="-235" w:firstLine="0"/>
        <w:rPr>
          <w:b/>
          <w:sz w:val="16"/>
          <w:szCs w:val="16"/>
        </w:rPr>
      </w:pPr>
      <w:r w:rsidRPr="0063159A">
        <w:rPr>
          <w:i/>
        </w:rPr>
        <w:t>Alegatos</w:t>
      </w:r>
      <w:r>
        <w:rPr>
          <w:i/>
        </w:rPr>
        <w:t xml:space="preserve"> y observaciones finales escrita</w:t>
      </w:r>
      <w:r w:rsidRPr="0063159A">
        <w:rPr>
          <w:i/>
        </w:rPr>
        <w:t xml:space="preserve">s. - </w:t>
      </w:r>
      <w:r w:rsidRPr="0063159A">
        <w:t>El 16 de abril 2018 las partes y la Comisión presentaron sus alegatos</w:t>
      </w:r>
      <w:r>
        <w:t xml:space="preserve"> y observaciones finales escrita</w:t>
      </w:r>
      <w:r w:rsidRPr="0063159A">
        <w:t xml:space="preserve">s, respectivamente. </w:t>
      </w:r>
      <w:r w:rsidRPr="0063159A">
        <w:rPr>
          <w:szCs w:val="20"/>
        </w:rPr>
        <w:t>Los representantes y el Estado junto con los alegatos finales escritos anexaron varios documentos. El 18 de abril de 2018 la Secretaría de la Corte, siguiendo instrucciones del Presidente, concedió a las partes y a la Comisión un plazo hasta el 30 abril de 2018 para que presentaran sus observaciones a dichos anexos</w:t>
      </w:r>
      <w:r>
        <w:rPr>
          <w:sz w:val="16"/>
          <w:szCs w:val="16"/>
        </w:rPr>
        <w:t xml:space="preserve">. </w:t>
      </w:r>
      <w:r w:rsidRPr="0063159A">
        <w:rPr>
          <w:szCs w:val="20"/>
        </w:rPr>
        <w:t>E</w:t>
      </w:r>
      <w:r>
        <w:rPr>
          <w:szCs w:val="20"/>
        </w:rPr>
        <w:t>l E</w:t>
      </w:r>
      <w:r w:rsidRPr="0063159A">
        <w:rPr>
          <w:szCs w:val="20"/>
        </w:rPr>
        <w:t>stado y la Comisión informaron que no tenían observaciones y los representantes no remitieron escrito alguno al respecto.</w:t>
      </w:r>
    </w:p>
    <w:p w:rsidR="003D758A" w:rsidRPr="004A0940" w:rsidRDefault="003D758A" w:rsidP="003D758A">
      <w:pPr>
        <w:pStyle w:val="PrrafodeSentencia"/>
        <w:ind w:right="-235"/>
      </w:pPr>
    </w:p>
    <w:p w:rsidR="003D758A" w:rsidRDefault="003D758A" w:rsidP="003D758A">
      <w:pPr>
        <w:pStyle w:val="PrrafodeSentencia"/>
        <w:numPr>
          <w:ilvl w:val="0"/>
          <w:numId w:val="1"/>
        </w:numPr>
        <w:ind w:left="0" w:right="-235" w:firstLine="0"/>
        <w:rPr>
          <w:b/>
          <w:sz w:val="18"/>
          <w:szCs w:val="18"/>
        </w:rPr>
      </w:pPr>
      <w:r w:rsidRPr="004E4845">
        <w:rPr>
          <w:i/>
        </w:rPr>
        <w:t xml:space="preserve">Fondo de </w:t>
      </w:r>
      <w:r w:rsidR="00C75413">
        <w:rPr>
          <w:i/>
        </w:rPr>
        <w:t>v</w:t>
      </w:r>
      <w:r w:rsidRPr="004E4845">
        <w:rPr>
          <w:i/>
        </w:rPr>
        <w:t>íctimas.-</w:t>
      </w:r>
      <w:r>
        <w:t xml:space="preserve"> El 28 de junio de 2018 la Secretaría, siguiendo instrucciones del Presidente, y en cumplimiento del artículo 5 del Reglamento de la Corte Interamericana sobre el Funcionamiento del Fondo de Asistencia Legal de Víctimas informó al Estado sobre las erogaciones realizadas en aplicación a dicho Fondo en el presente caso, y se le concedió un plazo hasta el 9 de julio de 2018 para que presentara observaciones si así lo deseara. </w:t>
      </w:r>
      <w:r>
        <w:rPr>
          <w:b/>
          <w:sz w:val="18"/>
          <w:szCs w:val="18"/>
        </w:rPr>
        <w:t xml:space="preserve"> </w:t>
      </w:r>
      <w:r w:rsidRPr="00DC45A2">
        <w:rPr>
          <w:szCs w:val="20"/>
        </w:rPr>
        <w:t>Ese día el Estado presentó sus observaciones. El 26 de julio de 2018 la Secretaría remitió al Estado las aclaraciones pertinentes</w:t>
      </w:r>
      <w:r w:rsidRPr="002F3053">
        <w:rPr>
          <w:szCs w:val="20"/>
        </w:rPr>
        <w:t>.</w:t>
      </w:r>
      <w:r>
        <w:rPr>
          <w:b/>
          <w:sz w:val="18"/>
          <w:szCs w:val="18"/>
        </w:rPr>
        <w:t xml:space="preserve"> </w:t>
      </w:r>
    </w:p>
    <w:p w:rsidR="003D758A" w:rsidRPr="000C3021" w:rsidRDefault="003D758A" w:rsidP="003D758A">
      <w:pPr>
        <w:rPr>
          <w:lang w:val="es-CR" w:eastAsia="es-MX"/>
        </w:rPr>
      </w:pPr>
    </w:p>
    <w:p w:rsidR="003D758A" w:rsidRPr="00903547" w:rsidRDefault="003D758A" w:rsidP="003D758A">
      <w:pPr>
        <w:pStyle w:val="PrrafodeSentencia"/>
        <w:numPr>
          <w:ilvl w:val="0"/>
          <w:numId w:val="1"/>
        </w:numPr>
        <w:ind w:left="0" w:right="-235" w:firstLine="0"/>
        <w:rPr>
          <w:sz w:val="16"/>
          <w:szCs w:val="16"/>
        </w:rPr>
      </w:pPr>
      <w:r>
        <w:rPr>
          <w:i/>
        </w:rPr>
        <w:t>Prueba para mejor resolver.-</w:t>
      </w:r>
      <w:r>
        <w:t xml:space="preserve"> El 6 de septiembre de 2018, </w:t>
      </w:r>
      <w:r w:rsidRPr="00E35F4B">
        <w:t>siguiendo instruccione</w:t>
      </w:r>
      <w:r>
        <w:t>s del Presidente</w:t>
      </w:r>
      <w:r w:rsidRPr="00E35F4B">
        <w:t xml:space="preserve">, </w:t>
      </w:r>
      <w:r>
        <w:t>se solicitó</w:t>
      </w:r>
      <w:r w:rsidRPr="00E35F4B">
        <w:t xml:space="preserve"> al Estado </w:t>
      </w:r>
      <w:r>
        <w:t xml:space="preserve">y a los representantes, </w:t>
      </w:r>
      <w:r w:rsidRPr="00E35F4B">
        <w:t>de conformidad con el artículo 58.b</w:t>
      </w:r>
      <w:r>
        <w:t>)</w:t>
      </w:r>
      <w:r w:rsidRPr="00E35F4B">
        <w:t xml:space="preserve"> del Reglamento de la Corte</w:t>
      </w:r>
      <w:r>
        <w:t>, como prueba para mejor resolver,</w:t>
      </w:r>
      <w:r w:rsidRPr="00E35F4B">
        <w:t xml:space="preserve"> la </w:t>
      </w:r>
      <w:r>
        <w:t>remisión de un documento de identidad o cualquier otro documento idóneo para la identificación de una persona. El 17 de septiembre de 2018 los representantes remitieron lo solicitado, indicando que la</w:t>
      </w:r>
      <w:r w:rsidRPr="00903547">
        <w:t xml:space="preserve"> señora Amadea Tello se identifica como “Amadea Felipa Tello de Tenicela”.</w:t>
      </w:r>
      <w:r>
        <w:rPr>
          <w:sz w:val="16"/>
          <w:szCs w:val="16"/>
        </w:rPr>
        <w:t xml:space="preserve"> </w:t>
      </w:r>
      <w:r w:rsidRPr="00903547">
        <w:t>Por su parte, e</w:t>
      </w:r>
      <w:r>
        <w:t>l Estado manifestó</w:t>
      </w:r>
      <w:r w:rsidRPr="00903547">
        <w:t xml:space="preserve"> que había tenido dificultades para presentar </w:t>
      </w:r>
      <w:r>
        <w:t xml:space="preserve">la documentación, ya que no se había encontrado resultado alguno respecto </w:t>
      </w:r>
      <w:r w:rsidRPr="00903547">
        <w:t>a la identidad</w:t>
      </w:r>
      <w:r>
        <w:t xml:space="preserve"> de la señora “Amadea Tello Barrera” y que continuaba recabando la información en el Regist</w:t>
      </w:r>
      <w:r w:rsidR="00603D8C">
        <w:t>r</w:t>
      </w:r>
      <w:r>
        <w:t xml:space="preserve">o Nacional de Identificación y Estado Civil (RENIEC). El 18 de septiembre se trasladó a las partes y a la Comisión los escritos presentados. El 20 de septiembre de 2018 la Comisión y el Estado, respectivamente, remitieron sus escritos e indicaron </w:t>
      </w:r>
      <w:r>
        <w:lastRenderedPageBreak/>
        <w:t>que no tenían observaciones. No obstante, el Estado hizo varias aclaraciones respecto</w:t>
      </w:r>
      <w:r w:rsidR="00702A37">
        <w:t xml:space="preserve"> a la documentación</w:t>
      </w:r>
      <w:r w:rsidR="00AA3B16">
        <w:t>.</w:t>
      </w:r>
    </w:p>
    <w:p w:rsidR="003D758A" w:rsidRPr="00411D82" w:rsidRDefault="003D758A" w:rsidP="003D758A">
      <w:pPr>
        <w:rPr>
          <w:lang w:val="es-CR" w:eastAsia="es-MX"/>
        </w:rPr>
      </w:pPr>
    </w:p>
    <w:p w:rsidR="003D758A" w:rsidRPr="00B117EA" w:rsidRDefault="003D758A" w:rsidP="003D758A">
      <w:pPr>
        <w:pStyle w:val="PrrafodeSentencia"/>
        <w:numPr>
          <w:ilvl w:val="0"/>
          <w:numId w:val="1"/>
        </w:numPr>
        <w:ind w:left="0" w:right="-235" w:firstLine="0"/>
      </w:pPr>
      <w:r w:rsidRPr="00826CCB">
        <w:rPr>
          <w:i/>
        </w:rPr>
        <w:t xml:space="preserve">Deliberación del presente caso. - </w:t>
      </w:r>
      <w:r w:rsidRPr="00826CCB">
        <w:t>La Corte inició la deliberación de la presente Sentencia el</w:t>
      </w:r>
      <w:r>
        <w:t xml:space="preserve"> 24</w:t>
      </w:r>
      <w:r w:rsidRPr="00826CCB">
        <w:t xml:space="preserve"> de septiembre de 2018.</w:t>
      </w:r>
    </w:p>
    <w:p w:rsidR="003D758A" w:rsidRDefault="003D758A" w:rsidP="003D758A">
      <w:pPr>
        <w:pStyle w:val="ListParagraph"/>
        <w:ind w:left="0" w:right="-235"/>
        <w:rPr>
          <w:lang w:val="es-ES_tradnl"/>
        </w:rPr>
      </w:pPr>
    </w:p>
    <w:p w:rsidR="003D758A" w:rsidRPr="009B6028" w:rsidRDefault="003D758A" w:rsidP="003D758A">
      <w:pPr>
        <w:pStyle w:val="Heading1"/>
        <w:spacing w:before="0"/>
        <w:ind w:right="-235"/>
        <w:jc w:val="center"/>
        <w:rPr>
          <w:sz w:val="22"/>
          <w:szCs w:val="22"/>
          <w:lang w:val="es-ES_tradnl"/>
        </w:rPr>
      </w:pPr>
      <w:bookmarkStart w:id="50" w:name="_Toc527993504"/>
      <w:r w:rsidRPr="009B6028">
        <w:rPr>
          <w:sz w:val="22"/>
          <w:szCs w:val="22"/>
          <w:lang w:val="es-ES_tradnl"/>
        </w:rPr>
        <w:t>III</w:t>
      </w:r>
      <w:bookmarkEnd w:id="50"/>
    </w:p>
    <w:p w:rsidR="003D758A" w:rsidRPr="009B6028" w:rsidRDefault="003D758A" w:rsidP="003D758A">
      <w:pPr>
        <w:pStyle w:val="Heading1"/>
        <w:spacing w:before="0"/>
        <w:ind w:right="-235"/>
        <w:jc w:val="center"/>
        <w:rPr>
          <w:sz w:val="22"/>
          <w:szCs w:val="22"/>
          <w:lang w:val="es-ES_tradnl"/>
        </w:rPr>
      </w:pPr>
      <w:bookmarkStart w:id="51" w:name="_Toc527993505"/>
      <w:r w:rsidRPr="009B6028">
        <w:rPr>
          <w:sz w:val="22"/>
          <w:szCs w:val="22"/>
          <w:lang w:val="es-ES_tradnl"/>
        </w:rPr>
        <w:t>COMPETENCIA</w:t>
      </w:r>
      <w:bookmarkEnd w:id="51"/>
    </w:p>
    <w:p w:rsidR="003D758A" w:rsidRPr="00617557" w:rsidRDefault="003D758A" w:rsidP="003D758A">
      <w:pPr>
        <w:pStyle w:val="ListParagraph"/>
        <w:ind w:left="0" w:right="-235"/>
        <w:rPr>
          <w:rFonts w:eastAsiaTheme="minorHAnsi" w:cs="Arial"/>
          <w:b/>
          <w:color w:val="0F0F0F"/>
          <w:szCs w:val="20"/>
          <w:lang w:val="es-CR"/>
        </w:rPr>
      </w:pPr>
    </w:p>
    <w:p w:rsidR="003D758A" w:rsidRPr="003C3373" w:rsidRDefault="003D758A" w:rsidP="003D758A">
      <w:pPr>
        <w:pStyle w:val="ListParagraph"/>
        <w:numPr>
          <w:ilvl w:val="0"/>
          <w:numId w:val="1"/>
        </w:numPr>
        <w:ind w:left="0" w:right="-235" w:firstLine="0"/>
        <w:rPr>
          <w:szCs w:val="20"/>
          <w:lang w:val="es-ES_tradnl"/>
        </w:rPr>
      </w:pPr>
      <w:r w:rsidRPr="00617557">
        <w:rPr>
          <w:lang w:val="es-ES_tradnl"/>
        </w:rPr>
        <w:t>La Corte es competente para conocer del presente caso, en los términos del artículo 62.3 de la Convención</w:t>
      </w:r>
      <w:r>
        <w:rPr>
          <w:lang w:val="es-ES_tradnl"/>
        </w:rPr>
        <w:t xml:space="preserve"> Americana</w:t>
      </w:r>
      <w:r w:rsidRPr="00617557">
        <w:rPr>
          <w:lang w:val="es-ES_tradnl"/>
        </w:rPr>
        <w:t xml:space="preserve">, ya que </w:t>
      </w:r>
      <w:r>
        <w:rPr>
          <w:lang w:val="es-ES_tradnl"/>
        </w:rPr>
        <w:t>Perú</w:t>
      </w:r>
      <w:r w:rsidRPr="00617557">
        <w:rPr>
          <w:lang w:val="es-ES_tradnl"/>
        </w:rPr>
        <w:t xml:space="preserve"> es Estado Parte de la Convención desde el </w:t>
      </w:r>
      <w:r>
        <w:rPr>
          <w:lang w:val="es-ES_tradnl"/>
        </w:rPr>
        <w:t>28 de julio de 1978</w:t>
      </w:r>
      <w:r w:rsidRPr="00617557">
        <w:rPr>
          <w:lang w:val="es-ES_tradnl"/>
        </w:rPr>
        <w:t xml:space="preserve"> y reconoció la competencia contenciosa de la Corte el 21 de </w:t>
      </w:r>
      <w:r>
        <w:rPr>
          <w:lang w:val="es-ES_tradnl"/>
        </w:rPr>
        <w:t>enero</w:t>
      </w:r>
      <w:r w:rsidRPr="00617557">
        <w:rPr>
          <w:lang w:val="es-ES_tradnl"/>
        </w:rPr>
        <w:t xml:space="preserve"> de 198</w:t>
      </w:r>
      <w:r>
        <w:rPr>
          <w:lang w:val="es-ES_tradnl"/>
        </w:rPr>
        <w:t>1</w:t>
      </w:r>
      <w:r w:rsidRPr="00617557">
        <w:rPr>
          <w:lang w:val="es-ES_tradnl"/>
        </w:rPr>
        <w:t>.</w:t>
      </w:r>
    </w:p>
    <w:p w:rsidR="003D758A" w:rsidRDefault="003D758A" w:rsidP="003D758A">
      <w:pPr>
        <w:rPr>
          <w:lang w:val="es-ES_tradnl"/>
        </w:rPr>
      </w:pPr>
    </w:p>
    <w:p w:rsidR="003D758A" w:rsidRPr="009B6028" w:rsidRDefault="003D758A" w:rsidP="003D758A">
      <w:pPr>
        <w:pStyle w:val="Heading1"/>
        <w:spacing w:before="0"/>
        <w:jc w:val="center"/>
        <w:rPr>
          <w:sz w:val="22"/>
          <w:szCs w:val="22"/>
          <w:lang w:val="es-ES_tradnl"/>
        </w:rPr>
      </w:pPr>
      <w:bookmarkStart w:id="52" w:name="_Toc527993506"/>
      <w:r w:rsidRPr="009B6028">
        <w:rPr>
          <w:sz w:val="22"/>
          <w:szCs w:val="22"/>
          <w:lang w:val="es-ES_tradnl"/>
        </w:rPr>
        <w:t>IV</w:t>
      </w:r>
      <w:bookmarkEnd w:id="52"/>
    </w:p>
    <w:p w:rsidR="003D758A" w:rsidRPr="009B6028" w:rsidRDefault="003D758A" w:rsidP="003D758A">
      <w:pPr>
        <w:pStyle w:val="Heading1"/>
        <w:spacing w:before="0"/>
        <w:jc w:val="center"/>
        <w:rPr>
          <w:sz w:val="22"/>
          <w:szCs w:val="22"/>
          <w:lang w:val="es-ES_tradnl"/>
        </w:rPr>
      </w:pPr>
      <w:bookmarkStart w:id="53" w:name="_Toc527993507"/>
      <w:r w:rsidRPr="009B6028">
        <w:rPr>
          <w:sz w:val="22"/>
          <w:szCs w:val="22"/>
          <w:lang w:val="es-ES_tradnl"/>
        </w:rPr>
        <w:t>EXCEPCIONES PRELIMINARES</w:t>
      </w:r>
      <w:bookmarkEnd w:id="53"/>
    </w:p>
    <w:p w:rsidR="003D758A" w:rsidRPr="00617557" w:rsidRDefault="003D758A" w:rsidP="003D758A">
      <w:pPr>
        <w:pStyle w:val="ListParagraph"/>
        <w:ind w:left="0" w:right="-144"/>
        <w:rPr>
          <w:szCs w:val="20"/>
          <w:lang w:val="es-ES_tradnl"/>
        </w:rPr>
      </w:pPr>
    </w:p>
    <w:p w:rsidR="003D758A" w:rsidRPr="002B0A60" w:rsidRDefault="003D758A" w:rsidP="003D758A">
      <w:pPr>
        <w:pStyle w:val="ListParagraph"/>
        <w:numPr>
          <w:ilvl w:val="0"/>
          <w:numId w:val="1"/>
        </w:numPr>
        <w:ind w:left="0" w:right="-144" w:firstLine="0"/>
        <w:rPr>
          <w:b/>
          <w:szCs w:val="20"/>
          <w:lang w:val="es-ES_tradnl"/>
        </w:rPr>
      </w:pPr>
      <w:r w:rsidRPr="002A5A29">
        <w:rPr>
          <w:szCs w:val="20"/>
          <w:lang w:val="es-ES_tradnl"/>
        </w:rPr>
        <w:t>El Estado</w:t>
      </w:r>
      <w:r w:rsidRPr="004B214A">
        <w:rPr>
          <w:szCs w:val="20"/>
          <w:lang w:val="es-ES_tradnl"/>
        </w:rPr>
        <w:t xml:space="preserve"> </w:t>
      </w:r>
      <w:r w:rsidRPr="002A5A29">
        <w:rPr>
          <w:szCs w:val="20"/>
          <w:lang w:val="es-ES_tradnl"/>
        </w:rPr>
        <w:t>presentó tres excepciones preliminares, a saber: a) falta de a</w:t>
      </w:r>
      <w:r>
        <w:rPr>
          <w:szCs w:val="20"/>
          <w:lang w:val="es-ES_tradnl"/>
        </w:rPr>
        <w:t>gotamiento de recursos en la jurisdicción interna</w:t>
      </w:r>
      <w:r w:rsidRPr="002A5A29">
        <w:rPr>
          <w:szCs w:val="20"/>
          <w:lang w:val="es-ES_tradnl"/>
        </w:rPr>
        <w:t xml:space="preserve">; b) falta de competencia </w:t>
      </w:r>
      <w:r w:rsidRPr="002A5A29">
        <w:rPr>
          <w:i/>
          <w:szCs w:val="20"/>
          <w:lang w:val="es-ES_tradnl"/>
        </w:rPr>
        <w:t>ratione temporis</w:t>
      </w:r>
      <w:r w:rsidRPr="002A5A29">
        <w:rPr>
          <w:szCs w:val="20"/>
          <w:lang w:val="es-ES_tradnl"/>
        </w:rPr>
        <w:t xml:space="preserve"> de la Corte respecto a la CIDFP, y c) falta de </w:t>
      </w:r>
      <w:r w:rsidRPr="002B0A60">
        <w:rPr>
          <w:szCs w:val="20"/>
          <w:lang w:val="es-ES_tradnl"/>
        </w:rPr>
        <w:t xml:space="preserve">competencia </w:t>
      </w:r>
      <w:r w:rsidRPr="002B0A60">
        <w:rPr>
          <w:i/>
          <w:szCs w:val="20"/>
          <w:lang w:val="es-ES_tradnl"/>
        </w:rPr>
        <w:t>ratione temporis</w:t>
      </w:r>
      <w:r w:rsidRPr="002B0A60">
        <w:rPr>
          <w:szCs w:val="20"/>
          <w:lang w:val="es-ES_tradnl"/>
        </w:rPr>
        <w:t xml:space="preserve"> de la Corte respecto a la CIPST. </w:t>
      </w:r>
    </w:p>
    <w:p w:rsidR="003D758A" w:rsidRPr="00FA53D3" w:rsidRDefault="003D758A" w:rsidP="003D758A">
      <w:pPr>
        <w:pStyle w:val="Heading2"/>
        <w:ind w:left="720"/>
        <w:rPr>
          <w:szCs w:val="20"/>
          <w:highlight w:val="yellow"/>
          <w:lang w:val="es-ES_tradnl"/>
        </w:rPr>
      </w:pPr>
      <w:bookmarkStart w:id="54" w:name="_Toc527993508"/>
      <w:r>
        <w:rPr>
          <w:szCs w:val="20"/>
          <w:lang w:val="es-ES_tradnl"/>
        </w:rPr>
        <w:t xml:space="preserve">A.  </w:t>
      </w:r>
      <w:r w:rsidRPr="002B0A60">
        <w:rPr>
          <w:szCs w:val="20"/>
          <w:lang w:val="es-ES_tradnl"/>
        </w:rPr>
        <w:t>Excepción de falta de agotamiento de recursos</w:t>
      </w:r>
      <w:bookmarkEnd w:id="54"/>
      <w:r w:rsidRPr="00E61FA4">
        <w:rPr>
          <w:szCs w:val="20"/>
          <w:lang w:val="es-ES_tradnl"/>
        </w:rPr>
        <w:t xml:space="preserve"> </w:t>
      </w:r>
    </w:p>
    <w:p w:rsidR="003D758A" w:rsidRPr="00E61FA4" w:rsidRDefault="003D758A" w:rsidP="003D758A">
      <w:pPr>
        <w:pStyle w:val="Heading3"/>
        <w:ind w:left="709"/>
        <w:rPr>
          <w:szCs w:val="20"/>
          <w:lang w:val="es-ES_tradnl"/>
        </w:rPr>
      </w:pPr>
      <w:bookmarkStart w:id="55" w:name="_Toc527993509"/>
      <w:r w:rsidRPr="00E61FA4">
        <w:rPr>
          <w:szCs w:val="20"/>
          <w:lang w:val="es-ES_tradnl"/>
        </w:rPr>
        <w:t>A.1. Alegatos del Estado y observaciones de la Comisión y los representantes</w:t>
      </w:r>
      <w:bookmarkEnd w:id="55"/>
    </w:p>
    <w:p w:rsidR="003D758A" w:rsidRPr="00E61FA4" w:rsidRDefault="003D758A" w:rsidP="003D758A">
      <w:pPr>
        <w:pStyle w:val="ListParagraph"/>
        <w:ind w:left="0" w:right="-144"/>
        <w:rPr>
          <w:szCs w:val="20"/>
          <w:lang w:val="es-ES_tradnl"/>
        </w:rPr>
      </w:pPr>
    </w:p>
    <w:p w:rsidR="003D758A" w:rsidRPr="00B75195" w:rsidRDefault="003D758A" w:rsidP="003D758A">
      <w:pPr>
        <w:pStyle w:val="ListParagraph"/>
        <w:numPr>
          <w:ilvl w:val="0"/>
          <w:numId w:val="1"/>
        </w:numPr>
        <w:ind w:left="0" w:right="-144" w:firstLine="0"/>
        <w:rPr>
          <w:szCs w:val="20"/>
          <w:lang w:val="es-ES_tradnl"/>
        </w:rPr>
      </w:pPr>
      <w:r w:rsidRPr="00E61FA4">
        <w:rPr>
          <w:szCs w:val="20"/>
          <w:lang w:val="es-CR"/>
        </w:rPr>
        <w:t xml:space="preserve">El </w:t>
      </w:r>
      <w:r w:rsidRPr="00E61FA4">
        <w:rPr>
          <w:b/>
          <w:i/>
          <w:szCs w:val="20"/>
          <w:lang w:val="es-CR"/>
        </w:rPr>
        <w:t>Estado</w:t>
      </w:r>
      <w:r>
        <w:rPr>
          <w:szCs w:val="20"/>
          <w:lang w:val="es-CR"/>
        </w:rPr>
        <w:t xml:space="preserve"> adujo</w:t>
      </w:r>
      <w:r w:rsidRPr="00E61FA4">
        <w:rPr>
          <w:szCs w:val="20"/>
          <w:lang w:val="es-CR"/>
        </w:rPr>
        <w:t xml:space="preserve"> la falta de agotamiento de recursos de jurisdicción interna </w:t>
      </w:r>
      <w:r>
        <w:rPr>
          <w:szCs w:val="20"/>
          <w:lang w:val="es-CR"/>
        </w:rPr>
        <w:t xml:space="preserve">por parte </w:t>
      </w:r>
      <w:r w:rsidRPr="00E61FA4">
        <w:rPr>
          <w:szCs w:val="20"/>
          <w:lang w:val="es-CR"/>
        </w:rPr>
        <w:t xml:space="preserve">de las presuntas víctimas </w:t>
      </w:r>
      <w:r>
        <w:rPr>
          <w:szCs w:val="20"/>
          <w:lang w:val="es-CR"/>
        </w:rPr>
        <w:t>por el</w:t>
      </w:r>
      <w:r w:rsidRPr="00E61FA4">
        <w:rPr>
          <w:szCs w:val="20"/>
          <w:lang w:val="es-CR"/>
        </w:rPr>
        <w:t xml:space="preserve"> incumplimiento de lo establecido en el artículo 46.1.a) de la Convención, y argumentó que lo alegó oportunamente en la etapa de admisibilidad ante la Comisión. Señaló que, contrariamente a lo expuesto por </w:t>
      </w:r>
      <w:r>
        <w:rPr>
          <w:szCs w:val="20"/>
          <w:lang w:val="es-CR"/>
        </w:rPr>
        <w:t>la Comisión en los respectivos Informes de A</w:t>
      </w:r>
      <w:r w:rsidRPr="00E61FA4">
        <w:rPr>
          <w:szCs w:val="20"/>
          <w:lang w:val="es-CR"/>
        </w:rPr>
        <w:t xml:space="preserve">dmisibilidad, no resulta de aplicación ninguna de las excepciones previstas en el artículo 46.2 de la Convención. Refirió que en el caso de Wilfredo Terrones Silva se presentó la petición a la Comisión el 28 de agosto de 1992, es decir solo dos días después de que </w:t>
      </w:r>
      <w:r>
        <w:rPr>
          <w:szCs w:val="20"/>
          <w:lang w:val="es-CR"/>
        </w:rPr>
        <w:t xml:space="preserve">fue visto por </w:t>
      </w:r>
      <w:r w:rsidRPr="00E61FA4">
        <w:rPr>
          <w:szCs w:val="20"/>
          <w:lang w:val="es-CR"/>
        </w:rPr>
        <w:t xml:space="preserve">última vez. En el caso de Teresa Díaz Aparicio se presentó la petición sólo nueve días después de su desaparición, con lo que queda claro que no se habían agotado los recursos internos al momento de interponer las peticiones. Agregó que lo anterior no permitió que el Estado, a través de sus diferentes órganos jurisdiccionales, se pronuncie </w:t>
      </w:r>
      <w:r>
        <w:rPr>
          <w:szCs w:val="20"/>
          <w:lang w:val="es-CR"/>
        </w:rPr>
        <w:t>con relación e</w:t>
      </w:r>
      <w:r w:rsidRPr="00E61FA4">
        <w:rPr>
          <w:szCs w:val="20"/>
          <w:lang w:val="es-CR"/>
        </w:rPr>
        <w:t xml:space="preserve">n las alegadas afectaciones. </w:t>
      </w:r>
      <w:r>
        <w:rPr>
          <w:b/>
          <w:sz w:val="16"/>
          <w:szCs w:val="16"/>
          <w:lang w:val="es-CR"/>
        </w:rPr>
        <w:t xml:space="preserve"> </w:t>
      </w:r>
      <w:r>
        <w:rPr>
          <w:szCs w:val="20"/>
          <w:lang w:val="es-CR"/>
        </w:rPr>
        <w:t>Manifestó</w:t>
      </w:r>
      <w:r w:rsidRPr="00B75195">
        <w:rPr>
          <w:szCs w:val="20"/>
          <w:lang w:val="es-CR"/>
        </w:rPr>
        <w:t xml:space="preserve"> que ha </w:t>
      </w:r>
      <w:r>
        <w:rPr>
          <w:szCs w:val="20"/>
          <w:lang w:val="es-CR"/>
        </w:rPr>
        <w:t>inici</w:t>
      </w:r>
      <w:r w:rsidR="00603D8C">
        <w:rPr>
          <w:szCs w:val="20"/>
          <w:lang w:val="es-CR"/>
        </w:rPr>
        <w:t>a</w:t>
      </w:r>
      <w:r>
        <w:rPr>
          <w:szCs w:val="20"/>
          <w:lang w:val="es-CR"/>
        </w:rPr>
        <w:t>do nuevas investigaciones en</w:t>
      </w:r>
      <w:r w:rsidRPr="00B75195">
        <w:rPr>
          <w:szCs w:val="20"/>
          <w:lang w:val="es-CR"/>
        </w:rPr>
        <w:t xml:space="preserve"> los casos de Wilfredo Terrones Silva, Teresa Díaz Aparicio y Néstor Rojas Medina, contra los que resulten responsables por el delito de desaparic</w:t>
      </w:r>
      <w:r>
        <w:rPr>
          <w:szCs w:val="20"/>
          <w:lang w:val="es-CR"/>
        </w:rPr>
        <w:t>ión forzada.</w:t>
      </w:r>
      <w:r w:rsidRPr="00B75195">
        <w:rPr>
          <w:szCs w:val="20"/>
          <w:lang w:val="es-CR"/>
        </w:rPr>
        <w:t xml:space="preserve"> En cuanto a Santiago Antezana Cueto, inició una nueva investigación referente al delito de tortura</w:t>
      </w:r>
      <w:r w:rsidRPr="00EC344B">
        <w:rPr>
          <w:rStyle w:val="FootnoteReference"/>
          <w:sz w:val="20"/>
          <w:szCs w:val="20"/>
          <w:lang w:val="es-CR"/>
        </w:rPr>
        <w:footnoteReference w:id="11"/>
      </w:r>
      <w:r>
        <w:rPr>
          <w:szCs w:val="20"/>
          <w:lang w:val="es-CR"/>
        </w:rPr>
        <w:t>.</w:t>
      </w:r>
      <w:r>
        <w:t xml:space="preserve"> </w:t>
      </w:r>
      <w:r w:rsidRPr="00B75195">
        <w:rPr>
          <w:szCs w:val="20"/>
          <w:lang w:val="es-CR"/>
        </w:rPr>
        <w:t>En el caso de Cory Cl</w:t>
      </w:r>
      <w:r>
        <w:rPr>
          <w:szCs w:val="20"/>
          <w:lang w:val="es-CR"/>
        </w:rPr>
        <w:t>odolia Tenicela Tello indic</w:t>
      </w:r>
      <w:r w:rsidRPr="00B75195">
        <w:rPr>
          <w:szCs w:val="20"/>
          <w:lang w:val="es-CR"/>
        </w:rPr>
        <w:t>ó que existe una investigación penal en trámite</w:t>
      </w:r>
      <w:r w:rsidRPr="003013D0">
        <w:rPr>
          <w:rStyle w:val="FootnoteReference"/>
          <w:sz w:val="20"/>
          <w:szCs w:val="20"/>
          <w:lang w:val="es-CR"/>
        </w:rPr>
        <w:footnoteReference w:id="12"/>
      </w:r>
      <w:r w:rsidRPr="00B75195">
        <w:rPr>
          <w:szCs w:val="20"/>
          <w:lang w:val="es-CR"/>
        </w:rPr>
        <w:t xml:space="preserve">. Finalmente, indicó que los representantes pueden participar en el proceso penal. </w:t>
      </w:r>
      <w:r w:rsidRPr="00B75195">
        <w:rPr>
          <w:b/>
          <w:szCs w:val="20"/>
          <w:lang w:val="es-CR"/>
        </w:rPr>
        <w:t xml:space="preserve"> </w:t>
      </w:r>
    </w:p>
    <w:p w:rsidR="003D758A" w:rsidRPr="00E61FA4" w:rsidRDefault="003D758A" w:rsidP="003D758A">
      <w:pPr>
        <w:pStyle w:val="ListParagraph"/>
        <w:ind w:left="0" w:right="-144"/>
        <w:rPr>
          <w:szCs w:val="20"/>
          <w:lang w:val="es-ES_tradnl"/>
        </w:rPr>
      </w:pPr>
    </w:p>
    <w:p w:rsidR="003D758A" w:rsidRPr="00785C6E" w:rsidRDefault="003D758A" w:rsidP="003D758A">
      <w:pPr>
        <w:pStyle w:val="ListParagraph"/>
        <w:numPr>
          <w:ilvl w:val="0"/>
          <w:numId w:val="1"/>
        </w:numPr>
        <w:ind w:left="0" w:right="-144" w:firstLine="0"/>
        <w:rPr>
          <w:szCs w:val="20"/>
          <w:lang w:val="es-ES_tradnl"/>
        </w:rPr>
      </w:pPr>
      <w:r w:rsidRPr="00E61FA4">
        <w:rPr>
          <w:szCs w:val="20"/>
          <w:lang w:val="es-CR"/>
        </w:rPr>
        <w:t>La</w:t>
      </w:r>
      <w:r w:rsidRPr="00E61FA4">
        <w:rPr>
          <w:b/>
          <w:szCs w:val="20"/>
          <w:lang w:val="es-CR"/>
        </w:rPr>
        <w:t xml:space="preserve"> </w:t>
      </w:r>
      <w:r w:rsidRPr="00E61FA4">
        <w:rPr>
          <w:b/>
          <w:i/>
          <w:szCs w:val="20"/>
          <w:lang w:val="es-CR"/>
        </w:rPr>
        <w:t>Comisión</w:t>
      </w:r>
      <w:r>
        <w:rPr>
          <w:szCs w:val="20"/>
          <w:lang w:val="es-CR"/>
        </w:rPr>
        <w:t xml:space="preserve"> adujo que</w:t>
      </w:r>
      <w:r w:rsidRPr="00E61FA4">
        <w:rPr>
          <w:szCs w:val="20"/>
          <w:lang w:val="es-CR"/>
        </w:rPr>
        <w:t xml:space="preserve"> </w:t>
      </w:r>
      <w:r w:rsidRPr="00E61FA4">
        <w:rPr>
          <w:rFonts w:eastAsia="Cambria" w:cs="Cambria"/>
          <w:color w:val="000000"/>
          <w:szCs w:val="20"/>
          <w:u w:color="000000"/>
          <w:lang w:eastAsia="es-ES"/>
        </w:rPr>
        <w:t xml:space="preserve">el Estado planteó la excepción </w:t>
      </w:r>
      <w:r>
        <w:rPr>
          <w:rFonts w:eastAsia="Cambria" w:cs="Cambria"/>
          <w:color w:val="000000"/>
          <w:szCs w:val="20"/>
          <w:u w:color="000000"/>
          <w:lang w:eastAsia="es-ES"/>
        </w:rPr>
        <w:t xml:space="preserve">preliminar </w:t>
      </w:r>
      <w:r w:rsidRPr="00E61FA4">
        <w:rPr>
          <w:rFonts w:eastAsia="Cambria" w:cs="Cambria"/>
          <w:color w:val="000000"/>
          <w:szCs w:val="20"/>
          <w:u w:color="000000"/>
          <w:lang w:eastAsia="es-ES"/>
        </w:rPr>
        <w:t>oportunamente durante la etapa de admisibilidad</w:t>
      </w:r>
      <w:r>
        <w:rPr>
          <w:rFonts w:eastAsia="Cambria" w:cs="Cambria"/>
          <w:color w:val="000000"/>
          <w:szCs w:val="20"/>
          <w:u w:color="000000"/>
          <w:lang w:eastAsia="es-ES"/>
        </w:rPr>
        <w:t xml:space="preserve"> y que analizó el cumplimiento del requisito del agotamiento de los recursos para el momento de la admisibilidad de las distintas peticiones, con base en la </w:t>
      </w:r>
      <w:r>
        <w:rPr>
          <w:rFonts w:eastAsia="Cambria" w:cs="Cambria"/>
          <w:color w:val="000000"/>
          <w:szCs w:val="20"/>
          <w:u w:color="000000"/>
          <w:lang w:eastAsia="es-ES"/>
        </w:rPr>
        <w:lastRenderedPageBreak/>
        <w:t xml:space="preserve">información disponible hasta ese momento, conforme a las normas convencionales y, de acuerdo a lo establecido por la Corte en la materia. </w:t>
      </w:r>
      <w:r>
        <w:rPr>
          <w:szCs w:val="20"/>
          <w:lang w:val="es-CR"/>
        </w:rPr>
        <w:t>Señaló</w:t>
      </w:r>
      <w:r w:rsidRPr="006169AD">
        <w:rPr>
          <w:szCs w:val="20"/>
          <w:lang w:val="es-CR"/>
        </w:rPr>
        <w:t xml:space="preserve"> que el transcurso de</w:t>
      </w:r>
      <w:r>
        <w:rPr>
          <w:szCs w:val="20"/>
          <w:lang w:val="es-CR"/>
        </w:rPr>
        <w:t xml:space="preserve"> tantos</w:t>
      </w:r>
      <w:r w:rsidRPr="006169AD">
        <w:rPr>
          <w:szCs w:val="20"/>
          <w:lang w:val="es-CR"/>
        </w:rPr>
        <w:t xml:space="preserve"> años desde las desapariciones forzadas sin que se haya determinado el paradero de las </w:t>
      </w:r>
      <w:r>
        <w:rPr>
          <w:szCs w:val="20"/>
          <w:lang w:val="es-CR"/>
        </w:rPr>
        <w:t xml:space="preserve">presuntas </w:t>
      </w:r>
      <w:r w:rsidRPr="006169AD">
        <w:rPr>
          <w:szCs w:val="20"/>
          <w:lang w:val="es-CR"/>
        </w:rPr>
        <w:t>víctimas y sin que exista una decisión definitiva estableciendo lo sucedido y sancionando a los responsables, no ha sido justificado por el Estado</w:t>
      </w:r>
      <w:r>
        <w:rPr>
          <w:szCs w:val="20"/>
          <w:lang w:val="es-CR"/>
        </w:rPr>
        <w:t>,</w:t>
      </w:r>
      <w:r w:rsidRPr="006169AD">
        <w:rPr>
          <w:szCs w:val="20"/>
          <w:lang w:val="es-CR"/>
        </w:rPr>
        <w:t xml:space="preserve"> mediante una argumentación que permita vincular un retardo de tal magnitud con la alegada complejidad de los casos. Po</w:t>
      </w:r>
      <w:r>
        <w:rPr>
          <w:szCs w:val="20"/>
          <w:lang w:val="es-CR"/>
        </w:rPr>
        <w:t>r lo tanto, señaló</w:t>
      </w:r>
      <w:r w:rsidRPr="006169AD">
        <w:rPr>
          <w:szCs w:val="20"/>
          <w:lang w:val="es-CR"/>
        </w:rPr>
        <w:t xml:space="preserve"> que resulta aplicable la excepción de retardo injustificado, en los términos del artículo 46.2.c) de la Convención</w:t>
      </w:r>
      <w:r w:rsidRPr="002B46EF">
        <w:rPr>
          <w:rFonts w:eastAsia="Cambria" w:cs="Cambria"/>
          <w:color w:val="000000"/>
          <w:szCs w:val="20"/>
          <w:u w:color="000000"/>
          <w:lang w:eastAsia="es-ES"/>
        </w:rPr>
        <w:t xml:space="preserve">. </w:t>
      </w:r>
      <w:r w:rsidRPr="00256276">
        <w:rPr>
          <w:rFonts w:eastAsia="Cambria" w:cs="Cambria"/>
          <w:color w:val="000000"/>
          <w:szCs w:val="20"/>
          <w:u w:color="000000"/>
          <w:lang w:eastAsia="es-ES"/>
        </w:rPr>
        <w:t>En cuanto</w:t>
      </w:r>
      <w:r>
        <w:rPr>
          <w:rFonts w:eastAsia="Cambria" w:cs="Cambria"/>
          <w:b/>
          <w:color w:val="000000"/>
          <w:szCs w:val="20"/>
          <w:u w:color="000000"/>
          <w:lang w:eastAsia="es-ES"/>
        </w:rPr>
        <w:t xml:space="preserve"> </w:t>
      </w:r>
      <w:r>
        <w:rPr>
          <w:szCs w:val="20"/>
          <w:lang w:val="es-ES_tradnl"/>
        </w:rPr>
        <w:t>a lo aducido por el Estado respecto a Cory C</w:t>
      </w:r>
      <w:r w:rsidR="00603D8C">
        <w:rPr>
          <w:szCs w:val="20"/>
          <w:lang w:val="es-ES_tradnl"/>
        </w:rPr>
        <w:t>l</w:t>
      </w:r>
      <w:r>
        <w:rPr>
          <w:szCs w:val="20"/>
          <w:lang w:val="es-ES_tradnl"/>
        </w:rPr>
        <w:t>odolia Tenicela Tello, señaló que consideró la existencia de una investigación penal ampliada, la cual aún se encontraba en la etapa de instrucción penal, sin que se hubiere justificado su retardo.</w:t>
      </w:r>
      <w:r w:rsidRPr="009A6A52">
        <w:rPr>
          <w:rFonts w:eastAsia="Cambria" w:cs="Cambria"/>
          <w:b/>
          <w:color w:val="000000"/>
          <w:szCs w:val="20"/>
          <w:u w:color="000000"/>
          <w:lang w:eastAsia="es-ES"/>
        </w:rPr>
        <w:t xml:space="preserve"> </w:t>
      </w:r>
      <w:r>
        <w:rPr>
          <w:szCs w:val="20"/>
          <w:lang w:val="es-ES_tradnl"/>
        </w:rPr>
        <w:t>R</w:t>
      </w:r>
      <w:r>
        <w:rPr>
          <w:szCs w:val="20"/>
          <w:lang w:val="es-CR"/>
        </w:rPr>
        <w:t xml:space="preserve">especto al argumento del Estado </w:t>
      </w:r>
      <w:r w:rsidRPr="00AB42C2">
        <w:rPr>
          <w:szCs w:val="20"/>
          <w:lang w:val="es-CR"/>
        </w:rPr>
        <w:t>que en los casos de Wilfredo Terrones Silva, Teresa Díaz Aparicio, Néstor Rojas Medina y Santiago Antezana Cueto no se agotaron los recursos internos porque se ab</w:t>
      </w:r>
      <w:r>
        <w:rPr>
          <w:szCs w:val="20"/>
          <w:lang w:val="es-CR"/>
        </w:rPr>
        <w:t>rieron “nuevas” investigaciones,</w:t>
      </w:r>
      <w:r w:rsidRPr="00AB42C2">
        <w:rPr>
          <w:szCs w:val="20"/>
          <w:lang w:val="es-CR"/>
        </w:rPr>
        <w:t xml:space="preserve"> </w:t>
      </w:r>
      <w:r>
        <w:rPr>
          <w:szCs w:val="20"/>
          <w:lang w:val="es-CR"/>
        </w:rPr>
        <w:t>la Comisión indicó que se trata</w:t>
      </w:r>
      <w:r w:rsidRPr="00AB42C2">
        <w:rPr>
          <w:szCs w:val="20"/>
          <w:lang w:val="es-CR"/>
        </w:rPr>
        <w:t xml:space="preserve"> de situaciones sobrevinientes que tuvieron lugar cuando ya se encontraba el caso en etapa de fondo o en la etapa de transición previ</w:t>
      </w:r>
      <w:r>
        <w:rPr>
          <w:szCs w:val="20"/>
          <w:lang w:val="es-CR"/>
        </w:rPr>
        <w:t xml:space="preserve">a al envío a la Corte. </w:t>
      </w:r>
      <w:r w:rsidRPr="00AB42C2">
        <w:rPr>
          <w:szCs w:val="20"/>
          <w:lang w:val="es-CR"/>
        </w:rPr>
        <w:t>Manifestó que este tipo de situaciones procesales sobrevinientes no pueden tener el efecto de modificar de manera retroactiva el cumplimiento de los requisitos de admisibilidad. Finalmente</w:t>
      </w:r>
      <w:r>
        <w:rPr>
          <w:szCs w:val="20"/>
          <w:lang w:val="es-CR"/>
        </w:rPr>
        <w:t>, la Comisión solicitó que la excepción</w:t>
      </w:r>
      <w:r w:rsidRPr="00AB42C2">
        <w:rPr>
          <w:szCs w:val="20"/>
          <w:lang w:val="es-CR"/>
        </w:rPr>
        <w:t xml:space="preserve"> sea declarada improcedente. </w:t>
      </w:r>
    </w:p>
    <w:p w:rsidR="003D758A" w:rsidRPr="006D5E52" w:rsidRDefault="003D758A" w:rsidP="003D758A">
      <w:pPr>
        <w:pStyle w:val="ListParagraph"/>
        <w:ind w:left="0" w:right="-144"/>
        <w:rPr>
          <w:szCs w:val="20"/>
          <w:lang w:val="es-ES_tradnl"/>
        </w:rPr>
      </w:pPr>
    </w:p>
    <w:p w:rsidR="003D758A" w:rsidRPr="00692B48" w:rsidRDefault="003D758A" w:rsidP="003D758A">
      <w:pPr>
        <w:pStyle w:val="ListParagraph"/>
        <w:numPr>
          <w:ilvl w:val="0"/>
          <w:numId w:val="1"/>
        </w:numPr>
        <w:ind w:left="0" w:right="-144" w:firstLine="0"/>
        <w:rPr>
          <w:szCs w:val="20"/>
          <w:lang w:val="es-ES_tradnl"/>
        </w:rPr>
      </w:pPr>
      <w:r w:rsidRPr="00E61FA4">
        <w:rPr>
          <w:szCs w:val="20"/>
          <w:lang w:val="es-ES_tradnl"/>
        </w:rPr>
        <w:t xml:space="preserve">Los </w:t>
      </w:r>
      <w:r w:rsidRPr="00E61FA4">
        <w:rPr>
          <w:b/>
          <w:i/>
          <w:szCs w:val="20"/>
          <w:lang w:val="es-CR"/>
        </w:rPr>
        <w:t>representantes</w:t>
      </w:r>
      <w:r w:rsidRPr="00E61FA4">
        <w:rPr>
          <w:szCs w:val="20"/>
          <w:lang w:val="es-CR"/>
        </w:rPr>
        <w:t xml:space="preserve"> manifestaron que la excepción planteada por el Estado no tiene fundamento jurídico, ya que se está frente a una excepción preliminar extemporánea.</w:t>
      </w:r>
      <w:r w:rsidRPr="00E61FA4">
        <w:rPr>
          <w:b/>
          <w:szCs w:val="20"/>
          <w:lang w:val="es-CR"/>
        </w:rPr>
        <w:t xml:space="preserve"> </w:t>
      </w:r>
      <w:r>
        <w:rPr>
          <w:szCs w:val="20"/>
          <w:lang w:val="es-CR"/>
        </w:rPr>
        <w:t xml:space="preserve"> Sostuvieron</w:t>
      </w:r>
      <w:r w:rsidRPr="00E61FA4">
        <w:rPr>
          <w:szCs w:val="20"/>
          <w:lang w:val="es-CR"/>
        </w:rPr>
        <w:t xml:space="preserve"> que el Estado en los diversos escritos presentados ante la Comis</w:t>
      </w:r>
      <w:r>
        <w:rPr>
          <w:szCs w:val="20"/>
          <w:lang w:val="es-CR"/>
        </w:rPr>
        <w:t>ión no alegó en ninguno de los casos el incumplimiento</w:t>
      </w:r>
      <w:r w:rsidRPr="00E61FA4">
        <w:rPr>
          <w:szCs w:val="20"/>
          <w:lang w:val="es-CR"/>
        </w:rPr>
        <w:t xml:space="preserve"> </w:t>
      </w:r>
      <w:r>
        <w:rPr>
          <w:szCs w:val="20"/>
          <w:lang w:val="es-CR"/>
        </w:rPr>
        <w:t>d</w:t>
      </w:r>
      <w:r w:rsidRPr="00E61FA4">
        <w:rPr>
          <w:szCs w:val="20"/>
          <w:lang w:val="es-CR"/>
        </w:rPr>
        <w:t>el requisito de agotamiento de los recursos internos. Argumentaron que habiendo concluido el examen de admisibilidad (artículos 46 y 47 de la Convención) y operado el principio de preclusión procesal, el Estado desistió de hacer uso de esta excepción.</w:t>
      </w:r>
      <w:r>
        <w:rPr>
          <w:szCs w:val="20"/>
          <w:lang w:val="es-ES_tradnl"/>
        </w:rPr>
        <w:t xml:space="preserve"> </w:t>
      </w:r>
      <w:r w:rsidRPr="00785C6E">
        <w:rPr>
          <w:szCs w:val="20"/>
          <w:lang w:val="es-CR"/>
        </w:rPr>
        <w:t xml:space="preserve">Señalaron que el Estado no mencionó los recursos concretos que considera que no </w:t>
      </w:r>
      <w:r>
        <w:rPr>
          <w:szCs w:val="20"/>
          <w:lang w:val="es-CR"/>
        </w:rPr>
        <w:t xml:space="preserve">se </w:t>
      </w:r>
      <w:r w:rsidRPr="00785C6E">
        <w:rPr>
          <w:szCs w:val="20"/>
          <w:lang w:val="es-CR"/>
        </w:rPr>
        <w:t>han agotado, ni ha demostrado que dichos recursos sean adecuados o que el Estado haya podido dar respuesta sin retardo injustificado.</w:t>
      </w:r>
      <w:r w:rsidRPr="00785C6E">
        <w:rPr>
          <w:sz w:val="16"/>
          <w:szCs w:val="16"/>
          <w:lang w:val="es-CR"/>
        </w:rPr>
        <w:t xml:space="preserve"> </w:t>
      </w:r>
      <w:r w:rsidRPr="00785C6E">
        <w:rPr>
          <w:szCs w:val="20"/>
          <w:lang w:val="es-CR"/>
        </w:rPr>
        <w:t>Agregaron que no procedía esperar el agotamiento de los recursos internos en un caso en el que, desde que ocurrieron los hechos, la lentitud de la investigación y su falta de resultados concretos configura un claro caso de retardo injustificado. El hecho</w:t>
      </w:r>
      <w:r>
        <w:rPr>
          <w:szCs w:val="20"/>
          <w:lang w:val="es-CR"/>
        </w:rPr>
        <w:t xml:space="preserve"> de que las investigaciones</w:t>
      </w:r>
      <w:r w:rsidRPr="00785C6E">
        <w:rPr>
          <w:szCs w:val="20"/>
          <w:lang w:val="es-CR"/>
        </w:rPr>
        <w:t xml:space="preserve"> estén en trámite no puede significar que la Corte no esté facultada para analizar el caso, porque esto permitiría al Estado conducir investigaciones y procesos judiciales internos </w:t>
      </w:r>
      <w:r w:rsidRPr="002366E1">
        <w:rPr>
          <w:szCs w:val="20"/>
          <w:lang w:val="es-CR"/>
        </w:rPr>
        <w:t>no eficaces y no efectivos,</w:t>
      </w:r>
      <w:r w:rsidRPr="00785C6E">
        <w:rPr>
          <w:szCs w:val="20"/>
          <w:lang w:val="es-CR"/>
        </w:rPr>
        <w:t xml:space="preserve"> prolongándolos irrazonablemente con el objeto de evitar la intervención de los órganos del Sistema Interamericano. Por lo tanto, solicitaron a la Corte declarar improcedente la excepción preliminar, aplicando las excepciones establecidas en los artículos 46.2.a), 46.2.b) y 46.2.c) de la Convención Americana.</w:t>
      </w:r>
    </w:p>
    <w:p w:rsidR="003D758A" w:rsidRPr="000D29CA" w:rsidRDefault="003D758A" w:rsidP="003D758A">
      <w:pPr>
        <w:rPr>
          <w:lang w:val="es-ES_tradnl"/>
        </w:rPr>
      </w:pPr>
    </w:p>
    <w:p w:rsidR="003D758A" w:rsidRPr="00E61FA4" w:rsidRDefault="003D758A" w:rsidP="003D758A">
      <w:pPr>
        <w:pStyle w:val="Heading3"/>
        <w:spacing w:before="0"/>
        <w:ind w:firstLine="720"/>
        <w:rPr>
          <w:lang w:val="es-ES_tradnl"/>
        </w:rPr>
      </w:pPr>
      <w:bookmarkStart w:id="56" w:name="_Toc527993510"/>
      <w:r w:rsidRPr="00951FF0">
        <w:rPr>
          <w:lang w:val="es-ES_tradnl"/>
        </w:rPr>
        <w:t>A.2. Consideraciones de la Corte</w:t>
      </w:r>
      <w:bookmarkEnd w:id="56"/>
      <w:r w:rsidRPr="00E61FA4">
        <w:rPr>
          <w:lang w:val="es-ES_tradnl"/>
        </w:rPr>
        <w:t xml:space="preserve">  </w:t>
      </w:r>
    </w:p>
    <w:p w:rsidR="003D758A" w:rsidRDefault="003D758A" w:rsidP="003D758A">
      <w:pPr>
        <w:pStyle w:val="ListParagraph"/>
        <w:ind w:left="0"/>
        <w:rPr>
          <w:szCs w:val="20"/>
          <w:lang w:val="es-ES" w:eastAsia="es-ES" w:bidi="en-US"/>
        </w:rPr>
      </w:pPr>
    </w:p>
    <w:p w:rsidR="003D758A" w:rsidRPr="00AF0EE2" w:rsidRDefault="003D758A" w:rsidP="003D758A">
      <w:pPr>
        <w:pStyle w:val="ListParagraph"/>
        <w:numPr>
          <w:ilvl w:val="0"/>
          <w:numId w:val="1"/>
        </w:numPr>
        <w:ind w:left="0" w:firstLine="0"/>
        <w:rPr>
          <w:szCs w:val="20"/>
          <w:lang w:val="es-ES" w:eastAsia="es-ES" w:bidi="en-US"/>
        </w:rPr>
      </w:pPr>
      <w:r w:rsidRPr="00AF0EE2">
        <w:rPr>
          <w:rFonts w:eastAsia="Times New Roman" w:cs="Times New Roman"/>
          <w:szCs w:val="20"/>
          <w:lang w:val="es-ES" w:eastAsia="es-ES" w:bidi="en-US"/>
        </w:rPr>
        <w:t>La Corte ha señalado que el artículo 46.1.a) de la Convención dispone que, para determinar la admisibilidad de una petición o comunicación presentada ante la Comisión, de conformidad con los artículos 44 o 45 de la Convención, es necesario que se hayan interpuesto y agotado los recursos de la jurisdicción interna, conforme a los principios del Derecho Internacional generalmente reconocidos</w:t>
      </w:r>
      <w:r w:rsidRPr="00AF0EE2">
        <w:rPr>
          <w:rFonts w:eastAsia="Times New Roman" w:cs="Times New Roman"/>
          <w:vertAlign w:val="superscript"/>
          <w:lang w:eastAsia="es-ES" w:bidi="en-US"/>
        </w:rPr>
        <w:footnoteReference w:id="13"/>
      </w:r>
      <w:r w:rsidRPr="00AF0EE2">
        <w:rPr>
          <w:rFonts w:eastAsia="Times New Roman" w:cs="Times New Roman"/>
          <w:szCs w:val="20"/>
          <w:lang w:val="es-ES" w:eastAsia="es-ES" w:bidi="en-US"/>
        </w:rPr>
        <w:t xml:space="preserve">. </w:t>
      </w:r>
    </w:p>
    <w:p w:rsidR="003D758A" w:rsidRPr="00AF0EE2" w:rsidRDefault="003D758A" w:rsidP="003D758A">
      <w:pPr>
        <w:pStyle w:val="ListParagraph"/>
        <w:ind w:left="0"/>
        <w:rPr>
          <w:szCs w:val="20"/>
          <w:lang w:val="es-ES" w:eastAsia="es-ES" w:bidi="en-US"/>
        </w:rPr>
      </w:pPr>
    </w:p>
    <w:p w:rsidR="003D758A" w:rsidRPr="00B701DC" w:rsidRDefault="003D758A" w:rsidP="003D758A">
      <w:pPr>
        <w:pStyle w:val="ListParagraph"/>
        <w:widowControl w:val="0"/>
        <w:numPr>
          <w:ilvl w:val="0"/>
          <w:numId w:val="1"/>
        </w:numPr>
        <w:tabs>
          <w:tab w:val="left" w:pos="0"/>
        </w:tabs>
        <w:adjustRightInd w:val="0"/>
        <w:ind w:left="0" w:firstLine="0"/>
        <w:rPr>
          <w:rFonts w:cs="Arial"/>
          <w:szCs w:val="20"/>
          <w:lang w:val="es-ES"/>
        </w:rPr>
      </w:pPr>
      <w:r w:rsidRPr="00AF0EE2">
        <w:rPr>
          <w:szCs w:val="20"/>
          <w:lang w:val="es-ES" w:eastAsia="es-ES" w:bidi="en-US"/>
        </w:rPr>
        <w:t xml:space="preserve">El Estado señaló ante la Corte que </w:t>
      </w:r>
      <w:r>
        <w:rPr>
          <w:szCs w:val="20"/>
          <w:lang w:val="es-ES" w:eastAsia="es-ES" w:bidi="en-US"/>
        </w:rPr>
        <w:t xml:space="preserve">alegó </w:t>
      </w:r>
      <w:r w:rsidRPr="00AF0EE2">
        <w:rPr>
          <w:szCs w:val="20"/>
          <w:lang w:val="es-ES" w:eastAsia="es-ES" w:bidi="en-US"/>
        </w:rPr>
        <w:t>oportunamente en la etapa de admisibilidad ante la Comisi</w:t>
      </w:r>
      <w:r>
        <w:rPr>
          <w:szCs w:val="20"/>
          <w:lang w:val="es-ES" w:eastAsia="es-ES" w:bidi="en-US"/>
        </w:rPr>
        <w:t>ón</w:t>
      </w:r>
      <w:r w:rsidRPr="00AF0EE2">
        <w:rPr>
          <w:szCs w:val="20"/>
          <w:lang w:val="es-ES" w:eastAsia="es-ES" w:bidi="en-US"/>
        </w:rPr>
        <w:t xml:space="preserve"> la falta de agotamiento de los recursos de la jurisdicción interna en los casos. En ese sentido, en sus observaciones a las excepciones prelimi</w:t>
      </w:r>
      <w:r>
        <w:rPr>
          <w:szCs w:val="20"/>
          <w:lang w:val="es-ES" w:eastAsia="es-ES" w:bidi="en-US"/>
        </w:rPr>
        <w:t>n</w:t>
      </w:r>
      <w:r w:rsidRPr="00AF0EE2">
        <w:rPr>
          <w:szCs w:val="20"/>
          <w:lang w:val="es-ES" w:eastAsia="es-ES" w:bidi="en-US"/>
        </w:rPr>
        <w:t xml:space="preserve">ares, la Comisión indicó que la excepción preliminar de no agotamiento de recursos internos fue opuesta por </w:t>
      </w:r>
      <w:r w:rsidRPr="00AF0EE2">
        <w:rPr>
          <w:szCs w:val="20"/>
          <w:lang w:val="es-ES" w:eastAsia="es-ES" w:bidi="en-US"/>
        </w:rPr>
        <w:lastRenderedPageBreak/>
        <w:t>el Estado en el momento procesal oportuno</w:t>
      </w:r>
      <w:r w:rsidRPr="001744B7">
        <w:rPr>
          <w:rStyle w:val="FootnoteReference"/>
          <w:sz w:val="20"/>
          <w:szCs w:val="20"/>
          <w:lang w:val="es-ES"/>
        </w:rPr>
        <w:footnoteReference w:id="14"/>
      </w:r>
      <w:r w:rsidRPr="00AF0EE2">
        <w:rPr>
          <w:szCs w:val="20"/>
          <w:lang w:val="es-ES" w:eastAsia="es-ES" w:bidi="en-US"/>
        </w:rPr>
        <w:t>.</w:t>
      </w:r>
      <w:r>
        <w:rPr>
          <w:szCs w:val="20"/>
          <w:lang w:val="es-ES" w:eastAsia="es-ES" w:bidi="en-US"/>
        </w:rPr>
        <w:t xml:space="preserve"> Frente a ello, los representantes </w:t>
      </w:r>
      <w:r>
        <w:rPr>
          <w:szCs w:val="20"/>
          <w:lang w:val="es-CR"/>
        </w:rPr>
        <w:t>sostuvieron</w:t>
      </w:r>
      <w:r w:rsidRPr="00E61FA4">
        <w:rPr>
          <w:szCs w:val="20"/>
          <w:lang w:val="es-CR"/>
        </w:rPr>
        <w:t xml:space="preserve"> que el Estado en los diversos escritos presentados ante la Comis</w:t>
      </w:r>
      <w:r>
        <w:rPr>
          <w:szCs w:val="20"/>
          <w:lang w:val="es-CR"/>
        </w:rPr>
        <w:t>ión no alegó en ninguno de los casos el incumplimiento</w:t>
      </w:r>
      <w:r w:rsidRPr="00E61FA4">
        <w:rPr>
          <w:szCs w:val="20"/>
          <w:lang w:val="es-CR"/>
        </w:rPr>
        <w:t xml:space="preserve"> </w:t>
      </w:r>
      <w:r>
        <w:rPr>
          <w:szCs w:val="20"/>
          <w:lang w:val="es-CR"/>
        </w:rPr>
        <w:t>d</w:t>
      </w:r>
      <w:r w:rsidRPr="00E61FA4">
        <w:rPr>
          <w:szCs w:val="20"/>
          <w:lang w:val="es-CR"/>
        </w:rPr>
        <w:t>el requisito de agotamiento de los recursos internos</w:t>
      </w:r>
      <w:r>
        <w:rPr>
          <w:szCs w:val="20"/>
          <w:lang w:val="es-CR"/>
        </w:rPr>
        <w:t>, por lo que s</w:t>
      </w:r>
      <w:r w:rsidR="001A0718">
        <w:rPr>
          <w:szCs w:val="20"/>
          <w:lang w:val="es-CR"/>
        </w:rPr>
        <w:t>eñalaron</w:t>
      </w:r>
      <w:r>
        <w:rPr>
          <w:szCs w:val="20"/>
          <w:lang w:val="es-CR"/>
        </w:rPr>
        <w:t xml:space="preserve"> que la excepción planteada es </w:t>
      </w:r>
      <w:r w:rsidRPr="00E61FA4">
        <w:rPr>
          <w:szCs w:val="20"/>
          <w:lang w:val="es-CR"/>
        </w:rPr>
        <w:t>extemporánea.</w:t>
      </w:r>
    </w:p>
    <w:p w:rsidR="003D758A" w:rsidRPr="00B701DC" w:rsidRDefault="003D758A" w:rsidP="003D758A">
      <w:pPr>
        <w:pStyle w:val="ListParagraph"/>
        <w:rPr>
          <w:szCs w:val="20"/>
          <w:lang w:val="es-ES" w:eastAsia="es-ES" w:bidi="en-US"/>
        </w:rPr>
      </w:pPr>
    </w:p>
    <w:p w:rsidR="003D758A" w:rsidRPr="00B701DC" w:rsidRDefault="003D758A" w:rsidP="003D758A">
      <w:pPr>
        <w:pStyle w:val="ListParagraph"/>
        <w:widowControl w:val="0"/>
        <w:numPr>
          <w:ilvl w:val="0"/>
          <w:numId w:val="1"/>
        </w:numPr>
        <w:tabs>
          <w:tab w:val="left" w:pos="0"/>
        </w:tabs>
        <w:adjustRightInd w:val="0"/>
        <w:ind w:left="0" w:firstLine="0"/>
        <w:rPr>
          <w:rFonts w:cs="Arial"/>
          <w:szCs w:val="20"/>
          <w:lang w:val="es-ES"/>
        </w:rPr>
      </w:pPr>
      <w:r w:rsidRPr="00B701DC">
        <w:rPr>
          <w:szCs w:val="20"/>
          <w:lang w:val="es-ES" w:eastAsia="es-ES" w:bidi="en-US"/>
        </w:rPr>
        <w:t>La Corte nota</w:t>
      </w:r>
      <w:r w:rsidR="00C2360E">
        <w:rPr>
          <w:szCs w:val="20"/>
          <w:lang w:val="es-ES" w:eastAsia="es-ES" w:bidi="en-US"/>
        </w:rPr>
        <w:t>,</w:t>
      </w:r>
      <w:r w:rsidRPr="00B701DC">
        <w:rPr>
          <w:szCs w:val="20"/>
          <w:lang w:val="es-ES" w:eastAsia="es-ES" w:bidi="en-US"/>
        </w:rPr>
        <w:t xml:space="preserve"> del examen del expediente del trámite de los casos ante la Comisión, que en el caso de Wilfredo Terrones Silva, el Estado</w:t>
      </w:r>
      <w:r w:rsidR="00C2360E">
        <w:rPr>
          <w:szCs w:val="20"/>
          <w:lang w:val="es-ES" w:eastAsia="es-ES" w:bidi="en-US"/>
        </w:rPr>
        <w:t>,</w:t>
      </w:r>
      <w:r w:rsidRPr="00B701DC">
        <w:rPr>
          <w:szCs w:val="20"/>
          <w:lang w:val="es-ES" w:eastAsia="es-ES" w:bidi="en-US"/>
        </w:rPr>
        <w:t xml:space="preserve"> en su comunicación No. 7-5-M/421 de 2</w:t>
      </w:r>
      <w:r>
        <w:rPr>
          <w:szCs w:val="20"/>
          <w:lang w:val="es-ES" w:eastAsia="es-ES" w:bidi="en-US"/>
        </w:rPr>
        <w:t>4</w:t>
      </w:r>
      <w:r w:rsidRPr="00B701DC">
        <w:rPr>
          <w:szCs w:val="20"/>
          <w:lang w:val="es-ES" w:eastAsia="es-ES" w:bidi="en-US"/>
        </w:rPr>
        <w:t xml:space="preserve"> de agosto de 1998 así como en su informe adjunto denominado “Informe Consolidado”, solicitó que se “declare inadmisible [la] petición en razón de que no se han agotado los recursos de la jurisdicción interna”</w:t>
      </w:r>
      <w:r w:rsidRPr="0090646C">
        <w:rPr>
          <w:rStyle w:val="FootnoteReference"/>
          <w:sz w:val="20"/>
          <w:szCs w:val="20"/>
          <w:lang w:val="es-ES" w:eastAsia="es-ES" w:bidi="en-US"/>
        </w:rPr>
        <w:footnoteReference w:id="15"/>
      </w:r>
      <w:r w:rsidR="00C2360E">
        <w:rPr>
          <w:szCs w:val="20"/>
          <w:lang w:val="es-ES" w:eastAsia="es-ES" w:bidi="en-US"/>
        </w:rPr>
        <w:t>.</w:t>
      </w:r>
      <w:r w:rsidRPr="00B701DC">
        <w:rPr>
          <w:szCs w:val="20"/>
          <w:lang w:val="es-ES" w:eastAsia="es-ES" w:bidi="en-US"/>
        </w:rPr>
        <w:t xml:space="preserve"> </w:t>
      </w:r>
      <w:r w:rsidR="00C2360E">
        <w:rPr>
          <w:szCs w:val="20"/>
          <w:lang w:val="es-ES" w:eastAsia="es-ES" w:bidi="en-US"/>
        </w:rPr>
        <w:t>A</w:t>
      </w:r>
      <w:r w:rsidRPr="00B701DC">
        <w:rPr>
          <w:szCs w:val="20"/>
          <w:lang w:val="es-ES" w:eastAsia="es-ES" w:bidi="en-US"/>
        </w:rPr>
        <w:t xml:space="preserve">demás presentó el informe </w:t>
      </w:r>
      <w:r w:rsidRPr="00B701DC">
        <w:rPr>
          <w:rFonts w:cs="Arial"/>
          <w:lang w:val="es-CR"/>
        </w:rPr>
        <w:t>Nro. 212-2011-JUS/PPES</w:t>
      </w:r>
      <w:r w:rsidRPr="00B701DC">
        <w:rPr>
          <w:szCs w:val="20"/>
          <w:lang w:val="es-ES" w:eastAsia="es-ES" w:bidi="en-US"/>
        </w:rPr>
        <w:t xml:space="preserve"> de </w:t>
      </w:r>
      <w:r w:rsidRPr="00B701DC">
        <w:rPr>
          <w:rFonts w:cs="Arial"/>
          <w:lang w:val="es-CR"/>
        </w:rPr>
        <w:t>18 de mayo de 2011</w:t>
      </w:r>
      <w:r w:rsidR="00C2360E">
        <w:rPr>
          <w:rFonts w:cs="Arial"/>
          <w:lang w:val="es-CR"/>
        </w:rPr>
        <w:t>,</w:t>
      </w:r>
      <w:r w:rsidRPr="00B701DC">
        <w:rPr>
          <w:rFonts w:cs="Arial"/>
          <w:lang w:val="es-CR"/>
        </w:rPr>
        <w:t xml:space="preserve"> donde argumentó que se “contin</w:t>
      </w:r>
      <w:r>
        <w:rPr>
          <w:rFonts w:cs="Arial"/>
          <w:lang w:val="es-CR"/>
        </w:rPr>
        <w:t>ú</w:t>
      </w:r>
      <w:r w:rsidRPr="00B701DC">
        <w:rPr>
          <w:rFonts w:cs="Arial"/>
          <w:lang w:val="es-CR"/>
        </w:rPr>
        <w:t>a en sede interna con las investigaciones, diligencias y gestiones para el mejor esclarecimiento de los hechos denunciados”</w:t>
      </w:r>
      <w:r w:rsidRPr="00AF22DD">
        <w:rPr>
          <w:rStyle w:val="FootnoteReference"/>
          <w:sz w:val="20"/>
          <w:szCs w:val="20"/>
          <w:lang w:val="es-CR"/>
        </w:rPr>
        <w:footnoteReference w:id="16"/>
      </w:r>
      <w:r w:rsidR="00C2360E">
        <w:rPr>
          <w:rFonts w:cs="Arial"/>
          <w:lang w:val="es-CR"/>
        </w:rPr>
        <w:t>.</w:t>
      </w:r>
      <w:r w:rsidRPr="00B701DC">
        <w:rPr>
          <w:szCs w:val="20"/>
          <w:lang w:val="es-ES" w:eastAsia="es-ES" w:bidi="en-US"/>
        </w:rPr>
        <w:t xml:space="preserve"> </w:t>
      </w:r>
      <w:r w:rsidR="00C2360E">
        <w:rPr>
          <w:szCs w:val="20"/>
          <w:lang w:val="es-ES" w:eastAsia="es-ES" w:bidi="en-US"/>
        </w:rPr>
        <w:t>E</w:t>
      </w:r>
      <w:r w:rsidRPr="00B701DC">
        <w:rPr>
          <w:szCs w:val="20"/>
          <w:lang w:val="es-ES" w:eastAsia="es-ES" w:bidi="en-US"/>
        </w:rPr>
        <w:t xml:space="preserve">n el caso de Cory Clodolia Tenicela Tello, en su comunicación No. 7-5-M/510 de 10 de agosto de 2010, </w:t>
      </w:r>
      <w:r w:rsidR="00C2360E">
        <w:rPr>
          <w:szCs w:val="20"/>
          <w:lang w:val="es-ES" w:eastAsia="es-ES" w:bidi="en-US"/>
        </w:rPr>
        <w:t xml:space="preserve">el Estado </w:t>
      </w:r>
      <w:r w:rsidRPr="00B701DC">
        <w:rPr>
          <w:szCs w:val="20"/>
          <w:lang w:val="es-ES" w:eastAsia="es-ES" w:bidi="en-US"/>
        </w:rPr>
        <w:t xml:space="preserve">adjuntó el informe </w:t>
      </w:r>
      <w:r w:rsidRPr="00B701DC">
        <w:rPr>
          <w:rFonts w:cs="Helvetica"/>
          <w:szCs w:val="20"/>
        </w:rPr>
        <w:t>No. 240-2010</w:t>
      </w:r>
      <w:r>
        <w:rPr>
          <w:rFonts w:cs="Helvetica"/>
          <w:szCs w:val="20"/>
        </w:rPr>
        <w:t>-</w:t>
      </w:r>
      <w:r w:rsidRPr="00B701DC">
        <w:rPr>
          <w:rFonts w:cs="Helvetica"/>
          <w:szCs w:val="20"/>
        </w:rPr>
        <w:t>JUS/PPES</w:t>
      </w:r>
      <w:r w:rsidRPr="00B701DC">
        <w:rPr>
          <w:szCs w:val="20"/>
          <w:lang w:val="es-ES" w:eastAsia="es-ES" w:bidi="en-US"/>
        </w:rPr>
        <w:t xml:space="preserve">, en el cual señaló que “en vista que, aún sigue en trámite [la investigación], es decir, que está pendiente el pronunciamiento por parte del Poder Judicial, solicit[a] a la </w:t>
      </w:r>
      <w:r>
        <w:rPr>
          <w:szCs w:val="20"/>
          <w:lang w:val="es-ES" w:eastAsia="es-ES" w:bidi="en-US"/>
        </w:rPr>
        <w:t>[</w:t>
      </w:r>
      <w:r w:rsidR="00702A37">
        <w:rPr>
          <w:szCs w:val="20"/>
          <w:lang w:val="es-ES" w:eastAsia="es-ES" w:bidi="en-US"/>
        </w:rPr>
        <w:t>i</w:t>
      </w:r>
      <w:r>
        <w:rPr>
          <w:szCs w:val="20"/>
          <w:lang w:val="es-ES" w:eastAsia="es-ES" w:bidi="en-US"/>
        </w:rPr>
        <w:t>]</w:t>
      </w:r>
      <w:r w:rsidRPr="00B701DC">
        <w:rPr>
          <w:szCs w:val="20"/>
          <w:lang w:val="es-ES" w:eastAsia="es-ES" w:bidi="en-US"/>
        </w:rPr>
        <w:t>lustre Comisión que declare la inadmisibilidad de la petición, en concordancia con los artículos 46.1.a) y 48.1.b)”</w:t>
      </w:r>
      <w:r w:rsidRPr="0090646C">
        <w:rPr>
          <w:rStyle w:val="FootnoteReference"/>
          <w:sz w:val="20"/>
          <w:szCs w:val="20"/>
          <w:lang w:val="es-ES" w:eastAsia="es-ES" w:bidi="en-US"/>
        </w:rPr>
        <w:footnoteReference w:id="17"/>
      </w:r>
      <w:r w:rsidRPr="00B701DC">
        <w:rPr>
          <w:szCs w:val="20"/>
          <w:lang w:val="es-ES" w:eastAsia="es-ES" w:bidi="en-US"/>
        </w:rPr>
        <w:t>. Por otra parte, en los casos de Santiago Antezana Cueto</w:t>
      </w:r>
      <w:r w:rsidRPr="00692B48">
        <w:rPr>
          <w:rStyle w:val="FootnoteReference"/>
          <w:sz w:val="20"/>
          <w:szCs w:val="20"/>
          <w:lang w:val="es-ES" w:eastAsia="es-ES" w:bidi="en-US"/>
        </w:rPr>
        <w:footnoteReference w:id="18"/>
      </w:r>
      <w:r w:rsidRPr="00692B48">
        <w:rPr>
          <w:szCs w:val="20"/>
          <w:lang w:val="es-ES" w:eastAsia="es-ES" w:bidi="en-US"/>
        </w:rPr>
        <w:t>,</w:t>
      </w:r>
      <w:r w:rsidRPr="00B701DC">
        <w:rPr>
          <w:szCs w:val="20"/>
          <w:lang w:val="es-ES" w:eastAsia="es-ES" w:bidi="en-US"/>
        </w:rPr>
        <w:t xml:space="preserve"> Teresa Díaz Aparicio</w:t>
      </w:r>
      <w:r w:rsidRPr="00E505FA">
        <w:rPr>
          <w:rStyle w:val="FootnoteReference"/>
          <w:sz w:val="20"/>
          <w:szCs w:val="20"/>
          <w:lang w:val="es-ES" w:eastAsia="es-ES" w:bidi="en-US"/>
        </w:rPr>
        <w:footnoteReference w:id="19"/>
      </w:r>
      <w:r w:rsidRPr="00E505FA">
        <w:rPr>
          <w:szCs w:val="20"/>
          <w:lang w:val="es-ES" w:eastAsia="es-ES" w:bidi="en-US"/>
        </w:rPr>
        <w:t xml:space="preserve"> </w:t>
      </w:r>
      <w:r w:rsidRPr="00B701DC">
        <w:rPr>
          <w:szCs w:val="20"/>
          <w:lang w:val="es-ES" w:eastAsia="es-ES" w:bidi="en-US"/>
        </w:rPr>
        <w:t>y Néstor Rojas Medina</w:t>
      </w:r>
      <w:r w:rsidRPr="0090646C">
        <w:rPr>
          <w:rStyle w:val="FootnoteReference"/>
          <w:sz w:val="20"/>
          <w:szCs w:val="20"/>
          <w:lang w:val="es-ES" w:eastAsia="es-ES" w:bidi="en-US"/>
        </w:rPr>
        <w:footnoteReference w:id="20"/>
      </w:r>
      <w:r w:rsidRPr="00B701DC">
        <w:rPr>
          <w:szCs w:val="20"/>
          <w:lang w:val="es-ES" w:eastAsia="es-ES" w:bidi="en-US"/>
        </w:rPr>
        <w:t xml:space="preserve">, en sus comunicaciones ante la Comisión referentes a dichos casos </w:t>
      </w:r>
      <w:r w:rsidRPr="00B701DC">
        <w:rPr>
          <w:szCs w:val="20"/>
          <w:lang w:val="es-ES" w:eastAsia="es-ES" w:bidi="en-US"/>
        </w:rPr>
        <w:lastRenderedPageBreak/>
        <w:t xml:space="preserve">en forma general aduce que se realizan investigaciones en la jurisdicción interna, sin mencionar expresamente </w:t>
      </w:r>
      <w:r w:rsidR="00C2360E">
        <w:rPr>
          <w:szCs w:val="20"/>
          <w:lang w:val="es-ES" w:eastAsia="es-ES" w:bidi="en-US"/>
        </w:rPr>
        <w:t xml:space="preserve">el Estado </w:t>
      </w:r>
      <w:r w:rsidRPr="00B701DC">
        <w:rPr>
          <w:szCs w:val="20"/>
          <w:lang w:val="es-ES" w:eastAsia="es-ES" w:bidi="en-US"/>
        </w:rPr>
        <w:t xml:space="preserve">la excepción de no agotamiento de los recursos internos. Además, en ninguno de los cinco casos el Estado </w:t>
      </w:r>
      <w:r w:rsidRPr="00B701DC">
        <w:rPr>
          <w:szCs w:val="20"/>
          <w:lang w:val="es-CR"/>
        </w:rPr>
        <w:t>alegó los recursos concretos que consideraba que no se habían agotado, ni señaló cuáles eran los recursos adecuados y efectivos, sólo se limitó a indicar que habían investigaciones en curso</w:t>
      </w:r>
      <w:r w:rsidRPr="00B701DC">
        <w:rPr>
          <w:szCs w:val="20"/>
          <w:lang w:val="es-ES" w:eastAsia="es-ES" w:bidi="en-US"/>
        </w:rPr>
        <w:t>. En consideración de lo anterior y conforme a la jurisprudencia de este Tribunal</w:t>
      </w:r>
      <w:r w:rsidRPr="004D4F62">
        <w:rPr>
          <w:rStyle w:val="FootnoteReference"/>
          <w:szCs w:val="20"/>
          <w:lang w:val="es-ES" w:eastAsia="es-ES" w:bidi="en-US"/>
        </w:rPr>
        <w:footnoteReference w:id="21"/>
      </w:r>
      <w:r w:rsidRPr="00B701DC">
        <w:rPr>
          <w:szCs w:val="20"/>
          <w:lang w:val="es-ES" w:eastAsia="es-ES" w:bidi="en-US"/>
        </w:rPr>
        <w:t>, la Corte estima que el Estado no alegó la excepción preliminar durante el trámite de la admisibilidad y, por lo tanto</w:t>
      </w:r>
      <w:r w:rsidR="00C2360E">
        <w:rPr>
          <w:szCs w:val="20"/>
          <w:lang w:val="es-ES" w:eastAsia="es-ES" w:bidi="en-US"/>
        </w:rPr>
        <w:t>,</w:t>
      </w:r>
      <w:r w:rsidRPr="00B701DC">
        <w:rPr>
          <w:szCs w:val="20"/>
          <w:lang w:val="es-ES" w:eastAsia="es-ES" w:bidi="en-US"/>
        </w:rPr>
        <w:t xml:space="preserve"> la presente excepción fue interpuesta por el Estado de forma extemporánea.</w:t>
      </w:r>
    </w:p>
    <w:p w:rsidR="003D758A" w:rsidRPr="00B701DC" w:rsidRDefault="003D758A" w:rsidP="003D758A">
      <w:pPr>
        <w:pStyle w:val="ListParagraph"/>
        <w:widowControl w:val="0"/>
        <w:tabs>
          <w:tab w:val="left" w:pos="0"/>
        </w:tabs>
        <w:adjustRightInd w:val="0"/>
        <w:ind w:left="0"/>
        <w:rPr>
          <w:rFonts w:cs="Arial"/>
          <w:szCs w:val="20"/>
          <w:lang w:val="es-ES"/>
        </w:rPr>
      </w:pPr>
    </w:p>
    <w:p w:rsidR="00EF24DA" w:rsidRPr="00F34D87" w:rsidRDefault="003D758A" w:rsidP="003D758A">
      <w:pPr>
        <w:pStyle w:val="ListParagraph"/>
        <w:widowControl w:val="0"/>
        <w:numPr>
          <w:ilvl w:val="0"/>
          <w:numId w:val="1"/>
        </w:numPr>
        <w:tabs>
          <w:tab w:val="left" w:pos="0"/>
        </w:tabs>
        <w:adjustRightInd w:val="0"/>
        <w:ind w:left="0" w:firstLine="0"/>
        <w:rPr>
          <w:rFonts w:cs="Arial"/>
          <w:szCs w:val="20"/>
          <w:lang w:val="es-ES"/>
        </w:rPr>
      </w:pPr>
      <w:r w:rsidRPr="00F34D87">
        <w:rPr>
          <w:szCs w:val="20"/>
          <w:lang w:val="es-CR"/>
        </w:rPr>
        <w:t>De conformidad con lo expuesto, la Corte desestima la excepción de falta de agotamiento de recursos internos</w:t>
      </w:r>
      <w:r w:rsidRPr="00F34D87">
        <w:rPr>
          <w:szCs w:val="20"/>
          <w:lang w:val="es-ES"/>
        </w:rPr>
        <w:t xml:space="preserve">, </w:t>
      </w:r>
      <w:r w:rsidRPr="00F34D87">
        <w:rPr>
          <w:szCs w:val="20"/>
          <w:lang w:val="es-CR"/>
        </w:rPr>
        <w:t>en relación con los casos de Wilfredo Terrones Silva, Teresa Díaz Aparicio, Cory Clodolia Tenicela Tello, Néstor Rojas Medina y Santiago Antezana Cueto.</w:t>
      </w:r>
    </w:p>
    <w:p w:rsidR="00EF24DA" w:rsidRPr="00060C0E" w:rsidRDefault="00EF24DA" w:rsidP="0058173E">
      <w:pPr>
        <w:widowControl w:val="0"/>
        <w:tabs>
          <w:tab w:val="left" w:pos="0"/>
        </w:tabs>
        <w:adjustRightInd w:val="0"/>
        <w:jc w:val="center"/>
        <w:rPr>
          <w:rFonts w:cs="Arial"/>
          <w:szCs w:val="20"/>
          <w:lang w:val="es-ES"/>
        </w:rPr>
      </w:pPr>
    </w:p>
    <w:p w:rsidR="000C3021" w:rsidRPr="003D3B17" w:rsidRDefault="004C2E0A" w:rsidP="00894B87">
      <w:pPr>
        <w:pStyle w:val="Heading2"/>
        <w:spacing w:before="0"/>
        <w:ind w:left="709"/>
        <w:rPr>
          <w:szCs w:val="20"/>
          <w:lang w:val="es-ES_tradnl"/>
        </w:rPr>
      </w:pPr>
      <w:bookmarkStart w:id="57" w:name="_Toc510688337"/>
      <w:bookmarkStart w:id="58" w:name="_Toc527993511"/>
      <w:r>
        <w:rPr>
          <w:szCs w:val="20"/>
          <w:lang w:val="es-ES"/>
        </w:rPr>
        <w:t xml:space="preserve">B. </w:t>
      </w:r>
      <w:r w:rsidR="000C3021" w:rsidRPr="00E61FA4">
        <w:rPr>
          <w:szCs w:val="20"/>
          <w:lang w:val="es-ES_tradnl"/>
        </w:rPr>
        <w:t xml:space="preserve">Excepción por falta de competencia </w:t>
      </w:r>
      <w:r w:rsidR="000C3021" w:rsidRPr="00E61FA4">
        <w:rPr>
          <w:i/>
          <w:szCs w:val="20"/>
          <w:lang w:val="es-ES_tradnl"/>
        </w:rPr>
        <w:t>ratione temporis</w:t>
      </w:r>
      <w:r w:rsidR="00894B87">
        <w:rPr>
          <w:szCs w:val="20"/>
          <w:lang w:val="es-ES_tradnl"/>
        </w:rPr>
        <w:t xml:space="preserve"> de la Corte respecto </w:t>
      </w:r>
      <w:r w:rsidR="000C3021" w:rsidRPr="00E61FA4">
        <w:rPr>
          <w:szCs w:val="20"/>
          <w:lang w:val="es-ES_tradnl"/>
        </w:rPr>
        <w:t xml:space="preserve">a la </w:t>
      </w:r>
      <w:bookmarkEnd w:id="57"/>
      <w:r w:rsidR="000C3021" w:rsidRPr="00E61FA4">
        <w:rPr>
          <w:szCs w:val="20"/>
        </w:rPr>
        <w:t>Convención Interamericana sobre Desaparición Forzada de Personas</w:t>
      </w:r>
      <w:bookmarkEnd w:id="58"/>
    </w:p>
    <w:p w:rsidR="000C3021" w:rsidRPr="00E61FA4" w:rsidRDefault="000C3021" w:rsidP="000C3021">
      <w:pPr>
        <w:pStyle w:val="Heading3"/>
        <w:ind w:left="709"/>
        <w:rPr>
          <w:szCs w:val="20"/>
          <w:lang w:val="es-ES_tradnl"/>
        </w:rPr>
      </w:pPr>
      <w:bookmarkStart w:id="59" w:name="_Toc510688338"/>
      <w:bookmarkStart w:id="60" w:name="_Toc399131132"/>
      <w:bookmarkStart w:id="61" w:name="_Toc399131776"/>
      <w:bookmarkStart w:id="62" w:name="_Toc527993512"/>
      <w:r w:rsidRPr="00E61FA4">
        <w:rPr>
          <w:szCs w:val="20"/>
          <w:lang w:val="es-ES_tradnl"/>
        </w:rPr>
        <w:t>B.1. Alegatos del Estado y observaciones de la Comisión y los representantes</w:t>
      </w:r>
      <w:bookmarkEnd w:id="59"/>
      <w:bookmarkEnd w:id="60"/>
      <w:bookmarkEnd w:id="61"/>
      <w:bookmarkEnd w:id="62"/>
    </w:p>
    <w:p w:rsidR="000C3021" w:rsidRPr="00E61FA4" w:rsidRDefault="000C3021" w:rsidP="000C3021">
      <w:pPr>
        <w:pStyle w:val="ListParagraph"/>
        <w:ind w:left="0" w:right="-144"/>
        <w:rPr>
          <w:szCs w:val="20"/>
          <w:lang w:val="es-ES_tradnl"/>
        </w:rPr>
      </w:pPr>
    </w:p>
    <w:p w:rsidR="00E1727B" w:rsidRPr="00B701DC" w:rsidRDefault="00E1727B" w:rsidP="00E1727B">
      <w:pPr>
        <w:pStyle w:val="ListParagraph"/>
        <w:widowControl w:val="0"/>
        <w:numPr>
          <w:ilvl w:val="0"/>
          <w:numId w:val="1"/>
        </w:numPr>
        <w:tabs>
          <w:tab w:val="left" w:pos="0"/>
        </w:tabs>
        <w:adjustRightInd w:val="0"/>
        <w:ind w:left="0" w:firstLine="0"/>
        <w:rPr>
          <w:szCs w:val="20"/>
          <w:lang w:val="es-ES_tradnl"/>
        </w:rPr>
      </w:pPr>
      <w:r w:rsidRPr="00B701DC">
        <w:rPr>
          <w:szCs w:val="20"/>
        </w:rPr>
        <w:t xml:space="preserve">El </w:t>
      </w:r>
      <w:r w:rsidRPr="00B701DC">
        <w:rPr>
          <w:b/>
          <w:i/>
          <w:szCs w:val="20"/>
        </w:rPr>
        <w:t xml:space="preserve">Estado </w:t>
      </w:r>
      <w:r w:rsidRPr="00B701DC">
        <w:rPr>
          <w:szCs w:val="20"/>
        </w:rPr>
        <w:t xml:space="preserve">sostuvo que los hechos alegados por los peticionarios sucedieron entre el 15 de mayo de 1984 y el 2 de octubre de 1992, es decir, antes de la ratificación por parte del Perú de la Convención Interamericana sobre Desaparición Forzada de Personas. Por lo tanto, adujo que en virtud del principio de irretroactividad la Corte no puede aplicarla a estos casos. </w:t>
      </w:r>
    </w:p>
    <w:p w:rsidR="00E1727B" w:rsidRPr="00613D5B" w:rsidRDefault="00E1727B" w:rsidP="00E1727B">
      <w:pPr>
        <w:pStyle w:val="ListParagraph"/>
        <w:ind w:left="0" w:right="-144"/>
        <w:rPr>
          <w:szCs w:val="20"/>
          <w:lang w:val="es-ES_tradnl"/>
        </w:rPr>
      </w:pPr>
    </w:p>
    <w:p w:rsidR="00E1727B" w:rsidRPr="003F2B62" w:rsidRDefault="00E1727B" w:rsidP="00E1727B">
      <w:pPr>
        <w:pStyle w:val="ListParagraph"/>
        <w:widowControl w:val="0"/>
        <w:numPr>
          <w:ilvl w:val="0"/>
          <w:numId w:val="1"/>
        </w:numPr>
        <w:tabs>
          <w:tab w:val="left" w:pos="0"/>
        </w:tabs>
        <w:adjustRightInd w:val="0"/>
        <w:ind w:left="0" w:firstLine="0"/>
        <w:rPr>
          <w:szCs w:val="20"/>
          <w:lang w:val="es-ES_tradnl"/>
        </w:rPr>
      </w:pPr>
      <w:r w:rsidRPr="003F2B62">
        <w:rPr>
          <w:szCs w:val="20"/>
          <w:lang w:val="es-CR"/>
        </w:rPr>
        <w:t xml:space="preserve">La </w:t>
      </w:r>
      <w:r w:rsidRPr="003F2B62">
        <w:rPr>
          <w:b/>
          <w:i/>
          <w:szCs w:val="20"/>
          <w:lang w:val="es-CR"/>
        </w:rPr>
        <w:t>Comisión</w:t>
      </w:r>
      <w:r w:rsidRPr="003F2B62">
        <w:rPr>
          <w:szCs w:val="20"/>
          <w:lang w:val="es-CR"/>
        </w:rPr>
        <w:t xml:space="preserve"> argumentó tras analizar los estándares aplicables y la situación de los casos concretos, que existían suficientes razones para calificar lo sucedido a Wilfredo Terrones Silva, Teresa Díaz Aparicio, </w:t>
      </w:r>
      <w:r w:rsidRPr="004F5D9D">
        <w:rPr>
          <w:szCs w:val="20"/>
        </w:rPr>
        <w:t>Santiago</w:t>
      </w:r>
      <w:r w:rsidRPr="003F2B62">
        <w:rPr>
          <w:szCs w:val="20"/>
          <w:lang w:val="es-CR"/>
        </w:rPr>
        <w:t xml:space="preserve"> Antezana Cueto, Néstor Rojas Medina y Cory Clodolia Tenicela Tello como una desaparición forzada perpetrada por agentes estatales, “la cual continúa siendo cometida hasta la fecha[,] pues no se ha establecido el destino o paradero de ninguna de las víctimas”. En este sentido, y siendo la naturaleza continua de la desaparición forzada, reconocida por la Corte, la Comisión concluyó que este Tribunal tiene competencia temporal para pronunciarse respecto de la CIDFP. </w:t>
      </w:r>
    </w:p>
    <w:p w:rsidR="00E1727B" w:rsidRPr="00E61FA4" w:rsidRDefault="00E1727B" w:rsidP="00E1727B">
      <w:pPr>
        <w:pStyle w:val="ListParagraph"/>
        <w:ind w:left="0" w:right="-144"/>
        <w:rPr>
          <w:szCs w:val="20"/>
          <w:lang w:val="es-ES_tradnl"/>
        </w:rPr>
      </w:pPr>
    </w:p>
    <w:p w:rsidR="00E1727B" w:rsidRPr="003F2B62" w:rsidRDefault="00E1727B" w:rsidP="00E1727B">
      <w:pPr>
        <w:pStyle w:val="ListParagraph"/>
        <w:widowControl w:val="0"/>
        <w:numPr>
          <w:ilvl w:val="0"/>
          <w:numId w:val="1"/>
        </w:numPr>
        <w:tabs>
          <w:tab w:val="left" w:pos="0"/>
        </w:tabs>
        <w:adjustRightInd w:val="0"/>
        <w:ind w:left="0" w:firstLine="0"/>
        <w:rPr>
          <w:szCs w:val="20"/>
          <w:lang w:val="es-ES_tradnl"/>
        </w:rPr>
      </w:pPr>
      <w:r w:rsidRPr="003F2B62">
        <w:rPr>
          <w:szCs w:val="20"/>
          <w:lang w:val="es-CR"/>
        </w:rPr>
        <w:t xml:space="preserve">Los </w:t>
      </w:r>
      <w:r w:rsidRPr="003F2B62">
        <w:rPr>
          <w:b/>
          <w:i/>
          <w:szCs w:val="20"/>
          <w:lang w:val="es-CR"/>
        </w:rPr>
        <w:t>representantes</w:t>
      </w:r>
      <w:r w:rsidRPr="003F2B62">
        <w:rPr>
          <w:szCs w:val="20"/>
          <w:lang w:val="es-CR"/>
        </w:rPr>
        <w:t xml:space="preserve"> señalaron que la Corte ya se pronunció reiteradamente sobre la misma excepción preliminar en casos de desapariciones forzadas en el Perú. Argumentaron que se trata de una violación continua o permanente, por lo que la Corte es competente para pronunciarse sobre violaciones al deber de investigar debidamente denuncias de desaparición forzada aún cuando la desaparición y la investigación hubieran iniciado a</w:t>
      </w:r>
      <w:r>
        <w:rPr>
          <w:szCs w:val="20"/>
          <w:lang w:val="es-CR"/>
        </w:rPr>
        <w:t>ntes de la entrada en vigencia.</w:t>
      </w:r>
      <w:r w:rsidRPr="003F2B62">
        <w:rPr>
          <w:b/>
          <w:szCs w:val="20"/>
          <w:lang w:val="es-CR"/>
        </w:rPr>
        <w:t xml:space="preserve"> </w:t>
      </w:r>
      <w:r w:rsidRPr="003F2B62">
        <w:rPr>
          <w:szCs w:val="20"/>
          <w:lang w:val="es-CR"/>
        </w:rPr>
        <w:t xml:space="preserve">Por lo que solicitaron a la Corte que se declare infundada la </w:t>
      </w:r>
      <w:r w:rsidRPr="003F2B62">
        <w:rPr>
          <w:szCs w:val="20"/>
          <w:lang w:val="es-CR"/>
        </w:rPr>
        <w:lastRenderedPageBreak/>
        <w:t>excepción preliminar planteada.</w:t>
      </w:r>
    </w:p>
    <w:p w:rsidR="00E1727B" w:rsidRPr="00EF24DA" w:rsidRDefault="00E1727B" w:rsidP="00E1727B">
      <w:pPr>
        <w:ind w:right="-144"/>
        <w:rPr>
          <w:rFonts w:eastAsiaTheme="majorEastAsia" w:cstheme="majorBidi"/>
          <w:b/>
          <w:bCs/>
          <w:szCs w:val="20"/>
          <w:lang w:val="es-ES_tradnl"/>
        </w:rPr>
      </w:pPr>
    </w:p>
    <w:p w:rsidR="00E1727B" w:rsidRPr="005C11AD" w:rsidRDefault="00E1727B" w:rsidP="00E1727B">
      <w:pPr>
        <w:pStyle w:val="ListParagraph"/>
        <w:ind w:left="0" w:right="-144" w:firstLine="720"/>
        <w:outlineLvl w:val="2"/>
        <w:rPr>
          <w:rFonts w:eastAsiaTheme="majorEastAsia" w:cstheme="majorBidi"/>
          <w:b/>
          <w:bCs/>
          <w:szCs w:val="20"/>
          <w:lang w:val="es-ES_tradnl"/>
        </w:rPr>
      </w:pPr>
      <w:bookmarkStart w:id="63" w:name="_Toc527993513"/>
      <w:r w:rsidRPr="005C11AD">
        <w:rPr>
          <w:rFonts w:eastAsiaTheme="majorEastAsia" w:cstheme="majorBidi"/>
          <w:b/>
          <w:bCs/>
          <w:szCs w:val="20"/>
          <w:lang w:val="es-ES_tradnl"/>
        </w:rPr>
        <w:t>B.2. Consideraciones de la Corte</w:t>
      </w:r>
      <w:bookmarkEnd w:id="63"/>
      <w:r w:rsidRPr="005C11AD">
        <w:rPr>
          <w:rFonts w:eastAsiaTheme="majorEastAsia" w:cstheme="majorBidi"/>
          <w:b/>
          <w:bCs/>
          <w:szCs w:val="20"/>
          <w:lang w:val="es-ES_tradnl"/>
        </w:rPr>
        <w:t xml:space="preserve">  </w:t>
      </w:r>
    </w:p>
    <w:p w:rsidR="00E1727B" w:rsidRPr="003013D0" w:rsidRDefault="00E1727B" w:rsidP="00E1727B">
      <w:pPr>
        <w:widowControl w:val="0"/>
        <w:tabs>
          <w:tab w:val="left" w:pos="0"/>
          <w:tab w:val="left" w:pos="1134"/>
        </w:tabs>
        <w:adjustRightInd w:val="0"/>
        <w:ind w:right="4"/>
        <w:textAlignment w:val="baseline"/>
        <w:rPr>
          <w:szCs w:val="20"/>
          <w:lang w:val="es-CR"/>
        </w:rPr>
      </w:pPr>
    </w:p>
    <w:p w:rsidR="00E1727B" w:rsidRPr="003013D0" w:rsidRDefault="00E1727B" w:rsidP="00E1727B">
      <w:pPr>
        <w:pStyle w:val="ListParagraph"/>
        <w:widowControl w:val="0"/>
        <w:numPr>
          <w:ilvl w:val="0"/>
          <w:numId w:val="1"/>
        </w:numPr>
        <w:tabs>
          <w:tab w:val="left" w:pos="0"/>
        </w:tabs>
        <w:adjustRightInd w:val="0"/>
        <w:ind w:left="0" w:firstLine="0"/>
        <w:rPr>
          <w:szCs w:val="20"/>
          <w:lang w:val="es-CR"/>
        </w:rPr>
      </w:pPr>
      <w:r w:rsidRPr="003013D0">
        <w:rPr>
          <w:szCs w:val="20"/>
          <w:lang w:val="es-CR"/>
        </w:rPr>
        <w:t xml:space="preserve">El Perú depositó el instrumento de ratificación de la Convención Interamericana sobre Desaparición Forzada de Personas </w:t>
      </w:r>
      <w:r>
        <w:rPr>
          <w:szCs w:val="20"/>
          <w:lang w:val="es-CR"/>
        </w:rPr>
        <w:t>el 13 de febrero de 2002. Esta C</w:t>
      </w:r>
      <w:r w:rsidRPr="003013D0">
        <w:rPr>
          <w:szCs w:val="20"/>
          <w:lang w:val="es-CR"/>
        </w:rPr>
        <w:t>onvención entró en vigor para el Estado el 15 de marzo de 2002, de acuerdo con el artículo XX</w:t>
      </w:r>
      <w:r w:rsidRPr="00562C3F">
        <w:rPr>
          <w:rStyle w:val="FootnoteReference"/>
          <w:sz w:val="20"/>
          <w:szCs w:val="20"/>
          <w:lang w:val="es-ES_tradnl"/>
        </w:rPr>
        <w:footnoteReference w:id="22"/>
      </w:r>
      <w:r w:rsidRPr="00562C3F">
        <w:rPr>
          <w:szCs w:val="20"/>
          <w:lang w:val="es-CR"/>
        </w:rPr>
        <w:t xml:space="preserve"> d</w:t>
      </w:r>
      <w:r w:rsidRPr="003013D0">
        <w:rPr>
          <w:szCs w:val="20"/>
          <w:lang w:val="es-CR"/>
        </w:rPr>
        <w:t>e dicho instrumento.</w:t>
      </w:r>
    </w:p>
    <w:p w:rsidR="00E1727B" w:rsidRPr="003013D0" w:rsidRDefault="00E1727B" w:rsidP="00E1727B">
      <w:pPr>
        <w:pStyle w:val="ListParagraph"/>
        <w:ind w:left="0" w:right="-144"/>
        <w:rPr>
          <w:szCs w:val="20"/>
          <w:lang w:val="es-CR"/>
        </w:rPr>
      </w:pPr>
    </w:p>
    <w:p w:rsidR="00E1727B" w:rsidRPr="003F2B62" w:rsidRDefault="00E1727B" w:rsidP="00E1727B">
      <w:pPr>
        <w:pStyle w:val="ListParagraph"/>
        <w:widowControl w:val="0"/>
        <w:numPr>
          <w:ilvl w:val="0"/>
          <w:numId w:val="1"/>
        </w:numPr>
        <w:tabs>
          <w:tab w:val="left" w:pos="0"/>
        </w:tabs>
        <w:adjustRightInd w:val="0"/>
        <w:ind w:left="0" w:firstLine="0"/>
        <w:rPr>
          <w:szCs w:val="20"/>
          <w:lang w:val="es-CR"/>
        </w:rPr>
      </w:pPr>
      <w:r w:rsidRPr="003F2B62">
        <w:rPr>
          <w:szCs w:val="20"/>
          <w:lang w:val="es-CR"/>
        </w:rPr>
        <w:t xml:space="preserve">La Corte ha sostenido en reiteradas oportunidades, incluyendo los casos </w:t>
      </w:r>
      <w:r w:rsidRPr="003F2B62">
        <w:rPr>
          <w:i/>
          <w:szCs w:val="20"/>
          <w:lang w:val="es-CR"/>
        </w:rPr>
        <w:t>Osorio Rivera y otros y Tenorio Roca y otros</w:t>
      </w:r>
      <w:r w:rsidRPr="003F2B62">
        <w:rPr>
          <w:szCs w:val="20"/>
          <w:lang w:val="es-CR"/>
        </w:rPr>
        <w:t>, ambos contra Perú, que la Convención Interamericana sobre Desaparición Forzada es aplicable a aquellos hechos que constituyen violaciones de carácter continuo o permanente, como la desaparición forzada de personas, cuyo inicio de ejecución tuvo lugar antes de la entrada en vigor del tratado y que persisten aún después de esa fecha, puesto que se siguen cometiendo</w:t>
      </w:r>
      <w:r w:rsidRPr="003013D0">
        <w:rPr>
          <w:vertAlign w:val="superscript"/>
          <w:lang w:val="es-CR"/>
        </w:rPr>
        <w:footnoteReference w:id="23"/>
      </w:r>
      <w:r w:rsidRPr="003F2B62">
        <w:rPr>
          <w:szCs w:val="20"/>
          <w:lang w:val="es-CR"/>
        </w:rPr>
        <w:t>, de manera que no se infringe el principio de irretroactividad</w:t>
      </w:r>
      <w:r w:rsidRPr="003013D0">
        <w:rPr>
          <w:vertAlign w:val="superscript"/>
          <w:lang w:val="es-CR"/>
        </w:rPr>
        <w:footnoteReference w:id="24"/>
      </w:r>
      <w:r w:rsidRPr="003F2B62">
        <w:rPr>
          <w:szCs w:val="20"/>
          <w:lang w:val="es-CR"/>
        </w:rPr>
        <w:t>. Sostener lo contrario equivaldría a privar de su efecto útil al tratado mismo y a la garantía de protección que establece, con consecuencias negativas para las presuntas víctimas en el ejercicio de su derecho de acceso a la justicia</w:t>
      </w:r>
      <w:r w:rsidRPr="003013D0">
        <w:rPr>
          <w:vertAlign w:val="superscript"/>
          <w:lang w:val="es-CR"/>
        </w:rPr>
        <w:footnoteReference w:id="25"/>
      </w:r>
      <w:r w:rsidRPr="003F2B62">
        <w:rPr>
          <w:szCs w:val="20"/>
          <w:lang w:val="es-CR"/>
        </w:rPr>
        <w:t xml:space="preserve">. </w:t>
      </w:r>
    </w:p>
    <w:p w:rsidR="00E1727B" w:rsidRPr="003013D0" w:rsidRDefault="00E1727B" w:rsidP="00E1727B">
      <w:pPr>
        <w:pStyle w:val="ListParagraph"/>
        <w:ind w:left="0" w:right="-144"/>
        <w:rPr>
          <w:szCs w:val="20"/>
          <w:lang w:val="es-CR"/>
        </w:rPr>
      </w:pPr>
    </w:p>
    <w:p w:rsidR="00E1727B" w:rsidRDefault="00E1727B" w:rsidP="00E1727B">
      <w:pPr>
        <w:pStyle w:val="ListParagraph"/>
        <w:widowControl w:val="0"/>
        <w:numPr>
          <w:ilvl w:val="0"/>
          <w:numId w:val="1"/>
        </w:numPr>
        <w:tabs>
          <w:tab w:val="left" w:pos="0"/>
        </w:tabs>
        <w:adjustRightInd w:val="0"/>
        <w:ind w:left="0" w:firstLine="0"/>
        <w:rPr>
          <w:szCs w:val="20"/>
          <w:lang w:val="es-CR"/>
        </w:rPr>
      </w:pPr>
      <w:r w:rsidRPr="003013D0">
        <w:rPr>
          <w:szCs w:val="20"/>
          <w:lang w:val="es-CR"/>
        </w:rPr>
        <w:t>Con base en lo anterior, la Corte no encuentra elementos que justifiquen apartarse de su jurisprudencia y, por consiguiente, desestima la excepción preliminar presentada por el Estado, por lo que es competente para examinar y pronunciarse respecto de las alegadas violaciones a la Convención Interamericana sobre Desaparición Forzada de Personas, a partir del 15 de marzo de 2002, fecha de su entrada en vigor para el Perú.</w:t>
      </w:r>
    </w:p>
    <w:p w:rsidR="00FA4CF1" w:rsidRPr="003013D0" w:rsidRDefault="00FA4CF1" w:rsidP="00FA4CF1">
      <w:pPr>
        <w:pStyle w:val="ListParagraph"/>
        <w:ind w:left="0" w:right="-144"/>
        <w:rPr>
          <w:szCs w:val="20"/>
          <w:lang w:val="es-CR"/>
        </w:rPr>
      </w:pPr>
    </w:p>
    <w:p w:rsidR="000C3021" w:rsidRPr="00E61FA4" w:rsidRDefault="004C2E0A" w:rsidP="00894B87">
      <w:pPr>
        <w:pStyle w:val="Heading2"/>
        <w:spacing w:before="0"/>
        <w:ind w:left="720"/>
        <w:rPr>
          <w:szCs w:val="20"/>
          <w:lang w:val="es-ES_tradnl"/>
        </w:rPr>
      </w:pPr>
      <w:bookmarkStart w:id="64" w:name="_Toc510688339"/>
      <w:bookmarkStart w:id="65" w:name="_Toc527993514"/>
      <w:r>
        <w:rPr>
          <w:szCs w:val="20"/>
          <w:lang w:val="es-ES_tradnl"/>
        </w:rPr>
        <w:t xml:space="preserve">C. </w:t>
      </w:r>
      <w:r w:rsidR="000C3021" w:rsidRPr="00E61FA4">
        <w:rPr>
          <w:szCs w:val="20"/>
          <w:lang w:val="es-ES_tradnl"/>
        </w:rPr>
        <w:t xml:space="preserve">Excepción por falta de competencia </w:t>
      </w:r>
      <w:r w:rsidR="000C3021" w:rsidRPr="00E61FA4">
        <w:rPr>
          <w:i/>
          <w:szCs w:val="20"/>
          <w:lang w:val="es-ES_tradnl"/>
        </w:rPr>
        <w:t>ratione temporis</w:t>
      </w:r>
      <w:r w:rsidR="000C3021" w:rsidRPr="00E61FA4">
        <w:rPr>
          <w:szCs w:val="20"/>
          <w:lang w:val="es-ES_tradnl"/>
        </w:rPr>
        <w:t xml:space="preserve"> de la Corte Interamericana respecto a la </w:t>
      </w:r>
      <w:bookmarkEnd w:id="64"/>
      <w:r w:rsidR="000C3021" w:rsidRPr="00E61FA4">
        <w:rPr>
          <w:szCs w:val="20"/>
          <w:lang w:val="es-CR"/>
        </w:rPr>
        <w:t>Convención Interamericana para Prevenir y Sancionar la Tortura</w:t>
      </w:r>
      <w:bookmarkEnd w:id="65"/>
    </w:p>
    <w:p w:rsidR="000C3021" w:rsidRPr="00E61FA4" w:rsidRDefault="000C3021" w:rsidP="000C3021">
      <w:pPr>
        <w:pStyle w:val="ListParagraph"/>
        <w:ind w:left="0" w:right="-144"/>
        <w:rPr>
          <w:szCs w:val="20"/>
          <w:lang w:val="es-ES_tradnl"/>
        </w:rPr>
      </w:pPr>
    </w:p>
    <w:p w:rsidR="000C3021" w:rsidRPr="00E61FA4" w:rsidRDefault="000C3021" w:rsidP="00894B87">
      <w:pPr>
        <w:pStyle w:val="ListParagraph"/>
        <w:ind w:left="0" w:right="-144" w:firstLine="720"/>
        <w:outlineLvl w:val="2"/>
        <w:rPr>
          <w:b/>
          <w:szCs w:val="20"/>
          <w:lang w:val="es-ES_tradnl"/>
        </w:rPr>
      </w:pPr>
      <w:bookmarkStart w:id="66" w:name="_Toc527993515"/>
      <w:r w:rsidRPr="00E61FA4">
        <w:rPr>
          <w:b/>
          <w:szCs w:val="20"/>
          <w:lang w:val="es-ES_tradnl"/>
        </w:rPr>
        <w:t>C.1. Alegatos del Estado y observaciones de la Comisión y los representantes</w:t>
      </w:r>
      <w:bookmarkEnd w:id="66"/>
    </w:p>
    <w:p w:rsidR="000C3021" w:rsidRPr="00E61FA4" w:rsidRDefault="000C3021" w:rsidP="000C3021">
      <w:pPr>
        <w:pStyle w:val="ListParagraph"/>
        <w:ind w:left="0" w:right="-144" w:firstLine="720"/>
        <w:rPr>
          <w:b/>
          <w:szCs w:val="20"/>
          <w:lang w:val="es-ES_tradnl"/>
        </w:rPr>
      </w:pPr>
    </w:p>
    <w:p w:rsidR="00E1727B" w:rsidRPr="00E61FA4" w:rsidRDefault="00E1727B" w:rsidP="00E1727B">
      <w:pPr>
        <w:pStyle w:val="ListParagraph"/>
        <w:widowControl w:val="0"/>
        <w:numPr>
          <w:ilvl w:val="0"/>
          <w:numId w:val="1"/>
        </w:numPr>
        <w:tabs>
          <w:tab w:val="left" w:pos="0"/>
        </w:tabs>
        <w:adjustRightInd w:val="0"/>
        <w:ind w:left="0" w:firstLine="0"/>
        <w:rPr>
          <w:szCs w:val="20"/>
          <w:lang w:val="es-ES_tradnl"/>
        </w:rPr>
      </w:pPr>
      <w:r w:rsidRPr="00E61FA4">
        <w:rPr>
          <w:szCs w:val="20"/>
          <w:lang w:val="es-CR"/>
        </w:rPr>
        <w:t xml:space="preserve">El </w:t>
      </w:r>
      <w:r w:rsidRPr="00E61FA4">
        <w:rPr>
          <w:b/>
          <w:i/>
          <w:szCs w:val="20"/>
          <w:lang w:val="es-CR"/>
        </w:rPr>
        <w:t>Estado</w:t>
      </w:r>
      <w:r w:rsidRPr="00E61FA4">
        <w:rPr>
          <w:szCs w:val="20"/>
          <w:lang w:val="es-CR"/>
        </w:rPr>
        <w:t xml:space="preserve"> </w:t>
      </w:r>
      <w:r>
        <w:rPr>
          <w:szCs w:val="20"/>
          <w:lang w:val="es-CR"/>
        </w:rPr>
        <w:t>sostuvo que l</w:t>
      </w:r>
      <w:r w:rsidRPr="00E61FA4">
        <w:rPr>
          <w:szCs w:val="20"/>
          <w:lang w:val="es-CR"/>
        </w:rPr>
        <w:t xml:space="preserve">os hechos de tortura alegados en este caso </w:t>
      </w:r>
      <w:r>
        <w:rPr>
          <w:szCs w:val="20"/>
          <w:lang w:val="es-CR"/>
        </w:rPr>
        <w:t>con respecto a</w:t>
      </w:r>
      <w:r w:rsidRPr="00E61FA4">
        <w:rPr>
          <w:szCs w:val="20"/>
          <w:lang w:val="es-CR"/>
        </w:rPr>
        <w:t xml:space="preserve"> Santiago Antezana Cueto </w:t>
      </w:r>
      <w:r w:rsidRPr="00E61FA4">
        <w:rPr>
          <w:rFonts w:eastAsia="Times New Roman" w:cs="Times New Roman"/>
          <w:szCs w:val="20"/>
          <w:lang w:val="es-CR" w:eastAsia="es-CR"/>
        </w:rPr>
        <w:t>ocurrieron antes de que el Estado ratificara la CIPST e incluso antes de la aprobación de esta por</w:t>
      </w:r>
      <w:r>
        <w:rPr>
          <w:rFonts w:eastAsia="Times New Roman" w:cs="Times New Roman"/>
          <w:szCs w:val="20"/>
          <w:lang w:val="es-CR" w:eastAsia="es-CR"/>
        </w:rPr>
        <w:t xml:space="preserve"> los Estados parte. A</w:t>
      </w:r>
      <w:r w:rsidRPr="00E61FA4">
        <w:rPr>
          <w:rFonts w:eastAsia="Times New Roman" w:cs="Times New Roman"/>
          <w:szCs w:val="20"/>
          <w:lang w:val="es-CR" w:eastAsia="es-CR"/>
        </w:rPr>
        <w:t>rgument</w:t>
      </w:r>
      <w:r>
        <w:rPr>
          <w:rFonts w:eastAsia="Times New Roman" w:cs="Times New Roman"/>
          <w:szCs w:val="20"/>
          <w:lang w:val="es-CR" w:eastAsia="es-CR"/>
        </w:rPr>
        <w:t>ó</w:t>
      </w:r>
      <w:r w:rsidRPr="00E61FA4">
        <w:rPr>
          <w:rFonts w:eastAsia="Times New Roman" w:cs="Times New Roman"/>
          <w:szCs w:val="20"/>
          <w:lang w:val="es-CR" w:eastAsia="es-CR"/>
        </w:rPr>
        <w:t xml:space="preserve"> que la Corte no puede ejercer su competencia </w:t>
      </w:r>
      <w:r w:rsidRPr="004F5D9D">
        <w:rPr>
          <w:szCs w:val="20"/>
          <w:lang w:val="es-CR"/>
        </w:rPr>
        <w:t>contenciosa</w:t>
      </w:r>
      <w:r w:rsidRPr="00E61FA4">
        <w:rPr>
          <w:rFonts w:eastAsia="Times New Roman" w:cs="Times New Roman"/>
          <w:szCs w:val="20"/>
          <w:lang w:val="es-CR" w:eastAsia="es-CR"/>
        </w:rPr>
        <w:t xml:space="preserve"> para declarar la violación de las normas de la CIPST, y pidió que se declare fundada la excepción.</w:t>
      </w:r>
      <w:r w:rsidRPr="00E61FA4">
        <w:rPr>
          <w:rFonts w:eastAsia="Times New Roman" w:cs="Times New Roman"/>
          <w:b/>
          <w:szCs w:val="20"/>
          <w:lang w:val="es-CR" w:eastAsia="es-CR"/>
        </w:rPr>
        <w:t xml:space="preserve"> </w:t>
      </w:r>
    </w:p>
    <w:p w:rsidR="00E1727B" w:rsidRPr="00E61FA4" w:rsidRDefault="00E1727B" w:rsidP="00E1727B">
      <w:pPr>
        <w:pStyle w:val="ListParagraph"/>
        <w:ind w:left="0" w:right="-144"/>
        <w:rPr>
          <w:szCs w:val="20"/>
          <w:lang w:val="es-ES_tradnl"/>
        </w:rPr>
      </w:pPr>
    </w:p>
    <w:p w:rsidR="00E1727B" w:rsidRPr="003F2B62" w:rsidRDefault="00E1727B" w:rsidP="00E1727B">
      <w:pPr>
        <w:pStyle w:val="ListParagraph"/>
        <w:widowControl w:val="0"/>
        <w:numPr>
          <w:ilvl w:val="0"/>
          <w:numId w:val="1"/>
        </w:numPr>
        <w:tabs>
          <w:tab w:val="left" w:pos="0"/>
        </w:tabs>
        <w:adjustRightInd w:val="0"/>
        <w:ind w:left="0" w:firstLine="0"/>
        <w:rPr>
          <w:szCs w:val="20"/>
          <w:lang w:val="es-ES_tradnl"/>
        </w:rPr>
      </w:pPr>
      <w:r w:rsidRPr="003F2B62">
        <w:rPr>
          <w:szCs w:val="20"/>
          <w:lang w:val="es-CR"/>
        </w:rPr>
        <w:t xml:space="preserve">La </w:t>
      </w:r>
      <w:r w:rsidRPr="003F2B62">
        <w:rPr>
          <w:b/>
          <w:i/>
          <w:szCs w:val="20"/>
          <w:lang w:val="es-CR"/>
        </w:rPr>
        <w:t>Comisión</w:t>
      </w:r>
      <w:r w:rsidRPr="003F2B62">
        <w:rPr>
          <w:szCs w:val="20"/>
          <w:lang w:val="es-CR"/>
        </w:rPr>
        <w:t xml:space="preserve"> consideró la responsabilidad del Estado por la violación a los artículos 1, 6 y 8 de dicho instrumento, como resultado de la falta de una investigación diligente y efectiva respecto de las torturas y tratos crueles, inhumanos y degradantes, en perjuicio de </w:t>
      </w:r>
      <w:r w:rsidRPr="003F2B62">
        <w:rPr>
          <w:szCs w:val="20"/>
          <w:lang w:val="es-CR"/>
        </w:rPr>
        <w:lastRenderedPageBreak/>
        <w:t xml:space="preserve">Santiago Antezana Cueto, que tuvieron lugar en una fecha anterior a la ratificación de la CIPST. </w:t>
      </w:r>
      <w:r w:rsidRPr="003F2B62">
        <w:rPr>
          <w:szCs w:val="20"/>
          <w:lang w:val="es-ES_tradnl"/>
        </w:rPr>
        <w:t>C</w:t>
      </w:r>
      <w:r w:rsidRPr="003F2B62">
        <w:rPr>
          <w:szCs w:val="20"/>
          <w:lang w:val="es-CR"/>
        </w:rPr>
        <w:t>oncluyó que la excepción preliminar es improcedente y la Corte es competente para aplicar la CIPST</w:t>
      </w:r>
      <w:r w:rsidRPr="003F2B62" w:rsidDel="00D143FB">
        <w:rPr>
          <w:szCs w:val="20"/>
          <w:lang w:val="es-CR"/>
        </w:rPr>
        <w:t xml:space="preserve"> </w:t>
      </w:r>
      <w:r w:rsidRPr="003F2B62">
        <w:rPr>
          <w:szCs w:val="20"/>
          <w:lang w:val="es-CR"/>
        </w:rPr>
        <w:t xml:space="preserve">respecto de los hechos relacionados con la falta de investigación y sanción de los responsables de las torturas, en perjuicio de Santiago Antezana Cueto, a partir de la fecha en que el Estado ratificó dicho tratado internacional. </w:t>
      </w:r>
    </w:p>
    <w:p w:rsidR="00E1727B" w:rsidRPr="00E61FA4" w:rsidRDefault="00E1727B" w:rsidP="00E1727B">
      <w:pPr>
        <w:pStyle w:val="ListParagraph"/>
        <w:ind w:left="0" w:right="-144"/>
        <w:rPr>
          <w:szCs w:val="20"/>
          <w:lang w:val="es-ES_tradnl"/>
        </w:rPr>
      </w:pPr>
    </w:p>
    <w:p w:rsidR="00E1727B" w:rsidRPr="005467AC" w:rsidRDefault="00E1727B" w:rsidP="00E1727B">
      <w:pPr>
        <w:pStyle w:val="ListParagraph"/>
        <w:widowControl w:val="0"/>
        <w:numPr>
          <w:ilvl w:val="0"/>
          <w:numId w:val="1"/>
        </w:numPr>
        <w:tabs>
          <w:tab w:val="left" w:pos="0"/>
        </w:tabs>
        <w:adjustRightInd w:val="0"/>
        <w:ind w:left="0" w:firstLine="0"/>
        <w:rPr>
          <w:szCs w:val="20"/>
          <w:lang w:val="es-ES_tradnl"/>
        </w:rPr>
      </w:pPr>
      <w:r w:rsidRPr="00E61FA4">
        <w:rPr>
          <w:szCs w:val="20"/>
          <w:lang w:val="es-CR"/>
        </w:rPr>
        <w:t xml:space="preserve">Los </w:t>
      </w:r>
      <w:r w:rsidRPr="00E61FA4">
        <w:rPr>
          <w:b/>
          <w:i/>
          <w:szCs w:val="20"/>
          <w:lang w:val="es-CR"/>
        </w:rPr>
        <w:t>representantes</w:t>
      </w:r>
      <w:r w:rsidRPr="00E61FA4">
        <w:rPr>
          <w:szCs w:val="20"/>
          <w:lang w:val="es-CR"/>
        </w:rPr>
        <w:t xml:space="preserve"> señalaron que no alegaron la violación de la CIPST respecto a la propia tortura que sufrió Santiago Antezana Cueto durante su detención en el año 1984, sino que lo hicieron respecto a las obligaciones internacionales para investigar casos de tortura que asumió el Estado desde la entrada en vigor de la CIPST. Solicitaron que la Corte analice los hechos a partir de la entrada en vigor de dicho tratado. Por ello, manifestaron que la obligación del Estado de investigar y sancionar a los responsables de los actos de tortura</w:t>
      </w:r>
      <w:r>
        <w:rPr>
          <w:szCs w:val="20"/>
          <w:lang w:val="es-CR"/>
        </w:rPr>
        <w:t>,</w:t>
      </w:r>
      <w:r w:rsidRPr="00E61FA4">
        <w:rPr>
          <w:szCs w:val="20"/>
          <w:lang w:val="es-CR"/>
        </w:rPr>
        <w:t xml:space="preserve"> en perjuicio de Santiago Antezana Cueto</w:t>
      </w:r>
      <w:r>
        <w:rPr>
          <w:szCs w:val="20"/>
          <w:lang w:val="es-CR"/>
        </w:rPr>
        <w:t>,</w:t>
      </w:r>
      <w:r w:rsidRPr="00E61FA4">
        <w:rPr>
          <w:szCs w:val="20"/>
          <w:lang w:val="es-CR"/>
        </w:rPr>
        <w:t xml:space="preserve"> deberá analizarse a la luz de las obligaciones que emanan de la CIPST, en particular de los artículos 1, 6 y 8. </w:t>
      </w:r>
    </w:p>
    <w:p w:rsidR="00E1727B" w:rsidRPr="00E61FA4" w:rsidRDefault="00E1727B" w:rsidP="00E1727B">
      <w:pPr>
        <w:pStyle w:val="ListParagraph"/>
        <w:ind w:left="0" w:right="-144" w:firstLine="720"/>
        <w:rPr>
          <w:b/>
          <w:szCs w:val="20"/>
          <w:lang w:val="es-ES_tradnl"/>
        </w:rPr>
      </w:pPr>
    </w:p>
    <w:p w:rsidR="00E1727B" w:rsidRDefault="00E1727B" w:rsidP="00E1727B">
      <w:pPr>
        <w:pStyle w:val="ListParagraph"/>
        <w:ind w:left="0" w:right="-144" w:firstLine="720"/>
        <w:outlineLvl w:val="2"/>
        <w:rPr>
          <w:rFonts w:eastAsiaTheme="majorEastAsia" w:cstheme="majorBidi"/>
          <w:b/>
          <w:bCs/>
          <w:szCs w:val="20"/>
          <w:lang w:val="es-ES_tradnl"/>
        </w:rPr>
      </w:pPr>
      <w:bookmarkStart w:id="67" w:name="_Toc527993516"/>
      <w:r w:rsidRPr="00BE5E7B">
        <w:rPr>
          <w:b/>
          <w:szCs w:val="20"/>
          <w:lang w:val="es-ES_tradnl"/>
        </w:rPr>
        <w:t xml:space="preserve">C.2. </w:t>
      </w:r>
      <w:r w:rsidRPr="00BE5E7B">
        <w:rPr>
          <w:rFonts w:eastAsiaTheme="majorEastAsia" w:cstheme="majorBidi"/>
          <w:b/>
          <w:bCs/>
          <w:szCs w:val="20"/>
          <w:lang w:val="es-ES_tradnl"/>
        </w:rPr>
        <w:t>Consideraciones de la Corte</w:t>
      </w:r>
      <w:bookmarkEnd w:id="67"/>
      <w:r w:rsidRPr="00E61FA4">
        <w:rPr>
          <w:rFonts w:eastAsiaTheme="majorEastAsia" w:cstheme="majorBidi"/>
          <w:b/>
          <w:bCs/>
          <w:szCs w:val="20"/>
          <w:lang w:val="es-ES_tradnl"/>
        </w:rPr>
        <w:t xml:space="preserve">  </w:t>
      </w:r>
    </w:p>
    <w:p w:rsidR="00E1727B" w:rsidRPr="00E61FA4" w:rsidRDefault="00E1727B" w:rsidP="00E1727B">
      <w:pPr>
        <w:pStyle w:val="ListParagraph"/>
        <w:ind w:left="0" w:right="-144" w:firstLine="720"/>
        <w:rPr>
          <w:b/>
          <w:szCs w:val="20"/>
          <w:lang w:val="es-ES_tradnl"/>
        </w:rPr>
      </w:pPr>
    </w:p>
    <w:p w:rsidR="00E1727B" w:rsidRDefault="00E1727B" w:rsidP="00E1727B">
      <w:pPr>
        <w:pStyle w:val="ListParagraph"/>
        <w:widowControl w:val="0"/>
        <w:numPr>
          <w:ilvl w:val="0"/>
          <w:numId w:val="1"/>
        </w:numPr>
        <w:tabs>
          <w:tab w:val="left" w:pos="0"/>
        </w:tabs>
        <w:adjustRightInd w:val="0"/>
        <w:ind w:left="0" w:firstLine="0"/>
        <w:rPr>
          <w:rFonts w:eastAsia="Batang"/>
          <w:spacing w:val="-2"/>
          <w:szCs w:val="20"/>
          <w:lang w:val="es-ES"/>
        </w:rPr>
      </w:pPr>
      <w:r w:rsidRPr="00AA0C19">
        <w:rPr>
          <w:rFonts w:eastAsia="Batang" w:cs="Times"/>
          <w:spacing w:val="-2"/>
          <w:szCs w:val="20"/>
          <w:lang w:val="es-CR"/>
        </w:rPr>
        <w:t xml:space="preserve">El </w:t>
      </w:r>
      <w:r w:rsidRPr="004F5D9D">
        <w:rPr>
          <w:szCs w:val="20"/>
          <w:lang w:val="es-CR"/>
        </w:rPr>
        <w:t>Estado</w:t>
      </w:r>
      <w:r w:rsidRPr="00AA0C19">
        <w:rPr>
          <w:rFonts w:eastAsia="Batang" w:cs="Times"/>
          <w:spacing w:val="-2"/>
          <w:szCs w:val="20"/>
          <w:lang w:val="es-CR"/>
        </w:rPr>
        <w:t xml:space="preserve"> ratificó la </w:t>
      </w:r>
      <w:r w:rsidRPr="00AA0C19">
        <w:rPr>
          <w:szCs w:val="20"/>
          <w:lang w:val="es-ES"/>
        </w:rPr>
        <w:t>Convención Interamericana para Prevenir y Sancionar la Tortura</w:t>
      </w:r>
      <w:r w:rsidRPr="00AA0C19">
        <w:rPr>
          <w:rFonts w:eastAsia="Batang" w:cs="Times"/>
          <w:spacing w:val="-2"/>
          <w:szCs w:val="20"/>
          <w:lang w:val="es-CR"/>
        </w:rPr>
        <w:t xml:space="preserve"> </w:t>
      </w:r>
      <w:r>
        <w:rPr>
          <w:rFonts w:eastAsia="Batang" w:cs="Times"/>
          <w:spacing w:val="-2"/>
          <w:szCs w:val="20"/>
          <w:lang w:val="es-CR"/>
        </w:rPr>
        <w:t xml:space="preserve">y </w:t>
      </w:r>
      <w:r w:rsidRPr="00AA0C19">
        <w:rPr>
          <w:rFonts w:eastAsia="Batang" w:cs="Times"/>
          <w:spacing w:val="-2"/>
          <w:szCs w:val="20"/>
          <w:lang w:val="es-CR"/>
        </w:rPr>
        <w:t xml:space="preserve">depositó el documento de ratificación ante la Secretaría General de la Organización de Estados Americanos el </w:t>
      </w:r>
      <w:r w:rsidRPr="00AA0C19">
        <w:rPr>
          <w:szCs w:val="20"/>
          <w:lang w:val="es-CR"/>
        </w:rPr>
        <w:t xml:space="preserve">28 de marzo </w:t>
      </w:r>
      <w:r w:rsidRPr="00FF5351">
        <w:rPr>
          <w:szCs w:val="20"/>
          <w:lang w:val="es-CR"/>
        </w:rPr>
        <w:t>de 1991</w:t>
      </w:r>
      <w:r w:rsidRPr="00FF5351">
        <w:rPr>
          <w:rStyle w:val="FootnoteReference"/>
          <w:sz w:val="20"/>
          <w:szCs w:val="20"/>
          <w:lang w:val="es-CR"/>
        </w:rPr>
        <w:footnoteReference w:id="26"/>
      </w:r>
      <w:r w:rsidRPr="00FF5351">
        <w:rPr>
          <w:szCs w:val="20"/>
          <w:lang w:val="es-ES_tradnl"/>
        </w:rPr>
        <w:t xml:space="preserve">. El tratado entró en vigor para </w:t>
      </w:r>
      <w:r>
        <w:rPr>
          <w:szCs w:val="20"/>
          <w:lang w:val="es-ES_tradnl"/>
        </w:rPr>
        <w:t xml:space="preserve">el </w:t>
      </w:r>
      <w:r w:rsidRPr="00FF5351">
        <w:rPr>
          <w:szCs w:val="20"/>
          <w:lang w:val="es-ES_tradnl"/>
        </w:rPr>
        <w:t xml:space="preserve">Perú, conforme a su artículo XX, el </w:t>
      </w:r>
      <w:r w:rsidRPr="00FF5351">
        <w:rPr>
          <w:szCs w:val="20"/>
          <w:lang w:val="es-CR"/>
        </w:rPr>
        <w:t>27 de abril de 1991</w:t>
      </w:r>
      <w:r w:rsidRPr="00FF5351">
        <w:rPr>
          <w:szCs w:val="20"/>
          <w:lang w:val="es-ES_tradnl"/>
        </w:rPr>
        <w:t xml:space="preserve">. </w:t>
      </w:r>
      <w:r w:rsidRPr="00FF5351">
        <w:rPr>
          <w:rFonts w:eastAsia="Batang" w:cs="Times"/>
          <w:spacing w:val="-2"/>
          <w:szCs w:val="20"/>
          <w:lang w:val="es-ES"/>
        </w:rPr>
        <w:t>Con base en ello y en el principio de irretroactividad, codificado en el artículo 28 de la Convención de Viena sobre el Derecho de los Tratados de 1969, la Corte puede conocer de los actos o hechos que hayan tenido lugar con posterioridad</w:t>
      </w:r>
      <w:r>
        <w:rPr>
          <w:rFonts w:eastAsia="Batang" w:cs="Times"/>
          <w:spacing w:val="-2"/>
          <w:szCs w:val="20"/>
          <w:lang w:val="es-ES"/>
        </w:rPr>
        <w:t xml:space="preserve"> </w:t>
      </w:r>
      <w:r w:rsidRPr="00FF5351">
        <w:rPr>
          <w:rFonts w:eastAsia="Batang" w:cs="Times"/>
          <w:spacing w:val="-2"/>
          <w:szCs w:val="20"/>
          <w:lang w:val="es-ES"/>
        </w:rPr>
        <w:t>a la fecha de entrada en vigor de dicho tratado para el Estado</w:t>
      </w:r>
      <w:r w:rsidRPr="00FF5351">
        <w:rPr>
          <w:szCs w:val="20"/>
          <w:vertAlign w:val="superscript"/>
          <w:lang w:val="es-ES"/>
        </w:rPr>
        <w:footnoteReference w:id="27"/>
      </w:r>
      <w:r w:rsidRPr="00FF5351">
        <w:rPr>
          <w:rFonts w:eastAsia="Batang" w:cs="Times"/>
          <w:spacing w:val="-2"/>
          <w:szCs w:val="20"/>
          <w:lang w:val="es-ES"/>
        </w:rPr>
        <w:t xml:space="preserve"> y que hayan generado violaciones de derechos humanos de ejecución instantánea y continuada o permanente</w:t>
      </w:r>
      <w:r w:rsidRPr="00FF5351">
        <w:rPr>
          <w:rFonts w:eastAsia="Batang"/>
          <w:spacing w:val="-2"/>
          <w:szCs w:val="20"/>
          <w:lang w:val="es-ES"/>
        </w:rPr>
        <w:t>.</w:t>
      </w:r>
    </w:p>
    <w:p w:rsidR="00E1727B" w:rsidRDefault="00E1727B" w:rsidP="00E1727B">
      <w:pPr>
        <w:tabs>
          <w:tab w:val="left" w:pos="567"/>
        </w:tabs>
        <w:autoSpaceDE w:val="0"/>
        <w:autoSpaceDN w:val="0"/>
        <w:contextualSpacing/>
        <w:rPr>
          <w:rFonts w:eastAsia="Batang"/>
          <w:spacing w:val="-2"/>
          <w:szCs w:val="20"/>
          <w:lang w:val="es-ES"/>
        </w:rPr>
      </w:pPr>
    </w:p>
    <w:p w:rsidR="00E1727B" w:rsidRDefault="00E1727B" w:rsidP="00E1727B">
      <w:pPr>
        <w:pStyle w:val="ListParagraph"/>
        <w:widowControl w:val="0"/>
        <w:numPr>
          <w:ilvl w:val="0"/>
          <w:numId w:val="1"/>
        </w:numPr>
        <w:tabs>
          <w:tab w:val="left" w:pos="0"/>
        </w:tabs>
        <w:adjustRightInd w:val="0"/>
        <w:ind w:left="0" w:firstLine="0"/>
        <w:rPr>
          <w:rFonts w:eastAsia="Batang" w:cs="Times"/>
          <w:spacing w:val="-2"/>
          <w:szCs w:val="20"/>
          <w:lang w:val="es-ES"/>
        </w:rPr>
      </w:pPr>
      <w:r>
        <w:rPr>
          <w:rFonts w:eastAsia="Batang" w:cs="Times"/>
          <w:spacing w:val="-2"/>
          <w:szCs w:val="20"/>
          <w:lang w:val="es-ES"/>
        </w:rPr>
        <w:t>En consecuencia</w:t>
      </w:r>
      <w:r w:rsidRPr="005C11AD">
        <w:rPr>
          <w:rFonts w:eastAsia="Batang" w:cs="Times"/>
          <w:spacing w:val="-2"/>
          <w:szCs w:val="20"/>
          <w:lang w:val="es-ES"/>
        </w:rPr>
        <w:t>, como lo ha hecho en otros casos</w:t>
      </w:r>
      <w:r w:rsidRPr="005C11AD">
        <w:rPr>
          <w:szCs w:val="20"/>
          <w:vertAlign w:val="superscript"/>
          <w:lang w:val="es-ES_tradnl"/>
        </w:rPr>
        <w:footnoteReference w:id="28"/>
      </w:r>
      <w:r w:rsidRPr="005C11AD">
        <w:rPr>
          <w:szCs w:val="20"/>
          <w:lang w:val="es-ES_tradnl"/>
        </w:rPr>
        <w:t xml:space="preserve">, la Corte determina que sí tiene </w:t>
      </w:r>
      <w:r w:rsidRPr="004F5D9D">
        <w:rPr>
          <w:rFonts w:eastAsia="Batang" w:cs="Times"/>
          <w:spacing w:val="-2"/>
          <w:szCs w:val="20"/>
          <w:lang w:val="es-ES"/>
        </w:rPr>
        <w:t>competencia</w:t>
      </w:r>
      <w:r w:rsidRPr="005C11AD">
        <w:rPr>
          <w:szCs w:val="20"/>
          <w:lang w:val="es-ES_tradnl"/>
        </w:rPr>
        <w:t xml:space="preserve"> temporal para analizar </w:t>
      </w:r>
      <w:r w:rsidRPr="005C11AD">
        <w:rPr>
          <w:rFonts w:eastAsia="Batang" w:cs="Times"/>
          <w:spacing w:val="-2"/>
          <w:szCs w:val="20"/>
          <w:lang w:val="es-ES"/>
        </w:rPr>
        <w:t>la alegada violación de los artículos 1, 6 y 8 de la Convención Interamericana para Prevenir y Sancionar la Tortura</w:t>
      </w:r>
      <w:r w:rsidRPr="005C11AD">
        <w:rPr>
          <w:szCs w:val="20"/>
          <w:lang w:val="es-ES_tradnl"/>
        </w:rPr>
        <w:t xml:space="preserve"> respecto a la supuesta omisión de investigar los hechos con posterioridad al </w:t>
      </w:r>
      <w:r w:rsidRPr="005C11AD">
        <w:rPr>
          <w:szCs w:val="20"/>
          <w:lang w:val="es-CR"/>
        </w:rPr>
        <w:t>27 de abril de 1991</w:t>
      </w:r>
      <w:r>
        <w:rPr>
          <w:rFonts w:eastAsia="Batang" w:cs="Times"/>
          <w:spacing w:val="-2"/>
          <w:szCs w:val="20"/>
          <w:lang w:val="es-ES"/>
        </w:rPr>
        <w:t>. Por tanto, la Corte rechaza</w:t>
      </w:r>
      <w:r w:rsidRPr="005C11AD">
        <w:rPr>
          <w:rFonts w:eastAsia="Batang" w:cs="Times"/>
          <w:spacing w:val="-2"/>
          <w:szCs w:val="20"/>
          <w:lang w:val="es-ES"/>
        </w:rPr>
        <w:t xml:space="preserve"> la excepción preliminar opuesta por el Estado.</w:t>
      </w:r>
    </w:p>
    <w:p w:rsidR="00FF5351" w:rsidRPr="00FF5351" w:rsidRDefault="00FF5351" w:rsidP="00FF5351">
      <w:pPr>
        <w:tabs>
          <w:tab w:val="left" w:pos="567"/>
          <w:tab w:val="num" w:pos="25354"/>
        </w:tabs>
        <w:autoSpaceDE w:val="0"/>
        <w:autoSpaceDN w:val="0"/>
        <w:contextualSpacing/>
        <w:rPr>
          <w:rFonts w:eastAsia="Batang" w:cs="Times"/>
          <w:spacing w:val="-2"/>
          <w:szCs w:val="20"/>
          <w:lang w:val="es-ES"/>
        </w:rPr>
      </w:pPr>
    </w:p>
    <w:p w:rsidR="00894B87" w:rsidRPr="00894B87" w:rsidRDefault="00B50A9F" w:rsidP="00894B87">
      <w:pPr>
        <w:pStyle w:val="Heading1"/>
        <w:spacing w:before="0"/>
        <w:jc w:val="center"/>
        <w:rPr>
          <w:rFonts w:eastAsia="Batang" w:cs="Times"/>
          <w:b w:val="0"/>
          <w:spacing w:val="-2"/>
          <w:sz w:val="22"/>
          <w:szCs w:val="22"/>
          <w:lang w:val="es-ES"/>
        </w:rPr>
      </w:pPr>
      <w:bookmarkStart w:id="68" w:name="_Toc525217901"/>
      <w:bookmarkStart w:id="69" w:name="_Toc525218242"/>
      <w:bookmarkStart w:id="70" w:name="_Toc525225491"/>
      <w:bookmarkStart w:id="71" w:name="_Toc399131134"/>
      <w:bookmarkStart w:id="72" w:name="_Toc399131778"/>
      <w:bookmarkStart w:id="73" w:name="_Toc525293025"/>
      <w:bookmarkStart w:id="74" w:name="_Toc525723165"/>
      <w:bookmarkStart w:id="75" w:name="_Toc527993517"/>
      <w:r w:rsidRPr="00894B87">
        <w:rPr>
          <w:rFonts w:eastAsia="Batang" w:cs="Times"/>
          <w:spacing w:val="-2"/>
          <w:sz w:val="22"/>
          <w:szCs w:val="22"/>
          <w:lang w:val="es-ES"/>
        </w:rPr>
        <w:t>V</w:t>
      </w:r>
      <w:bookmarkEnd w:id="68"/>
      <w:bookmarkEnd w:id="69"/>
      <w:bookmarkEnd w:id="70"/>
      <w:bookmarkEnd w:id="71"/>
      <w:bookmarkEnd w:id="72"/>
      <w:bookmarkEnd w:id="73"/>
      <w:bookmarkEnd w:id="74"/>
      <w:bookmarkEnd w:id="75"/>
    </w:p>
    <w:p w:rsidR="00B50A9F" w:rsidRPr="00894B87" w:rsidRDefault="00EC43F4" w:rsidP="00894B87">
      <w:pPr>
        <w:pStyle w:val="Heading1"/>
        <w:spacing w:before="0"/>
        <w:jc w:val="center"/>
        <w:rPr>
          <w:rFonts w:eastAsia="Batang" w:cs="Times"/>
          <w:b w:val="0"/>
          <w:spacing w:val="-2"/>
          <w:sz w:val="22"/>
          <w:szCs w:val="22"/>
          <w:lang w:val="es-ES"/>
        </w:rPr>
      </w:pPr>
      <w:bookmarkStart w:id="76" w:name="_Toc527993518"/>
      <w:r w:rsidRPr="00894B87">
        <w:rPr>
          <w:rFonts w:eastAsia="Batang" w:cs="Times"/>
          <w:spacing w:val="-2"/>
          <w:sz w:val="22"/>
          <w:szCs w:val="22"/>
          <w:lang w:val="es-ES"/>
        </w:rPr>
        <w:t>CONSIDERACIÓN</w:t>
      </w:r>
      <w:r w:rsidR="00B50A9F" w:rsidRPr="00894B87">
        <w:rPr>
          <w:rFonts w:eastAsia="Batang" w:cs="Times"/>
          <w:spacing w:val="-2"/>
          <w:sz w:val="22"/>
          <w:szCs w:val="22"/>
          <w:lang w:val="es-ES"/>
        </w:rPr>
        <w:t xml:space="preserve"> PREVI</w:t>
      </w:r>
      <w:r w:rsidRPr="00894B87">
        <w:rPr>
          <w:rFonts w:eastAsia="Batang" w:cs="Times"/>
          <w:spacing w:val="-2"/>
          <w:sz w:val="22"/>
          <w:szCs w:val="22"/>
          <w:lang w:val="es-ES"/>
        </w:rPr>
        <w:t>A</w:t>
      </w:r>
      <w:bookmarkEnd w:id="76"/>
    </w:p>
    <w:p w:rsidR="00B50A9F" w:rsidRDefault="00B50A9F" w:rsidP="00894B87">
      <w:pPr>
        <w:pStyle w:val="Heading2"/>
        <w:ind w:firstLine="720"/>
        <w:rPr>
          <w:rFonts w:eastAsia="Batang" w:cs="Times"/>
          <w:b w:val="0"/>
          <w:spacing w:val="-2"/>
          <w:szCs w:val="20"/>
          <w:lang w:val="es-ES"/>
        </w:rPr>
      </w:pPr>
      <w:bookmarkStart w:id="77" w:name="_Toc527993519"/>
      <w:r>
        <w:rPr>
          <w:rFonts w:eastAsia="Batang" w:cs="Times"/>
          <w:spacing w:val="-2"/>
          <w:szCs w:val="20"/>
          <w:lang w:val="es-ES"/>
        </w:rPr>
        <w:t>A</w:t>
      </w:r>
      <w:r w:rsidR="00EC43F4">
        <w:rPr>
          <w:rFonts w:eastAsia="Batang" w:cs="Times"/>
          <w:spacing w:val="-2"/>
          <w:szCs w:val="20"/>
          <w:lang w:val="es-ES"/>
        </w:rPr>
        <w:t>.</w:t>
      </w:r>
      <w:r>
        <w:rPr>
          <w:rFonts w:eastAsia="Batang" w:cs="Times"/>
          <w:spacing w:val="-2"/>
          <w:szCs w:val="20"/>
          <w:lang w:val="es-ES"/>
        </w:rPr>
        <w:tab/>
        <w:t>Sobre la determinación de las presuntas víctimas</w:t>
      </w:r>
      <w:bookmarkEnd w:id="77"/>
    </w:p>
    <w:p w:rsidR="00B50A9F" w:rsidRPr="00B50A9F" w:rsidRDefault="00B50A9F" w:rsidP="00894B87">
      <w:pPr>
        <w:pStyle w:val="Heading3"/>
        <w:rPr>
          <w:rFonts w:eastAsia="Batang" w:cs="Times"/>
          <w:spacing w:val="-2"/>
          <w:szCs w:val="20"/>
          <w:lang w:val="es-ES"/>
        </w:rPr>
      </w:pPr>
      <w:r>
        <w:rPr>
          <w:rFonts w:eastAsia="Batang" w:cs="Times"/>
          <w:spacing w:val="-2"/>
          <w:szCs w:val="20"/>
          <w:lang w:val="es-ES"/>
        </w:rPr>
        <w:tab/>
      </w:r>
      <w:bookmarkStart w:id="78" w:name="_Toc399131137"/>
      <w:bookmarkStart w:id="79" w:name="_Toc399131781"/>
      <w:bookmarkStart w:id="80" w:name="_Toc527993520"/>
      <w:r w:rsidRPr="00B50A9F">
        <w:rPr>
          <w:rFonts w:eastAsia="Batang" w:cs="Times"/>
          <w:spacing w:val="-2"/>
          <w:szCs w:val="20"/>
          <w:lang w:val="es-ES"/>
        </w:rPr>
        <w:t>A.1</w:t>
      </w:r>
      <w:r w:rsidR="002360FE">
        <w:rPr>
          <w:rFonts w:eastAsia="Batang" w:cs="Times"/>
          <w:spacing w:val="-2"/>
          <w:szCs w:val="20"/>
          <w:lang w:val="es-ES"/>
        </w:rPr>
        <w:t>.</w:t>
      </w:r>
      <w:r w:rsidRPr="00B50A9F">
        <w:rPr>
          <w:rFonts w:eastAsia="Batang" w:cs="Times"/>
          <w:spacing w:val="-2"/>
          <w:szCs w:val="20"/>
          <w:lang w:val="es-ES"/>
        </w:rPr>
        <w:t xml:space="preserve"> Alegatos del Estado</w:t>
      </w:r>
      <w:r w:rsidR="000E3B6F">
        <w:rPr>
          <w:rFonts w:eastAsia="Batang" w:cs="Times"/>
          <w:spacing w:val="-2"/>
          <w:szCs w:val="20"/>
          <w:lang w:val="es-ES"/>
        </w:rPr>
        <w:t xml:space="preserve"> y observaciones de la Comisión</w:t>
      </w:r>
      <w:r w:rsidR="000E3B6F" w:rsidRPr="000E3B6F">
        <w:rPr>
          <w:rFonts w:eastAsia="Batang" w:cs="Times"/>
          <w:spacing w:val="-2"/>
          <w:szCs w:val="20"/>
          <w:lang w:val="es-ES"/>
        </w:rPr>
        <w:t xml:space="preserve"> </w:t>
      </w:r>
      <w:r w:rsidR="000E3B6F">
        <w:rPr>
          <w:rFonts w:eastAsia="Batang" w:cs="Times"/>
          <w:spacing w:val="-2"/>
          <w:szCs w:val="20"/>
          <w:lang w:val="es-ES"/>
        </w:rPr>
        <w:t>y los representantes</w:t>
      </w:r>
      <w:bookmarkEnd w:id="78"/>
      <w:bookmarkEnd w:id="79"/>
      <w:bookmarkEnd w:id="80"/>
    </w:p>
    <w:p w:rsidR="00B50A9F" w:rsidRPr="00B50A9F" w:rsidRDefault="00B50A9F" w:rsidP="00B50A9F">
      <w:pPr>
        <w:rPr>
          <w:rFonts w:eastAsia="Batang" w:cs="Times"/>
          <w:spacing w:val="-2"/>
          <w:szCs w:val="20"/>
          <w:lang w:val="es-ES"/>
        </w:rPr>
      </w:pPr>
    </w:p>
    <w:p w:rsidR="00E1727B" w:rsidRPr="00274805" w:rsidRDefault="00E1727B" w:rsidP="00E1727B">
      <w:pPr>
        <w:pStyle w:val="ListParagraph"/>
        <w:widowControl w:val="0"/>
        <w:numPr>
          <w:ilvl w:val="0"/>
          <w:numId w:val="1"/>
        </w:numPr>
        <w:tabs>
          <w:tab w:val="left" w:pos="0"/>
        </w:tabs>
        <w:adjustRightInd w:val="0"/>
        <w:ind w:left="0" w:firstLine="0"/>
        <w:rPr>
          <w:rFonts w:eastAsia="Batang" w:cs="Times"/>
          <w:spacing w:val="-2"/>
          <w:szCs w:val="20"/>
          <w:lang w:val="es-ES"/>
        </w:rPr>
      </w:pPr>
      <w:r w:rsidRPr="005C4389">
        <w:rPr>
          <w:rFonts w:eastAsia="Batang" w:cs="Times"/>
          <w:spacing w:val="-2"/>
          <w:szCs w:val="20"/>
          <w:lang w:val="es-ES"/>
        </w:rPr>
        <w:t xml:space="preserve">El </w:t>
      </w:r>
      <w:r w:rsidRPr="00C273B7">
        <w:rPr>
          <w:rFonts w:eastAsia="Batang" w:cs="Times"/>
          <w:b/>
          <w:i/>
          <w:spacing w:val="-2"/>
          <w:szCs w:val="20"/>
          <w:lang w:val="es-ES"/>
        </w:rPr>
        <w:t>Estado</w:t>
      </w:r>
      <w:r>
        <w:rPr>
          <w:rFonts w:eastAsia="Batang" w:cs="Times"/>
          <w:spacing w:val="-2"/>
          <w:szCs w:val="20"/>
          <w:lang w:val="es-ES"/>
        </w:rPr>
        <w:t>,</w:t>
      </w:r>
      <w:r w:rsidRPr="005C4389">
        <w:rPr>
          <w:rFonts w:eastAsia="Batang" w:cs="Times"/>
          <w:spacing w:val="-2"/>
          <w:szCs w:val="20"/>
          <w:lang w:val="es-ES"/>
        </w:rPr>
        <w:t xml:space="preserve"> </w:t>
      </w:r>
      <w:r>
        <w:rPr>
          <w:rFonts w:eastAsia="Batang" w:cs="Times"/>
          <w:spacing w:val="-2"/>
          <w:szCs w:val="20"/>
          <w:lang w:val="es-ES"/>
        </w:rPr>
        <w:t xml:space="preserve">en su contestación, señaló la poca claridad sobre la determinación de los familiares que han sido considerados como presuntas víctimas por parte de la Comisión, ya que indicó que le corresponde a este órgano, la individualización e identificación de los familiares, la cual repercutirá en las eventuales reparaciones que ordenará la Corte. En razón de ello </w:t>
      </w:r>
      <w:r w:rsidRPr="005C4389">
        <w:rPr>
          <w:rFonts w:eastAsia="Batang" w:cs="Times"/>
          <w:spacing w:val="-2"/>
          <w:szCs w:val="20"/>
          <w:lang w:val="es-ES"/>
        </w:rPr>
        <w:t xml:space="preserve">se refirió </w:t>
      </w:r>
      <w:r>
        <w:rPr>
          <w:rFonts w:eastAsia="Batang" w:cs="Times"/>
          <w:spacing w:val="-2"/>
          <w:szCs w:val="20"/>
          <w:lang w:val="es-ES"/>
        </w:rPr>
        <w:t>”</w:t>
      </w:r>
      <w:r w:rsidRPr="005C4389">
        <w:rPr>
          <w:rFonts w:eastAsia="Batang" w:cs="Times"/>
          <w:spacing w:val="-2"/>
          <w:szCs w:val="20"/>
          <w:lang w:val="es-ES"/>
        </w:rPr>
        <w:t>a los beneficiarios de las reparaciones que han sido identificados por los representantes</w:t>
      </w:r>
      <w:r>
        <w:rPr>
          <w:rFonts w:eastAsia="Batang" w:cs="Times"/>
          <w:spacing w:val="-2"/>
          <w:szCs w:val="20"/>
          <w:lang w:val="es-ES"/>
        </w:rPr>
        <w:t>”</w:t>
      </w:r>
      <w:r w:rsidRPr="005C4389">
        <w:rPr>
          <w:rFonts w:eastAsia="Batang" w:cs="Times"/>
          <w:spacing w:val="-2"/>
          <w:szCs w:val="20"/>
          <w:lang w:val="es-ES"/>
        </w:rPr>
        <w:t>,</w:t>
      </w:r>
      <w:r>
        <w:rPr>
          <w:rFonts w:eastAsia="Batang" w:cs="Times"/>
          <w:spacing w:val="-2"/>
          <w:szCs w:val="20"/>
          <w:lang w:val="es-ES"/>
        </w:rPr>
        <w:t xml:space="preserve"> y presentó sus observaciones,</w:t>
      </w:r>
      <w:r w:rsidRPr="005C4389">
        <w:rPr>
          <w:rFonts w:eastAsia="Batang" w:cs="Times"/>
          <w:spacing w:val="-2"/>
          <w:szCs w:val="20"/>
          <w:lang w:val="es-ES"/>
        </w:rPr>
        <w:t xml:space="preserve"> a saber: a) respecto </w:t>
      </w:r>
      <w:r>
        <w:rPr>
          <w:rFonts w:eastAsia="Batang" w:cs="Times"/>
          <w:spacing w:val="-2"/>
          <w:szCs w:val="20"/>
          <w:lang w:val="es-ES"/>
        </w:rPr>
        <w:t xml:space="preserve">a </w:t>
      </w:r>
      <w:r w:rsidRPr="005C4389">
        <w:rPr>
          <w:rFonts w:eastAsia="Batang" w:cs="Times"/>
          <w:spacing w:val="-2"/>
          <w:szCs w:val="20"/>
          <w:lang w:val="es-ES"/>
        </w:rPr>
        <w:t>Wilfredo</w:t>
      </w:r>
      <w:r>
        <w:rPr>
          <w:rFonts w:eastAsia="Batang" w:cs="Times"/>
          <w:spacing w:val="-2"/>
          <w:szCs w:val="20"/>
          <w:lang w:val="es-ES"/>
        </w:rPr>
        <w:t xml:space="preserve"> </w:t>
      </w:r>
      <w:r w:rsidRPr="005C4389">
        <w:rPr>
          <w:rFonts w:eastAsia="Batang" w:cs="Times"/>
          <w:spacing w:val="-2"/>
          <w:szCs w:val="20"/>
          <w:lang w:val="es-ES"/>
        </w:rPr>
        <w:t xml:space="preserve">Terrones Silva solicitaron la inclusión de Guillermina Frida Landázuri Gómez (de Terrones), esposa de la presunta víctima y a Wilfredo Terrones Landázuri, hijo de la presunta víctima; b) </w:t>
      </w:r>
      <w:r>
        <w:rPr>
          <w:rFonts w:eastAsia="Batang" w:cs="Times"/>
          <w:spacing w:val="-2"/>
          <w:szCs w:val="20"/>
          <w:lang w:val="es-ES"/>
        </w:rPr>
        <w:t>respecto</w:t>
      </w:r>
      <w:r w:rsidRPr="005C4389">
        <w:rPr>
          <w:rFonts w:eastAsia="Batang" w:cs="Times"/>
          <w:spacing w:val="-2"/>
          <w:szCs w:val="20"/>
          <w:lang w:val="es-ES"/>
        </w:rPr>
        <w:t xml:space="preserve"> </w:t>
      </w:r>
      <w:r>
        <w:rPr>
          <w:rFonts w:eastAsia="Batang" w:cs="Times"/>
          <w:spacing w:val="-2"/>
          <w:szCs w:val="20"/>
          <w:lang w:val="es-ES"/>
        </w:rPr>
        <w:t>a</w:t>
      </w:r>
      <w:r w:rsidRPr="005C4389">
        <w:rPr>
          <w:rFonts w:eastAsia="Batang" w:cs="Times"/>
          <w:spacing w:val="-2"/>
          <w:szCs w:val="20"/>
          <w:lang w:val="es-ES"/>
        </w:rPr>
        <w:t xml:space="preserve"> </w:t>
      </w:r>
      <w:r w:rsidRPr="005C4389">
        <w:rPr>
          <w:rFonts w:eastAsia="Batang" w:cs="Times"/>
          <w:spacing w:val="-2"/>
          <w:szCs w:val="20"/>
          <w:lang w:val="es-ES"/>
        </w:rPr>
        <w:lastRenderedPageBreak/>
        <w:t xml:space="preserve">Teresa Díaz Aparicio, el Informe de Fondo hace referencia a los nombres Alberto Díaz Uriarte y Graciela Aparicio Pastor, padre y madre de la presunta víctima, ya fallecidos. También establece que la presunta víctima tuvo dos hermanos Federico Díaz Aparicio y Roberto Levi Aparicio, quienes fallecieron después de la desaparición de la presunta víctima. Los representantes señalaron que la señora Díaz Aparicio no cuenta con un familiar sobreviviente, por lo que </w:t>
      </w:r>
      <w:r>
        <w:rPr>
          <w:rFonts w:eastAsia="Batang" w:cs="Times"/>
          <w:spacing w:val="-2"/>
          <w:szCs w:val="20"/>
          <w:lang w:val="es-ES"/>
        </w:rPr>
        <w:t xml:space="preserve">el Estado </w:t>
      </w:r>
      <w:r w:rsidRPr="005C4389">
        <w:rPr>
          <w:rFonts w:eastAsia="Batang" w:cs="Times"/>
          <w:spacing w:val="-2"/>
          <w:szCs w:val="20"/>
          <w:lang w:val="es-ES"/>
        </w:rPr>
        <w:t>desprende que no hay posibilidad de incluir a ningún beneficiario respecto de dicha presun</w:t>
      </w:r>
      <w:r>
        <w:rPr>
          <w:rFonts w:eastAsia="Batang" w:cs="Times"/>
          <w:spacing w:val="-2"/>
          <w:szCs w:val="20"/>
          <w:lang w:val="es-ES"/>
        </w:rPr>
        <w:t>ta víctima; c) respecto a</w:t>
      </w:r>
      <w:r w:rsidRPr="005C4389">
        <w:rPr>
          <w:rFonts w:eastAsia="Batang" w:cs="Times"/>
          <w:spacing w:val="-2"/>
          <w:szCs w:val="20"/>
          <w:lang w:val="es-ES"/>
        </w:rPr>
        <w:t xml:space="preserve"> Néstor Rojas Medina en el Informe de Fondo se menciona a Marcelina </w:t>
      </w:r>
      <w:r>
        <w:rPr>
          <w:rFonts w:eastAsia="Batang" w:cs="Times"/>
          <w:spacing w:val="-2"/>
          <w:szCs w:val="20"/>
          <w:lang w:val="es-ES"/>
        </w:rPr>
        <w:t xml:space="preserve">Medina </w:t>
      </w:r>
      <w:r w:rsidRPr="005C4389">
        <w:rPr>
          <w:rFonts w:eastAsia="Batang" w:cs="Times"/>
          <w:spacing w:val="-2"/>
          <w:szCs w:val="20"/>
          <w:lang w:val="es-ES"/>
        </w:rPr>
        <w:t>Negrón y Leopoldo Rojas Manuyama como madre y padre de la presunta víctima, pero que la presunta víctima fue criado por su madre y la pareja de ella</w:t>
      </w:r>
      <w:r>
        <w:rPr>
          <w:rFonts w:eastAsia="Batang" w:cs="Times"/>
          <w:spacing w:val="-2"/>
          <w:szCs w:val="20"/>
          <w:lang w:val="es-ES"/>
        </w:rPr>
        <w:t>,</w:t>
      </w:r>
      <w:r w:rsidRPr="005C4389">
        <w:rPr>
          <w:rFonts w:eastAsia="Batang" w:cs="Times"/>
          <w:spacing w:val="-2"/>
          <w:szCs w:val="20"/>
          <w:lang w:val="es-ES"/>
        </w:rPr>
        <w:t xml:space="preserve"> Abelardo Collantes Quiroz</w:t>
      </w:r>
      <w:r w:rsidRPr="005C4389">
        <w:rPr>
          <w:rStyle w:val="FootnoteReference"/>
          <w:rFonts w:eastAsia="Batang"/>
          <w:spacing w:val="-2"/>
          <w:sz w:val="20"/>
          <w:szCs w:val="20"/>
          <w:lang w:val="es-ES"/>
        </w:rPr>
        <w:footnoteReference w:id="29"/>
      </w:r>
      <w:r>
        <w:rPr>
          <w:rFonts w:eastAsia="Batang" w:cs="Times"/>
          <w:spacing w:val="-2"/>
          <w:szCs w:val="20"/>
          <w:lang w:val="es-ES"/>
        </w:rPr>
        <w:t xml:space="preserve">, quienes tuvieron una hija, </w:t>
      </w:r>
      <w:r w:rsidR="00E22EF8">
        <w:rPr>
          <w:rFonts w:eastAsia="Batang" w:cs="Times"/>
          <w:spacing w:val="-2"/>
          <w:szCs w:val="20"/>
          <w:lang w:val="es-ES"/>
        </w:rPr>
        <w:t xml:space="preserve">Tania </w:t>
      </w:r>
      <w:r w:rsidRPr="005C4389">
        <w:rPr>
          <w:rFonts w:eastAsia="Batang" w:cs="Times"/>
          <w:spacing w:val="-2"/>
          <w:szCs w:val="20"/>
          <w:lang w:val="es-ES"/>
        </w:rPr>
        <w:t xml:space="preserve">Collantes Medina. No obstante, los representantes solo mencionaron a Marcelina Medina Negrón y Tania Collantes Medina. Por lo que el Estado concluyó que renunciaron a la inclusión como posibles beneficiarios de reparación a las demás personas; d) respecto a Cory Clodolia Tenicela Tello </w:t>
      </w:r>
      <w:r>
        <w:rPr>
          <w:rFonts w:eastAsia="Batang" w:cs="Times"/>
          <w:spacing w:val="-2"/>
          <w:szCs w:val="20"/>
          <w:lang w:val="es-ES"/>
        </w:rPr>
        <w:t xml:space="preserve">no hizo </w:t>
      </w:r>
      <w:r w:rsidRPr="005C4389">
        <w:rPr>
          <w:rFonts w:eastAsia="Batang" w:cs="Times"/>
          <w:spacing w:val="-2"/>
          <w:szCs w:val="20"/>
          <w:lang w:val="es-ES"/>
        </w:rPr>
        <w:t xml:space="preserve">pronunciamiento alguno en vista que los representantes no se han referido ni solicitado la inclusión de algún familiar como posible beneficiario de reparación, por lo tanto, se asume que renuncian a esa posibilidad, y e) respecto </w:t>
      </w:r>
      <w:r>
        <w:rPr>
          <w:rFonts w:eastAsia="Batang" w:cs="Times"/>
          <w:spacing w:val="-2"/>
          <w:szCs w:val="20"/>
          <w:lang w:val="es-ES"/>
        </w:rPr>
        <w:t xml:space="preserve">a </w:t>
      </w:r>
      <w:r w:rsidRPr="005C4389">
        <w:rPr>
          <w:rFonts w:eastAsia="Batang" w:cs="Times"/>
          <w:spacing w:val="-2"/>
          <w:szCs w:val="20"/>
          <w:lang w:val="es-ES"/>
        </w:rPr>
        <w:t>Santiago Antezana Cueto los represe</w:t>
      </w:r>
      <w:r>
        <w:rPr>
          <w:rFonts w:eastAsia="Batang" w:cs="Times"/>
          <w:spacing w:val="-2"/>
          <w:szCs w:val="20"/>
          <w:lang w:val="es-ES"/>
        </w:rPr>
        <w:t>ntantes indicaron como posibles</w:t>
      </w:r>
      <w:r w:rsidRPr="005C4389">
        <w:rPr>
          <w:rFonts w:eastAsia="Batang" w:cs="Times"/>
          <w:spacing w:val="-2"/>
          <w:szCs w:val="20"/>
          <w:lang w:val="es-ES"/>
        </w:rPr>
        <w:t xml:space="preserve"> beneficiarios a su conviviente, Rosa Carcausto Paco, su hermano, E</w:t>
      </w:r>
      <w:r>
        <w:rPr>
          <w:rFonts w:eastAsia="Batang" w:cs="Times"/>
          <w:spacing w:val="-2"/>
          <w:szCs w:val="20"/>
          <w:lang w:val="es-ES"/>
        </w:rPr>
        <w:t>r</w:t>
      </w:r>
      <w:r w:rsidRPr="005C4389">
        <w:rPr>
          <w:rFonts w:eastAsia="Batang" w:cs="Times"/>
          <w:spacing w:val="-2"/>
          <w:szCs w:val="20"/>
          <w:lang w:val="es-ES"/>
        </w:rPr>
        <w:t>milio Antezana Cueto; su prima, Ofelia Antezana Torre</w:t>
      </w:r>
      <w:r>
        <w:rPr>
          <w:rFonts w:eastAsia="Batang" w:cs="Times"/>
          <w:spacing w:val="-2"/>
          <w:szCs w:val="20"/>
          <w:lang w:val="es-ES"/>
        </w:rPr>
        <w:t>,</w:t>
      </w:r>
      <w:r w:rsidRPr="005C4389">
        <w:rPr>
          <w:rFonts w:eastAsia="Batang" w:cs="Times"/>
          <w:spacing w:val="-2"/>
          <w:szCs w:val="20"/>
          <w:lang w:val="es-ES"/>
        </w:rPr>
        <w:t xml:space="preserve"> y su tío, Máximo Antezana Espeza, quien falleció, por lo que solicitaron que debiendo otorgarse dicha reparación se entregue a sus herederos legales, su esposa y sus hijos</w:t>
      </w:r>
      <w:r w:rsidRPr="005C4389">
        <w:rPr>
          <w:rStyle w:val="FootnoteReference"/>
          <w:rFonts w:eastAsia="Batang"/>
          <w:spacing w:val="-2"/>
          <w:sz w:val="20"/>
          <w:szCs w:val="20"/>
          <w:lang w:val="es-ES"/>
        </w:rPr>
        <w:footnoteReference w:id="30"/>
      </w:r>
      <w:r w:rsidRPr="005C4389">
        <w:rPr>
          <w:rFonts w:eastAsia="Batang" w:cs="Times"/>
          <w:spacing w:val="-2"/>
          <w:szCs w:val="20"/>
          <w:lang w:val="es-ES"/>
        </w:rPr>
        <w:t>.</w:t>
      </w:r>
      <w:r>
        <w:rPr>
          <w:rFonts w:eastAsia="Batang" w:cs="Times"/>
          <w:spacing w:val="-2"/>
          <w:szCs w:val="20"/>
          <w:lang w:val="es-ES"/>
        </w:rPr>
        <w:t xml:space="preserve"> </w:t>
      </w:r>
      <w:r>
        <w:rPr>
          <w:rFonts w:eastAsia="Batang" w:cs="Times"/>
          <w:b/>
          <w:spacing w:val="-2"/>
          <w:sz w:val="16"/>
          <w:szCs w:val="16"/>
          <w:lang w:val="es-ES"/>
        </w:rPr>
        <w:t xml:space="preserve"> </w:t>
      </w:r>
      <w:r w:rsidRPr="00274805">
        <w:rPr>
          <w:rFonts w:eastAsia="Batang" w:cs="Times"/>
          <w:spacing w:val="-2"/>
          <w:szCs w:val="20"/>
          <w:lang w:val="es-ES"/>
        </w:rPr>
        <w:t xml:space="preserve">En los </w:t>
      </w:r>
      <w:r>
        <w:rPr>
          <w:rFonts w:eastAsia="Batang" w:cs="Times"/>
          <w:spacing w:val="-2"/>
          <w:szCs w:val="20"/>
          <w:lang w:val="es-ES"/>
        </w:rPr>
        <w:t xml:space="preserve">alegatos finales reiteró la existencia de la poca claridad sobre la determinación de los familiares por parte de la Comisión. </w:t>
      </w:r>
    </w:p>
    <w:p w:rsidR="00E1727B" w:rsidRPr="005C4389" w:rsidRDefault="00E1727B" w:rsidP="00E1727B">
      <w:pPr>
        <w:tabs>
          <w:tab w:val="left" w:pos="567"/>
        </w:tabs>
        <w:autoSpaceDE w:val="0"/>
        <w:autoSpaceDN w:val="0"/>
        <w:contextualSpacing/>
        <w:rPr>
          <w:rFonts w:eastAsia="Batang" w:cs="Times"/>
          <w:spacing w:val="-2"/>
          <w:szCs w:val="20"/>
          <w:lang w:val="es-ES"/>
        </w:rPr>
      </w:pPr>
    </w:p>
    <w:p w:rsidR="00E1727B" w:rsidRDefault="00E1727B" w:rsidP="00E1727B">
      <w:pPr>
        <w:pStyle w:val="ListParagraph"/>
        <w:widowControl w:val="0"/>
        <w:numPr>
          <w:ilvl w:val="0"/>
          <w:numId w:val="1"/>
        </w:numPr>
        <w:tabs>
          <w:tab w:val="left" w:pos="0"/>
        </w:tabs>
        <w:adjustRightInd w:val="0"/>
        <w:ind w:left="0" w:firstLine="0"/>
        <w:rPr>
          <w:szCs w:val="20"/>
          <w:lang w:val="es-ES_tradnl"/>
        </w:rPr>
      </w:pPr>
      <w:r>
        <w:rPr>
          <w:rFonts w:eastAsia="Batang" w:cs="Times"/>
          <w:spacing w:val="-2"/>
          <w:szCs w:val="20"/>
          <w:lang w:val="es-ES"/>
        </w:rPr>
        <w:t xml:space="preserve">La </w:t>
      </w:r>
      <w:r w:rsidRPr="00C273B7">
        <w:rPr>
          <w:rFonts w:eastAsia="Batang" w:cs="Times"/>
          <w:b/>
          <w:i/>
          <w:spacing w:val="-2"/>
          <w:szCs w:val="20"/>
          <w:lang w:val="es-ES"/>
        </w:rPr>
        <w:t>Comisión</w:t>
      </w:r>
      <w:r>
        <w:rPr>
          <w:rFonts w:eastAsia="Batang" w:cs="Times"/>
          <w:spacing w:val="-2"/>
          <w:szCs w:val="20"/>
          <w:lang w:val="es-ES"/>
        </w:rPr>
        <w:t xml:space="preserve"> en el Informe de Fondo alegó que </w:t>
      </w:r>
      <w:r>
        <w:rPr>
          <w:szCs w:val="20"/>
          <w:lang w:val="es-ES_tradnl"/>
        </w:rPr>
        <w:t>las siguientes personas eran presuntas víctimas: a</w:t>
      </w:r>
      <w:r w:rsidRPr="005C4389">
        <w:rPr>
          <w:rFonts w:eastAsia="Batang" w:cs="Times"/>
          <w:spacing w:val="-2"/>
          <w:szCs w:val="20"/>
          <w:lang w:val="es-ES"/>
        </w:rPr>
        <w:t>) respecto a Wilfredo</w:t>
      </w:r>
      <w:r>
        <w:rPr>
          <w:rFonts w:eastAsia="Batang" w:cs="Times"/>
          <w:spacing w:val="-2"/>
          <w:szCs w:val="20"/>
          <w:lang w:val="es-ES"/>
        </w:rPr>
        <w:t xml:space="preserve"> </w:t>
      </w:r>
      <w:r w:rsidRPr="005C4389">
        <w:rPr>
          <w:rFonts w:eastAsia="Batang" w:cs="Times"/>
          <w:spacing w:val="-2"/>
          <w:szCs w:val="20"/>
          <w:lang w:val="es-ES"/>
        </w:rPr>
        <w:t>Terrones Silva</w:t>
      </w:r>
      <w:r>
        <w:rPr>
          <w:rFonts w:eastAsia="Batang" w:cs="Times"/>
          <w:spacing w:val="-2"/>
          <w:szCs w:val="20"/>
          <w:lang w:val="es-ES"/>
        </w:rPr>
        <w:t xml:space="preserve">, su </w:t>
      </w:r>
      <w:r w:rsidRPr="005C4389">
        <w:rPr>
          <w:rFonts w:eastAsia="Batang" w:cs="Times"/>
          <w:spacing w:val="-2"/>
          <w:szCs w:val="20"/>
          <w:lang w:val="es-ES"/>
        </w:rPr>
        <w:t>esposa</w:t>
      </w:r>
      <w:r>
        <w:rPr>
          <w:rFonts w:eastAsia="Batang" w:cs="Times"/>
          <w:spacing w:val="-2"/>
          <w:szCs w:val="20"/>
          <w:lang w:val="es-ES"/>
        </w:rPr>
        <w:t>,</w:t>
      </w:r>
      <w:r w:rsidRPr="005C4389">
        <w:rPr>
          <w:rFonts w:eastAsia="Batang" w:cs="Times"/>
          <w:spacing w:val="-2"/>
          <w:szCs w:val="20"/>
          <w:lang w:val="es-ES"/>
        </w:rPr>
        <w:t xml:space="preserve"> Guillermina Frid</w:t>
      </w:r>
      <w:r>
        <w:rPr>
          <w:rFonts w:eastAsia="Batang" w:cs="Times"/>
          <w:spacing w:val="-2"/>
          <w:szCs w:val="20"/>
          <w:lang w:val="es-ES"/>
        </w:rPr>
        <w:t>a Landázuri Gómez (de Terrones);</w:t>
      </w:r>
      <w:r w:rsidRPr="005C4389">
        <w:rPr>
          <w:rFonts w:eastAsia="Batang" w:cs="Times"/>
          <w:spacing w:val="-2"/>
          <w:szCs w:val="20"/>
          <w:lang w:val="es-ES"/>
        </w:rPr>
        <w:t xml:space="preserve"> b) respecto a la Teresa Díaz Aparicio, Alberto Díaz Uriarte y Graciela Aparicio Pastor, </w:t>
      </w:r>
      <w:r>
        <w:rPr>
          <w:rFonts w:eastAsia="Batang" w:cs="Times"/>
          <w:spacing w:val="-2"/>
          <w:szCs w:val="20"/>
          <w:lang w:val="es-ES"/>
        </w:rPr>
        <w:t xml:space="preserve">su </w:t>
      </w:r>
      <w:r w:rsidRPr="005C4389">
        <w:rPr>
          <w:rFonts w:eastAsia="Batang" w:cs="Times"/>
          <w:spacing w:val="-2"/>
          <w:szCs w:val="20"/>
          <w:lang w:val="es-ES"/>
        </w:rPr>
        <w:t>padre y</w:t>
      </w:r>
      <w:r>
        <w:rPr>
          <w:rFonts w:eastAsia="Batang" w:cs="Times"/>
          <w:spacing w:val="-2"/>
          <w:szCs w:val="20"/>
          <w:lang w:val="es-ES"/>
        </w:rPr>
        <w:t xml:space="preserve"> su madre, y sus </w:t>
      </w:r>
      <w:r w:rsidRPr="005C4389">
        <w:rPr>
          <w:rFonts w:eastAsia="Batang" w:cs="Times"/>
          <w:spacing w:val="-2"/>
          <w:szCs w:val="20"/>
          <w:lang w:val="es-ES"/>
        </w:rPr>
        <w:t>dos hermanos</w:t>
      </w:r>
      <w:r>
        <w:rPr>
          <w:rFonts w:eastAsia="Batang" w:cs="Times"/>
          <w:spacing w:val="-2"/>
          <w:szCs w:val="20"/>
          <w:lang w:val="es-ES"/>
        </w:rPr>
        <w:t>,</w:t>
      </w:r>
      <w:r w:rsidRPr="005C4389">
        <w:rPr>
          <w:rFonts w:eastAsia="Batang" w:cs="Times"/>
          <w:spacing w:val="-2"/>
          <w:szCs w:val="20"/>
          <w:lang w:val="es-ES"/>
        </w:rPr>
        <w:t xml:space="preserve"> Federico Díaz Aparicio y Roberto Levi Aparicio,</w:t>
      </w:r>
      <w:r>
        <w:rPr>
          <w:rFonts w:eastAsia="Batang" w:cs="Times"/>
          <w:spacing w:val="-2"/>
          <w:szCs w:val="20"/>
          <w:lang w:val="es-ES"/>
        </w:rPr>
        <w:t xml:space="preserve"> todos fallecidos;</w:t>
      </w:r>
      <w:r w:rsidRPr="005C4389">
        <w:rPr>
          <w:rFonts w:eastAsia="Batang" w:cs="Times"/>
          <w:spacing w:val="-2"/>
          <w:szCs w:val="20"/>
          <w:lang w:val="es-ES"/>
        </w:rPr>
        <w:t xml:space="preserve"> </w:t>
      </w:r>
      <w:r>
        <w:rPr>
          <w:rFonts w:eastAsia="Batang" w:cs="Times"/>
          <w:spacing w:val="-2"/>
          <w:szCs w:val="20"/>
          <w:lang w:val="es-ES"/>
        </w:rPr>
        <w:t>c) respecto a</w:t>
      </w:r>
      <w:r w:rsidRPr="005C4389">
        <w:rPr>
          <w:rFonts w:eastAsia="Batang" w:cs="Times"/>
          <w:spacing w:val="-2"/>
          <w:szCs w:val="20"/>
          <w:lang w:val="es-ES"/>
        </w:rPr>
        <w:t xml:space="preserve"> Néstor Rojas </w:t>
      </w:r>
      <w:r>
        <w:rPr>
          <w:rFonts w:eastAsia="Batang" w:cs="Times"/>
          <w:spacing w:val="-2"/>
          <w:szCs w:val="20"/>
          <w:lang w:val="es-ES"/>
        </w:rPr>
        <w:t>Medina,</w:t>
      </w:r>
      <w:r w:rsidRPr="005C4389">
        <w:rPr>
          <w:rFonts w:eastAsia="Batang" w:cs="Times"/>
          <w:spacing w:val="-2"/>
          <w:szCs w:val="20"/>
          <w:lang w:val="es-ES"/>
        </w:rPr>
        <w:t xml:space="preserve"> Marcelina </w:t>
      </w:r>
      <w:r>
        <w:rPr>
          <w:rFonts w:eastAsia="Batang" w:cs="Times"/>
          <w:spacing w:val="-2"/>
          <w:szCs w:val="20"/>
          <w:lang w:val="es-ES"/>
        </w:rPr>
        <w:t xml:space="preserve">Medina Negrón y  </w:t>
      </w:r>
      <w:r w:rsidRPr="005C4389">
        <w:rPr>
          <w:rFonts w:eastAsia="Batang" w:cs="Times"/>
          <w:spacing w:val="-2"/>
          <w:szCs w:val="20"/>
          <w:lang w:val="es-ES"/>
        </w:rPr>
        <w:t>Leopoldo Rojas Manuyama</w:t>
      </w:r>
      <w:r>
        <w:rPr>
          <w:rFonts w:eastAsia="Batang" w:cs="Times"/>
          <w:spacing w:val="-2"/>
          <w:szCs w:val="20"/>
          <w:lang w:val="es-ES"/>
        </w:rPr>
        <w:t xml:space="preserve">, su </w:t>
      </w:r>
      <w:r w:rsidRPr="005C4389">
        <w:rPr>
          <w:rFonts w:eastAsia="Batang" w:cs="Times"/>
          <w:spacing w:val="-2"/>
          <w:szCs w:val="20"/>
          <w:lang w:val="es-ES"/>
        </w:rPr>
        <w:t xml:space="preserve">madre y </w:t>
      </w:r>
      <w:r>
        <w:rPr>
          <w:rFonts w:eastAsia="Batang" w:cs="Times"/>
          <w:spacing w:val="-2"/>
          <w:szCs w:val="20"/>
          <w:lang w:val="es-ES"/>
        </w:rPr>
        <w:t xml:space="preserve">su </w:t>
      </w:r>
      <w:r w:rsidRPr="005C4389">
        <w:rPr>
          <w:rFonts w:eastAsia="Batang" w:cs="Times"/>
          <w:spacing w:val="-2"/>
          <w:szCs w:val="20"/>
          <w:lang w:val="es-ES"/>
        </w:rPr>
        <w:t>padre</w:t>
      </w:r>
      <w:r>
        <w:rPr>
          <w:rFonts w:eastAsia="Batang" w:cs="Times"/>
          <w:spacing w:val="-2"/>
          <w:szCs w:val="20"/>
          <w:lang w:val="es-ES"/>
        </w:rPr>
        <w:t>, pero</w:t>
      </w:r>
      <w:r w:rsidRPr="005C4389">
        <w:rPr>
          <w:rFonts w:eastAsia="Batang" w:cs="Times"/>
          <w:spacing w:val="-2"/>
          <w:szCs w:val="20"/>
          <w:lang w:val="es-ES"/>
        </w:rPr>
        <w:t xml:space="preserve"> fue criado por su madre y la pareja de ella</w:t>
      </w:r>
      <w:r>
        <w:rPr>
          <w:rFonts w:eastAsia="Batang" w:cs="Times"/>
          <w:spacing w:val="-2"/>
          <w:szCs w:val="20"/>
          <w:lang w:val="es-ES"/>
        </w:rPr>
        <w:t>,</w:t>
      </w:r>
      <w:r w:rsidRPr="005C4389">
        <w:rPr>
          <w:rFonts w:eastAsia="Batang" w:cs="Times"/>
          <w:spacing w:val="-2"/>
          <w:szCs w:val="20"/>
          <w:lang w:val="es-ES"/>
        </w:rPr>
        <w:t xml:space="preserve"> Abelardo Collantes Quiroz</w:t>
      </w:r>
      <w:r>
        <w:rPr>
          <w:rFonts w:eastAsia="Batang" w:cs="Times"/>
          <w:spacing w:val="-2"/>
          <w:szCs w:val="20"/>
          <w:lang w:val="es-ES"/>
        </w:rPr>
        <w:t>, y su hermana Tania Collantes Medina</w:t>
      </w:r>
      <w:r w:rsidR="002F3053">
        <w:rPr>
          <w:rFonts w:eastAsia="Batang" w:cs="Times"/>
          <w:spacing w:val="-2"/>
          <w:szCs w:val="20"/>
          <w:lang w:val="es-ES"/>
        </w:rPr>
        <w:t>,</w:t>
      </w:r>
      <w:r w:rsidR="00380FE9">
        <w:rPr>
          <w:rFonts w:eastAsia="Batang" w:cs="Times"/>
          <w:spacing w:val="-2"/>
          <w:szCs w:val="20"/>
          <w:lang w:val="es-ES"/>
        </w:rPr>
        <w:t xml:space="preserve"> así </w:t>
      </w:r>
      <w:r w:rsidR="00450C72">
        <w:rPr>
          <w:rFonts w:eastAsia="Batang" w:cs="Times"/>
          <w:spacing w:val="-2"/>
          <w:szCs w:val="20"/>
          <w:lang w:val="es-ES"/>
        </w:rPr>
        <w:t>como sus tías Faustina y Luzmil</w:t>
      </w:r>
      <w:r w:rsidR="00B13788">
        <w:rPr>
          <w:rFonts w:eastAsia="Batang" w:cs="Times"/>
          <w:spacing w:val="-2"/>
          <w:szCs w:val="20"/>
          <w:lang w:val="es-ES"/>
        </w:rPr>
        <w:t>l</w:t>
      </w:r>
      <w:r w:rsidR="00380FE9">
        <w:rPr>
          <w:rFonts w:eastAsia="Batang" w:cs="Times"/>
          <w:spacing w:val="-2"/>
          <w:szCs w:val="20"/>
          <w:lang w:val="es-ES"/>
        </w:rPr>
        <w:t>a Collantes Quiróz</w:t>
      </w:r>
      <w:r w:rsidRPr="005C4389">
        <w:rPr>
          <w:rFonts w:eastAsia="Batang" w:cs="Times"/>
          <w:spacing w:val="-2"/>
          <w:szCs w:val="20"/>
          <w:lang w:val="es-ES"/>
        </w:rPr>
        <w:t>; d) respecto a Cory Clodolia Tenicela Tello</w:t>
      </w:r>
      <w:r>
        <w:rPr>
          <w:rFonts w:eastAsia="Batang" w:cs="Times"/>
          <w:spacing w:val="-2"/>
          <w:szCs w:val="20"/>
          <w:lang w:val="es-ES"/>
        </w:rPr>
        <w:t>, su madre Amadea Tello Barrera (en adelante también “Amade</w:t>
      </w:r>
      <w:r w:rsidR="006118E8">
        <w:rPr>
          <w:rFonts w:eastAsia="Batang" w:cs="Times"/>
          <w:spacing w:val="-2"/>
          <w:szCs w:val="20"/>
          <w:lang w:val="es-ES"/>
        </w:rPr>
        <w:t>a Felipa Tello de Tenicela” o “</w:t>
      </w:r>
      <w:r>
        <w:rPr>
          <w:rFonts w:eastAsia="Batang" w:cs="Times"/>
          <w:spacing w:val="-2"/>
          <w:szCs w:val="20"/>
          <w:lang w:val="es-ES"/>
        </w:rPr>
        <w:t>Amadea Tello”), su hermana Norma Juana Tenicela Tello</w:t>
      </w:r>
      <w:r w:rsidR="00DB3A90">
        <w:rPr>
          <w:rFonts w:eastAsia="Batang" w:cs="Times"/>
          <w:spacing w:val="-2"/>
          <w:szCs w:val="20"/>
          <w:lang w:val="es-ES"/>
        </w:rPr>
        <w:t xml:space="preserve"> (en adelante también Norma Tenicela Tello)</w:t>
      </w:r>
      <w:r>
        <w:rPr>
          <w:rFonts w:eastAsia="Batang" w:cs="Times"/>
          <w:spacing w:val="-2"/>
          <w:szCs w:val="20"/>
          <w:lang w:val="es-ES"/>
        </w:rPr>
        <w:t>, su h</w:t>
      </w:r>
      <w:r w:rsidR="00450C72">
        <w:rPr>
          <w:rFonts w:eastAsia="Batang" w:cs="Times"/>
          <w:spacing w:val="-2"/>
          <w:szCs w:val="20"/>
          <w:lang w:val="es-ES"/>
        </w:rPr>
        <w:t xml:space="preserve">ermano Washington Tenicela, y </w:t>
      </w:r>
      <w:r>
        <w:rPr>
          <w:rFonts w:eastAsia="Batang" w:cs="Times"/>
          <w:spacing w:val="-2"/>
          <w:szCs w:val="20"/>
          <w:lang w:val="es-ES"/>
        </w:rPr>
        <w:t>su sobrina Yorka Jara Tenicela</w:t>
      </w:r>
      <w:r w:rsidRPr="005C4389">
        <w:rPr>
          <w:rFonts w:eastAsia="Batang" w:cs="Times"/>
          <w:spacing w:val="-2"/>
          <w:szCs w:val="20"/>
          <w:lang w:val="es-ES"/>
        </w:rPr>
        <w:t xml:space="preserve">, y e) respecto </w:t>
      </w:r>
      <w:r>
        <w:rPr>
          <w:rFonts w:eastAsia="Batang" w:cs="Times"/>
          <w:spacing w:val="-2"/>
          <w:szCs w:val="20"/>
          <w:lang w:val="es-ES"/>
        </w:rPr>
        <w:t xml:space="preserve">a </w:t>
      </w:r>
      <w:r w:rsidRPr="005C4389">
        <w:rPr>
          <w:rFonts w:eastAsia="Batang" w:cs="Times"/>
          <w:spacing w:val="-2"/>
          <w:szCs w:val="20"/>
          <w:lang w:val="es-ES"/>
        </w:rPr>
        <w:t xml:space="preserve">Santiago </w:t>
      </w:r>
      <w:r>
        <w:rPr>
          <w:rFonts w:eastAsia="Batang" w:cs="Times"/>
          <w:spacing w:val="-2"/>
          <w:szCs w:val="20"/>
          <w:lang w:val="es-ES"/>
        </w:rPr>
        <w:t xml:space="preserve">Antezana Cueto, su conviviente Rosa Carcausto Paco, </w:t>
      </w:r>
      <w:r w:rsidRPr="005C4389">
        <w:rPr>
          <w:rFonts w:eastAsia="Batang" w:cs="Times"/>
          <w:spacing w:val="-2"/>
          <w:szCs w:val="20"/>
          <w:lang w:val="es-ES"/>
        </w:rPr>
        <w:t xml:space="preserve">su hermano, </w:t>
      </w:r>
      <w:r>
        <w:rPr>
          <w:rFonts w:eastAsia="Batang" w:cs="Times"/>
          <w:spacing w:val="-2"/>
          <w:szCs w:val="20"/>
          <w:lang w:val="es-ES"/>
        </w:rPr>
        <w:t>Ermilio Antezana Cueto; su prima Ofelia Antezana Torre y su tío</w:t>
      </w:r>
      <w:r w:rsidRPr="005C4389">
        <w:rPr>
          <w:rFonts w:eastAsia="Batang" w:cs="Times"/>
          <w:spacing w:val="-2"/>
          <w:szCs w:val="20"/>
          <w:lang w:val="es-ES"/>
        </w:rPr>
        <w:t xml:space="preserve"> Máximo </w:t>
      </w:r>
      <w:r>
        <w:rPr>
          <w:rFonts w:eastAsia="Batang" w:cs="Times"/>
          <w:spacing w:val="-2"/>
          <w:szCs w:val="20"/>
          <w:lang w:val="es-ES"/>
        </w:rPr>
        <w:t>Antezana Espeza, quien falleció</w:t>
      </w:r>
      <w:r>
        <w:rPr>
          <w:szCs w:val="20"/>
          <w:lang w:val="es-ES_tradnl"/>
        </w:rPr>
        <w:t>.</w:t>
      </w:r>
    </w:p>
    <w:p w:rsidR="00E1727B" w:rsidRDefault="00E1727B" w:rsidP="00E1727B">
      <w:pPr>
        <w:pStyle w:val="ListParagraph"/>
        <w:ind w:left="0" w:right="-144"/>
        <w:rPr>
          <w:szCs w:val="20"/>
          <w:lang w:val="es-ES_tradnl"/>
        </w:rPr>
      </w:pPr>
      <w:r>
        <w:rPr>
          <w:szCs w:val="20"/>
          <w:lang w:val="es-ES_tradnl"/>
        </w:rPr>
        <w:t xml:space="preserve"> </w:t>
      </w:r>
    </w:p>
    <w:p w:rsidR="00E1727B" w:rsidRPr="005A7B1F" w:rsidRDefault="00E1727B" w:rsidP="00E1727B">
      <w:pPr>
        <w:pStyle w:val="ListParagraph"/>
        <w:widowControl w:val="0"/>
        <w:numPr>
          <w:ilvl w:val="0"/>
          <w:numId w:val="1"/>
        </w:numPr>
        <w:tabs>
          <w:tab w:val="left" w:pos="0"/>
          <w:tab w:val="left" w:pos="567"/>
        </w:tabs>
        <w:autoSpaceDE w:val="0"/>
        <w:autoSpaceDN w:val="0"/>
        <w:adjustRightInd w:val="0"/>
        <w:ind w:left="0" w:firstLine="0"/>
        <w:rPr>
          <w:rFonts w:eastAsia="Batang" w:cs="Times"/>
          <w:spacing w:val="-2"/>
          <w:szCs w:val="20"/>
          <w:lang w:val="es-ES"/>
        </w:rPr>
      </w:pPr>
      <w:r w:rsidRPr="005A7B1F">
        <w:rPr>
          <w:rFonts w:eastAsia="Batang" w:cs="Times"/>
          <w:spacing w:val="-2"/>
          <w:szCs w:val="20"/>
          <w:lang w:val="es-ES"/>
        </w:rPr>
        <w:t xml:space="preserve">Por su parte, los </w:t>
      </w:r>
      <w:r w:rsidRPr="005A7B1F">
        <w:rPr>
          <w:rFonts w:eastAsia="Batang" w:cs="Times"/>
          <w:b/>
          <w:spacing w:val="-2"/>
          <w:szCs w:val="20"/>
          <w:lang w:val="es-ES"/>
        </w:rPr>
        <w:t>representantes</w:t>
      </w:r>
      <w:r w:rsidRPr="005A7B1F">
        <w:rPr>
          <w:rFonts w:eastAsia="Batang" w:cs="Times"/>
          <w:spacing w:val="-2"/>
          <w:szCs w:val="20"/>
          <w:lang w:val="es-ES"/>
        </w:rPr>
        <w:t xml:space="preserve"> en el escrito de solicitudes y argumentos señalaron como presuntas víctimas a las personas indicadas en el párrafo anterior,</w:t>
      </w:r>
      <w:r w:rsidR="001110A8">
        <w:rPr>
          <w:rFonts w:eastAsia="Batang" w:cs="Times"/>
          <w:spacing w:val="-2"/>
          <w:szCs w:val="20"/>
          <w:lang w:val="es-ES"/>
        </w:rPr>
        <w:t xml:space="preserve"> excepto a los familiares de la señora </w:t>
      </w:r>
      <w:r w:rsidR="00E22EF8">
        <w:rPr>
          <w:rFonts w:eastAsia="Batang" w:cs="Times"/>
          <w:spacing w:val="-2"/>
          <w:szCs w:val="20"/>
          <w:lang w:val="es-ES"/>
        </w:rPr>
        <w:t xml:space="preserve">Cory Clodolia </w:t>
      </w:r>
      <w:r w:rsidR="001110A8">
        <w:rPr>
          <w:rFonts w:eastAsia="Batang" w:cs="Times"/>
          <w:spacing w:val="-2"/>
          <w:szCs w:val="20"/>
          <w:lang w:val="es-ES"/>
        </w:rPr>
        <w:t>Tenicela Tello</w:t>
      </w:r>
      <w:r w:rsidRPr="005A7B1F">
        <w:rPr>
          <w:rFonts w:eastAsia="Batang" w:cs="Times"/>
          <w:spacing w:val="-2"/>
          <w:szCs w:val="20"/>
          <w:lang w:val="es-ES"/>
        </w:rPr>
        <w:t xml:space="preserve">; respecto de Néstor Rojas Medina solo indicaron a Marcelina Medina Negrón y a Tania Collantes Medina e incluyeron, por primera vez, al señor Wilfredo Terrones Landázuri. Además, señalaron que la señora Díaz Aparicio no cuenta con familiar alguno sobreviviente. </w:t>
      </w:r>
    </w:p>
    <w:p w:rsidR="00E1727B" w:rsidRPr="005A7B1F" w:rsidRDefault="00E1727B" w:rsidP="00E1727B">
      <w:pPr>
        <w:pStyle w:val="ListParagraph"/>
        <w:widowControl w:val="0"/>
        <w:tabs>
          <w:tab w:val="left" w:pos="0"/>
          <w:tab w:val="left" w:pos="567"/>
        </w:tabs>
        <w:autoSpaceDE w:val="0"/>
        <w:autoSpaceDN w:val="0"/>
        <w:adjustRightInd w:val="0"/>
        <w:ind w:left="0"/>
        <w:rPr>
          <w:rFonts w:eastAsia="Batang" w:cs="Times"/>
          <w:spacing w:val="-2"/>
          <w:szCs w:val="20"/>
          <w:lang w:val="es-ES"/>
        </w:rPr>
      </w:pPr>
    </w:p>
    <w:p w:rsidR="00E1727B" w:rsidRDefault="00E1727B" w:rsidP="00E1727B">
      <w:pPr>
        <w:pStyle w:val="Heading3"/>
        <w:spacing w:before="0"/>
        <w:ind w:firstLine="720"/>
        <w:rPr>
          <w:lang w:val="es-ES"/>
        </w:rPr>
      </w:pPr>
      <w:bookmarkStart w:id="81" w:name="_Toc399131138"/>
      <w:bookmarkStart w:id="82" w:name="_Toc399131782"/>
      <w:bookmarkStart w:id="83" w:name="_Toc527993521"/>
      <w:r w:rsidRPr="00B50A9F">
        <w:rPr>
          <w:rFonts w:eastAsia="Batang" w:cs="Times"/>
          <w:spacing w:val="-2"/>
          <w:szCs w:val="20"/>
          <w:lang w:val="es-ES"/>
        </w:rPr>
        <w:t>A.2</w:t>
      </w:r>
      <w:r>
        <w:rPr>
          <w:rFonts w:eastAsia="Batang" w:cs="Times"/>
          <w:spacing w:val="-2"/>
          <w:szCs w:val="20"/>
          <w:lang w:val="es-ES"/>
        </w:rPr>
        <w:t xml:space="preserve">. </w:t>
      </w:r>
      <w:r w:rsidRPr="00B50A9F">
        <w:rPr>
          <w:rFonts w:eastAsia="Batang" w:cs="Times"/>
          <w:spacing w:val="-2"/>
          <w:szCs w:val="20"/>
          <w:lang w:val="es-ES"/>
        </w:rPr>
        <w:t xml:space="preserve">  Consideraciones de la Corte</w:t>
      </w:r>
      <w:bookmarkEnd w:id="81"/>
      <w:bookmarkEnd w:id="82"/>
      <w:bookmarkEnd w:id="83"/>
    </w:p>
    <w:p w:rsidR="00E1727B" w:rsidRDefault="00E1727B" w:rsidP="00E1727B">
      <w:pPr>
        <w:pStyle w:val="ListParagraph"/>
        <w:ind w:left="0"/>
        <w:rPr>
          <w:szCs w:val="20"/>
        </w:rPr>
      </w:pPr>
    </w:p>
    <w:p w:rsidR="00E1727B" w:rsidRPr="00EC490E" w:rsidRDefault="00E1727B" w:rsidP="00E1727B">
      <w:pPr>
        <w:pStyle w:val="ListParagraph"/>
        <w:widowControl w:val="0"/>
        <w:numPr>
          <w:ilvl w:val="0"/>
          <w:numId w:val="1"/>
        </w:numPr>
        <w:tabs>
          <w:tab w:val="left" w:pos="0"/>
        </w:tabs>
        <w:adjustRightInd w:val="0"/>
        <w:ind w:left="0" w:firstLine="0"/>
        <w:rPr>
          <w:szCs w:val="20"/>
          <w:lang w:val="es-ES_tradnl"/>
        </w:rPr>
      </w:pPr>
      <w:r>
        <w:rPr>
          <w:szCs w:val="20"/>
        </w:rPr>
        <w:t>Con base en lo anterior</w:t>
      </w:r>
      <w:r w:rsidRPr="00EC490E">
        <w:rPr>
          <w:szCs w:val="20"/>
        </w:rPr>
        <w:t>, la Corte constata</w:t>
      </w:r>
      <w:r>
        <w:rPr>
          <w:szCs w:val="20"/>
        </w:rPr>
        <w:t xml:space="preserve"> que la Comisión incluyó en su Informe de F</w:t>
      </w:r>
      <w:r w:rsidRPr="00EC490E">
        <w:rPr>
          <w:szCs w:val="20"/>
        </w:rPr>
        <w:t>ondo</w:t>
      </w:r>
      <w:r>
        <w:rPr>
          <w:szCs w:val="20"/>
        </w:rPr>
        <w:t xml:space="preserve"> y Admisibilidad a las siguientes personas:</w:t>
      </w:r>
      <w:r w:rsidRPr="00EC490E">
        <w:rPr>
          <w:szCs w:val="20"/>
        </w:rPr>
        <w:t xml:space="preserve"> </w:t>
      </w:r>
      <w:r w:rsidRPr="00EC490E">
        <w:rPr>
          <w:szCs w:val="20"/>
          <w:lang w:val="es-ES_tradnl"/>
        </w:rPr>
        <w:t>a</w:t>
      </w:r>
      <w:r>
        <w:rPr>
          <w:rFonts w:eastAsia="Batang" w:cs="Times"/>
          <w:spacing w:val="-2"/>
          <w:szCs w:val="20"/>
          <w:lang w:val="es-ES"/>
        </w:rPr>
        <w:t>) respecto a Wilfredo Terrones Silva:</w:t>
      </w:r>
      <w:r w:rsidRPr="00EC490E">
        <w:rPr>
          <w:rFonts w:eastAsia="Batang" w:cs="Times"/>
          <w:spacing w:val="-2"/>
          <w:szCs w:val="20"/>
          <w:lang w:val="es-ES"/>
        </w:rPr>
        <w:t xml:space="preserve"> su esposa, Guillermina Frid</w:t>
      </w:r>
      <w:r>
        <w:rPr>
          <w:rFonts w:eastAsia="Batang" w:cs="Times"/>
          <w:spacing w:val="-2"/>
          <w:szCs w:val="20"/>
          <w:lang w:val="es-ES"/>
        </w:rPr>
        <w:t>a Landázuri Gómez (de Terrones)</w:t>
      </w:r>
      <w:r w:rsidRPr="00EC490E">
        <w:rPr>
          <w:rFonts w:eastAsia="Batang" w:cs="Times"/>
          <w:spacing w:val="-2"/>
          <w:szCs w:val="20"/>
          <w:lang w:val="es-ES"/>
        </w:rPr>
        <w:t>; b) re</w:t>
      </w:r>
      <w:r>
        <w:rPr>
          <w:rFonts w:eastAsia="Batang" w:cs="Times"/>
          <w:spacing w:val="-2"/>
          <w:szCs w:val="20"/>
          <w:lang w:val="es-ES"/>
        </w:rPr>
        <w:t xml:space="preserve">specto a Teresa Díaz Aparicio: </w:t>
      </w:r>
      <w:r>
        <w:rPr>
          <w:rFonts w:eastAsia="Batang" w:cs="Times"/>
          <w:spacing w:val="-2"/>
          <w:szCs w:val="20"/>
          <w:lang w:val="es-ES"/>
        </w:rPr>
        <w:lastRenderedPageBreak/>
        <w:t>su padre, Alberto Díaz Uriarte y su madre, Graciela Aparicio Pastor, y</w:t>
      </w:r>
      <w:r w:rsidRPr="00EC490E">
        <w:rPr>
          <w:rFonts w:eastAsia="Batang" w:cs="Times"/>
          <w:spacing w:val="-2"/>
          <w:szCs w:val="20"/>
          <w:lang w:val="es-ES"/>
        </w:rPr>
        <w:t xml:space="preserve"> sus dos hermanos</w:t>
      </w:r>
      <w:r>
        <w:rPr>
          <w:rFonts w:eastAsia="Batang" w:cs="Times"/>
          <w:spacing w:val="-2"/>
          <w:szCs w:val="20"/>
          <w:lang w:val="es-ES"/>
        </w:rPr>
        <w:t>,</w:t>
      </w:r>
      <w:r w:rsidRPr="00EC490E">
        <w:rPr>
          <w:rFonts w:eastAsia="Batang" w:cs="Times"/>
          <w:spacing w:val="-2"/>
          <w:szCs w:val="20"/>
          <w:lang w:val="es-ES"/>
        </w:rPr>
        <w:t xml:space="preserve"> Federico Díaz Aparicio y Roberto Levi Aparicio, </w:t>
      </w:r>
      <w:r>
        <w:rPr>
          <w:rFonts w:eastAsia="Batang" w:cs="Times"/>
          <w:spacing w:val="-2"/>
          <w:szCs w:val="20"/>
          <w:lang w:val="es-ES"/>
        </w:rPr>
        <w:t xml:space="preserve">todos </w:t>
      </w:r>
      <w:r w:rsidRPr="00EC490E">
        <w:rPr>
          <w:rFonts w:eastAsia="Batang" w:cs="Times"/>
          <w:spacing w:val="-2"/>
          <w:szCs w:val="20"/>
          <w:lang w:val="es-ES"/>
        </w:rPr>
        <w:t>falleci</w:t>
      </w:r>
      <w:r>
        <w:rPr>
          <w:rFonts w:eastAsia="Batang" w:cs="Times"/>
          <w:spacing w:val="-2"/>
          <w:szCs w:val="20"/>
          <w:lang w:val="es-ES"/>
        </w:rPr>
        <w:t>dos</w:t>
      </w:r>
      <w:r w:rsidRPr="00EC490E">
        <w:rPr>
          <w:rFonts w:eastAsia="Batang" w:cs="Times"/>
          <w:spacing w:val="-2"/>
          <w:szCs w:val="20"/>
          <w:lang w:val="es-ES"/>
        </w:rPr>
        <w:t>. Según los representantes la señora Díaz Aparicio no cuenta con familiar alguno sob</w:t>
      </w:r>
      <w:r>
        <w:rPr>
          <w:rFonts w:eastAsia="Batang" w:cs="Times"/>
          <w:spacing w:val="-2"/>
          <w:szCs w:val="20"/>
          <w:lang w:val="es-ES"/>
        </w:rPr>
        <w:t xml:space="preserve">reviviente; c) </w:t>
      </w:r>
      <w:r w:rsidR="002F3053">
        <w:rPr>
          <w:rFonts w:eastAsia="Batang" w:cs="Times"/>
          <w:spacing w:val="-2"/>
          <w:szCs w:val="20"/>
          <w:lang w:val="es-ES"/>
        </w:rPr>
        <w:t>respecto a</w:t>
      </w:r>
      <w:r w:rsidR="002F3053" w:rsidRPr="005C4389">
        <w:rPr>
          <w:rFonts w:eastAsia="Batang" w:cs="Times"/>
          <w:spacing w:val="-2"/>
          <w:szCs w:val="20"/>
          <w:lang w:val="es-ES"/>
        </w:rPr>
        <w:t xml:space="preserve"> Néstor Rojas </w:t>
      </w:r>
      <w:r w:rsidR="002F3053">
        <w:rPr>
          <w:rFonts w:eastAsia="Batang" w:cs="Times"/>
          <w:spacing w:val="-2"/>
          <w:szCs w:val="20"/>
          <w:lang w:val="es-ES"/>
        </w:rPr>
        <w:t>Medina,</w:t>
      </w:r>
      <w:r w:rsidR="002F3053" w:rsidRPr="005C4389">
        <w:rPr>
          <w:rFonts w:eastAsia="Batang" w:cs="Times"/>
          <w:spacing w:val="-2"/>
          <w:szCs w:val="20"/>
          <w:lang w:val="es-ES"/>
        </w:rPr>
        <w:t xml:space="preserve"> Marcelina </w:t>
      </w:r>
      <w:r w:rsidR="002F3053">
        <w:rPr>
          <w:rFonts w:eastAsia="Batang" w:cs="Times"/>
          <w:spacing w:val="-2"/>
          <w:szCs w:val="20"/>
          <w:lang w:val="es-ES"/>
        </w:rPr>
        <w:t>Medi</w:t>
      </w:r>
      <w:r w:rsidR="00450C72">
        <w:rPr>
          <w:rFonts w:eastAsia="Batang" w:cs="Times"/>
          <w:spacing w:val="-2"/>
          <w:szCs w:val="20"/>
          <w:lang w:val="es-ES"/>
        </w:rPr>
        <w:t>na Negrón y</w:t>
      </w:r>
      <w:r w:rsidR="002F3053">
        <w:rPr>
          <w:rFonts w:eastAsia="Batang" w:cs="Times"/>
          <w:spacing w:val="-2"/>
          <w:szCs w:val="20"/>
          <w:lang w:val="es-ES"/>
        </w:rPr>
        <w:t xml:space="preserve"> </w:t>
      </w:r>
      <w:r w:rsidR="002F3053" w:rsidRPr="005C4389">
        <w:rPr>
          <w:rFonts w:eastAsia="Batang" w:cs="Times"/>
          <w:spacing w:val="-2"/>
          <w:szCs w:val="20"/>
          <w:lang w:val="es-ES"/>
        </w:rPr>
        <w:t>Leopoldo Rojas Manuyama</w:t>
      </w:r>
      <w:r w:rsidR="002F3053">
        <w:rPr>
          <w:rFonts w:eastAsia="Batang" w:cs="Times"/>
          <w:spacing w:val="-2"/>
          <w:szCs w:val="20"/>
          <w:lang w:val="es-ES"/>
        </w:rPr>
        <w:t xml:space="preserve">, su </w:t>
      </w:r>
      <w:r w:rsidR="002F3053" w:rsidRPr="005C4389">
        <w:rPr>
          <w:rFonts w:eastAsia="Batang" w:cs="Times"/>
          <w:spacing w:val="-2"/>
          <w:szCs w:val="20"/>
          <w:lang w:val="es-ES"/>
        </w:rPr>
        <w:t xml:space="preserve">madre y </w:t>
      </w:r>
      <w:r w:rsidR="002F3053">
        <w:rPr>
          <w:rFonts w:eastAsia="Batang" w:cs="Times"/>
          <w:spacing w:val="-2"/>
          <w:szCs w:val="20"/>
          <w:lang w:val="es-ES"/>
        </w:rPr>
        <w:t xml:space="preserve">su </w:t>
      </w:r>
      <w:r w:rsidR="002F3053" w:rsidRPr="005C4389">
        <w:rPr>
          <w:rFonts w:eastAsia="Batang" w:cs="Times"/>
          <w:spacing w:val="-2"/>
          <w:szCs w:val="20"/>
          <w:lang w:val="es-ES"/>
        </w:rPr>
        <w:t>padre</w:t>
      </w:r>
      <w:r w:rsidR="002F3053">
        <w:rPr>
          <w:rFonts w:eastAsia="Batang" w:cs="Times"/>
          <w:spacing w:val="-2"/>
          <w:szCs w:val="20"/>
          <w:lang w:val="es-ES"/>
        </w:rPr>
        <w:t xml:space="preserve">, </w:t>
      </w:r>
      <w:r w:rsidR="002F3053" w:rsidRPr="005C4389">
        <w:rPr>
          <w:rFonts w:eastAsia="Batang" w:cs="Times"/>
          <w:spacing w:val="-2"/>
          <w:szCs w:val="20"/>
          <w:lang w:val="es-ES"/>
        </w:rPr>
        <w:t>Abelardo Collantes Quiroz</w:t>
      </w:r>
      <w:r w:rsidR="002F3053">
        <w:rPr>
          <w:rFonts w:eastAsia="Batang" w:cs="Times"/>
          <w:spacing w:val="-2"/>
          <w:szCs w:val="20"/>
          <w:lang w:val="es-ES"/>
        </w:rPr>
        <w:t xml:space="preserve">; y su hermana Tania Collantes Medina, así </w:t>
      </w:r>
      <w:r w:rsidR="00450C72">
        <w:rPr>
          <w:rFonts w:eastAsia="Batang" w:cs="Times"/>
          <w:spacing w:val="-2"/>
          <w:szCs w:val="20"/>
          <w:lang w:val="es-ES"/>
        </w:rPr>
        <w:t>como sus tías Faustina y Luzmil</w:t>
      </w:r>
      <w:r w:rsidR="00B13788">
        <w:rPr>
          <w:rFonts w:eastAsia="Batang" w:cs="Times"/>
          <w:spacing w:val="-2"/>
          <w:szCs w:val="20"/>
          <w:lang w:val="es-ES"/>
        </w:rPr>
        <w:t>l</w:t>
      </w:r>
      <w:r w:rsidR="002F3053">
        <w:rPr>
          <w:rFonts w:eastAsia="Batang" w:cs="Times"/>
          <w:spacing w:val="-2"/>
          <w:szCs w:val="20"/>
          <w:lang w:val="es-ES"/>
        </w:rPr>
        <w:t>a</w:t>
      </w:r>
      <w:r w:rsidR="00005206">
        <w:rPr>
          <w:rFonts w:eastAsia="Batang" w:cs="Times"/>
          <w:spacing w:val="-2"/>
          <w:szCs w:val="20"/>
          <w:lang w:val="es-ES"/>
        </w:rPr>
        <w:t>, de apellidos</w:t>
      </w:r>
      <w:r w:rsidR="002F3053">
        <w:rPr>
          <w:rFonts w:eastAsia="Batang" w:cs="Times"/>
          <w:spacing w:val="-2"/>
          <w:szCs w:val="20"/>
          <w:lang w:val="es-ES"/>
        </w:rPr>
        <w:t xml:space="preserve"> Collantes Quiróz</w:t>
      </w:r>
      <w:r w:rsidRPr="00EC490E">
        <w:rPr>
          <w:rFonts w:eastAsia="Batang" w:cs="Times"/>
          <w:spacing w:val="-2"/>
          <w:szCs w:val="20"/>
          <w:lang w:val="es-ES"/>
        </w:rPr>
        <w:t>; d) respecto</w:t>
      </w:r>
      <w:r>
        <w:rPr>
          <w:rFonts w:eastAsia="Batang" w:cs="Times"/>
          <w:spacing w:val="-2"/>
          <w:szCs w:val="20"/>
          <w:lang w:val="es-ES"/>
        </w:rPr>
        <w:t xml:space="preserve"> a Cory Clodolia Tenicela Tello:</w:t>
      </w:r>
      <w:r w:rsidRPr="00EC490E">
        <w:rPr>
          <w:rFonts w:eastAsia="Batang" w:cs="Times"/>
          <w:spacing w:val="-2"/>
          <w:szCs w:val="20"/>
          <w:lang w:val="es-ES"/>
        </w:rPr>
        <w:t xml:space="preserve"> s</w:t>
      </w:r>
      <w:r>
        <w:rPr>
          <w:rFonts w:eastAsia="Batang" w:cs="Times"/>
          <w:spacing w:val="-2"/>
          <w:szCs w:val="20"/>
          <w:lang w:val="es-ES"/>
        </w:rPr>
        <w:t xml:space="preserve">u madre Amadea Tello Barrera, </w:t>
      </w:r>
      <w:r w:rsidRPr="00EC490E">
        <w:rPr>
          <w:rFonts w:eastAsia="Batang" w:cs="Times"/>
          <w:spacing w:val="-2"/>
          <w:szCs w:val="20"/>
          <w:lang w:val="es-ES"/>
        </w:rPr>
        <w:t>su herman</w:t>
      </w:r>
      <w:r>
        <w:rPr>
          <w:rFonts w:eastAsia="Batang" w:cs="Times"/>
          <w:spacing w:val="-2"/>
          <w:szCs w:val="20"/>
          <w:lang w:val="es-ES"/>
        </w:rPr>
        <w:t xml:space="preserve">a Norma Juana Tenicela Tello, </w:t>
      </w:r>
      <w:r w:rsidRPr="00EC490E">
        <w:rPr>
          <w:rFonts w:eastAsia="Batang" w:cs="Times"/>
          <w:spacing w:val="-2"/>
          <w:szCs w:val="20"/>
          <w:lang w:val="es-ES"/>
        </w:rPr>
        <w:t>su hermano Washington Tenicela</w:t>
      </w:r>
      <w:r>
        <w:rPr>
          <w:rFonts w:eastAsia="Batang" w:cs="Times"/>
          <w:spacing w:val="-2"/>
          <w:szCs w:val="20"/>
          <w:lang w:val="es-ES"/>
        </w:rPr>
        <w:t xml:space="preserve"> Tello, y </w:t>
      </w:r>
      <w:r w:rsidRPr="00EC490E">
        <w:rPr>
          <w:rFonts w:eastAsia="Batang" w:cs="Times"/>
          <w:spacing w:val="-2"/>
          <w:szCs w:val="20"/>
          <w:lang w:val="es-ES"/>
        </w:rPr>
        <w:t>su sobrina Yorka Jara Tenicela</w:t>
      </w:r>
      <w:r>
        <w:rPr>
          <w:rFonts w:eastAsia="Batang" w:cs="Times"/>
          <w:spacing w:val="-2"/>
          <w:szCs w:val="20"/>
          <w:lang w:val="es-ES"/>
        </w:rPr>
        <w:t xml:space="preserve">, y e) respecto a Santiago Antezana Cueto: </w:t>
      </w:r>
      <w:r w:rsidRPr="00EC490E">
        <w:rPr>
          <w:rFonts w:eastAsia="Batang" w:cs="Times"/>
          <w:spacing w:val="-2"/>
          <w:szCs w:val="20"/>
          <w:lang w:val="es-ES"/>
        </w:rPr>
        <w:t>su conviviente</w:t>
      </w:r>
      <w:r>
        <w:rPr>
          <w:rFonts w:eastAsia="Batang" w:cs="Times"/>
          <w:spacing w:val="-2"/>
          <w:szCs w:val="20"/>
          <w:lang w:val="es-ES"/>
        </w:rPr>
        <w:t>, Rosa Carcausto Paco;</w:t>
      </w:r>
      <w:r w:rsidRPr="00EC490E">
        <w:rPr>
          <w:rFonts w:eastAsia="Batang" w:cs="Times"/>
          <w:spacing w:val="-2"/>
          <w:szCs w:val="20"/>
          <w:lang w:val="es-ES"/>
        </w:rPr>
        <w:t xml:space="preserve"> su hermano, E</w:t>
      </w:r>
      <w:r>
        <w:rPr>
          <w:rFonts w:eastAsia="Batang" w:cs="Times"/>
          <w:spacing w:val="-2"/>
          <w:szCs w:val="20"/>
          <w:lang w:val="es-ES"/>
        </w:rPr>
        <w:t>r</w:t>
      </w:r>
      <w:r w:rsidRPr="00EC490E">
        <w:rPr>
          <w:rFonts w:eastAsia="Batang" w:cs="Times"/>
          <w:spacing w:val="-2"/>
          <w:szCs w:val="20"/>
          <w:lang w:val="es-ES"/>
        </w:rPr>
        <w:t>milio Antezana Cueto; su prima</w:t>
      </w:r>
      <w:r>
        <w:rPr>
          <w:rFonts w:eastAsia="Batang" w:cs="Times"/>
          <w:spacing w:val="-2"/>
          <w:szCs w:val="20"/>
          <w:lang w:val="es-ES"/>
        </w:rPr>
        <w:t>,</w:t>
      </w:r>
      <w:r w:rsidRPr="00EC490E">
        <w:rPr>
          <w:rFonts w:eastAsia="Batang" w:cs="Times"/>
          <w:spacing w:val="-2"/>
          <w:szCs w:val="20"/>
          <w:lang w:val="es-ES"/>
        </w:rPr>
        <w:t xml:space="preserve"> Ofelia Antezana Torre</w:t>
      </w:r>
      <w:r>
        <w:rPr>
          <w:rFonts w:eastAsia="Batang" w:cs="Times"/>
          <w:spacing w:val="-2"/>
          <w:szCs w:val="20"/>
          <w:lang w:val="es-ES"/>
        </w:rPr>
        <w:t xml:space="preserve">, y </w:t>
      </w:r>
      <w:r w:rsidRPr="00EC490E">
        <w:rPr>
          <w:rFonts w:eastAsia="Batang" w:cs="Times"/>
          <w:spacing w:val="-2"/>
          <w:szCs w:val="20"/>
          <w:lang w:val="es-ES"/>
        </w:rPr>
        <w:t>su tío</w:t>
      </w:r>
      <w:r>
        <w:rPr>
          <w:rFonts w:eastAsia="Batang" w:cs="Times"/>
          <w:spacing w:val="-2"/>
          <w:szCs w:val="20"/>
          <w:lang w:val="es-ES"/>
        </w:rPr>
        <w:t>,</w:t>
      </w:r>
      <w:r w:rsidRPr="00EC490E">
        <w:rPr>
          <w:rFonts w:eastAsia="Batang" w:cs="Times"/>
          <w:spacing w:val="-2"/>
          <w:szCs w:val="20"/>
          <w:lang w:val="es-ES"/>
        </w:rPr>
        <w:t xml:space="preserve"> Máximo </w:t>
      </w:r>
      <w:r>
        <w:rPr>
          <w:rFonts w:eastAsia="Batang" w:cs="Times"/>
          <w:spacing w:val="-2"/>
          <w:szCs w:val="20"/>
          <w:lang w:val="es-ES"/>
        </w:rPr>
        <w:t>Antezana Espeza, quien falleció</w:t>
      </w:r>
      <w:r w:rsidRPr="00EC490E">
        <w:rPr>
          <w:szCs w:val="20"/>
          <w:lang w:val="es-ES_tradnl"/>
        </w:rPr>
        <w:t>.</w:t>
      </w:r>
    </w:p>
    <w:p w:rsidR="00E1727B" w:rsidRPr="0038525B" w:rsidRDefault="00E1727B" w:rsidP="00E1727B">
      <w:pPr>
        <w:pStyle w:val="ListParagraph"/>
        <w:ind w:left="0" w:right="-144"/>
        <w:rPr>
          <w:b/>
          <w:szCs w:val="20"/>
          <w:lang w:val="es-ES_tradnl"/>
        </w:rPr>
      </w:pPr>
    </w:p>
    <w:p w:rsidR="00E1727B" w:rsidRPr="00BD75F5" w:rsidRDefault="00E1727B" w:rsidP="00E1727B">
      <w:pPr>
        <w:pStyle w:val="ListParagraph"/>
        <w:widowControl w:val="0"/>
        <w:numPr>
          <w:ilvl w:val="0"/>
          <w:numId w:val="1"/>
        </w:numPr>
        <w:tabs>
          <w:tab w:val="left" w:pos="0"/>
        </w:tabs>
        <w:adjustRightInd w:val="0"/>
        <w:ind w:left="0" w:firstLine="0"/>
        <w:rPr>
          <w:szCs w:val="20"/>
          <w:lang w:val="es-ES_tradnl"/>
        </w:rPr>
      </w:pPr>
      <w:r>
        <w:rPr>
          <w:szCs w:val="20"/>
          <w:lang w:val="es-ES_tradnl"/>
        </w:rPr>
        <w:t xml:space="preserve">Por lo tanto, </w:t>
      </w:r>
      <w:r>
        <w:rPr>
          <w:rFonts w:eastAsia="Batang" w:cs="Times"/>
          <w:spacing w:val="-2"/>
          <w:szCs w:val="20"/>
          <w:lang w:val="es-ES"/>
        </w:rPr>
        <w:t xml:space="preserve">todas </w:t>
      </w:r>
      <w:r w:rsidRPr="00EC490E">
        <w:rPr>
          <w:rFonts w:eastAsia="Batang" w:cs="Times"/>
          <w:spacing w:val="-2"/>
          <w:szCs w:val="20"/>
          <w:lang w:val="es-ES"/>
        </w:rPr>
        <w:t xml:space="preserve">las </w:t>
      </w:r>
      <w:r>
        <w:rPr>
          <w:rFonts w:eastAsia="Batang" w:cs="Times"/>
          <w:spacing w:val="-2"/>
          <w:szCs w:val="20"/>
          <w:lang w:val="es-ES"/>
        </w:rPr>
        <w:t>personas incluidas en el Informe de F</w:t>
      </w:r>
      <w:r w:rsidRPr="00EC490E">
        <w:rPr>
          <w:rFonts w:eastAsia="Batang" w:cs="Times"/>
          <w:spacing w:val="-2"/>
          <w:szCs w:val="20"/>
          <w:lang w:val="es-ES"/>
        </w:rPr>
        <w:t xml:space="preserve">ondo </w:t>
      </w:r>
      <w:r>
        <w:rPr>
          <w:rFonts w:eastAsia="Batang" w:cs="Times"/>
          <w:spacing w:val="-2"/>
          <w:szCs w:val="20"/>
          <w:lang w:val="es-ES"/>
        </w:rPr>
        <w:t xml:space="preserve">y </w:t>
      </w:r>
      <w:r w:rsidRPr="00DB1EAD">
        <w:rPr>
          <w:rFonts w:eastAsia="Batang" w:cs="Times"/>
          <w:spacing w:val="-2"/>
          <w:szCs w:val="20"/>
          <w:lang w:val="es-ES"/>
        </w:rPr>
        <w:t>Admisibilidad de la Comisión cumplen con el requisito previsto en el artículo 35.1 del Reglamento</w:t>
      </w:r>
      <w:r w:rsidRPr="00DB1EAD">
        <w:rPr>
          <w:rStyle w:val="FootnoteReference"/>
          <w:rFonts w:eastAsia="Batang"/>
          <w:spacing w:val="-2"/>
          <w:sz w:val="20"/>
          <w:szCs w:val="20"/>
          <w:lang w:val="es-ES"/>
        </w:rPr>
        <w:footnoteReference w:id="31"/>
      </w:r>
      <w:r w:rsidRPr="00DB1EAD">
        <w:rPr>
          <w:rFonts w:eastAsia="Batang" w:cs="Times"/>
          <w:spacing w:val="-2"/>
          <w:szCs w:val="20"/>
          <w:lang w:val="es-ES"/>
        </w:rPr>
        <w:t>, por</w:t>
      </w:r>
      <w:r w:rsidRPr="00AF0EE2">
        <w:rPr>
          <w:rFonts w:eastAsia="Batang" w:cs="Times"/>
          <w:spacing w:val="-2"/>
          <w:szCs w:val="20"/>
          <w:lang w:val="es-ES"/>
        </w:rPr>
        <w:t xml:space="preserve"> lo que la Corte considera como presuntas víctimas del presente caso a las personas nombradas en dicho Informe, la cuales fueron señaladas en el párrafo anterior. </w:t>
      </w:r>
      <w:r w:rsidR="00C2360E">
        <w:rPr>
          <w:szCs w:val="20"/>
          <w:lang w:val="es-ES_tradnl"/>
        </w:rPr>
        <w:t>El</w:t>
      </w:r>
      <w:r w:rsidRPr="00AF0EE2">
        <w:rPr>
          <w:szCs w:val="20"/>
          <w:lang w:val="es-ES_tradnl"/>
        </w:rPr>
        <w:t xml:space="preserve"> </w:t>
      </w:r>
      <w:r w:rsidRPr="00AF0EE2">
        <w:rPr>
          <w:rFonts w:eastAsia="Batang" w:cs="Times"/>
          <w:spacing w:val="-2"/>
          <w:szCs w:val="20"/>
          <w:lang w:val="es-ES"/>
        </w:rPr>
        <w:t>señor Wilfredo Terrones Landázuri, quien no fue incl</w:t>
      </w:r>
      <w:r w:rsidR="00C75413">
        <w:rPr>
          <w:rFonts w:eastAsia="Batang" w:cs="Times"/>
          <w:spacing w:val="-2"/>
          <w:szCs w:val="20"/>
          <w:lang w:val="es-ES"/>
        </w:rPr>
        <w:t>u</w:t>
      </w:r>
      <w:r w:rsidR="00603D8C">
        <w:rPr>
          <w:rFonts w:eastAsia="Batang" w:cs="Times"/>
          <w:spacing w:val="-2"/>
          <w:szCs w:val="20"/>
          <w:lang w:val="es-ES"/>
        </w:rPr>
        <w:t>i</w:t>
      </w:r>
      <w:r w:rsidRPr="00AF0EE2">
        <w:rPr>
          <w:rFonts w:eastAsia="Batang" w:cs="Times"/>
          <w:spacing w:val="-2"/>
          <w:szCs w:val="20"/>
          <w:lang w:val="es-ES"/>
        </w:rPr>
        <w:t>do en el mencionado Informe</w:t>
      </w:r>
      <w:r w:rsidR="00C2360E">
        <w:rPr>
          <w:rFonts w:eastAsia="Batang" w:cs="Times"/>
          <w:spacing w:val="-2"/>
          <w:szCs w:val="20"/>
          <w:lang w:val="es-ES"/>
        </w:rPr>
        <w:t>,</w:t>
      </w:r>
      <w:r w:rsidRPr="00AF0EE2">
        <w:rPr>
          <w:rFonts w:eastAsia="Batang" w:cs="Times"/>
          <w:spacing w:val="-2"/>
          <w:szCs w:val="20"/>
          <w:lang w:val="es-ES"/>
        </w:rPr>
        <w:t xml:space="preserve"> no será considerado como presunta víctima, por cuanto no </w:t>
      </w:r>
      <w:r w:rsidR="001A0718">
        <w:rPr>
          <w:rFonts w:eastAsia="Batang" w:cs="Times"/>
          <w:spacing w:val="-2"/>
          <w:szCs w:val="20"/>
          <w:lang w:val="es-ES"/>
        </w:rPr>
        <w:t xml:space="preserve">se </w:t>
      </w:r>
      <w:r w:rsidRPr="00AF0EE2">
        <w:rPr>
          <w:rFonts w:eastAsia="Batang" w:cs="Times"/>
          <w:spacing w:val="-2"/>
          <w:szCs w:val="20"/>
          <w:lang w:val="es-ES"/>
        </w:rPr>
        <w:t>cumplió con dicho requisito, ya que l</w:t>
      </w:r>
      <w:r w:rsidRPr="00AF0EE2">
        <w:rPr>
          <w:szCs w:val="20"/>
          <w:lang w:val="es-ES_tradnl"/>
        </w:rPr>
        <w:t>os representantes hicieron alusión a él</w:t>
      </w:r>
      <w:r w:rsidR="00186CD1">
        <w:rPr>
          <w:szCs w:val="20"/>
          <w:lang w:val="es-ES_tradnl"/>
        </w:rPr>
        <w:t xml:space="preserve"> en tal condición</w:t>
      </w:r>
      <w:r w:rsidRPr="00AF0EE2">
        <w:rPr>
          <w:szCs w:val="20"/>
          <w:lang w:val="es-ES_tradnl"/>
        </w:rPr>
        <w:t>, por primera vez, en el escrito de solicitudes y argumentos</w:t>
      </w:r>
      <w:r w:rsidRPr="00AF0EE2">
        <w:rPr>
          <w:rFonts w:eastAsia="Batang" w:cs="Times"/>
          <w:spacing w:val="-2"/>
          <w:szCs w:val="20"/>
          <w:lang w:val="es-ES"/>
        </w:rPr>
        <w:t>.</w:t>
      </w:r>
    </w:p>
    <w:p w:rsidR="00BD75F5" w:rsidRPr="00AF0EE2" w:rsidRDefault="00BD75F5" w:rsidP="00BD75F5">
      <w:pPr>
        <w:pStyle w:val="ListParagraph"/>
        <w:ind w:left="0" w:right="-144"/>
        <w:rPr>
          <w:szCs w:val="20"/>
          <w:lang w:val="es-ES_tradnl"/>
        </w:rPr>
      </w:pPr>
      <w:bookmarkStart w:id="84" w:name="_Toc477338591"/>
      <w:bookmarkStart w:id="85" w:name="_Toc511316973"/>
    </w:p>
    <w:p w:rsidR="009D6536" w:rsidRPr="00894B87" w:rsidRDefault="009D6536" w:rsidP="009D6536">
      <w:pPr>
        <w:pStyle w:val="Heading1"/>
        <w:spacing w:before="0"/>
        <w:jc w:val="center"/>
        <w:rPr>
          <w:sz w:val="22"/>
          <w:szCs w:val="22"/>
          <w:lang w:val="es-ES_tradnl"/>
        </w:rPr>
      </w:pPr>
      <w:bookmarkStart w:id="86" w:name="_Toc521932418"/>
      <w:bookmarkStart w:id="87" w:name="_Toc521932492"/>
      <w:bookmarkStart w:id="88" w:name="_Toc522543487"/>
      <w:bookmarkStart w:id="89" w:name="_Toc523934902"/>
      <w:bookmarkStart w:id="90" w:name="_Toc525217906"/>
      <w:bookmarkStart w:id="91" w:name="_Toc525218247"/>
      <w:bookmarkStart w:id="92" w:name="_Toc525225496"/>
      <w:bookmarkStart w:id="93" w:name="_Toc399131139"/>
      <w:bookmarkStart w:id="94" w:name="_Toc399131783"/>
      <w:bookmarkStart w:id="95" w:name="_Toc525293030"/>
      <w:bookmarkStart w:id="96" w:name="_Toc525723170"/>
      <w:bookmarkStart w:id="97" w:name="_Toc527993522"/>
      <w:r w:rsidRPr="00894B87">
        <w:rPr>
          <w:sz w:val="22"/>
          <w:szCs w:val="22"/>
          <w:lang w:val="es-ES_tradnl"/>
        </w:rPr>
        <w:t>V</w:t>
      </w:r>
      <w:bookmarkEnd w:id="84"/>
      <w:r w:rsidRPr="00894B87">
        <w:rPr>
          <w:sz w:val="22"/>
          <w:szCs w:val="22"/>
          <w:lang w:val="es-ES_tradnl"/>
        </w:rPr>
        <w:t>I</w:t>
      </w:r>
      <w:bookmarkEnd w:id="85"/>
      <w:bookmarkEnd w:id="86"/>
      <w:bookmarkEnd w:id="87"/>
      <w:bookmarkEnd w:id="88"/>
      <w:bookmarkEnd w:id="89"/>
      <w:bookmarkEnd w:id="90"/>
      <w:bookmarkEnd w:id="91"/>
      <w:bookmarkEnd w:id="92"/>
      <w:bookmarkEnd w:id="93"/>
      <w:bookmarkEnd w:id="94"/>
      <w:bookmarkEnd w:id="95"/>
      <w:bookmarkEnd w:id="96"/>
      <w:bookmarkEnd w:id="97"/>
    </w:p>
    <w:p w:rsidR="009D6536" w:rsidRPr="00894B87" w:rsidRDefault="009D6536" w:rsidP="009D6536">
      <w:pPr>
        <w:pStyle w:val="Heading1"/>
        <w:spacing w:before="0"/>
        <w:jc w:val="center"/>
        <w:rPr>
          <w:sz w:val="22"/>
          <w:szCs w:val="22"/>
          <w:lang w:val="es-ES_tradnl"/>
        </w:rPr>
      </w:pPr>
      <w:bookmarkStart w:id="98" w:name="_Toc477338592"/>
      <w:bookmarkStart w:id="99" w:name="_Toc511316974"/>
      <w:bookmarkStart w:id="100" w:name="_Toc527993523"/>
      <w:r w:rsidRPr="00894B87">
        <w:rPr>
          <w:sz w:val="22"/>
          <w:szCs w:val="22"/>
          <w:lang w:val="es-ES_tradnl"/>
        </w:rPr>
        <w:t>PRUEBA</w:t>
      </w:r>
      <w:bookmarkEnd w:id="98"/>
      <w:bookmarkEnd w:id="99"/>
      <w:bookmarkEnd w:id="100"/>
    </w:p>
    <w:p w:rsidR="00B958E7" w:rsidRPr="00C2090F" w:rsidRDefault="00B958E7" w:rsidP="009D6536">
      <w:pPr>
        <w:pStyle w:val="ListParagraph"/>
        <w:ind w:left="0" w:right="-144"/>
        <w:rPr>
          <w:szCs w:val="20"/>
          <w:lang w:val="es-ES_tradnl"/>
        </w:rPr>
      </w:pPr>
    </w:p>
    <w:p w:rsidR="009D6536" w:rsidRPr="00814725" w:rsidRDefault="00814725" w:rsidP="00814725">
      <w:pPr>
        <w:pStyle w:val="Heading2"/>
        <w:numPr>
          <w:ilvl w:val="0"/>
          <w:numId w:val="6"/>
        </w:numPr>
        <w:spacing w:before="0"/>
        <w:rPr>
          <w:lang w:val="es-ES_tradnl"/>
        </w:rPr>
      </w:pPr>
      <w:bookmarkStart w:id="101" w:name="_Toc477338594"/>
      <w:bookmarkStart w:id="102" w:name="_Toc511316976"/>
      <w:bookmarkStart w:id="103" w:name="_Toc527993524"/>
      <w:r>
        <w:rPr>
          <w:lang w:val="es-ES_tradnl"/>
        </w:rPr>
        <w:t>Admisibilidad</w:t>
      </w:r>
      <w:r w:rsidR="00966BCB">
        <w:rPr>
          <w:lang w:val="es-ES_tradnl"/>
        </w:rPr>
        <w:t xml:space="preserve"> </w:t>
      </w:r>
      <w:r w:rsidR="009D6536" w:rsidRPr="009B14ED">
        <w:rPr>
          <w:lang w:val="es-ES_tradnl"/>
        </w:rPr>
        <w:t>de la prueba</w:t>
      </w:r>
      <w:bookmarkEnd w:id="101"/>
      <w:bookmarkEnd w:id="102"/>
      <w:r w:rsidR="00966BCB">
        <w:rPr>
          <w:lang w:val="es-ES_tradnl"/>
        </w:rPr>
        <w:t xml:space="preserve"> documental</w:t>
      </w:r>
      <w:bookmarkEnd w:id="103"/>
    </w:p>
    <w:p w:rsidR="003D758A" w:rsidRDefault="003D758A" w:rsidP="00F34D87">
      <w:pPr>
        <w:widowControl w:val="0"/>
        <w:adjustRightInd w:val="0"/>
        <w:textAlignment w:val="baseline"/>
        <w:rPr>
          <w:i/>
          <w:szCs w:val="20"/>
          <w:lang w:val="es-ES_tradnl"/>
        </w:rPr>
      </w:pPr>
      <w:bookmarkStart w:id="104" w:name="_Toc521932425"/>
      <w:bookmarkStart w:id="105" w:name="_Toc521932499"/>
      <w:bookmarkStart w:id="106" w:name="_Toc522543494"/>
      <w:bookmarkStart w:id="107" w:name="_Toc523934907"/>
      <w:bookmarkStart w:id="108" w:name="_Toc525217911"/>
      <w:bookmarkStart w:id="109" w:name="_Toc525218252"/>
      <w:bookmarkStart w:id="110" w:name="_Toc525225501"/>
      <w:bookmarkStart w:id="111" w:name="_Toc399131144"/>
      <w:bookmarkStart w:id="112" w:name="_Toc399131788"/>
      <w:bookmarkStart w:id="113" w:name="_Toc525293035"/>
      <w:bookmarkStart w:id="114" w:name="_Toc525723175"/>
    </w:p>
    <w:p w:rsidR="003D758A" w:rsidRPr="00184422" w:rsidRDefault="003D758A" w:rsidP="003D758A">
      <w:pPr>
        <w:pStyle w:val="ListParagraph"/>
        <w:widowControl w:val="0"/>
        <w:numPr>
          <w:ilvl w:val="0"/>
          <w:numId w:val="1"/>
        </w:numPr>
        <w:tabs>
          <w:tab w:val="left" w:pos="0"/>
        </w:tabs>
        <w:adjustRightInd w:val="0"/>
        <w:ind w:left="0" w:firstLine="0"/>
        <w:rPr>
          <w:sz w:val="18"/>
          <w:szCs w:val="18"/>
        </w:rPr>
      </w:pPr>
      <w:r w:rsidRPr="00184422">
        <w:rPr>
          <w:szCs w:val="20"/>
          <w:lang w:val="es-ES_tradnl"/>
        </w:rPr>
        <w:t>Este Tribunal recibió diversos documentos presentados como prueba por la Comisión, los representantes y el Estado, adjuntos a sus escritos principales y como prueba para mejor resolver (</w:t>
      </w:r>
      <w:r w:rsidRPr="00184422">
        <w:rPr>
          <w:i/>
          <w:szCs w:val="20"/>
          <w:lang w:val="es-ES_tradnl"/>
        </w:rPr>
        <w:t>supra</w:t>
      </w:r>
      <w:r>
        <w:rPr>
          <w:szCs w:val="20"/>
          <w:lang w:val="es-ES_tradnl"/>
        </w:rPr>
        <w:t xml:space="preserve"> párrs. 6, 7, 11 y 13</w:t>
      </w:r>
      <w:r w:rsidRPr="00184422">
        <w:rPr>
          <w:szCs w:val="20"/>
          <w:lang w:val="es-ES_tradnl"/>
        </w:rPr>
        <w:t xml:space="preserve">). </w:t>
      </w:r>
      <w:r w:rsidRPr="00184422">
        <w:rPr>
          <w:szCs w:val="20"/>
        </w:rPr>
        <w:t>En el presente caso, como en otros</w:t>
      </w:r>
      <w:r w:rsidRPr="00836B5A">
        <w:rPr>
          <w:szCs w:val="20"/>
          <w:vertAlign w:val="superscript"/>
        </w:rPr>
        <w:footnoteReference w:id="32"/>
      </w:r>
      <w:r w:rsidRPr="00184422">
        <w:rPr>
          <w:szCs w:val="20"/>
        </w:rPr>
        <w:t>, el Tribunal admite el valor probatorio de aquellos documentos presentados en la debida oportunidad procesal</w:t>
      </w:r>
      <w:r w:rsidRPr="00A1069A">
        <w:rPr>
          <w:szCs w:val="20"/>
        </w:rPr>
        <w:t xml:space="preserve"> por las partes y la Comisión, así como la presentada por los representantes a solicitud de la Corte, </w:t>
      </w:r>
      <w:r w:rsidRPr="00827DD4">
        <w:rPr>
          <w:szCs w:val="20"/>
          <w:lang w:val="es-ES_tradnl"/>
        </w:rPr>
        <w:t>como</w:t>
      </w:r>
      <w:r w:rsidRPr="00A1069A">
        <w:rPr>
          <w:szCs w:val="20"/>
        </w:rPr>
        <w:t xml:space="preserve"> prueba para mejor resolver, de conformidad con el artículo 58.</w:t>
      </w:r>
      <w:r w:rsidRPr="00184422">
        <w:rPr>
          <w:szCs w:val="20"/>
        </w:rPr>
        <w:t xml:space="preserve">b), que no fueron controvertidos ni objetados, y cuya autenticidad no fue puesta en duda. </w:t>
      </w:r>
      <w:r w:rsidRPr="00184422">
        <w:rPr>
          <w:szCs w:val="20"/>
          <w:lang w:val="es-ES_tradnl"/>
        </w:rPr>
        <w:t xml:space="preserve">Sin perjuicio de ello, se realizan algunas consideraciones pertinentes. </w:t>
      </w:r>
    </w:p>
    <w:p w:rsidR="003D758A" w:rsidRPr="00FC731C" w:rsidRDefault="003D758A" w:rsidP="003D758A">
      <w:pPr>
        <w:widowControl w:val="0"/>
        <w:adjustRightInd w:val="0"/>
        <w:textAlignment w:val="baseline"/>
        <w:rPr>
          <w:szCs w:val="20"/>
        </w:rPr>
      </w:pPr>
    </w:p>
    <w:p w:rsidR="003D758A" w:rsidRPr="00463EFD" w:rsidRDefault="003D758A" w:rsidP="003D758A">
      <w:pPr>
        <w:pStyle w:val="Heading3"/>
        <w:spacing w:before="0"/>
        <w:ind w:left="709"/>
        <w:rPr>
          <w:lang w:val="es-ES_tradnl"/>
        </w:rPr>
      </w:pPr>
      <w:bookmarkStart w:id="115" w:name="_Toc511316978"/>
      <w:bookmarkStart w:id="116" w:name="_Toc399131143"/>
      <w:bookmarkStart w:id="117" w:name="_Toc399131787"/>
      <w:bookmarkStart w:id="118" w:name="_Toc527993525"/>
      <w:r>
        <w:rPr>
          <w:lang w:val="es-ES_tradnl"/>
        </w:rPr>
        <w:t>B</w:t>
      </w:r>
      <w:r w:rsidRPr="00463EFD">
        <w:rPr>
          <w:lang w:val="es-ES_tradnl"/>
        </w:rPr>
        <w:t>. Admisi</w:t>
      </w:r>
      <w:r>
        <w:rPr>
          <w:lang w:val="es-ES_tradnl"/>
        </w:rPr>
        <w:t>bilidad</w:t>
      </w:r>
      <w:r w:rsidRPr="00463EFD">
        <w:rPr>
          <w:lang w:val="es-ES_tradnl"/>
        </w:rPr>
        <w:t xml:space="preserve"> de las declaraciones y dictámenes periciales</w:t>
      </w:r>
      <w:bookmarkEnd w:id="115"/>
      <w:bookmarkEnd w:id="116"/>
      <w:bookmarkEnd w:id="117"/>
      <w:bookmarkEnd w:id="118"/>
    </w:p>
    <w:p w:rsidR="003D758A" w:rsidRPr="0006126E" w:rsidRDefault="003D758A" w:rsidP="003D758A">
      <w:pPr>
        <w:pStyle w:val="ListParagraph"/>
        <w:ind w:left="0" w:right="-144"/>
        <w:rPr>
          <w:szCs w:val="20"/>
          <w:lang w:val="es-ES_tradnl"/>
        </w:rPr>
      </w:pPr>
    </w:p>
    <w:p w:rsidR="003D758A" w:rsidRDefault="003D758A" w:rsidP="003D758A">
      <w:pPr>
        <w:pStyle w:val="ListParagraph"/>
        <w:widowControl w:val="0"/>
        <w:numPr>
          <w:ilvl w:val="0"/>
          <w:numId w:val="1"/>
        </w:numPr>
        <w:tabs>
          <w:tab w:val="left" w:pos="0"/>
        </w:tabs>
        <w:adjustRightInd w:val="0"/>
        <w:ind w:left="0" w:firstLine="0"/>
        <w:rPr>
          <w:szCs w:val="20"/>
        </w:rPr>
      </w:pPr>
      <w:r w:rsidRPr="00851825">
        <w:rPr>
          <w:szCs w:val="20"/>
        </w:rPr>
        <w:t xml:space="preserve">La Corte estima pertinente admitir las declaraciones y </w:t>
      </w:r>
      <w:r>
        <w:rPr>
          <w:szCs w:val="20"/>
        </w:rPr>
        <w:t xml:space="preserve">testimonio </w:t>
      </w:r>
      <w:r w:rsidRPr="00851825">
        <w:rPr>
          <w:szCs w:val="20"/>
        </w:rPr>
        <w:t>rendidos en audiencia pública y mediante declaraciones ante fedatario público, en cuanto se ajusten al objeto definido por el Presidente en la Resolución que ordenó recibirlos</w:t>
      </w:r>
      <w:r>
        <w:rPr>
          <w:szCs w:val="20"/>
        </w:rPr>
        <w:t xml:space="preserve"> (</w:t>
      </w:r>
      <w:r w:rsidRPr="002D1BAF">
        <w:rPr>
          <w:i/>
          <w:szCs w:val="20"/>
        </w:rPr>
        <w:t>supra</w:t>
      </w:r>
      <w:r>
        <w:rPr>
          <w:szCs w:val="20"/>
        </w:rPr>
        <w:t xml:space="preserve"> párr. 10)</w:t>
      </w:r>
      <w:r w:rsidRPr="00851825">
        <w:rPr>
          <w:szCs w:val="20"/>
        </w:rPr>
        <w:t xml:space="preserve"> y al objeto del presente caso</w:t>
      </w:r>
      <w:r w:rsidRPr="00702A37">
        <w:rPr>
          <w:rStyle w:val="FootnoteReference"/>
          <w:sz w:val="20"/>
          <w:szCs w:val="20"/>
        </w:rPr>
        <w:footnoteReference w:id="33"/>
      </w:r>
      <w:r>
        <w:rPr>
          <w:szCs w:val="20"/>
        </w:rPr>
        <w:t>.</w:t>
      </w:r>
    </w:p>
    <w:p w:rsidR="003D758A" w:rsidRPr="00563483" w:rsidRDefault="003D758A" w:rsidP="003D758A">
      <w:pPr>
        <w:pStyle w:val="ListParagraph"/>
        <w:widowControl w:val="0"/>
        <w:numPr>
          <w:ilvl w:val="0"/>
          <w:numId w:val="1"/>
        </w:numPr>
        <w:tabs>
          <w:tab w:val="left" w:pos="0"/>
        </w:tabs>
        <w:adjustRightInd w:val="0"/>
        <w:ind w:left="0" w:firstLine="0"/>
        <w:rPr>
          <w:szCs w:val="20"/>
        </w:rPr>
      </w:pPr>
      <w:r>
        <w:rPr>
          <w:szCs w:val="20"/>
        </w:rPr>
        <w:lastRenderedPageBreak/>
        <w:t>El Estado presentó distintas observaciones, las cuales solicitó sean apreciadas por la Corte</w:t>
      </w:r>
      <w:r w:rsidRPr="000B4256">
        <w:rPr>
          <w:szCs w:val="20"/>
        </w:rPr>
        <w:t xml:space="preserve">, respecto </w:t>
      </w:r>
      <w:r>
        <w:rPr>
          <w:szCs w:val="20"/>
        </w:rPr>
        <w:t>a la</w:t>
      </w:r>
      <w:r w:rsidRPr="000B4256">
        <w:rPr>
          <w:szCs w:val="20"/>
        </w:rPr>
        <w:t>s declaraciones rendidas por</w:t>
      </w:r>
      <w:r w:rsidR="00F478D5">
        <w:rPr>
          <w:szCs w:val="20"/>
        </w:rPr>
        <w:t xml:space="preserve"> Wilfredo</w:t>
      </w:r>
      <w:r>
        <w:rPr>
          <w:szCs w:val="20"/>
        </w:rPr>
        <w:t xml:space="preserve"> </w:t>
      </w:r>
      <w:r w:rsidR="00186CD1">
        <w:rPr>
          <w:szCs w:val="20"/>
        </w:rPr>
        <w:t>Ricardo</w:t>
      </w:r>
      <w:r w:rsidR="00B5178B">
        <w:rPr>
          <w:szCs w:val="20"/>
        </w:rPr>
        <w:t xml:space="preserve"> </w:t>
      </w:r>
      <w:r>
        <w:rPr>
          <w:szCs w:val="20"/>
        </w:rPr>
        <w:t>Terrones Landá</w:t>
      </w:r>
      <w:r w:rsidRPr="00563483">
        <w:rPr>
          <w:szCs w:val="20"/>
        </w:rPr>
        <w:t>zuri</w:t>
      </w:r>
      <w:r w:rsidR="00186CD1">
        <w:rPr>
          <w:szCs w:val="20"/>
        </w:rPr>
        <w:t xml:space="preserve"> </w:t>
      </w:r>
      <w:r w:rsidR="00D92DFF">
        <w:rPr>
          <w:szCs w:val="20"/>
        </w:rPr>
        <w:t>(en adelante también “Wilfredo Terrones Landázuri”)</w:t>
      </w:r>
      <w:r>
        <w:rPr>
          <w:szCs w:val="20"/>
        </w:rPr>
        <w:t xml:space="preserve"> y</w:t>
      </w:r>
      <w:r w:rsidRPr="00563483">
        <w:rPr>
          <w:szCs w:val="20"/>
        </w:rPr>
        <w:t xml:space="preserve"> Rosa Carcausto Paco</w:t>
      </w:r>
      <w:r>
        <w:rPr>
          <w:szCs w:val="20"/>
        </w:rPr>
        <w:t>.</w:t>
      </w:r>
    </w:p>
    <w:p w:rsidR="003D758A" w:rsidRPr="008A2E8A" w:rsidRDefault="003D758A" w:rsidP="003D758A">
      <w:pPr>
        <w:rPr>
          <w:szCs w:val="20"/>
        </w:rPr>
      </w:pPr>
    </w:p>
    <w:p w:rsidR="003D758A" w:rsidRPr="008A2E8A" w:rsidRDefault="003D758A" w:rsidP="003D758A">
      <w:pPr>
        <w:pStyle w:val="ListParagraph"/>
        <w:widowControl w:val="0"/>
        <w:numPr>
          <w:ilvl w:val="0"/>
          <w:numId w:val="1"/>
        </w:numPr>
        <w:tabs>
          <w:tab w:val="left" w:pos="0"/>
        </w:tabs>
        <w:adjustRightInd w:val="0"/>
        <w:ind w:left="0" w:firstLine="0"/>
        <w:rPr>
          <w:szCs w:val="20"/>
        </w:rPr>
      </w:pPr>
      <w:r w:rsidRPr="008A2E8A">
        <w:rPr>
          <w:lang w:val="es-CR"/>
        </w:rPr>
        <w:t xml:space="preserve">La </w:t>
      </w:r>
      <w:r w:rsidRPr="008A2E8A">
        <w:rPr>
          <w:b/>
          <w:i/>
          <w:lang w:val="es-CR"/>
        </w:rPr>
        <w:t>Corte</w:t>
      </w:r>
      <w:r w:rsidRPr="008A2E8A">
        <w:rPr>
          <w:lang w:val="es-CR"/>
        </w:rPr>
        <w:t xml:space="preserve"> considera que </w:t>
      </w:r>
      <w:r w:rsidRPr="008A2E8A">
        <w:rPr>
          <w:rFonts w:cs="Verdana"/>
          <w:lang w:val="es-CR"/>
        </w:rPr>
        <w:t>las observaciones del Estado cuestionan el peso probatorio de la</w:t>
      </w:r>
      <w:r>
        <w:rPr>
          <w:rFonts w:cs="Verdana"/>
          <w:lang w:val="es-CR"/>
        </w:rPr>
        <w:t>s declaraciones</w:t>
      </w:r>
      <w:r w:rsidRPr="008A2E8A">
        <w:rPr>
          <w:rFonts w:cs="Verdana"/>
          <w:lang w:val="es-CR"/>
        </w:rPr>
        <w:t>, lo que no genera un problema en cuanto a su admisibilidad.</w:t>
      </w:r>
      <w:r w:rsidRPr="008A2E8A">
        <w:rPr>
          <w:lang w:val="es-CR" w:eastAsia="es-ES"/>
        </w:rPr>
        <w:t xml:space="preserve"> Este Tribunal admite la</w:t>
      </w:r>
      <w:r>
        <w:rPr>
          <w:lang w:val="es-CR" w:eastAsia="es-ES"/>
        </w:rPr>
        <w:t>s declaraciones</w:t>
      </w:r>
      <w:r w:rsidRPr="008A2E8A">
        <w:rPr>
          <w:lang w:val="es-CR" w:eastAsia="es-ES"/>
        </w:rPr>
        <w:t xml:space="preserve"> de</w:t>
      </w:r>
      <w:r w:rsidR="00F478D5">
        <w:rPr>
          <w:szCs w:val="20"/>
        </w:rPr>
        <w:t xml:space="preserve"> Wilfredo</w:t>
      </w:r>
      <w:r>
        <w:rPr>
          <w:szCs w:val="20"/>
        </w:rPr>
        <w:t xml:space="preserve"> Terrones Landá</w:t>
      </w:r>
      <w:r w:rsidRPr="008A2E8A">
        <w:rPr>
          <w:szCs w:val="20"/>
        </w:rPr>
        <w:t>zuri</w:t>
      </w:r>
      <w:r>
        <w:rPr>
          <w:lang w:val="es-CR" w:eastAsia="es-ES"/>
        </w:rPr>
        <w:t xml:space="preserve"> y Rosa Carcausto Paco</w:t>
      </w:r>
      <w:r w:rsidRPr="008A2E8A">
        <w:rPr>
          <w:lang w:val="es-CR" w:eastAsia="es-ES"/>
        </w:rPr>
        <w:t xml:space="preserve"> y para su valoración tomará en cuenta su condición de familiar de la presunta víctima desaparecida</w:t>
      </w:r>
      <w:r>
        <w:rPr>
          <w:lang w:val="es-CR" w:eastAsia="es-ES"/>
        </w:rPr>
        <w:t xml:space="preserve"> o presunta víctima, respectivamente</w:t>
      </w:r>
      <w:r w:rsidRPr="008A2E8A">
        <w:rPr>
          <w:lang w:val="es-CR" w:eastAsia="es-ES"/>
        </w:rPr>
        <w:t xml:space="preserve">, y las observaciones del Estado en lo pertinente, así </w:t>
      </w:r>
      <w:r>
        <w:rPr>
          <w:lang w:val="es-CR" w:eastAsia="es-ES"/>
        </w:rPr>
        <w:t xml:space="preserve">como </w:t>
      </w:r>
      <w:r w:rsidRPr="008A2E8A">
        <w:rPr>
          <w:lang w:val="es-CR" w:eastAsia="es-ES"/>
        </w:rPr>
        <w:t>el</w:t>
      </w:r>
      <w:r>
        <w:rPr>
          <w:lang w:val="es-CR" w:eastAsia="es-ES"/>
        </w:rPr>
        <w:t xml:space="preserve"> conjunto del acervo probatorio.</w:t>
      </w:r>
    </w:p>
    <w:p w:rsidR="003D758A" w:rsidRPr="00563483" w:rsidRDefault="003D758A" w:rsidP="003D758A">
      <w:pPr>
        <w:widowControl w:val="0"/>
        <w:adjustRightInd w:val="0"/>
        <w:textAlignment w:val="baseline"/>
        <w:rPr>
          <w:szCs w:val="20"/>
        </w:rPr>
      </w:pPr>
    </w:p>
    <w:p w:rsidR="00702A37" w:rsidRPr="00702A37" w:rsidRDefault="003D758A" w:rsidP="00702A37">
      <w:pPr>
        <w:pStyle w:val="ListParagraph"/>
        <w:widowControl w:val="0"/>
        <w:numPr>
          <w:ilvl w:val="0"/>
          <w:numId w:val="1"/>
        </w:numPr>
        <w:tabs>
          <w:tab w:val="left" w:pos="0"/>
        </w:tabs>
        <w:adjustRightInd w:val="0"/>
        <w:ind w:left="0" w:firstLine="0"/>
      </w:pPr>
      <w:r w:rsidRPr="00184422">
        <w:rPr>
          <w:lang w:val="es-CR" w:eastAsia="es-ES"/>
        </w:rPr>
        <w:t>Este Tribunal</w:t>
      </w:r>
      <w:r w:rsidRPr="00A1069A">
        <w:rPr>
          <w:lang w:val="es-CR" w:eastAsia="es-ES"/>
        </w:rPr>
        <w:t xml:space="preserve"> nota que </w:t>
      </w:r>
      <w:r w:rsidRPr="00184422">
        <w:rPr>
          <w:lang w:val="es-CR" w:eastAsia="es-ES"/>
        </w:rPr>
        <w:t>e</w:t>
      </w:r>
      <w:r w:rsidRPr="00184422">
        <w:rPr>
          <w:szCs w:val="20"/>
          <w:lang w:val="es-AR"/>
        </w:rPr>
        <w:t xml:space="preserve">n sus alegatos finales escritos, el Estado se refirió a la idoneidad </w:t>
      </w:r>
      <w:r w:rsidRPr="00184422">
        <w:rPr>
          <w:lang w:val="es-CR" w:eastAsia="es-ES"/>
        </w:rPr>
        <w:t>del perito</w:t>
      </w:r>
      <w:r w:rsidRPr="00184422">
        <w:rPr>
          <w:szCs w:val="20"/>
          <w:lang w:val="es-AR"/>
        </w:rPr>
        <w:t xml:space="preserve"> Carlos Alberto Jibaja </w:t>
      </w:r>
      <w:r>
        <w:rPr>
          <w:szCs w:val="20"/>
          <w:lang w:val="es-AR"/>
        </w:rPr>
        <w:t xml:space="preserve">Zárate </w:t>
      </w:r>
      <w:r w:rsidRPr="00184422">
        <w:rPr>
          <w:szCs w:val="20"/>
          <w:lang w:val="es-AR"/>
        </w:rPr>
        <w:t>y de las peritas Carmen Wurst Calle de Landázuri y</w:t>
      </w:r>
      <w:r w:rsidRPr="00184422">
        <w:rPr>
          <w:szCs w:val="20"/>
        </w:rPr>
        <w:t xml:space="preserve"> Yovana Pérez </w:t>
      </w:r>
      <w:r w:rsidRPr="00827DD4">
        <w:rPr>
          <w:lang w:val="es-CR" w:eastAsia="es-ES"/>
        </w:rPr>
        <w:t>Clara</w:t>
      </w:r>
      <w:r w:rsidRPr="00184422">
        <w:rPr>
          <w:szCs w:val="20"/>
        </w:rPr>
        <w:t xml:space="preserve">, y </w:t>
      </w:r>
      <w:r w:rsidRPr="00184422">
        <w:rPr>
          <w:szCs w:val="20"/>
          <w:lang w:val="es-AR"/>
        </w:rPr>
        <w:t>a la pertinencia, alcance y contenido de los dictámenes periciales</w:t>
      </w:r>
      <w:r w:rsidRPr="00184422">
        <w:rPr>
          <w:lang w:val="es-CR" w:eastAsia="es-ES"/>
        </w:rPr>
        <w:t xml:space="preserve"> rendidos por el perito y las peritas antes nombradas, así como respecto a Michael Reed Hurtado. En lo que se refiere a sus observaciones sobre la idoneidad de los peritos</w:t>
      </w:r>
      <w:r w:rsidRPr="00184422">
        <w:rPr>
          <w:szCs w:val="20"/>
          <w:lang w:val="es-AR"/>
        </w:rPr>
        <w:t xml:space="preserve"> y las peritas mencionadas,</w:t>
      </w:r>
      <w:r w:rsidRPr="00184422">
        <w:rPr>
          <w:lang w:val="es-CR" w:eastAsia="es-ES"/>
        </w:rPr>
        <w:t xml:space="preserve"> </w:t>
      </w:r>
      <w:r w:rsidRPr="00184422">
        <w:rPr>
          <w:szCs w:val="20"/>
        </w:rPr>
        <w:t>la Corte se remite a lo resuelto en la Resolución del Presidente de Convocatoria de 20 de febrero de 2018 (</w:t>
      </w:r>
      <w:r w:rsidRPr="00184422">
        <w:rPr>
          <w:i/>
          <w:szCs w:val="20"/>
        </w:rPr>
        <w:t xml:space="preserve">supra </w:t>
      </w:r>
      <w:r w:rsidRPr="00184422">
        <w:rPr>
          <w:szCs w:val="20"/>
        </w:rPr>
        <w:t xml:space="preserve">párr. </w:t>
      </w:r>
      <w:r>
        <w:rPr>
          <w:szCs w:val="20"/>
        </w:rPr>
        <w:t>10</w:t>
      </w:r>
      <w:r w:rsidRPr="00184422">
        <w:rPr>
          <w:szCs w:val="20"/>
        </w:rPr>
        <w:t xml:space="preserve">). </w:t>
      </w:r>
      <w:r w:rsidRPr="00184422">
        <w:rPr>
          <w:lang w:val="es-CR" w:eastAsia="es-ES"/>
        </w:rPr>
        <w:t xml:space="preserve">Respecto a las demás observaciones, la Corte entiende que el Estado no impugna su admisibilidad, sino que las observaciones </w:t>
      </w:r>
      <w:r w:rsidRPr="00184422">
        <w:rPr>
          <w:szCs w:val="20"/>
          <w:lang w:val="es-AR"/>
        </w:rPr>
        <w:t>tienen relación con el peso y alcance probatorios de los mismos</w:t>
      </w:r>
      <w:r w:rsidRPr="00184422">
        <w:rPr>
          <w:lang w:val="es-CR" w:eastAsia="es-ES"/>
        </w:rPr>
        <w:t>. En consecuencia, este Tribunal admite los peritajes de</w:t>
      </w:r>
      <w:r w:rsidRPr="00184422">
        <w:rPr>
          <w:szCs w:val="20"/>
        </w:rPr>
        <w:t xml:space="preserve"> </w:t>
      </w:r>
      <w:r w:rsidRPr="00184422">
        <w:rPr>
          <w:szCs w:val="20"/>
          <w:lang w:val="es-AR"/>
        </w:rPr>
        <w:t>Michael Reed Hurtado, Carlos Alberto Jibaja</w:t>
      </w:r>
      <w:r>
        <w:rPr>
          <w:szCs w:val="20"/>
          <w:lang w:val="es-AR"/>
        </w:rPr>
        <w:t xml:space="preserve"> </w:t>
      </w:r>
      <w:r w:rsidRPr="00F474A0">
        <w:rPr>
          <w:szCs w:val="20"/>
          <w:lang w:val="es-AR"/>
        </w:rPr>
        <w:t>Zárate</w:t>
      </w:r>
      <w:r w:rsidRPr="00184422">
        <w:rPr>
          <w:szCs w:val="20"/>
          <w:lang w:val="es-AR"/>
        </w:rPr>
        <w:t>, Carmen Wurst Calle de Landázuri</w:t>
      </w:r>
      <w:r w:rsidRPr="00184422">
        <w:rPr>
          <w:lang w:val="es-CR" w:eastAsia="es-ES"/>
        </w:rPr>
        <w:t xml:space="preserve"> y </w:t>
      </w:r>
      <w:r w:rsidRPr="00184422">
        <w:rPr>
          <w:szCs w:val="20"/>
        </w:rPr>
        <w:t>Yovana Pérez Clara,</w:t>
      </w:r>
      <w:r w:rsidRPr="00184422">
        <w:rPr>
          <w:lang w:val="es-CR" w:eastAsia="es-ES"/>
        </w:rPr>
        <w:t xml:space="preserve"> los cuales serán considerados </w:t>
      </w:r>
      <w:r w:rsidR="00702A37">
        <w:rPr>
          <w:lang w:val="es-CR" w:eastAsia="es-ES"/>
        </w:rPr>
        <w:t xml:space="preserve">en </w:t>
      </w:r>
      <w:r w:rsidRPr="00184422">
        <w:rPr>
          <w:lang w:val="es-CR" w:eastAsia="es-ES"/>
        </w:rPr>
        <w:t>cuanto se ajusten al objeto ordenado y teniendo en cuenta en lo pertinente las observaciones del Estado.</w:t>
      </w:r>
      <w:r w:rsidRPr="00184422">
        <w:rPr>
          <w:szCs w:val="20"/>
          <w:lang w:val="es-AR"/>
        </w:rPr>
        <w:t xml:space="preserve"> </w:t>
      </w:r>
      <w:bookmarkStart w:id="119" w:name="_Toc477338595"/>
    </w:p>
    <w:p w:rsidR="00702A37" w:rsidRPr="00061936" w:rsidRDefault="00702A37" w:rsidP="00702A37">
      <w:pPr>
        <w:pStyle w:val="ListParagraph"/>
        <w:widowControl w:val="0"/>
        <w:tabs>
          <w:tab w:val="left" w:pos="0"/>
        </w:tabs>
        <w:adjustRightInd w:val="0"/>
        <w:ind w:left="0"/>
      </w:pPr>
    </w:p>
    <w:p w:rsidR="00191347" w:rsidRPr="00702A37" w:rsidRDefault="00191347" w:rsidP="00191347">
      <w:pPr>
        <w:pStyle w:val="Heading1"/>
        <w:spacing w:before="0"/>
        <w:jc w:val="center"/>
        <w:rPr>
          <w:i/>
          <w:sz w:val="22"/>
          <w:szCs w:val="22"/>
        </w:rPr>
      </w:pPr>
      <w:bookmarkStart w:id="120" w:name="_Toc527993526"/>
      <w:bookmarkEnd w:id="119"/>
      <w:r w:rsidRPr="009B6028">
        <w:rPr>
          <w:sz w:val="22"/>
          <w:szCs w:val="22"/>
        </w:rPr>
        <w:t>VI</w:t>
      </w:r>
      <w:bookmarkEnd w:id="104"/>
      <w:bookmarkEnd w:id="105"/>
      <w:bookmarkEnd w:id="106"/>
      <w:bookmarkEnd w:id="107"/>
      <w:bookmarkEnd w:id="108"/>
      <w:bookmarkEnd w:id="109"/>
      <w:bookmarkEnd w:id="110"/>
      <w:bookmarkEnd w:id="111"/>
      <w:bookmarkEnd w:id="112"/>
      <w:bookmarkEnd w:id="113"/>
      <w:bookmarkEnd w:id="114"/>
      <w:r w:rsidR="00702A37" w:rsidRPr="00702A37">
        <w:rPr>
          <w:sz w:val="22"/>
          <w:szCs w:val="22"/>
        </w:rPr>
        <w:t>I</w:t>
      </w:r>
      <w:bookmarkEnd w:id="120"/>
    </w:p>
    <w:p w:rsidR="00191347" w:rsidRPr="009B6028" w:rsidRDefault="00191347" w:rsidP="00191347">
      <w:pPr>
        <w:pStyle w:val="Heading1"/>
        <w:spacing w:before="0"/>
        <w:jc w:val="center"/>
        <w:rPr>
          <w:sz w:val="22"/>
          <w:szCs w:val="22"/>
          <w:lang w:val="es-ES_tradnl"/>
        </w:rPr>
      </w:pPr>
      <w:bookmarkStart w:id="121" w:name="_Toc477338597"/>
      <w:bookmarkStart w:id="122" w:name="_Toc527993527"/>
      <w:r w:rsidRPr="009B6028">
        <w:rPr>
          <w:sz w:val="22"/>
          <w:szCs w:val="22"/>
          <w:lang w:val="es-ES_tradnl"/>
        </w:rPr>
        <w:t>HECHOS</w:t>
      </w:r>
      <w:bookmarkEnd w:id="121"/>
      <w:bookmarkEnd w:id="122"/>
    </w:p>
    <w:p w:rsidR="00191347" w:rsidRPr="002F6F18" w:rsidRDefault="00191347" w:rsidP="00191347">
      <w:pPr>
        <w:rPr>
          <w:lang w:val="es-ES_tradnl"/>
        </w:rPr>
      </w:pPr>
    </w:p>
    <w:p w:rsidR="00191347" w:rsidRPr="00563483" w:rsidRDefault="00191347" w:rsidP="00827DD4">
      <w:pPr>
        <w:pStyle w:val="ListParagraph"/>
        <w:widowControl w:val="0"/>
        <w:numPr>
          <w:ilvl w:val="0"/>
          <w:numId w:val="1"/>
        </w:numPr>
        <w:tabs>
          <w:tab w:val="left" w:pos="0"/>
        </w:tabs>
        <w:adjustRightInd w:val="0"/>
        <w:ind w:left="0" w:firstLine="0"/>
        <w:rPr>
          <w:szCs w:val="20"/>
          <w:lang w:val="es-CR"/>
        </w:rPr>
      </w:pPr>
      <w:r w:rsidRPr="00563483">
        <w:rPr>
          <w:szCs w:val="20"/>
          <w:lang w:val="es-CR"/>
        </w:rPr>
        <w:t>La Corte seguidamente expondrá, en primer lugar, el marco contextual</w:t>
      </w:r>
      <w:r w:rsidR="006860B1">
        <w:rPr>
          <w:szCs w:val="20"/>
          <w:lang w:val="es-CR"/>
        </w:rPr>
        <w:t>,</w:t>
      </w:r>
      <w:r w:rsidRPr="00563483">
        <w:rPr>
          <w:szCs w:val="20"/>
          <w:lang w:val="es-CR"/>
        </w:rPr>
        <w:t xml:space="preserve"> y en segundo lugar, las circunstancias personales y familiares de las </w:t>
      </w:r>
      <w:r w:rsidR="004842EC">
        <w:rPr>
          <w:szCs w:val="20"/>
          <w:lang w:val="es-CR"/>
        </w:rPr>
        <w:t xml:space="preserve">presuntas </w:t>
      </w:r>
      <w:r w:rsidRPr="00563483">
        <w:rPr>
          <w:szCs w:val="20"/>
          <w:lang w:val="es-CR"/>
        </w:rPr>
        <w:t xml:space="preserve">víctimas, así como los hechos acaecidos a cada una de ellas y las distintas investigaciones policiales y jurisdiccionales iniciadas. </w:t>
      </w:r>
    </w:p>
    <w:p w:rsidR="00191347" w:rsidRPr="00211F9E" w:rsidRDefault="00191347" w:rsidP="00191347">
      <w:pPr>
        <w:pStyle w:val="ListParagraph"/>
        <w:ind w:left="0"/>
        <w:rPr>
          <w:szCs w:val="20"/>
          <w:lang w:val="es-CR"/>
        </w:rPr>
      </w:pPr>
    </w:p>
    <w:p w:rsidR="00191347" w:rsidRPr="003C79CF" w:rsidRDefault="008F4E6E" w:rsidP="00724650">
      <w:pPr>
        <w:pStyle w:val="Heading2"/>
        <w:numPr>
          <w:ilvl w:val="0"/>
          <w:numId w:val="7"/>
        </w:numPr>
        <w:spacing w:before="0"/>
        <w:rPr>
          <w:lang w:val="es-CR"/>
        </w:rPr>
      </w:pPr>
      <w:r>
        <w:rPr>
          <w:lang w:val="es-CR"/>
        </w:rPr>
        <w:t xml:space="preserve"> </w:t>
      </w:r>
      <w:bookmarkStart w:id="123" w:name="_Toc527993528"/>
      <w:r w:rsidR="00191347" w:rsidRPr="003C79CF">
        <w:rPr>
          <w:lang w:val="es-CR"/>
        </w:rPr>
        <w:t>Contexto</w:t>
      </w:r>
      <w:bookmarkEnd w:id="123"/>
    </w:p>
    <w:p w:rsidR="00191347" w:rsidRPr="003C79CF" w:rsidRDefault="00191347" w:rsidP="00191347">
      <w:pPr>
        <w:pStyle w:val="ListParagraph"/>
        <w:ind w:left="0"/>
        <w:rPr>
          <w:szCs w:val="20"/>
          <w:lang w:val="es-CR"/>
        </w:rPr>
      </w:pPr>
    </w:p>
    <w:p w:rsidR="00563483" w:rsidRPr="003D2A8F" w:rsidRDefault="00563483" w:rsidP="00827DD4">
      <w:pPr>
        <w:pStyle w:val="ListParagraph"/>
        <w:widowControl w:val="0"/>
        <w:numPr>
          <w:ilvl w:val="0"/>
          <w:numId w:val="1"/>
        </w:numPr>
        <w:tabs>
          <w:tab w:val="left" w:pos="0"/>
        </w:tabs>
        <w:adjustRightInd w:val="0"/>
        <w:ind w:left="0" w:firstLine="0"/>
        <w:rPr>
          <w:bCs/>
          <w:strike/>
          <w:lang w:val="es-ES" w:eastAsia="es-ES"/>
        </w:rPr>
      </w:pPr>
      <w:r w:rsidRPr="00827DD4">
        <w:rPr>
          <w:szCs w:val="20"/>
          <w:lang w:val="es-CR"/>
        </w:rPr>
        <w:t>La</w:t>
      </w:r>
      <w:r w:rsidRPr="00C506A1">
        <w:rPr>
          <w:rFonts w:cs="Verdana"/>
          <w:szCs w:val="20"/>
          <w:lang w:val="es-ES"/>
        </w:rPr>
        <w:t xml:space="preserve"> Corte recuerda que</w:t>
      </w:r>
      <w:r w:rsidRPr="00C506A1">
        <w:rPr>
          <w:rFonts w:cs="Verdana"/>
          <w:bCs/>
          <w:szCs w:val="20"/>
          <w:lang w:val="es-ES"/>
        </w:rPr>
        <w:t xml:space="preserve">, en el ejercicio de su jurisdicción contenciosa, ha conocido diversos </w:t>
      </w:r>
      <w:r w:rsidRPr="00563483">
        <w:rPr>
          <w:szCs w:val="20"/>
          <w:lang w:val="es-CR"/>
        </w:rPr>
        <w:t>contextos</w:t>
      </w:r>
      <w:r w:rsidRPr="00C506A1">
        <w:rPr>
          <w:rFonts w:cs="Verdana"/>
          <w:bCs/>
          <w:szCs w:val="20"/>
          <w:lang w:val="es-ES"/>
        </w:rPr>
        <w:t xml:space="preserve"> </w:t>
      </w:r>
      <w:r w:rsidRPr="00C506A1">
        <w:rPr>
          <w:rFonts w:cs="Verdana"/>
          <w:szCs w:val="20"/>
          <w:lang w:val="es-ES"/>
        </w:rPr>
        <w:t>históricos, sociales</w:t>
      </w:r>
      <w:r w:rsidR="00597455">
        <w:rPr>
          <w:rFonts w:cs="Verdana"/>
          <w:szCs w:val="20"/>
          <w:lang w:val="es-ES"/>
        </w:rPr>
        <w:t>,</w:t>
      </w:r>
      <w:r w:rsidRPr="00C506A1">
        <w:rPr>
          <w:rFonts w:cs="Verdana"/>
          <w:szCs w:val="20"/>
          <w:lang w:val="es-ES"/>
        </w:rPr>
        <w:t xml:space="preserve"> y políticos </w:t>
      </w:r>
      <w:r w:rsidRPr="00C506A1">
        <w:rPr>
          <w:rFonts w:cs="Verdana"/>
          <w:bCs/>
          <w:szCs w:val="20"/>
          <w:lang w:val="es-ES"/>
        </w:rPr>
        <w:t xml:space="preserve">que permitieron situar los hechos alegados como violatorios de la Convención Americana en el marco de las circunstancias específicas en que ocurrieron. </w:t>
      </w:r>
      <w:r w:rsidRPr="00C506A1">
        <w:rPr>
          <w:szCs w:val="32"/>
          <w:lang w:val="es-ES"/>
        </w:rPr>
        <w:t>En particular, l</w:t>
      </w:r>
      <w:r w:rsidRPr="00C506A1">
        <w:rPr>
          <w:szCs w:val="20"/>
          <w:lang w:val="es-ES"/>
        </w:rPr>
        <w:t>a Corte se remite a los pronunciamientos realizados en diversas sentencias</w:t>
      </w:r>
      <w:r w:rsidRPr="00C506A1">
        <w:rPr>
          <w:szCs w:val="32"/>
          <w:vertAlign w:val="superscript"/>
          <w:lang w:val="es-ES"/>
        </w:rPr>
        <w:footnoteReference w:id="34"/>
      </w:r>
      <w:r w:rsidRPr="00C506A1">
        <w:rPr>
          <w:szCs w:val="20"/>
          <w:lang w:val="es-ES"/>
        </w:rPr>
        <w:t xml:space="preserve"> sobre </w:t>
      </w:r>
      <w:r w:rsidRPr="00C506A1">
        <w:rPr>
          <w:szCs w:val="32"/>
          <w:lang w:val="es-ES"/>
        </w:rPr>
        <w:t>el contexto relativo al conflicto armado en el Perú,</w:t>
      </w:r>
      <w:r w:rsidRPr="00C506A1">
        <w:rPr>
          <w:szCs w:val="20"/>
          <w:lang w:val="es-ES"/>
        </w:rPr>
        <w:t xml:space="preserve"> </w:t>
      </w:r>
      <w:r w:rsidRPr="00C506A1">
        <w:rPr>
          <w:bCs/>
          <w:lang w:val="es-ES" w:eastAsia="es-ES"/>
        </w:rPr>
        <w:t xml:space="preserve">en el cual se </w:t>
      </w:r>
      <w:r w:rsidRPr="00C506A1">
        <w:rPr>
          <w:bCs/>
          <w:lang w:val="es-ES" w:eastAsia="es-ES"/>
        </w:rPr>
        <w:lastRenderedPageBreak/>
        <w:t>enmarcan los hechos del presente caso</w:t>
      </w:r>
      <w:r>
        <w:rPr>
          <w:bCs/>
          <w:lang w:val="es-ES" w:eastAsia="es-ES"/>
        </w:rPr>
        <w:t>.</w:t>
      </w:r>
    </w:p>
    <w:p w:rsidR="00563483" w:rsidRPr="00C506A1" w:rsidRDefault="00563483" w:rsidP="00563483">
      <w:pPr>
        <w:tabs>
          <w:tab w:val="left" w:pos="0"/>
          <w:tab w:val="left" w:pos="567"/>
        </w:tabs>
        <w:autoSpaceDE w:val="0"/>
        <w:autoSpaceDN w:val="0"/>
        <w:rPr>
          <w:szCs w:val="20"/>
          <w:lang w:val="es-ES"/>
        </w:rPr>
      </w:pPr>
    </w:p>
    <w:p w:rsidR="00563483" w:rsidRPr="00BB394C" w:rsidRDefault="00563483" w:rsidP="00827DD4">
      <w:pPr>
        <w:pStyle w:val="ListParagraph"/>
        <w:widowControl w:val="0"/>
        <w:numPr>
          <w:ilvl w:val="0"/>
          <w:numId w:val="1"/>
        </w:numPr>
        <w:tabs>
          <w:tab w:val="left" w:pos="0"/>
        </w:tabs>
        <w:adjustRightInd w:val="0"/>
        <w:ind w:left="0" w:firstLine="0"/>
        <w:rPr>
          <w:bCs/>
          <w:lang w:val="es-ES" w:eastAsia="es-ES"/>
        </w:rPr>
      </w:pPr>
      <w:r w:rsidRPr="00BB394C">
        <w:rPr>
          <w:bCs/>
          <w:lang w:val="es-ES" w:eastAsia="es-ES"/>
        </w:rPr>
        <w:t xml:space="preserve">Dicho </w:t>
      </w:r>
      <w:r w:rsidRPr="00827DD4">
        <w:rPr>
          <w:szCs w:val="20"/>
          <w:lang w:val="es-CR"/>
        </w:rPr>
        <w:t>contexto</w:t>
      </w:r>
      <w:r w:rsidRPr="00BB394C">
        <w:rPr>
          <w:bCs/>
          <w:lang w:val="es-ES" w:eastAsia="es-ES"/>
        </w:rPr>
        <w:t xml:space="preserve"> fue establecido principalmente con base en el </w:t>
      </w:r>
      <w:r w:rsidRPr="00BB394C">
        <w:rPr>
          <w:szCs w:val="32"/>
          <w:lang w:val="es-ES"/>
        </w:rPr>
        <w:t xml:space="preserve">Informe Final que emitió el 28 de </w:t>
      </w:r>
      <w:r w:rsidRPr="00563483">
        <w:rPr>
          <w:szCs w:val="20"/>
          <w:lang w:val="es-CR"/>
        </w:rPr>
        <w:t>agosto</w:t>
      </w:r>
      <w:r w:rsidRPr="00BB394C">
        <w:rPr>
          <w:szCs w:val="32"/>
          <w:lang w:val="es-ES"/>
        </w:rPr>
        <w:t xml:space="preserve"> de 2003 la Comisión de la Verdad y Reconciliación </w:t>
      </w:r>
      <w:r w:rsidRPr="00BB394C">
        <w:rPr>
          <w:bCs/>
          <w:lang w:val="es-ES" w:eastAsia="es-ES"/>
        </w:rPr>
        <w:t>del Perú</w:t>
      </w:r>
      <w:r w:rsidRPr="00BB394C">
        <w:rPr>
          <w:szCs w:val="32"/>
          <w:lang w:val="es-ES"/>
        </w:rPr>
        <w:t xml:space="preserve"> (en adelante “CVR”), creada por el Estado en el año 2001 para “esclarecer el proceso, los hechos y responsabilidades de la violencia terrorista y de la violación</w:t>
      </w:r>
      <w:r w:rsidR="005F1FDE">
        <w:rPr>
          <w:szCs w:val="32"/>
          <w:lang w:val="es-ES"/>
        </w:rPr>
        <w:t xml:space="preserve"> [a]</w:t>
      </w:r>
      <w:r w:rsidRPr="00BB394C">
        <w:rPr>
          <w:szCs w:val="32"/>
          <w:lang w:val="es-ES"/>
        </w:rPr>
        <w:t xml:space="preserve"> los derechos humanos producidos desde mayo de 1980 hasta noviembre de 2000, imputables tanto a las organizaciones terroristas como a los agentes del Estado, así como proponer iniciativas destinadas a afirmar la paz y la concordia entre los peruanos”</w:t>
      </w:r>
      <w:r w:rsidRPr="00BB394C">
        <w:rPr>
          <w:szCs w:val="32"/>
          <w:vertAlign w:val="superscript"/>
          <w:lang w:val="es-ES"/>
        </w:rPr>
        <w:footnoteReference w:id="35"/>
      </w:r>
      <w:r>
        <w:rPr>
          <w:szCs w:val="32"/>
          <w:lang w:val="es-ES"/>
        </w:rPr>
        <w:t>.</w:t>
      </w:r>
    </w:p>
    <w:p w:rsidR="00563483" w:rsidRPr="00C506A1" w:rsidRDefault="00563483" w:rsidP="00563483">
      <w:pPr>
        <w:tabs>
          <w:tab w:val="left" w:pos="0"/>
          <w:tab w:val="left" w:pos="567"/>
          <w:tab w:val="num" w:pos="15281"/>
        </w:tabs>
        <w:autoSpaceDE w:val="0"/>
        <w:autoSpaceDN w:val="0"/>
        <w:rPr>
          <w:bCs/>
          <w:lang w:val="es-ES" w:eastAsia="es-ES"/>
        </w:rPr>
      </w:pPr>
    </w:p>
    <w:p w:rsidR="0006126E" w:rsidRDefault="00563483" w:rsidP="00827DD4">
      <w:pPr>
        <w:pStyle w:val="ListParagraph"/>
        <w:widowControl w:val="0"/>
        <w:numPr>
          <w:ilvl w:val="0"/>
          <w:numId w:val="1"/>
        </w:numPr>
        <w:tabs>
          <w:tab w:val="left" w:pos="0"/>
        </w:tabs>
        <w:adjustRightInd w:val="0"/>
        <w:ind w:left="0" w:firstLine="0"/>
        <w:rPr>
          <w:szCs w:val="20"/>
          <w:lang w:val="es-ES"/>
        </w:rPr>
      </w:pPr>
      <w:r w:rsidRPr="00C506A1">
        <w:rPr>
          <w:szCs w:val="20"/>
          <w:lang w:val="es-ES"/>
        </w:rPr>
        <w:t>Según el Informe Final de la CVR, los agentes estatales responsables de la lucha contra-</w:t>
      </w:r>
      <w:r w:rsidRPr="00563483">
        <w:rPr>
          <w:szCs w:val="20"/>
          <w:lang w:val="es-CR"/>
        </w:rPr>
        <w:t>subversiva</w:t>
      </w:r>
      <w:r w:rsidRPr="00C506A1">
        <w:rPr>
          <w:szCs w:val="20"/>
          <w:lang w:val="es-ES"/>
        </w:rPr>
        <w:t xml:space="preserve"> utilizaron la desaparición forzada de militantes, colaboradores, simpatizantes o personas sospechosas de pertenecer a grupos armados al margen de la ley, como el Partido Comunista del Perú-Sendero Luminoso (en adelante</w:t>
      </w:r>
      <w:r w:rsidR="00005206">
        <w:rPr>
          <w:szCs w:val="20"/>
          <w:lang w:val="es-ES"/>
        </w:rPr>
        <w:t xml:space="preserve"> también</w:t>
      </w:r>
      <w:r w:rsidRPr="00C506A1">
        <w:rPr>
          <w:szCs w:val="20"/>
          <w:lang w:val="es-ES"/>
        </w:rPr>
        <w:t xml:space="preserve"> “Sendero Luminoso”</w:t>
      </w:r>
      <w:r w:rsidR="00EF24DA">
        <w:rPr>
          <w:szCs w:val="20"/>
          <w:lang w:val="es-ES"/>
        </w:rPr>
        <w:t xml:space="preserve"> o “PCP-SL”</w:t>
      </w:r>
      <w:r w:rsidRPr="00C506A1">
        <w:rPr>
          <w:szCs w:val="20"/>
          <w:lang w:val="es-ES"/>
        </w:rPr>
        <w:t>) y el Movimiento Revolucionario Túpac Amaru (en adelante</w:t>
      </w:r>
      <w:r w:rsidR="00005206">
        <w:rPr>
          <w:szCs w:val="20"/>
          <w:lang w:val="es-ES"/>
        </w:rPr>
        <w:t xml:space="preserve"> también</w:t>
      </w:r>
      <w:r w:rsidRPr="00C506A1">
        <w:rPr>
          <w:szCs w:val="20"/>
          <w:lang w:val="es-ES"/>
        </w:rPr>
        <w:t xml:space="preserve"> “MRTA”), como “uno de los principales mecanismos </w:t>
      </w:r>
      <w:r w:rsidRPr="00827DD4">
        <w:rPr>
          <w:szCs w:val="32"/>
          <w:lang w:val="es-ES"/>
        </w:rPr>
        <w:t>de</w:t>
      </w:r>
      <w:r w:rsidRPr="00C506A1">
        <w:rPr>
          <w:szCs w:val="20"/>
          <w:lang w:val="es-ES"/>
        </w:rPr>
        <w:t xml:space="preserve"> lucha contrasubversiva”</w:t>
      </w:r>
      <w:r w:rsidRPr="00C506A1">
        <w:rPr>
          <w:rStyle w:val="FootnoteReference"/>
          <w:sz w:val="20"/>
          <w:szCs w:val="20"/>
          <w:lang w:val="es-ES"/>
        </w:rPr>
        <w:footnoteReference w:id="36"/>
      </w:r>
      <w:r w:rsidRPr="00C506A1">
        <w:rPr>
          <w:szCs w:val="20"/>
          <w:lang w:val="es-ES"/>
        </w:rPr>
        <w:t>, convirtiéndose en una “</w:t>
      </w:r>
      <w:r w:rsidRPr="00C506A1">
        <w:rPr>
          <w:rFonts w:cs="Arial"/>
          <w:iCs/>
          <w:szCs w:val="20"/>
          <w:lang w:val="es-ES"/>
        </w:rPr>
        <w:t>práctica sistemática o generalizada</w:t>
      </w:r>
      <w:r w:rsidRPr="00C506A1">
        <w:rPr>
          <w:rFonts w:cs="Arial"/>
          <w:szCs w:val="20"/>
          <w:lang w:val="es-ES"/>
        </w:rPr>
        <w:t>”</w:t>
      </w:r>
      <w:r w:rsidRPr="00C506A1">
        <w:rPr>
          <w:rStyle w:val="FootnoteReference"/>
          <w:sz w:val="20"/>
          <w:szCs w:val="20"/>
          <w:lang w:val="es-ES"/>
        </w:rPr>
        <w:footnoteReference w:id="37"/>
      </w:r>
      <w:r w:rsidRPr="00C506A1">
        <w:rPr>
          <w:rFonts w:cs="Arial"/>
          <w:szCs w:val="20"/>
          <w:lang w:val="es-ES"/>
        </w:rPr>
        <w:t xml:space="preserve"> dependiendo del período</w:t>
      </w:r>
      <w:r w:rsidRPr="00C506A1">
        <w:rPr>
          <w:szCs w:val="20"/>
          <w:vertAlign w:val="superscript"/>
          <w:lang w:val="es-ES"/>
        </w:rPr>
        <w:footnoteReference w:id="38"/>
      </w:r>
      <w:r w:rsidRPr="00C506A1">
        <w:rPr>
          <w:rFonts w:cs="Arial"/>
          <w:szCs w:val="20"/>
          <w:lang w:val="es-ES"/>
        </w:rPr>
        <w:t xml:space="preserve">, la cual tenía </w:t>
      </w:r>
      <w:r w:rsidRPr="00C506A1">
        <w:rPr>
          <w:szCs w:val="20"/>
          <w:lang w:val="es-ES"/>
        </w:rPr>
        <w:t xml:space="preserve">tres fines específicos: </w:t>
      </w:r>
      <w:r>
        <w:rPr>
          <w:szCs w:val="20"/>
          <w:lang w:val="es-ES"/>
        </w:rPr>
        <w:t>(</w:t>
      </w:r>
      <w:r w:rsidRPr="00C506A1">
        <w:rPr>
          <w:szCs w:val="20"/>
          <w:lang w:val="es-ES"/>
        </w:rPr>
        <w:t xml:space="preserve">i) conseguir información de los subversivos o sospechosos; </w:t>
      </w:r>
      <w:r>
        <w:rPr>
          <w:szCs w:val="20"/>
          <w:lang w:val="es-ES"/>
        </w:rPr>
        <w:t>(</w:t>
      </w:r>
      <w:r w:rsidRPr="00C506A1">
        <w:rPr>
          <w:szCs w:val="20"/>
          <w:lang w:val="es-ES"/>
        </w:rPr>
        <w:t xml:space="preserve">ii) eliminar al subversivo o simpatizante asegurando la impunidad, y </w:t>
      </w:r>
      <w:r>
        <w:rPr>
          <w:szCs w:val="20"/>
          <w:lang w:val="es-ES"/>
        </w:rPr>
        <w:t>(</w:t>
      </w:r>
      <w:r w:rsidRPr="00C506A1">
        <w:rPr>
          <w:szCs w:val="20"/>
          <w:lang w:val="es-ES"/>
        </w:rPr>
        <w:t>iii) intimidar a la población y forzarla a ponerse del lado de las autoridades estatales</w:t>
      </w:r>
      <w:r w:rsidRPr="00C506A1">
        <w:rPr>
          <w:rStyle w:val="FootnoteReference"/>
          <w:sz w:val="20"/>
          <w:szCs w:val="20"/>
          <w:lang w:val="es-ES"/>
        </w:rPr>
        <w:footnoteReference w:id="39"/>
      </w:r>
      <w:r w:rsidR="0006126E">
        <w:rPr>
          <w:szCs w:val="20"/>
          <w:lang w:val="es-ES"/>
        </w:rPr>
        <w:t>.</w:t>
      </w:r>
    </w:p>
    <w:p w:rsidR="00563483" w:rsidRPr="0006126E" w:rsidRDefault="00563483" w:rsidP="0006126E">
      <w:pPr>
        <w:pStyle w:val="ListParagraph"/>
        <w:ind w:left="0" w:right="-144"/>
        <w:rPr>
          <w:szCs w:val="20"/>
          <w:lang w:val="es-ES"/>
        </w:rPr>
      </w:pPr>
    </w:p>
    <w:p w:rsidR="00563483" w:rsidRPr="006F49B7" w:rsidRDefault="00563483" w:rsidP="00827DD4">
      <w:pPr>
        <w:pStyle w:val="ListParagraph"/>
        <w:widowControl w:val="0"/>
        <w:numPr>
          <w:ilvl w:val="0"/>
          <w:numId w:val="1"/>
        </w:numPr>
        <w:tabs>
          <w:tab w:val="left" w:pos="0"/>
        </w:tabs>
        <w:adjustRightInd w:val="0"/>
        <w:ind w:left="0" w:firstLine="0"/>
        <w:rPr>
          <w:lang w:val="es-ES"/>
        </w:rPr>
      </w:pPr>
      <w:r w:rsidRPr="00C506A1">
        <w:rPr>
          <w:lang w:val="es-ES"/>
        </w:rPr>
        <w:t xml:space="preserve">El </w:t>
      </w:r>
      <w:r w:rsidRPr="00C506A1">
        <w:rPr>
          <w:i/>
          <w:lang w:val="es-ES"/>
        </w:rPr>
        <w:t xml:space="preserve">modus operandi </w:t>
      </w:r>
      <w:r w:rsidRPr="00C506A1">
        <w:rPr>
          <w:lang w:val="es-ES"/>
        </w:rPr>
        <w:t>seguido por los autores de la</w:t>
      </w:r>
      <w:r w:rsidR="00BF5158">
        <w:rPr>
          <w:lang w:val="es-ES"/>
        </w:rPr>
        <w:t>s</w:t>
      </w:r>
      <w:r w:rsidRPr="00C506A1">
        <w:rPr>
          <w:lang w:val="es-ES"/>
        </w:rPr>
        <w:t xml:space="preserve"> desaparici</w:t>
      </w:r>
      <w:r w:rsidR="00BF5158">
        <w:rPr>
          <w:lang w:val="es-ES"/>
        </w:rPr>
        <w:t>ones</w:t>
      </w:r>
      <w:r w:rsidRPr="00C506A1">
        <w:rPr>
          <w:lang w:val="es-ES"/>
        </w:rPr>
        <w:t xml:space="preserve"> consistía en la selección de la víctima, detención de la persona, depósito en un lugar de detención, eventual traslado a un centro de reclusión, interrogatorio, tortura, procesamiento de la información obtenida, decisión de eliminación, eliminación física y desaparición de los restos, así como el uso de los recursos del Estado. En todo proceso, el </w:t>
      </w:r>
      <w:r w:rsidRPr="006F49B7">
        <w:rPr>
          <w:lang w:val="es-ES"/>
        </w:rPr>
        <w:t>común denominador fue la negación del hecho mismo de la detención y el no brindar información alguna de lo que suce</w:t>
      </w:r>
      <w:r w:rsidRPr="006B5B18">
        <w:rPr>
          <w:szCs w:val="20"/>
          <w:lang w:val="es-ES"/>
        </w:rPr>
        <w:t>día con el detenido</w:t>
      </w:r>
      <w:r w:rsidRPr="006B5B18">
        <w:rPr>
          <w:rStyle w:val="FootnoteReference"/>
          <w:sz w:val="20"/>
          <w:szCs w:val="20"/>
          <w:lang w:val="es-ES"/>
        </w:rPr>
        <w:footnoteReference w:id="40"/>
      </w:r>
      <w:r w:rsidRPr="006B5B18">
        <w:rPr>
          <w:szCs w:val="20"/>
          <w:lang w:val="es-ES"/>
        </w:rPr>
        <w:t>. Dichas etapas no se presentaban necesariamente de manera consecutiva</w:t>
      </w:r>
      <w:r w:rsidRPr="006B5B18">
        <w:rPr>
          <w:rStyle w:val="FootnoteReference"/>
          <w:sz w:val="20"/>
          <w:szCs w:val="20"/>
          <w:lang w:val="es-ES"/>
        </w:rPr>
        <w:footnoteReference w:id="41"/>
      </w:r>
      <w:r w:rsidRPr="006B5B18">
        <w:rPr>
          <w:szCs w:val="20"/>
          <w:lang w:val="es-ES"/>
        </w:rPr>
        <w:t>.</w:t>
      </w:r>
    </w:p>
    <w:p w:rsidR="00563483" w:rsidRPr="006F49B7" w:rsidRDefault="00563483" w:rsidP="00563483">
      <w:pPr>
        <w:pStyle w:val="Prrafodelista2"/>
        <w:tabs>
          <w:tab w:val="left" w:pos="720"/>
          <w:tab w:val="num" w:pos="11028"/>
        </w:tabs>
        <w:ind w:left="0" w:right="7987"/>
        <w:rPr>
          <w:szCs w:val="32"/>
          <w:lang w:val="es-ES"/>
        </w:rPr>
      </w:pPr>
    </w:p>
    <w:p w:rsidR="00563483" w:rsidRPr="004E4845" w:rsidRDefault="00563483" w:rsidP="00827DD4">
      <w:pPr>
        <w:pStyle w:val="ListParagraph"/>
        <w:widowControl w:val="0"/>
        <w:numPr>
          <w:ilvl w:val="0"/>
          <w:numId w:val="1"/>
        </w:numPr>
        <w:tabs>
          <w:tab w:val="left" w:pos="0"/>
        </w:tabs>
        <w:adjustRightInd w:val="0"/>
        <w:ind w:left="0" w:firstLine="0"/>
        <w:rPr>
          <w:rFonts w:eastAsia="NotDefSpecial"/>
          <w:lang w:val="es-ES"/>
        </w:rPr>
      </w:pPr>
      <w:r w:rsidRPr="006F49B7">
        <w:rPr>
          <w:lang w:val="es-ES"/>
        </w:rPr>
        <w:t>La práctica generalizada o sistemática de desapariciones forzadas se vio, además, favorecida por la situación generalizada de impunidad de las graves violaciones</w:t>
      </w:r>
      <w:r w:rsidRPr="00C506A1">
        <w:rPr>
          <w:lang w:val="es-ES"/>
        </w:rPr>
        <w:t xml:space="preserve"> a los derechos humanos que existía entonces, propiciada y tolerada por la ausencia de garantías judiciales e ineficacia de las instituciones judiciales para afrontar las sistemáticas violaciones de derechos humanos</w:t>
      </w:r>
      <w:r w:rsidRPr="006B5B18">
        <w:rPr>
          <w:rStyle w:val="FootnoteReference"/>
          <w:sz w:val="20"/>
          <w:szCs w:val="20"/>
          <w:lang w:val="es-ES"/>
        </w:rPr>
        <w:footnoteReference w:id="42"/>
      </w:r>
      <w:r w:rsidRPr="006B5B18">
        <w:rPr>
          <w:szCs w:val="20"/>
          <w:lang w:val="es-ES"/>
        </w:rPr>
        <w:t>.</w:t>
      </w:r>
    </w:p>
    <w:p w:rsidR="004E4845" w:rsidRPr="004E4845" w:rsidRDefault="004E4845" w:rsidP="004E4845">
      <w:pPr>
        <w:pStyle w:val="ListParagraph"/>
        <w:rPr>
          <w:rFonts w:eastAsia="NotDefSpecial"/>
          <w:lang w:val="es-ES"/>
        </w:rPr>
      </w:pPr>
    </w:p>
    <w:p w:rsidR="004E4845" w:rsidRPr="00E11BE9" w:rsidRDefault="004E4845" w:rsidP="004E4845">
      <w:pPr>
        <w:pStyle w:val="ListParagraph"/>
        <w:widowControl w:val="0"/>
        <w:numPr>
          <w:ilvl w:val="0"/>
          <w:numId w:val="1"/>
        </w:numPr>
        <w:tabs>
          <w:tab w:val="left" w:pos="0"/>
        </w:tabs>
        <w:adjustRightInd w:val="0"/>
        <w:ind w:left="0" w:firstLine="0"/>
        <w:rPr>
          <w:rFonts w:eastAsia="NotDefSpecial"/>
          <w:lang w:val="es-ES"/>
        </w:rPr>
      </w:pPr>
      <w:r w:rsidRPr="00E11BE9">
        <w:rPr>
          <w:rFonts w:eastAsia="NotDefSpecial"/>
          <w:lang w:val="es-ES"/>
        </w:rPr>
        <w:t>Por</w:t>
      </w:r>
      <w:r w:rsidR="00136F14" w:rsidRPr="00E11BE9">
        <w:rPr>
          <w:rFonts w:eastAsia="NotDefSpecial"/>
          <w:lang w:val="es-ES"/>
        </w:rPr>
        <w:t xml:space="preserve"> otra parte, </w:t>
      </w:r>
      <w:r w:rsidRPr="00E11BE9">
        <w:rPr>
          <w:rFonts w:eastAsia="NotDefSpecial"/>
          <w:lang w:val="es-ES"/>
        </w:rPr>
        <w:t>d</w:t>
      </w:r>
      <w:r w:rsidRPr="00E11BE9">
        <w:rPr>
          <w:szCs w:val="20"/>
          <w:lang w:val="es-ES"/>
        </w:rPr>
        <w:t xml:space="preserve">e acuerdo a la Comisión de la Verdad y Reconciliación de Perú, </w:t>
      </w:r>
      <w:r w:rsidRPr="00E11BE9">
        <w:rPr>
          <w:szCs w:val="20"/>
        </w:rPr>
        <w:t xml:space="preserve">la Asociación de Abogados Democráticos </w:t>
      </w:r>
      <w:r w:rsidR="00982CF2" w:rsidRPr="00E11BE9">
        <w:rPr>
          <w:szCs w:val="20"/>
        </w:rPr>
        <w:t xml:space="preserve">fue creada </w:t>
      </w:r>
      <w:r w:rsidR="00BD7E2C">
        <w:rPr>
          <w:szCs w:val="20"/>
        </w:rPr>
        <w:t>por un</w:t>
      </w:r>
      <w:r w:rsidRPr="00E11BE9">
        <w:rPr>
          <w:szCs w:val="20"/>
        </w:rPr>
        <w:t xml:space="preserve"> grupo subversivo para encargarse </w:t>
      </w:r>
      <w:r w:rsidRPr="00E11BE9">
        <w:rPr>
          <w:szCs w:val="20"/>
        </w:rPr>
        <w:lastRenderedPageBreak/>
        <w:t>de la defensa legal de sus militantes encarcelados</w:t>
      </w:r>
      <w:r w:rsidRPr="00E11BE9">
        <w:rPr>
          <w:rStyle w:val="FootnoteReference"/>
          <w:sz w:val="20"/>
          <w:szCs w:val="20"/>
        </w:rPr>
        <w:footnoteReference w:id="43"/>
      </w:r>
      <w:r w:rsidRPr="00E11BE9">
        <w:rPr>
          <w:szCs w:val="20"/>
        </w:rPr>
        <w:t xml:space="preserve">. </w:t>
      </w:r>
      <w:r w:rsidR="007B6F15" w:rsidRPr="007B6F15">
        <w:rPr>
          <w:szCs w:val="20"/>
        </w:rPr>
        <w:t>Al respecto, el propio Estado reconoce la relación directa entre SL-PCP y la Asociación de Abogados Democráticos, afirmando que dicha asociación “actuaba [</w:t>
      </w:r>
      <w:r w:rsidR="00E4380E">
        <w:rPr>
          <w:szCs w:val="20"/>
        </w:rPr>
        <w:t>como</w:t>
      </w:r>
      <w:r w:rsidR="007B6F15" w:rsidRPr="007B6F15">
        <w:rPr>
          <w:szCs w:val="20"/>
        </w:rPr>
        <w:t>] ‘</w:t>
      </w:r>
      <w:r w:rsidR="007B6F15" w:rsidRPr="00782BB7">
        <w:rPr>
          <w:szCs w:val="20"/>
        </w:rPr>
        <w:t>organismo</w:t>
      </w:r>
      <w:r w:rsidR="00005206" w:rsidRPr="00782BB7">
        <w:rPr>
          <w:szCs w:val="20"/>
        </w:rPr>
        <w:t>[…]</w:t>
      </w:r>
      <w:r w:rsidR="00E4380E" w:rsidRPr="00782BB7">
        <w:rPr>
          <w:szCs w:val="20"/>
        </w:rPr>
        <w:t xml:space="preserve"> gri</w:t>
      </w:r>
      <w:r w:rsidR="00005206" w:rsidRPr="00782BB7">
        <w:rPr>
          <w:szCs w:val="20"/>
        </w:rPr>
        <w:t>[s]</w:t>
      </w:r>
      <w:r w:rsidR="00E4380E" w:rsidRPr="00782BB7">
        <w:rPr>
          <w:szCs w:val="20"/>
        </w:rPr>
        <w:t>’ o</w:t>
      </w:r>
      <w:r w:rsidR="007B6F15" w:rsidRPr="00782BB7">
        <w:rPr>
          <w:szCs w:val="20"/>
        </w:rPr>
        <w:t xml:space="preserve"> </w:t>
      </w:r>
      <w:r w:rsidR="00E4380E" w:rsidRPr="00782BB7">
        <w:rPr>
          <w:szCs w:val="20"/>
        </w:rPr>
        <w:t>‘</w:t>
      </w:r>
      <w:r w:rsidR="007B6F15" w:rsidRPr="00782BB7">
        <w:rPr>
          <w:szCs w:val="20"/>
        </w:rPr>
        <w:t>de fachada’[,</w:t>
      </w:r>
      <w:r w:rsidR="00E4380E" w:rsidRPr="00782BB7">
        <w:rPr>
          <w:szCs w:val="20"/>
        </w:rPr>
        <w:t>]</w:t>
      </w:r>
      <w:r w:rsidR="007B6F15" w:rsidRPr="00782BB7">
        <w:rPr>
          <w:szCs w:val="20"/>
        </w:rPr>
        <w:t xml:space="preserve"> la cual tenía] como función brindar asesoría jurídica y asumir la defensa legal de senderistas”. Indicó, además,</w:t>
      </w:r>
      <w:r w:rsidR="007B6F15" w:rsidRPr="00782BB7">
        <w:rPr>
          <w:strike/>
          <w:szCs w:val="20"/>
        </w:rPr>
        <w:t xml:space="preserve"> </w:t>
      </w:r>
      <w:r w:rsidR="007B6F15" w:rsidRPr="00782BB7">
        <w:rPr>
          <w:szCs w:val="20"/>
        </w:rPr>
        <w:t>que “entre los años 80 y 90 tomó importancia y relevancia la labor de esta agrupación, cuando los agentes estatales, a través del trabajo de inteligencia, se especializaron en las tareas de búsqueda, investigación y capturas</w:t>
      </w:r>
      <w:r w:rsidR="007B6F15" w:rsidRPr="007B6F15">
        <w:rPr>
          <w:szCs w:val="20"/>
        </w:rPr>
        <w:t xml:space="preserve"> de terroristas”. Según afirm</w:t>
      </w:r>
      <w:r w:rsidR="00005206">
        <w:rPr>
          <w:szCs w:val="20"/>
        </w:rPr>
        <w:t>ó</w:t>
      </w:r>
      <w:r w:rsidR="007B6F15" w:rsidRPr="007B6F15">
        <w:rPr>
          <w:szCs w:val="20"/>
        </w:rPr>
        <w:t xml:space="preserve"> el Estado dicha organización de abogados aseguraba “la consecución de fines terroristas”, ya que quienes pertenecían a Abogados Democráticos pertenecían de igual manera a Sendero Luminoso</w:t>
      </w:r>
      <w:r w:rsidR="00490B31" w:rsidRPr="007B6F15">
        <w:rPr>
          <w:rStyle w:val="FootnoteReference"/>
          <w:sz w:val="20"/>
          <w:szCs w:val="20"/>
        </w:rPr>
        <w:footnoteReference w:id="44"/>
      </w:r>
      <w:r w:rsidRPr="007B6F15">
        <w:rPr>
          <w:szCs w:val="20"/>
        </w:rPr>
        <w:t>.</w:t>
      </w:r>
    </w:p>
    <w:p w:rsidR="00191347" w:rsidRPr="00350150" w:rsidRDefault="00191347" w:rsidP="00191347">
      <w:pPr>
        <w:pStyle w:val="ListParagraph"/>
        <w:autoSpaceDE w:val="0"/>
        <w:autoSpaceDN w:val="0"/>
        <w:adjustRightInd w:val="0"/>
        <w:spacing w:line="20" w:lineRule="atLeast"/>
        <w:ind w:left="0" w:right="-138"/>
        <w:rPr>
          <w:rFonts w:cs="Arial"/>
          <w:color w:val="222222"/>
          <w:shd w:val="clear" w:color="auto" w:fill="FFFFFF"/>
          <w:lang w:val="es-ES"/>
        </w:rPr>
      </w:pPr>
    </w:p>
    <w:p w:rsidR="00191347" w:rsidRPr="00596775" w:rsidRDefault="00563483" w:rsidP="00827DD4">
      <w:pPr>
        <w:pStyle w:val="ListParagraph"/>
        <w:widowControl w:val="0"/>
        <w:numPr>
          <w:ilvl w:val="0"/>
          <w:numId w:val="1"/>
        </w:numPr>
        <w:tabs>
          <w:tab w:val="left" w:pos="0"/>
        </w:tabs>
        <w:adjustRightInd w:val="0"/>
        <w:ind w:left="0" w:firstLine="0"/>
        <w:rPr>
          <w:rFonts w:cs="Arial"/>
          <w:color w:val="222222"/>
          <w:shd w:val="clear" w:color="auto" w:fill="FFFFFF"/>
          <w:lang w:val="es-CR"/>
        </w:rPr>
      </w:pPr>
      <w:r>
        <w:rPr>
          <w:rFonts w:cs="Arial"/>
          <w:color w:val="222222"/>
          <w:szCs w:val="20"/>
          <w:shd w:val="clear" w:color="auto" w:fill="FFFFFF"/>
          <w:lang w:val="es-CR"/>
        </w:rPr>
        <w:t xml:space="preserve">En lo </w:t>
      </w:r>
      <w:r w:rsidRPr="00827DD4">
        <w:rPr>
          <w:lang w:val="es-ES"/>
        </w:rPr>
        <w:t>que</w:t>
      </w:r>
      <w:r>
        <w:rPr>
          <w:rFonts w:cs="Arial"/>
          <w:color w:val="222222"/>
          <w:szCs w:val="20"/>
          <w:shd w:val="clear" w:color="auto" w:fill="FFFFFF"/>
          <w:lang w:val="es-CR"/>
        </w:rPr>
        <w:t xml:space="preserve"> concierne a las universidades como f</w:t>
      </w:r>
      <w:r w:rsidR="00B903D9">
        <w:rPr>
          <w:rFonts w:cs="Arial"/>
          <w:color w:val="222222"/>
          <w:szCs w:val="20"/>
          <w:shd w:val="clear" w:color="auto" w:fill="FFFFFF"/>
          <w:lang w:val="es-CR"/>
        </w:rPr>
        <w:t>l</w:t>
      </w:r>
      <w:r>
        <w:rPr>
          <w:rFonts w:cs="Arial"/>
          <w:color w:val="222222"/>
          <w:szCs w:val="20"/>
          <w:shd w:val="clear" w:color="auto" w:fill="FFFFFF"/>
          <w:lang w:val="es-CR"/>
        </w:rPr>
        <w:t>anco de represión estatal, e</w:t>
      </w:r>
      <w:r w:rsidR="00191347" w:rsidRPr="002F1D5E">
        <w:rPr>
          <w:rFonts w:cs="Arial"/>
          <w:color w:val="222222"/>
          <w:szCs w:val="20"/>
          <w:shd w:val="clear" w:color="auto" w:fill="FFFFFF"/>
          <w:lang w:val="es-CR"/>
        </w:rPr>
        <w:t xml:space="preserve">ntre los </w:t>
      </w:r>
      <w:r w:rsidR="00191347" w:rsidRPr="00563397">
        <w:rPr>
          <w:rFonts w:cs="Arial"/>
          <w:color w:val="222222"/>
          <w:szCs w:val="20"/>
          <w:shd w:val="clear" w:color="auto" w:fill="FFFFFF"/>
          <w:lang w:val="es-CR"/>
        </w:rPr>
        <w:t xml:space="preserve">años </w:t>
      </w:r>
      <w:r w:rsidR="00531C07" w:rsidRPr="00563397">
        <w:rPr>
          <w:rFonts w:cs="Arial"/>
          <w:color w:val="222222"/>
          <w:szCs w:val="20"/>
          <w:shd w:val="clear" w:color="auto" w:fill="FFFFFF"/>
          <w:lang w:val="es-CR"/>
        </w:rPr>
        <w:t xml:space="preserve">1980 </w:t>
      </w:r>
      <w:r w:rsidR="00191347" w:rsidRPr="00563397">
        <w:rPr>
          <w:rFonts w:cs="Arial"/>
          <w:color w:val="222222"/>
          <w:szCs w:val="20"/>
          <w:shd w:val="clear" w:color="auto" w:fill="FFFFFF"/>
          <w:lang w:val="es-CR"/>
        </w:rPr>
        <w:t xml:space="preserve">y </w:t>
      </w:r>
      <w:r w:rsidR="00531C07" w:rsidRPr="00563397">
        <w:rPr>
          <w:rFonts w:cs="Arial"/>
          <w:color w:val="222222"/>
          <w:szCs w:val="20"/>
          <w:shd w:val="clear" w:color="auto" w:fill="FFFFFF"/>
          <w:lang w:val="es-CR"/>
        </w:rPr>
        <w:t xml:space="preserve">1995 </w:t>
      </w:r>
      <w:r w:rsidR="00191347" w:rsidRPr="00563397">
        <w:rPr>
          <w:rFonts w:cs="Arial"/>
          <w:color w:val="222222"/>
          <w:szCs w:val="20"/>
          <w:shd w:val="clear" w:color="auto" w:fill="FFFFFF"/>
          <w:lang w:val="es-CR"/>
        </w:rPr>
        <w:t>las</w:t>
      </w:r>
      <w:r w:rsidR="00191347" w:rsidRPr="002F1D5E">
        <w:rPr>
          <w:rFonts w:cs="Arial"/>
          <w:color w:val="222222"/>
          <w:szCs w:val="20"/>
          <w:shd w:val="clear" w:color="auto" w:fill="FFFFFF"/>
          <w:lang w:val="es-CR"/>
        </w:rPr>
        <w:t xml:space="preserve"> universidades se encontraban convulsionadas, constituyéndose como uno de los ámbitos principales del conflicto armado interno en el Pe</w:t>
      </w:r>
      <w:r w:rsidR="00191347" w:rsidRPr="00A35813">
        <w:rPr>
          <w:rFonts w:cs="Arial"/>
          <w:color w:val="222222"/>
          <w:szCs w:val="20"/>
          <w:shd w:val="clear" w:color="auto" w:fill="FFFFFF"/>
          <w:lang w:val="es-CR"/>
        </w:rPr>
        <w:t>rú. Además</w:t>
      </w:r>
      <w:r w:rsidR="006B5B18">
        <w:rPr>
          <w:rFonts w:cs="Arial"/>
          <w:color w:val="222222"/>
          <w:szCs w:val="20"/>
          <w:shd w:val="clear" w:color="auto" w:fill="FFFFFF"/>
          <w:lang w:val="es-CR"/>
        </w:rPr>
        <w:t>,</w:t>
      </w:r>
      <w:r w:rsidR="00191347" w:rsidRPr="00A35813">
        <w:rPr>
          <w:rFonts w:cs="Arial"/>
          <w:color w:val="222222"/>
          <w:szCs w:val="20"/>
          <w:shd w:val="clear" w:color="auto" w:fill="FFFFFF"/>
          <w:lang w:val="es-CR"/>
        </w:rPr>
        <w:t xml:space="preserve"> fueron instituciones referenciales en el surgimiento del Partido Comunista del Perú, Sendero Luminoso, al ser un espacio estratégico tanto para la difusión de su ideología como para la captación y reclutamiento de militantes entre sus estudiantes y </w:t>
      </w:r>
      <w:r w:rsidR="00191347" w:rsidRPr="00BD7E2C">
        <w:rPr>
          <w:rFonts w:cs="Arial"/>
          <w:color w:val="222222"/>
          <w:szCs w:val="20"/>
          <w:shd w:val="clear" w:color="auto" w:fill="FFFFFF"/>
          <w:lang w:val="es-CR"/>
        </w:rPr>
        <w:t>profesores.</w:t>
      </w:r>
      <w:r w:rsidR="00191347" w:rsidRPr="002F1D5E">
        <w:rPr>
          <w:rFonts w:cs="Arial"/>
          <w:color w:val="222222"/>
          <w:szCs w:val="20"/>
          <w:shd w:val="clear" w:color="auto" w:fill="FFFFFF"/>
          <w:lang w:val="es-CR"/>
        </w:rPr>
        <w:t xml:space="preserve"> Esto provocó que las universidades fueran estigmatizadas y violentadas tanto por los grupos subversivos como por el Estado</w:t>
      </w:r>
      <w:r w:rsidR="00E778F0" w:rsidRPr="00EF24DA">
        <w:rPr>
          <w:rStyle w:val="FootnoteReference"/>
          <w:color w:val="222222"/>
          <w:sz w:val="20"/>
          <w:szCs w:val="20"/>
          <w:shd w:val="clear" w:color="auto" w:fill="FFFFFF"/>
          <w:lang w:val="es-CR"/>
        </w:rPr>
        <w:footnoteReference w:id="45"/>
      </w:r>
      <w:r w:rsidR="00191347" w:rsidRPr="00596775">
        <w:rPr>
          <w:rFonts w:cs="Arial"/>
          <w:color w:val="222222"/>
          <w:shd w:val="clear" w:color="auto" w:fill="FFFFFF"/>
          <w:lang w:val="es-CR"/>
        </w:rPr>
        <w:t xml:space="preserve">. </w:t>
      </w:r>
    </w:p>
    <w:p w:rsidR="00191347" w:rsidRPr="00596775" w:rsidRDefault="00191347" w:rsidP="00191347">
      <w:pPr>
        <w:pStyle w:val="ListParagraph"/>
        <w:autoSpaceDE w:val="0"/>
        <w:autoSpaceDN w:val="0"/>
        <w:adjustRightInd w:val="0"/>
        <w:spacing w:line="20" w:lineRule="atLeast"/>
        <w:ind w:left="0" w:right="-138"/>
        <w:rPr>
          <w:rFonts w:cs="Arial"/>
          <w:color w:val="222222"/>
          <w:shd w:val="clear" w:color="auto" w:fill="FFFFFF"/>
          <w:lang w:val="es-CR"/>
        </w:rPr>
      </w:pPr>
    </w:p>
    <w:p w:rsidR="00191347" w:rsidRPr="002F1D5E" w:rsidRDefault="00191347" w:rsidP="00827DD4">
      <w:pPr>
        <w:pStyle w:val="ListParagraph"/>
        <w:widowControl w:val="0"/>
        <w:numPr>
          <w:ilvl w:val="0"/>
          <w:numId w:val="1"/>
        </w:numPr>
        <w:tabs>
          <w:tab w:val="left" w:pos="0"/>
        </w:tabs>
        <w:adjustRightInd w:val="0"/>
        <w:ind w:left="0" w:firstLine="0"/>
        <w:rPr>
          <w:rFonts w:cs="Arial"/>
          <w:color w:val="222222"/>
          <w:shd w:val="clear" w:color="auto" w:fill="FFFFFF"/>
          <w:lang w:val="es-CR"/>
        </w:rPr>
      </w:pPr>
      <w:r w:rsidRPr="002F1D5E">
        <w:rPr>
          <w:rFonts w:cs="Arial"/>
          <w:color w:val="222222"/>
          <w:szCs w:val="20"/>
          <w:shd w:val="clear" w:color="auto" w:fill="FFFFFF"/>
          <w:lang w:val="es-CR"/>
        </w:rPr>
        <w:t xml:space="preserve">En los años 1988 y 1989 en la Universidad Nacional Mayor de San Marcos </w:t>
      </w:r>
      <w:r w:rsidR="000D29CA" w:rsidRPr="003B7D4B">
        <w:rPr>
          <w:szCs w:val="20"/>
          <w:lang w:val="es-CR"/>
        </w:rPr>
        <w:t xml:space="preserve">(en adelante también “UNMSM”) </w:t>
      </w:r>
      <w:r w:rsidRPr="002F1D5E">
        <w:rPr>
          <w:rFonts w:cs="Arial"/>
          <w:color w:val="222222"/>
          <w:szCs w:val="20"/>
          <w:shd w:val="clear" w:color="auto" w:fill="FFFFFF"/>
          <w:lang w:val="es-CR"/>
        </w:rPr>
        <w:t xml:space="preserve">y </w:t>
      </w:r>
      <w:r w:rsidR="00B903D9">
        <w:rPr>
          <w:rFonts w:cs="Arial"/>
          <w:color w:val="222222"/>
          <w:szCs w:val="20"/>
          <w:shd w:val="clear" w:color="auto" w:fill="FFFFFF"/>
          <w:lang w:val="es-CR"/>
        </w:rPr>
        <w:t xml:space="preserve">la </w:t>
      </w:r>
      <w:r w:rsidR="00B903D9" w:rsidRPr="00CE5AB8">
        <w:rPr>
          <w:rFonts w:cs="Arial"/>
          <w:bCs/>
          <w:color w:val="222222"/>
          <w:szCs w:val="20"/>
          <w:shd w:val="clear" w:color="auto" w:fill="FFFFFF"/>
        </w:rPr>
        <w:t>Universidad Nacional de Educación Enrique Guzmán y Valle</w:t>
      </w:r>
      <w:r w:rsidR="00B903D9" w:rsidRPr="00CE5AB8">
        <w:rPr>
          <w:rFonts w:cs="Arial"/>
          <w:color w:val="222222"/>
          <w:szCs w:val="20"/>
          <w:shd w:val="clear" w:color="auto" w:fill="FFFFFF"/>
          <w:lang w:val="es-CR"/>
        </w:rPr>
        <w:t xml:space="preserve"> </w:t>
      </w:r>
      <w:r w:rsidR="00B903D9">
        <w:rPr>
          <w:szCs w:val="20"/>
          <w:lang w:val="es-CR"/>
        </w:rPr>
        <w:t>(en adelante también “</w:t>
      </w:r>
      <w:r w:rsidR="00B903D9" w:rsidRPr="002F1D5E">
        <w:rPr>
          <w:rFonts w:cs="Arial"/>
          <w:color w:val="222222"/>
          <w:szCs w:val="20"/>
          <w:shd w:val="clear" w:color="auto" w:fill="FFFFFF"/>
          <w:lang w:val="es-CR"/>
        </w:rPr>
        <w:t>la Cantuta</w:t>
      </w:r>
      <w:r w:rsidR="00B903D9" w:rsidRPr="003B7D4B">
        <w:rPr>
          <w:szCs w:val="20"/>
          <w:lang w:val="es-CR"/>
        </w:rPr>
        <w:t xml:space="preserve">”) </w:t>
      </w:r>
      <w:r w:rsidRPr="002F1D5E">
        <w:rPr>
          <w:rFonts w:cs="Arial"/>
          <w:color w:val="222222"/>
          <w:szCs w:val="20"/>
          <w:shd w:val="clear" w:color="auto" w:fill="FFFFFF"/>
          <w:lang w:val="es-CR"/>
        </w:rPr>
        <w:t xml:space="preserve">se registraron muertes, desapariciones de estudiantes y docentes y en 1991 se instalaron bases militares en las universidades de San Marcos, la Cantuta y </w:t>
      </w:r>
      <w:r w:rsidR="00B903D9">
        <w:rPr>
          <w:rFonts w:cs="Arial"/>
          <w:color w:val="222222"/>
          <w:szCs w:val="20"/>
          <w:shd w:val="clear" w:color="auto" w:fill="FFFFFF"/>
          <w:lang w:val="es-CR"/>
        </w:rPr>
        <w:t xml:space="preserve">la </w:t>
      </w:r>
      <w:r w:rsidR="00B903D9" w:rsidRPr="00E07E60">
        <w:rPr>
          <w:rFonts w:cs="Arial"/>
          <w:color w:val="222222"/>
          <w:szCs w:val="20"/>
          <w:shd w:val="clear" w:color="auto" w:fill="FFFFFF"/>
        </w:rPr>
        <w:t>Universidad Nacional del</w:t>
      </w:r>
      <w:r w:rsidR="00B903D9" w:rsidRPr="00E07E60">
        <w:rPr>
          <w:rFonts w:cs="Arial"/>
          <w:color w:val="222222"/>
          <w:szCs w:val="20"/>
          <w:shd w:val="clear" w:color="auto" w:fill="FFFFFF"/>
          <w:lang w:val="es-CR"/>
        </w:rPr>
        <w:t xml:space="preserve"> </w:t>
      </w:r>
      <w:r w:rsidR="00B903D9" w:rsidRPr="002F1D5E">
        <w:rPr>
          <w:rFonts w:cs="Arial"/>
          <w:color w:val="222222"/>
          <w:szCs w:val="20"/>
          <w:shd w:val="clear" w:color="auto" w:fill="FFFFFF"/>
          <w:lang w:val="es-CR"/>
        </w:rPr>
        <w:t xml:space="preserve">Callao y </w:t>
      </w:r>
      <w:r w:rsidR="00B903D9">
        <w:rPr>
          <w:rFonts w:cs="Arial"/>
          <w:color w:val="222222"/>
          <w:szCs w:val="20"/>
          <w:shd w:val="clear" w:color="auto" w:fill="FFFFFF"/>
          <w:lang w:val="es-CR"/>
        </w:rPr>
        <w:t xml:space="preserve">la </w:t>
      </w:r>
      <w:r w:rsidR="00B903D9" w:rsidRPr="00E07E60">
        <w:rPr>
          <w:rFonts w:cs="Arial"/>
          <w:color w:val="222222"/>
          <w:szCs w:val="20"/>
          <w:shd w:val="clear" w:color="auto" w:fill="FFFFFF"/>
        </w:rPr>
        <w:t xml:space="preserve">Universidad Nacional </w:t>
      </w:r>
      <w:r w:rsidR="00B903D9" w:rsidRPr="002F1D5E">
        <w:rPr>
          <w:rFonts w:cs="Arial"/>
          <w:color w:val="222222"/>
          <w:szCs w:val="20"/>
          <w:shd w:val="clear" w:color="auto" w:fill="FFFFFF"/>
          <w:lang w:val="es-CR"/>
        </w:rPr>
        <w:t>Hermilio Valdiz</w:t>
      </w:r>
      <w:r w:rsidR="00431C19">
        <w:rPr>
          <w:rFonts w:cs="Arial"/>
          <w:color w:val="222222"/>
          <w:szCs w:val="20"/>
          <w:shd w:val="clear" w:color="auto" w:fill="FFFFFF"/>
          <w:lang w:val="es-CR"/>
        </w:rPr>
        <w:t>á</w:t>
      </w:r>
      <w:r w:rsidR="00B903D9" w:rsidRPr="002F1D5E">
        <w:rPr>
          <w:rFonts w:cs="Arial"/>
          <w:color w:val="222222"/>
          <w:szCs w:val="20"/>
          <w:shd w:val="clear" w:color="auto" w:fill="FFFFFF"/>
          <w:lang w:val="es-CR"/>
        </w:rPr>
        <w:t>n</w:t>
      </w:r>
      <w:r w:rsidRPr="00A35813">
        <w:rPr>
          <w:rStyle w:val="FootnoteReference"/>
          <w:color w:val="222222"/>
          <w:sz w:val="20"/>
          <w:szCs w:val="20"/>
          <w:shd w:val="clear" w:color="auto" w:fill="FFFFFF"/>
          <w:lang w:val="es-CR"/>
        </w:rPr>
        <w:footnoteReference w:id="46"/>
      </w:r>
      <w:r w:rsidRPr="002F1D5E">
        <w:rPr>
          <w:rFonts w:cs="Arial"/>
          <w:color w:val="222222"/>
          <w:szCs w:val="20"/>
          <w:shd w:val="clear" w:color="auto" w:fill="FFFFFF"/>
          <w:lang w:val="es-CR"/>
        </w:rPr>
        <w:t xml:space="preserve">. </w:t>
      </w:r>
      <w:r w:rsidR="00996E94">
        <w:rPr>
          <w:rFonts w:cs="Arial"/>
          <w:color w:val="222222"/>
          <w:szCs w:val="20"/>
          <w:shd w:val="clear" w:color="auto" w:fill="FFFFFF"/>
          <w:lang w:val="es-CR"/>
        </w:rPr>
        <w:t xml:space="preserve">Además, </w:t>
      </w:r>
      <w:r w:rsidR="00996E94">
        <w:rPr>
          <w:szCs w:val="20"/>
          <w:lang w:val="es-AR"/>
        </w:rPr>
        <w:t>e</w:t>
      </w:r>
      <w:r w:rsidR="00996E94" w:rsidRPr="00411325">
        <w:rPr>
          <w:szCs w:val="20"/>
          <w:lang w:val="es-AR"/>
        </w:rPr>
        <w:t>n el Informe de la Comisión de la Verdad y Reconciliación, se indica que “</w:t>
      </w:r>
      <w:r w:rsidR="00C3633C">
        <w:rPr>
          <w:szCs w:val="20"/>
          <w:lang w:val="es-AR"/>
        </w:rPr>
        <w:t>[</w:t>
      </w:r>
      <w:r w:rsidR="00996E94" w:rsidRPr="00411325">
        <w:rPr>
          <w:szCs w:val="20"/>
          <w:lang w:val="es-AR"/>
        </w:rPr>
        <w:t>l</w:t>
      </w:r>
      <w:r w:rsidR="00C3633C">
        <w:rPr>
          <w:szCs w:val="20"/>
          <w:lang w:val="es-AR"/>
        </w:rPr>
        <w:t>]</w:t>
      </w:r>
      <w:r w:rsidR="00996E94" w:rsidRPr="00411325">
        <w:rPr>
          <w:szCs w:val="20"/>
          <w:lang w:val="es-AR"/>
        </w:rPr>
        <w:t>as cifras revelan que, a pesar del aparente clima de tranquilidad que se vivía, fue precisamente en 1992 cuando sucedieron con mayor profusión las desapariciones forzadas selectivas de los estudiantes”</w:t>
      </w:r>
      <w:r w:rsidR="00996E94" w:rsidRPr="00EF24DA">
        <w:rPr>
          <w:rStyle w:val="FootnoteReference"/>
          <w:sz w:val="20"/>
          <w:szCs w:val="20"/>
          <w:lang w:val="es-AR"/>
        </w:rPr>
        <w:footnoteReference w:id="47"/>
      </w:r>
      <w:r w:rsidR="00996E94" w:rsidRPr="00EF24DA">
        <w:rPr>
          <w:szCs w:val="20"/>
          <w:lang w:val="es-AR"/>
        </w:rPr>
        <w:t>.</w:t>
      </w:r>
      <w:r w:rsidR="00996E94" w:rsidRPr="00411325">
        <w:rPr>
          <w:szCs w:val="20"/>
          <w:lang w:val="es-AR"/>
        </w:rPr>
        <w:t xml:space="preserve"> Particularmente, el referido informe destaca que “</w:t>
      </w:r>
      <w:r w:rsidR="00F57254">
        <w:rPr>
          <w:szCs w:val="20"/>
          <w:lang w:val="es-AR"/>
        </w:rPr>
        <w:t>[</w:t>
      </w:r>
      <w:r w:rsidR="00996E94" w:rsidRPr="00411325">
        <w:rPr>
          <w:szCs w:val="20"/>
          <w:lang w:val="es-AR"/>
        </w:rPr>
        <w:t>e</w:t>
      </w:r>
      <w:r w:rsidR="00F57254">
        <w:rPr>
          <w:szCs w:val="20"/>
          <w:lang w:val="es-AR"/>
        </w:rPr>
        <w:t>]</w:t>
      </w:r>
      <w:r w:rsidR="00996E94" w:rsidRPr="00411325">
        <w:rPr>
          <w:szCs w:val="20"/>
          <w:lang w:val="es-AR"/>
        </w:rPr>
        <w:t>ntre 1989 y 1993 fueron más de 100 los estudiantes de distintas fa</w:t>
      </w:r>
      <w:r w:rsidR="00996E94">
        <w:rPr>
          <w:szCs w:val="20"/>
          <w:lang w:val="es-AR"/>
        </w:rPr>
        <w:t>cultades de la Universidad Naci</w:t>
      </w:r>
      <w:r w:rsidR="00996E94" w:rsidRPr="00411325">
        <w:rPr>
          <w:szCs w:val="20"/>
          <w:lang w:val="es-AR"/>
        </w:rPr>
        <w:t>o</w:t>
      </w:r>
      <w:r w:rsidR="00996E94">
        <w:rPr>
          <w:szCs w:val="20"/>
          <w:lang w:val="es-AR"/>
        </w:rPr>
        <w:t>n</w:t>
      </w:r>
      <w:r w:rsidR="00996E94" w:rsidRPr="00411325">
        <w:rPr>
          <w:szCs w:val="20"/>
          <w:lang w:val="es-AR"/>
        </w:rPr>
        <w:t>al del Centro del Perú que desaparecieron o fueron asesinados”</w:t>
      </w:r>
      <w:r w:rsidR="00996E94" w:rsidRPr="00EF24DA">
        <w:rPr>
          <w:rStyle w:val="FootnoteReference"/>
          <w:sz w:val="20"/>
          <w:szCs w:val="20"/>
          <w:lang w:val="es-AR"/>
        </w:rPr>
        <w:footnoteReference w:id="48"/>
      </w:r>
      <w:r w:rsidR="00996E94" w:rsidRPr="00411325">
        <w:rPr>
          <w:szCs w:val="20"/>
          <w:lang w:val="es-AR"/>
        </w:rPr>
        <w:t>.</w:t>
      </w:r>
      <w:r w:rsidR="00996E94">
        <w:rPr>
          <w:szCs w:val="20"/>
          <w:lang w:val="es-AR"/>
        </w:rPr>
        <w:t xml:space="preserve"> </w:t>
      </w:r>
      <w:r w:rsidR="00184422">
        <w:rPr>
          <w:rFonts w:cs="Arial"/>
          <w:color w:val="222222"/>
          <w:szCs w:val="20"/>
          <w:shd w:val="clear" w:color="auto" w:fill="FFFFFF"/>
          <w:lang w:val="es-CR"/>
        </w:rPr>
        <w:t>E</w:t>
      </w:r>
      <w:r w:rsidR="006B5B18">
        <w:rPr>
          <w:rFonts w:cs="Arial"/>
          <w:color w:val="222222"/>
          <w:szCs w:val="20"/>
          <w:shd w:val="clear" w:color="auto" w:fill="FFFFFF"/>
          <w:lang w:val="es-CR"/>
        </w:rPr>
        <w:t>l año 1992 fue el año con</w:t>
      </w:r>
      <w:r w:rsidRPr="002F1D5E">
        <w:rPr>
          <w:rFonts w:cs="Arial"/>
          <w:color w:val="222222"/>
          <w:szCs w:val="20"/>
          <w:shd w:val="clear" w:color="auto" w:fill="FFFFFF"/>
          <w:lang w:val="es-CR"/>
        </w:rPr>
        <w:t xml:space="preserve"> más desapariciones forzadas selectivas de estudiantes</w:t>
      </w:r>
      <w:r w:rsidRPr="00A35813">
        <w:rPr>
          <w:rStyle w:val="FootnoteReference"/>
          <w:color w:val="222222"/>
          <w:sz w:val="20"/>
          <w:szCs w:val="20"/>
          <w:shd w:val="clear" w:color="auto" w:fill="FFFFFF"/>
          <w:lang w:val="es-CR"/>
        </w:rPr>
        <w:footnoteReference w:id="49"/>
      </w:r>
      <w:r w:rsidRPr="002F1D5E">
        <w:rPr>
          <w:rFonts w:cs="Arial"/>
          <w:color w:val="222222"/>
          <w:szCs w:val="20"/>
          <w:shd w:val="clear" w:color="auto" w:fill="FFFFFF"/>
          <w:lang w:val="es-CR"/>
        </w:rPr>
        <w:t>.</w:t>
      </w:r>
      <w:r w:rsidRPr="00596775">
        <w:rPr>
          <w:rFonts w:cs="Arial"/>
          <w:color w:val="222222"/>
          <w:shd w:val="clear" w:color="auto" w:fill="FFFFFF"/>
          <w:lang w:val="es-CR"/>
        </w:rPr>
        <w:t xml:space="preserve"> </w:t>
      </w:r>
    </w:p>
    <w:p w:rsidR="00191347" w:rsidRPr="00C54248" w:rsidRDefault="00191347" w:rsidP="00191347">
      <w:pPr>
        <w:ind w:right="-144"/>
        <w:rPr>
          <w:szCs w:val="20"/>
          <w:lang w:val="es-CR"/>
        </w:rPr>
      </w:pPr>
    </w:p>
    <w:p w:rsidR="00DB4E19" w:rsidRPr="000B550A" w:rsidRDefault="00191347" w:rsidP="000B550A">
      <w:pPr>
        <w:pStyle w:val="Heading2"/>
        <w:numPr>
          <w:ilvl w:val="0"/>
          <w:numId w:val="7"/>
        </w:numPr>
        <w:spacing w:before="0"/>
        <w:rPr>
          <w:szCs w:val="20"/>
          <w:lang w:val="es-ES_tradnl" w:eastAsia="es-CR"/>
        </w:rPr>
      </w:pPr>
      <w:bookmarkStart w:id="124" w:name="_Toc527993529"/>
      <w:r w:rsidRPr="009B14ED">
        <w:rPr>
          <w:szCs w:val="20"/>
          <w:lang w:val="es-ES_tradnl" w:eastAsia="es-CR"/>
        </w:rPr>
        <w:t>Hechos</w:t>
      </w:r>
      <w:r>
        <w:rPr>
          <w:szCs w:val="20"/>
          <w:lang w:val="es-ES_tradnl" w:eastAsia="es-CR"/>
        </w:rPr>
        <w:t xml:space="preserve"> respecto de cada víctima</w:t>
      </w:r>
      <w:bookmarkEnd w:id="124"/>
      <w:r w:rsidRPr="009B14ED">
        <w:rPr>
          <w:szCs w:val="20"/>
          <w:lang w:val="es-ES_tradnl" w:eastAsia="es-CR"/>
        </w:rPr>
        <w:t xml:space="preserve"> </w:t>
      </w:r>
    </w:p>
    <w:p w:rsidR="00191347" w:rsidRPr="00502001" w:rsidRDefault="000B550A" w:rsidP="00191347">
      <w:pPr>
        <w:pStyle w:val="Heading3"/>
        <w:ind w:left="709"/>
        <w:rPr>
          <w:lang w:val="es-ES_tradnl" w:eastAsia="es-CR"/>
        </w:rPr>
      </w:pPr>
      <w:bookmarkStart w:id="125" w:name="_Toc399131148"/>
      <w:bookmarkStart w:id="126" w:name="_Toc399131792"/>
      <w:bookmarkStart w:id="127" w:name="_Toc527993530"/>
      <w:r>
        <w:rPr>
          <w:lang w:val="es-ES_tradnl" w:eastAsia="es-CR"/>
        </w:rPr>
        <w:t>B.1</w:t>
      </w:r>
      <w:r w:rsidR="00DB4E19">
        <w:rPr>
          <w:lang w:val="es-ES_tradnl" w:eastAsia="es-CR"/>
        </w:rPr>
        <w:t>.</w:t>
      </w:r>
      <w:r w:rsidR="00191347" w:rsidRPr="00502001">
        <w:rPr>
          <w:lang w:val="es-ES_tradnl" w:eastAsia="es-CR"/>
        </w:rPr>
        <w:t xml:space="preserve"> Wilfredo Terrones Silva</w:t>
      </w:r>
      <w:bookmarkEnd w:id="125"/>
      <w:bookmarkEnd w:id="126"/>
      <w:bookmarkEnd w:id="127"/>
      <w:r w:rsidR="00191347" w:rsidRPr="00502001">
        <w:rPr>
          <w:lang w:val="es-ES_tradnl" w:eastAsia="es-CR"/>
        </w:rPr>
        <w:t xml:space="preserve"> </w:t>
      </w:r>
    </w:p>
    <w:p w:rsidR="00191347" w:rsidRPr="001D36EE" w:rsidRDefault="00191347" w:rsidP="00191347">
      <w:pPr>
        <w:pStyle w:val="ListParagraph"/>
        <w:rPr>
          <w:b/>
          <w:szCs w:val="20"/>
          <w:lang w:val="es-ES_tradnl"/>
        </w:rPr>
      </w:pPr>
    </w:p>
    <w:p w:rsidR="00191347" w:rsidRPr="001D36EE" w:rsidRDefault="000B550A" w:rsidP="00191347">
      <w:pPr>
        <w:pStyle w:val="ListParagraph"/>
        <w:rPr>
          <w:i/>
          <w:szCs w:val="20"/>
          <w:lang w:val="es-ES_tradnl"/>
        </w:rPr>
      </w:pPr>
      <w:r>
        <w:rPr>
          <w:i/>
          <w:szCs w:val="20"/>
          <w:lang w:val="es-ES_tradnl"/>
        </w:rPr>
        <w:t>B.1</w:t>
      </w:r>
      <w:r w:rsidR="00191347" w:rsidRPr="009F4E64">
        <w:rPr>
          <w:i/>
          <w:szCs w:val="20"/>
          <w:lang w:val="es-ES_tradnl"/>
        </w:rPr>
        <w:t>.</w:t>
      </w:r>
      <w:r w:rsidR="00191347">
        <w:rPr>
          <w:i/>
          <w:szCs w:val="20"/>
          <w:lang w:val="es-ES_tradnl"/>
        </w:rPr>
        <w:t>1</w:t>
      </w:r>
      <w:r w:rsidR="00DB4E19">
        <w:rPr>
          <w:i/>
          <w:szCs w:val="20"/>
          <w:lang w:val="es-ES_tradnl"/>
        </w:rPr>
        <w:t>.</w:t>
      </w:r>
      <w:r w:rsidR="00191347" w:rsidRPr="001D36EE">
        <w:rPr>
          <w:i/>
          <w:szCs w:val="20"/>
          <w:lang w:val="es-ES_tradnl"/>
        </w:rPr>
        <w:t xml:space="preserve"> Circunstancias personales y familiares de Wilfredo Terrones Silva</w:t>
      </w:r>
    </w:p>
    <w:p w:rsidR="00191347" w:rsidRPr="002F1D5E" w:rsidRDefault="00191347" w:rsidP="00191347">
      <w:pPr>
        <w:pStyle w:val="ListParagraph"/>
        <w:ind w:left="0"/>
        <w:rPr>
          <w:szCs w:val="20"/>
          <w:lang w:val="es-ES_tradnl"/>
        </w:rPr>
      </w:pPr>
    </w:p>
    <w:p w:rsidR="00191347" w:rsidRPr="005E639B" w:rsidRDefault="00191347" w:rsidP="00827DD4">
      <w:pPr>
        <w:pStyle w:val="ListParagraph"/>
        <w:widowControl w:val="0"/>
        <w:numPr>
          <w:ilvl w:val="0"/>
          <w:numId w:val="1"/>
        </w:numPr>
        <w:tabs>
          <w:tab w:val="left" w:pos="0"/>
        </w:tabs>
        <w:adjustRightInd w:val="0"/>
        <w:ind w:left="0" w:firstLine="0"/>
        <w:rPr>
          <w:rFonts w:cs="Arial"/>
          <w:color w:val="222222"/>
          <w:shd w:val="clear" w:color="auto" w:fill="FFFFFF"/>
          <w:lang w:val="es-CR"/>
        </w:rPr>
      </w:pPr>
      <w:r w:rsidRPr="002F1D5E">
        <w:rPr>
          <w:szCs w:val="20"/>
          <w:lang w:val="es-ES_tradnl"/>
        </w:rPr>
        <w:t>Wilfredo Terrones Silva nació el 21 de septiembre de</w:t>
      </w:r>
      <w:r w:rsidRPr="00A35813">
        <w:rPr>
          <w:szCs w:val="20"/>
          <w:lang w:val="es-ES_tradnl"/>
        </w:rPr>
        <w:t xml:space="preserve"> 1939 y vivía en el distrito del Callao, </w:t>
      </w:r>
      <w:r w:rsidRPr="00827DD4">
        <w:rPr>
          <w:rFonts w:cs="Arial"/>
          <w:color w:val="222222"/>
          <w:szCs w:val="20"/>
          <w:shd w:val="clear" w:color="auto" w:fill="FFFFFF"/>
          <w:lang w:val="es-CR"/>
        </w:rPr>
        <w:t>provincia</w:t>
      </w:r>
      <w:r w:rsidRPr="00A35813">
        <w:rPr>
          <w:szCs w:val="20"/>
          <w:lang w:val="es-ES_tradnl"/>
        </w:rPr>
        <w:t xml:space="preserve"> del Callao</w:t>
      </w:r>
      <w:r w:rsidRPr="00A35813">
        <w:rPr>
          <w:rStyle w:val="FootnoteReference"/>
          <w:sz w:val="20"/>
          <w:szCs w:val="20"/>
          <w:lang w:val="es-ES_tradnl"/>
        </w:rPr>
        <w:footnoteReference w:id="50"/>
      </w:r>
      <w:r w:rsidRPr="00A35813">
        <w:rPr>
          <w:szCs w:val="20"/>
          <w:lang w:val="es-ES_tradnl"/>
        </w:rPr>
        <w:t xml:space="preserve">. Conformó una familia con Guillermina Frida Landázuri de Terrones </w:t>
      </w:r>
      <w:r w:rsidR="00A35813" w:rsidRPr="00A35813">
        <w:rPr>
          <w:szCs w:val="20"/>
          <w:lang w:val="es-ES_tradnl"/>
        </w:rPr>
        <w:t>y era</w:t>
      </w:r>
      <w:r w:rsidRPr="00A35813">
        <w:rPr>
          <w:szCs w:val="20"/>
          <w:lang w:val="es-ES_tradnl"/>
        </w:rPr>
        <w:t xml:space="preserve"> padre de Wilfredo </w:t>
      </w:r>
      <w:r w:rsidR="007B5E13">
        <w:rPr>
          <w:szCs w:val="20"/>
          <w:lang w:val="es-ES_tradnl"/>
        </w:rPr>
        <w:t xml:space="preserve">Ricardo </w:t>
      </w:r>
      <w:r w:rsidRPr="00A35813">
        <w:rPr>
          <w:szCs w:val="20"/>
          <w:lang w:val="es-ES_tradnl"/>
        </w:rPr>
        <w:t>Terrones Landázuri</w:t>
      </w:r>
      <w:r w:rsidRPr="00A35813">
        <w:rPr>
          <w:rStyle w:val="FootnoteReference"/>
          <w:sz w:val="20"/>
          <w:szCs w:val="20"/>
          <w:lang w:val="es-ES_tradnl"/>
        </w:rPr>
        <w:footnoteReference w:id="51"/>
      </w:r>
      <w:r w:rsidRPr="00A35813">
        <w:rPr>
          <w:szCs w:val="20"/>
          <w:lang w:val="es-ES_tradnl"/>
        </w:rPr>
        <w:t xml:space="preserve">. </w:t>
      </w:r>
      <w:r>
        <w:rPr>
          <w:szCs w:val="20"/>
          <w:lang w:val="es-ES_tradnl"/>
        </w:rPr>
        <w:t>E</w:t>
      </w:r>
      <w:r w:rsidRPr="002F1D5E">
        <w:rPr>
          <w:szCs w:val="20"/>
          <w:lang w:val="es-ES_tradnl"/>
        </w:rPr>
        <w:t xml:space="preserve">jercía como abogado en la Asociación de Abogados Democráticos y defendía personas acusadas por el delito de </w:t>
      </w:r>
      <w:r w:rsidRPr="002F1D5E">
        <w:rPr>
          <w:szCs w:val="20"/>
          <w:lang w:val="es-ES_tradnl"/>
        </w:rPr>
        <w:lastRenderedPageBreak/>
        <w:t>terrorismo</w:t>
      </w:r>
      <w:r w:rsidRPr="00A35813">
        <w:rPr>
          <w:rStyle w:val="FootnoteReference"/>
          <w:sz w:val="20"/>
          <w:szCs w:val="20"/>
          <w:lang w:val="es-ES_tradnl"/>
        </w:rPr>
        <w:footnoteReference w:id="52"/>
      </w:r>
      <w:r w:rsidRPr="00A35813">
        <w:rPr>
          <w:szCs w:val="20"/>
          <w:lang w:val="es-ES_tradnl"/>
        </w:rPr>
        <w:t>.</w:t>
      </w:r>
      <w:r w:rsidRPr="00502001">
        <w:rPr>
          <w:szCs w:val="20"/>
          <w:lang w:val="es-ES_tradnl"/>
        </w:rPr>
        <w:t xml:space="preserve"> </w:t>
      </w:r>
    </w:p>
    <w:p w:rsidR="00191347" w:rsidRDefault="00191347" w:rsidP="00E874C1">
      <w:pPr>
        <w:pStyle w:val="ListParagraph"/>
        <w:autoSpaceDE w:val="0"/>
        <w:autoSpaceDN w:val="0"/>
        <w:adjustRightInd w:val="0"/>
        <w:spacing w:line="20" w:lineRule="atLeast"/>
        <w:ind w:left="0" w:right="-144"/>
        <w:rPr>
          <w:rFonts w:cs="Arial"/>
          <w:color w:val="222222"/>
          <w:shd w:val="clear" w:color="auto" w:fill="FFFFFF"/>
          <w:lang w:val="es-CR"/>
        </w:rPr>
      </w:pPr>
    </w:p>
    <w:p w:rsidR="00191347" w:rsidRPr="00257982" w:rsidRDefault="000B550A" w:rsidP="00E874C1">
      <w:pPr>
        <w:pStyle w:val="ListParagraph"/>
        <w:autoSpaceDE w:val="0"/>
        <w:autoSpaceDN w:val="0"/>
        <w:adjustRightInd w:val="0"/>
        <w:spacing w:line="20" w:lineRule="atLeast"/>
        <w:ind w:right="-144"/>
        <w:rPr>
          <w:rFonts w:cs="Arial"/>
          <w:i/>
          <w:color w:val="222222"/>
          <w:shd w:val="clear" w:color="auto" w:fill="FFFFFF"/>
          <w:lang w:val="es-CR"/>
        </w:rPr>
      </w:pPr>
      <w:r>
        <w:rPr>
          <w:rFonts w:cs="Arial"/>
          <w:i/>
          <w:color w:val="222222"/>
          <w:shd w:val="clear" w:color="auto" w:fill="FFFFFF"/>
          <w:lang w:val="es-CR"/>
        </w:rPr>
        <w:t>B.1</w:t>
      </w:r>
      <w:r w:rsidR="00191347" w:rsidRPr="00257982">
        <w:rPr>
          <w:rFonts w:cs="Arial"/>
          <w:i/>
          <w:color w:val="222222"/>
          <w:shd w:val="clear" w:color="auto" w:fill="FFFFFF"/>
          <w:lang w:val="es-CR"/>
        </w:rPr>
        <w:t>.2. Desaparición de Wilfredo Terrones Silva</w:t>
      </w:r>
    </w:p>
    <w:p w:rsidR="00191347" w:rsidRPr="005E639B" w:rsidRDefault="00191347" w:rsidP="00191347">
      <w:pPr>
        <w:pStyle w:val="ListParagraph"/>
        <w:autoSpaceDE w:val="0"/>
        <w:autoSpaceDN w:val="0"/>
        <w:adjustRightInd w:val="0"/>
        <w:spacing w:line="20" w:lineRule="atLeast"/>
        <w:ind w:right="-138"/>
        <w:rPr>
          <w:rFonts w:cs="Arial"/>
          <w:color w:val="222222"/>
          <w:shd w:val="clear" w:color="auto" w:fill="FFFFFF"/>
          <w:lang w:val="es-CR"/>
        </w:rPr>
      </w:pPr>
    </w:p>
    <w:p w:rsidR="00191347" w:rsidRPr="00274878" w:rsidRDefault="00191347" w:rsidP="00827DD4">
      <w:pPr>
        <w:pStyle w:val="ListParagraph"/>
        <w:widowControl w:val="0"/>
        <w:numPr>
          <w:ilvl w:val="0"/>
          <w:numId w:val="1"/>
        </w:numPr>
        <w:tabs>
          <w:tab w:val="left" w:pos="0"/>
        </w:tabs>
        <w:adjustRightInd w:val="0"/>
        <w:ind w:left="0" w:firstLine="0"/>
        <w:rPr>
          <w:rFonts w:cs="Arial"/>
          <w:color w:val="222222"/>
          <w:shd w:val="clear" w:color="auto" w:fill="FFFFFF"/>
          <w:lang w:val="es-CR"/>
        </w:rPr>
      </w:pPr>
      <w:r w:rsidRPr="005E639B">
        <w:rPr>
          <w:szCs w:val="20"/>
          <w:lang w:val="es-CR"/>
        </w:rPr>
        <w:t>Wilfred</w:t>
      </w:r>
      <w:r w:rsidRPr="00A35813">
        <w:rPr>
          <w:szCs w:val="20"/>
          <w:lang w:val="es-CR"/>
        </w:rPr>
        <w:t>o Terrones Silva fue visto por última vez el 26 de agosto de 1992 cuando salió de su oficina</w:t>
      </w:r>
      <w:r w:rsidRPr="00A35813">
        <w:rPr>
          <w:rStyle w:val="FootnoteReference"/>
          <w:sz w:val="20"/>
          <w:szCs w:val="20"/>
          <w:lang w:val="es-CR"/>
        </w:rPr>
        <w:footnoteReference w:id="53"/>
      </w:r>
      <w:r w:rsidRPr="00A35813">
        <w:rPr>
          <w:rFonts w:cs="Arial"/>
          <w:color w:val="222222"/>
          <w:szCs w:val="20"/>
          <w:shd w:val="clear" w:color="auto" w:fill="FFFFFF"/>
          <w:lang w:val="es-CR"/>
        </w:rPr>
        <w:t>.</w:t>
      </w:r>
      <w:r>
        <w:rPr>
          <w:rFonts w:cs="Arial"/>
          <w:color w:val="222222"/>
          <w:shd w:val="clear" w:color="auto" w:fill="FFFFFF"/>
          <w:lang w:val="es-CR"/>
        </w:rPr>
        <w:t xml:space="preserve"> </w:t>
      </w:r>
      <w:r w:rsidRPr="00274878">
        <w:rPr>
          <w:szCs w:val="20"/>
          <w:lang w:val="es-CR"/>
        </w:rPr>
        <w:t>Sus familiares acudieron a postas policiales, hospitales y locales asistenciales en busca de su paradero</w:t>
      </w:r>
      <w:r w:rsidRPr="00A41621">
        <w:rPr>
          <w:szCs w:val="20"/>
          <w:lang w:val="es-CR"/>
        </w:rPr>
        <w:t xml:space="preserve"> </w:t>
      </w:r>
      <w:r>
        <w:rPr>
          <w:szCs w:val="20"/>
          <w:lang w:val="es-CR"/>
        </w:rPr>
        <w:t>y hasta la fecha se desconoce.</w:t>
      </w:r>
      <w:r w:rsidRPr="00274878">
        <w:rPr>
          <w:szCs w:val="20"/>
          <w:lang w:val="es-CR"/>
        </w:rPr>
        <w:t xml:space="preserve"> </w:t>
      </w:r>
    </w:p>
    <w:p w:rsidR="003F070E" w:rsidRPr="0091221D" w:rsidRDefault="003F070E" w:rsidP="003F070E">
      <w:pPr>
        <w:pStyle w:val="ListParagraph"/>
        <w:autoSpaceDE w:val="0"/>
        <w:autoSpaceDN w:val="0"/>
        <w:adjustRightInd w:val="0"/>
        <w:spacing w:line="20" w:lineRule="atLeast"/>
        <w:ind w:left="0" w:right="-138"/>
        <w:rPr>
          <w:rFonts w:cs="Arial"/>
          <w:color w:val="222222"/>
          <w:shd w:val="clear" w:color="auto" w:fill="FFFFFF"/>
          <w:lang w:val="es-CR"/>
        </w:rPr>
      </w:pPr>
    </w:p>
    <w:p w:rsidR="00191347" w:rsidRPr="00350150" w:rsidRDefault="00191347" w:rsidP="00827DD4">
      <w:pPr>
        <w:pStyle w:val="ListParagraph"/>
        <w:widowControl w:val="0"/>
        <w:numPr>
          <w:ilvl w:val="0"/>
          <w:numId w:val="1"/>
        </w:numPr>
        <w:tabs>
          <w:tab w:val="left" w:pos="0"/>
        </w:tabs>
        <w:adjustRightInd w:val="0"/>
        <w:ind w:left="0" w:firstLine="0"/>
        <w:rPr>
          <w:rFonts w:cs="Arial"/>
          <w:color w:val="222222"/>
          <w:shd w:val="clear" w:color="auto" w:fill="FFFFFF"/>
          <w:lang w:val="es-CR"/>
        </w:rPr>
      </w:pPr>
      <w:r w:rsidRPr="00350150">
        <w:rPr>
          <w:szCs w:val="20"/>
          <w:lang w:val="es-CR"/>
        </w:rPr>
        <w:t xml:space="preserve">Antes de su desaparición Wilfredo Terrones Silva </w:t>
      </w:r>
      <w:r w:rsidR="0091221D" w:rsidRPr="00350150">
        <w:rPr>
          <w:szCs w:val="20"/>
          <w:lang w:val="es-CR"/>
        </w:rPr>
        <w:t xml:space="preserve">estuvo </w:t>
      </w:r>
      <w:r w:rsidR="00835978" w:rsidRPr="00350150">
        <w:rPr>
          <w:szCs w:val="20"/>
          <w:lang w:val="es-CR"/>
        </w:rPr>
        <w:t>privado de libertad</w:t>
      </w:r>
      <w:r w:rsidR="00350150" w:rsidRPr="00350150">
        <w:rPr>
          <w:szCs w:val="20"/>
          <w:lang w:val="es-CR"/>
        </w:rPr>
        <w:t xml:space="preserve"> en las </w:t>
      </w:r>
      <w:r w:rsidRPr="00350150">
        <w:rPr>
          <w:szCs w:val="20"/>
          <w:lang w:val="es-CR"/>
        </w:rPr>
        <w:t>cárceles de Chiclayo y El Frontón por cinco años, por haber cometido atentados terroristas</w:t>
      </w:r>
      <w:r w:rsidR="002F2FA0" w:rsidRPr="00350150">
        <w:rPr>
          <w:szCs w:val="20"/>
          <w:lang w:val="es-CR"/>
        </w:rPr>
        <w:t xml:space="preserve"> en la Provincia de Jaén</w:t>
      </w:r>
      <w:r w:rsidRPr="00350150">
        <w:rPr>
          <w:szCs w:val="20"/>
          <w:lang w:val="es-CR"/>
        </w:rPr>
        <w:t>.</w:t>
      </w:r>
      <w:r w:rsidRPr="00350150">
        <w:rPr>
          <w:szCs w:val="20"/>
          <w:lang w:val="es-ES_tradnl"/>
        </w:rPr>
        <w:t xml:space="preserve"> El Estado informó que fue sindicado como Sub-Director de Base y dirigente de Sendero Luminoso en la provincia de Jaén</w:t>
      </w:r>
      <w:r w:rsidRPr="00A35813">
        <w:rPr>
          <w:rStyle w:val="FootnoteReference"/>
          <w:sz w:val="20"/>
          <w:szCs w:val="20"/>
          <w:lang w:val="es-ES_tradnl"/>
        </w:rPr>
        <w:footnoteReference w:id="54"/>
      </w:r>
      <w:r w:rsidRPr="00350150">
        <w:rPr>
          <w:szCs w:val="20"/>
          <w:lang w:val="es-ES_tradnl"/>
        </w:rPr>
        <w:t>.</w:t>
      </w:r>
      <w:r w:rsidRPr="00350150">
        <w:rPr>
          <w:szCs w:val="20"/>
          <w:lang w:val="es-CR"/>
        </w:rPr>
        <w:t xml:space="preserve"> El Estado en el trámite ante la Comisión informó el 12 de abril 1993 que dicha persona no se encontraba registrado en el libro de detenidos, pero que en agosto 1991 visitó a su hermano Ricardo Terrones Silva, quien fue detenido por delito de terrorismo</w:t>
      </w:r>
      <w:r w:rsidRPr="00A35813">
        <w:rPr>
          <w:rStyle w:val="FootnoteReference"/>
          <w:sz w:val="20"/>
          <w:szCs w:val="20"/>
          <w:lang w:val="es-CR"/>
        </w:rPr>
        <w:footnoteReference w:id="55"/>
      </w:r>
      <w:r w:rsidRPr="00350150">
        <w:rPr>
          <w:szCs w:val="20"/>
          <w:lang w:val="es-CR"/>
        </w:rPr>
        <w:t>.</w:t>
      </w:r>
    </w:p>
    <w:p w:rsidR="00191347" w:rsidRPr="005B6024" w:rsidRDefault="00191347" w:rsidP="00191347">
      <w:pPr>
        <w:pStyle w:val="ListParagraph"/>
        <w:autoSpaceDE w:val="0"/>
        <w:autoSpaceDN w:val="0"/>
        <w:adjustRightInd w:val="0"/>
        <w:spacing w:line="20" w:lineRule="atLeast"/>
        <w:ind w:left="0" w:right="-138"/>
        <w:rPr>
          <w:rFonts w:cs="Arial"/>
          <w:color w:val="222222"/>
          <w:shd w:val="clear" w:color="auto" w:fill="FFFFFF"/>
          <w:lang w:val="es-CR"/>
        </w:rPr>
      </w:pPr>
    </w:p>
    <w:p w:rsidR="00D33B60" w:rsidRPr="00134CB4" w:rsidRDefault="00191347" w:rsidP="00827DD4">
      <w:pPr>
        <w:pStyle w:val="ListParagraph"/>
        <w:widowControl w:val="0"/>
        <w:numPr>
          <w:ilvl w:val="0"/>
          <w:numId w:val="1"/>
        </w:numPr>
        <w:tabs>
          <w:tab w:val="left" w:pos="0"/>
        </w:tabs>
        <w:adjustRightInd w:val="0"/>
        <w:ind w:left="0" w:firstLine="0"/>
        <w:rPr>
          <w:rFonts w:cs="Arial"/>
          <w:color w:val="222222"/>
          <w:shd w:val="clear" w:color="auto" w:fill="FFFFFF"/>
          <w:lang w:val="es-CR"/>
        </w:rPr>
      </w:pPr>
      <w:r w:rsidRPr="00350150">
        <w:rPr>
          <w:rFonts w:cs="Arial"/>
          <w:color w:val="222222"/>
          <w:shd w:val="clear" w:color="auto" w:fill="FFFFFF"/>
          <w:lang w:val="es-CR"/>
        </w:rPr>
        <w:t xml:space="preserve">El </w:t>
      </w:r>
      <w:r w:rsidRPr="00827DD4">
        <w:rPr>
          <w:szCs w:val="20"/>
          <w:lang w:val="es-CR"/>
        </w:rPr>
        <w:t>nombre</w:t>
      </w:r>
      <w:r w:rsidRPr="00350150">
        <w:rPr>
          <w:rFonts w:cs="Arial"/>
          <w:color w:val="222222"/>
          <w:shd w:val="clear" w:color="auto" w:fill="FFFFFF"/>
          <w:lang w:val="es-CR"/>
        </w:rPr>
        <w:t xml:space="preserve"> de Wilfredo Terrones Silva se encuentra registrado en la Nómina de Personas Muertas y Desaparecidas Reportadas a la Comisión de la Verdad y Reconciliación 1980-2000</w:t>
      </w:r>
      <w:r w:rsidRPr="00A35813">
        <w:rPr>
          <w:rStyle w:val="FootnoteReference"/>
          <w:color w:val="222222"/>
          <w:sz w:val="20"/>
          <w:szCs w:val="20"/>
          <w:shd w:val="clear" w:color="auto" w:fill="FFFFFF"/>
          <w:lang w:val="es-CR"/>
        </w:rPr>
        <w:footnoteReference w:id="56"/>
      </w:r>
      <w:r w:rsidRPr="00350150">
        <w:rPr>
          <w:rFonts w:cs="Arial"/>
          <w:color w:val="222222"/>
          <w:shd w:val="clear" w:color="auto" w:fill="FFFFFF"/>
          <w:lang w:val="es-CR"/>
        </w:rPr>
        <w:t>.</w:t>
      </w:r>
      <w:r w:rsidRPr="00350150">
        <w:rPr>
          <w:rFonts w:cs="Arial"/>
          <w:color w:val="222222"/>
          <w:sz w:val="16"/>
          <w:szCs w:val="16"/>
          <w:shd w:val="clear" w:color="auto" w:fill="FFFFFF"/>
          <w:lang w:val="es-CR"/>
        </w:rPr>
        <w:t xml:space="preserve"> </w:t>
      </w:r>
    </w:p>
    <w:p w:rsidR="00D33B60" w:rsidRPr="00C65EA4" w:rsidRDefault="00D33B60" w:rsidP="0006126E">
      <w:pPr>
        <w:pStyle w:val="ListParagraph"/>
        <w:autoSpaceDE w:val="0"/>
        <w:autoSpaceDN w:val="0"/>
        <w:adjustRightInd w:val="0"/>
        <w:spacing w:line="20" w:lineRule="atLeast"/>
        <w:ind w:left="0" w:right="-138"/>
        <w:rPr>
          <w:rFonts w:cs="Arial"/>
          <w:color w:val="222222"/>
          <w:shd w:val="clear" w:color="auto" w:fill="FFFFFF"/>
          <w:lang w:val="es-CR"/>
        </w:rPr>
      </w:pPr>
    </w:p>
    <w:p w:rsidR="00191347" w:rsidRPr="001D36EE" w:rsidRDefault="00191347" w:rsidP="00F27325">
      <w:pPr>
        <w:pStyle w:val="ListParagraph"/>
        <w:autoSpaceDE w:val="0"/>
        <w:autoSpaceDN w:val="0"/>
        <w:adjustRightInd w:val="0"/>
        <w:spacing w:line="20" w:lineRule="atLeast"/>
        <w:ind w:right="-138"/>
        <w:rPr>
          <w:rFonts w:cs="Arial"/>
          <w:i/>
          <w:color w:val="222222"/>
          <w:shd w:val="clear" w:color="auto" w:fill="FFFFFF"/>
          <w:lang w:val="es-CR"/>
        </w:rPr>
      </w:pPr>
      <w:r w:rsidRPr="009F4E64">
        <w:rPr>
          <w:i/>
          <w:szCs w:val="20"/>
          <w:lang w:val="es-CR"/>
        </w:rPr>
        <w:t>B.1.</w:t>
      </w:r>
      <w:r>
        <w:rPr>
          <w:i/>
          <w:szCs w:val="20"/>
          <w:lang w:val="es-CR"/>
        </w:rPr>
        <w:t>3</w:t>
      </w:r>
      <w:r w:rsidR="00DB4E19">
        <w:rPr>
          <w:i/>
          <w:szCs w:val="20"/>
          <w:lang w:val="es-CR"/>
        </w:rPr>
        <w:t>.</w:t>
      </w:r>
      <w:r w:rsidRPr="001D36EE">
        <w:rPr>
          <w:i/>
          <w:szCs w:val="20"/>
          <w:lang w:val="es-CR"/>
        </w:rPr>
        <w:t xml:space="preserve"> </w:t>
      </w:r>
      <w:r>
        <w:rPr>
          <w:i/>
          <w:szCs w:val="20"/>
          <w:lang w:val="es-CR"/>
        </w:rPr>
        <w:t xml:space="preserve"> A</w:t>
      </w:r>
      <w:r w:rsidR="0014778A">
        <w:rPr>
          <w:i/>
          <w:szCs w:val="20"/>
          <w:lang w:val="es-CR"/>
        </w:rPr>
        <w:t>ctuaciones en la jurisdicción interna sobre</w:t>
      </w:r>
      <w:r w:rsidRPr="001D36EE">
        <w:rPr>
          <w:i/>
          <w:szCs w:val="20"/>
          <w:lang w:val="es-CR"/>
        </w:rPr>
        <w:t xml:space="preserve"> la </w:t>
      </w:r>
      <w:r w:rsidRPr="00394664">
        <w:rPr>
          <w:i/>
          <w:szCs w:val="20"/>
          <w:lang w:val="es-CR"/>
        </w:rPr>
        <w:t>desaparición</w:t>
      </w:r>
      <w:r w:rsidRPr="001D36EE">
        <w:rPr>
          <w:i/>
          <w:szCs w:val="20"/>
          <w:lang w:val="es-CR"/>
        </w:rPr>
        <w:t xml:space="preserve"> de Wilfredo Terrones Silva</w:t>
      </w:r>
    </w:p>
    <w:p w:rsidR="00191347" w:rsidRPr="001D36EE" w:rsidRDefault="00191347" w:rsidP="00191347">
      <w:pPr>
        <w:pStyle w:val="ListParagraph"/>
        <w:rPr>
          <w:rFonts w:cs="Arial"/>
          <w:i/>
          <w:color w:val="222222"/>
          <w:shd w:val="clear" w:color="auto" w:fill="FFFFFF"/>
          <w:lang w:val="es-CR"/>
        </w:rPr>
      </w:pPr>
    </w:p>
    <w:p w:rsidR="00191347" w:rsidRDefault="00191347" w:rsidP="00191347">
      <w:pPr>
        <w:pStyle w:val="ListParagraph"/>
        <w:autoSpaceDE w:val="0"/>
        <w:autoSpaceDN w:val="0"/>
        <w:adjustRightInd w:val="0"/>
        <w:spacing w:line="20" w:lineRule="atLeast"/>
        <w:ind w:left="0" w:right="-138" w:firstLine="720"/>
        <w:rPr>
          <w:rFonts w:cs="Arial"/>
          <w:i/>
          <w:color w:val="222222"/>
          <w:shd w:val="clear" w:color="auto" w:fill="FFFFFF"/>
          <w:lang w:val="es-CR"/>
        </w:rPr>
      </w:pPr>
      <w:r>
        <w:rPr>
          <w:rFonts w:cs="Arial"/>
          <w:i/>
          <w:color w:val="222222"/>
          <w:shd w:val="clear" w:color="auto" w:fill="FFFFFF"/>
          <w:lang w:val="es-CR"/>
        </w:rPr>
        <w:t>B.1.3.</w:t>
      </w:r>
      <w:r w:rsidR="00DF0444">
        <w:rPr>
          <w:rFonts w:cs="Arial"/>
          <w:i/>
          <w:color w:val="222222"/>
          <w:shd w:val="clear" w:color="auto" w:fill="FFFFFF"/>
          <w:lang w:val="es-CR"/>
        </w:rPr>
        <w:t>1</w:t>
      </w:r>
      <w:r w:rsidR="00DB4E19">
        <w:rPr>
          <w:rFonts w:cs="Arial"/>
          <w:i/>
          <w:color w:val="222222"/>
          <w:shd w:val="clear" w:color="auto" w:fill="FFFFFF"/>
          <w:lang w:val="es-CR"/>
        </w:rPr>
        <w:t>.</w:t>
      </w:r>
      <w:r w:rsidR="00DF0444">
        <w:rPr>
          <w:rFonts w:cs="Arial"/>
          <w:i/>
          <w:color w:val="222222"/>
          <w:shd w:val="clear" w:color="auto" w:fill="FFFFFF"/>
          <w:lang w:val="es-CR"/>
        </w:rPr>
        <w:t xml:space="preserve"> </w:t>
      </w:r>
      <w:r>
        <w:rPr>
          <w:rFonts w:cs="Arial"/>
          <w:i/>
          <w:color w:val="222222"/>
          <w:shd w:val="clear" w:color="auto" w:fill="FFFFFF"/>
          <w:lang w:val="es-CR"/>
        </w:rPr>
        <w:t>Investigaciones iniciadas ante el fuero ordinario</w:t>
      </w:r>
    </w:p>
    <w:p w:rsidR="00191347" w:rsidRPr="00C85FD3" w:rsidRDefault="00191347" w:rsidP="00191347">
      <w:pPr>
        <w:pStyle w:val="ListParagraph"/>
        <w:autoSpaceDE w:val="0"/>
        <w:autoSpaceDN w:val="0"/>
        <w:adjustRightInd w:val="0"/>
        <w:spacing w:line="20" w:lineRule="atLeast"/>
        <w:ind w:left="0" w:right="-138"/>
        <w:rPr>
          <w:rFonts w:cs="Arial"/>
          <w:i/>
          <w:color w:val="222222"/>
          <w:shd w:val="clear" w:color="auto" w:fill="FFFFFF"/>
          <w:lang w:val="es-CR"/>
        </w:rPr>
      </w:pPr>
    </w:p>
    <w:p w:rsidR="00D33B60" w:rsidRPr="00D92DFF" w:rsidRDefault="00191347" w:rsidP="00D92DFF">
      <w:pPr>
        <w:pStyle w:val="ListParagraph"/>
        <w:widowControl w:val="0"/>
        <w:numPr>
          <w:ilvl w:val="0"/>
          <w:numId w:val="1"/>
        </w:numPr>
        <w:tabs>
          <w:tab w:val="left" w:pos="0"/>
        </w:tabs>
        <w:adjustRightInd w:val="0"/>
        <w:ind w:left="0" w:firstLine="0"/>
        <w:rPr>
          <w:rFonts w:cs="Arial"/>
          <w:color w:val="222222"/>
          <w:shd w:val="clear" w:color="auto" w:fill="FFFFFF"/>
          <w:lang w:val="es-CR"/>
        </w:rPr>
      </w:pPr>
      <w:r w:rsidRPr="005E639B">
        <w:rPr>
          <w:szCs w:val="20"/>
          <w:lang w:val="es-CR"/>
        </w:rPr>
        <w:t>El 28 de agosto de 1992 se denunció su desaparición ante la Décima Qu</w:t>
      </w:r>
      <w:r>
        <w:rPr>
          <w:szCs w:val="20"/>
          <w:lang w:val="es-CR"/>
        </w:rPr>
        <w:t xml:space="preserve">inta Fiscalía Penal de </w:t>
      </w:r>
      <w:r w:rsidRPr="00827DD4">
        <w:rPr>
          <w:rFonts w:cs="Arial"/>
          <w:color w:val="222222"/>
          <w:shd w:val="clear" w:color="auto" w:fill="FFFFFF"/>
          <w:lang w:val="es-CR"/>
        </w:rPr>
        <w:t>Lima</w:t>
      </w:r>
      <w:r>
        <w:rPr>
          <w:szCs w:val="20"/>
          <w:lang w:val="es-CR"/>
        </w:rPr>
        <w:t>. P</w:t>
      </w:r>
      <w:r w:rsidRPr="005E639B">
        <w:rPr>
          <w:szCs w:val="20"/>
          <w:lang w:val="es-CR"/>
        </w:rPr>
        <w:t>osteriormente</w:t>
      </w:r>
      <w:r w:rsidR="0014778A">
        <w:rPr>
          <w:szCs w:val="20"/>
          <w:lang w:val="es-CR"/>
        </w:rPr>
        <w:t>,</w:t>
      </w:r>
      <w:r w:rsidRPr="005E639B">
        <w:rPr>
          <w:szCs w:val="20"/>
          <w:lang w:val="es-CR"/>
        </w:rPr>
        <w:t xml:space="preserve"> el 1 de septiembre de 1992</w:t>
      </w:r>
      <w:r>
        <w:rPr>
          <w:szCs w:val="20"/>
          <w:lang w:val="es-CR"/>
        </w:rPr>
        <w:t xml:space="preserve"> </w:t>
      </w:r>
      <w:r w:rsidRPr="005E639B">
        <w:rPr>
          <w:szCs w:val="20"/>
          <w:lang w:val="es-CR"/>
        </w:rPr>
        <w:t>se denunció ante la Dirección de Personas Desaparecidas de la Policía Nacional</w:t>
      </w:r>
      <w:r w:rsidRPr="00A35813">
        <w:rPr>
          <w:rStyle w:val="FootnoteReference"/>
          <w:sz w:val="20"/>
          <w:szCs w:val="20"/>
          <w:lang w:val="es-CR"/>
        </w:rPr>
        <w:footnoteReference w:id="57"/>
      </w:r>
      <w:r w:rsidRPr="00A35813">
        <w:rPr>
          <w:szCs w:val="20"/>
          <w:lang w:val="es-CR"/>
        </w:rPr>
        <w:t>.</w:t>
      </w:r>
      <w:r w:rsidRPr="005E639B">
        <w:rPr>
          <w:szCs w:val="20"/>
          <w:lang w:val="es-CR"/>
        </w:rPr>
        <w:t xml:space="preserve"> </w:t>
      </w:r>
      <w:r w:rsidRPr="00ED3BFD">
        <w:rPr>
          <w:b/>
          <w:sz w:val="16"/>
          <w:szCs w:val="16"/>
          <w:lang w:val="es-CR"/>
        </w:rPr>
        <w:t xml:space="preserve"> </w:t>
      </w:r>
    </w:p>
    <w:p w:rsidR="00191347" w:rsidRPr="00563483" w:rsidRDefault="00191347" w:rsidP="00827DD4">
      <w:pPr>
        <w:pStyle w:val="ListParagraph"/>
        <w:widowControl w:val="0"/>
        <w:numPr>
          <w:ilvl w:val="0"/>
          <w:numId w:val="1"/>
        </w:numPr>
        <w:tabs>
          <w:tab w:val="left" w:pos="0"/>
        </w:tabs>
        <w:adjustRightInd w:val="0"/>
        <w:ind w:left="0" w:firstLine="0"/>
        <w:rPr>
          <w:rFonts w:cs="Arial"/>
          <w:color w:val="222222"/>
          <w:shd w:val="clear" w:color="auto" w:fill="FFFFFF"/>
          <w:lang w:val="es-CR"/>
        </w:rPr>
      </w:pPr>
      <w:r w:rsidRPr="00563483">
        <w:rPr>
          <w:rFonts w:cs="Arial"/>
          <w:color w:val="222222"/>
          <w:shd w:val="clear" w:color="auto" w:fill="FFFFFF"/>
          <w:lang w:val="es-CR"/>
        </w:rPr>
        <w:lastRenderedPageBreak/>
        <w:t xml:space="preserve">En </w:t>
      </w:r>
      <w:bookmarkStart w:id="128" w:name="_Hlk520583193"/>
      <w:r w:rsidRPr="00563483">
        <w:rPr>
          <w:rFonts w:cs="Arial"/>
          <w:color w:val="222222"/>
          <w:shd w:val="clear" w:color="auto" w:fill="FFFFFF"/>
          <w:lang w:val="es-CR"/>
        </w:rPr>
        <w:t xml:space="preserve">el </w:t>
      </w:r>
      <w:r w:rsidRPr="00827DD4">
        <w:rPr>
          <w:szCs w:val="20"/>
          <w:lang w:val="es-CR"/>
        </w:rPr>
        <w:t>Parte</w:t>
      </w:r>
      <w:r w:rsidRPr="00563483">
        <w:rPr>
          <w:rFonts w:cs="Arial"/>
          <w:color w:val="222222"/>
          <w:shd w:val="clear" w:color="auto" w:fill="FFFFFF"/>
          <w:lang w:val="es-CR"/>
        </w:rPr>
        <w:t xml:space="preserve"> No. 474-IE-DIDCOF de 5 de noviembre de 1992 se indicó que el Estado ha “realizado las diligencias respectivas tendientes a lograr la Ubicación del Dr. Wilfredo Terrones Silva[,]” sin obtener resultados positivo</w:t>
      </w:r>
      <w:r w:rsidRPr="00563483">
        <w:rPr>
          <w:rFonts w:cs="Arial"/>
          <w:color w:val="222222"/>
          <w:szCs w:val="20"/>
          <w:shd w:val="clear" w:color="auto" w:fill="FFFFFF"/>
          <w:lang w:val="es-CR"/>
        </w:rPr>
        <w:t>s</w:t>
      </w:r>
      <w:r w:rsidRPr="00A35813">
        <w:rPr>
          <w:rStyle w:val="FootnoteReference"/>
          <w:color w:val="222222"/>
          <w:sz w:val="20"/>
          <w:szCs w:val="20"/>
          <w:shd w:val="clear" w:color="auto" w:fill="FFFFFF"/>
          <w:lang w:val="es-CR"/>
        </w:rPr>
        <w:footnoteReference w:id="58"/>
      </w:r>
      <w:r w:rsidRPr="00563483">
        <w:rPr>
          <w:rFonts w:cs="Arial"/>
          <w:color w:val="222222"/>
          <w:szCs w:val="20"/>
          <w:shd w:val="clear" w:color="auto" w:fill="FFFFFF"/>
          <w:lang w:val="es-CR"/>
        </w:rPr>
        <w:t>.</w:t>
      </w:r>
      <w:r w:rsidRPr="00563483">
        <w:rPr>
          <w:rFonts w:cs="Arial"/>
          <w:color w:val="222222"/>
          <w:shd w:val="clear" w:color="auto" w:fill="FFFFFF"/>
          <w:lang w:val="es-CR"/>
        </w:rPr>
        <w:t xml:space="preserve"> En el Informe No. 33 JDCL-DAU-MC </w:t>
      </w:r>
      <w:r w:rsidR="000D0383">
        <w:rPr>
          <w:rFonts w:cs="Arial"/>
          <w:color w:val="222222"/>
          <w:shd w:val="clear" w:color="auto" w:fill="FFFFFF"/>
          <w:lang w:val="es-CR"/>
        </w:rPr>
        <w:t xml:space="preserve">del Estado </w:t>
      </w:r>
      <w:r w:rsidRPr="00563483">
        <w:rPr>
          <w:rFonts w:cs="Arial"/>
          <w:color w:val="222222"/>
          <w:shd w:val="clear" w:color="auto" w:fill="FFFFFF"/>
          <w:lang w:val="es-CR"/>
        </w:rPr>
        <w:t>de 11 de noviembre de 1992</w:t>
      </w:r>
      <w:bookmarkEnd w:id="128"/>
      <w:r w:rsidR="00D33B60">
        <w:rPr>
          <w:rFonts w:cs="Arial"/>
          <w:color w:val="222222"/>
          <w:shd w:val="clear" w:color="auto" w:fill="FFFFFF"/>
          <w:lang w:val="es-CR"/>
        </w:rPr>
        <w:t xml:space="preserve"> se señal</w:t>
      </w:r>
      <w:r w:rsidRPr="00563483">
        <w:rPr>
          <w:rFonts w:cs="Arial"/>
          <w:color w:val="222222"/>
          <w:shd w:val="clear" w:color="auto" w:fill="FFFFFF"/>
          <w:lang w:val="es-CR"/>
        </w:rPr>
        <w:t>ó que personal de la Policía Nacional se apersonó en varias ocasiones al estudio jurídico del señor Terrones Silva sin poder ubicar a alguien</w:t>
      </w:r>
      <w:r w:rsidR="00D33B60" w:rsidRPr="00D33B60">
        <w:rPr>
          <w:rStyle w:val="FootnoteReference"/>
          <w:color w:val="222222"/>
          <w:sz w:val="20"/>
          <w:szCs w:val="20"/>
          <w:shd w:val="clear" w:color="auto" w:fill="FFFFFF"/>
          <w:lang w:val="es-CR"/>
        </w:rPr>
        <w:footnoteReference w:id="59"/>
      </w:r>
      <w:r w:rsidRPr="00563483">
        <w:rPr>
          <w:rFonts w:cs="Arial"/>
          <w:color w:val="222222"/>
          <w:shd w:val="clear" w:color="auto" w:fill="FFFFFF"/>
          <w:lang w:val="es-CR"/>
        </w:rPr>
        <w:t xml:space="preserve">. </w:t>
      </w:r>
    </w:p>
    <w:p w:rsidR="00563483" w:rsidRPr="00563483" w:rsidRDefault="00563483" w:rsidP="00563483">
      <w:pPr>
        <w:pStyle w:val="ListParagraph"/>
        <w:autoSpaceDE w:val="0"/>
        <w:autoSpaceDN w:val="0"/>
        <w:adjustRightInd w:val="0"/>
        <w:spacing w:line="20" w:lineRule="atLeast"/>
        <w:ind w:left="0" w:right="-138"/>
        <w:rPr>
          <w:rFonts w:cs="Arial"/>
          <w:color w:val="222222"/>
          <w:shd w:val="clear" w:color="auto" w:fill="FFFFFF"/>
          <w:lang w:val="es-CR"/>
        </w:rPr>
      </w:pPr>
    </w:p>
    <w:p w:rsidR="0064216D" w:rsidRPr="000D0383" w:rsidRDefault="00191347" w:rsidP="00827DD4">
      <w:pPr>
        <w:pStyle w:val="ListParagraph"/>
        <w:widowControl w:val="0"/>
        <w:numPr>
          <w:ilvl w:val="0"/>
          <w:numId w:val="1"/>
        </w:numPr>
        <w:tabs>
          <w:tab w:val="left" w:pos="0"/>
        </w:tabs>
        <w:adjustRightInd w:val="0"/>
        <w:ind w:left="0" w:firstLine="0"/>
        <w:rPr>
          <w:rFonts w:cs="Arial"/>
          <w:color w:val="222222"/>
          <w:shd w:val="clear" w:color="auto" w:fill="FFFFFF"/>
          <w:lang w:val="es-CR"/>
        </w:rPr>
      </w:pPr>
      <w:r w:rsidRPr="002A6108">
        <w:rPr>
          <w:szCs w:val="20"/>
          <w:lang w:val="es-CR"/>
        </w:rPr>
        <w:t xml:space="preserve">El 19 de marzo de 1993 el Estado </w:t>
      </w:r>
      <w:r>
        <w:rPr>
          <w:szCs w:val="20"/>
          <w:lang w:val="es-CR"/>
        </w:rPr>
        <w:t>consideró</w:t>
      </w:r>
      <w:r w:rsidRPr="002A6108">
        <w:rPr>
          <w:szCs w:val="20"/>
          <w:lang w:val="es-CR"/>
        </w:rPr>
        <w:t xml:space="preserve"> que se debe presumir que Wilfredo Terrones Silva pasó a la clandestinidad debido a que no existía evidencia o indicio para establecer que se trate de un secuestro</w:t>
      </w:r>
      <w:r w:rsidRPr="002F2FA0">
        <w:rPr>
          <w:rStyle w:val="FootnoteReference"/>
          <w:sz w:val="20"/>
          <w:szCs w:val="20"/>
          <w:lang w:val="es-CR"/>
        </w:rPr>
        <w:footnoteReference w:id="60"/>
      </w:r>
      <w:r w:rsidRPr="002F2FA0">
        <w:rPr>
          <w:szCs w:val="20"/>
          <w:lang w:val="es-CR"/>
        </w:rPr>
        <w:t>.</w:t>
      </w:r>
      <w:r w:rsidRPr="002A6108">
        <w:rPr>
          <w:szCs w:val="20"/>
          <w:lang w:val="es-CR"/>
        </w:rPr>
        <w:t xml:space="preserve"> </w:t>
      </w:r>
      <w:r w:rsidRPr="002A6108">
        <w:rPr>
          <w:sz w:val="16"/>
          <w:szCs w:val="16"/>
        </w:rPr>
        <w:t xml:space="preserve"> </w:t>
      </w:r>
    </w:p>
    <w:p w:rsidR="000D0383" w:rsidRPr="00F55D26" w:rsidRDefault="000D0383" w:rsidP="000D0383">
      <w:pPr>
        <w:pStyle w:val="ListParagraph"/>
        <w:autoSpaceDE w:val="0"/>
        <w:autoSpaceDN w:val="0"/>
        <w:adjustRightInd w:val="0"/>
        <w:spacing w:line="20" w:lineRule="atLeast"/>
        <w:ind w:left="0" w:right="-138"/>
        <w:rPr>
          <w:rFonts w:cs="Arial"/>
          <w:color w:val="222222"/>
          <w:shd w:val="clear" w:color="auto" w:fill="FFFFFF"/>
          <w:lang w:val="es-CR"/>
        </w:rPr>
      </w:pPr>
    </w:p>
    <w:p w:rsidR="00191347" w:rsidRPr="00563483" w:rsidRDefault="00191347" w:rsidP="00827DD4">
      <w:pPr>
        <w:pStyle w:val="ListParagraph"/>
        <w:widowControl w:val="0"/>
        <w:numPr>
          <w:ilvl w:val="0"/>
          <w:numId w:val="1"/>
        </w:numPr>
        <w:tabs>
          <w:tab w:val="left" w:pos="0"/>
        </w:tabs>
        <w:adjustRightInd w:val="0"/>
        <w:ind w:left="0" w:firstLine="0"/>
        <w:rPr>
          <w:rFonts w:cs="Arial"/>
          <w:color w:val="222222"/>
          <w:shd w:val="clear" w:color="auto" w:fill="FFFFFF"/>
          <w:lang w:val="es-CR"/>
        </w:rPr>
      </w:pPr>
      <w:r w:rsidRPr="00563483">
        <w:rPr>
          <w:szCs w:val="20"/>
          <w:lang w:val="es-CR"/>
        </w:rPr>
        <w:t xml:space="preserve">El 22 de septiembre de 2011 el Estado indicó </w:t>
      </w:r>
      <w:r w:rsidR="00D33B60">
        <w:rPr>
          <w:szCs w:val="20"/>
          <w:lang w:val="es-CR"/>
        </w:rPr>
        <w:t>que no cuenta con información sobre</w:t>
      </w:r>
      <w:r w:rsidRPr="00563483">
        <w:rPr>
          <w:szCs w:val="20"/>
          <w:lang w:val="es-CR"/>
        </w:rPr>
        <w:t xml:space="preserve"> la ubicación de Wilfredo Terrones Silva, aunque se han realizado diversas diligencias</w:t>
      </w:r>
      <w:r w:rsidRPr="00563483">
        <w:rPr>
          <w:rStyle w:val="FootnoteReference"/>
          <w:sz w:val="20"/>
          <w:szCs w:val="20"/>
          <w:lang w:val="es-CR"/>
        </w:rPr>
        <w:footnoteReference w:id="61"/>
      </w:r>
      <w:r w:rsidR="00D33B60">
        <w:rPr>
          <w:szCs w:val="20"/>
          <w:lang w:val="es-CR"/>
        </w:rPr>
        <w:t xml:space="preserve"> para su </w:t>
      </w:r>
      <w:r w:rsidRPr="00563483">
        <w:rPr>
          <w:szCs w:val="20"/>
          <w:lang w:val="es-CR"/>
        </w:rPr>
        <w:t xml:space="preserve"> búsqueda y </w:t>
      </w:r>
      <w:r w:rsidR="00D33B60">
        <w:rPr>
          <w:szCs w:val="20"/>
          <w:lang w:val="es-CR"/>
        </w:rPr>
        <w:t>localización</w:t>
      </w:r>
      <w:r w:rsidRPr="00563483">
        <w:rPr>
          <w:rStyle w:val="FootnoteReference"/>
          <w:sz w:val="20"/>
          <w:szCs w:val="20"/>
          <w:lang w:val="es-CR"/>
        </w:rPr>
        <w:footnoteReference w:id="62"/>
      </w:r>
      <w:r w:rsidRPr="00563483">
        <w:rPr>
          <w:szCs w:val="20"/>
          <w:lang w:val="es-CR"/>
        </w:rPr>
        <w:t>,</w:t>
      </w:r>
      <w:r w:rsidR="00D33B60">
        <w:rPr>
          <w:szCs w:val="20"/>
          <w:lang w:val="es-CR"/>
        </w:rPr>
        <w:t xml:space="preserve"> y</w:t>
      </w:r>
      <w:r w:rsidRPr="00563483">
        <w:rPr>
          <w:szCs w:val="20"/>
          <w:lang w:val="es-CR"/>
        </w:rPr>
        <w:t xml:space="preserve"> es un caso por resolver en la División de Personas Desaparecidas de la Dirección de Investigación Criminal de la Policía Nacional del Perú (DIRINCRI-PNP). Además</w:t>
      </w:r>
      <w:r w:rsidR="000D0383">
        <w:rPr>
          <w:szCs w:val="20"/>
          <w:lang w:val="es-CR"/>
        </w:rPr>
        <w:t>,</w:t>
      </w:r>
      <w:r w:rsidRPr="00563483">
        <w:rPr>
          <w:szCs w:val="20"/>
          <w:lang w:val="es-CR"/>
        </w:rPr>
        <w:t xml:space="preserve"> señaló que</w:t>
      </w:r>
      <w:r w:rsidR="00D33B60">
        <w:rPr>
          <w:szCs w:val="20"/>
          <w:lang w:val="es-CR"/>
        </w:rPr>
        <w:t>,</w:t>
      </w:r>
      <w:r w:rsidRPr="00563483">
        <w:rPr>
          <w:szCs w:val="20"/>
          <w:lang w:val="es-CR"/>
        </w:rPr>
        <w:t xml:space="preserve"> según información del Sistema de Información de Apoyo al Trabajo Fi</w:t>
      </w:r>
      <w:r w:rsidR="00D33B60">
        <w:rPr>
          <w:szCs w:val="20"/>
          <w:lang w:val="es-CR"/>
        </w:rPr>
        <w:t>scal del Ministerio Público,</w:t>
      </w:r>
      <w:r w:rsidRPr="00563483">
        <w:rPr>
          <w:szCs w:val="20"/>
          <w:lang w:val="es-CR"/>
        </w:rPr>
        <w:t xml:space="preserve"> en mayo de 2011 aún existía un proceso por delito de terrorismo </w:t>
      </w:r>
      <w:r w:rsidR="003402D1">
        <w:rPr>
          <w:szCs w:val="20"/>
          <w:lang w:val="es-CR"/>
        </w:rPr>
        <w:t>en su contra</w:t>
      </w:r>
      <w:r w:rsidRPr="00563483">
        <w:rPr>
          <w:szCs w:val="20"/>
          <w:lang w:val="es-CR"/>
        </w:rPr>
        <w:t xml:space="preserve"> y a la fecha existe una orden de captura por t</w:t>
      </w:r>
      <w:r w:rsidR="00D33B60">
        <w:rPr>
          <w:szCs w:val="20"/>
          <w:lang w:val="es-CR"/>
        </w:rPr>
        <w:t>errorismo vigente en su contra,</w:t>
      </w:r>
      <w:r w:rsidR="00D33B60">
        <w:rPr>
          <w:rFonts w:eastAsiaTheme="minorHAnsi" w:cs="Corbel"/>
          <w:szCs w:val="20"/>
          <w:lang w:val="es-CR"/>
        </w:rPr>
        <w:t xml:space="preserve"> </w:t>
      </w:r>
      <w:r w:rsidRPr="00563483">
        <w:rPr>
          <w:rFonts w:eastAsiaTheme="minorHAnsi" w:cs="Corbel"/>
          <w:szCs w:val="20"/>
          <w:lang w:val="es-CR"/>
        </w:rPr>
        <w:t xml:space="preserve">en el </w:t>
      </w:r>
      <w:r w:rsidRPr="00B1720D">
        <w:rPr>
          <w:rFonts w:eastAsiaTheme="minorHAnsi" w:cs="Corbel"/>
          <w:szCs w:val="20"/>
          <w:lang w:val="es-CR"/>
        </w:rPr>
        <w:t>Expediente</w:t>
      </w:r>
      <w:r w:rsidR="009B49D0" w:rsidRPr="00B1720D">
        <w:rPr>
          <w:rFonts w:eastAsiaTheme="minorHAnsi" w:cs="Corbel"/>
          <w:szCs w:val="20"/>
          <w:lang w:val="es-CR"/>
        </w:rPr>
        <w:t xml:space="preserve"> No. 2004-35</w:t>
      </w:r>
      <w:r w:rsidRPr="00563483">
        <w:rPr>
          <w:rFonts w:eastAsiaTheme="minorHAnsi" w:cs="Corbel"/>
          <w:szCs w:val="20"/>
          <w:lang w:val="es-CR"/>
        </w:rPr>
        <w:t xml:space="preserve"> </w:t>
      </w:r>
      <w:r w:rsidR="001418E7">
        <w:rPr>
          <w:rFonts w:eastAsiaTheme="minorHAnsi" w:cs="Corbel"/>
          <w:szCs w:val="20"/>
          <w:lang w:val="es-CR"/>
        </w:rPr>
        <w:t>del Distrito Judic</w:t>
      </w:r>
      <w:r w:rsidR="00603D8C">
        <w:rPr>
          <w:rFonts w:eastAsiaTheme="minorHAnsi" w:cs="Corbel"/>
          <w:szCs w:val="20"/>
          <w:lang w:val="es-CR"/>
        </w:rPr>
        <w:t>i</w:t>
      </w:r>
      <w:r w:rsidR="001418E7">
        <w:rPr>
          <w:rFonts w:eastAsiaTheme="minorHAnsi" w:cs="Corbel"/>
          <w:szCs w:val="20"/>
          <w:lang w:val="es-CR"/>
        </w:rPr>
        <w:t>al de Lima</w:t>
      </w:r>
      <w:r w:rsidR="00431C19" w:rsidRPr="000D0383">
        <w:rPr>
          <w:rStyle w:val="FootnoteReference"/>
          <w:sz w:val="20"/>
          <w:szCs w:val="20"/>
          <w:lang w:val="es-CR"/>
        </w:rPr>
        <w:footnoteReference w:id="63"/>
      </w:r>
      <w:r w:rsidRPr="00563483">
        <w:rPr>
          <w:rFonts w:eastAsiaTheme="minorHAnsi" w:cs="Corbel"/>
          <w:szCs w:val="20"/>
          <w:lang w:val="es-CR"/>
        </w:rPr>
        <w:t>.</w:t>
      </w:r>
      <w:r w:rsidR="00D33B60">
        <w:rPr>
          <w:rFonts w:cs="Arial"/>
          <w:color w:val="222222"/>
          <w:shd w:val="clear" w:color="auto" w:fill="FFFFFF"/>
          <w:lang w:val="es-CR"/>
        </w:rPr>
        <w:t xml:space="preserve"> También adujo</w:t>
      </w:r>
      <w:r w:rsidRPr="00563483">
        <w:rPr>
          <w:rFonts w:cs="Arial"/>
          <w:color w:val="222222"/>
          <w:shd w:val="clear" w:color="auto" w:fill="FFFFFF"/>
          <w:lang w:val="es-CR"/>
        </w:rPr>
        <w:t xml:space="preserve"> </w:t>
      </w:r>
      <w:r w:rsidRPr="00563483">
        <w:rPr>
          <w:lang w:val="es-AR"/>
        </w:rPr>
        <w:t>que existió una investigación a nivel policial en el año 2005</w:t>
      </w:r>
      <w:r w:rsidR="00D33B60">
        <w:rPr>
          <w:lang w:val="es-AR"/>
        </w:rPr>
        <w:t>,</w:t>
      </w:r>
      <w:r w:rsidRPr="00563483">
        <w:rPr>
          <w:lang w:val="es-AR"/>
        </w:rPr>
        <w:t xml:space="preserve"> con el fin d</w:t>
      </w:r>
      <w:r w:rsidR="00FF29F8" w:rsidRPr="00563483">
        <w:rPr>
          <w:lang w:val="es-AR"/>
        </w:rPr>
        <w:t>e ubicar a la presunta víctima</w:t>
      </w:r>
      <w:r w:rsidR="00284769" w:rsidRPr="00563483">
        <w:rPr>
          <w:rStyle w:val="FootnoteReference"/>
          <w:sz w:val="20"/>
          <w:szCs w:val="20"/>
          <w:lang w:val="es-AR"/>
        </w:rPr>
        <w:footnoteReference w:id="64"/>
      </w:r>
      <w:r w:rsidR="00FF29F8" w:rsidRPr="00563483">
        <w:rPr>
          <w:lang w:val="es-AR"/>
        </w:rPr>
        <w:t>.</w:t>
      </w:r>
    </w:p>
    <w:p w:rsidR="00191347" w:rsidRPr="001C13EA" w:rsidRDefault="00191347" w:rsidP="00191347">
      <w:pPr>
        <w:pStyle w:val="ListParagraph"/>
        <w:ind w:left="0"/>
        <w:rPr>
          <w:szCs w:val="20"/>
          <w:lang w:val="es-CR"/>
        </w:rPr>
      </w:pPr>
    </w:p>
    <w:p w:rsidR="00191347" w:rsidRPr="00CE7723" w:rsidRDefault="00191347" w:rsidP="00F27325">
      <w:pPr>
        <w:pStyle w:val="ListParagraph"/>
        <w:autoSpaceDE w:val="0"/>
        <w:autoSpaceDN w:val="0"/>
        <w:adjustRightInd w:val="0"/>
        <w:spacing w:line="20" w:lineRule="atLeast"/>
        <w:ind w:left="708" w:right="-138"/>
        <w:rPr>
          <w:rFonts w:cs="Arial"/>
          <w:i/>
          <w:color w:val="222222"/>
          <w:szCs w:val="20"/>
          <w:shd w:val="clear" w:color="auto" w:fill="FFFFFF"/>
          <w:lang w:val="es-CR"/>
        </w:rPr>
      </w:pPr>
      <w:r>
        <w:rPr>
          <w:rFonts w:cs="Arial"/>
          <w:i/>
          <w:color w:val="222222"/>
          <w:szCs w:val="20"/>
          <w:shd w:val="clear" w:color="auto" w:fill="FFFFFF"/>
          <w:lang w:val="es-CR"/>
        </w:rPr>
        <w:t>B.1.3.</w:t>
      </w:r>
      <w:r w:rsidR="00DF0444">
        <w:rPr>
          <w:rFonts w:cs="Arial"/>
          <w:i/>
          <w:color w:val="222222"/>
          <w:szCs w:val="20"/>
          <w:shd w:val="clear" w:color="auto" w:fill="FFFFFF"/>
          <w:lang w:val="es-CR"/>
        </w:rPr>
        <w:t>2</w:t>
      </w:r>
      <w:r w:rsidR="00DB4E19">
        <w:rPr>
          <w:rFonts w:cs="Arial"/>
          <w:i/>
          <w:color w:val="222222"/>
          <w:szCs w:val="20"/>
          <w:shd w:val="clear" w:color="auto" w:fill="FFFFFF"/>
          <w:lang w:val="es-CR"/>
        </w:rPr>
        <w:t>.</w:t>
      </w:r>
      <w:r w:rsidR="00DF0444">
        <w:rPr>
          <w:rFonts w:cs="Arial"/>
          <w:i/>
          <w:color w:val="222222"/>
          <w:szCs w:val="20"/>
          <w:shd w:val="clear" w:color="auto" w:fill="FFFFFF"/>
          <w:lang w:val="es-CR"/>
        </w:rPr>
        <w:t xml:space="preserve"> </w:t>
      </w:r>
      <w:r w:rsidRPr="00CE7723">
        <w:rPr>
          <w:rFonts w:cs="Arial"/>
          <w:i/>
          <w:color w:val="222222"/>
          <w:szCs w:val="20"/>
          <w:shd w:val="clear" w:color="auto" w:fill="FFFFFF"/>
          <w:lang w:val="es-CR"/>
        </w:rPr>
        <w:t>Diligencias realizadas a partir de 2016 ante la Fiscalía Especializada para Desapariciones Forzosas, Ejecuciones E</w:t>
      </w:r>
      <w:r w:rsidR="000D29CA">
        <w:rPr>
          <w:rFonts w:cs="Arial"/>
          <w:i/>
          <w:color w:val="222222"/>
          <w:szCs w:val="20"/>
          <w:shd w:val="clear" w:color="auto" w:fill="FFFFFF"/>
          <w:lang w:val="es-CR"/>
        </w:rPr>
        <w:t>xtrajudiciales y Exhumación de Fosas C</w:t>
      </w:r>
      <w:r w:rsidRPr="00CE7723">
        <w:rPr>
          <w:rFonts w:cs="Arial"/>
          <w:i/>
          <w:color w:val="222222"/>
          <w:szCs w:val="20"/>
          <w:shd w:val="clear" w:color="auto" w:fill="FFFFFF"/>
          <w:lang w:val="es-CR"/>
        </w:rPr>
        <w:t>landestinas</w:t>
      </w:r>
    </w:p>
    <w:p w:rsidR="00191347" w:rsidRPr="001C13EA" w:rsidRDefault="00191347" w:rsidP="00191347">
      <w:pPr>
        <w:pStyle w:val="ListParagraph"/>
        <w:ind w:left="0"/>
        <w:rPr>
          <w:szCs w:val="20"/>
          <w:lang w:val="es-CR"/>
        </w:rPr>
      </w:pPr>
    </w:p>
    <w:p w:rsidR="00191347" w:rsidRPr="00350150" w:rsidRDefault="00191347" w:rsidP="00827DD4">
      <w:pPr>
        <w:pStyle w:val="ListParagraph"/>
        <w:widowControl w:val="0"/>
        <w:numPr>
          <w:ilvl w:val="0"/>
          <w:numId w:val="1"/>
        </w:numPr>
        <w:tabs>
          <w:tab w:val="left" w:pos="0"/>
        </w:tabs>
        <w:adjustRightInd w:val="0"/>
        <w:ind w:left="0" w:firstLine="0"/>
        <w:rPr>
          <w:szCs w:val="20"/>
          <w:lang w:val="es-CR"/>
        </w:rPr>
      </w:pPr>
      <w:r w:rsidRPr="00350150">
        <w:rPr>
          <w:lang w:val="es-CR"/>
        </w:rPr>
        <w:t>El 27 de julio de 2016 la Coordinación de la Fiscalía Super</w:t>
      </w:r>
      <w:r w:rsidR="000D29CA" w:rsidRPr="00350150">
        <w:rPr>
          <w:lang w:val="es-CR"/>
        </w:rPr>
        <w:t>ior Penal Nacional y Fiscalía</w:t>
      </w:r>
      <w:r w:rsidR="000D0383" w:rsidRPr="00350150">
        <w:rPr>
          <w:lang w:val="es-CR"/>
        </w:rPr>
        <w:t xml:space="preserve"> P</w:t>
      </w:r>
      <w:r w:rsidR="000D29CA" w:rsidRPr="00350150">
        <w:rPr>
          <w:lang w:val="es-CR"/>
        </w:rPr>
        <w:t>enal Supraprovincial</w:t>
      </w:r>
      <w:r w:rsidRPr="00350150">
        <w:rPr>
          <w:lang w:val="es-CR"/>
        </w:rPr>
        <w:t xml:space="preserve"> del Ministerio Público dispuso reiterar a las fiscalías correspondientes el pedido de información sobre las posibles investigaciones y/o procesos por el delito contra </w:t>
      </w:r>
      <w:r w:rsidRPr="00350150">
        <w:rPr>
          <w:lang w:val="es-CR"/>
        </w:rPr>
        <w:lastRenderedPageBreak/>
        <w:t>la humanidad en la modalidad desaparición forzada</w:t>
      </w:r>
      <w:r w:rsidRPr="002F2FA0">
        <w:rPr>
          <w:rStyle w:val="FootnoteReference"/>
          <w:sz w:val="20"/>
          <w:szCs w:val="20"/>
          <w:lang w:val="es-CR"/>
        </w:rPr>
        <w:footnoteReference w:id="65"/>
      </w:r>
      <w:r w:rsidRPr="00350150">
        <w:rPr>
          <w:szCs w:val="20"/>
          <w:lang w:val="es-CR"/>
        </w:rPr>
        <w:t>.</w:t>
      </w:r>
      <w:r w:rsidRPr="00350150">
        <w:rPr>
          <w:lang w:val="es-CR"/>
        </w:rPr>
        <w:t xml:space="preserve"> </w:t>
      </w:r>
    </w:p>
    <w:p w:rsidR="00191347" w:rsidRPr="00CE7723" w:rsidRDefault="00191347" w:rsidP="00191347">
      <w:pPr>
        <w:pStyle w:val="ListParagraph"/>
        <w:autoSpaceDE w:val="0"/>
        <w:autoSpaceDN w:val="0"/>
        <w:adjustRightInd w:val="0"/>
        <w:spacing w:line="20" w:lineRule="atLeast"/>
        <w:ind w:left="0" w:right="-138"/>
        <w:rPr>
          <w:rFonts w:cs="Arial"/>
          <w:color w:val="222222"/>
          <w:szCs w:val="20"/>
          <w:highlight w:val="yellow"/>
          <w:shd w:val="clear" w:color="auto" w:fill="FFFFFF"/>
          <w:lang w:val="es-CR"/>
        </w:rPr>
      </w:pPr>
    </w:p>
    <w:p w:rsidR="00022115" w:rsidRPr="00022115" w:rsidRDefault="00191347" w:rsidP="00827DD4">
      <w:pPr>
        <w:pStyle w:val="ListParagraph"/>
        <w:widowControl w:val="0"/>
        <w:numPr>
          <w:ilvl w:val="0"/>
          <w:numId w:val="1"/>
        </w:numPr>
        <w:tabs>
          <w:tab w:val="left" w:pos="0"/>
        </w:tabs>
        <w:adjustRightInd w:val="0"/>
        <w:ind w:left="0" w:firstLine="0"/>
        <w:rPr>
          <w:szCs w:val="20"/>
          <w:lang w:val="es-CR"/>
        </w:rPr>
      </w:pPr>
      <w:r w:rsidRPr="00022115">
        <w:rPr>
          <w:rFonts w:cs="Arial"/>
          <w:color w:val="222222"/>
          <w:szCs w:val="20"/>
          <w:shd w:val="clear" w:color="auto" w:fill="FFFFFF"/>
          <w:lang w:val="es-CR"/>
        </w:rPr>
        <w:t>Al igual que en los demás casos,</w:t>
      </w:r>
      <w:r w:rsidRPr="00022115">
        <w:rPr>
          <w:lang w:val="es-CR"/>
        </w:rPr>
        <w:t xml:space="preserve"> el 10 de octubre de 2016 la Coordinación de la Fiscalía Superior Pe</w:t>
      </w:r>
      <w:r w:rsidR="000D29CA">
        <w:rPr>
          <w:lang w:val="es-CR"/>
        </w:rPr>
        <w:t>nal Nacional y Fiscalía Penal Supraprovincial</w:t>
      </w:r>
      <w:r w:rsidRPr="00022115">
        <w:rPr>
          <w:lang w:val="es-CR"/>
        </w:rPr>
        <w:t xml:space="preserve"> del Ministerio Público dispuso la apertura de investigación por el delito contra la humanidad en la modalidad de desaparición forzada por los delitos cometidos en contra del señor Wilfredo Terrones Silva</w:t>
      </w:r>
      <w:r w:rsidRPr="002F2FA0">
        <w:rPr>
          <w:rStyle w:val="FootnoteReference"/>
          <w:sz w:val="20"/>
          <w:szCs w:val="20"/>
          <w:lang w:val="es-CR"/>
        </w:rPr>
        <w:footnoteReference w:id="66"/>
      </w:r>
      <w:r w:rsidRPr="002F2FA0">
        <w:rPr>
          <w:szCs w:val="20"/>
          <w:lang w:val="es-CR"/>
        </w:rPr>
        <w:t>,</w:t>
      </w:r>
      <w:r w:rsidRPr="00022115">
        <w:rPr>
          <w:szCs w:val="20"/>
          <w:lang w:val="es-CR"/>
        </w:rPr>
        <w:t xml:space="preserve"> entre otros, ya que no se había determinado la existencia de investigación por tal delito y respecto </w:t>
      </w:r>
      <w:r w:rsidR="00741C45">
        <w:rPr>
          <w:szCs w:val="20"/>
          <w:lang w:val="es-CR"/>
        </w:rPr>
        <w:t>a é</w:t>
      </w:r>
      <w:r w:rsidRPr="00022115">
        <w:rPr>
          <w:szCs w:val="20"/>
          <w:lang w:val="es-CR"/>
        </w:rPr>
        <w:t>l</w:t>
      </w:r>
      <w:r w:rsidR="003B7D4B">
        <w:rPr>
          <w:szCs w:val="20"/>
          <w:lang w:val="es-CR"/>
        </w:rPr>
        <w:t>.</w:t>
      </w:r>
      <w:r w:rsidRPr="00022115">
        <w:rPr>
          <w:szCs w:val="20"/>
          <w:lang w:val="es-CR"/>
        </w:rPr>
        <w:t xml:space="preserve"> </w:t>
      </w:r>
      <w:r w:rsidRPr="00022115">
        <w:rPr>
          <w:b/>
          <w:sz w:val="16"/>
          <w:szCs w:val="16"/>
          <w:lang w:val="es-CR"/>
        </w:rPr>
        <w:t xml:space="preserve"> </w:t>
      </w:r>
    </w:p>
    <w:p w:rsidR="00022115" w:rsidRPr="00022115" w:rsidRDefault="00022115" w:rsidP="00022115">
      <w:pPr>
        <w:pStyle w:val="ListParagraph"/>
        <w:rPr>
          <w:szCs w:val="20"/>
          <w:lang w:val="es-CR"/>
        </w:rPr>
      </w:pPr>
    </w:p>
    <w:p w:rsidR="000C0A61" w:rsidRPr="00C129D9" w:rsidRDefault="00191347" w:rsidP="000C0A61">
      <w:pPr>
        <w:pStyle w:val="ListParagraph"/>
        <w:widowControl w:val="0"/>
        <w:numPr>
          <w:ilvl w:val="0"/>
          <w:numId w:val="1"/>
        </w:numPr>
        <w:tabs>
          <w:tab w:val="left" w:pos="0"/>
        </w:tabs>
        <w:adjustRightInd w:val="0"/>
        <w:ind w:left="0" w:firstLine="0"/>
        <w:rPr>
          <w:szCs w:val="20"/>
          <w:lang w:val="es-CR"/>
        </w:rPr>
      </w:pPr>
      <w:r w:rsidRPr="00835978">
        <w:rPr>
          <w:szCs w:val="20"/>
          <w:lang w:val="es-CR"/>
        </w:rPr>
        <w:t xml:space="preserve">Según </w:t>
      </w:r>
      <w:r w:rsidR="007656AB">
        <w:rPr>
          <w:szCs w:val="20"/>
          <w:lang w:val="es-CR"/>
        </w:rPr>
        <w:t xml:space="preserve">Resolución </w:t>
      </w:r>
      <w:r w:rsidRPr="00835978">
        <w:rPr>
          <w:szCs w:val="20"/>
          <w:lang w:val="es-CR"/>
        </w:rPr>
        <w:t xml:space="preserve">de 3 de abril de 2017 respecto la denuncia relacionada con el </w:t>
      </w:r>
      <w:r w:rsidRPr="00827DD4">
        <w:rPr>
          <w:lang w:val="es-CR"/>
        </w:rPr>
        <w:t>Informe</w:t>
      </w:r>
      <w:r w:rsidRPr="00835978">
        <w:rPr>
          <w:szCs w:val="20"/>
          <w:lang w:val="es-CR"/>
        </w:rPr>
        <w:t xml:space="preserve"> No. 5/16 de la Comisión Interamericana de 13 de abril de 2016 sobre Desapariciones Forzadas en Perú respecto a Wilfredo</w:t>
      </w:r>
      <w:r w:rsidR="00835978">
        <w:rPr>
          <w:szCs w:val="20"/>
          <w:lang w:val="es-CR"/>
        </w:rPr>
        <w:t xml:space="preserve"> Terrones Silva</w:t>
      </w:r>
      <w:r w:rsidRPr="00835978">
        <w:rPr>
          <w:szCs w:val="20"/>
          <w:lang w:val="es-CR"/>
        </w:rPr>
        <w:t xml:space="preserve">, quien habría desaparecido el 26 de agosto de 1992, </w:t>
      </w:r>
      <w:r w:rsidR="0006126E">
        <w:rPr>
          <w:szCs w:val="20"/>
          <w:lang w:val="es-CR"/>
        </w:rPr>
        <w:t>“</w:t>
      </w:r>
      <w:r w:rsidRPr="00835978">
        <w:rPr>
          <w:szCs w:val="20"/>
          <w:lang w:val="es-CR"/>
        </w:rPr>
        <w:t>ninguna autoridad judicial ni fiscal ha informado haber iniciado investigación alguna, razón por la cual [el] despacho procederá a abrir investigación fiscal para esclarecer el hecho denunciad</w:t>
      </w:r>
      <w:r w:rsidRPr="002F2FA0">
        <w:rPr>
          <w:szCs w:val="20"/>
          <w:lang w:val="es-CR"/>
        </w:rPr>
        <w:t>o</w:t>
      </w:r>
      <w:r w:rsidR="0006126E">
        <w:rPr>
          <w:szCs w:val="20"/>
          <w:lang w:val="es-CR"/>
        </w:rPr>
        <w:t>”</w:t>
      </w:r>
      <w:r w:rsidRPr="002F2FA0">
        <w:rPr>
          <w:rStyle w:val="FootnoteReference"/>
          <w:sz w:val="20"/>
          <w:szCs w:val="20"/>
          <w:lang w:val="es-CR"/>
        </w:rPr>
        <w:footnoteReference w:id="67"/>
      </w:r>
      <w:r w:rsidRPr="002F2FA0">
        <w:rPr>
          <w:szCs w:val="20"/>
          <w:lang w:val="es-CR"/>
        </w:rPr>
        <w:t>.</w:t>
      </w:r>
      <w:r w:rsidRPr="00835978">
        <w:rPr>
          <w:szCs w:val="20"/>
          <w:lang w:val="es-CR"/>
        </w:rPr>
        <w:t xml:space="preserve"> </w:t>
      </w:r>
    </w:p>
    <w:p w:rsidR="00191347" w:rsidRPr="00B337DA" w:rsidRDefault="003402D1" w:rsidP="00191347">
      <w:pPr>
        <w:pStyle w:val="Heading3"/>
        <w:ind w:left="709"/>
        <w:rPr>
          <w:szCs w:val="20"/>
          <w:lang w:val="es-ES_tradnl"/>
        </w:rPr>
      </w:pPr>
      <w:bookmarkStart w:id="129" w:name="_Toc399131149"/>
      <w:bookmarkStart w:id="130" w:name="_Toc399131793"/>
      <w:bookmarkStart w:id="131" w:name="_Toc527993531"/>
      <w:r>
        <w:rPr>
          <w:szCs w:val="20"/>
          <w:lang w:val="es-ES_tradnl"/>
        </w:rPr>
        <w:t>B.2</w:t>
      </w:r>
      <w:r w:rsidR="00191347" w:rsidRPr="00B337DA">
        <w:rPr>
          <w:szCs w:val="20"/>
          <w:lang w:val="es-ES_tradnl"/>
        </w:rPr>
        <w:t>. Teresa Díaz Aparicio</w:t>
      </w:r>
      <w:bookmarkEnd w:id="129"/>
      <w:bookmarkEnd w:id="130"/>
      <w:bookmarkEnd w:id="131"/>
    </w:p>
    <w:p w:rsidR="00191347" w:rsidRPr="005B6024" w:rsidRDefault="00191347" w:rsidP="00191347">
      <w:pPr>
        <w:pStyle w:val="ListParagraph"/>
        <w:autoSpaceDE w:val="0"/>
        <w:autoSpaceDN w:val="0"/>
        <w:adjustRightInd w:val="0"/>
        <w:spacing w:line="20" w:lineRule="atLeast"/>
        <w:ind w:left="0" w:right="-138"/>
        <w:rPr>
          <w:rFonts w:cs="Arial"/>
          <w:color w:val="222222"/>
          <w:shd w:val="clear" w:color="auto" w:fill="FFFFFF"/>
          <w:lang w:val="es-CR"/>
        </w:rPr>
      </w:pPr>
    </w:p>
    <w:p w:rsidR="00191347" w:rsidRPr="001D36EE" w:rsidRDefault="000B550A" w:rsidP="00C87078">
      <w:pPr>
        <w:pStyle w:val="ListParagraph"/>
        <w:autoSpaceDE w:val="0"/>
        <w:autoSpaceDN w:val="0"/>
        <w:adjustRightInd w:val="0"/>
        <w:spacing w:line="20" w:lineRule="atLeast"/>
        <w:ind w:left="0" w:right="-138" w:firstLine="709"/>
        <w:rPr>
          <w:rFonts w:cs="Arial"/>
          <w:i/>
          <w:color w:val="222222"/>
          <w:shd w:val="clear" w:color="auto" w:fill="FFFFFF"/>
          <w:lang w:val="es-CR"/>
        </w:rPr>
      </w:pPr>
      <w:r>
        <w:rPr>
          <w:rFonts w:cs="Arial"/>
          <w:i/>
          <w:color w:val="222222"/>
          <w:shd w:val="clear" w:color="auto" w:fill="FFFFFF"/>
          <w:lang w:val="es-CR"/>
        </w:rPr>
        <w:t>B.2</w:t>
      </w:r>
      <w:r w:rsidR="00191347" w:rsidRPr="001D36EE">
        <w:rPr>
          <w:rFonts w:cs="Arial"/>
          <w:i/>
          <w:color w:val="222222"/>
          <w:shd w:val="clear" w:color="auto" w:fill="FFFFFF"/>
          <w:lang w:val="es-CR"/>
        </w:rPr>
        <w:t>.1</w:t>
      </w:r>
      <w:r w:rsidR="00DB4E19">
        <w:rPr>
          <w:rFonts w:cs="Arial"/>
          <w:i/>
          <w:color w:val="222222"/>
          <w:shd w:val="clear" w:color="auto" w:fill="FFFFFF"/>
          <w:lang w:val="es-CR"/>
        </w:rPr>
        <w:t>.</w:t>
      </w:r>
      <w:r w:rsidR="00191347" w:rsidRPr="001D36EE">
        <w:rPr>
          <w:rFonts w:cs="Arial"/>
          <w:i/>
          <w:color w:val="222222"/>
          <w:shd w:val="clear" w:color="auto" w:fill="FFFFFF"/>
          <w:lang w:val="es-CR"/>
        </w:rPr>
        <w:t xml:space="preserve"> Circunstancias personales y familiares de Teresa Díaz Aparicio</w:t>
      </w:r>
    </w:p>
    <w:p w:rsidR="00191347" w:rsidRDefault="00191347" w:rsidP="00191347">
      <w:pPr>
        <w:pStyle w:val="ListParagraph"/>
        <w:autoSpaceDE w:val="0"/>
        <w:autoSpaceDN w:val="0"/>
        <w:adjustRightInd w:val="0"/>
        <w:spacing w:line="20" w:lineRule="atLeast"/>
        <w:ind w:right="-138"/>
        <w:rPr>
          <w:rFonts w:cs="Arial"/>
          <w:color w:val="222222"/>
          <w:shd w:val="clear" w:color="auto" w:fill="FFFFFF"/>
          <w:lang w:val="es-CR"/>
        </w:rPr>
      </w:pPr>
    </w:p>
    <w:p w:rsidR="00191347" w:rsidRPr="00884C95" w:rsidRDefault="00191347" w:rsidP="00827DD4">
      <w:pPr>
        <w:pStyle w:val="ListParagraph"/>
        <w:widowControl w:val="0"/>
        <w:numPr>
          <w:ilvl w:val="0"/>
          <w:numId w:val="1"/>
        </w:numPr>
        <w:tabs>
          <w:tab w:val="left" w:pos="0"/>
        </w:tabs>
        <w:adjustRightInd w:val="0"/>
        <w:ind w:left="0" w:firstLine="0"/>
        <w:rPr>
          <w:rFonts w:cs="Arial"/>
          <w:color w:val="222222"/>
          <w:shd w:val="clear" w:color="auto" w:fill="FFFFFF"/>
          <w:lang w:val="es-CR"/>
        </w:rPr>
      </w:pPr>
      <w:r>
        <w:rPr>
          <w:rFonts w:cs="Arial"/>
          <w:color w:val="222222"/>
          <w:shd w:val="clear" w:color="auto" w:fill="FFFFFF"/>
          <w:lang w:val="es-CR"/>
        </w:rPr>
        <w:t>Teresa</w:t>
      </w:r>
      <w:r w:rsidRPr="00B40328">
        <w:rPr>
          <w:szCs w:val="20"/>
          <w:lang w:val="es-CR"/>
        </w:rPr>
        <w:t xml:space="preserve"> D</w:t>
      </w:r>
      <w:r w:rsidRPr="00C72C6E">
        <w:rPr>
          <w:szCs w:val="20"/>
          <w:lang w:val="es-CR"/>
        </w:rPr>
        <w:t>íaz Aparicio nació el 12 de enero de 1954</w:t>
      </w:r>
      <w:r w:rsidRPr="003B7D4B">
        <w:rPr>
          <w:rStyle w:val="FootnoteReference"/>
          <w:sz w:val="20"/>
          <w:szCs w:val="20"/>
          <w:lang w:val="es-CR"/>
        </w:rPr>
        <w:footnoteReference w:id="68"/>
      </w:r>
      <w:r w:rsidRPr="003B7D4B">
        <w:rPr>
          <w:szCs w:val="20"/>
          <w:lang w:val="es-CR"/>
        </w:rPr>
        <w:t xml:space="preserve"> y vivía en el distrito Rimac</w:t>
      </w:r>
      <w:r w:rsidR="0006126E">
        <w:rPr>
          <w:szCs w:val="20"/>
          <w:lang w:val="es-CR"/>
        </w:rPr>
        <w:t>,</w:t>
      </w:r>
      <w:r w:rsidRPr="003B7D4B">
        <w:rPr>
          <w:szCs w:val="20"/>
          <w:lang w:val="es-CR"/>
        </w:rPr>
        <w:t xml:space="preserve"> en la Ciudad de Lima</w:t>
      </w:r>
      <w:r w:rsidR="0006126E">
        <w:rPr>
          <w:szCs w:val="20"/>
          <w:lang w:val="es-CR"/>
        </w:rPr>
        <w:t>,</w:t>
      </w:r>
      <w:r w:rsidRPr="003B7D4B">
        <w:rPr>
          <w:szCs w:val="20"/>
          <w:lang w:val="es-CR"/>
        </w:rPr>
        <w:t xml:space="preserve"> con su madre Graciela Aparicio Pastor</w:t>
      </w:r>
      <w:r w:rsidRPr="003B7D4B">
        <w:rPr>
          <w:rStyle w:val="FootnoteReference"/>
          <w:sz w:val="20"/>
          <w:szCs w:val="20"/>
          <w:lang w:val="es-CR"/>
        </w:rPr>
        <w:footnoteReference w:id="69"/>
      </w:r>
      <w:r w:rsidRPr="003B7D4B">
        <w:rPr>
          <w:szCs w:val="20"/>
          <w:lang w:val="es-CR"/>
        </w:rPr>
        <w:t xml:space="preserve"> y sus hermanos Federico Díaz Aparicio y Roberto </w:t>
      </w:r>
      <w:r w:rsidRPr="000C0A61">
        <w:rPr>
          <w:szCs w:val="20"/>
          <w:lang w:val="es-CR"/>
        </w:rPr>
        <w:t>Levi</w:t>
      </w:r>
      <w:r w:rsidRPr="003B7D4B">
        <w:rPr>
          <w:szCs w:val="20"/>
          <w:lang w:val="es-CR"/>
        </w:rPr>
        <w:t xml:space="preserve"> Aparicio</w:t>
      </w:r>
      <w:r w:rsidRPr="003B7D4B">
        <w:rPr>
          <w:rStyle w:val="FootnoteReference"/>
          <w:sz w:val="20"/>
          <w:szCs w:val="20"/>
          <w:lang w:val="es-CR"/>
        </w:rPr>
        <w:footnoteReference w:id="70"/>
      </w:r>
      <w:r w:rsidRPr="003B7D4B">
        <w:rPr>
          <w:szCs w:val="20"/>
          <w:lang w:val="es-CR"/>
        </w:rPr>
        <w:t>.</w:t>
      </w:r>
      <w:r w:rsidR="00A06617">
        <w:rPr>
          <w:szCs w:val="20"/>
          <w:lang w:val="es-CR"/>
        </w:rPr>
        <w:t xml:space="preserve"> Su padre fue Alberto Díaz Uriarte. </w:t>
      </w:r>
      <w:r w:rsidRPr="003B7D4B">
        <w:rPr>
          <w:szCs w:val="20"/>
          <w:lang w:val="es-CR"/>
        </w:rPr>
        <w:t xml:space="preserve">Era licenciada de </w:t>
      </w:r>
      <w:r w:rsidRPr="003B7D4B">
        <w:rPr>
          <w:szCs w:val="20"/>
          <w:lang w:val="es-CR"/>
        </w:rPr>
        <w:lastRenderedPageBreak/>
        <w:t>sociología y se desempeñaba como docente en la Facultad de Ciencias Sociales de la Universidad Mayor de San Marcos y como miembro de la Asociación de Docentes. También se desempeñó como miembro de la Comisión de Atención social y legal de la UNMSM haciendo seguimiento de la situación de estudiantes detenidos y docentes con procesos judiciales</w:t>
      </w:r>
      <w:r w:rsidRPr="003B7D4B">
        <w:rPr>
          <w:rStyle w:val="FootnoteReference"/>
          <w:sz w:val="20"/>
          <w:szCs w:val="20"/>
          <w:lang w:val="es-CR"/>
        </w:rPr>
        <w:footnoteReference w:id="71"/>
      </w:r>
      <w:r w:rsidRPr="003B7D4B">
        <w:rPr>
          <w:szCs w:val="20"/>
          <w:lang w:val="es-CR"/>
        </w:rPr>
        <w:t>.</w:t>
      </w:r>
      <w:r w:rsidRPr="002F1D5E">
        <w:rPr>
          <w:szCs w:val="20"/>
          <w:lang w:val="es-CR"/>
        </w:rPr>
        <w:t xml:space="preserve"> </w:t>
      </w:r>
    </w:p>
    <w:p w:rsidR="00191347" w:rsidRPr="0032665D" w:rsidRDefault="00191347" w:rsidP="00191347">
      <w:pPr>
        <w:pStyle w:val="ListParagraph"/>
        <w:autoSpaceDE w:val="0"/>
        <w:autoSpaceDN w:val="0"/>
        <w:adjustRightInd w:val="0"/>
        <w:spacing w:line="20" w:lineRule="atLeast"/>
        <w:ind w:left="0" w:right="-138"/>
        <w:rPr>
          <w:rFonts w:cs="Arial"/>
          <w:color w:val="222222"/>
          <w:shd w:val="clear" w:color="auto" w:fill="FFFFFF"/>
          <w:lang w:val="es-CR"/>
        </w:rPr>
      </w:pPr>
    </w:p>
    <w:p w:rsidR="00191347" w:rsidRPr="00563483" w:rsidRDefault="00191347" w:rsidP="00827DD4">
      <w:pPr>
        <w:pStyle w:val="ListParagraph"/>
        <w:widowControl w:val="0"/>
        <w:numPr>
          <w:ilvl w:val="0"/>
          <w:numId w:val="1"/>
        </w:numPr>
        <w:tabs>
          <w:tab w:val="left" w:pos="0"/>
        </w:tabs>
        <w:adjustRightInd w:val="0"/>
        <w:ind w:left="0" w:firstLine="0"/>
        <w:rPr>
          <w:rFonts w:cs="Arial"/>
          <w:color w:val="222222"/>
          <w:shd w:val="clear" w:color="auto" w:fill="FFFFFF"/>
          <w:lang w:val="es-CR"/>
        </w:rPr>
      </w:pPr>
      <w:r w:rsidRPr="00563483">
        <w:rPr>
          <w:szCs w:val="20"/>
          <w:lang w:val="es-CR"/>
        </w:rPr>
        <w:t xml:space="preserve">Antes de su desaparición, el 27 de marzo de 1989 se realizó un registro en el domicilio de </w:t>
      </w:r>
      <w:r w:rsidRPr="00563483">
        <w:rPr>
          <w:rFonts w:cs="Arial"/>
          <w:color w:val="222222"/>
          <w:shd w:val="clear" w:color="auto" w:fill="FFFFFF"/>
          <w:lang w:val="es-CR"/>
        </w:rPr>
        <w:t>Teresa</w:t>
      </w:r>
      <w:r w:rsidRPr="00563483">
        <w:rPr>
          <w:szCs w:val="20"/>
          <w:lang w:val="es-CR"/>
        </w:rPr>
        <w:t xml:space="preserve"> Díaz Aparicio y la detuvieron</w:t>
      </w:r>
      <w:r w:rsidRPr="003B7D4B">
        <w:rPr>
          <w:rStyle w:val="FootnoteReference"/>
          <w:sz w:val="20"/>
          <w:szCs w:val="20"/>
          <w:lang w:val="es-CR"/>
        </w:rPr>
        <w:footnoteReference w:id="72"/>
      </w:r>
      <w:r w:rsidRPr="00563483">
        <w:rPr>
          <w:szCs w:val="20"/>
          <w:lang w:val="es-CR"/>
        </w:rPr>
        <w:t>. El 31 de marzo de 1989 Teresa Díaz Aparicio fue indagada respecto de los manuscritos incautados en su domicilio y sobre su afiliación con Sendero Luminoso</w:t>
      </w:r>
      <w:r w:rsidRPr="00E83F2C">
        <w:rPr>
          <w:rStyle w:val="FootnoteReference"/>
          <w:sz w:val="20"/>
          <w:szCs w:val="20"/>
          <w:lang w:val="es-CR"/>
        </w:rPr>
        <w:footnoteReference w:id="73"/>
      </w:r>
      <w:r w:rsidRPr="00563483">
        <w:rPr>
          <w:szCs w:val="20"/>
          <w:lang w:val="es-CR"/>
        </w:rPr>
        <w:t>. El 5 de abril de 1989 la Poli</w:t>
      </w:r>
      <w:r w:rsidR="00D92DFF">
        <w:rPr>
          <w:szCs w:val="20"/>
          <w:lang w:val="es-CR"/>
        </w:rPr>
        <w:t>cía Nacional concluyó que “</w:t>
      </w:r>
      <w:r w:rsidR="000D29CA">
        <w:rPr>
          <w:szCs w:val="20"/>
          <w:lang w:val="es-CR"/>
        </w:rPr>
        <w:t>Teresa Díaz Aparicio pertenece</w:t>
      </w:r>
      <w:r w:rsidR="004E4845">
        <w:rPr>
          <w:szCs w:val="20"/>
          <w:lang w:val="es-CR"/>
        </w:rPr>
        <w:t xml:space="preserve"> </w:t>
      </w:r>
      <w:r w:rsidR="000D29CA">
        <w:rPr>
          <w:szCs w:val="20"/>
          <w:lang w:val="es-CR"/>
        </w:rPr>
        <w:t>[…]</w:t>
      </w:r>
      <w:r w:rsidRPr="00563483">
        <w:rPr>
          <w:szCs w:val="20"/>
          <w:lang w:val="es-CR"/>
        </w:rPr>
        <w:t xml:space="preserve"> al aparato de apoyo del PCP-SL, encargados de proporcionar alojamiento, alimentación, asistencia médica y otros requerimientos que son solicitados por los militantes de esa agrupación subversiva-terrorista”</w:t>
      </w:r>
      <w:r w:rsidRPr="00E83F2C">
        <w:rPr>
          <w:rStyle w:val="FootnoteReference"/>
          <w:sz w:val="20"/>
          <w:szCs w:val="20"/>
          <w:lang w:val="es-CR"/>
        </w:rPr>
        <w:footnoteReference w:id="74"/>
      </w:r>
      <w:r w:rsidRPr="00563483">
        <w:rPr>
          <w:szCs w:val="20"/>
          <w:lang w:val="es-CR"/>
        </w:rPr>
        <w:t>. El 7 de abril de 1989 la Fiscalía Provincial Penal ordenó su libertad al considerar que no tiene mayor responsabilidad</w:t>
      </w:r>
      <w:r w:rsidRPr="00E83F2C">
        <w:rPr>
          <w:rStyle w:val="FootnoteReference"/>
          <w:sz w:val="20"/>
          <w:szCs w:val="20"/>
          <w:lang w:val="es-CR"/>
        </w:rPr>
        <w:footnoteReference w:id="75"/>
      </w:r>
      <w:r w:rsidRPr="00563483">
        <w:rPr>
          <w:szCs w:val="20"/>
          <w:lang w:val="es-CR"/>
        </w:rPr>
        <w:t xml:space="preserve">.  </w:t>
      </w:r>
    </w:p>
    <w:p w:rsidR="00563483" w:rsidRPr="00563483" w:rsidRDefault="00563483" w:rsidP="00563483">
      <w:pPr>
        <w:pStyle w:val="ListParagraph"/>
        <w:autoSpaceDE w:val="0"/>
        <w:autoSpaceDN w:val="0"/>
        <w:adjustRightInd w:val="0"/>
        <w:spacing w:line="20" w:lineRule="atLeast"/>
        <w:ind w:left="0" w:right="-138"/>
        <w:rPr>
          <w:rFonts w:cs="Arial"/>
          <w:color w:val="222222"/>
          <w:shd w:val="clear" w:color="auto" w:fill="FFFFFF"/>
          <w:lang w:val="es-CR"/>
        </w:rPr>
      </w:pPr>
    </w:p>
    <w:p w:rsidR="00191347" w:rsidRPr="001D36EE" w:rsidRDefault="00191347" w:rsidP="00191347">
      <w:pPr>
        <w:pStyle w:val="ListParagraph"/>
        <w:autoSpaceDE w:val="0"/>
        <w:autoSpaceDN w:val="0"/>
        <w:adjustRightInd w:val="0"/>
        <w:spacing w:line="20" w:lineRule="atLeast"/>
        <w:ind w:left="0" w:right="-138" w:firstLine="720"/>
        <w:rPr>
          <w:rFonts w:cs="Arial"/>
          <w:i/>
          <w:color w:val="222222"/>
          <w:shd w:val="clear" w:color="auto" w:fill="FFFFFF"/>
          <w:lang w:val="es-CR"/>
        </w:rPr>
      </w:pPr>
      <w:r w:rsidRPr="001D36EE">
        <w:rPr>
          <w:rFonts w:cs="Arial"/>
          <w:i/>
          <w:color w:val="222222"/>
          <w:shd w:val="clear" w:color="auto" w:fill="FFFFFF"/>
          <w:lang w:val="es-CR"/>
        </w:rPr>
        <w:t>B</w:t>
      </w:r>
      <w:r>
        <w:rPr>
          <w:rFonts w:cs="Arial"/>
          <w:i/>
          <w:color w:val="222222"/>
          <w:shd w:val="clear" w:color="auto" w:fill="FFFFFF"/>
          <w:lang w:val="es-CR"/>
        </w:rPr>
        <w:t>.</w:t>
      </w:r>
      <w:r w:rsidR="000B550A">
        <w:rPr>
          <w:rFonts w:cs="Arial"/>
          <w:i/>
          <w:color w:val="222222"/>
          <w:shd w:val="clear" w:color="auto" w:fill="FFFFFF"/>
          <w:lang w:val="es-CR"/>
        </w:rPr>
        <w:t>2</w:t>
      </w:r>
      <w:r>
        <w:rPr>
          <w:rFonts w:cs="Arial"/>
          <w:i/>
          <w:color w:val="222222"/>
          <w:shd w:val="clear" w:color="auto" w:fill="FFFFFF"/>
          <w:lang w:val="es-CR"/>
        </w:rPr>
        <w:t>.</w:t>
      </w:r>
      <w:r w:rsidRPr="001D36EE">
        <w:rPr>
          <w:rFonts w:cs="Arial"/>
          <w:i/>
          <w:color w:val="222222"/>
          <w:shd w:val="clear" w:color="auto" w:fill="FFFFFF"/>
          <w:lang w:val="es-CR"/>
        </w:rPr>
        <w:t>2</w:t>
      </w:r>
      <w:r w:rsidR="00DB4E19">
        <w:rPr>
          <w:rFonts w:cs="Arial"/>
          <w:i/>
          <w:color w:val="222222"/>
          <w:shd w:val="clear" w:color="auto" w:fill="FFFFFF"/>
          <w:lang w:val="es-CR"/>
        </w:rPr>
        <w:t>.</w:t>
      </w:r>
      <w:r w:rsidRPr="001D36EE">
        <w:rPr>
          <w:rFonts w:cs="Arial"/>
          <w:i/>
          <w:color w:val="222222"/>
          <w:shd w:val="clear" w:color="auto" w:fill="FFFFFF"/>
          <w:lang w:val="es-CR"/>
        </w:rPr>
        <w:t xml:space="preserve"> Desaparición de Teresa Díaz Aparicio</w:t>
      </w:r>
    </w:p>
    <w:p w:rsidR="00191347" w:rsidRPr="00B40328" w:rsidRDefault="00191347" w:rsidP="00191347">
      <w:pPr>
        <w:pStyle w:val="ListParagraph"/>
        <w:autoSpaceDE w:val="0"/>
        <w:autoSpaceDN w:val="0"/>
        <w:adjustRightInd w:val="0"/>
        <w:spacing w:line="20" w:lineRule="atLeast"/>
        <w:ind w:left="0" w:right="-138"/>
        <w:rPr>
          <w:rFonts w:cs="Arial"/>
          <w:color w:val="222222"/>
          <w:shd w:val="clear" w:color="auto" w:fill="FFFFFF"/>
          <w:lang w:val="es-CR"/>
        </w:rPr>
      </w:pPr>
    </w:p>
    <w:p w:rsidR="00191347" w:rsidRPr="00AA38AC" w:rsidRDefault="00191347" w:rsidP="00827DD4">
      <w:pPr>
        <w:pStyle w:val="ListParagraph"/>
        <w:widowControl w:val="0"/>
        <w:numPr>
          <w:ilvl w:val="0"/>
          <w:numId w:val="1"/>
        </w:numPr>
        <w:tabs>
          <w:tab w:val="left" w:pos="0"/>
        </w:tabs>
        <w:adjustRightInd w:val="0"/>
        <w:ind w:left="0" w:firstLine="0"/>
        <w:rPr>
          <w:rFonts w:cs="Arial"/>
          <w:color w:val="222222"/>
          <w:shd w:val="clear" w:color="auto" w:fill="FFFFFF"/>
          <w:lang w:val="es-CR"/>
        </w:rPr>
      </w:pPr>
      <w:r w:rsidRPr="009F4E64">
        <w:rPr>
          <w:szCs w:val="20"/>
          <w:lang w:val="es-CR"/>
        </w:rPr>
        <w:t>Teresa Díaz Aparicio desapareció el 19 de agosto de 1992 cuando dejó su domicilio en Rimac, Lima</w:t>
      </w:r>
      <w:r w:rsidR="00A22BFB">
        <w:rPr>
          <w:szCs w:val="20"/>
          <w:lang w:val="es-CR"/>
        </w:rPr>
        <w:t>,</w:t>
      </w:r>
      <w:r w:rsidRPr="009F4E64">
        <w:rPr>
          <w:szCs w:val="20"/>
          <w:lang w:val="es-CR"/>
        </w:rPr>
        <w:t xml:space="preserve"> </w:t>
      </w:r>
      <w:r w:rsidRPr="002F1D5E">
        <w:rPr>
          <w:szCs w:val="20"/>
          <w:lang w:val="es-CR"/>
        </w:rPr>
        <w:t xml:space="preserve">acompañada </w:t>
      </w:r>
      <w:r w:rsidR="00D06AD9">
        <w:rPr>
          <w:szCs w:val="20"/>
          <w:lang w:val="es-CR"/>
        </w:rPr>
        <w:t>por</w:t>
      </w:r>
      <w:r w:rsidRPr="002F1D5E">
        <w:rPr>
          <w:szCs w:val="20"/>
          <w:lang w:val="es-CR"/>
        </w:rPr>
        <w:t xml:space="preserve"> su hermano Federico Díaz Aparicio </w:t>
      </w:r>
      <w:r w:rsidR="00D06AD9">
        <w:rPr>
          <w:szCs w:val="20"/>
          <w:lang w:val="es-CR"/>
        </w:rPr>
        <w:t>hasta el</w:t>
      </w:r>
      <w:r w:rsidR="00422365">
        <w:rPr>
          <w:szCs w:val="20"/>
          <w:lang w:val="es-CR"/>
        </w:rPr>
        <w:t xml:space="preserve"> </w:t>
      </w:r>
      <w:r w:rsidRPr="002F1D5E">
        <w:rPr>
          <w:szCs w:val="20"/>
          <w:lang w:val="es-CR"/>
        </w:rPr>
        <w:t xml:space="preserve">paradero de ómnibus para ir a su trabajo en la Universidad Nacional Mayor de San Marcos. Según su hermano, nunca llegó al </w:t>
      </w:r>
      <w:r w:rsidRPr="00563483">
        <w:rPr>
          <w:szCs w:val="20"/>
          <w:lang w:val="es-CR"/>
        </w:rPr>
        <w:t>trabajo y</w:t>
      </w:r>
      <w:r w:rsidRPr="002F1D5E">
        <w:rPr>
          <w:szCs w:val="20"/>
          <w:lang w:val="es-CR"/>
        </w:rPr>
        <w:t xml:space="preserve"> no se volvió a comunicar con su familia, amigos o compa</w:t>
      </w:r>
      <w:r w:rsidRPr="00236507">
        <w:rPr>
          <w:szCs w:val="20"/>
          <w:lang w:val="es-CR"/>
        </w:rPr>
        <w:t>ñeros de trabajo</w:t>
      </w:r>
      <w:r w:rsidRPr="00236507">
        <w:rPr>
          <w:rStyle w:val="FootnoteReference"/>
          <w:sz w:val="20"/>
          <w:szCs w:val="20"/>
          <w:lang w:val="es-CR"/>
        </w:rPr>
        <w:footnoteReference w:id="76"/>
      </w:r>
      <w:r w:rsidRPr="00236507">
        <w:rPr>
          <w:szCs w:val="20"/>
          <w:lang w:val="es-CR"/>
        </w:rPr>
        <w:t>. Su madre había indagado en forma oportuna entre los colegas, amigos de ella así como otros familiares. También había recurrido a hospitales, clínicas, la morgue central de Lima y Callao ante la policía, sin haber obtenido información respecto a su paradero</w:t>
      </w:r>
      <w:r w:rsidRPr="00236507">
        <w:rPr>
          <w:rStyle w:val="FootnoteReference"/>
          <w:sz w:val="20"/>
          <w:szCs w:val="20"/>
          <w:lang w:val="es-CR"/>
        </w:rPr>
        <w:footnoteReference w:id="77"/>
      </w:r>
      <w:r w:rsidRPr="00236507">
        <w:rPr>
          <w:szCs w:val="20"/>
          <w:lang w:val="es-CR"/>
        </w:rPr>
        <w:t xml:space="preserve">. </w:t>
      </w:r>
    </w:p>
    <w:p w:rsidR="00191347" w:rsidRPr="00AA38AC" w:rsidRDefault="00191347" w:rsidP="00191347">
      <w:pPr>
        <w:pStyle w:val="ListParagraph"/>
        <w:rPr>
          <w:rFonts w:cs="Arial"/>
          <w:color w:val="222222"/>
          <w:shd w:val="clear" w:color="auto" w:fill="FFFFFF"/>
          <w:lang w:val="es-CR"/>
        </w:rPr>
      </w:pPr>
    </w:p>
    <w:p w:rsidR="00191347" w:rsidRPr="009E0CD7" w:rsidRDefault="00793B9A" w:rsidP="00827DD4">
      <w:pPr>
        <w:pStyle w:val="ListParagraph"/>
        <w:widowControl w:val="0"/>
        <w:numPr>
          <w:ilvl w:val="0"/>
          <w:numId w:val="1"/>
        </w:numPr>
        <w:tabs>
          <w:tab w:val="left" w:pos="0"/>
        </w:tabs>
        <w:adjustRightInd w:val="0"/>
        <w:ind w:left="0" w:firstLine="0"/>
        <w:rPr>
          <w:rFonts w:cs="Arial"/>
          <w:color w:val="222222"/>
          <w:shd w:val="clear" w:color="auto" w:fill="FFFFFF"/>
          <w:lang w:val="es-CR"/>
        </w:rPr>
      </w:pPr>
      <w:r>
        <w:rPr>
          <w:rFonts w:cs="Arial"/>
          <w:color w:val="222222"/>
          <w:szCs w:val="20"/>
          <w:shd w:val="clear" w:color="auto" w:fill="FFFFFF"/>
          <w:lang w:val="es-CR"/>
        </w:rPr>
        <w:t xml:space="preserve">El nombre de </w:t>
      </w:r>
      <w:r w:rsidRPr="00563483">
        <w:rPr>
          <w:rFonts w:cs="Arial"/>
          <w:color w:val="222222"/>
          <w:shd w:val="clear" w:color="auto" w:fill="FFFFFF"/>
          <w:lang w:val="es-CR"/>
        </w:rPr>
        <w:t>Teresa</w:t>
      </w:r>
      <w:r w:rsidRPr="00563483">
        <w:rPr>
          <w:szCs w:val="20"/>
          <w:lang w:val="es-CR"/>
        </w:rPr>
        <w:t xml:space="preserve"> Díaz Aparicio </w:t>
      </w:r>
      <w:r w:rsidR="00722771" w:rsidRPr="00350150">
        <w:rPr>
          <w:rFonts w:cs="Arial"/>
          <w:color w:val="222222"/>
          <w:shd w:val="clear" w:color="auto" w:fill="FFFFFF"/>
          <w:lang w:val="es-CR"/>
        </w:rPr>
        <w:t xml:space="preserve">se encuentra registrado </w:t>
      </w:r>
      <w:r w:rsidR="00722771">
        <w:rPr>
          <w:rFonts w:cs="Arial"/>
          <w:color w:val="222222"/>
          <w:shd w:val="clear" w:color="auto" w:fill="FFFFFF"/>
          <w:lang w:val="es-CR"/>
        </w:rPr>
        <w:t xml:space="preserve">en la </w:t>
      </w:r>
      <w:r w:rsidR="00722771">
        <w:rPr>
          <w:rFonts w:cs="Arial"/>
          <w:color w:val="222222"/>
          <w:szCs w:val="20"/>
          <w:shd w:val="clear" w:color="auto" w:fill="FFFFFF"/>
          <w:lang w:val="es-CR"/>
        </w:rPr>
        <w:t xml:space="preserve">Nómina de Personas Muertas y </w:t>
      </w:r>
      <w:r w:rsidR="00722771" w:rsidRPr="00827DD4">
        <w:rPr>
          <w:szCs w:val="20"/>
          <w:lang w:val="es-CR"/>
        </w:rPr>
        <w:t>Desaparecidas</w:t>
      </w:r>
      <w:r w:rsidR="00722771">
        <w:rPr>
          <w:rFonts w:cs="Arial"/>
          <w:color w:val="222222"/>
          <w:szCs w:val="20"/>
          <w:shd w:val="clear" w:color="auto" w:fill="FFFFFF"/>
          <w:lang w:val="es-CR"/>
        </w:rPr>
        <w:t xml:space="preserve"> R</w:t>
      </w:r>
      <w:r w:rsidR="00191347" w:rsidRPr="002F1D5E">
        <w:rPr>
          <w:rFonts w:cs="Arial"/>
          <w:color w:val="222222"/>
          <w:szCs w:val="20"/>
          <w:shd w:val="clear" w:color="auto" w:fill="FFFFFF"/>
          <w:lang w:val="es-CR"/>
        </w:rPr>
        <w:t>eportadas a la Comisión de la Verdad y Reconciliación 1980–2000</w:t>
      </w:r>
      <w:r w:rsidR="00191347" w:rsidRPr="00236507">
        <w:rPr>
          <w:rStyle w:val="FootnoteReference"/>
          <w:color w:val="222222"/>
          <w:sz w:val="20"/>
          <w:szCs w:val="20"/>
          <w:shd w:val="clear" w:color="auto" w:fill="FFFFFF"/>
          <w:lang w:val="es-CR"/>
        </w:rPr>
        <w:footnoteReference w:id="78"/>
      </w:r>
      <w:r w:rsidR="00191347" w:rsidRPr="002F1D5E">
        <w:rPr>
          <w:rFonts w:cs="Arial"/>
          <w:color w:val="222222"/>
          <w:szCs w:val="20"/>
          <w:shd w:val="clear" w:color="auto" w:fill="FFFFFF"/>
          <w:lang w:val="es-CR"/>
        </w:rPr>
        <w:t>.</w:t>
      </w:r>
    </w:p>
    <w:p w:rsidR="00236507" w:rsidRPr="00AA38AC" w:rsidRDefault="00236507" w:rsidP="00191347">
      <w:pPr>
        <w:autoSpaceDE w:val="0"/>
        <w:autoSpaceDN w:val="0"/>
        <w:adjustRightInd w:val="0"/>
        <w:spacing w:line="20" w:lineRule="atLeast"/>
        <w:ind w:right="-138"/>
        <w:rPr>
          <w:rFonts w:cs="Arial"/>
          <w:color w:val="222222"/>
          <w:shd w:val="clear" w:color="auto" w:fill="FFFFFF"/>
          <w:lang w:val="es-CR"/>
        </w:rPr>
      </w:pPr>
    </w:p>
    <w:p w:rsidR="00191347" w:rsidRPr="001D36EE" w:rsidRDefault="00191347" w:rsidP="00191347">
      <w:pPr>
        <w:pStyle w:val="ListParagraph"/>
        <w:autoSpaceDE w:val="0"/>
        <w:autoSpaceDN w:val="0"/>
        <w:adjustRightInd w:val="0"/>
        <w:spacing w:line="20" w:lineRule="atLeast"/>
        <w:ind w:left="0" w:right="-138" w:firstLine="720"/>
        <w:rPr>
          <w:rFonts w:cs="Arial"/>
          <w:i/>
          <w:color w:val="222222"/>
          <w:shd w:val="clear" w:color="auto" w:fill="FFFFFF"/>
          <w:lang w:val="es-CR"/>
        </w:rPr>
      </w:pPr>
      <w:r w:rsidRPr="001D36EE">
        <w:rPr>
          <w:i/>
          <w:szCs w:val="20"/>
          <w:lang w:val="es-CR"/>
        </w:rPr>
        <w:t>B</w:t>
      </w:r>
      <w:r>
        <w:rPr>
          <w:i/>
          <w:szCs w:val="20"/>
          <w:lang w:val="es-CR"/>
        </w:rPr>
        <w:t>.</w:t>
      </w:r>
      <w:r w:rsidR="000B550A">
        <w:rPr>
          <w:i/>
          <w:szCs w:val="20"/>
          <w:lang w:val="es-CR"/>
        </w:rPr>
        <w:t>2</w:t>
      </w:r>
      <w:r w:rsidRPr="001D36EE">
        <w:rPr>
          <w:i/>
          <w:szCs w:val="20"/>
          <w:lang w:val="es-CR"/>
        </w:rPr>
        <w:t>.3</w:t>
      </w:r>
      <w:r w:rsidR="00DB4E19">
        <w:rPr>
          <w:i/>
          <w:szCs w:val="20"/>
          <w:lang w:val="es-CR"/>
        </w:rPr>
        <w:t>.</w:t>
      </w:r>
      <w:r w:rsidRPr="001D36EE">
        <w:rPr>
          <w:i/>
          <w:szCs w:val="20"/>
          <w:lang w:val="es-CR"/>
        </w:rPr>
        <w:t xml:space="preserve"> </w:t>
      </w:r>
      <w:r w:rsidRPr="00F93FDE">
        <w:rPr>
          <w:i/>
          <w:szCs w:val="20"/>
          <w:lang w:val="es-CR"/>
        </w:rPr>
        <w:t xml:space="preserve">Declaración ante Comisión de la Verdad y Reconciliación </w:t>
      </w:r>
    </w:p>
    <w:p w:rsidR="00191347" w:rsidRPr="00AA38AC" w:rsidRDefault="00191347" w:rsidP="00191347">
      <w:pPr>
        <w:pStyle w:val="ListParagraph"/>
        <w:autoSpaceDE w:val="0"/>
        <w:autoSpaceDN w:val="0"/>
        <w:adjustRightInd w:val="0"/>
        <w:spacing w:line="20" w:lineRule="atLeast"/>
        <w:ind w:left="0" w:right="-138"/>
        <w:rPr>
          <w:rFonts w:cs="Arial"/>
          <w:color w:val="222222"/>
          <w:highlight w:val="cyan"/>
          <w:shd w:val="clear" w:color="auto" w:fill="FFFFFF"/>
          <w:lang w:val="es-CR"/>
        </w:rPr>
      </w:pPr>
    </w:p>
    <w:p w:rsidR="00191347" w:rsidRPr="00E179A4" w:rsidRDefault="00191347" w:rsidP="00827DD4">
      <w:pPr>
        <w:pStyle w:val="ListParagraph"/>
        <w:widowControl w:val="0"/>
        <w:numPr>
          <w:ilvl w:val="0"/>
          <w:numId w:val="1"/>
        </w:numPr>
        <w:tabs>
          <w:tab w:val="left" w:pos="0"/>
        </w:tabs>
        <w:adjustRightInd w:val="0"/>
        <w:ind w:left="0" w:firstLine="0"/>
        <w:rPr>
          <w:rFonts w:cs="Arial"/>
          <w:color w:val="222222"/>
          <w:shd w:val="clear" w:color="auto" w:fill="FFFFFF"/>
          <w:lang w:val="es-CR"/>
        </w:rPr>
      </w:pPr>
      <w:r w:rsidRPr="00AA38AC">
        <w:rPr>
          <w:szCs w:val="20"/>
          <w:lang w:val="es-CR"/>
        </w:rPr>
        <w:t xml:space="preserve">El 31 de julio de 2002 </w:t>
      </w:r>
      <w:r>
        <w:rPr>
          <w:szCs w:val="20"/>
          <w:lang w:val="es-CR"/>
        </w:rPr>
        <w:t xml:space="preserve">su hermano </w:t>
      </w:r>
      <w:r w:rsidRPr="00AA38AC">
        <w:rPr>
          <w:szCs w:val="20"/>
          <w:lang w:val="es-CR"/>
        </w:rPr>
        <w:t>Federico Día</w:t>
      </w:r>
      <w:r>
        <w:rPr>
          <w:szCs w:val="20"/>
          <w:lang w:val="es-CR"/>
        </w:rPr>
        <w:t>z Aparicio</w:t>
      </w:r>
      <w:r w:rsidRPr="00AA38AC">
        <w:rPr>
          <w:szCs w:val="20"/>
          <w:lang w:val="es-CR"/>
        </w:rPr>
        <w:t xml:space="preserve"> rindió su testimonio ante la Comisión </w:t>
      </w:r>
      <w:r w:rsidRPr="00827DD4">
        <w:rPr>
          <w:rFonts w:cs="Arial"/>
          <w:color w:val="222222"/>
          <w:szCs w:val="20"/>
          <w:shd w:val="clear" w:color="auto" w:fill="FFFFFF"/>
          <w:lang w:val="es-CR"/>
        </w:rPr>
        <w:t>de</w:t>
      </w:r>
      <w:r w:rsidRPr="00AA38AC">
        <w:rPr>
          <w:szCs w:val="20"/>
          <w:lang w:val="es-CR"/>
        </w:rPr>
        <w:t xml:space="preserve"> la Verdad y Reconciliación, en el cual manifestó que su familia no denunció </w:t>
      </w:r>
      <w:r>
        <w:rPr>
          <w:szCs w:val="20"/>
          <w:lang w:val="es-CR"/>
        </w:rPr>
        <w:t xml:space="preserve">la desaparición de su hermana </w:t>
      </w:r>
      <w:r w:rsidRPr="00AA38AC">
        <w:rPr>
          <w:szCs w:val="20"/>
          <w:lang w:val="es-CR"/>
        </w:rPr>
        <w:t xml:space="preserve">por temor, ya que </w:t>
      </w:r>
      <w:r>
        <w:rPr>
          <w:szCs w:val="20"/>
          <w:lang w:val="es-CR"/>
        </w:rPr>
        <w:t xml:space="preserve">para esa época </w:t>
      </w:r>
      <w:r w:rsidRPr="00AA38AC">
        <w:rPr>
          <w:szCs w:val="20"/>
          <w:lang w:val="es-CR"/>
        </w:rPr>
        <w:t xml:space="preserve">continuaba con seguimientos de la </w:t>
      </w:r>
      <w:r w:rsidR="00B903D9" w:rsidRPr="0074208D">
        <w:rPr>
          <w:szCs w:val="20"/>
        </w:rPr>
        <w:t>Dirección Nacional Contra el Terrorismo</w:t>
      </w:r>
      <w:r w:rsidR="00B903D9" w:rsidRPr="0074208D">
        <w:rPr>
          <w:szCs w:val="20"/>
          <w:lang w:val="es-CR"/>
        </w:rPr>
        <w:t xml:space="preserve"> </w:t>
      </w:r>
      <w:r w:rsidR="00D92DFF">
        <w:rPr>
          <w:szCs w:val="20"/>
          <w:lang w:val="es-CR"/>
        </w:rPr>
        <w:t>(en adelante</w:t>
      </w:r>
      <w:r w:rsidR="00B903D9">
        <w:rPr>
          <w:szCs w:val="20"/>
          <w:lang w:val="es-CR"/>
        </w:rPr>
        <w:t xml:space="preserve"> “</w:t>
      </w:r>
      <w:r w:rsidR="00B903D9" w:rsidRPr="00AA38AC">
        <w:rPr>
          <w:szCs w:val="20"/>
          <w:lang w:val="es-CR"/>
        </w:rPr>
        <w:t>DINCOTE</w:t>
      </w:r>
      <w:r w:rsidR="00B903D9">
        <w:rPr>
          <w:szCs w:val="20"/>
          <w:lang w:val="es-CR"/>
        </w:rPr>
        <w:t>”)</w:t>
      </w:r>
      <w:r w:rsidRPr="00AA38AC">
        <w:rPr>
          <w:szCs w:val="20"/>
          <w:lang w:val="es-CR"/>
        </w:rPr>
        <w:t xml:space="preserve"> </w:t>
      </w:r>
      <w:r>
        <w:rPr>
          <w:szCs w:val="20"/>
          <w:lang w:val="es-CR"/>
        </w:rPr>
        <w:t>y la madre</w:t>
      </w:r>
      <w:r w:rsidR="00045BDA">
        <w:rPr>
          <w:szCs w:val="20"/>
          <w:lang w:val="es-CR"/>
        </w:rPr>
        <w:t xml:space="preserve"> </w:t>
      </w:r>
      <w:r>
        <w:rPr>
          <w:szCs w:val="20"/>
          <w:lang w:val="es-CR"/>
        </w:rPr>
        <w:t xml:space="preserve">se </w:t>
      </w:r>
      <w:r>
        <w:rPr>
          <w:szCs w:val="20"/>
          <w:lang w:val="es-CR"/>
        </w:rPr>
        <w:lastRenderedPageBreak/>
        <w:t xml:space="preserve">encontraba en </w:t>
      </w:r>
      <w:r w:rsidRPr="00AA38AC">
        <w:rPr>
          <w:szCs w:val="20"/>
          <w:lang w:val="es-CR"/>
        </w:rPr>
        <w:t>mal estado de salud</w:t>
      </w:r>
      <w:r w:rsidRPr="00E179A4">
        <w:rPr>
          <w:rStyle w:val="FootnoteReference"/>
          <w:sz w:val="20"/>
          <w:szCs w:val="20"/>
          <w:lang w:val="es-CR"/>
        </w:rPr>
        <w:footnoteReference w:id="79"/>
      </w:r>
      <w:r w:rsidRPr="00AA38AC">
        <w:rPr>
          <w:szCs w:val="20"/>
          <w:lang w:val="es-CR"/>
        </w:rPr>
        <w:t xml:space="preserve">. </w:t>
      </w:r>
    </w:p>
    <w:p w:rsidR="00E179A4" w:rsidRPr="00F55D26" w:rsidRDefault="00E179A4" w:rsidP="00E179A4">
      <w:pPr>
        <w:pStyle w:val="ListParagraph"/>
        <w:autoSpaceDE w:val="0"/>
        <w:autoSpaceDN w:val="0"/>
        <w:adjustRightInd w:val="0"/>
        <w:spacing w:line="20" w:lineRule="atLeast"/>
        <w:ind w:left="0" w:right="-138"/>
        <w:rPr>
          <w:rFonts w:cs="Arial"/>
          <w:color w:val="222222"/>
          <w:shd w:val="clear" w:color="auto" w:fill="FFFFFF"/>
          <w:lang w:val="es-CR"/>
        </w:rPr>
      </w:pPr>
    </w:p>
    <w:p w:rsidR="00191347" w:rsidRDefault="000B550A" w:rsidP="00DB4E19">
      <w:pPr>
        <w:ind w:left="720"/>
        <w:rPr>
          <w:rFonts w:cs="Arial"/>
          <w:i/>
          <w:color w:val="222222"/>
          <w:shd w:val="clear" w:color="auto" w:fill="FFFFFF"/>
          <w:lang w:val="es-CR"/>
        </w:rPr>
      </w:pPr>
      <w:r>
        <w:rPr>
          <w:i/>
          <w:szCs w:val="20"/>
          <w:lang w:val="es-CR"/>
        </w:rPr>
        <w:t>B.2</w:t>
      </w:r>
      <w:r w:rsidR="00191347">
        <w:rPr>
          <w:i/>
          <w:szCs w:val="20"/>
          <w:lang w:val="es-CR"/>
        </w:rPr>
        <w:t>.4</w:t>
      </w:r>
      <w:r w:rsidR="00DB4E19">
        <w:rPr>
          <w:i/>
          <w:szCs w:val="20"/>
          <w:lang w:val="es-CR"/>
        </w:rPr>
        <w:t>.</w:t>
      </w:r>
      <w:r w:rsidR="00191347">
        <w:rPr>
          <w:i/>
          <w:szCs w:val="20"/>
          <w:lang w:val="es-CR"/>
        </w:rPr>
        <w:t xml:space="preserve"> </w:t>
      </w:r>
      <w:r w:rsidR="00191347" w:rsidRPr="001D36EE">
        <w:rPr>
          <w:i/>
          <w:szCs w:val="20"/>
          <w:lang w:val="es-CR"/>
        </w:rPr>
        <w:t xml:space="preserve">Actuaciones </w:t>
      </w:r>
      <w:r w:rsidR="0054631A">
        <w:rPr>
          <w:i/>
          <w:szCs w:val="20"/>
          <w:lang w:val="es-CR"/>
        </w:rPr>
        <w:t>en la jurisdicción interna sobre</w:t>
      </w:r>
      <w:r w:rsidR="00191347" w:rsidRPr="001D36EE">
        <w:rPr>
          <w:i/>
          <w:szCs w:val="20"/>
          <w:lang w:val="es-CR"/>
        </w:rPr>
        <w:t xml:space="preserve"> la desaparición </w:t>
      </w:r>
      <w:r w:rsidR="00191347" w:rsidRPr="001D36EE">
        <w:rPr>
          <w:rFonts w:cs="Arial"/>
          <w:i/>
          <w:color w:val="222222"/>
          <w:shd w:val="clear" w:color="auto" w:fill="FFFFFF"/>
          <w:lang w:val="es-CR"/>
        </w:rPr>
        <w:t>Teresa Díaz Aparicio</w:t>
      </w:r>
    </w:p>
    <w:p w:rsidR="00191347" w:rsidRPr="006E6399" w:rsidRDefault="00191347" w:rsidP="00191347">
      <w:pPr>
        <w:rPr>
          <w:rFonts w:cs="Arial"/>
          <w:i/>
          <w:color w:val="222222"/>
          <w:shd w:val="clear" w:color="auto" w:fill="FFFFFF"/>
          <w:lang w:val="es-CR"/>
        </w:rPr>
      </w:pPr>
    </w:p>
    <w:p w:rsidR="00191347" w:rsidRPr="001D36EE" w:rsidRDefault="000B550A" w:rsidP="00191347">
      <w:pPr>
        <w:pStyle w:val="ListParagraph"/>
        <w:autoSpaceDE w:val="0"/>
        <w:autoSpaceDN w:val="0"/>
        <w:adjustRightInd w:val="0"/>
        <w:spacing w:line="20" w:lineRule="atLeast"/>
        <w:ind w:left="0" w:right="-138" w:firstLine="720"/>
        <w:rPr>
          <w:rFonts w:cs="Arial"/>
          <w:i/>
          <w:color w:val="222222"/>
          <w:shd w:val="clear" w:color="auto" w:fill="FFFFFF"/>
          <w:lang w:val="es-CR"/>
        </w:rPr>
      </w:pPr>
      <w:r>
        <w:rPr>
          <w:rFonts w:cs="Arial"/>
          <w:i/>
          <w:color w:val="222222"/>
          <w:shd w:val="clear" w:color="auto" w:fill="FFFFFF"/>
          <w:lang w:val="es-CR"/>
        </w:rPr>
        <w:t>B.2</w:t>
      </w:r>
      <w:r w:rsidR="00191347">
        <w:rPr>
          <w:rFonts w:cs="Arial"/>
          <w:i/>
          <w:color w:val="222222"/>
          <w:shd w:val="clear" w:color="auto" w:fill="FFFFFF"/>
          <w:lang w:val="es-CR"/>
        </w:rPr>
        <w:t>.4.1</w:t>
      </w:r>
      <w:r w:rsidR="00DB4E19">
        <w:rPr>
          <w:rFonts w:cs="Arial"/>
          <w:i/>
          <w:color w:val="222222"/>
          <w:shd w:val="clear" w:color="auto" w:fill="FFFFFF"/>
          <w:lang w:val="es-CR"/>
        </w:rPr>
        <w:t>.</w:t>
      </w:r>
      <w:r w:rsidR="00191347">
        <w:rPr>
          <w:rFonts w:cs="Arial"/>
          <w:i/>
          <w:color w:val="222222"/>
          <w:shd w:val="clear" w:color="auto" w:fill="FFFFFF"/>
          <w:lang w:val="es-CR"/>
        </w:rPr>
        <w:t xml:space="preserve"> P</w:t>
      </w:r>
      <w:r w:rsidR="00191347" w:rsidRPr="001D36EE">
        <w:rPr>
          <w:rFonts w:cs="Arial"/>
          <w:i/>
          <w:color w:val="222222"/>
          <w:shd w:val="clear" w:color="auto" w:fill="FFFFFF"/>
          <w:lang w:val="es-CR"/>
        </w:rPr>
        <w:t xml:space="preserve">roceso de </w:t>
      </w:r>
      <w:r w:rsidR="00191347">
        <w:rPr>
          <w:rFonts w:cs="Arial"/>
          <w:i/>
          <w:color w:val="222222"/>
          <w:shd w:val="clear" w:color="auto" w:fill="FFFFFF"/>
          <w:lang w:val="es-CR"/>
        </w:rPr>
        <w:t>hábeas corpus por la desaparició</w:t>
      </w:r>
      <w:r w:rsidR="00191347" w:rsidRPr="001D36EE">
        <w:rPr>
          <w:rFonts w:cs="Arial"/>
          <w:i/>
          <w:color w:val="222222"/>
          <w:shd w:val="clear" w:color="auto" w:fill="FFFFFF"/>
          <w:lang w:val="es-CR"/>
        </w:rPr>
        <w:t>n de Teresa Díaz Aparicio</w:t>
      </w:r>
    </w:p>
    <w:p w:rsidR="00191347" w:rsidRPr="00B40328" w:rsidRDefault="00191347" w:rsidP="00191347">
      <w:pPr>
        <w:pStyle w:val="ListParagraph"/>
        <w:autoSpaceDE w:val="0"/>
        <w:autoSpaceDN w:val="0"/>
        <w:adjustRightInd w:val="0"/>
        <w:spacing w:line="20" w:lineRule="atLeast"/>
        <w:ind w:left="0" w:right="-138"/>
        <w:rPr>
          <w:rFonts w:cs="Arial"/>
          <w:color w:val="222222"/>
          <w:shd w:val="clear" w:color="auto" w:fill="FFFFFF"/>
          <w:lang w:val="es-CR"/>
        </w:rPr>
      </w:pPr>
    </w:p>
    <w:p w:rsidR="00FC5593" w:rsidRDefault="00191347" w:rsidP="00827DD4">
      <w:pPr>
        <w:pStyle w:val="ListParagraph"/>
        <w:widowControl w:val="0"/>
        <w:numPr>
          <w:ilvl w:val="0"/>
          <w:numId w:val="1"/>
        </w:numPr>
        <w:tabs>
          <w:tab w:val="left" w:pos="0"/>
        </w:tabs>
        <w:adjustRightInd w:val="0"/>
        <w:ind w:left="0" w:firstLine="0"/>
        <w:rPr>
          <w:rFonts w:cs="Arial"/>
          <w:color w:val="222222"/>
          <w:shd w:val="clear" w:color="auto" w:fill="FFFFFF"/>
          <w:lang w:val="es-CR"/>
        </w:rPr>
      </w:pPr>
      <w:r w:rsidRPr="002F1D5E">
        <w:rPr>
          <w:szCs w:val="20"/>
          <w:lang w:val="es-CR"/>
        </w:rPr>
        <w:t xml:space="preserve">El </w:t>
      </w:r>
      <w:r w:rsidRPr="001974A6">
        <w:rPr>
          <w:szCs w:val="20"/>
          <w:lang w:val="es-CR"/>
        </w:rPr>
        <w:t>25</w:t>
      </w:r>
      <w:r w:rsidRPr="002F1D5E">
        <w:rPr>
          <w:szCs w:val="20"/>
          <w:lang w:val="es-CR"/>
        </w:rPr>
        <w:t xml:space="preserve"> de febrero de 2002 Federico Díaz Aparicio interpuso un recurso de hábeas corpus por la desaparición de su hermana</w:t>
      </w:r>
      <w:r>
        <w:rPr>
          <w:szCs w:val="20"/>
          <w:lang w:val="es-CR"/>
        </w:rPr>
        <w:t xml:space="preserve"> en contra del Director de la D</w:t>
      </w:r>
      <w:r w:rsidR="0054631A">
        <w:rPr>
          <w:szCs w:val="20"/>
          <w:lang w:val="es-CR"/>
        </w:rPr>
        <w:t>INCOTE</w:t>
      </w:r>
      <w:r>
        <w:rPr>
          <w:szCs w:val="20"/>
          <w:lang w:val="es-CR"/>
        </w:rPr>
        <w:t xml:space="preserve"> y el Ministro de Justicia</w:t>
      </w:r>
      <w:r w:rsidR="001974A6" w:rsidRPr="00236507">
        <w:rPr>
          <w:rStyle w:val="FootnoteReference"/>
          <w:sz w:val="20"/>
          <w:szCs w:val="20"/>
          <w:lang w:val="es-CR"/>
        </w:rPr>
        <w:footnoteReference w:id="80"/>
      </w:r>
      <w:r w:rsidRPr="00236507">
        <w:rPr>
          <w:szCs w:val="20"/>
          <w:lang w:val="es-CR"/>
        </w:rPr>
        <w:t xml:space="preserve">. El 27 de febrero de 2002 el 19 Juzgado Penal de Lima </w:t>
      </w:r>
      <w:r w:rsidR="0006126E" w:rsidRPr="00236507">
        <w:rPr>
          <w:szCs w:val="20"/>
          <w:lang w:val="es-CR"/>
        </w:rPr>
        <w:t xml:space="preserve">lo </w:t>
      </w:r>
      <w:r w:rsidRPr="00236507">
        <w:rPr>
          <w:szCs w:val="20"/>
          <w:lang w:val="es-CR"/>
        </w:rPr>
        <w:t>declaró improcedente, considerando que “la detención de Teresa Díaz Aparicio se suscita en el año novent</w:t>
      </w:r>
      <w:r w:rsidR="00A170F7">
        <w:rPr>
          <w:szCs w:val="20"/>
          <w:lang w:val="es-CR"/>
        </w:rPr>
        <w:t>[</w:t>
      </w:r>
      <w:r w:rsidRPr="00236507">
        <w:rPr>
          <w:szCs w:val="20"/>
          <w:lang w:val="es-CR"/>
        </w:rPr>
        <w:t>a y dos], que el accionante no tiene conocimiento en donde se encuentra su hermana en la actualidad, que resulta manifiestamente imposible que desde el año novent[a y dos] la favorecida con esta acción se encuentre permaneciendo detenida en la D[INCOTE], por los fundamentos antes expuestos y resultando que la acción de garantía</w:t>
      </w:r>
      <w:r w:rsidR="001A6A1A">
        <w:rPr>
          <w:szCs w:val="20"/>
          <w:lang w:val="es-CR"/>
        </w:rPr>
        <w:t>[</w:t>
      </w:r>
      <w:r w:rsidRPr="00236507">
        <w:rPr>
          <w:szCs w:val="20"/>
          <w:lang w:val="es-CR"/>
        </w:rPr>
        <w:t>s</w:t>
      </w:r>
      <w:r w:rsidR="001A6A1A">
        <w:rPr>
          <w:szCs w:val="20"/>
          <w:lang w:val="es-CR"/>
        </w:rPr>
        <w:t>]</w:t>
      </w:r>
      <w:r w:rsidRPr="00236507">
        <w:rPr>
          <w:szCs w:val="20"/>
          <w:lang w:val="es-CR"/>
        </w:rPr>
        <w:t xml:space="preserve"> </w:t>
      </w:r>
      <w:r w:rsidR="001A6A1A">
        <w:rPr>
          <w:szCs w:val="20"/>
          <w:lang w:val="es-CR"/>
        </w:rPr>
        <w:t>interpuesta</w:t>
      </w:r>
      <w:r w:rsidRPr="00236507">
        <w:rPr>
          <w:szCs w:val="20"/>
          <w:lang w:val="es-CR"/>
        </w:rPr>
        <w:t xml:space="preserve"> resulta manifiestamente improcedente, se declare IMPRO</w:t>
      </w:r>
      <w:r w:rsidR="00236507">
        <w:rPr>
          <w:szCs w:val="20"/>
          <w:lang w:val="es-CR"/>
        </w:rPr>
        <w:t>CEDENTE DE PLANO la acción de Há</w:t>
      </w:r>
      <w:r w:rsidRPr="00236507">
        <w:rPr>
          <w:szCs w:val="20"/>
          <w:lang w:val="es-CR"/>
        </w:rPr>
        <w:t>beas Corpus interpuesta […]”</w:t>
      </w:r>
      <w:r w:rsidRPr="00236507">
        <w:rPr>
          <w:rStyle w:val="FootnoteReference"/>
          <w:sz w:val="20"/>
          <w:szCs w:val="20"/>
          <w:lang w:val="es-CR"/>
        </w:rPr>
        <w:footnoteReference w:id="81"/>
      </w:r>
      <w:r w:rsidRPr="00236507">
        <w:rPr>
          <w:szCs w:val="20"/>
          <w:lang w:val="es-CR"/>
        </w:rPr>
        <w:t>.</w:t>
      </w:r>
      <w:r w:rsidR="00FC5593">
        <w:rPr>
          <w:rFonts w:cs="Arial"/>
          <w:color w:val="222222"/>
          <w:shd w:val="clear" w:color="auto" w:fill="FFFFFF"/>
          <w:lang w:val="es-CR"/>
        </w:rPr>
        <w:t xml:space="preserve"> </w:t>
      </w:r>
    </w:p>
    <w:p w:rsidR="00FC5593" w:rsidRDefault="00FC5593" w:rsidP="00FC5593">
      <w:pPr>
        <w:pStyle w:val="ListParagraph"/>
        <w:autoSpaceDE w:val="0"/>
        <w:autoSpaceDN w:val="0"/>
        <w:adjustRightInd w:val="0"/>
        <w:spacing w:line="20" w:lineRule="atLeast"/>
        <w:ind w:left="0" w:right="-138"/>
        <w:rPr>
          <w:rFonts w:cs="Arial"/>
          <w:color w:val="222222"/>
          <w:shd w:val="clear" w:color="auto" w:fill="FFFFFF"/>
          <w:lang w:val="es-CR"/>
        </w:rPr>
      </w:pPr>
    </w:p>
    <w:p w:rsidR="00FC5593" w:rsidRPr="00D92DFF" w:rsidRDefault="00191347" w:rsidP="00D92DFF">
      <w:pPr>
        <w:pStyle w:val="ListParagraph"/>
        <w:widowControl w:val="0"/>
        <w:numPr>
          <w:ilvl w:val="0"/>
          <w:numId w:val="1"/>
        </w:numPr>
        <w:tabs>
          <w:tab w:val="left" w:pos="0"/>
        </w:tabs>
        <w:adjustRightInd w:val="0"/>
        <w:ind w:left="0" w:firstLine="0"/>
        <w:rPr>
          <w:rFonts w:cs="Arial"/>
          <w:color w:val="222222"/>
          <w:shd w:val="clear" w:color="auto" w:fill="FFFFFF"/>
          <w:lang w:val="es-CR"/>
        </w:rPr>
      </w:pPr>
      <w:r w:rsidRPr="00FC5593">
        <w:rPr>
          <w:rFonts w:cs="Arial"/>
          <w:color w:val="222222"/>
          <w:shd w:val="clear" w:color="auto" w:fill="FFFFFF"/>
          <w:lang w:val="es-CR"/>
        </w:rPr>
        <w:t>El 7 de marzo de 2002 Federico Díaz Aparicio interpuso un recurso impugnatorio de apelación contra la resolución de 27 de febrero de 2002, argumentando que “es de conocimiento público [que] desde 1990 a 2001 nadie podía hacer uso del presente derecho y existiendo documentos que [su] hermana era perseguida como terrorista sin serlo, es procedente admitir la Acción de Hábeas Corpus”</w:t>
      </w:r>
      <w:r w:rsidRPr="009E57E2">
        <w:rPr>
          <w:rStyle w:val="FootnoteReference"/>
          <w:color w:val="222222"/>
          <w:sz w:val="20"/>
          <w:szCs w:val="20"/>
          <w:shd w:val="clear" w:color="auto" w:fill="FFFFFF"/>
          <w:lang w:val="es-CR"/>
        </w:rPr>
        <w:footnoteReference w:id="82"/>
      </w:r>
      <w:r w:rsidRPr="00FC5593">
        <w:rPr>
          <w:rFonts w:cs="Arial"/>
          <w:color w:val="222222"/>
          <w:szCs w:val="20"/>
          <w:shd w:val="clear" w:color="auto" w:fill="FFFFFF"/>
          <w:lang w:val="es-CR"/>
        </w:rPr>
        <w:t>.</w:t>
      </w:r>
      <w:r w:rsidR="00FC5593">
        <w:rPr>
          <w:rFonts w:cs="Arial"/>
          <w:color w:val="222222"/>
          <w:shd w:val="clear" w:color="auto" w:fill="FFFFFF"/>
          <w:lang w:val="es-CR"/>
        </w:rPr>
        <w:t xml:space="preserve"> </w:t>
      </w:r>
      <w:r w:rsidRPr="00FC5593">
        <w:rPr>
          <w:szCs w:val="20"/>
          <w:lang w:val="es-CR"/>
        </w:rPr>
        <w:t xml:space="preserve">El 8 de marzo de 2002 el 19º </w:t>
      </w:r>
      <w:r w:rsidR="00882A79" w:rsidRPr="00FC5593">
        <w:rPr>
          <w:szCs w:val="20"/>
          <w:lang w:val="es-CR"/>
        </w:rPr>
        <w:t xml:space="preserve">Juzgado </w:t>
      </w:r>
      <w:r w:rsidRPr="00FC5593">
        <w:rPr>
          <w:szCs w:val="20"/>
          <w:lang w:val="es-CR"/>
        </w:rPr>
        <w:t>Penal de Lima concedió la apelación elevando los autos al superior</w:t>
      </w:r>
      <w:r w:rsidRPr="00236507">
        <w:rPr>
          <w:rStyle w:val="FootnoteReference"/>
          <w:sz w:val="20"/>
          <w:szCs w:val="20"/>
          <w:lang w:val="es-CR"/>
        </w:rPr>
        <w:footnoteReference w:id="83"/>
      </w:r>
      <w:r w:rsidRPr="00FC5593">
        <w:rPr>
          <w:szCs w:val="20"/>
          <w:lang w:val="es-CR"/>
        </w:rPr>
        <w:t>. El 21 de marzo de 2002 la Primera Sala Penal de la Corte Superior de Justicia de Lima dispuso admitir la acción de garantías con el fin de que se lleve a cabo una investigación</w:t>
      </w:r>
      <w:r w:rsidRPr="00236507">
        <w:rPr>
          <w:rStyle w:val="FootnoteReference"/>
          <w:sz w:val="20"/>
          <w:szCs w:val="20"/>
          <w:lang w:val="es-CR"/>
        </w:rPr>
        <w:footnoteReference w:id="84"/>
      </w:r>
      <w:r w:rsidRPr="00FC5593">
        <w:rPr>
          <w:szCs w:val="20"/>
          <w:lang w:val="es-CR"/>
        </w:rPr>
        <w:t>. El 3 de mayo de 2002 el 19º Juzgado Penal de Lima declaró infundada la acción de hábeas corpus debido a que no existe registro alguno que demuestre que la presunta víctima fue detenida por agentes de seguridad del Estado o que se encuentre detenida o que se encuentre recluida en algún centro penitenciario</w:t>
      </w:r>
      <w:r w:rsidRPr="009E57E2">
        <w:rPr>
          <w:rStyle w:val="FootnoteReference"/>
          <w:sz w:val="20"/>
          <w:szCs w:val="20"/>
          <w:lang w:val="es-CR"/>
        </w:rPr>
        <w:footnoteReference w:id="85"/>
      </w:r>
      <w:r w:rsidRPr="00FC5593">
        <w:rPr>
          <w:szCs w:val="20"/>
          <w:lang w:val="es-CR"/>
        </w:rPr>
        <w:t>. Contra esta decisión Federico Díaz Aparicio int</w:t>
      </w:r>
      <w:r w:rsidR="00D750EE" w:rsidRPr="00FC5593">
        <w:rPr>
          <w:szCs w:val="20"/>
          <w:lang w:val="es-CR"/>
        </w:rPr>
        <w:t>erpuso una nueva apelación el 23</w:t>
      </w:r>
      <w:r w:rsidRPr="00FC5593">
        <w:rPr>
          <w:szCs w:val="20"/>
          <w:lang w:val="es-CR"/>
        </w:rPr>
        <w:t xml:space="preserve"> de mayo de 2002, </w:t>
      </w:r>
      <w:r w:rsidRPr="00FC5593">
        <w:rPr>
          <w:rFonts w:cs="Arial"/>
          <w:color w:val="222222"/>
          <w:szCs w:val="20"/>
          <w:shd w:val="clear" w:color="auto" w:fill="FFFFFF"/>
          <w:lang w:val="es-CR"/>
        </w:rPr>
        <w:t>debido a que no se había agotado la actuación de las pruebas necesarias en dicha acción, por lo que es injusta e ilegal la resolución</w:t>
      </w:r>
      <w:r w:rsidRPr="001974A6">
        <w:rPr>
          <w:rStyle w:val="FootnoteReference"/>
          <w:color w:val="222222"/>
          <w:sz w:val="20"/>
          <w:szCs w:val="20"/>
          <w:shd w:val="clear" w:color="auto" w:fill="FFFFFF"/>
          <w:lang w:val="es-CR"/>
        </w:rPr>
        <w:footnoteReference w:id="86"/>
      </w:r>
      <w:r w:rsidRPr="00FC5593">
        <w:rPr>
          <w:szCs w:val="20"/>
          <w:lang w:val="es-CR"/>
        </w:rPr>
        <w:t xml:space="preserve">. </w:t>
      </w:r>
    </w:p>
    <w:p w:rsidR="00191347" w:rsidRPr="00FC5593" w:rsidRDefault="00191347" w:rsidP="00827DD4">
      <w:pPr>
        <w:pStyle w:val="ListParagraph"/>
        <w:widowControl w:val="0"/>
        <w:numPr>
          <w:ilvl w:val="0"/>
          <w:numId w:val="1"/>
        </w:numPr>
        <w:tabs>
          <w:tab w:val="left" w:pos="0"/>
        </w:tabs>
        <w:adjustRightInd w:val="0"/>
        <w:ind w:left="0" w:firstLine="0"/>
        <w:rPr>
          <w:rFonts w:cs="Arial"/>
          <w:color w:val="222222"/>
          <w:shd w:val="clear" w:color="auto" w:fill="FFFFFF"/>
          <w:lang w:val="es-CR"/>
        </w:rPr>
      </w:pPr>
      <w:r w:rsidRPr="00FC5593">
        <w:rPr>
          <w:szCs w:val="20"/>
          <w:lang w:val="es-CR"/>
        </w:rPr>
        <w:lastRenderedPageBreak/>
        <w:t xml:space="preserve">El 30 de mayo de 2002 la Sala Primera de la Corte Superior de Justicia confirmó la sentencia que declaró infundada la acción de hábeas corpus, y a la vez emitió un mandato </w:t>
      </w:r>
      <w:r w:rsidR="0054631A" w:rsidRPr="00FC5593">
        <w:rPr>
          <w:szCs w:val="20"/>
          <w:lang w:val="es-CR"/>
        </w:rPr>
        <w:t>a la Fiscalía Provincial</w:t>
      </w:r>
      <w:r w:rsidRPr="00FC5593">
        <w:rPr>
          <w:szCs w:val="20"/>
          <w:lang w:val="es-CR"/>
        </w:rPr>
        <w:t xml:space="preserve"> para que proceda a investigar y esclarecer la denuncia, conforme sus </w:t>
      </w:r>
      <w:r w:rsidRPr="00827DD4">
        <w:rPr>
          <w:rFonts w:cs="Arial"/>
          <w:color w:val="222222"/>
          <w:shd w:val="clear" w:color="auto" w:fill="FFFFFF"/>
          <w:lang w:val="es-CR"/>
        </w:rPr>
        <w:t>atribuciones</w:t>
      </w:r>
      <w:r w:rsidRPr="00FC5593">
        <w:rPr>
          <w:szCs w:val="20"/>
          <w:lang w:val="es-CR"/>
        </w:rPr>
        <w:t xml:space="preserve"> frente a indicios de la comisión del delito contra la Humanidad en la modalidad de Desaparición Forzada de Personas en agravio de Teresa Díaz Aparicio</w:t>
      </w:r>
      <w:r w:rsidRPr="009E57E2">
        <w:rPr>
          <w:rStyle w:val="FootnoteReference"/>
          <w:sz w:val="20"/>
          <w:szCs w:val="20"/>
          <w:lang w:val="es-CR"/>
        </w:rPr>
        <w:footnoteReference w:id="87"/>
      </w:r>
      <w:r w:rsidRPr="00FC5593">
        <w:rPr>
          <w:szCs w:val="20"/>
          <w:lang w:val="es-CR"/>
        </w:rPr>
        <w:t>.</w:t>
      </w:r>
    </w:p>
    <w:p w:rsidR="00191347" w:rsidRPr="001D36EE" w:rsidRDefault="00191347" w:rsidP="00191347">
      <w:pPr>
        <w:pStyle w:val="ListParagraph"/>
        <w:rPr>
          <w:rFonts w:cs="Arial"/>
          <w:i/>
          <w:color w:val="222222"/>
          <w:shd w:val="clear" w:color="auto" w:fill="FFFFFF"/>
          <w:lang w:val="es-CR"/>
        </w:rPr>
      </w:pPr>
    </w:p>
    <w:p w:rsidR="00191347" w:rsidRPr="001D36EE" w:rsidRDefault="000B550A" w:rsidP="00DB4E19">
      <w:pPr>
        <w:pStyle w:val="ListParagraph"/>
        <w:autoSpaceDE w:val="0"/>
        <w:autoSpaceDN w:val="0"/>
        <w:adjustRightInd w:val="0"/>
        <w:spacing w:line="20" w:lineRule="atLeast"/>
        <w:ind w:right="-138"/>
        <w:rPr>
          <w:rFonts w:cs="Arial"/>
          <w:i/>
          <w:color w:val="222222"/>
          <w:shd w:val="clear" w:color="auto" w:fill="FFFFFF"/>
          <w:lang w:val="es-CR"/>
        </w:rPr>
      </w:pPr>
      <w:r>
        <w:rPr>
          <w:rFonts w:cs="Arial"/>
          <w:i/>
          <w:color w:val="222222"/>
          <w:shd w:val="clear" w:color="auto" w:fill="FFFFFF"/>
          <w:lang w:val="es-CR"/>
        </w:rPr>
        <w:t>B.2</w:t>
      </w:r>
      <w:r w:rsidR="00191347">
        <w:rPr>
          <w:rFonts w:cs="Arial"/>
          <w:i/>
          <w:color w:val="222222"/>
          <w:shd w:val="clear" w:color="auto" w:fill="FFFFFF"/>
          <w:lang w:val="es-CR"/>
        </w:rPr>
        <w:t>.4</w:t>
      </w:r>
      <w:r w:rsidR="00191347" w:rsidRPr="001D36EE">
        <w:rPr>
          <w:rFonts w:cs="Arial"/>
          <w:i/>
          <w:color w:val="222222"/>
          <w:shd w:val="clear" w:color="auto" w:fill="FFFFFF"/>
          <w:lang w:val="es-CR"/>
        </w:rPr>
        <w:t>.2</w:t>
      </w:r>
      <w:r w:rsidR="00DB4E19">
        <w:rPr>
          <w:rFonts w:cs="Arial"/>
          <w:i/>
          <w:color w:val="222222"/>
          <w:shd w:val="clear" w:color="auto" w:fill="FFFFFF"/>
          <w:lang w:val="es-CR"/>
        </w:rPr>
        <w:t>.</w:t>
      </w:r>
      <w:r w:rsidR="00191347">
        <w:rPr>
          <w:rFonts w:cs="Arial"/>
          <w:i/>
          <w:color w:val="222222"/>
          <w:shd w:val="clear" w:color="auto" w:fill="FFFFFF"/>
          <w:lang w:val="es-CR"/>
        </w:rPr>
        <w:t xml:space="preserve"> I</w:t>
      </w:r>
      <w:r w:rsidR="00191347" w:rsidRPr="001D36EE">
        <w:rPr>
          <w:rFonts w:cs="Arial"/>
          <w:i/>
          <w:color w:val="222222"/>
          <w:shd w:val="clear" w:color="auto" w:fill="FFFFFF"/>
          <w:lang w:val="es-CR"/>
        </w:rPr>
        <w:t xml:space="preserve">nvestigación </w:t>
      </w:r>
      <w:r w:rsidR="00191347">
        <w:rPr>
          <w:rFonts w:cs="Arial"/>
          <w:i/>
          <w:color w:val="222222"/>
          <w:shd w:val="clear" w:color="auto" w:fill="FFFFFF"/>
          <w:lang w:val="es-CR"/>
        </w:rPr>
        <w:t>preliminar ante la Fiscalí</w:t>
      </w:r>
      <w:r w:rsidR="00191347" w:rsidRPr="001D36EE">
        <w:rPr>
          <w:rFonts w:cs="Arial"/>
          <w:i/>
          <w:color w:val="222222"/>
          <w:shd w:val="clear" w:color="auto" w:fill="FFFFFF"/>
          <w:lang w:val="es-CR"/>
        </w:rPr>
        <w:t>a Provincial Especializada en Desapariciones Forzadas, Ejecuciones Extrajudiciales y Exhumación de Fosas Clandestinas y la Segunda Fiscalía</w:t>
      </w:r>
      <w:r w:rsidR="00191347">
        <w:rPr>
          <w:rFonts w:cs="Arial"/>
          <w:i/>
          <w:color w:val="222222"/>
          <w:shd w:val="clear" w:color="auto" w:fill="FFFFFF"/>
          <w:lang w:val="es-CR"/>
        </w:rPr>
        <w:t xml:space="preserve"> Penal Supraprovincial (distintas fiscalías se encargaron de la investigación)</w:t>
      </w:r>
      <w:r w:rsidR="00191347" w:rsidRPr="005A6801">
        <w:rPr>
          <w:rStyle w:val="FootnoteReference"/>
          <w:color w:val="222222"/>
          <w:sz w:val="20"/>
          <w:szCs w:val="20"/>
          <w:shd w:val="clear" w:color="auto" w:fill="FFFFFF"/>
          <w:lang w:val="es-CR"/>
        </w:rPr>
        <w:footnoteReference w:id="88"/>
      </w:r>
    </w:p>
    <w:p w:rsidR="00191347" w:rsidRPr="00B40328" w:rsidRDefault="00191347" w:rsidP="00191347">
      <w:pPr>
        <w:pStyle w:val="ListParagraph"/>
        <w:autoSpaceDE w:val="0"/>
        <w:autoSpaceDN w:val="0"/>
        <w:adjustRightInd w:val="0"/>
        <w:spacing w:line="20" w:lineRule="atLeast"/>
        <w:ind w:left="0" w:right="-138"/>
        <w:rPr>
          <w:rFonts w:cs="Arial"/>
          <w:color w:val="222222"/>
          <w:shd w:val="clear" w:color="auto" w:fill="FFFFFF"/>
          <w:lang w:val="es-CR"/>
        </w:rPr>
      </w:pPr>
    </w:p>
    <w:p w:rsidR="00191347" w:rsidRPr="00B40328" w:rsidRDefault="00191347" w:rsidP="00827DD4">
      <w:pPr>
        <w:pStyle w:val="ListParagraph"/>
        <w:widowControl w:val="0"/>
        <w:numPr>
          <w:ilvl w:val="0"/>
          <w:numId w:val="1"/>
        </w:numPr>
        <w:tabs>
          <w:tab w:val="left" w:pos="0"/>
        </w:tabs>
        <w:adjustRightInd w:val="0"/>
        <w:ind w:left="0" w:firstLine="0"/>
        <w:rPr>
          <w:rFonts w:cs="Arial"/>
          <w:color w:val="222222"/>
          <w:shd w:val="clear" w:color="auto" w:fill="FFFFFF"/>
          <w:lang w:val="es-CR"/>
        </w:rPr>
      </w:pPr>
      <w:r w:rsidRPr="00B40328">
        <w:rPr>
          <w:szCs w:val="20"/>
          <w:lang w:val="es-CR"/>
        </w:rPr>
        <w:t xml:space="preserve">El 11 de septiembre de 2002 la Fiscalía Especializada para Desapariciones Forzosas, Ejecuciones Extrajudiciales y Exhumaciones de Fosas Clandestinas del Ministerio Público </w:t>
      </w:r>
      <w:r>
        <w:rPr>
          <w:szCs w:val="20"/>
          <w:lang w:val="es-CR"/>
        </w:rPr>
        <w:t xml:space="preserve">(en adelante también “Fiscalía Especializada en Desapariciones Forzadas”) </w:t>
      </w:r>
      <w:r w:rsidRPr="00B40328">
        <w:rPr>
          <w:szCs w:val="20"/>
          <w:lang w:val="es-CR"/>
        </w:rPr>
        <w:t>dispuso la apertura de</w:t>
      </w:r>
      <w:r>
        <w:rPr>
          <w:szCs w:val="20"/>
          <w:lang w:val="es-CR"/>
        </w:rPr>
        <w:t xml:space="preserve"> la</w:t>
      </w:r>
      <w:r w:rsidRPr="00B40328">
        <w:rPr>
          <w:szCs w:val="20"/>
          <w:lang w:val="es-CR"/>
        </w:rPr>
        <w:t xml:space="preserve"> investigaci</w:t>
      </w:r>
      <w:r>
        <w:rPr>
          <w:szCs w:val="20"/>
          <w:lang w:val="es-CR"/>
        </w:rPr>
        <w:t>ón</w:t>
      </w:r>
      <w:r w:rsidRPr="00B40328">
        <w:rPr>
          <w:szCs w:val="20"/>
          <w:lang w:val="es-CR"/>
        </w:rPr>
        <w:t xml:space="preserve"> y </w:t>
      </w:r>
      <w:r>
        <w:rPr>
          <w:szCs w:val="20"/>
          <w:lang w:val="es-CR"/>
        </w:rPr>
        <w:t xml:space="preserve">la realización de diversas </w:t>
      </w:r>
      <w:r w:rsidRPr="009E57E2">
        <w:rPr>
          <w:szCs w:val="20"/>
          <w:lang w:val="es-CR"/>
        </w:rPr>
        <w:t>diligencias</w:t>
      </w:r>
      <w:r w:rsidRPr="009E57E2">
        <w:rPr>
          <w:rStyle w:val="FootnoteReference"/>
          <w:sz w:val="20"/>
          <w:szCs w:val="20"/>
          <w:lang w:val="es-CR"/>
        </w:rPr>
        <w:footnoteReference w:id="89"/>
      </w:r>
      <w:r w:rsidRPr="009E57E2">
        <w:rPr>
          <w:szCs w:val="20"/>
          <w:lang w:val="es-CR"/>
        </w:rPr>
        <w:t>.</w:t>
      </w:r>
      <w:r w:rsidRPr="00503D95">
        <w:rPr>
          <w:szCs w:val="20"/>
          <w:lang w:val="es-CR"/>
        </w:rPr>
        <w:t xml:space="preserve"> </w:t>
      </w:r>
      <w:r w:rsidRPr="002F1D5E">
        <w:rPr>
          <w:szCs w:val="20"/>
          <w:lang w:val="es-CR"/>
        </w:rPr>
        <w:t>El</w:t>
      </w:r>
      <w:r>
        <w:rPr>
          <w:szCs w:val="20"/>
          <w:lang w:val="es-CR"/>
        </w:rPr>
        <w:t xml:space="preserve"> 7 de marzo de 2003 se dispuso abrir investigación a nivel policial por el término de 30 días bajo la Dirección de dicha Fiscalía se recabó prueba y solicitó información a distintas dependencias del Estado</w:t>
      </w:r>
      <w:r w:rsidRPr="009E57E2">
        <w:rPr>
          <w:rStyle w:val="FootnoteReference"/>
          <w:sz w:val="20"/>
          <w:szCs w:val="20"/>
          <w:lang w:val="es-CR"/>
        </w:rPr>
        <w:footnoteReference w:id="90"/>
      </w:r>
      <w:r>
        <w:rPr>
          <w:szCs w:val="20"/>
          <w:lang w:val="es-CR"/>
        </w:rPr>
        <w:t>.</w:t>
      </w:r>
    </w:p>
    <w:p w:rsidR="00191347" w:rsidRPr="00B40328" w:rsidRDefault="00191347" w:rsidP="00191347">
      <w:pPr>
        <w:pStyle w:val="ListParagraph"/>
        <w:autoSpaceDE w:val="0"/>
        <w:autoSpaceDN w:val="0"/>
        <w:adjustRightInd w:val="0"/>
        <w:spacing w:line="20" w:lineRule="atLeast"/>
        <w:ind w:left="0" w:right="-138"/>
        <w:rPr>
          <w:rFonts w:cs="Arial"/>
          <w:color w:val="222222"/>
          <w:shd w:val="clear" w:color="auto" w:fill="FFFFFF"/>
          <w:lang w:val="es-CR"/>
        </w:rPr>
      </w:pPr>
    </w:p>
    <w:p w:rsidR="00191347" w:rsidRPr="00563483" w:rsidRDefault="00191347" w:rsidP="00827DD4">
      <w:pPr>
        <w:pStyle w:val="ListParagraph"/>
        <w:widowControl w:val="0"/>
        <w:numPr>
          <w:ilvl w:val="0"/>
          <w:numId w:val="1"/>
        </w:numPr>
        <w:tabs>
          <w:tab w:val="left" w:pos="0"/>
        </w:tabs>
        <w:adjustRightInd w:val="0"/>
        <w:ind w:left="0" w:firstLine="0"/>
        <w:rPr>
          <w:rFonts w:cs="Arial"/>
          <w:color w:val="222222"/>
          <w:shd w:val="clear" w:color="auto" w:fill="FFFFFF"/>
          <w:lang w:val="es-CR"/>
        </w:rPr>
      </w:pPr>
      <w:r w:rsidRPr="00563483">
        <w:rPr>
          <w:szCs w:val="20"/>
          <w:lang w:val="es-CR"/>
        </w:rPr>
        <w:t>El 7 de abril de 2004 la Dirección de Investigación Criminal de</w:t>
      </w:r>
      <w:r w:rsidR="00A06617">
        <w:rPr>
          <w:szCs w:val="20"/>
          <w:lang w:val="es-CR"/>
        </w:rPr>
        <w:t>l</w:t>
      </w:r>
      <w:r w:rsidRPr="00563483">
        <w:rPr>
          <w:szCs w:val="20"/>
          <w:lang w:val="es-CR"/>
        </w:rPr>
        <w:t xml:space="preserve"> Departamento de Homicidios de la Policía Nacional realizó algunas diligencias e indicó que “desde que Teresa Díaz Aparicio fuera dete</w:t>
      </w:r>
      <w:r w:rsidR="001338F9">
        <w:rPr>
          <w:szCs w:val="20"/>
          <w:lang w:val="es-CR"/>
        </w:rPr>
        <w:t>nida por personal de la DINCOTE-</w:t>
      </w:r>
      <w:r w:rsidRPr="00563483">
        <w:rPr>
          <w:szCs w:val="20"/>
          <w:lang w:val="es-CR"/>
        </w:rPr>
        <w:t>PNP en marzo de 1989, no se cuenta con información alguna a la fecha que haga presumir que haya sido intervenida por la policía o persona de las FF.AA</w:t>
      </w:r>
      <w:r w:rsidR="00A06617">
        <w:rPr>
          <w:szCs w:val="20"/>
          <w:lang w:val="es-CR"/>
        </w:rPr>
        <w:t>.</w:t>
      </w:r>
      <w:r w:rsidRPr="00563483">
        <w:rPr>
          <w:szCs w:val="20"/>
          <w:lang w:val="es-CR"/>
        </w:rPr>
        <w:t>, tampoco se ha podido demostrar que actualmente esté fallecida. Sin embargo por la forma como desapareció y se alejó de su familia, rompiendo todo contacto con ellos es presumible y en consideración a sus presuntas vinculaciones con la organización terrorista de SL, pasó a la clandestinidad para unirse a dicha agrupación subversiva, no descartándose también la posibilidad que abandonó el país y a la fecha realiza actividades proselitistas en el extranjero, pero con identidad cambiada”</w:t>
      </w:r>
      <w:r w:rsidRPr="00563483">
        <w:rPr>
          <w:rStyle w:val="FootnoteReference"/>
          <w:sz w:val="20"/>
          <w:szCs w:val="20"/>
          <w:lang w:val="es-CR"/>
        </w:rPr>
        <w:footnoteReference w:id="91"/>
      </w:r>
      <w:r w:rsidRPr="00563483">
        <w:rPr>
          <w:szCs w:val="20"/>
          <w:lang w:val="es-CR"/>
        </w:rPr>
        <w:t>.</w:t>
      </w:r>
    </w:p>
    <w:p w:rsidR="0054631A" w:rsidRPr="00B4044C" w:rsidRDefault="0054631A" w:rsidP="0054631A">
      <w:pPr>
        <w:pStyle w:val="ListParagraph"/>
        <w:autoSpaceDE w:val="0"/>
        <w:autoSpaceDN w:val="0"/>
        <w:adjustRightInd w:val="0"/>
        <w:spacing w:line="20" w:lineRule="atLeast"/>
        <w:ind w:left="0" w:right="-138"/>
        <w:rPr>
          <w:rFonts w:cs="Arial"/>
          <w:color w:val="222222"/>
          <w:shd w:val="clear" w:color="auto" w:fill="FFFFFF"/>
          <w:lang w:val="es-CR"/>
        </w:rPr>
      </w:pPr>
    </w:p>
    <w:p w:rsidR="00191347" w:rsidRPr="007E527A" w:rsidRDefault="00191347" w:rsidP="00827DD4">
      <w:pPr>
        <w:pStyle w:val="ListParagraph"/>
        <w:widowControl w:val="0"/>
        <w:numPr>
          <w:ilvl w:val="0"/>
          <w:numId w:val="1"/>
        </w:numPr>
        <w:tabs>
          <w:tab w:val="left" w:pos="0"/>
        </w:tabs>
        <w:adjustRightInd w:val="0"/>
        <w:ind w:left="0" w:firstLine="0"/>
        <w:rPr>
          <w:rFonts w:cs="Arial"/>
          <w:color w:val="222222"/>
          <w:szCs w:val="20"/>
          <w:shd w:val="clear" w:color="auto" w:fill="FFFFFF"/>
          <w:lang w:val="es-CR"/>
        </w:rPr>
      </w:pPr>
      <w:r>
        <w:rPr>
          <w:rFonts w:cs="Arial"/>
          <w:color w:val="222222"/>
          <w:shd w:val="clear" w:color="auto" w:fill="FFFFFF"/>
          <w:lang w:val="es-CR"/>
        </w:rPr>
        <w:t xml:space="preserve">El 10 de enero de 2005 la Fiscalía Especializada en Desapariciones Forzadas dispuso realizar </w:t>
      </w:r>
      <w:r w:rsidRPr="00827DD4">
        <w:rPr>
          <w:szCs w:val="20"/>
          <w:lang w:val="es-CR"/>
        </w:rPr>
        <w:t>otras</w:t>
      </w:r>
      <w:r>
        <w:rPr>
          <w:rFonts w:cs="Arial"/>
          <w:color w:val="222222"/>
          <w:shd w:val="clear" w:color="auto" w:fill="FFFFFF"/>
          <w:lang w:val="es-CR"/>
        </w:rPr>
        <w:t xml:space="preserve"> diligencias complementarias, entre ellas, citar a familiares de la señora Díaz Aparicio, personas detenidas con ella en el año 1989 y a profesores que laboraban en la Facultad de Ciencias Sociales del UNM</w:t>
      </w:r>
      <w:r w:rsidRPr="007E527A">
        <w:rPr>
          <w:rFonts w:cs="Arial"/>
          <w:color w:val="222222"/>
          <w:szCs w:val="20"/>
          <w:shd w:val="clear" w:color="auto" w:fill="FFFFFF"/>
          <w:lang w:val="es-CR"/>
        </w:rPr>
        <w:t>SM</w:t>
      </w:r>
      <w:r w:rsidRPr="007E527A">
        <w:rPr>
          <w:rStyle w:val="FootnoteReference"/>
          <w:color w:val="222222"/>
          <w:sz w:val="20"/>
          <w:szCs w:val="20"/>
          <w:shd w:val="clear" w:color="auto" w:fill="FFFFFF"/>
          <w:lang w:val="es-CR"/>
        </w:rPr>
        <w:footnoteReference w:id="92"/>
      </w:r>
      <w:r w:rsidRPr="007E527A">
        <w:rPr>
          <w:rFonts w:cs="Arial"/>
          <w:color w:val="222222"/>
          <w:szCs w:val="20"/>
          <w:shd w:val="clear" w:color="auto" w:fill="FFFFFF"/>
          <w:lang w:val="es-CR"/>
        </w:rPr>
        <w:t>.</w:t>
      </w:r>
    </w:p>
    <w:p w:rsidR="00191347" w:rsidRPr="007E527A" w:rsidRDefault="00191347" w:rsidP="00191347">
      <w:pPr>
        <w:pStyle w:val="ListParagraph"/>
        <w:rPr>
          <w:szCs w:val="20"/>
          <w:lang w:val="es-CR"/>
        </w:rPr>
      </w:pPr>
    </w:p>
    <w:p w:rsidR="00191347" w:rsidRPr="0006126E" w:rsidRDefault="00191347" w:rsidP="00827DD4">
      <w:pPr>
        <w:pStyle w:val="ListParagraph"/>
        <w:widowControl w:val="0"/>
        <w:numPr>
          <w:ilvl w:val="0"/>
          <w:numId w:val="1"/>
        </w:numPr>
        <w:tabs>
          <w:tab w:val="left" w:pos="0"/>
        </w:tabs>
        <w:adjustRightInd w:val="0"/>
        <w:ind w:left="0" w:firstLine="0"/>
        <w:rPr>
          <w:rFonts w:cs="Arial"/>
          <w:color w:val="222222"/>
          <w:shd w:val="clear" w:color="auto" w:fill="FFFFFF"/>
          <w:lang w:val="es-CR"/>
        </w:rPr>
      </w:pPr>
      <w:r w:rsidRPr="007E527A">
        <w:rPr>
          <w:szCs w:val="20"/>
          <w:lang w:val="es-CR"/>
        </w:rPr>
        <w:lastRenderedPageBreak/>
        <w:t>El 20 de diciembre de 2005 Federico Díaz Aparicio rindió una declaración ante la Quinta Fiscalía Supraprovincial en la que manifestó que “la única vez que [su] hermana se ausentó de la universidad fue cuando fue detenida más o menos una semana en el año 1989”</w:t>
      </w:r>
      <w:r w:rsidR="001338F9">
        <w:rPr>
          <w:szCs w:val="20"/>
          <w:lang w:val="es-CR"/>
        </w:rPr>
        <w:t>,</w:t>
      </w:r>
      <w:r w:rsidRPr="007E527A">
        <w:rPr>
          <w:szCs w:val="20"/>
          <w:lang w:val="es-CR"/>
        </w:rPr>
        <w:t xml:space="preserve"> y que </w:t>
      </w:r>
      <w:r w:rsidR="001338F9">
        <w:rPr>
          <w:szCs w:val="20"/>
          <w:lang w:val="es-CR"/>
        </w:rPr>
        <w:t xml:space="preserve">ella </w:t>
      </w:r>
      <w:r w:rsidRPr="007E527A">
        <w:rPr>
          <w:szCs w:val="20"/>
          <w:lang w:val="es-CR"/>
        </w:rPr>
        <w:t xml:space="preserve">se sintió vigilada por la Policía Nacional después de su liberación. Agregó que no se efectúo </w:t>
      </w:r>
      <w:r w:rsidRPr="00827DD4">
        <w:rPr>
          <w:rFonts w:cs="Arial"/>
          <w:color w:val="222222"/>
          <w:shd w:val="clear" w:color="auto" w:fill="FFFFFF"/>
          <w:lang w:val="es-CR"/>
        </w:rPr>
        <w:t>la</w:t>
      </w:r>
      <w:r w:rsidRPr="007E527A">
        <w:rPr>
          <w:szCs w:val="20"/>
          <w:lang w:val="es-CR"/>
        </w:rPr>
        <w:t xml:space="preserve"> denuncia al momento de los hechos por temor a represalias de la policía contra su familia</w:t>
      </w:r>
      <w:r w:rsidRPr="007E527A">
        <w:rPr>
          <w:rStyle w:val="FootnoteReference"/>
          <w:sz w:val="20"/>
          <w:szCs w:val="20"/>
          <w:lang w:val="es-CR"/>
        </w:rPr>
        <w:footnoteReference w:id="93"/>
      </w:r>
      <w:r w:rsidRPr="007E527A">
        <w:rPr>
          <w:szCs w:val="20"/>
          <w:lang w:val="es-CR"/>
        </w:rPr>
        <w:t>.</w:t>
      </w:r>
    </w:p>
    <w:p w:rsidR="0006126E" w:rsidRPr="00D7196F" w:rsidRDefault="0006126E" w:rsidP="0006126E">
      <w:pPr>
        <w:pStyle w:val="ListParagraph"/>
        <w:autoSpaceDE w:val="0"/>
        <w:autoSpaceDN w:val="0"/>
        <w:adjustRightInd w:val="0"/>
        <w:spacing w:line="20" w:lineRule="atLeast"/>
        <w:ind w:left="0" w:right="-138"/>
        <w:rPr>
          <w:rFonts w:cs="Arial"/>
          <w:color w:val="222222"/>
          <w:shd w:val="clear" w:color="auto" w:fill="FFFFFF"/>
          <w:lang w:val="es-CR"/>
        </w:rPr>
      </w:pPr>
    </w:p>
    <w:p w:rsidR="00191347" w:rsidRPr="00FC5593" w:rsidRDefault="00191347" w:rsidP="00827DD4">
      <w:pPr>
        <w:pStyle w:val="ListParagraph"/>
        <w:widowControl w:val="0"/>
        <w:numPr>
          <w:ilvl w:val="0"/>
          <w:numId w:val="1"/>
        </w:numPr>
        <w:tabs>
          <w:tab w:val="left" w:pos="0"/>
        </w:tabs>
        <w:adjustRightInd w:val="0"/>
        <w:ind w:left="0" w:firstLine="0"/>
        <w:rPr>
          <w:rFonts w:cs="Arial"/>
          <w:color w:val="222222"/>
          <w:shd w:val="clear" w:color="auto" w:fill="FFFFFF"/>
          <w:lang w:val="es-CR"/>
        </w:rPr>
      </w:pPr>
      <w:r w:rsidRPr="00AC2B52">
        <w:rPr>
          <w:rFonts w:cs="Arial"/>
          <w:color w:val="222222"/>
          <w:szCs w:val="20"/>
          <w:shd w:val="clear" w:color="auto" w:fill="FFFFFF"/>
          <w:lang w:val="es-CR"/>
        </w:rPr>
        <w:t>El 4 de enero de 2007 la Segunda Fiscalía Penal Supraprovincial ordenó ampliar las investigaciones</w:t>
      </w:r>
      <w:r w:rsidRPr="007E527A">
        <w:rPr>
          <w:rStyle w:val="FootnoteReference"/>
          <w:color w:val="222222"/>
          <w:sz w:val="20"/>
          <w:szCs w:val="20"/>
          <w:shd w:val="clear" w:color="auto" w:fill="FFFFFF"/>
          <w:lang w:val="es-CR"/>
        </w:rPr>
        <w:footnoteReference w:id="94"/>
      </w:r>
      <w:r w:rsidRPr="007E527A">
        <w:rPr>
          <w:rFonts w:cs="Arial"/>
          <w:color w:val="222222"/>
          <w:szCs w:val="20"/>
          <w:shd w:val="clear" w:color="auto" w:fill="FFFFFF"/>
          <w:lang w:val="es-CR"/>
        </w:rPr>
        <w:t>. El 25 de octubre de 2007 dispuso recabar distinta documentación y declaraciones</w:t>
      </w:r>
      <w:r w:rsidRPr="007E527A">
        <w:rPr>
          <w:rStyle w:val="FootnoteReference"/>
          <w:color w:val="222222"/>
          <w:sz w:val="20"/>
          <w:szCs w:val="20"/>
          <w:shd w:val="clear" w:color="auto" w:fill="FFFFFF"/>
          <w:lang w:val="es-CR"/>
        </w:rPr>
        <w:footnoteReference w:id="95"/>
      </w:r>
      <w:r w:rsidRPr="007E527A">
        <w:rPr>
          <w:rFonts w:cs="Arial"/>
          <w:color w:val="222222"/>
          <w:szCs w:val="20"/>
          <w:shd w:val="clear" w:color="auto" w:fill="FFFFFF"/>
          <w:lang w:val="es-CR"/>
        </w:rPr>
        <w:t>.</w:t>
      </w:r>
    </w:p>
    <w:p w:rsidR="00FC5593" w:rsidRPr="001338F9" w:rsidRDefault="00FC5593" w:rsidP="00FC5593">
      <w:pPr>
        <w:pStyle w:val="ListParagraph"/>
        <w:autoSpaceDE w:val="0"/>
        <w:autoSpaceDN w:val="0"/>
        <w:adjustRightInd w:val="0"/>
        <w:spacing w:line="20" w:lineRule="atLeast"/>
        <w:ind w:left="0" w:right="-138"/>
        <w:rPr>
          <w:rFonts w:cs="Arial"/>
          <w:color w:val="222222"/>
          <w:shd w:val="clear" w:color="auto" w:fill="FFFFFF"/>
          <w:lang w:val="es-CR"/>
        </w:rPr>
      </w:pPr>
    </w:p>
    <w:p w:rsidR="00FC5593" w:rsidRPr="00FC5593" w:rsidRDefault="00191347" w:rsidP="00827DD4">
      <w:pPr>
        <w:pStyle w:val="ListParagraph"/>
        <w:widowControl w:val="0"/>
        <w:numPr>
          <w:ilvl w:val="0"/>
          <w:numId w:val="1"/>
        </w:numPr>
        <w:tabs>
          <w:tab w:val="left" w:pos="0"/>
        </w:tabs>
        <w:adjustRightInd w:val="0"/>
        <w:ind w:left="0" w:firstLine="0"/>
        <w:rPr>
          <w:rFonts w:cs="Arial"/>
          <w:color w:val="222222"/>
          <w:shd w:val="clear" w:color="auto" w:fill="FFFFFF"/>
          <w:lang w:val="es-CR"/>
        </w:rPr>
      </w:pPr>
      <w:r w:rsidRPr="00563483">
        <w:rPr>
          <w:szCs w:val="20"/>
          <w:lang w:val="es-CR"/>
        </w:rPr>
        <w:t xml:space="preserve">El 13 de febrero de 2009 la Segunda Fiscalía Penal Supraprovincial resolvió no haber mérito </w:t>
      </w:r>
      <w:r w:rsidRPr="00827DD4">
        <w:rPr>
          <w:rFonts w:cs="Arial"/>
          <w:color w:val="222222"/>
          <w:szCs w:val="20"/>
          <w:shd w:val="clear" w:color="auto" w:fill="FFFFFF"/>
          <w:lang w:val="es-CR"/>
        </w:rPr>
        <w:t>para</w:t>
      </w:r>
      <w:r w:rsidRPr="00563483">
        <w:rPr>
          <w:szCs w:val="20"/>
          <w:lang w:val="es-CR"/>
        </w:rPr>
        <w:t xml:space="preserve"> formular denuncia penal contra los que resulten responsables por la presunta comisión del delito de desaparición forzada en agravio de Teresa Díaz Aparicio y dispuso el archivo provisional de los actuados. Además</w:t>
      </w:r>
      <w:r w:rsidR="00A35F19">
        <w:rPr>
          <w:szCs w:val="20"/>
          <w:lang w:val="es-CR"/>
        </w:rPr>
        <w:t>,</w:t>
      </w:r>
      <w:r w:rsidRPr="00563483">
        <w:rPr>
          <w:szCs w:val="20"/>
          <w:lang w:val="es-CR"/>
        </w:rPr>
        <w:t xml:space="preserve"> dispuso poner en conocimiento de la División Policial del Ministerio Público a fin de que continuara con las investigaciones.</w:t>
      </w:r>
      <w:r w:rsidRPr="00563483">
        <w:rPr>
          <w:rStyle w:val="FootnoteReference"/>
          <w:szCs w:val="20"/>
          <w:lang w:val="es-CR"/>
        </w:rPr>
        <w:t xml:space="preserve"> </w:t>
      </w:r>
      <w:r w:rsidRPr="00563483">
        <w:rPr>
          <w:szCs w:val="20"/>
          <w:lang w:val="es-CR"/>
        </w:rPr>
        <w:t>Dicha Fiscalía concluyó que</w:t>
      </w:r>
      <w:r w:rsidR="00FB3030">
        <w:rPr>
          <w:szCs w:val="20"/>
          <w:lang w:val="es-CR"/>
        </w:rPr>
        <w:t>:</w:t>
      </w:r>
      <w:r w:rsidRPr="00563483">
        <w:rPr>
          <w:szCs w:val="20"/>
          <w:lang w:val="es-CR"/>
        </w:rPr>
        <w:t xml:space="preserve"> </w:t>
      </w:r>
    </w:p>
    <w:p w:rsidR="00FC5593" w:rsidRPr="00FC5593" w:rsidRDefault="00FC5593" w:rsidP="00FC5593">
      <w:pPr>
        <w:pStyle w:val="ListParagraph"/>
        <w:autoSpaceDE w:val="0"/>
        <w:autoSpaceDN w:val="0"/>
        <w:adjustRightInd w:val="0"/>
        <w:spacing w:line="20" w:lineRule="atLeast"/>
        <w:ind w:left="0" w:right="-138"/>
        <w:rPr>
          <w:rFonts w:cs="Arial"/>
          <w:color w:val="222222"/>
          <w:shd w:val="clear" w:color="auto" w:fill="FFFFFF"/>
          <w:lang w:val="es-CR"/>
        </w:rPr>
      </w:pPr>
    </w:p>
    <w:p w:rsidR="00191347" w:rsidRPr="00FC5593" w:rsidRDefault="00191347" w:rsidP="00FC5593">
      <w:pPr>
        <w:pStyle w:val="ListParagraph"/>
        <w:autoSpaceDE w:val="0"/>
        <w:autoSpaceDN w:val="0"/>
        <w:adjustRightInd w:val="0"/>
        <w:spacing w:line="20" w:lineRule="atLeast"/>
        <w:ind w:right="764"/>
        <w:rPr>
          <w:rFonts w:cs="Arial"/>
          <w:color w:val="222222"/>
          <w:sz w:val="16"/>
          <w:szCs w:val="16"/>
          <w:shd w:val="clear" w:color="auto" w:fill="FFFFFF"/>
          <w:lang w:val="es-CR"/>
        </w:rPr>
      </w:pPr>
      <w:r w:rsidRPr="00FC5593">
        <w:rPr>
          <w:sz w:val="16"/>
          <w:szCs w:val="16"/>
          <w:lang w:val="es-CR"/>
        </w:rPr>
        <w:t>Teresa Díaz Aparicio se encuentra desaparecida desde julio de 1992 […,] desaparición que deviene forzada, en tanto que existen indicios que en tal acto haya participado personal de</w:t>
      </w:r>
      <w:r w:rsidR="00A35F19" w:rsidRPr="00FC5593">
        <w:rPr>
          <w:sz w:val="16"/>
          <w:szCs w:val="16"/>
          <w:lang w:val="es-CR"/>
        </w:rPr>
        <w:t xml:space="preserve"> </w:t>
      </w:r>
      <w:r w:rsidRPr="00FC5593">
        <w:rPr>
          <w:sz w:val="16"/>
          <w:szCs w:val="16"/>
          <w:lang w:val="es-CR"/>
        </w:rPr>
        <w:t xml:space="preserve">la DIRCOTE, debido a que existe una detención de la víctima en marzo de 1989, en la cual mediante Parte No. 888-D3-SDIRCOTE, la DIRCOTE [la] señaló como miembro del aparato de apoyo del Partido Comunista del Perú – Sendero Luminoso, encargada de proporcionar alojamiento, alimentación, asistencia médicas y otros requerimientos de la agrupación subversiva-terrorista; lo cual fue desvirtuado por la propia investigación de aquella fecha, tal es así, que la Cuadragésima Primera Fiscalía Provincial de Lima dispuso su libertad, y pese a no encontrarse con ningún proceso penal o investigación penal por delito de Terrorismo pendiente, efectivos policiales de la DIRCOTE habrían allanado su domicilio en agosto de 1989[,…] hechos que han sido una práctica de actuar de la policía </w:t>
      </w:r>
      <w:r w:rsidR="00FC5593" w:rsidRPr="00FC5593">
        <w:rPr>
          <w:sz w:val="16"/>
          <w:szCs w:val="16"/>
          <w:lang w:val="es-CR"/>
        </w:rPr>
        <w:t>conforme al informe de la [CVR]</w:t>
      </w:r>
      <w:r w:rsidRPr="00B95AD8">
        <w:rPr>
          <w:rStyle w:val="FootnoteReference"/>
          <w:sz w:val="20"/>
          <w:szCs w:val="20"/>
          <w:lang w:val="es-CR"/>
        </w:rPr>
        <w:footnoteReference w:id="96"/>
      </w:r>
      <w:r w:rsidRPr="00FC5593">
        <w:rPr>
          <w:sz w:val="16"/>
          <w:szCs w:val="16"/>
          <w:lang w:val="es-CR"/>
        </w:rPr>
        <w:t>.</w:t>
      </w:r>
      <w:r w:rsidRPr="00FC5593">
        <w:rPr>
          <w:b/>
          <w:sz w:val="16"/>
          <w:szCs w:val="16"/>
          <w:lang w:val="es-CR"/>
        </w:rPr>
        <w:t xml:space="preserve"> </w:t>
      </w:r>
    </w:p>
    <w:p w:rsidR="00563483" w:rsidRPr="00563483" w:rsidRDefault="00563483" w:rsidP="00563483">
      <w:pPr>
        <w:pStyle w:val="ListParagraph"/>
        <w:autoSpaceDE w:val="0"/>
        <w:autoSpaceDN w:val="0"/>
        <w:adjustRightInd w:val="0"/>
        <w:spacing w:line="20" w:lineRule="atLeast"/>
        <w:ind w:left="0" w:right="-138"/>
        <w:rPr>
          <w:rFonts w:cs="Arial"/>
          <w:color w:val="222222"/>
          <w:shd w:val="clear" w:color="auto" w:fill="FFFFFF"/>
          <w:lang w:val="es-CR"/>
        </w:rPr>
      </w:pPr>
    </w:p>
    <w:p w:rsidR="00191347" w:rsidRDefault="000B550A" w:rsidP="00F55D26">
      <w:pPr>
        <w:pStyle w:val="ListParagraph"/>
        <w:autoSpaceDE w:val="0"/>
        <w:autoSpaceDN w:val="0"/>
        <w:adjustRightInd w:val="0"/>
        <w:spacing w:line="20" w:lineRule="atLeast"/>
        <w:ind w:left="0" w:right="-138" w:firstLine="720"/>
        <w:rPr>
          <w:rFonts w:cs="Arial"/>
          <w:i/>
          <w:color w:val="222222"/>
          <w:shd w:val="clear" w:color="auto" w:fill="FFFFFF"/>
          <w:lang w:val="es-CR"/>
        </w:rPr>
      </w:pPr>
      <w:r>
        <w:rPr>
          <w:rFonts w:cs="Arial"/>
          <w:i/>
          <w:color w:val="222222"/>
          <w:shd w:val="clear" w:color="auto" w:fill="FFFFFF"/>
          <w:lang w:val="es-CR"/>
        </w:rPr>
        <w:t>B.2</w:t>
      </w:r>
      <w:r w:rsidR="003749D0">
        <w:rPr>
          <w:rFonts w:cs="Arial"/>
          <w:i/>
          <w:color w:val="222222"/>
          <w:shd w:val="clear" w:color="auto" w:fill="FFFFFF"/>
          <w:lang w:val="es-CR"/>
        </w:rPr>
        <w:t>.4</w:t>
      </w:r>
      <w:r w:rsidR="00191347" w:rsidRPr="001D36EE">
        <w:rPr>
          <w:rFonts w:cs="Arial"/>
          <w:i/>
          <w:color w:val="222222"/>
          <w:shd w:val="clear" w:color="auto" w:fill="FFFFFF"/>
          <w:lang w:val="es-CR"/>
        </w:rPr>
        <w:t>.3</w:t>
      </w:r>
      <w:r w:rsidR="003749D0">
        <w:rPr>
          <w:rFonts w:cs="Arial"/>
          <w:i/>
          <w:color w:val="222222"/>
          <w:shd w:val="clear" w:color="auto" w:fill="FFFFFF"/>
          <w:lang w:val="es-CR"/>
        </w:rPr>
        <w:t>.</w:t>
      </w:r>
      <w:r w:rsidR="00191347" w:rsidRPr="001D36EE">
        <w:rPr>
          <w:rFonts w:cs="Arial"/>
          <w:i/>
          <w:color w:val="222222"/>
          <w:shd w:val="clear" w:color="auto" w:fill="FFFFFF"/>
          <w:lang w:val="es-CR"/>
        </w:rPr>
        <w:t xml:space="preserve"> Nuevas investigaciones iniciadas ante el Fuero Ordinario</w:t>
      </w:r>
    </w:p>
    <w:p w:rsidR="00A35F19" w:rsidRPr="00F55D26" w:rsidRDefault="00A35F19" w:rsidP="00F55D26">
      <w:pPr>
        <w:pStyle w:val="ListParagraph"/>
        <w:autoSpaceDE w:val="0"/>
        <w:autoSpaceDN w:val="0"/>
        <w:adjustRightInd w:val="0"/>
        <w:spacing w:line="20" w:lineRule="atLeast"/>
        <w:ind w:left="0" w:right="-138" w:firstLine="720"/>
        <w:rPr>
          <w:rFonts w:cs="Arial"/>
          <w:i/>
          <w:color w:val="222222"/>
          <w:shd w:val="clear" w:color="auto" w:fill="FFFFFF"/>
          <w:lang w:val="es-CR"/>
        </w:rPr>
      </w:pPr>
    </w:p>
    <w:p w:rsidR="00191347" w:rsidRPr="00B377EC" w:rsidRDefault="00191347" w:rsidP="00827DD4">
      <w:pPr>
        <w:pStyle w:val="ListParagraph"/>
        <w:widowControl w:val="0"/>
        <w:numPr>
          <w:ilvl w:val="0"/>
          <w:numId w:val="1"/>
        </w:numPr>
        <w:tabs>
          <w:tab w:val="left" w:pos="0"/>
        </w:tabs>
        <w:adjustRightInd w:val="0"/>
        <w:ind w:left="0" w:firstLine="0"/>
        <w:rPr>
          <w:rFonts w:cs="Arial"/>
          <w:color w:val="222222"/>
          <w:shd w:val="clear" w:color="auto" w:fill="FFFFFF"/>
          <w:lang w:val="es-CR"/>
        </w:rPr>
      </w:pPr>
      <w:r w:rsidRPr="00B40328">
        <w:rPr>
          <w:szCs w:val="20"/>
          <w:lang w:val="es-CR"/>
        </w:rPr>
        <w:t xml:space="preserve">El 8 de agosto de 2012 la Segunda Fiscalía Penal Supraprovincial solicitó a la Sala Penal Nacional y a la Sala Penal Especial información que pudiera ser relevante o nuevos elementos que reorienten la investigación sobre la desaparición forzada de Teresa Díaz Aparicio. </w:t>
      </w:r>
      <w:r>
        <w:rPr>
          <w:szCs w:val="20"/>
          <w:lang w:val="es-CR"/>
        </w:rPr>
        <w:t>T</w:t>
      </w:r>
      <w:r w:rsidRPr="002F1D5E">
        <w:rPr>
          <w:szCs w:val="20"/>
          <w:lang w:val="es-CR"/>
        </w:rPr>
        <w:t>ambién se solicitó realizar diligencias para que se recibieran declaraciones indagatorias</w:t>
      </w:r>
      <w:r w:rsidRPr="0010354C">
        <w:rPr>
          <w:rStyle w:val="FootnoteReference"/>
          <w:sz w:val="20"/>
          <w:szCs w:val="20"/>
          <w:lang w:val="es-CR"/>
        </w:rPr>
        <w:footnoteReference w:id="97"/>
      </w:r>
      <w:r w:rsidRPr="002F1D5E">
        <w:rPr>
          <w:szCs w:val="20"/>
          <w:lang w:val="es-CR"/>
        </w:rPr>
        <w:t>.</w:t>
      </w:r>
    </w:p>
    <w:p w:rsidR="00191347" w:rsidRDefault="00191347" w:rsidP="00191347">
      <w:pPr>
        <w:pStyle w:val="ListParagraph"/>
        <w:autoSpaceDE w:val="0"/>
        <w:autoSpaceDN w:val="0"/>
        <w:adjustRightInd w:val="0"/>
        <w:spacing w:line="20" w:lineRule="atLeast"/>
        <w:ind w:left="0" w:right="-138"/>
        <w:rPr>
          <w:rFonts w:cs="Arial"/>
          <w:color w:val="222222"/>
          <w:shd w:val="clear" w:color="auto" w:fill="FFFFFF"/>
          <w:lang w:val="es-CR"/>
        </w:rPr>
      </w:pPr>
    </w:p>
    <w:p w:rsidR="00191347" w:rsidRPr="00CE7723" w:rsidRDefault="00A06617" w:rsidP="00F27325">
      <w:pPr>
        <w:pStyle w:val="ListParagraph"/>
        <w:autoSpaceDE w:val="0"/>
        <w:autoSpaceDN w:val="0"/>
        <w:adjustRightInd w:val="0"/>
        <w:spacing w:line="20" w:lineRule="atLeast"/>
        <w:ind w:left="708" w:right="-138"/>
        <w:rPr>
          <w:rFonts w:cs="Arial"/>
          <w:i/>
          <w:color w:val="222222"/>
          <w:szCs w:val="20"/>
          <w:shd w:val="clear" w:color="auto" w:fill="FFFFFF"/>
          <w:lang w:val="es-CR"/>
        </w:rPr>
      </w:pPr>
      <w:r>
        <w:rPr>
          <w:rFonts w:cs="Arial"/>
          <w:i/>
          <w:color w:val="222222"/>
          <w:szCs w:val="20"/>
          <w:shd w:val="clear" w:color="auto" w:fill="FFFFFF"/>
          <w:lang w:val="es-CR"/>
        </w:rPr>
        <w:t>B.2</w:t>
      </w:r>
      <w:r w:rsidR="00DB4E19">
        <w:rPr>
          <w:rFonts w:cs="Arial"/>
          <w:i/>
          <w:color w:val="222222"/>
          <w:szCs w:val="20"/>
          <w:shd w:val="clear" w:color="auto" w:fill="FFFFFF"/>
          <w:lang w:val="es-CR"/>
        </w:rPr>
        <w:t>.4.</w:t>
      </w:r>
      <w:r w:rsidR="003749D0">
        <w:rPr>
          <w:rFonts w:cs="Arial"/>
          <w:i/>
          <w:color w:val="222222"/>
          <w:szCs w:val="20"/>
          <w:shd w:val="clear" w:color="auto" w:fill="FFFFFF"/>
          <w:lang w:val="es-CR"/>
        </w:rPr>
        <w:t>4.</w:t>
      </w:r>
      <w:r w:rsidR="00191347">
        <w:rPr>
          <w:rFonts w:cs="Arial"/>
          <w:i/>
          <w:color w:val="222222"/>
          <w:szCs w:val="20"/>
          <w:shd w:val="clear" w:color="auto" w:fill="FFFFFF"/>
          <w:lang w:val="es-CR"/>
        </w:rPr>
        <w:t xml:space="preserve"> </w:t>
      </w:r>
      <w:r w:rsidR="00191347" w:rsidRPr="00CE7723">
        <w:rPr>
          <w:rFonts w:cs="Arial"/>
          <w:i/>
          <w:color w:val="222222"/>
          <w:szCs w:val="20"/>
          <w:shd w:val="clear" w:color="auto" w:fill="FFFFFF"/>
          <w:lang w:val="es-CR"/>
        </w:rPr>
        <w:t>Diligencias realizadas a partir de 2016 ante la Fiscalía Especializada para Desapariciones Forzosas, Ejecuciones E</w:t>
      </w:r>
      <w:r w:rsidR="00872E1F">
        <w:rPr>
          <w:rFonts w:cs="Arial"/>
          <w:i/>
          <w:color w:val="222222"/>
          <w:szCs w:val="20"/>
          <w:shd w:val="clear" w:color="auto" w:fill="FFFFFF"/>
          <w:lang w:val="es-CR"/>
        </w:rPr>
        <w:t>xtrajudiciales y Exhumación de Fosas C</w:t>
      </w:r>
      <w:r w:rsidR="00191347" w:rsidRPr="00CE7723">
        <w:rPr>
          <w:rFonts w:cs="Arial"/>
          <w:i/>
          <w:color w:val="222222"/>
          <w:szCs w:val="20"/>
          <w:shd w:val="clear" w:color="auto" w:fill="FFFFFF"/>
          <w:lang w:val="es-CR"/>
        </w:rPr>
        <w:t>landestinas</w:t>
      </w:r>
    </w:p>
    <w:p w:rsidR="00191347" w:rsidRPr="00003003" w:rsidRDefault="00191347" w:rsidP="00191347">
      <w:pPr>
        <w:pStyle w:val="ListParagraph"/>
        <w:autoSpaceDE w:val="0"/>
        <w:autoSpaceDN w:val="0"/>
        <w:adjustRightInd w:val="0"/>
        <w:spacing w:line="20" w:lineRule="atLeast"/>
        <w:ind w:left="0" w:right="-138"/>
        <w:rPr>
          <w:rFonts w:cs="Arial"/>
          <w:color w:val="222222"/>
          <w:shd w:val="clear" w:color="auto" w:fill="FFFFFF"/>
          <w:lang w:val="es-CR"/>
        </w:rPr>
      </w:pPr>
    </w:p>
    <w:p w:rsidR="00191347" w:rsidRDefault="00191347" w:rsidP="00827DD4">
      <w:pPr>
        <w:pStyle w:val="ListParagraph"/>
        <w:widowControl w:val="0"/>
        <w:numPr>
          <w:ilvl w:val="0"/>
          <w:numId w:val="1"/>
        </w:numPr>
        <w:tabs>
          <w:tab w:val="left" w:pos="0"/>
        </w:tabs>
        <w:adjustRightInd w:val="0"/>
        <w:ind w:left="0" w:firstLine="0"/>
        <w:rPr>
          <w:lang w:val="es-CR"/>
        </w:rPr>
      </w:pPr>
      <w:r>
        <w:rPr>
          <w:lang w:val="es-CR"/>
        </w:rPr>
        <w:t>El 27 de julio de 2016 la Coordinación de la Fiscalía Sup</w:t>
      </w:r>
      <w:r w:rsidR="00872E1F">
        <w:rPr>
          <w:lang w:val="es-CR"/>
        </w:rPr>
        <w:t xml:space="preserve">erior Penal Nacional y Fiscalía Penal </w:t>
      </w:r>
      <w:r w:rsidR="00872E1F" w:rsidRPr="00827DD4">
        <w:rPr>
          <w:szCs w:val="20"/>
          <w:lang w:val="es-CR"/>
        </w:rPr>
        <w:t>Supraprovincial</w:t>
      </w:r>
      <w:r>
        <w:rPr>
          <w:lang w:val="es-CR"/>
        </w:rPr>
        <w:t xml:space="preserve"> del Ministerio Público dispuso reiterar a las fiscalías correspondientes el pedido de información sobre las posibles investigaciones y/o procesos por el delito contra </w:t>
      </w:r>
      <w:r>
        <w:rPr>
          <w:lang w:val="es-CR"/>
        </w:rPr>
        <w:lastRenderedPageBreak/>
        <w:t>la humanidad en la modalidad desaparición forzada</w:t>
      </w:r>
      <w:r w:rsidR="000276E9" w:rsidRPr="00422365">
        <w:rPr>
          <w:rStyle w:val="FootnoteReference"/>
          <w:sz w:val="20"/>
          <w:szCs w:val="20"/>
          <w:lang w:val="es-CR"/>
        </w:rPr>
        <w:footnoteReference w:id="98"/>
      </w:r>
      <w:r w:rsidRPr="00422365">
        <w:rPr>
          <w:szCs w:val="20"/>
          <w:lang w:val="es-CR"/>
        </w:rPr>
        <w:t>.</w:t>
      </w:r>
    </w:p>
    <w:p w:rsidR="00191347" w:rsidRDefault="00191347" w:rsidP="00191347">
      <w:pPr>
        <w:pStyle w:val="ListParagraph"/>
        <w:ind w:left="0"/>
        <w:rPr>
          <w:lang w:val="es-CR"/>
        </w:rPr>
      </w:pPr>
      <w:r>
        <w:rPr>
          <w:lang w:val="es-CR"/>
        </w:rPr>
        <w:t xml:space="preserve"> </w:t>
      </w:r>
    </w:p>
    <w:p w:rsidR="00191347" w:rsidRPr="00A8794F" w:rsidRDefault="00191347" w:rsidP="00C328C0">
      <w:pPr>
        <w:pStyle w:val="ListParagraph"/>
        <w:widowControl w:val="0"/>
        <w:numPr>
          <w:ilvl w:val="0"/>
          <w:numId w:val="1"/>
        </w:numPr>
        <w:tabs>
          <w:tab w:val="left" w:pos="0"/>
        </w:tabs>
        <w:adjustRightInd w:val="0"/>
        <w:ind w:left="0" w:firstLine="0"/>
        <w:rPr>
          <w:lang w:val="es-CR"/>
        </w:rPr>
      </w:pPr>
      <w:r>
        <w:rPr>
          <w:lang w:val="es-CR"/>
        </w:rPr>
        <w:t xml:space="preserve">Al igual que en los otros casos, el </w:t>
      </w:r>
      <w:r w:rsidRPr="00003003">
        <w:rPr>
          <w:lang w:val="es-CR"/>
        </w:rPr>
        <w:t>10 de octubre de 2016 la Coordinación de la Fiscalía Superior Penal Nacional y Fiscalías Penales Supraprovinciales del Ministerio Público dispuso la apertura de investigación</w:t>
      </w:r>
      <w:r>
        <w:rPr>
          <w:lang w:val="es-CR"/>
        </w:rPr>
        <w:t xml:space="preserve"> por</w:t>
      </w:r>
      <w:r w:rsidRPr="007E527A">
        <w:rPr>
          <w:szCs w:val="20"/>
          <w:lang w:val="es-CR"/>
        </w:rPr>
        <w:t xml:space="preserve"> el delito contra la humanidad en la modalidad de desaparición forzada por los delitos cometidos en contra de la señora Teresa Díaz Aparicio</w:t>
      </w:r>
      <w:r w:rsidRPr="007E527A">
        <w:rPr>
          <w:rStyle w:val="FootnoteReference"/>
          <w:sz w:val="20"/>
          <w:szCs w:val="20"/>
          <w:lang w:val="es-CR"/>
        </w:rPr>
        <w:footnoteReference w:id="99"/>
      </w:r>
      <w:r w:rsidRPr="007E527A">
        <w:rPr>
          <w:szCs w:val="20"/>
          <w:lang w:val="es-CR"/>
        </w:rPr>
        <w:t>, entre otras, ya que se había determinado la existencia de</w:t>
      </w:r>
      <w:r w:rsidR="00732944">
        <w:rPr>
          <w:szCs w:val="20"/>
          <w:lang w:val="es-CR"/>
        </w:rPr>
        <w:t xml:space="preserve"> una</w:t>
      </w:r>
      <w:r w:rsidRPr="007E527A">
        <w:rPr>
          <w:szCs w:val="20"/>
          <w:lang w:val="es-CR"/>
        </w:rPr>
        <w:t xml:space="preserve"> investigación por tal delito</w:t>
      </w:r>
      <w:r w:rsidR="00932C08">
        <w:rPr>
          <w:szCs w:val="20"/>
          <w:lang w:val="es-CR"/>
        </w:rPr>
        <w:t>,</w:t>
      </w:r>
      <w:r w:rsidRPr="007E527A">
        <w:rPr>
          <w:szCs w:val="20"/>
          <w:lang w:val="es-CR"/>
        </w:rPr>
        <w:t xml:space="preserve"> respecto a ella</w:t>
      </w:r>
      <w:r w:rsidR="00A35F19">
        <w:rPr>
          <w:szCs w:val="20"/>
          <w:lang w:val="es-CR"/>
        </w:rPr>
        <w:t>.</w:t>
      </w:r>
    </w:p>
    <w:p w:rsidR="00A8794F" w:rsidRPr="004D4F62" w:rsidRDefault="00A8794F" w:rsidP="00A8794F">
      <w:pPr>
        <w:pStyle w:val="ListParagraph"/>
        <w:ind w:left="0"/>
        <w:rPr>
          <w:lang w:val="es-CR"/>
        </w:rPr>
      </w:pPr>
    </w:p>
    <w:p w:rsidR="007E6382" w:rsidRPr="00BD39C5" w:rsidRDefault="007656AB" w:rsidP="009918DD">
      <w:pPr>
        <w:pStyle w:val="ListParagraph"/>
        <w:widowControl w:val="0"/>
        <w:numPr>
          <w:ilvl w:val="0"/>
          <w:numId w:val="1"/>
        </w:numPr>
        <w:tabs>
          <w:tab w:val="left" w:pos="0"/>
        </w:tabs>
        <w:adjustRightInd w:val="0"/>
        <w:ind w:left="0" w:firstLine="0"/>
        <w:rPr>
          <w:szCs w:val="20"/>
          <w:lang w:val="es-ES_tradnl"/>
        </w:rPr>
      </w:pPr>
      <w:r w:rsidRPr="00835978">
        <w:rPr>
          <w:szCs w:val="20"/>
          <w:lang w:val="es-CR"/>
        </w:rPr>
        <w:t xml:space="preserve">Según </w:t>
      </w:r>
      <w:r>
        <w:rPr>
          <w:szCs w:val="20"/>
          <w:lang w:val="es-CR"/>
        </w:rPr>
        <w:t xml:space="preserve">Resolución </w:t>
      </w:r>
      <w:r w:rsidRPr="00835978">
        <w:rPr>
          <w:szCs w:val="20"/>
          <w:lang w:val="es-CR"/>
        </w:rPr>
        <w:t>de 3 de abril de 2017 respecto</w:t>
      </w:r>
      <w:r w:rsidR="00657212">
        <w:rPr>
          <w:szCs w:val="20"/>
          <w:lang w:val="es-CR"/>
        </w:rPr>
        <w:t xml:space="preserve"> de </w:t>
      </w:r>
      <w:r w:rsidRPr="00835978">
        <w:rPr>
          <w:szCs w:val="20"/>
          <w:lang w:val="es-CR"/>
        </w:rPr>
        <w:t>la denuncia relacionada con</w:t>
      </w:r>
      <w:r w:rsidR="00932C08">
        <w:rPr>
          <w:szCs w:val="20"/>
          <w:lang w:val="es-CR"/>
        </w:rPr>
        <w:t xml:space="preserve"> </w:t>
      </w:r>
      <w:r w:rsidR="00191347" w:rsidRPr="00086B31">
        <w:rPr>
          <w:szCs w:val="20"/>
          <w:lang w:val="es-CR"/>
        </w:rPr>
        <w:t>el Informe No. 5/16 Desapariciones Forzadas en Perú de</w:t>
      </w:r>
      <w:r w:rsidR="00191347">
        <w:rPr>
          <w:szCs w:val="20"/>
          <w:lang w:val="es-CR"/>
        </w:rPr>
        <w:t xml:space="preserve"> </w:t>
      </w:r>
      <w:r w:rsidR="00191347" w:rsidRPr="00086B31">
        <w:rPr>
          <w:szCs w:val="20"/>
          <w:lang w:val="es-CR"/>
        </w:rPr>
        <w:t xml:space="preserve">la Comisión </w:t>
      </w:r>
      <w:r w:rsidR="00191347" w:rsidRPr="00C328C0">
        <w:rPr>
          <w:lang w:val="es-CR"/>
        </w:rPr>
        <w:t>Interame</w:t>
      </w:r>
      <w:r w:rsidR="00FC5593" w:rsidRPr="00C328C0">
        <w:rPr>
          <w:lang w:val="es-CR"/>
        </w:rPr>
        <w:t>ricana</w:t>
      </w:r>
      <w:r w:rsidR="00FC5593">
        <w:rPr>
          <w:szCs w:val="20"/>
          <w:lang w:val="es-CR"/>
        </w:rPr>
        <w:t xml:space="preserve"> de 13 de abril de 2016, </w:t>
      </w:r>
      <w:r w:rsidR="00A06617">
        <w:rPr>
          <w:szCs w:val="20"/>
          <w:lang w:val="es-CR"/>
        </w:rPr>
        <w:t>respecto a</w:t>
      </w:r>
      <w:r w:rsidR="00732944">
        <w:rPr>
          <w:szCs w:val="20"/>
          <w:lang w:val="es-CR"/>
        </w:rPr>
        <w:t xml:space="preserve"> </w:t>
      </w:r>
      <w:r w:rsidR="00191347" w:rsidRPr="00086B31">
        <w:rPr>
          <w:szCs w:val="20"/>
          <w:lang w:val="es-CR"/>
        </w:rPr>
        <w:t xml:space="preserve">la investigación </w:t>
      </w:r>
      <w:r w:rsidR="00A06617">
        <w:rPr>
          <w:szCs w:val="20"/>
          <w:lang w:val="es-CR"/>
        </w:rPr>
        <w:t xml:space="preserve">de </w:t>
      </w:r>
      <w:r w:rsidR="00191347" w:rsidRPr="00086B31">
        <w:rPr>
          <w:szCs w:val="20"/>
          <w:lang w:val="es-CR"/>
        </w:rPr>
        <w:t xml:space="preserve">Teresa </w:t>
      </w:r>
      <w:r w:rsidR="00FC5593">
        <w:rPr>
          <w:szCs w:val="20"/>
          <w:lang w:val="es-CR"/>
        </w:rPr>
        <w:t xml:space="preserve">Díaz Aparicio </w:t>
      </w:r>
      <w:r w:rsidR="00191347" w:rsidRPr="00086B31">
        <w:rPr>
          <w:szCs w:val="20"/>
          <w:lang w:val="es-CR"/>
        </w:rPr>
        <w:t xml:space="preserve">señaló que </w:t>
      </w:r>
      <w:r w:rsidR="00657212">
        <w:rPr>
          <w:szCs w:val="20"/>
          <w:lang w:val="es-CR"/>
        </w:rPr>
        <w:t>“</w:t>
      </w:r>
      <w:r w:rsidR="00191347" w:rsidRPr="00086B31">
        <w:rPr>
          <w:szCs w:val="20"/>
          <w:lang w:val="es-CR"/>
        </w:rPr>
        <w:t>habría desaparecido el 19 de agosto de 1992</w:t>
      </w:r>
      <w:r w:rsidR="00657212">
        <w:rPr>
          <w:szCs w:val="20"/>
          <w:lang w:val="es-CR"/>
        </w:rPr>
        <w:t xml:space="preserve"> […]</w:t>
      </w:r>
      <w:r w:rsidR="00191347" w:rsidRPr="00086B31">
        <w:rPr>
          <w:szCs w:val="20"/>
          <w:lang w:val="es-CR"/>
        </w:rPr>
        <w:t>, [el] despacho fiscal tiene la investigación No. 11.2007 seguida contra los que resulten responsables por el delito contra la Humanidad, en la modalidad de desaparición forzada, en agravio de Teresa Díaz Aparicio, la misma que mediante resolución de […] 18 de febrero del 2014 se dispuso el Archivo Provisional, encontrándose aún pendiente de trámite; en tal sentido encontrándose en giro esta investigación para que se continúe con el trámite correspondie</w:t>
      </w:r>
      <w:r w:rsidR="00191347">
        <w:rPr>
          <w:szCs w:val="20"/>
          <w:lang w:val="es-CR"/>
        </w:rPr>
        <w:t>nte</w:t>
      </w:r>
      <w:r w:rsidR="00FC5593">
        <w:rPr>
          <w:szCs w:val="20"/>
          <w:lang w:val="es-CR"/>
        </w:rPr>
        <w:t>”</w:t>
      </w:r>
      <w:r w:rsidR="00191347" w:rsidRPr="007E527A">
        <w:rPr>
          <w:rStyle w:val="FootnoteReference"/>
          <w:sz w:val="20"/>
          <w:szCs w:val="20"/>
          <w:lang w:val="es-CR"/>
        </w:rPr>
        <w:footnoteReference w:id="100"/>
      </w:r>
      <w:r w:rsidR="00191347" w:rsidRPr="007E527A">
        <w:rPr>
          <w:szCs w:val="20"/>
          <w:lang w:val="es-CR"/>
        </w:rPr>
        <w:t>.</w:t>
      </w:r>
      <w:r w:rsidR="00191347" w:rsidRPr="00086B31">
        <w:rPr>
          <w:b/>
          <w:sz w:val="16"/>
          <w:szCs w:val="16"/>
          <w:lang w:val="es-CR"/>
        </w:rPr>
        <w:t xml:space="preserve"> </w:t>
      </w:r>
      <w:bookmarkStart w:id="132" w:name="_Toc399131150"/>
      <w:bookmarkStart w:id="133" w:name="_Toc399131794"/>
    </w:p>
    <w:p w:rsidR="00EE0D82" w:rsidRDefault="00EE0D82" w:rsidP="00191347">
      <w:pPr>
        <w:pStyle w:val="Heading3"/>
        <w:spacing w:before="0"/>
        <w:ind w:firstLine="709"/>
        <w:rPr>
          <w:szCs w:val="20"/>
          <w:lang w:val="es-ES_tradnl"/>
        </w:rPr>
      </w:pPr>
    </w:p>
    <w:p w:rsidR="00191347" w:rsidRPr="00CA6043" w:rsidRDefault="000B550A" w:rsidP="00191347">
      <w:pPr>
        <w:pStyle w:val="Heading3"/>
        <w:spacing w:before="0"/>
        <w:ind w:firstLine="709"/>
        <w:rPr>
          <w:szCs w:val="20"/>
          <w:lang w:val="es-ES_tradnl"/>
        </w:rPr>
      </w:pPr>
      <w:bookmarkStart w:id="134" w:name="_Toc527993532"/>
      <w:r>
        <w:rPr>
          <w:szCs w:val="20"/>
          <w:lang w:val="es-ES_tradnl"/>
        </w:rPr>
        <w:t>B.3</w:t>
      </w:r>
      <w:r w:rsidR="00191347" w:rsidRPr="00CA6043">
        <w:rPr>
          <w:szCs w:val="20"/>
          <w:lang w:val="es-ES_tradnl"/>
        </w:rPr>
        <w:t>. Cory Clodolia Tenicela Tello</w:t>
      </w:r>
      <w:bookmarkEnd w:id="132"/>
      <w:bookmarkEnd w:id="133"/>
      <w:bookmarkEnd w:id="134"/>
    </w:p>
    <w:p w:rsidR="00191347" w:rsidRPr="00CA6043" w:rsidRDefault="00191347" w:rsidP="00191347">
      <w:pPr>
        <w:pStyle w:val="ListParagraph"/>
        <w:autoSpaceDE w:val="0"/>
        <w:autoSpaceDN w:val="0"/>
        <w:adjustRightInd w:val="0"/>
        <w:spacing w:line="20" w:lineRule="atLeast"/>
        <w:ind w:left="0" w:right="-138"/>
        <w:rPr>
          <w:rFonts w:cs="Arial"/>
          <w:i/>
          <w:color w:val="222222"/>
          <w:szCs w:val="20"/>
          <w:shd w:val="clear" w:color="auto" w:fill="FFFFFF"/>
          <w:lang w:val="es-CR"/>
        </w:rPr>
      </w:pPr>
    </w:p>
    <w:p w:rsidR="00191347" w:rsidRDefault="000B550A" w:rsidP="00191347">
      <w:pPr>
        <w:pStyle w:val="ListParagraph"/>
        <w:autoSpaceDE w:val="0"/>
        <w:autoSpaceDN w:val="0"/>
        <w:adjustRightInd w:val="0"/>
        <w:spacing w:line="20" w:lineRule="atLeast"/>
        <w:ind w:left="0" w:right="-138" w:firstLine="709"/>
        <w:rPr>
          <w:rFonts w:cs="Arial"/>
          <w:i/>
          <w:color w:val="222222"/>
          <w:shd w:val="clear" w:color="auto" w:fill="FFFFFF"/>
          <w:lang w:val="es-CR"/>
        </w:rPr>
      </w:pPr>
      <w:r>
        <w:rPr>
          <w:rFonts w:cs="Arial"/>
          <w:i/>
          <w:color w:val="222222"/>
          <w:szCs w:val="20"/>
          <w:shd w:val="clear" w:color="auto" w:fill="FFFFFF"/>
          <w:lang w:val="es-CR"/>
        </w:rPr>
        <w:t>B.3</w:t>
      </w:r>
      <w:r w:rsidR="00191347" w:rsidRPr="00CA6043">
        <w:rPr>
          <w:rFonts w:cs="Arial"/>
          <w:i/>
          <w:color w:val="222222"/>
          <w:szCs w:val="20"/>
          <w:shd w:val="clear" w:color="auto" w:fill="FFFFFF"/>
          <w:lang w:val="es-CR"/>
        </w:rPr>
        <w:t>.1 Circunstancias personales</w:t>
      </w:r>
      <w:r w:rsidR="00191347" w:rsidRPr="001D36EE">
        <w:rPr>
          <w:rFonts w:cs="Arial"/>
          <w:i/>
          <w:color w:val="222222"/>
          <w:shd w:val="clear" w:color="auto" w:fill="FFFFFF"/>
          <w:lang w:val="es-CR"/>
        </w:rPr>
        <w:t xml:space="preserve"> y familiares de Cory Clodolia Tenicela Tello</w:t>
      </w:r>
    </w:p>
    <w:p w:rsidR="00191347" w:rsidRPr="001D36EE" w:rsidRDefault="00191347" w:rsidP="00191347">
      <w:pPr>
        <w:pStyle w:val="ListParagraph"/>
        <w:autoSpaceDE w:val="0"/>
        <w:autoSpaceDN w:val="0"/>
        <w:adjustRightInd w:val="0"/>
        <w:spacing w:line="20" w:lineRule="atLeast"/>
        <w:ind w:right="-138"/>
        <w:rPr>
          <w:rFonts w:cs="Arial"/>
          <w:i/>
          <w:color w:val="222222"/>
          <w:shd w:val="clear" w:color="auto" w:fill="FFFFFF"/>
          <w:lang w:val="es-CR"/>
        </w:rPr>
      </w:pPr>
    </w:p>
    <w:p w:rsidR="00191347" w:rsidRPr="00B43F15" w:rsidRDefault="00191347" w:rsidP="00C328C0">
      <w:pPr>
        <w:pStyle w:val="ListParagraph"/>
        <w:widowControl w:val="0"/>
        <w:numPr>
          <w:ilvl w:val="0"/>
          <w:numId w:val="1"/>
        </w:numPr>
        <w:tabs>
          <w:tab w:val="left" w:pos="0"/>
        </w:tabs>
        <w:adjustRightInd w:val="0"/>
        <w:ind w:left="0" w:firstLine="0"/>
        <w:rPr>
          <w:rFonts w:cs="Arial"/>
          <w:color w:val="222222"/>
          <w:shd w:val="clear" w:color="auto" w:fill="FFFFFF"/>
          <w:lang w:val="es-CR"/>
        </w:rPr>
      </w:pPr>
      <w:r w:rsidRPr="00395307">
        <w:rPr>
          <w:szCs w:val="20"/>
          <w:lang w:val="es-CR"/>
        </w:rPr>
        <w:t>Cory Clodolia Tenicela Tello</w:t>
      </w:r>
      <w:r>
        <w:rPr>
          <w:szCs w:val="20"/>
          <w:lang w:val="es-CR"/>
        </w:rPr>
        <w:t xml:space="preserve">, tenía </w:t>
      </w:r>
      <w:r w:rsidRPr="00395307">
        <w:rPr>
          <w:szCs w:val="20"/>
          <w:lang w:val="es-CR"/>
        </w:rPr>
        <w:t>32 años de edad</w:t>
      </w:r>
      <w:r>
        <w:rPr>
          <w:szCs w:val="20"/>
          <w:lang w:val="es-CR"/>
        </w:rPr>
        <w:t xml:space="preserve"> cuando desapareció.</w:t>
      </w:r>
      <w:r w:rsidRPr="00395307">
        <w:rPr>
          <w:szCs w:val="20"/>
          <w:lang w:val="es-CR"/>
        </w:rPr>
        <w:t xml:space="preserve"> </w:t>
      </w:r>
      <w:r>
        <w:rPr>
          <w:szCs w:val="20"/>
          <w:lang w:val="es-CR"/>
        </w:rPr>
        <w:t>Su madre es Amadea</w:t>
      </w:r>
      <w:r w:rsidR="00BE5C7F">
        <w:rPr>
          <w:szCs w:val="20"/>
          <w:lang w:val="es-CR"/>
        </w:rPr>
        <w:t xml:space="preserve"> Felipa</w:t>
      </w:r>
      <w:r>
        <w:rPr>
          <w:szCs w:val="20"/>
          <w:lang w:val="es-CR"/>
        </w:rPr>
        <w:t xml:space="preserve"> Tello </w:t>
      </w:r>
      <w:r w:rsidR="00E53061">
        <w:rPr>
          <w:szCs w:val="20"/>
          <w:lang w:val="es-CR"/>
        </w:rPr>
        <w:t xml:space="preserve">de Tenicela </w:t>
      </w:r>
      <w:r w:rsidR="002008F4">
        <w:rPr>
          <w:szCs w:val="20"/>
          <w:lang w:val="es-CR"/>
        </w:rPr>
        <w:t>y su hermana Norma Juana Tenicela Tello y su hermano Wa</w:t>
      </w:r>
      <w:r w:rsidR="00603D8C">
        <w:rPr>
          <w:szCs w:val="20"/>
          <w:lang w:val="es-CR"/>
        </w:rPr>
        <w:t>s</w:t>
      </w:r>
      <w:r w:rsidR="002008F4">
        <w:rPr>
          <w:szCs w:val="20"/>
          <w:lang w:val="es-CR"/>
        </w:rPr>
        <w:t>hington Tenicela Tello y su sobrina Yorka Jara Tenicela</w:t>
      </w:r>
      <w:r>
        <w:rPr>
          <w:szCs w:val="20"/>
          <w:lang w:val="es-CR"/>
        </w:rPr>
        <w:t>. E</w:t>
      </w:r>
      <w:r w:rsidRPr="00395307">
        <w:rPr>
          <w:szCs w:val="20"/>
          <w:lang w:val="es-CR"/>
        </w:rPr>
        <w:t>ra estudiante de la facultad de Ingeniería Química en la Universidad Nacional del Centro del Perú y vendía productos de bellez</w:t>
      </w:r>
      <w:r w:rsidRPr="00CA6043">
        <w:rPr>
          <w:szCs w:val="20"/>
          <w:lang w:val="es-CR"/>
        </w:rPr>
        <w:t>a</w:t>
      </w:r>
      <w:r w:rsidRPr="007E527A">
        <w:rPr>
          <w:rStyle w:val="FootnoteReference"/>
          <w:sz w:val="20"/>
          <w:szCs w:val="20"/>
          <w:lang w:val="es-CR"/>
        </w:rPr>
        <w:footnoteReference w:id="101"/>
      </w:r>
      <w:r w:rsidRPr="007E527A">
        <w:rPr>
          <w:szCs w:val="20"/>
          <w:lang w:val="es-CR"/>
        </w:rPr>
        <w:t>.</w:t>
      </w:r>
    </w:p>
    <w:p w:rsidR="00191347" w:rsidRPr="00B377EC" w:rsidRDefault="00191347" w:rsidP="00191347">
      <w:pPr>
        <w:pStyle w:val="ListParagraph"/>
        <w:autoSpaceDE w:val="0"/>
        <w:autoSpaceDN w:val="0"/>
        <w:adjustRightInd w:val="0"/>
        <w:spacing w:line="20" w:lineRule="atLeast"/>
        <w:ind w:left="0" w:right="-138"/>
        <w:rPr>
          <w:rFonts w:cs="Arial"/>
          <w:color w:val="222222"/>
          <w:shd w:val="clear" w:color="auto" w:fill="FFFFFF"/>
          <w:lang w:val="es-CR"/>
        </w:rPr>
      </w:pPr>
    </w:p>
    <w:p w:rsidR="00191347" w:rsidRPr="001D36EE" w:rsidRDefault="000B550A" w:rsidP="00191347">
      <w:pPr>
        <w:pStyle w:val="ListParagraph"/>
        <w:autoSpaceDE w:val="0"/>
        <w:autoSpaceDN w:val="0"/>
        <w:adjustRightInd w:val="0"/>
        <w:spacing w:line="20" w:lineRule="atLeast"/>
        <w:ind w:left="0" w:right="-138" w:firstLine="720"/>
        <w:rPr>
          <w:rFonts w:cs="Arial"/>
          <w:i/>
          <w:color w:val="222222"/>
          <w:shd w:val="clear" w:color="auto" w:fill="FFFFFF"/>
          <w:lang w:val="es-CR"/>
        </w:rPr>
      </w:pPr>
      <w:r>
        <w:rPr>
          <w:rFonts w:cs="Arial"/>
          <w:color w:val="222222"/>
          <w:shd w:val="clear" w:color="auto" w:fill="FFFFFF"/>
          <w:lang w:val="es-CR"/>
        </w:rPr>
        <w:t>B.3</w:t>
      </w:r>
      <w:r w:rsidR="00191347">
        <w:rPr>
          <w:rFonts w:cs="Arial"/>
          <w:color w:val="222222"/>
          <w:shd w:val="clear" w:color="auto" w:fill="FFFFFF"/>
          <w:lang w:val="es-CR"/>
        </w:rPr>
        <w:t>.2</w:t>
      </w:r>
      <w:r w:rsidR="00191347" w:rsidRPr="002C5541">
        <w:rPr>
          <w:rFonts w:cs="Arial"/>
          <w:color w:val="222222"/>
          <w:shd w:val="clear" w:color="auto" w:fill="FFFFFF"/>
          <w:lang w:val="es-CR"/>
        </w:rPr>
        <w:t xml:space="preserve">. </w:t>
      </w:r>
      <w:r w:rsidR="00191347" w:rsidRPr="001D36EE">
        <w:rPr>
          <w:rFonts w:cs="Arial"/>
          <w:i/>
          <w:color w:val="222222"/>
          <w:shd w:val="clear" w:color="auto" w:fill="FFFFFF"/>
          <w:lang w:val="es-CR"/>
        </w:rPr>
        <w:t>Desaparici</w:t>
      </w:r>
      <w:r w:rsidR="00191347">
        <w:rPr>
          <w:rFonts w:cs="Arial"/>
          <w:i/>
          <w:color w:val="222222"/>
          <w:shd w:val="clear" w:color="auto" w:fill="FFFFFF"/>
          <w:lang w:val="es-CR"/>
        </w:rPr>
        <w:t>ó</w:t>
      </w:r>
      <w:r w:rsidR="00191347" w:rsidRPr="001D36EE">
        <w:rPr>
          <w:rFonts w:cs="Arial"/>
          <w:i/>
          <w:color w:val="222222"/>
          <w:shd w:val="clear" w:color="auto" w:fill="FFFFFF"/>
          <w:lang w:val="es-CR"/>
        </w:rPr>
        <w:t>n de Cory Clodolia Tenicela Tello</w:t>
      </w:r>
    </w:p>
    <w:p w:rsidR="00191347" w:rsidRPr="00154A0D" w:rsidRDefault="00191347" w:rsidP="00191347">
      <w:pPr>
        <w:pStyle w:val="ListParagraph"/>
        <w:autoSpaceDE w:val="0"/>
        <w:autoSpaceDN w:val="0"/>
        <w:adjustRightInd w:val="0"/>
        <w:spacing w:line="20" w:lineRule="atLeast"/>
        <w:ind w:left="0" w:right="-138"/>
        <w:rPr>
          <w:rFonts w:cs="Arial"/>
          <w:color w:val="222222"/>
          <w:shd w:val="clear" w:color="auto" w:fill="FFFFFF"/>
          <w:lang w:val="es-CR"/>
        </w:rPr>
      </w:pPr>
    </w:p>
    <w:p w:rsidR="00551D1E" w:rsidRDefault="00191347" w:rsidP="00C328C0">
      <w:pPr>
        <w:pStyle w:val="ListParagraph"/>
        <w:widowControl w:val="0"/>
        <w:numPr>
          <w:ilvl w:val="0"/>
          <w:numId w:val="1"/>
        </w:numPr>
        <w:tabs>
          <w:tab w:val="left" w:pos="0"/>
        </w:tabs>
        <w:adjustRightInd w:val="0"/>
        <w:ind w:left="0" w:firstLine="0"/>
        <w:rPr>
          <w:szCs w:val="20"/>
          <w:lang w:val="es-CR"/>
        </w:rPr>
      </w:pPr>
      <w:r w:rsidRPr="00606BD6">
        <w:rPr>
          <w:szCs w:val="20"/>
          <w:lang w:val="es-CR"/>
        </w:rPr>
        <w:t>El 2 de octubre</w:t>
      </w:r>
      <w:r w:rsidRPr="00395307">
        <w:rPr>
          <w:szCs w:val="20"/>
          <w:lang w:val="es-CR"/>
        </w:rPr>
        <w:t xml:space="preserve"> de 1</w:t>
      </w:r>
      <w:r w:rsidRPr="007E527A">
        <w:rPr>
          <w:szCs w:val="20"/>
          <w:lang w:val="es-CR"/>
        </w:rPr>
        <w:t>992</w:t>
      </w:r>
      <w:r w:rsidRPr="007E527A">
        <w:rPr>
          <w:rStyle w:val="FootnoteReference"/>
          <w:sz w:val="20"/>
          <w:szCs w:val="20"/>
          <w:lang w:val="es-CR"/>
        </w:rPr>
        <w:footnoteReference w:id="102"/>
      </w:r>
      <w:r w:rsidRPr="007E527A">
        <w:rPr>
          <w:szCs w:val="20"/>
          <w:lang w:val="es-CR"/>
        </w:rPr>
        <w:t xml:space="preserve"> Cory Clodolia Tenicela Tello salió de su domicilio a realizar unas cobranzas en el centro de Huancayo y desde entonces se desconoce su paradero.</w:t>
      </w:r>
    </w:p>
    <w:p w:rsidR="00551D1E" w:rsidRDefault="00551D1E" w:rsidP="00551D1E">
      <w:pPr>
        <w:pStyle w:val="ListParagraph"/>
        <w:autoSpaceDE w:val="0"/>
        <w:autoSpaceDN w:val="0"/>
        <w:adjustRightInd w:val="0"/>
        <w:spacing w:line="20" w:lineRule="atLeast"/>
        <w:ind w:left="0" w:right="-138"/>
        <w:rPr>
          <w:szCs w:val="20"/>
          <w:lang w:val="es-CR"/>
        </w:rPr>
      </w:pPr>
    </w:p>
    <w:p w:rsidR="00191347" w:rsidRPr="008D19B2" w:rsidRDefault="00191347" w:rsidP="00C328C0">
      <w:pPr>
        <w:pStyle w:val="ListParagraph"/>
        <w:widowControl w:val="0"/>
        <w:numPr>
          <w:ilvl w:val="0"/>
          <w:numId w:val="1"/>
        </w:numPr>
        <w:tabs>
          <w:tab w:val="left" w:pos="0"/>
        </w:tabs>
        <w:adjustRightInd w:val="0"/>
        <w:ind w:left="0" w:firstLine="0"/>
        <w:rPr>
          <w:rFonts w:cs="Arial"/>
          <w:color w:val="222222"/>
          <w:shd w:val="clear" w:color="auto" w:fill="FFFFFF"/>
          <w:lang w:val="es-CR"/>
        </w:rPr>
      </w:pPr>
      <w:r w:rsidRPr="00345E1A">
        <w:rPr>
          <w:szCs w:val="20"/>
          <w:lang w:val="es-CR"/>
        </w:rPr>
        <w:t>El nombre de Cory Clodol</w:t>
      </w:r>
      <w:r w:rsidR="00793B9A">
        <w:rPr>
          <w:szCs w:val="20"/>
          <w:lang w:val="es-CR"/>
        </w:rPr>
        <w:t>ia Tenicela Tello fue registrado</w:t>
      </w:r>
      <w:r w:rsidRPr="00345E1A">
        <w:rPr>
          <w:szCs w:val="20"/>
          <w:lang w:val="es-CR"/>
        </w:rPr>
        <w:t xml:space="preserve"> de oficio por el Estado en el Registro Único de Víctimas por encontrarse comprendida en el Informe Final de la Comisión de la Verdad y Reconciliación 1980-2000</w:t>
      </w:r>
      <w:r w:rsidRPr="00C97CBA">
        <w:rPr>
          <w:rStyle w:val="FootnoteReference"/>
          <w:sz w:val="20"/>
          <w:szCs w:val="20"/>
          <w:lang w:val="es-CR"/>
        </w:rPr>
        <w:footnoteReference w:id="103"/>
      </w:r>
      <w:r w:rsidR="00793B9A">
        <w:rPr>
          <w:szCs w:val="20"/>
          <w:lang w:val="es-CR"/>
        </w:rPr>
        <w:t xml:space="preserve"> y se encuentra registrado en</w:t>
      </w:r>
      <w:r w:rsidRPr="00345E1A">
        <w:rPr>
          <w:szCs w:val="20"/>
          <w:lang w:val="es-CR"/>
        </w:rPr>
        <w:t xml:space="preserve"> la Nómina de Personas Muertas y Desaparecidas Reportadas a la Comisión de la Verdad</w:t>
      </w:r>
      <w:r w:rsidR="00793B9A">
        <w:rPr>
          <w:szCs w:val="20"/>
          <w:lang w:val="es-CR"/>
        </w:rPr>
        <w:t xml:space="preserve"> y Reconciliación 1980-2000, como </w:t>
      </w:r>
      <w:r w:rsidRPr="00345E1A">
        <w:rPr>
          <w:szCs w:val="20"/>
          <w:lang w:val="es-CR"/>
        </w:rPr>
        <w:t xml:space="preserve">desaparición, </w:t>
      </w:r>
      <w:r w:rsidR="00793B9A">
        <w:rPr>
          <w:szCs w:val="20"/>
          <w:lang w:val="es-CR"/>
        </w:rPr>
        <w:t xml:space="preserve">que </w:t>
      </w:r>
      <w:r w:rsidRPr="00345E1A">
        <w:rPr>
          <w:szCs w:val="20"/>
          <w:lang w:val="es-CR"/>
        </w:rPr>
        <w:t xml:space="preserve">fue documentada también por </w:t>
      </w:r>
      <w:r w:rsidR="00872E1F">
        <w:rPr>
          <w:szCs w:val="20"/>
          <w:lang w:val="es-CR"/>
        </w:rPr>
        <w:t>COMISEDH</w:t>
      </w:r>
      <w:r w:rsidRPr="00345E1A">
        <w:rPr>
          <w:szCs w:val="20"/>
          <w:lang w:val="es-CR"/>
        </w:rPr>
        <w:t xml:space="preserve"> y la Defensoría del Pueblo</w:t>
      </w:r>
      <w:r w:rsidRPr="005F3707">
        <w:rPr>
          <w:rStyle w:val="FootnoteReference"/>
          <w:sz w:val="20"/>
          <w:szCs w:val="20"/>
          <w:lang w:val="es-CR"/>
        </w:rPr>
        <w:footnoteReference w:id="104"/>
      </w:r>
      <w:r w:rsidRPr="00345E1A">
        <w:rPr>
          <w:szCs w:val="20"/>
          <w:lang w:val="es-CR"/>
        </w:rPr>
        <w:t>.</w:t>
      </w:r>
    </w:p>
    <w:p w:rsidR="009379C7" w:rsidRPr="00BB221E" w:rsidRDefault="009379C7" w:rsidP="009379C7">
      <w:pPr>
        <w:pStyle w:val="ListParagraph"/>
        <w:autoSpaceDE w:val="0"/>
        <w:autoSpaceDN w:val="0"/>
        <w:adjustRightInd w:val="0"/>
        <w:spacing w:line="20" w:lineRule="atLeast"/>
        <w:ind w:left="0" w:right="-138"/>
        <w:rPr>
          <w:rFonts w:cs="Arial"/>
          <w:color w:val="222222"/>
          <w:shd w:val="clear" w:color="auto" w:fill="FFFFFF"/>
          <w:lang w:val="es-CR"/>
        </w:rPr>
      </w:pPr>
    </w:p>
    <w:p w:rsidR="00563483" w:rsidRDefault="00191347" w:rsidP="00563483">
      <w:pPr>
        <w:pStyle w:val="ListParagraph"/>
        <w:autoSpaceDE w:val="0"/>
        <w:autoSpaceDN w:val="0"/>
        <w:adjustRightInd w:val="0"/>
        <w:spacing w:line="20" w:lineRule="atLeast"/>
        <w:ind w:right="-138"/>
        <w:rPr>
          <w:rFonts w:cs="Arial"/>
          <w:i/>
          <w:color w:val="222222"/>
          <w:shd w:val="clear" w:color="auto" w:fill="FFFFFF"/>
          <w:lang w:val="es-CR"/>
        </w:rPr>
      </w:pPr>
      <w:r>
        <w:rPr>
          <w:rFonts w:cs="Arial"/>
          <w:color w:val="222222"/>
          <w:shd w:val="clear" w:color="auto" w:fill="FFFFFF"/>
          <w:lang w:val="es-CR"/>
        </w:rPr>
        <w:t>B.3.</w:t>
      </w:r>
      <w:r w:rsidRPr="00FE1B68">
        <w:rPr>
          <w:rFonts w:cs="Arial"/>
          <w:color w:val="222222"/>
          <w:shd w:val="clear" w:color="auto" w:fill="FFFFFF"/>
          <w:lang w:val="es-CR"/>
        </w:rPr>
        <w:t>3</w:t>
      </w:r>
      <w:r w:rsidR="00FE1B68">
        <w:rPr>
          <w:rFonts w:cs="Arial"/>
          <w:i/>
          <w:color w:val="222222"/>
          <w:shd w:val="clear" w:color="auto" w:fill="FFFFFF"/>
          <w:lang w:val="es-CR"/>
        </w:rPr>
        <w:t>.</w:t>
      </w:r>
      <w:r w:rsidRPr="001D36EE">
        <w:rPr>
          <w:rFonts w:cs="Arial"/>
          <w:i/>
          <w:color w:val="222222"/>
          <w:shd w:val="clear" w:color="auto" w:fill="FFFFFF"/>
          <w:lang w:val="es-CR"/>
        </w:rPr>
        <w:t xml:space="preserve"> </w:t>
      </w:r>
      <w:r>
        <w:rPr>
          <w:rFonts w:cs="Arial"/>
          <w:i/>
          <w:color w:val="222222"/>
          <w:shd w:val="clear" w:color="auto" w:fill="FFFFFF"/>
          <w:lang w:val="es-CR"/>
        </w:rPr>
        <w:t>Denuncias</w:t>
      </w:r>
      <w:r w:rsidRPr="001D36EE">
        <w:rPr>
          <w:rFonts w:cs="Arial"/>
          <w:i/>
          <w:color w:val="222222"/>
          <w:shd w:val="clear" w:color="auto" w:fill="FFFFFF"/>
          <w:lang w:val="es-CR"/>
        </w:rPr>
        <w:t xml:space="preserve"> </w:t>
      </w:r>
      <w:r>
        <w:rPr>
          <w:rFonts w:cs="Arial"/>
          <w:i/>
          <w:color w:val="222222"/>
          <w:shd w:val="clear" w:color="auto" w:fill="FFFFFF"/>
          <w:lang w:val="es-CR"/>
        </w:rPr>
        <w:t xml:space="preserve">y actuaciones judiciales </w:t>
      </w:r>
      <w:r w:rsidRPr="001D36EE">
        <w:rPr>
          <w:rFonts w:cs="Arial"/>
          <w:i/>
          <w:color w:val="222222"/>
          <w:shd w:val="clear" w:color="auto" w:fill="FFFFFF"/>
          <w:lang w:val="es-CR"/>
        </w:rPr>
        <w:t>en torno a la desaparición de Cory Clodolia Tenicela Tello</w:t>
      </w:r>
    </w:p>
    <w:p w:rsidR="00563483" w:rsidRPr="00563483" w:rsidRDefault="00563483" w:rsidP="00563483">
      <w:pPr>
        <w:autoSpaceDE w:val="0"/>
        <w:autoSpaceDN w:val="0"/>
        <w:adjustRightInd w:val="0"/>
        <w:spacing w:line="20" w:lineRule="atLeast"/>
        <w:ind w:right="-138"/>
        <w:rPr>
          <w:rFonts w:cs="Arial"/>
          <w:i/>
          <w:color w:val="222222"/>
          <w:shd w:val="clear" w:color="auto" w:fill="FFFFFF"/>
          <w:lang w:val="es-CR"/>
        </w:rPr>
      </w:pPr>
    </w:p>
    <w:p w:rsidR="00563483" w:rsidRDefault="00563483" w:rsidP="00C328C0">
      <w:pPr>
        <w:pStyle w:val="ListParagraph"/>
        <w:widowControl w:val="0"/>
        <w:numPr>
          <w:ilvl w:val="0"/>
          <w:numId w:val="1"/>
        </w:numPr>
        <w:tabs>
          <w:tab w:val="left" w:pos="0"/>
        </w:tabs>
        <w:adjustRightInd w:val="0"/>
        <w:ind w:left="0" w:firstLine="0"/>
        <w:rPr>
          <w:rFonts w:cs="Arial"/>
          <w:color w:val="222222"/>
          <w:shd w:val="clear" w:color="auto" w:fill="FFFFFF"/>
          <w:lang w:val="es-CR"/>
        </w:rPr>
      </w:pPr>
      <w:r>
        <w:rPr>
          <w:rFonts w:cs="Arial"/>
          <w:color w:val="222222"/>
          <w:shd w:val="clear" w:color="auto" w:fill="FFFFFF"/>
          <w:lang w:val="es-CR"/>
        </w:rPr>
        <w:t>Con respecto a la presunta desaparición de Cory Clod</w:t>
      </w:r>
      <w:r w:rsidR="00F67E74">
        <w:rPr>
          <w:rFonts w:cs="Arial"/>
          <w:color w:val="222222"/>
          <w:shd w:val="clear" w:color="auto" w:fill="FFFFFF"/>
          <w:lang w:val="es-CR"/>
        </w:rPr>
        <w:t>olia Tenicela Tello se inició</w:t>
      </w:r>
      <w:r>
        <w:rPr>
          <w:rFonts w:cs="Arial"/>
          <w:color w:val="222222"/>
          <w:shd w:val="clear" w:color="auto" w:fill="FFFFFF"/>
          <w:lang w:val="es-CR"/>
        </w:rPr>
        <w:t xml:space="preserve"> una </w:t>
      </w:r>
      <w:r w:rsidR="004013EF">
        <w:rPr>
          <w:rFonts w:cs="Arial"/>
          <w:color w:val="222222"/>
          <w:shd w:val="clear" w:color="auto" w:fill="FFFFFF"/>
          <w:lang w:val="es-CR"/>
        </w:rPr>
        <w:t xml:space="preserve">primera </w:t>
      </w:r>
      <w:r w:rsidR="00F67E74">
        <w:rPr>
          <w:rFonts w:cs="Arial"/>
          <w:color w:val="222222"/>
          <w:shd w:val="clear" w:color="auto" w:fill="FFFFFF"/>
          <w:lang w:val="es-CR"/>
        </w:rPr>
        <w:t xml:space="preserve">investigación </w:t>
      </w:r>
      <w:r>
        <w:rPr>
          <w:rFonts w:cs="Arial"/>
          <w:color w:val="222222"/>
          <w:shd w:val="clear" w:color="auto" w:fill="FFFFFF"/>
          <w:lang w:val="es-CR"/>
        </w:rPr>
        <w:t xml:space="preserve">con base en la denuncia presentada en 1992, y que </w:t>
      </w:r>
      <w:r w:rsidR="00F67E74">
        <w:rPr>
          <w:rFonts w:cs="Arial"/>
          <w:color w:val="222222"/>
          <w:shd w:val="clear" w:color="auto" w:fill="FFFFFF"/>
          <w:lang w:val="es-CR"/>
        </w:rPr>
        <w:t xml:space="preserve">después </w:t>
      </w:r>
      <w:r>
        <w:rPr>
          <w:rFonts w:cs="Arial"/>
          <w:color w:val="222222"/>
          <w:shd w:val="clear" w:color="auto" w:fill="FFFFFF"/>
          <w:lang w:val="es-CR"/>
        </w:rPr>
        <w:t xml:space="preserve">fue acumulada en 2003 al expediente </w:t>
      </w:r>
      <w:r w:rsidR="0012235A">
        <w:rPr>
          <w:rFonts w:cs="Arial"/>
          <w:color w:val="222222"/>
          <w:shd w:val="clear" w:color="auto" w:fill="FFFFFF"/>
          <w:lang w:val="es-CR"/>
        </w:rPr>
        <w:t xml:space="preserve">relativo al proceso penal </w:t>
      </w:r>
      <w:r>
        <w:rPr>
          <w:rFonts w:cs="Arial"/>
          <w:color w:val="222222"/>
          <w:shd w:val="clear" w:color="auto" w:fill="FFFFFF"/>
          <w:lang w:val="es-CR"/>
        </w:rPr>
        <w:t xml:space="preserve">de otras 32 personas </w:t>
      </w:r>
      <w:r w:rsidRPr="00C328C0">
        <w:rPr>
          <w:szCs w:val="20"/>
          <w:lang w:val="es-CR"/>
        </w:rPr>
        <w:t>presuntamente</w:t>
      </w:r>
      <w:r>
        <w:rPr>
          <w:rFonts w:cs="Arial"/>
          <w:color w:val="222222"/>
          <w:shd w:val="clear" w:color="auto" w:fill="FFFFFF"/>
          <w:lang w:val="es-CR"/>
        </w:rPr>
        <w:t xml:space="preserve"> desaparecidas (</w:t>
      </w:r>
      <w:r>
        <w:rPr>
          <w:rFonts w:cs="Arial"/>
          <w:i/>
          <w:color w:val="222222"/>
          <w:shd w:val="clear" w:color="auto" w:fill="FFFFFF"/>
          <w:lang w:val="es-CR"/>
        </w:rPr>
        <w:t>infra</w:t>
      </w:r>
      <w:r w:rsidR="0012235A">
        <w:rPr>
          <w:rFonts w:cs="Arial"/>
          <w:color w:val="222222"/>
          <w:shd w:val="clear" w:color="auto" w:fill="FFFFFF"/>
          <w:lang w:val="es-CR"/>
        </w:rPr>
        <w:t xml:space="preserve"> párr. </w:t>
      </w:r>
      <w:r w:rsidR="00DA16BF">
        <w:rPr>
          <w:rFonts w:cs="Arial"/>
          <w:color w:val="222222"/>
          <w:shd w:val="clear" w:color="auto" w:fill="FFFFFF"/>
          <w:lang w:val="es-CR"/>
        </w:rPr>
        <w:t>88</w:t>
      </w:r>
      <w:r w:rsidR="0012235A">
        <w:rPr>
          <w:rFonts w:cs="Arial"/>
          <w:color w:val="222222"/>
          <w:shd w:val="clear" w:color="auto" w:fill="FFFFFF"/>
          <w:lang w:val="es-CR"/>
        </w:rPr>
        <w:t xml:space="preserve">). Dicho proceso penal </w:t>
      </w:r>
      <w:r>
        <w:rPr>
          <w:rFonts w:cs="Arial"/>
          <w:color w:val="222222"/>
          <w:shd w:val="clear" w:color="auto" w:fill="FFFFFF"/>
          <w:lang w:val="es-CR"/>
        </w:rPr>
        <w:t>se encuentra p</w:t>
      </w:r>
      <w:r w:rsidR="00F67E74">
        <w:rPr>
          <w:rFonts w:cs="Arial"/>
          <w:color w:val="222222"/>
          <w:shd w:val="clear" w:color="auto" w:fill="FFFFFF"/>
          <w:lang w:val="es-CR"/>
        </w:rPr>
        <w:t>endiente de resolución judicial. Posteriormente, el 10 de octubre de 201</w:t>
      </w:r>
      <w:r w:rsidR="00973B1C">
        <w:rPr>
          <w:rFonts w:cs="Arial"/>
          <w:color w:val="222222"/>
          <w:shd w:val="clear" w:color="auto" w:fill="FFFFFF"/>
          <w:lang w:val="es-CR"/>
        </w:rPr>
        <w:t>6 se dispuso la apertura de una segunda</w:t>
      </w:r>
      <w:r w:rsidR="00F67E74">
        <w:rPr>
          <w:rFonts w:cs="Arial"/>
          <w:color w:val="222222"/>
          <w:shd w:val="clear" w:color="auto" w:fill="FFFFFF"/>
          <w:lang w:val="es-CR"/>
        </w:rPr>
        <w:t xml:space="preserve"> investigación</w:t>
      </w:r>
      <w:r w:rsidR="00D776F7">
        <w:rPr>
          <w:rFonts w:cs="Arial"/>
          <w:color w:val="222222"/>
          <w:shd w:val="clear" w:color="auto" w:fill="FFFFFF"/>
          <w:lang w:val="es-CR"/>
        </w:rPr>
        <w:t xml:space="preserve"> (</w:t>
      </w:r>
      <w:r w:rsidR="00D776F7" w:rsidRPr="005F43CB">
        <w:rPr>
          <w:rFonts w:cs="Arial"/>
          <w:i/>
          <w:color w:val="222222"/>
          <w:shd w:val="clear" w:color="auto" w:fill="FFFFFF"/>
          <w:lang w:val="es-CR"/>
        </w:rPr>
        <w:t xml:space="preserve">supra </w:t>
      </w:r>
      <w:r w:rsidR="00481DCA">
        <w:rPr>
          <w:rFonts w:cs="Arial"/>
          <w:color w:val="222222"/>
          <w:shd w:val="clear" w:color="auto" w:fill="FFFFFF"/>
          <w:lang w:val="es-CR"/>
        </w:rPr>
        <w:t>pie de página 65</w:t>
      </w:r>
      <w:r w:rsidR="00D776F7">
        <w:rPr>
          <w:rFonts w:cs="Arial"/>
          <w:color w:val="222222"/>
          <w:shd w:val="clear" w:color="auto" w:fill="FFFFFF"/>
          <w:lang w:val="es-CR"/>
        </w:rPr>
        <w:t xml:space="preserve">), </w:t>
      </w:r>
      <w:r w:rsidR="00F67E74" w:rsidRPr="0050176A">
        <w:rPr>
          <w:rFonts w:cs="Arial"/>
          <w:color w:val="222222"/>
          <w:shd w:val="clear" w:color="auto" w:fill="FFFFFF"/>
          <w:lang w:val="es-CR"/>
        </w:rPr>
        <w:t xml:space="preserve">pero no se abrió debido a </w:t>
      </w:r>
      <w:r w:rsidRPr="0050176A">
        <w:rPr>
          <w:rFonts w:cs="Arial"/>
          <w:color w:val="222222"/>
          <w:shd w:val="clear" w:color="auto" w:fill="FFFFFF"/>
          <w:lang w:val="es-CR"/>
        </w:rPr>
        <w:t>la existencia de la investigación antes mencionada</w:t>
      </w:r>
      <w:r w:rsidR="00D776F7">
        <w:rPr>
          <w:rFonts w:cs="Arial"/>
          <w:color w:val="222222"/>
          <w:shd w:val="clear" w:color="auto" w:fill="FFFFFF"/>
          <w:lang w:val="es-CR"/>
        </w:rPr>
        <w:t xml:space="preserve">. </w:t>
      </w:r>
    </w:p>
    <w:p w:rsidR="00563483" w:rsidRPr="00563483" w:rsidRDefault="00563483" w:rsidP="00563483">
      <w:pPr>
        <w:pStyle w:val="ListParagraph"/>
        <w:autoSpaceDE w:val="0"/>
        <w:autoSpaceDN w:val="0"/>
        <w:adjustRightInd w:val="0"/>
        <w:spacing w:line="20" w:lineRule="atLeast"/>
        <w:ind w:left="0" w:right="-138"/>
        <w:rPr>
          <w:b/>
          <w:sz w:val="16"/>
          <w:szCs w:val="16"/>
          <w:lang w:val="es-CR"/>
        </w:rPr>
      </w:pPr>
    </w:p>
    <w:p w:rsidR="005F3707" w:rsidRPr="00563483" w:rsidRDefault="00563483" w:rsidP="00C328C0">
      <w:pPr>
        <w:pStyle w:val="ListParagraph"/>
        <w:widowControl w:val="0"/>
        <w:numPr>
          <w:ilvl w:val="0"/>
          <w:numId w:val="1"/>
        </w:numPr>
        <w:tabs>
          <w:tab w:val="left" w:pos="0"/>
        </w:tabs>
        <w:adjustRightInd w:val="0"/>
        <w:ind w:left="0" w:firstLine="0"/>
        <w:rPr>
          <w:b/>
          <w:sz w:val="16"/>
          <w:szCs w:val="16"/>
          <w:lang w:val="es-CR"/>
        </w:rPr>
      </w:pPr>
      <w:r>
        <w:rPr>
          <w:szCs w:val="20"/>
          <w:lang w:val="es-CR"/>
        </w:rPr>
        <w:t>En lo que respecta a la primera investigación, e</w:t>
      </w:r>
      <w:r w:rsidR="00191347" w:rsidRPr="00C53D49">
        <w:rPr>
          <w:szCs w:val="20"/>
          <w:lang w:val="es-CR"/>
        </w:rPr>
        <w:t>l 14 de octubre de 1992 su madre presentó denuncia ante la Fiscalía Provincial de Junín por su desaparición</w:t>
      </w:r>
      <w:r w:rsidR="00191347" w:rsidRPr="005F3707">
        <w:rPr>
          <w:rStyle w:val="FootnoteReference"/>
          <w:sz w:val="20"/>
          <w:szCs w:val="20"/>
          <w:lang w:val="es-CR"/>
        </w:rPr>
        <w:footnoteReference w:id="105"/>
      </w:r>
      <w:r w:rsidR="00191347" w:rsidRPr="005F3707">
        <w:rPr>
          <w:szCs w:val="20"/>
          <w:lang w:val="es-CR"/>
        </w:rPr>
        <w:t xml:space="preserve"> y el 26 de octubre de 1992 interpuso </w:t>
      </w:r>
      <w:r w:rsidR="00753B43">
        <w:rPr>
          <w:szCs w:val="20"/>
          <w:lang w:val="es-CR"/>
        </w:rPr>
        <w:t xml:space="preserve">un </w:t>
      </w:r>
      <w:r w:rsidR="00191347" w:rsidRPr="005F3707">
        <w:rPr>
          <w:szCs w:val="20"/>
          <w:lang w:val="es-CR"/>
        </w:rPr>
        <w:t xml:space="preserve">recurso de </w:t>
      </w:r>
      <w:r w:rsidR="00BB221E" w:rsidRPr="005F3707">
        <w:rPr>
          <w:szCs w:val="20"/>
          <w:lang w:val="es-CR"/>
        </w:rPr>
        <w:t>há</w:t>
      </w:r>
      <w:r w:rsidR="00191347" w:rsidRPr="005F3707">
        <w:rPr>
          <w:szCs w:val="20"/>
          <w:lang w:val="es-CR"/>
        </w:rPr>
        <w:t>beas c</w:t>
      </w:r>
      <w:r w:rsidR="004C4DA1">
        <w:rPr>
          <w:szCs w:val="20"/>
          <w:lang w:val="es-CR"/>
        </w:rPr>
        <w:t>orpus ante el Juzgado Penal de t</w:t>
      </w:r>
      <w:r w:rsidR="00191347" w:rsidRPr="005F3707">
        <w:rPr>
          <w:szCs w:val="20"/>
          <w:lang w:val="es-CR"/>
        </w:rPr>
        <w:t xml:space="preserve">urno de Huancayo por la </w:t>
      </w:r>
      <w:r w:rsidR="00191347" w:rsidRPr="00C328C0">
        <w:rPr>
          <w:rFonts w:cs="Arial"/>
          <w:color w:val="222222"/>
          <w:shd w:val="clear" w:color="auto" w:fill="FFFFFF"/>
          <w:lang w:val="es-CR"/>
        </w:rPr>
        <w:t>detención</w:t>
      </w:r>
      <w:r w:rsidR="00191347" w:rsidRPr="005F3707">
        <w:rPr>
          <w:szCs w:val="20"/>
          <w:lang w:val="es-CR"/>
        </w:rPr>
        <w:t xml:space="preserve"> de </w:t>
      </w:r>
      <w:r w:rsidR="009143EB">
        <w:rPr>
          <w:szCs w:val="20"/>
          <w:lang w:val="es-CR"/>
        </w:rPr>
        <w:t xml:space="preserve">su hija </w:t>
      </w:r>
      <w:r w:rsidR="00191347" w:rsidRPr="005F3707">
        <w:rPr>
          <w:szCs w:val="20"/>
          <w:lang w:val="es-CR"/>
        </w:rPr>
        <w:t>por parte de las fuerzas del orden en Huancayo-Junín y llevarla al Departamento de Investigación Criminal por no portar sus documentos</w:t>
      </w:r>
      <w:r w:rsidR="00191347" w:rsidRPr="005F3707">
        <w:rPr>
          <w:rStyle w:val="FootnoteReference"/>
          <w:sz w:val="20"/>
          <w:szCs w:val="20"/>
          <w:lang w:val="es-CR"/>
        </w:rPr>
        <w:footnoteReference w:id="106"/>
      </w:r>
      <w:r w:rsidR="00191347" w:rsidRPr="005F3707">
        <w:rPr>
          <w:szCs w:val="20"/>
          <w:lang w:val="es-CR"/>
        </w:rPr>
        <w:t>. También denunció que el 22 de ese mes su domicilio había sido allanado y que “el teniente de la policía técnica [le] dio a entender que [su] hija se encuentra comprendida en delito común y se encuentra detenida en la p</w:t>
      </w:r>
      <w:r w:rsidR="00753B43">
        <w:rPr>
          <w:szCs w:val="20"/>
          <w:lang w:val="es-CR"/>
        </w:rPr>
        <w:t>olicía técnica de [l]</w:t>
      </w:r>
      <w:r w:rsidR="00191347" w:rsidRPr="005F3707">
        <w:rPr>
          <w:szCs w:val="20"/>
          <w:lang w:val="es-CR"/>
        </w:rPr>
        <w:t>a</w:t>
      </w:r>
      <w:r w:rsidR="00753B43">
        <w:rPr>
          <w:szCs w:val="20"/>
          <w:lang w:val="es-CR"/>
        </w:rPr>
        <w:t xml:space="preserve"> ciudad”, por lo que solicitó su inmediata libertad</w:t>
      </w:r>
      <w:r w:rsidR="00191347" w:rsidRPr="005F3707">
        <w:rPr>
          <w:rStyle w:val="FootnoteReference"/>
          <w:sz w:val="20"/>
          <w:szCs w:val="20"/>
          <w:lang w:val="es-CR"/>
        </w:rPr>
        <w:footnoteReference w:id="107"/>
      </w:r>
      <w:r w:rsidR="00191347" w:rsidRPr="005F3707">
        <w:rPr>
          <w:szCs w:val="20"/>
          <w:lang w:val="es-CR"/>
        </w:rPr>
        <w:t>.</w:t>
      </w:r>
      <w:r>
        <w:rPr>
          <w:b/>
          <w:sz w:val="16"/>
          <w:szCs w:val="16"/>
          <w:lang w:val="es-CR"/>
        </w:rPr>
        <w:t xml:space="preserve"> </w:t>
      </w:r>
      <w:r>
        <w:rPr>
          <w:rFonts w:eastAsiaTheme="minorHAnsi" w:cs="Times New Roman"/>
          <w:szCs w:val="20"/>
          <w:lang w:val="es-ES"/>
        </w:rPr>
        <w:t>E</w:t>
      </w:r>
      <w:r w:rsidR="00191347" w:rsidRPr="00563483">
        <w:rPr>
          <w:rFonts w:eastAsiaTheme="minorHAnsi" w:cs="Times New Roman"/>
          <w:szCs w:val="20"/>
          <w:lang w:val="es-ES"/>
        </w:rPr>
        <w:t>l 6 de noviembre de 1992, el entonces General de Brigada de la 31</w:t>
      </w:r>
      <w:r w:rsidR="00191347" w:rsidRPr="00563483">
        <w:rPr>
          <w:szCs w:val="20"/>
          <w:lang w:val="es-CR"/>
        </w:rPr>
        <w:t>ª</w:t>
      </w:r>
      <w:r w:rsidR="00191347" w:rsidRPr="00563483">
        <w:rPr>
          <w:rFonts w:eastAsiaTheme="minorHAnsi" w:cs="Times New Roman"/>
          <w:szCs w:val="20"/>
          <w:lang w:val="es-ES"/>
        </w:rPr>
        <w:t xml:space="preserve"> División de Infantería de la Comandancia General, solicitó información al Jefe de Policía </w:t>
      </w:r>
      <w:r w:rsidR="00191347" w:rsidRPr="00563483">
        <w:rPr>
          <w:rFonts w:eastAsiaTheme="minorHAnsi" w:cs="Times New Roman"/>
          <w:szCs w:val="20"/>
          <w:lang w:val="es-ES"/>
        </w:rPr>
        <w:lastRenderedPageBreak/>
        <w:t>Nacional de Huancayo sobre la posible detención de Cory Clodolia Tenicela Tello</w:t>
      </w:r>
      <w:r w:rsidR="00191347" w:rsidRPr="005F3707">
        <w:rPr>
          <w:rStyle w:val="FootnoteReference"/>
          <w:rFonts w:eastAsiaTheme="minorHAnsi"/>
          <w:sz w:val="20"/>
          <w:szCs w:val="20"/>
          <w:lang w:val="es-ES"/>
        </w:rPr>
        <w:footnoteReference w:id="108"/>
      </w:r>
      <w:r w:rsidR="00191347" w:rsidRPr="00563483">
        <w:rPr>
          <w:rFonts w:eastAsiaTheme="minorHAnsi" w:cs="Times New Roman"/>
          <w:szCs w:val="20"/>
          <w:lang w:val="es-ES"/>
        </w:rPr>
        <w:t>.</w:t>
      </w:r>
      <w:r>
        <w:rPr>
          <w:b/>
          <w:sz w:val="16"/>
          <w:szCs w:val="16"/>
          <w:lang w:val="es-CR"/>
        </w:rPr>
        <w:t xml:space="preserve"> </w:t>
      </w:r>
      <w:r w:rsidR="009E7971">
        <w:rPr>
          <w:szCs w:val="20"/>
          <w:lang w:val="es-CR"/>
        </w:rPr>
        <w:t>Los días</w:t>
      </w:r>
      <w:r w:rsidR="00191347" w:rsidRPr="00563483">
        <w:rPr>
          <w:szCs w:val="20"/>
          <w:lang w:val="es-CR"/>
        </w:rPr>
        <w:t xml:space="preserve"> 24 de mar</w:t>
      </w:r>
      <w:r w:rsidR="00BB221E" w:rsidRPr="00563483">
        <w:rPr>
          <w:szCs w:val="20"/>
          <w:lang w:val="es-CR"/>
        </w:rPr>
        <w:t>z</w:t>
      </w:r>
      <w:r w:rsidR="00191347" w:rsidRPr="00563483">
        <w:rPr>
          <w:szCs w:val="20"/>
          <w:lang w:val="es-CR"/>
        </w:rPr>
        <w:t>o de 1993</w:t>
      </w:r>
      <w:r w:rsidR="00191347" w:rsidRPr="005F3707">
        <w:rPr>
          <w:rStyle w:val="FootnoteReference"/>
          <w:sz w:val="20"/>
          <w:szCs w:val="20"/>
          <w:lang w:val="es-CR"/>
        </w:rPr>
        <w:footnoteReference w:id="109"/>
      </w:r>
      <w:r w:rsidR="009E7971">
        <w:rPr>
          <w:szCs w:val="20"/>
          <w:lang w:val="es-CR"/>
        </w:rPr>
        <w:t xml:space="preserve">, </w:t>
      </w:r>
      <w:r w:rsidR="00191347" w:rsidRPr="00563483">
        <w:rPr>
          <w:szCs w:val="20"/>
          <w:lang w:val="es-CR"/>
        </w:rPr>
        <w:t>20 de abril de 1993</w:t>
      </w:r>
      <w:r w:rsidR="00191347" w:rsidRPr="005F3707">
        <w:rPr>
          <w:rStyle w:val="FootnoteReference"/>
          <w:sz w:val="20"/>
          <w:szCs w:val="20"/>
          <w:lang w:val="es-CR"/>
        </w:rPr>
        <w:footnoteReference w:id="110"/>
      </w:r>
      <w:r w:rsidR="009E7971">
        <w:rPr>
          <w:szCs w:val="20"/>
          <w:lang w:val="es-CR"/>
        </w:rPr>
        <w:t xml:space="preserve"> y</w:t>
      </w:r>
      <w:r w:rsidR="00191347" w:rsidRPr="00563483">
        <w:rPr>
          <w:szCs w:val="20"/>
          <w:lang w:val="es-CR"/>
        </w:rPr>
        <w:t xml:space="preserve"> 6 de mayo de 1993</w:t>
      </w:r>
      <w:r w:rsidR="00191347" w:rsidRPr="005F3707">
        <w:rPr>
          <w:rStyle w:val="FootnoteReference"/>
          <w:sz w:val="20"/>
          <w:szCs w:val="20"/>
          <w:lang w:val="es-CR"/>
        </w:rPr>
        <w:footnoteReference w:id="111"/>
      </w:r>
      <w:r w:rsidR="00BB221E" w:rsidRPr="00563483">
        <w:rPr>
          <w:szCs w:val="20"/>
          <w:lang w:val="es-CR"/>
        </w:rPr>
        <w:t xml:space="preserve">, el Coronel de la Policía Nacional, </w:t>
      </w:r>
      <w:r w:rsidR="005F3707" w:rsidRPr="00563483">
        <w:rPr>
          <w:szCs w:val="20"/>
          <w:lang w:val="es-CR"/>
        </w:rPr>
        <w:t>HGF, informó que Cory</w:t>
      </w:r>
      <w:r w:rsidR="00191347" w:rsidRPr="00563483">
        <w:rPr>
          <w:szCs w:val="20"/>
          <w:lang w:val="es-CR"/>
        </w:rPr>
        <w:t xml:space="preserve"> Clodolia Tenicela Tello no fue detenida por personal policial de la jurisdic</w:t>
      </w:r>
      <w:r w:rsidR="009E7971">
        <w:rPr>
          <w:szCs w:val="20"/>
          <w:lang w:val="es-CR"/>
        </w:rPr>
        <w:t xml:space="preserve">ción de la VIII-RPNP-Huancayo, lo cual </w:t>
      </w:r>
      <w:r w:rsidR="00191347" w:rsidRPr="00563483">
        <w:rPr>
          <w:szCs w:val="20"/>
          <w:lang w:val="es-CR"/>
        </w:rPr>
        <w:t>fue comunicado a la Fiscalía Provincial Especial de Defens</w:t>
      </w:r>
      <w:r w:rsidR="004C4DA1">
        <w:rPr>
          <w:szCs w:val="20"/>
          <w:lang w:val="es-CR"/>
        </w:rPr>
        <w:t>oría del Pueblo y Derechos Huanú</w:t>
      </w:r>
      <w:r w:rsidR="00191347" w:rsidRPr="00563483">
        <w:rPr>
          <w:szCs w:val="20"/>
          <w:lang w:val="es-CR"/>
        </w:rPr>
        <w:t xml:space="preserve">co-Junín. </w:t>
      </w:r>
    </w:p>
    <w:p w:rsidR="00563483" w:rsidRPr="00563483" w:rsidRDefault="00563483" w:rsidP="00563483">
      <w:pPr>
        <w:pStyle w:val="ListParagraph"/>
        <w:autoSpaceDE w:val="0"/>
        <w:autoSpaceDN w:val="0"/>
        <w:adjustRightInd w:val="0"/>
        <w:spacing w:line="20" w:lineRule="atLeast"/>
        <w:ind w:left="0" w:right="-144"/>
        <w:rPr>
          <w:rFonts w:cs="Arial"/>
          <w:color w:val="222222"/>
          <w:shd w:val="clear" w:color="auto" w:fill="FFFFFF"/>
          <w:lang w:val="es-CR"/>
        </w:rPr>
      </w:pPr>
    </w:p>
    <w:p w:rsidR="00191347" w:rsidRPr="00C20E4F" w:rsidRDefault="00191347" w:rsidP="00C328C0">
      <w:pPr>
        <w:pStyle w:val="ListParagraph"/>
        <w:widowControl w:val="0"/>
        <w:numPr>
          <w:ilvl w:val="0"/>
          <w:numId w:val="1"/>
        </w:numPr>
        <w:tabs>
          <w:tab w:val="left" w:pos="0"/>
        </w:tabs>
        <w:adjustRightInd w:val="0"/>
        <w:ind w:left="0" w:firstLine="0"/>
        <w:rPr>
          <w:rFonts w:cs="Arial"/>
          <w:color w:val="222222"/>
          <w:shd w:val="clear" w:color="auto" w:fill="FFFFFF"/>
          <w:lang w:val="es-CR"/>
        </w:rPr>
      </w:pPr>
      <w:r w:rsidRPr="00315F8B">
        <w:rPr>
          <w:szCs w:val="20"/>
          <w:lang w:val="es-CR"/>
        </w:rPr>
        <w:t>El 22 de julio de 2003 la Cuarta Fiscalía Provincial Penal de Huancayo amplió las investigaciones que venía realizando</w:t>
      </w:r>
      <w:r w:rsidR="00563483">
        <w:rPr>
          <w:szCs w:val="20"/>
          <w:lang w:val="es-CR"/>
        </w:rPr>
        <w:t xml:space="preserve"> en otro proceso penal</w:t>
      </w:r>
      <w:r w:rsidRPr="00315F8B">
        <w:rPr>
          <w:szCs w:val="20"/>
          <w:lang w:val="es-CR"/>
        </w:rPr>
        <w:t xml:space="preserve"> para incluir el caso de Cory Clodolia Tenicela Tello</w:t>
      </w:r>
      <w:r>
        <w:rPr>
          <w:szCs w:val="20"/>
          <w:lang w:val="es-CR"/>
        </w:rPr>
        <w:t xml:space="preserve"> y de otras 32 </w:t>
      </w:r>
      <w:r w:rsidRPr="00C20E4F">
        <w:rPr>
          <w:szCs w:val="20"/>
          <w:lang w:val="es-CR"/>
        </w:rPr>
        <w:t>personas</w:t>
      </w:r>
      <w:r w:rsidRPr="00C20E4F">
        <w:rPr>
          <w:rStyle w:val="FootnoteReference"/>
          <w:sz w:val="20"/>
          <w:szCs w:val="20"/>
          <w:lang w:val="es-CR"/>
        </w:rPr>
        <w:footnoteReference w:id="112"/>
      </w:r>
      <w:r w:rsidRPr="00C20E4F">
        <w:rPr>
          <w:szCs w:val="20"/>
          <w:lang w:val="es-CR"/>
        </w:rPr>
        <w:t xml:space="preserve">. Luego de una serie de diligencias e investigaciones, </w:t>
      </w:r>
      <w:r w:rsidR="00563483" w:rsidRPr="00C20E4F">
        <w:rPr>
          <w:szCs w:val="20"/>
          <w:lang w:val="es-CR"/>
        </w:rPr>
        <w:t xml:space="preserve">en septiembre de 2013 </w:t>
      </w:r>
      <w:r w:rsidRPr="00C20E4F">
        <w:rPr>
          <w:szCs w:val="20"/>
          <w:lang w:val="es-CR"/>
        </w:rPr>
        <w:t>la Primera Fis</w:t>
      </w:r>
      <w:r w:rsidR="005F6D41" w:rsidRPr="00C20E4F">
        <w:rPr>
          <w:szCs w:val="20"/>
          <w:lang w:val="es-CR"/>
        </w:rPr>
        <w:t>calía Superior Penal imputó a D</w:t>
      </w:r>
      <w:r w:rsidRPr="00C20E4F">
        <w:rPr>
          <w:szCs w:val="20"/>
          <w:lang w:val="es-CR"/>
        </w:rPr>
        <w:t xml:space="preserve">GC, </w:t>
      </w:r>
      <w:r w:rsidR="0043229A" w:rsidRPr="00C20E4F">
        <w:rPr>
          <w:szCs w:val="20"/>
          <w:lang w:val="es-CR"/>
        </w:rPr>
        <w:t xml:space="preserve">Comandante </w:t>
      </w:r>
      <w:r w:rsidRPr="00C20E4F">
        <w:rPr>
          <w:szCs w:val="20"/>
          <w:lang w:val="es-CR"/>
        </w:rPr>
        <w:t>de la 31ª División del Ejército de</w:t>
      </w:r>
      <w:r w:rsidR="004C4DA1" w:rsidRPr="00C20E4F">
        <w:rPr>
          <w:szCs w:val="20"/>
          <w:lang w:val="es-CR"/>
        </w:rPr>
        <w:t>sde</w:t>
      </w:r>
      <w:r w:rsidRPr="00C20E4F">
        <w:rPr>
          <w:szCs w:val="20"/>
          <w:lang w:val="es-CR"/>
        </w:rPr>
        <w:t xml:space="preserve"> enero de</w:t>
      </w:r>
      <w:r w:rsidR="005F6D41" w:rsidRPr="00C20E4F">
        <w:rPr>
          <w:szCs w:val="20"/>
          <w:lang w:val="es-CR"/>
        </w:rPr>
        <w:t xml:space="preserve"> 1991 a diciembre de 1992 y a B</w:t>
      </w:r>
      <w:r w:rsidRPr="00C20E4F">
        <w:rPr>
          <w:szCs w:val="20"/>
          <w:lang w:val="es-CR"/>
        </w:rPr>
        <w:t>RE, Jefe de la Base de Acción Cívica de la Universidad Nacional del Centro del Perú de</w:t>
      </w:r>
      <w:r w:rsidR="004C4DA1" w:rsidRPr="00C20E4F">
        <w:rPr>
          <w:szCs w:val="20"/>
          <w:lang w:val="es-CR"/>
        </w:rPr>
        <w:t>sde</w:t>
      </w:r>
      <w:r w:rsidRPr="00C20E4F">
        <w:rPr>
          <w:szCs w:val="20"/>
          <w:lang w:val="es-CR"/>
        </w:rPr>
        <w:t xml:space="preserve"> febrero 1992 a febrero de 1993, como autores mediatos de los hechos ilícitos</w:t>
      </w:r>
      <w:r w:rsidRPr="00C20E4F">
        <w:rPr>
          <w:rStyle w:val="FootnoteReference"/>
          <w:sz w:val="20"/>
          <w:szCs w:val="20"/>
          <w:lang w:val="es-CR"/>
        </w:rPr>
        <w:footnoteReference w:id="113"/>
      </w:r>
      <w:r w:rsidRPr="00C20E4F">
        <w:rPr>
          <w:szCs w:val="20"/>
          <w:lang w:val="es-CR"/>
        </w:rPr>
        <w:t>. La Fiscalía Superior Nacional formalizó la denuncia penal contra ambas personas y el Primer Juzgado Penal de Junín declaró complejo el proceso tanto por la pluralidad de agentes y agraviados, como por la cantidad de diligencias a desarrollar.</w:t>
      </w:r>
      <w:r w:rsidRPr="00C20E4F">
        <w:rPr>
          <w:szCs w:val="20"/>
        </w:rPr>
        <w:t xml:space="preserve"> </w:t>
      </w:r>
      <w:r w:rsidR="00563483" w:rsidRPr="00C20E4F">
        <w:rPr>
          <w:szCs w:val="20"/>
          <w:lang w:val="es-CR"/>
        </w:rPr>
        <w:t>En varias oportunidades se ampliaron los plazos de la investigación.</w:t>
      </w:r>
      <w:r w:rsidRPr="00C20E4F">
        <w:rPr>
          <w:sz w:val="18"/>
          <w:szCs w:val="20"/>
        </w:rPr>
        <w:t xml:space="preserve"> </w:t>
      </w:r>
      <w:r w:rsidR="00563483" w:rsidRPr="00C20E4F">
        <w:rPr>
          <w:rFonts w:cs="Arial"/>
          <w:color w:val="222222"/>
          <w:shd w:val="clear" w:color="auto" w:fill="FFFFFF"/>
          <w:lang w:val="es-CR"/>
        </w:rPr>
        <w:t xml:space="preserve">El </w:t>
      </w:r>
      <w:r w:rsidR="00F86D45" w:rsidRPr="00C20E4F">
        <w:rPr>
          <w:rFonts w:cs="Arial"/>
          <w:color w:val="222222"/>
          <w:szCs w:val="20"/>
          <w:shd w:val="clear" w:color="auto" w:fill="FFFFFF"/>
          <w:lang w:val="es-CR"/>
        </w:rPr>
        <w:t>25 de julio de 2014</w:t>
      </w:r>
      <w:r w:rsidR="00563483" w:rsidRPr="00C20E4F">
        <w:rPr>
          <w:rFonts w:cs="Arial"/>
          <w:color w:val="222222"/>
          <w:szCs w:val="20"/>
          <w:shd w:val="clear" w:color="auto" w:fill="FFFFFF"/>
          <w:lang w:val="es-CR"/>
        </w:rPr>
        <w:t xml:space="preserve"> l</w:t>
      </w:r>
      <w:r w:rsidRPr="00C20E4F">
        <w:rPr>
          <w:rFonts w:cs="Arial"/>
          <w:color w:val="222222"/>
          <w:szCs w:val="20"/>
          <w:shd w:val="clear" w:color="auto" w:fill="FFFFFF"/>
          <w:lang w:val="es-CR"/>
        </w:rPr>
        <w:t xml:space="preserve">a Primera Fiscalía Penal Supranacional formalizó denuncia penal ampliatoria contra el Coronel en retiro </w:t>
      </w:r>
      <w:r w:rsidR="005F6D41" w:rsidRPr="00C20E4F">
        <w:rPr>
          <w:rFonts w:cs="Arial"/>
          <w:color w:val="222222"/>
          <w:szCs w:val="20"/>
          <w:shd w:val="clear" w:color="auto" w:fill="FFFFFF"/>
          <w:lang w:val="es-CR"/>
        </w:rPr>
        <w:t>L</w:t>
      </w:r>
      <w:r w:rsidR="005F3707" w:rsidRPr="00C20E4F">
        <w:rPr>
          <w:rFonts w:cs="Arial"/>
          <w:color w:val="222222"/>
          <w:szCs w:val="20"/>
          <w:shd w:val="clear" w:color="auto" w:fill="FFFFFF"/>
          <w:lang w:val="es-CR"/>
        </w:rPr>
        <w:t>DP</w:t>
      </w:r>
      <w:r w:rsidRPr="00C20E4F">
        <w:rPr>
          <w:rStyle w:val="FootnoteReference"/>
          <w:color w:val="222222"/>
          <w:sz w:val="20"/>
          <w:szCs w:val="20"/>
          <w:shd w:val="clear" w:color="auto" w:fill="FFFFFF"/>
          <w:lang w:val="es-CR"/>
        </w:rPr>
        <w:footnoteReference w:id="114"/>
      </w:r>
      <w:r w:rsidRPr="00C20E4F">
        <w:rPr>
          <w:rFonts w:cs="Arial"/>
          <w:color w:val="222222"/>
          <w:szCs w:val="20"/>
          <w:shd w:val="clear" w:color="auto" w:fill="FFFFFF"/>
          <w:lang w:val="es-CR"/>
        </w:rPr>
        <w:t xml:space="preserve"> como autor mediato del delito contra la libertad personal en la modalidad de secuestro agravado en agravio de la señora Cory</w:t>
      </w:r>
      <w:r w:rsidR="005F3707" w:rsidRPr="00C20E4F">
        <w:rPr>
          <w:rFonts w:cs="Arial"/>
          <w:color w:val="222222"/>
          <w:szCs w:val="20"/>
          <w:shd w:val="clear" w:color="auto" w:fill="FFFFFF"/>
          <w:lang w:val="es-CR"/>
        </w:rPr>
        <w:t xml:space="preserve"> Clodolia Tenicela Tello</w:t>
      </w:r>
      <w:r w:rsidRPr="00C20E4F">
        <w:rPr>
          <w:rStyle w:val="FootnoteReference"/>
          <w:color w:val="222222"/>
          <w:sz w:val="20"/>
          <w:szCs w:val="20"/>
          <w:shd w:val="clear" w:color="auto" w:fill="FFFFFF"/>
          <w:lang w:val="es-CR"/>
        </w:rPr>
        <w:footnoteReference w:id="115"/>
      </w:r>
      <w:r w:rsidRPr="00C20E4F">
        <w:rPr>
          <w:rFonts w:cs="Arial"/>
          <w:color w:val="222222"/>
          <w:szCs w:val="20"/>
          <w:shd w:val="clear" w:color="auto" w:fill="FFFFFF"/>
          <w:lang w:val="es-CR"/>
        </w:rPr>
        <w:t>.</w:t>
      </w:r>
      <w:r w:rsidR="00563483" w:rsidRPr="00C20E4F">
        <w:rPr>
          <w:rFonts w:cs="Arial"/>
          <w:color w:val="222222"/>
          <w:shd w:val="clear" w:color="auto" w:fill="FFFFFF"/>
          <w:lang w:val="es-CR"/>
        </w:rPr>
        <w:t xml:space="preserve"> </w:t>
      </w:r>
      <w:r w:rsidRPr="00C20E4F">
        <w:rPr>
          <w:szCs w:val="16"/>
          <w:lang w:val="es-CR"/>
        </w:rPr>
        <w:t>El 8 de septiembre de 2014 el Primer Juz</w:t>
      </w:r>
      <w:r w:rsidR="00973B1C" w:rsidRPr="00C20E4F">
        <w:rPr>
          <w:szCs w:val="16"/>
          <w:lang w:val="es-CR"/>
        </w:rPr>
        <w:t>gado Penal Nacional declaró de o</w:t>
      </w:r>
      <w:r w:rsidRPr="00C20E4F">
        <w:rPr>
          <w:szCs w:val="16"/>
          <w:lang w:val="es-CR"/>
        </w:rPr>
        <w:t xml:space="preserve">ficio la desacumulación de la causa contra los Coroneles en retiro </w:t>
      </w:r>
      <w:r w:rsidR="005F6D41" w:rsidRPr="00C20E4F">
        <w:rPr>
          <w:szCs w:val="16"/>
          <w:lang w:val="es-CR"/>
        </w:rPr>
        <w:t>M</w:t>
      </w:r>
      <w:r w:rsidR="005F3707" w:rsidRPr="00C20E4F">
        <w:rPr>
          <w:szCs w:val="16"/>
          <w:lang w:val="es-CR"/>
        </w:rPr>
        <w:t>DCh</w:t>
      </w:r>
      <w:r w:rsidR="00481DCA" w:rsidRPr="00C20E4F">
        <w:rPr>
          <w:szCs w:val="16"/>
          <w:lang w:val="es-CR"/>
        </w:rPr>
        <w:t xml:space="preserve"> </w:t>
      </w:r>
      <w:r w:rsidRPr="00C20E4F">
        <w:rPr>
          <w:rFonts w:cs="Arial"/>
          <w:color w:val="222222"/>
          <w:szCs w:val="20"/>
          <w:shd w:val="clear" w:color="auto" w:fill="FFFFFF"/>
          <w:lang w:val="es-CR"/>
        </w:rPr>
        <w:t>y</w:t>
      </w:r>
      <w:r w:rsidR="005F6D41" w:rsidRPr="00C20E4F">
        <w:rPr>
          <w:rFonts w:cs="Arial"/>
          <w:color w:val="222222"/>
          <w:szCs w:val="20"/>
          <w:shd w:val="clear" w:color="auto" w:fill="FFFFFF"/>
          <w:lang w:val="es-CR"/>
        </w:rPr>
        <w:t xml:space="preserve"> L</w:t>
      </w:r>
      <w:r w:rsidR="005F3707" w:rsidRPr="00C20E4F">
        <w:rPr>
          <w:rFonts w:cs="Arial"/>
          <w:color w:val="222222"/>
          <w:szCs w:val="20"/>
          <w:shd w:val="clear" w:color="auto" w:fill="FFFFFF"/>
          <w:lang w:val="es-CR"/>
        </w:rPr>
        <w:t>DP</w:t>
      </w:r>
      <w:r w:rsidRPr="00C20E4F">
        <w:rPr>
          <w:rStyle w:val="FootnoteReference"/>
          <w:sz w:val="20"/>
          <w:szCs w:val="20"/>
          <w:lang w:val="es-CR"/>
        </w:rPr>
        <w:footnoteReference w:id="116"/>
      </w:r>
      <w:r w:rsidRPr="00C20E4F">
        <w:rPr>
          <w:szCs w:val="16"/>
          <w:lang w:val="es-CR"/>
        </w:rPr>
        <w:t xml:space="preserve"> con la finalidad de simplificar el proceso.</w:t>
      </w:r>
    </w:p>
    <w:p w:rsidR="00191347" w:rsidRPr="00C20E4F" w:rsidRDefault="00191347" w:rsidP="00191347">
      <w:pPr>
        <w:pStyle w:val="ListParagraph"/>
        <w:rPr>
          <w:szCs w:val="16"/>
          <w:lang w:val="es-CR"/>
        </w:rPr>
      </w:pPr>
    </w:p>
    <w:p w:rsidR="00191347" w:rsidRPr="00C20E4F" w:rsidRDefault="00191347" w:rsidP="00C328C0">
      <w:pPr>
        <w:pStyle w:val="ListParagraph"/>
        <w:widowControl w:val="0"/>
        <w:numPr>
          <w:ilvl w:val="0"/>
          <w:numId w:val="1"/>
        </w:numPr>
        <w:tabs>
          <w:tab w:val="left" w:pos="0"/>
        </w:tabs>
        <w:adjustRightInd w:val="0"/>
        <w:ind w:left="0" w:firstLine="0"/>
        <w:rPr>
          <w:rFonts w:cs="Arial"/>
          <w:color w:val="222222"/>
          <w:szCs w:val="20"/>
          <w:shd w:val="clear" w:color="auto" w:fill="FFFFFF"/>
          <w:lang w:val="es-CR"/>
        </w:rPr>
      </w:pPr>
      <w:r w:rsidRPr="00C20E4F">
        <w:rPr>
          <w:rFonts w:cs="Arial"/>
          <w:color w:val="222222"/>
          <w:szCs w:val="20"/>
          <w:shd w:val="clear" w:color="auto" w:fill="FFFFFF"/>
          <w:lang w:val="es-CR"/>
        </w:rPr>
        <w:t>El 20 de octubre de 2014 el Tercer Juzgado Penal Nacional, bajo el ex</w:t>
      </w:r>
      <w:r w:rsidR="00F86D45" w:rsidRPr="00C20E4F">
        <w:rPr>
          <w:rFonts w:cs="Arial"/>
          <w:color w:val="222222"/>
          <w:szCs w:val="20"/>
          <w:shd w:val="clear" w:color="auto" w:fill="FFFFFF"/>
          <w:lang w:val="es-CR"/>
        </w:rPr>
        <w:t>pediente No. 255-2014-0, dictó auto de p</w:t>
      </w:r>
      <w:r w:rsidRPr="00C20E4F">
        <w:rPr>
          <w:rFonts w:cs="Arial"/>
          <w:color w:val="222222"/>
          <w:szCs w:val="20"/>
          <w:shd w:val="clear" w:color="auto" w:fill="FFFFFF"/>
          <w:lang w:val="es-CR"/>
        </w:rPr>
        <w:t xml:space="preserve">rocesamiento y abrió </w:t>
      </w:r>
      <w:r w:rsidR="00F86D45" w:rsidRPr="00C20E4F">
        <w:rPr>
          <w:rFonts w:cs="Arial"/>
          <w:color w:val="222222"/>
          <w:szCs w:val="20"/>
          <w:shd w:val="clear" w:color="auto" w:fill="FFFFFF"/>
          <w:lang w:val="es-CR"/>
        </w:rPr>
        <w:t xml:space="preserve">el </w:t>
      </w:r>
      <w:r w:rsidRPr="00C20E4F">
        <w:rPr>
          <w:rFonts w:cs="Arial"/>
          <w:color w:val="222222"/>
          <w:szCs w:val="20"/>
          <w:shd w:val="clear" w:color="auto" w:fill="FFFFFF"/>
          <w:lang w:val="es-CR"/>
        </w:rPr>
        <w:t xml:space="preserve">proceso penal contra </w:t>
      </w:r>
      <w:r w:rsidR="004E00BC" w:rsidRPr="00C20E4F">
        <w:rPr>
          <w:rFonts w:cs="Arial"/>
          <w:color w:val="222222"/>
          <w:szCs w:val="20"/>
          <w:shd w:val="clear" w:color="auto" w:fill="FFFFFF"/>
          <w:lang w:val="es-CR"/>
        </w:rPr>
        <w:t>L</w:t>
      </w:r>
      <w:r w:rsidR="005F3707" w:rsidRPr="00C20E4F">
        <w:rPr>
          <w:rFonts w:cs="Arial"/>
          <w:color w:val="222222"/>
          <w:szCs w:val="20"/>
          <w:shd w:val="clear" w:color="auto" w:fill="FFFFFF"/>
          <w:lang w:val="es-CR"/>
        </w:rPr>
        <w:t xml:space="preserve">DP </w:t>
      </w:r>
      <w:r w:rsidRPr="00C20E4F">
        <w:rPr>
          <w:rFonts w:cs="Arial"/>
          <w:color w:val="222222"/>
          <w:szCs w:val="20"/>
          <w:shd w:val="clear" w:color="auto" w:fill="FFFFFF"/>
          <w:lang w:val="es-CR"/>
        </w:rPr>
        <w:t>por el delito contra la libertad personal en la modalidad de secuestro agravado</w:t>
      </w:r>
      <w:r w:rsidR="00F86D45" w:rsidRPr="00C20E4F">
        <w:rPr>
          <w:rFonts w:cs="Arial"/>
          <w:color w:val="222222"/>
          <w:szCs w:val="20"/>
          <w:shd w:val="clear" w:color="auto" w:fill="FFFFFF"/>
          <w:lang w:val="es-CR"/>
        </w:rPr>
        <w:t>,</w:t>
      </w:r>
      <w:r w:rsidRPr="00C20E4F">
        <w:rPr>
          <w:rFonts w:cs="Arial"/>
          <w:color w:val="222222"/>
          <w:szCs w:val="20"/>
          <w:shd w:val="clear" w:color="auto" w:fill="FFFFFF"/>
          <w:lang w:val="es-CR"/>
        </w:rPr>
        <w:t xml:space="preserve"> en perjuicio </w:t>
      </w:r>
      <w:r w:rsidR="005F3707" w:rsidRPr="00C20E4F">
        <w:rPr>
          <w:rFonts w:cs="Arial"/>
          <w:color w:val="222222"/>
          <w:szCs w:val="20"/>
          <w:shd w:val="clear" w:color="auto" w:fill="FFFFFF"/>
          <w:lang w:val="es-CR"/>
        </w:rPr>
        <w:t xml:space="preserve">Cory </w:t>
      </w:r>
      <w:r w:rsidRPr="00C20E4F">
        <w:rPr>
          <w:rFonts w:cs="Arial"/>
          <w:color w:val="222222"/>
          <w:szCs w:val="20"/>
          <w:shd w:val="clear" w:color="auto" w:fill="FFFFFF"/>
          <w:lang w:val="es-CR"/>
        </w:rPr>
        <w:t>Clodolia</w:t>
      </w:r>
      <w:r w:rsidR="005F3707" w:rsidRPr="00C20E4F">
        <w:rPr>
          <w:rFonts w:cs="Arial"/>
          <w:color w:val="222222"/>
          <w:szCs w:val="20"/>
          <w:shd w:val="clear" w:color="auto" w:fill="FFFFFF"/>
          <w:lang w:val="es-CR"/>
        </w:rPr>
        <w:t xml:space="preserve"> Tenicela Tello</w:t>
      </w:r>
      <w:r w:rsidR="00973B1C" w:rsidRPr="00C20E4F">
        <w:rPr>
          <w:rFonts w:cs="Arial"/>
          <w:color w:val="222222"/>
          <w:szCs w:val="20"/>
          <w:shd w:val="clear" w:color="auto" w:fill="FFFFFF"/>
          <w:lang w:val="es-CR"/>
        </w:rPr>
        <w:t xml:space="preserve"> y</w:t>
      </w:r>
      <w:r w:rsidRPr="00C20E4F">
        <w:rPr>
          <w:rFonts w:cs="Arial"/>
          <w:color w:val="222222"/>
          <w:szCs w:val="20"/>
          <w:shd w:val="clear" w:color="auto" w:fill="FFFFFF"/>
          <w:lang w:val="es-CR"/>
        </w:rPr>
        <w:t xml:space="preserve"> dictó mandato de comparecencia con restricciones en contra del mencionado Coronel</w:t>
      </w:r>
      <w:r w:rsidRPr="00C20E4F">
        <w:rPr>
          <w:rStyle w:val="FootnoteReference"/>
          <w:color w:val="222222"/>
          <w:sz w:val="20"/>
          <w:szCs w:val="20"/>
          <w:shd w:val="clear" w:color="auto" w:fill="FFFFFF"/>
          <w:lang w:val="es-CR"/>
        </w:rPr>
        <w:footnoteReference w:id="117"/>
      </w:r>
      <w:r w:rsidRPr="00C20E4F">
        <w:rPr>
          <w:rFonts w:cs="Arial"/>
          <w:color w:val="222222"/>
          <w:szCs w:val="20"/>
          <w:shd w:val="clear" w:color="auto" w:fill="FFFFFF"/>
          <w:lang w:val="es-CR"/>
        </w:rPr>
        <w:t>. El 30 de abril de 2015 mediante el Dictamen 50-2015-1-FSPN-MP-PN, la Primera Fiscalía Superior Penal Nacional solicitó a la Sala Penal Nacional la ampliación de la instrucción por un plazo de sesen</w:t>
      </w:r>
      <w:r w:rsidR="004C4DA1" w:rsidRPr="00C20E4F">
        <w:rPr>
          <w:rFonts w:cs="Arial"/>
          <w:color w:val="222222"/>
          <w:szCs w:val="20"/>
          <w:shd w:val="clear" w:color="auto" w:fill="FFFFFF"/>
          <w:lang w:val="es-CR"/>
        </w:rPr>
        <w:t>ta días a fin de que se ejecutaran</w:t>
      </w:r>
      <w:r w:rsidRPr="00C20E4F">
        <w:rPr>
          <w:rFonts w:cs="Arial"/>
          <w:color w:val="222222"/>
          <w:szCs w:val="20"/>
          <w:shd w:val="clear" w:color="auto" w:fill="FFFFFF"/>
          <w:lang w:val="es-CR"/>
        </w:rPr>
        <w:t xml:space="preserve"> algunas diligencias, entre </w:t>
      </w:r>
      <w:r w:rsidRPr="00C20E4F">
        <w:rPr>
          <w:rFonts w:cs="Arial"/>
          <w:color w:val="222222"/>
          <w:szCs w:val="20"/>
          <w:shd w:val="clear" w:color="auto" w:fill="FFFFFF"/>
          <w:lang w:val="es-CR"/>
        </w:rPr>
        <w:lastRenderedPageBreak/>
        <w:t>ellas, que se recibiera la declaración testimonial de Norma Juana Tenicela Tello, hermana de Cory Clo</w:t>
      </w:r>
      <w:r w:rsidR="006118E8" w:rsidRPr="00C20E4F">
        <w:rPr>
          <w:rFonts w:cs="Arial"/>
          <w:color w:val="222222"/>
          <w:szCs w:val="20"/>
          <w:shd w:val="clear" w:color="auto" w:fill="FFFFFF"/>
          <w:lang w:val="es-CR"/>
        </w:rPr>
        <w:t>dolia, y Amadea Tello</w:t>
      </w:r>
      <w:r w:rsidRPr="00C20E4F">
        <w:rPr>
          <w:rFonts w:cs="Arial"/>
          <w:color w:val="222222"/>
          <w:szCs w:val="20"/>
          <w:shd w:val="clear" w:color="auto" w:fill="FFFFFF"/>
          <w:lang w:val="es-CR"/>
        </w:rPr>
        <w:t>, madre de Cory Clodolia</w:t>
      </w:r>
      <w:r w:rsidR="005F3707" w:rsidRPr="00C20E4F">
        <w:rPr>
          <w:rFonts w:cs="Arial"/>
          <w:color w:val="222222"/>
          <w:szCs w:val="20"/>
          <w:shd w:val="clear" w:color="auto" w:fill="FFFFFF"/>
          <w:lang w:val="es-CR"/>
        </w:rPr>
        <w:t xml:space="preserve"> Tenicela Tello</w:t>
      </w:r>
      <w:r w:rsidRPr="00C20E4F">
        <w:rPr>
          <w:rStyle w:val="FootnoteReference"/>
          <w:color w:val="222222"/>
          <w:sz w:val="20"/>
          <w:szCs w:val="20"/>
          <w:shd w:val="clear" w:color="auto" w:fill="FFFFFF"/>
          <w:lang w:val="es-CR"/>
        </w:rPr>
        <w:footnoteReference w:id="118"/>
      </w:r>
      <w:r w:rsidR="00E15A95" w:rsidRPr="00C20E4F">
        <w:rPr>
          <w:rFonts w:cs="Arial"/>
          <w:color w:val="222222"/>
          <w:szCs w:val="20"/>
          <w:shd w:val="clear" w:color="auto" w:fill="FFFFFF"/>
          <w:lang w:val="es-CR"/>
        </w:rPr>
        <w:t>. El 26 de junio de 2015</w:t>
      </w:r>
      <w:r w:rsidRPr="00C20E4F">
        <w:rPr>
          <w:rFonts w:cs="Arial"/>
          <w:color w:val="222222"/>
          <w:szCs w:val="20"/>
          <w:shd w:val="clear" w:color="auto" w:fill="FFFFFF"/>
          <w:lang w:val="es-CR"/>
        </w:rPr>
        <w:t xml:space="preserve"> mediante Dictamen 16-2015-1-FPS-MP-FN, la Primera Fiscalía Penal Supranacional formalizó denuncia ampliatoria contra </w:t>
      </w:r>
      <w:r w:rsidR="004E00BC" w:rsidRPr="00C20E4F">
        <w:rPr>
          <w:szCs w:val="20"/>
          <w:lang w:val="es-CR"/>
        </w:rPr>
        <w:t>D</w:t>
      </w:r>
      <w:r w:rsidRPr="00C20E4F">
        <w:rPr>
          <w:szCs w:val="20"/>
          <w:lang w:val="es-CR"/>
        </w:rPr>
        <w:t xml:space="preserve">GC </w:t>
      </w:r>
      <w:r w:rsidRPr="00C20E4F">
        <w:rPr>
          <w:rFonts w:cs="Arial"/>
          <w:color w:val="222222"/>
          <w:szCs w:val="20"/>
          <w:shd w:val="clear" w:color="auto" w:fill="FFFFFF"/>
          <w:lang w:val="es-CR"/>
        </w:rPr>
        <w:t xml:space="preserve">y </w:t>
      </w:r>
      <w:r w:rsidR="004E00BC" w:rsidRPr="00C20E4F">
        <w:rPr>
          <w:szCs w:val="20"/>
          <w:lang w:val="es-CR"/>
        </w:rPr>
        <w:t>B</w:t>
      </w:r>
      <w:r w:rsidRPr="00C20E4F">
        <w:rPr>
          <w:szCs w:val="20"/>
          <w:lang w:val="es-CR"/>
        </w:rPr>
        <w:t xml:space="preserve">RE </w:t>
      </w:r>
      <w:r w:rsidRPr="00C20E4F">
        <w:rPr>
          <w:rFonts w:cs="Arial"/>
          <w:color w:val="222222"/>
          <w:szCs w:val="20"/>
          <w:shd w:val="clear" w:color="auto" w:fill="FFFFFF"/>
          <w:lang w:val="es-CR"/>
        </w:rPr>
        <w:t>por el delito contra la libertad personal en la modalidad de secuestro agravado y delito contra humanidad en la modalidad de desaparición forzada en agravio de Cory Clodolia Tenicela Tello</w:t>
      </w:r>
      <w:r w:rsidRPr="00C20E4F">
        <w:rPr>
          <w:rStyle w:val="FootnoteReference"/>
          <w:color w:val="222222"/>
          <w:sz w:val="20"/>
          <w:szCs w:val="20"/>
          <w:shd w:val="clear" w:color="auto" w:fill="FFFFFF"/>
          <w:lang w:val="es-CR"/>
        </w:rPr>
        <w:footnoteReference w:id="119"/>
      </w:r>
      <w:r w:rsidRPr="00C20E4F">
        <w:rPr>
          <w:rFonts w:cs="Arial"/>
          <w:color w:val="222222"/>
          <w:szCs w:val="20"/>
          <w:shd w:val="clear" w:color="auto" w:fill="FFFFFF"/>
          <w:lang w:val="es-CR"/>
        </w:rPr>
        <w:t>.</w:t>
      </w:r>
    </w:p>
    <w:p w:rsidR="00191347" w:rsidRPr="00C20E4F" w:rsidRDefault="00191347" w:rsidP="00191347">
      <w:pPr>
        <w:pStyle w:val="ListParagraph"/>
        <w:rPr>
          <w:b/>
          <w:sz w:val="16"/>
          <w:szCs w:val="16"/>
          <w:lang w:val="es-CR"/>
        </w:rPr>
      </w:pPr>
    </w:p>
    <w:p w:rsidR="00191347" w:rsidRPr="00C20E4F" w:rsidRDefault="00191347" w:rsidP="00C328C0">
      <w:pPr>
        <w:pStyle w:val="ListParagraph"/>
        <w:widowControl w:val="0"/>
        <w:numPr>
          <w:ilvl w:val="0"/>
          <w:numId w:val="1"/>
        </w:numPr>
        <w:tabs>
          <w:tab w:val="left" w:pos="0"/>
        </w:tabs>
        <w:adjustRightInd w:val="0"/>
        <w:ind w:left="0" w:firstLine="0"/>
        <w:rPr>
          <w:rFonts w:cs="Arial"/>
          <w:color w:val="222222"/>
          <w:szCs w:val="20"/>
          <w:shd w:val="clear" w:color="auto" w:fill="FFFFFF"/>
          <w:lang w:val="es-CR"/>
        </w:rPr>
      </w:pPr>
      <w:r w:rsidRPr="00C20E4F">
        <w:rPr>
          <w:rFonts w:cs="Arial"/>
          <w:color w:val="222222"/>
          <w:szCs w:val="20"/>
          <w:shd w:val="clear" w:color="auto" w:fill="FFFFFF"/>
          <w:lang w:val="es-CR"/>
        </w:rPr>
        <w:t xml:space="preserve">El 3 de julio de 2015 el Primer Juzgado Penal Nacional de Lima, en el marco del expediente No. 123-2010-0, resolvió ampliar el auto de procesamiento y abrir el proceso en contra de los señores </w:t>
      </w:r>
      <w:r w:rsidR="004E00BC" w:rsidRPr="00C20E4F">
        <w:rPr>
          <w:szCs w:val="20"/>
          <w:lang w:val="es-CR"/>
        </w:rPr>
        <w:t>D</w:t>
      </w:r>
      <w:r w:rsidRPr="00C20E4F">
        <w:rPr>
          <w:szCs w:val="20"/>
          <w:lang w:val="es-CR"/>
        </w:rPr>
        <w:t xml:space="preserve">GC </w:t>
      </w:r>
      <w:r w:rsidRPr="00C20E4F">
        <w:rPr>
          <w:rFonts w:cs="Arial"/>
          <w:color w:val="222222"/>
          <w:szCs w:val="20"/>
          <w:shd w:val="clear" w:color="auto" w:fill="FFFFFF"/>
          <w:lang w:val="es-CR"/>
        </w:rPr>
        <w:t xml:space="preserve">y </w:t>
      </w:r>
      <w:r w:rsidR="004E00BC" w:rsidRPr="00C20E4F">
        <w:rPr>
          <w:szCs w:val="20"/>
          <w:lang w:val="es-CR"/>
        </w:rPr>
        <w:t>B</w:t>
      </w:r>
      <w:r w:rsidRPr="00C20E4F">
        <w:rPr>
          <w:szCs w:val="20"/>
          <w:lang w:val="es-CR"/>
        </w:rPr>
        <w:t>RE</w:t>
      </w:r>
      <w:r w:rsidRPr="00C20E4F">
        <w:rPr>
          <w:rStyle w:val="FootnoteReference"/>
          <w:color w:val="222222"/>
          <w:sz w:val="20"/>
          <w:szCs w:val="20"/>
          <w:shd w:val="clear" w:color="auto" w:fill="FFFFFF"/>
          <w:lang w:val="es-CR"/>
        </w:rPr>
        <w:footnoteReference w:id="120"/>
      </w:r>
      <w:r w:rsidRPr="00C20E4F">
        <w:rPr>
          <w:szCs w:val="20"/>
          <w:lang w:val="es-CR"/>
        </w:rPr>
        <w:t xml:space="preserve">. </w:t>
      </w:r>
    </w:p>
    <w:p w:rsidR="009379C7" w:rsidRPr="00C20E4F" w:rsidRDefault="009379C7" w:rsidP="009379C7">
      <w:pPr>
        <w:pStyle w:val="ListParagraph"/>
        <w:autoSpaceDE w:val="0"/>
        <w:autoSpaceDN w:val="0"/>
        <w:adjustRightInd w:val="0"/>
        <w:spacing w:line="20" w:lineRule="atLeast"/>
        <w:ind w:left="0" w:right="-138"/>
        <w:rPr>
          <w:rFonts w:cs="Arial"/>
          <w:color w:val="222222"/>
          <w:szCs w:val="20"/>
          <w:shd w:val="clear" w:color="auto" w:fill="FFFFFF"/>
          <w:lang w:val="es-CR"/>
        </w:rPr>
      </w:pPr>
    </w:p>
    <w:p w:rsidR="00191347" w:rsidRPr="00C20E4F" w:rsidRDefault="00191347" w:rsidP="00C328C0">
      <w:pPr>
        <w:pStyle w:val="ListParagraph"/>
        <w:widowControl w:val="0"/>
        <w:numPr>
          <w:ilvl w:val="0"/>
          <w:numId w:val="1"/>
        </w:numPr>
        <w:tabs>
          <w:tab w:val="left" w:pos="0"/>
        </w:tabs>
        <w:adjustRightInd w:val="0"/>
        <w:ind w:left="0" w:firstLine="0"/>
        <w:rPr>
          <w:rFonts w:eastAsiaTheme="minorHAnsi" w:cs="Times New Roman"/>
          <w:szCs w:val="20"/>
          <w:lang w:val="es-ES"/>
        </w:rPr>
      </w:pPr>
      <w:r w:rsidRPr="00C20E4F">
        <w:rPr>
          <w:rFonts w:cs="Arial"/>
          <w:color w:val="222222"/>
          <w:szCs w:val="20"/>
          <w:shd w:val="clear" w:color="auto" w:fill="FFFFFF"/>
          <w:lang w:val="es-CR"/>
        </w:rPr>
        <w:t>El 21 de abril de 2016 por medio del Dictamen No. 37-2016-1-FSPN-MP-FN</w:t>
      </w:r>
      <w:r w:rsidR="00E15A95" w:rsidRPr="00C20E4F">
        <w:rPr>
          <w:rFonts w:cs="Arial"/>
          <w:color w:val="222222"/>
          <w:szCs w:val="20"/>
          <w:shd w:val="clear" w:color="auto" w:fill="FFFFFF"/>
          <w:lang w:val="es-CR"/>
        </w:rPr>
        <w:t>,</w:t>
      </w:r>
      <w:r w:rsidRPr="00C20E4F">
        <w:rPr>
          <w:rFonts w:cs="Arial"/>
          <w:color w:val="222222"/>
          <w:szCs w:val="20"/>
          <w:shd w:val="clear" w:color="auto" w:fill="FFFFFF"/>
          <w:lang w:val="es-CR"/>
        </w:rPr>
        <w:t xml:space="preserve"> la Primera Fiscalía Superior Penal Nacional solicitó a la Sala Penal Nacional ampliar el plazo de instrucción en el proceso penal recaído en el Expediente No. 255-2014-0, así como que el Fiscal Provincial y el Juez de la causa amplíen la imputación jurídica, con la finalidad de que se comprenda a </w:t>
      </w:r>
      <w:r w:rsidR="004E00BC" w:rsidRPr="00C20E4F">
        <w:rPr>
          <w:rFonts w:cs="Arial"/>
          <w:color w:val="222222"/>
          <w:szCs w:val="20"/>
          <w:shd w:val="clear" w:color="auto" w:fill="FFFFFF"/>
          <w:lang w:val="es-CR"/>
        </w:rPr>
        <w:t>L</w:t>
      </w:r>
      <w:r w:rsidR="005F3707" w:rsidRPr="00C20E4F">
        <w:rPr>
          <w:rFonts w:cs="Arial"/>
          <w:color w:val="222222"/>
          <w:szCs w:val="20"/>
          <w:shd w:val="clear" w:color="auto" w:fill="FFFFFF"/>
          <w:lang w:val="es-CR"/>
        </w:rPr>
        <w:t xml:space="preserve">DP </w:t>
      </w:r>
      <w:r w:rsidRPr="00C20E4F">
        <w:rPr>
          <w:rFonts w:cs="Arial"/>
          <w:color w:val="222222"/>
          <w:szCs w:val="20"/>
          <w:shd w:val="clear" w:color="auto" w:fill="FFFFFF"/>
          <w:lang w:val="es-CR"/>
        </w:rPr>
        <w:t xml:space="preserve">como autor mediato del delito contra la </w:t>
      </w:r>
      <w:r w:rsidRPr="00C20E4F">
        <w:rPr>
          <w:rFonts w:cs="Arial"/>
          <w:color w:val="222222"/>
          <w:szCs w:val="20"/>
          <w:shd w:val="clear" w:color="auto" w:fill="FFFFFF"/>
          <w:lang w:val="es-ES"/>
        </w:rPr>
        <w:t xml:space="preserve">humanidad en la modalidad de desaparición forzada en agravio de Cory Clodolia </w:t>
      </w:r>
      <w:r w:rsidR="005F3707" w:rsidRPr="00C20E4F">
        <w:rPr>
          <w:rFonts w:cs="Arial"/>
          <w:color w:val="222222"/>
          <w:szCs w:val="20"/>
          <w:shd w:val="clear" w:color="auto" w:fill="FFFFFF"/>
          <w:lang w:val="es-ES"/>
        </w:rPr>
        <w:t xml:space="preserve">Tenicela Tello </w:t>
      </w:r>
      <w:r w:rsidRPr="00C20E4F">
        <w:rPr>
          <w:rFonts w:cs="Arial"/>
          <w:color w:val="222222"/>
          <w:szCs w:val="20"/>
          <w:shd w:val="clear" w:color="auto" w:fill="FFFFFF"/>
          <w:lang w:val="es-ES"/>
        </w:rPr>
        <w:t xml:space="preserve">y otras de las 32 personas. </w:t>
      </w:r>
      <w:r w:rsidRPr="00C20E4F">
        <w:rPr>
          <w:rFonts w:eastAsiaTheme="minorHAnsi" w:cs="Times New Roman"/>
          <w:szCs w:val="20"/>
          <w:lang w:val="es-ES"/>
        </w:rPr>
        <w:t>Finalmente, la Fiscalía Superior solicitó se proceda con la acumulación de los Expedientes No. 123-2010-0 y No. 255-2014-0</w:t>
      </w:r>
      <w:r w:rsidRPr="00C20E4F">
        <w:rPr>
          <w:rStyle w:val="FootnoteReference"/>
          <w:color w:val="222222"/>
          <w:sz w:val="20"/>
          <w:szCs w:val="20"/>
          <w:shd w:val="clear" w:color="auto" w:fill="FFFFFF"/>
          <w:lang w:val="es-CR"/>
        </w:rPr>
        <w:footnoteReference w:id="121"/>
      </w:r>
      <w:r w:rsidRPr="00C20E4F">
        <w:rPr>
          <w:rFonts w:eastAsiaTheme="minorHAnsi" w:cs="Times New Roman"/>
          <w:szCs w:val="20"/>
          <w:lang w:val="es-ES"/>
        </w:rPr>
        <w:t>. En la m</w:t>
      </w:r>
      <w:r w:rsidR="004C4DA1" w:rsidRPr="00C20E4F">
        <w:rPr>
          <w:rFonts w:eastAsiaTheme="minorHAnsi" w:cs="Times New Roman"/>
          <w:szCs w:val="20"/>
          <w:lang w:val="es-ES"/>
        </w:rPr>
        <w:t>isma fecha, mediante Dictamen No</w:t>
      </w:r>
      <w:r w:rsidRPr="00C20E4F">
        <w:rPr>
          <w:rFonts w:eastAsiaTheme="minorHAnsi" w:cs="Times New Roman"/>
          <w:szCs w:val="20"/>
          <w:lang w:val="es-ES"/>
        </w:rPr>
        <w:t>. 38-2016-1-FSPN-MP-FN</w:t>
      </w:r>
      <w:r w:rsidR="00F86D45" w:rsidRPr="00C20E4F">
        <w:rPr>
          <w:rFonts w:eastAsiaTheme="minorHAnsi" w:cs="Times New Roman"/>
          <w:szCs w:val="20"/>
          <w:lang w:val="es-ES"/>
        </w:rPr>
        <w:t>,</w:t>
      </w:r>
      <w:r w:rsidRPr="00C20E4F">
        <w:rPr>
          <w:rFonts w:eastAsiaTheme="minorHAnsi" w:cs="Times New Roman"/>
          <w:szCs w:val="20"/>
          <w:lang w:val="es-ES"/>
        </w:rPr>
        <w:t xml:space="preserve"> l</w:t>
      </w:r>
      <w:r w:rsidRPr="00C20E4F">
        <w:rPr>
          <w:rFonts w:cs="Arial"/>
          <w:color w:val="222222"/>
          <w:szCs w:val="20"/>
          <w:shd w:val="clear" w:color="auto" w:fill="FFFFFF"/>
          <w:lang w:val="es-CR"/>
        </w:rPr>
        <w:t>a Primera Fiscalía Superior Penal Nacional solicitó a la Sala Penal Nacional ampliar el plazo de instrucción en el proceso penal recaído en el expediente No. 123-2010-0 a efectos de realizar diligencias, entre las que se encontraba la recepción de la declaración testimonial de Norma Juana Tenicela</w:t>
      </w:r>
      <w:r w:rsidR="00E15A95" w:rsidRPr="00C20E4F">
        <w:rPr>
          <w:rFonts w:cs="Arial"/>
          <w:color w:val="222222"/>
          <w:szCs w:val="20"/>
          <w:shd w:val="clear" w:color="auto" w:fill="FFFFFF"/>
          <w:lang w:val="es-CR"/>
        </w:rPr>
        <w:t xml:space="preserve"> Tello y Amadea </w:t>
      </w:r>
      <w:r w:rsidR="00481DCA" w:rsidRPr="00C20E4F">
        <w:rPr>
          <w:rFonts w:cs="Arial"/>
          <w:color w:val="222222"/>
          <w:szCs w:val="20"/>
          <w:shd w:val="clear" w:color="auto" w:fill="FFFFFF"/>
          <w:lang w:val="es-CR"/>
        </w:rPr>
        <w:t>Tello</w:t>
      </w:r>
      <w:r w:rsidRPr="00C20E4F">
        <w:rPr>
          <w:rFonts w:cs="Arial"/>
          <w:color w:val="222222"/>
          <w:szCs w:val="20"/>
          <w:shd w:val="clear" w:color="auto" w:fill="FFFFFF"/>
          <w:lang w:val="es-CR"/>
        </w:rPr>
        <w:t xml:space="preserve">, así como solicitar la acumulación de los expedientes No. 123-2010-0 y </w:t>
      </w:r>
      <w:r w:rsidRPr="00C20E4F">
        <w:rPr>
          <w:rFonts w:eastAsiaTheme="minorHAnsi" w:cs="Times New Roman"/>
          <w:szCs w:val="20"/>
          <w:lang w:val="es-ES"/>
        </w:rPr>
        <w:t>No. 255-2014-0</w:t>
      </w:r>
      <w:r w:rsidRPr="00C20E4F">
        <w:rPr>
          <w:rStyle w:val="FootnoteReference"/>
          <w:rFonts w:eastAsiaTheme="minorHAnsi"/>
          <w:sz w:val="20"/>
          <w:szCs w:val="20"/>
          <w:lang w:val="es-ES"/>
        </w:rPr>
        <w:footnoteReference w:id="122"/>
      </w:r>
      <w:r w:rsidRPr="00C20E4F">
        <w:rPr>
          <w:rFonts w:eastAsiaTheme="minorHAnsi" w:cs="Times New Roman"/>
          <w:szCs w:val="20"/>
          <w:lang w:val="es-ES"/>
        </w:rPr>
        <w:t>.</w:t>
      </w:r>
    </w:p>
    <w:p w:rsidR="00191347" w:rsidRPr="00C20E4F" w:rsidRDefault="00191347" w:rsidP="00563483">
      <w:pPr>
        <w:rPr>
          <w:rFonts w:eastAsiaTheme="minorHAnsi" w:cs="Times New Roman"/>
          <w:szCs w:val="20"/>
          <w:lang w:val="es-ES"/>
        </w:rPr>
      </w:pPr>
    </w:p>
    <w:p w:rsidR="00563483" w:rsidRDefault="00191347" w:rsidP="00C328C0">
      <w:pPr>
        <w:pStyle w:val="ListParagraph"/>
        <w:widowControl w:val="0"/>
        <w:numPr>
          <w:ilvl w:val="0"/>
          <w:numId w:val="1"/>
        </w:numPr>
        <w:tabs>
          <w:tab w:val="left" w:pos="0"/>
        </w:tabs>
        <w:adjustRightInd w:val="0"/>
        <w:ind w:left="0" w:firstLine="0"/>
        <w:rPr>
          <w:rFonts w:cs="Arial"/>
          <w:color w:val="222222"/>
          <w:szCs w:val="20"/>
          <w:shd w:val="clear" w:color="auto" w:fill="FFFFFF"/>
          <w:lang w:val="es-CR"/>
        </w:rPr>
      </w:pPr>
      <w:r w:rsidRPr="00C20E4F">
        <w:rPr>
          <w:rFonts w:eastAsiaTheme="minorHAnsi" w:cs="Times New Roman"/>
          <w:szCs w:val="20"/>
          <w:lang w:val="es-ES"/>
        </w:rPr>
        <w:t>El 4 de julio de 2016 mediante Dictamen No. 03-2016-1-FPS</w:t>
      </w:r>
      <w:r w:rsidR="00F84A23" w:rsidRPr="00C20E4F">
        <w:rPr>
          <w:rFonts w:eastAsiaTheme="minorHAnsi" w:cs="Times New Roman"/>
          <w:szCs w:val="20"/>
          <w:lang w:val="es-ES"/>
        </w:rPr>
        <w:t>,</w:t>
      </w:r>
      <w:r w:rsidRPr="00C20E4F">
        <w:rPr>
          <w:rFonts w:eastAsiaTheme="minorHAnsi" w:cs="Times New Roman"/>
          <w:szCs w:val="20"/>
          <w:lang w:val="es-ES"/>
        </w:rPr>
        <w:t xml:space="preserve"> la Primera Fiscalía Penal Supraprovincial formalizó denuncia penal ampliatoria contra </w:t>
      </w:r>
      <w:r w:rsidR="004E00BC" w:rsidRPr="00C20E4F">
        <w:rPr>
          <w:rFonts w:eastAsiaTheme="minorHAnsi" w:cs="Times New Roman"/>
          <w:szCs w:val="20"/>
          <w:lang w:val="es-ES"/>
        </w:rPr>
        <w:t>L</w:t>
      </w:r>
      <w:r w:rsidR="00D169C8" w:rsidRPr="00C20E4F">
        <w:rPr>
          <w:rFonts w:eastAsiaTheme="minorHAnsi" w:cs="Times New Roman"/>
          <w:szCs w:val="20"/>
          <w:lang w:val="es-ES"/>
        </w:rPr>
        <w:t xml:space="preserve">DP </w:t>
      </w:r>
      <w:r w:rsidRPr="00C20E4F">
        <w:rPr>
          <w:rFonts w:eastAsiaTheme="minorHAnsi" w:cs="Times New Roman"/>
          <w:szCs w:val="20"/>
          <w:lang w:val="es-ES"/>
        </w:rPr>
        <w:t>como</w:t>
      </w:r>
      <w:r>
        <w:rPr>
          <w:rFonts w:eastAsiaTheme="minorHAnsi" w:cs="Times New Roman"/>
          <w:szCs w:val="20"/>
          <w:lang w:val="es-ES"/>
        </w:rPr>
        <w:t xml:space="preserve"> autor mediato del delito contra la humanidad en la modalidad de desaparición forzada en agravio de Cory Clodolia Tenicela Tello y otras de las 32 víctimas</w:t>
      </w:r>
      <w:r w:rsidRPr="005F3707">
        <w:rPr>
          <w:rStyle w:val="FootnoteReference"/>
          <w:rFonts w:eastAsiaTheme="minorHAnsi"/>
          <w:sz w:val="20"/>
          <w:szCs w:val="20"/>
          <w:lang w:val="es-ES"/>
        </w:rPr>
        <w:footnoteReference w:id="123"/>
      </w:r>
      <w:r w:rsidR="00C741C7">
        <w:rPr>
          <w:rFonts w:eastAsiaTheme="minorHAnsi" w:cs="Times New Roman"/>
          <w:szCs w:val="20"/>
          <w:lang w:val="es-ES"/>
        </w:rPr>
        <w:t>.</w:t>
      </w:r>
      <w:r w:rsidR="00563483">
        <w:rPr>
          <w:rFonts w:cs="Arial"/>
          <w:color w:val="222222"/>
          <w:szCs w:val="20"/>
          <w:shd w:val="clear" w:color="auto" w:fill="FFFFFF"/>
          <w:lang w:val="es-CR"/>
        </w:rPr>
        <w:t xml:space="preserve"> </w:t>
      </w:r>
      <w:r w:rsidR="00563483" w:rsidRPr="00563483">
        <w:rPr>
          <w:rFonts w:cs="Arial"/>
          <w:color w:val="222222"/>
          <w:szCs w:val="20"/>
          <w:shd w:val="clear" w:color="auto" w:fill="FFFFFF"/>
          <w:lang w:val="es-CR"/>
        </w:rPr>
        <w:t>El 14 de noviembre de 2017 la Primera Fiscalía Superior Penal Nacional informó que el proceso se encuentra en estudio para el pronunciamiento respectivo</w:t>
      </w:r>
      <w:r w:rsidR="00C741C7" w:rsidRPr="00C741C7">
        <w:rPr>
          <w:rStyle w:val="FootnoteReference"/>
          <w:color w:val="222222"/>
          <w:sz w:val="20"/>
          <w:szCs w:val="20"/>
          <w:shd w:val="clear" w:color="auto" w:fill="FFFFFF"/>
          <w:lang w:val="es-CR"/>
        </w:rPr>
        <w:footnoteReference w:id="124"/>
      </w:r>
      <w:r w:rsidR="00563483" w:rsidRPr="00563483">
        <w:rPr>
          <w:rFonts w:cs="Arial"/>
          <w:color w:val="222222"/>
          <w:szCs w:val="20"/>
          <w:shd w:val="clear" w:color="auto" w:fill="FFFFFF"/>
          <w:lang w:val="es-CR"/>
        </w:rPr>
        <w:t xml:space="preserve">. </w:t>
      </w:r>
    </w:p>
    <w:p w:rsidR="0051365A" w:rsidRPr="00563483" w:rsidRDefault="0051365A" w:rsidP="00551D1E">
      <w:pPr>
        <w:pStyle w:val="ListParagraph"/>
        <w:autoSpaceDE w:val="0"/>
        <w:autoSpaceDN w:val="0"/>
        <w:adjustRightInd w:val="0"/>
        <w:spacing w:line="20" w:lineRule="atLeast"/>
        <w:ind w:left="0" w:right="-138"/>
        <w:rPr>
          <w:rFonts w:cs="Arial"/>
          <w:color w:val="222222"/>
          <w:szCs w:val="20"/>
          <w:shd w:val="clear" w:color="auto" w:fill="FFFFFF"/>
          <w:lang w:val="es-CR"/>
        </w:rPr>
      </w:pPr>
    </w:p>
    <w:p w:rsidR="00191347" w:rsidRPr="00563483" w:rsidRDefault="00563483" w:rsidP="00C328C0">
      <w:pPr>
        <w:pStyle w:val="ListParagraph"/>
        <w:widowControl w:val="0"/>
        <w:numPr>
          <w:ilvl w:val="0"/>
          <w:numId w:val="1"/>
        </w:numPr>
        <w:tabs>
          <w:tab w:val="left" w:pos="0"/>
        </w:tabs>
        <w:adjustRightInd w:val="0"/>
        <w:ind w:left="0" w:firstLine="0"/>
        <w:rPr>
          <w:strike/>
          <w:szCs w:val="20"/>
          <w:lang w:val="es-CR"/>
        </w:rPr>
      </w:pPr>
      <w:r>
        <w:rPr>
          <w:rFonts w:cs="Arial"/>
          <w:color w:val="222222"/>
          <w:szCs w:val="20"/>
          <w:shd w:val="clear" w:color="auto" w:fill="FFFFFF"/>
          <w:lang w:val="es-CR"/>
        </w:rPr>
        <w:t>Por el otro lado, e</w:t>
      </w:r>
      <w:r w:rsidR="00191347" w:rsidRPr="00781E25">
        <w:rPr>
          <w:rFonts w:cs="Arial"/>
          <w:color w:val="222222"/>
          <w:szCs w:val="20"/>
          <w:shd w:val="clear" w:color="auto" w:fill="FFFFFF"/>
          <w:lang w:val="es-CR"/>
        </w:rPr>
        <w:t>l 10 de octubre de 2016</w:t>
      </w:r>
      <w:r>
        <w:rPr>
          <w:rFonts w:cs="Arial"/>
          <w:color w:val="222222"/>
          <w:szCs w:val="20"/>
          <w:shd w:val="clear" w:color="auto" w:fill="FFFFFF"/>
          <w:lang w:val="es-CR"/>
        </w:rPr>
        <w:t xml:space="preserve"> </w:t>
      </w:r>
      <w:r w:rsidR="00191347">
        <w:rPr>
          <w:szCs w:val="16"/>
          <w:lang w:val="es-CR"/>
        </w:rPr>
        <w:t xml:space="preserve">la Coordinación de la Fiscalía Superior Penal Nacional y </w:t>
      </w:r>
      <w:r w:rsidR="00191347" w:rsidRPr="00C328C0">
        <w:rPr>
          <w:rFonts w:cs="Arial"/>
          <w:color w:val="222222"/>
          <w:szCs w:val="20"/>
          <w:shd w:val="clear" w:color="auto" w:fill="FFFFFF"/>
          <w:lang w:val="es-CR"/>
        </w:rPr>
        <w:t>Fiscalías</w:t>
      </w:r>
      <w:r w:rsidR="00191347">
        <w:rPr>
          <w:szCs w:val="16"/>
          <w:lang w:val="es-CR"/>
        </w:rPr>
        <w:t xml:space="preserve"> Penales Supranacionales del Ministerio Público dispuso la apertura de </w:t>
      </w:r>
      <w:r w:rsidR="009E7971">
        <w:rPr>
          <w:szCs w:val="16"/>
          <w:lang w:val="es-CR"/>
        </w:rPr>
        <w:t xml:space="preserve">una </w:t>
      </w:r>
      <w:r w:rsidR="00191347">
        <w:rPr>
          <w:szCs w:val="16"/>
          <w:lang w:val="es-CR"/>
        </w:rPr>
        <w:t xml:space="preserve">investigación por el delito contra la humanidad de desaparición forzada en agravio de Cory Clodolia </w:t>
      </w:r>
      <w:r w:rsidR="00D7646B">
        <w:rPr>
          <w:szCs w:val="16"/>
          <w:lang w:val="es-CR"/>
        </w:rPr>
        <w:t>Tenicela Tello</w:t>
      </w:r>
      <w:r w:rsidR="00191347" w:rsidRPr="007656AB">
        <w:rPr>
          <w:rStyle w:val="FootnoteReference"/>
          <w:sz w:val="20"/>
          <w:szCs w:val="20"/>
          <w:lang w:val="es-CR"/>
        </w:rPr>
        <w:footnoteReference w:id="125"/>
      </w:r>
      <w:r w:rsidRPr="007656AB">
        <w:rPr>
          <w:szCs w:val="20"/>
          <w:lang w:val="es-CR"/>
        </w:rPr>
        <w:t xml:space="preserve">, </w:t>
      </w:r>
      <w:r w:rsidR="00716687" w:rsidRPr="007656AB">
        <w:rPr>
          <w:szCs w:val="20"/>
          <w:lang w:val="es-CR"/>
        </w:rPr>
        <w:t xml:space="preserve">no obstante debido a que ya se encontraba abierta </w:t>
      </w:r>
      <w:r w:rsidR="00D776F7">
        <w:rPr>
          <w:szCs w:val="20"/>
          <w:lang w:val="es-CR"/>
        </w:rPr>
        <w:t>una</w:t>
      </w:r>
      <w:r w:rsidR="00D776F7" w:rsidRPr="007656AB">
        <w:rPr>
          <w:szCs w:val="20"/>
          <w:lang w:val="es-CR"/>
        </w:rPr>
        <w:t xml:space="preserve"> </w:t>
      </w:r>
      <w:r w:rsidR="00973B1C" w:rsidRPr="007656AB">
        <w:rPr>
          <w:szCs w:val="20"/>
          <w:lang w:val="es-CR"/>
        </w:rPr>
        <w:t xml:space="preserve">primera </w:t>
      </w:r>
      <w:r w:rsidR="00716687" w:rsidRPr="007656AB">
        <w:rPr>
          <w:szCs w:val="20"/>
          <w:lang w:val="es-CR"/>
        </w:rPr>
        <w:t>investi</w:t>
      </w:r>
      <w:r w:rsidR="009E7971" w:rsidRPr="007656AB">
        <w:rPr>
          <w:szCs w:val="20"/>
          <w:lang w:val="es-CR"/>
        </w:rPr>
        <w:t>gación</w:t>
      </w:r>
      <w:r w:rsidR="00D776F7">
        <w:rPr>
          <w:szCs w:val="20"/>
          <w:lang w:val="es-CR"/>
        </w:rPr>
        <w:t xml:space="preserve"> </w:t>
      </w:r>
      <w:r w:rsidR="00D776F7" w:rsidRPr="007656AB">
        <w:rPr>
          <w:szCs w:val="16"/>
          <w:lang w:val="es-CR"/>
        </w:rPr>
        <w:t>(</w:t>
      </w:r>
      <w:r w:rsidR="00D776F7" w:rsidRPr="007656AB">
        <w:rPr>
          <w:i/>
          <w:szCs w:val="16"/>
          <w:lang w:val="es-CR"/>
        </w:rPr>
        <w:t>supra</w:t>
      </w:r>
      <w:r w:rsidR="00D776F7" w:rsidRPr="007656AB">
        <w:rPr>
          <w:szCs w:val="16"/>
          <w:lang w:val="es-CR"/>
        </w:rPr>
        <w:t xml:space="preserve"> párr. 86)</w:t>
      </w:r>
      <w:r w:rsidR="00716687" w:rsidRPr="007656AB">
        <w:rPr>
          <w:szCs w:val="20"/>
          <w:lang w:val="es-CR"/>
        </w:rPr>
        <w:t xml:space="preserve">, </w:t>
      </w:r>
      <w:r w:rsidRPr="007656AB">
        <w:rPr>
          <w:szCs w:val="20"/>
          <w:lang w:val="es-CR"/>
        </w:rPr>
        <w:t>no</w:t>
      </w:r>
      <w:r w:rsidR="00D776F7">
        <w:rPr>
          <w:szCs w:val="20"/>
          <w:lang w:val="es-CR"/>
        </w:rPr>
        <w:t xml:space="preserve"> fue abierta la segunda de conformidad</w:t>
      </w:r>
      <w:r w:rsidRPr="007656AB">
        <w:rPr>
          <w:szCs w:val="20"/>
          <w:lang w:val="es-CR"/>
        </w:rPr>
        <w:t xml:space="preserve"> </w:t>
      </w:r>
      <w:r w:rsidR="00D776F7">
        <w:rPr>
          <w:rFonts w:cs="Arial"/>
          <w:color w:val="222222"/>
          <w:shd w:val="clear" w:color="auto" w:fill="FFFFFF"/>
          <w:lang w:val="es-CR"/>
        </w:rPr>
        <w:t>con</w:t>
      </w:r>
      <w:r w:rsidR="00D776F7" w:rsidRPr="00E9461F">
        <w:rPr>
          <w:rFonts w:cs="Arial"/>
          <w:color w:val="222222"/>
          <w:shd w:val="clear" w:color="auto" w:fill="FFFFFF"/>
          <w:lang w:val="es-CR"/>
        </w:rPr>
        <w:t xml:space="preserve"> la Resolución de la Segunda Fiscalía Penal Supraprovincial de 3 de abril de 2017</w:t>
      </w:r>
      <w:r w:rsidR="00D776F7" w:rsidRPr="00E9461F">
        <w:rPr>
          <w:rStyle w:val="FootnoteReference"/>
          <w:color w:val="222222"/>
          <w:sz w:val="20"/>
          <w:szCs w:val="20"/>
          <w:shd w:val="clear" w:color="auto" w:fill="FFFFFF"/>
          <w:lang w:val="es-CR"/>
        </w:rPr>
        <w:footnoteReference w:id="126"/>
      </w:r>
      <w:r w:rsidR="00D776F7" w:rsidRPr="00E9461F">
        <w:rPr>
          <w:rFonts w:cs="Arial"/>
          <w:color w:val="222222"/>
          <w:shd w:val="clear" w:color="auto" w:fill="FFFFFF"/>
          <w:lang w:val="es-CR"/>
        </w:rPr>
        <w:t>.</w:t>
      </w:r>
      <w:r w:rsidR="00D776F7">
        <w:rPr>
          <w:rFonts w:cs="Arial"/>
          <w:color w:val="222222"/>
          <w:shd w:val="clear" w:color="auto" w:fill="FFFFFF"/>
          <w:lang w:val="es-CR"/>
        </w:rPr>
        <w:t xml:space="preserve"> </w:t>
      </w:r>
    </w:p>
    <w:p w:rsidR="00191347" w:rsidRPr="00B4044C" w:rsidRDefault="00191347" w:rsidP="00191347"/>
    <w:p w:rsidR="00191347" w:rsidRDefault="009718A2" w:rsidP="00191347">
      <w:pPr>
        <w:pStyle w:val="Heading3"/>
        <w:spacing w:before="0"/>
        <w:ind w:firstLine="709"/>
        <w:rPr>
          <w:lang w:val="es-ES_tradnl"/>
        </w:rPr>
      </w:pPr>
      <w:bookmarkStart w:id="135" w:name="_Toc399131151"/>
      <w:bookmarkStart w:id="136" w:name="_Toc399131795"/>
      <w:bookmarkStart w:id="137" w:name="_Toc527993533"/>
      <w:r>
        <w:rPr>
          <w:lang w:val="es-ES_tradnl"/>
        </w:rPr>
        <w:lastRenderedPageBreak/>
        <w:t>B.4</w:t>
      </w:r>
      <w:r w:rsidR="00191347" w:rsidRPr="009C3AAA">
        <w:rPr>
          <w:lang w:val="es-ES_tradnl"/>
        </w:rPr>
        <w:t>. Néstor Rojas Medina</w:t>
      </w:r>
      <w:bookmarkEnd w:id="135"/>
      <w:bookmarkEnd w:id="136"/>
      <w:bookmarkEnd w:id="137"/>
    </w:p>
    <w:p w:rsidR="00191347" w:rsidRPr="001D36EE" w:rsidRDefault="00191347" w:rsidP="00191347">
      <w:pPr>
        <w:pStyle w:val="ListParagraph"/>
        <w:autoSpaceDE w:val="0"/>
        <w:autoSpaceDN w:val="0"/>
        <w:adjustRightInd w:val="0"/>
        <w:spacing w:line="20" w:lineRule="atLeast"/>
        <w:ind w:left="0" w:right="-138"/>
        <w:rPr>
          <w:rFonts w:cs="Arial"/>
          <w:i/>
          <w:color w:val="222222"/>
          <w:shd w:val="clear" w:color="auto" w:fill="FFFFFF"/>
          <w:lang w:val="es-CR"/>
        </w:rPr>
      </w:pPr>
    </w:p>
    <w:p w:rsidR="00191347" w:rsidRPr="009F01BC" w:rsidRDefault="009718A2" w:rsidP="00191347">
      <w:pPr>
        <w:pStyle w:val="ListParagraph"/>
        <w:autoSpaceDE w:val="0"/>
        <w:autoSpaceDN w:val="0"/>
        <w:adjustRightInd w:val="0"/>
        <w:spacing w:line="20" w:lineRule="atLeast"/>
        <w:ind w:left="0" w:right="-138" w:firstLine="709"/>
        <w:rPr>
          <w:rFonts w:cs="Arial"/>
          <w:i/>
          <w:color w:val="222222"/>
          <w:shd w:val="clear" w:color="auto" w:fill="FFFFFF"/>
          <w:lang w:val="es-CR"/>
        </w:rPr>
      </w:pPr>
      <w:r>
        <w:rPr>
          <w:rFonts w:cs="Arial"/>
          <w:i/>
          <w:color w:val="222222"/>
          <w:shd w:val="clear" w:color="auto" w:fill="FFFFFF"/>
          <w:lang w:val="es-CR"/>
        </w:rPr>
        <w:t>B.4</w:t>
      </w:r>
      <w:r w:rsidR="00191347" w:rsidRPr="009F01BC">
        <w:rPr>
          <w:rFonts w:cs="Arial"/>
          <w:i/>
          <w:color w:val="222222"/>
          <w:shd w:val="clear" w:color="auto" w:fill="FFFFFF"/>
          <w:lang w:val="es-CR"/>
        </w:rPr>
        <w:t>.1</w:t>
      </w:r>
      <w:r w:rsidR="003749D0">
        <w:rPr>
          <w:rFonts w:cs="Arial"/>
          <w:i/>
          <w:color w:val="222222"/>
          <w:shd w:val="clear" w:color="auto" w:fill="FFFFFF"/>
          <w:lang w:val="es-CR"/>
        </w:rPr>
        <w:t>.</w:t>
      </w:r>
      <w:r w:rsidR="00191347" w:rsidRPr="009F01BC">
        <w:rPr>
          <w:rFonts w:cs="Arial"/>
          <w:i/>
          <w:color w:val="222222"/>
          <w:shd w:val="clear" w:color="auto" w:fill="FFFFFF"/>
          <w:lang w:val="es-CR"/>
        </w:rPr>
        <w:t xml:space="preserve"> Circunstancias personales y familiares de Néstor Rojas Medina</w:t>
      </w:r>
    </w:p>
    <w:p w:rsidR="00191347" w:rsidRPr="009F01BC" w:rsidRDefault="00191347" w:rsidP="00191347">
      <w:pPr>
        <w:pStyle w:val="ListParagraph"/>
        <w:autoSpaceDE w:val="0"/>
        <w:autoSpaceDN w:val="0"/>
        <w:adjustRightInd w:val="0"/>
        <w:spacing w:line="20" w:lineRule="atLeast"/>
        <w:ind w:right="-138"/>
        <w:rPr>
          <w:rFonts w:cs="Arial"/>
          <w:i/>
          <w:color w:val="222222"/>
          <w:shd w:val="clear" w:color="auto" w:fill="FFFFFF"/>
          <w:lang w:val="es-CR"/>
        </w:rPr>
      </w:pPr>
    </w:p>
    <w:p w:rsidR="00191347" w:rsidRPr="009F01BC" w:rsidRDefault="00191347" w:rsidP="00C328C0">
      <w:pPr>
        <w:pStyle w:val="ListParagraph"/>
        <w:widowControl w:val="0"/>
        <w:numPr>
          <w:ilvl w:val="0"/>
          <w:numId w:val="1"/>
        </w:numPr>
        <w:tabs>
          <w:tab w:val="left" w:pos="0"/>
        </w:tabs>
        <w:adjustRightInd w:val="0"/>
        <w:ind w:left="0" w:firstLine="0"/>
        <w:rPr>
          <w:rFonts w:cs="Arial"/>
          <w:color w:val="222222"/>
          <w:shd w:val="clear" w:color="auto" w:fill="FFFFFF"/>
          <w:lang w:val="es-CR"/>
        </w:rPr>
      </w:pPr>
      <w:r w:rsidRPr="009F01BC">
        <w:rPr>
          <w:szCs w:val="20"/>
          <w:lang w:val="es-CR"/>
        </w:rPr>
        <w:t xml:space="preserve">Néstor Rojas Medina nació el 30 de julio de 1970 y </w:t>
      </w:r>
      <w:r w:rsidR="001F43EF">
        <w:rPr>
          <w:szCs w:val="20"/>
          <w:lang w:val="es-CR"/>
        </w:rPr>
        <w:t>era</w:t>
      </w:r>
      <w:r w:rsidRPr="009F01BC">
        <w:rPr>
          <w:szCs w:val="20"/>
          <w:lang w:val="es-CR"/>
        </w:rPr>
        <w:t xml:space="preserve"> hijo de Marcelina Medina Negrón y Leopoldo Rojas Manuyama</w:t>
      </w:r>
      <w:r w:rsidRPr="00D7646B">
        <w:rPr>
          <w:rStyle w:val="FootnoteReference"/>
          <w:sz w:val="20"/>
          <w:szCs w:val="20"/>
          <w:lang w:val="es-CR"/>
        </w:rPr>
        <w:footnoteReference w:id="127"/>
      </w:r>
      <w:r w:rsidRPr="009F01BC">
        <w:rPr>
          <w:szCs w:val="20"/>
          <w:lang w:val="es-CR"/>
        </w:rPr>
        <w:t xml:space="preserve">. </w:t>
      </w:r>
      <w:r w:rsidR="004C4DA1" w:rsidRPr="009F01BC">
        <w:rPr>
          <w:szCs w:val="20"/>
          <w:lang w:val="es-CR"/>
        </w:rPr>
        <w:t>Era estudiante de locución radial que se desempeñaba como practicante en Radiodifusión RBC en Lima</w:t>
      </w:r>
      <w:r w:rsidR="004C4DA1">
        <w:rPr>
          <w:szCs w:val="20"/>
          <w:lang w:val="es-CR"/>
        </w:rPr>
        <w:t>.</w:t>
      </w:r>
      <w:r w:rsidR="004C4DA1" w:rsidRPr="009F01BC">
        <w:rPr>
          <w:szCs w:val="20"/>
          <w:lang w:val="es-CR"/>
        </w:rPr>
        <w:t xml:space="preserve"> </w:t>
      </w:r>
      <w:r w:rsidRPr="009F01BC">
        <w:rPr>
          <w:szCs w:val="20"/>
          <w:lang w:val="es-CR"/>
        </w:rPr>
        <w:t xml:space="preserve">Según lo indicado por los representantes, fue criado por su madre y por Abelardo Collantes Quiroz, pareja de su </w:t>
      </w:r>
      <w:r w:rsidRPr="00D7646B">
        <w:rPr>
          <w:szCs w:val="20"/>
          <w:lang w:val="es-CR"/>
        </w:rPr>
        <w:t>madre</w:t>
      </w:r>
      <w:r w:rsidRPr="00D7646B">
        <w:rPr>
          <w:rStyle w:val="FootnoteReference"/>
          <w:sz w:val="20"/>
          <w:szCs w:val="20"/>
          <w:lang w:val="es-CR"/>
        </w:rPr>
        <w:footnoteReference w:id="128"/>
      </w:r>
      <w:r w:rsidRPr="00D7646B">
        <w:rPr>
          <w:szCs w:val="20"/>
          <w:lang w:val="es-CR"/>
        </w:rPr>
        <w:t>. Abelardo Collantes y Marcelina Medina Negrón tuvieron una hija, Tania Collantes Medina</w:t>
      </w:r>
      <w:r w:rsidRPr="00D7646B">
        <w:rPr>
          <w:rStyle w:val="FootnoteReference"/>
          <w:sz w:val="20"/>
          <w:szCs w:val="20"/>
          <w:lang w:val="es-CR"/>
        </w:rPr>
        <w:footnoteReference w:id="129"/>
      </w:r>
      <w:r w:rsidRPr="00D7646B">
        <w:rPr>
          <w:szCs w:val="20"/>
          <w:lang w:val="es-CR"/>
        </w:rPr>
        <w:t>.</w:t>
      </w:r>
    </w:p>
    <w:p w:rsidR="00DF059C" w:rsidRPr="00D57E1C" w:rsidRDefault="00DF059C" w:rsidP="00D57E1C">
      <w:pPr>
        <w:rPr>
          <w:rFonts w:cs="Arial"/>
          <w:color w:val="222222"/>
          <w:shd w:val="clear" w:color="auto" w:fill="FFFFFF"/>
          <w:lang w:val="es-CR"/>
        </w:rPr>
      </w:pPr>
    </w:p>
    <w:p w:rsidR="00191347" w:rsidRPr="009F01BC" w:rsidRDefault="009718A2" w:rsidP="00191347">
      <w:pPr>
        <w:pStyle w:val="ListParagraph"/>
        <w:autoSpaceDE w:val="0"/>
        <w:autoSpaceDN w:val="0"/>
        <w:adjustRightInd w:val="0"/>
        <w:spacing w:line="20" w:lineRule="atLeast"/>
        <w:ind w:left="0" w:right="-138" w:firstLine="720"/>
        <w:rPr>
          <w:rFonts w:cs="Arial"/>
          <w:i/>
          <w:color w:val="222222"/>
          <w:shd w:val="clear" w:color="auto" w:fill="FFFFFF"/>
          <w:lang w:val="es-CR"/>
        </w:rPr>
      </w:pPr>
      <w:r>
        <w:rPr>
          <w:rFonts w:cs="Arial"/>
          <w:i/>
          <w:color w:val="222222"/>
          <w:shd w:val="clear" w:color="auto" w:fill="FFFFFF"/>
          <w:lang w:val="es-CR"/>
        </w:rPr>
        <w:t>B.4</w:t>
      </w:r>
      <w:r w:rsidR="00191347" w:rsidRPr="009F01BC">
        <w:rPr>
          <w:rFonts w:cs="Arial"/>
          <w:i/>
          <w:color w:val="222222"/>
          <w:shd w:val="clear" w:color="auto" w:fill="FFFFFF"/>
          <w:lang w:val="es-CR"/>
        </w:rPr>
        <w:t>.2</w:t>
      </w:r>
      <w:r w:rsidR="003749D0">
        <w:rPr>
          <w:rFonts w:cs="Arial"/>
          <w:i/>
          <w:color w:val="222222"/>
          <w:shd w:val="clear" w:color="auto" w:fill="FFFFFF"/>
          <w:lang w:val="es-CR"/>
        </w:rPr>
        <w:t>.</w:t>
      </w:r>
      <w:r w:rsidR="00191347" w:rsidRPr="009F01BC">
        <w:rPr>
          <w:rFonts w:cs="Arial"/>
          <w:i/>
          <w:color w:val="222222"/>
          <w:shd w:val="clear" w:color="auto" w:fill="FFFFFF"/>
          <w:lang w:val="es-CR"/>
        </w:rPr>
        <w:t xml:space="preserve"> Desaparición de Néstor Rojas Medina</w:t>
      </w:r>
    </w:p>
    <w:p w:rsidR="00191347" w:rsidRPr="009F01BC" w:rsidRDefault="00191347" w:rsidP="00191347">
      <w:pPr>
        <w:pStyle w:val="ListParagraph"/>
        <w:rPr>
          <w:rFonts w:cs="Arial"/>
          <w:i/>
          <w:color w:val="222222"/>
          <w:shd w:val="clear" w:color="auto" w:fill="FFFFFF"/>
          <w:lang w:val="es-CR"/>
        </w:rPr>
      </w:pPr>
    </w:p>
    <w:p w:rsidR="00191347" w:rsidRPr="004C4DA1" w:rsidRDefault="00191347" w:rsidP="00C328C0">
      <w:pPr>
        <w:pStyle w:val="ListParagraph"/>
        <w:widowControl w:val="0"/>
        <w:numPr>
          <w:ilvl w:val="0"/>
          <w:numId w:val="1"/>
        </w:numPr>
        <w:tabs>
          <w:tab w:val="left" w:pos="0"/>
        </w:tabs>
        <w:adjustRightInd w:val="0"/>
        <w:ind w:left="0" w:firstLine="0"/>
        <w:rPr>
          <w:rFonts w:cs="Arial"/>
          <w:i/>
          <w:color w:val="222222"/>
          <w:shd w:val="clear" w:color="auto" w:fill="FFFFFF"/>
          <w:lang w:val="es-CR"/>
        </w:rPr>
      </w:pPr>
      <w:r w:rsidRPr="00C328C0">
        <w:rPr>
          <w:szCs w:val="20"/>
          <w:lang w:val="es-CR"/>
        </w:rPr>
        <w:t>Néstor</w:t>
      </w:r>
      <w:r w:rsidRPr="009F01BC">
        <w:rPr>
          <w:rFonts w:cs="Arial"/>
          <w:color w:val="222222"/>
          <w:shd w:val="clear" w:color="auto" w:fill="FFFFFF"/>
          <w:lang w:val="es-CR"/>
        </w:rPr>
        <w:t xml:space="preserve"> Rojas Medina desapareció </w:t>
      </w:r>
      <w:r w:rsidR="00BA1720">
        <w:rPr>
          <w:rFonts w:cs="Arial"/>
          <w:color w:val="222222"/>
          <w:shd w:val="clear" w:color="auto" w:fill="FFFFFF"/>
          <w:lang w:val="es-CR"/>
        </w:rPr>
        <w:t xml:space="preserve">en </w:t>
      </w:r>
      <w:r w:rsidRPr="009F01BC">
        <w:rPr>
          <w:rFonts w:cs="Arial"/>
          <w:color w:val="222222"/>
          <w:shd w:val="clear" w:color="auto" w:fill="FFFFFF"/>
          <w:lang w:val="es-CR"/>
        </w:rPr>
        <w:t>enero de 1991</w:t>
      </w:r>
      <w:r w:rsidR="00BA1720" w:rsidRPr="004C4DA1">
        <w:rPr>
          <w:rStyle w:val="FootnoteReference"/>
          <w:color w:val="222222"/>
          <w:sz w:val="20"/>
          <w:szCs w:val="20"/>
          <w:shd w:val="clear" w:color="auto" w:fill="FFFFFF"/>
          <w:lang w:val="es-CR"/>
        </w:rPr>
        <w:footnoteReference w:id="130"/>
      </w:r>
      <w:r w:rsidRPr="004C4DA1">
        <w:rPr>
          <w:rFonts w:cs="Arial"/>
          <w:color w:val="222222"/>
          <w:szCs w:val="20"/>
          <w:shd w:val="clear" w:color="auto" w:fill="FFFFFF"/>
          <w:lang w:val="es-CR"/>
        </w:rPr>
        <w:t>,</w:t>
      </w:r>
      <w:r w:rsidR="00176A9A">
        <w:rPr>
          <w:rFonts w:cs="Arial"/>
          <w:color w:val="222222"/>
          <w:shd w:val="clear" w:color="auto" w:fill="FFFFFF"/>
          <w:lang w:val="es-CR"/>
        </w:rPr>
        <w:t xml:space="preserve"> </w:t>
      </w:r>
      <w:r w:rsidR="00176A9A">
        <w:rPr>
          <w:rFonts w:cs="Arial"/>
          <w:color w:val="222222"/>
          <w:szCs w:val="20"/>
          <w:shd w:val="clear" w:color="auto" w:fill="FFFFFF"/>
          <w:lang w:val="es-CR"/>
        </w:rPr>
        <w:t>cuando se trasladó</w:t>
      </w:r>
      <w:r w:rsidRPr="00D7646B">
        <w:rPr>
          <w:rFonts w:cs="Arial"/>
          <w:color w:val="222222"/>
          <w:szCs w:val="20"/>
          <w:shd w:val="clear" w:color="auto" w:fill="FFFFFF"/>
          <w:lang w:val="es-CR"/>
        </w:rPr>
        <w:t xml:space="preserve"> a </w:t>
      </w:r>
      <w:r w:rsidRPr="00820094">
        <w:rPr>
          <w:rFonts w:cs="Arial"/>
          <w:color w:val="222222"/>
          <w:szCs w:val="20"/>
          <w:shd w:val="clear" w:color="auto" w:fill="FFFFFF"/>
          <w:lang w:val="es-CR"/>
        </w:rPr>
        <w:t xml:space="preserve">Tocache </w:t>
      </w:r>
      <w:r w:rsidR="000C0A61">
        <w:rPr>
          <w:rFonts w:cs="Arial"/>
          <w:color w:val="222222"/>
          <w:szCs w:val="20"/>
          <w:shd w:val="clear" w:color="auto" w:fill="FFFFFF"/>
          <w:lang w:val="es-CR"/>
        </w:rPr>
        <w:t>para cobrar determinado dinero que le eran debido</w:t>
      </w:r>
      <w:r w:rsidRPr="00D7646B">
        <w:rPr>
          <w:rFonts w:cs="Arial"/>
          <w:color w:val="222222"/>
          <w:szCs w:val="20"/>
          <w:shd w:val="clear" w:color="auto" w:fill="FFFFFF"/>
          <w:lang w:val="es-CR"/>
        </w:rPr>
        <w:t xml:space="preserve"> a su familia por la venta de unos bienes</w:t>
      </w:r>
      <w:r w:rsidR="00176A9A" w:rsidRPr="00D7646B">
        <w:rPr>
          <w:rStyle w:val="FootnoteReference"/>
          <w:color w:val="222222"/>
          <w:sz w:val="20"/>
          <w:szCs w:val="20"/>
          <w:shd w:val="clear" w:color="auto" w:fill="FFFFFF"/>
          <w:lang w:val="es-CR"/>
        </w:rPr>
        <w:footnoteReference w:id="131"/>
      </w:r>
      <w:r w:rsidRPr="00D7646B">
        <w:rPr>
          <w:rFonts w:cs="Arial"/>
          <w:color w:val="222222"/>
          <w:szCs w:val="20"/>
          <w:shd w:val="clear" w:color="auto" w:fill="FFFFFF"/>
          <w:lang w:val="es-CR"/>
        </w:rPr>
        <w:t>.</w:t>
      </w:r>
      <w:r w:rsidRPr="009F01BC">
        <w:rPr>
          <w:rFonts w:cs="Arial"/>
          <w:color w:val="222222"/>
          <w:shd w:val="clear" w:color="auto" w:fill="FFFFFF"/>
          <w:lang w:val="es-CR"/>
        </w:rPr>
        <w:t xml:space="preserve"> </w:t>
      </w:r>
      <w:r w:rsidR="009D1E17">
        <w:rPr>
          <w:rFonts w:cs="Arial"/>
          <w:color w:val="222222"/>
          <w:shd w:val="clear" w:color="auto" w:fill="FFFFFF"/>
          <w:lang w:val="es-CR"/>
        </w:rPr>
        <w:t xml:space="preserve">Fue la última vez que </w:t>
      </w:r>
      <w:r w:rsidR="009D1E17" w:rsidRPr="009F01BC">
        <w:rPr>
          <w:rFonts w:cs="Arial"/>
          <w:color w:val="222222"/>
          <w:shd w:val="clear" w:color="auto" w:fill="FFFFFF"/>
          <w:lang w:val="es-CR"/>
        </w:rPr>
        <w:t>su familia supo de él</w:t>
      </w:r>
      <w:r w:rsidR="009D1E17">
        <w:rPr>
          <w:rFonts w:cs="Arial"/>
          <w:color w:val="222222"/>
          <w:szCs w:val="20"/>
          <w:shd w:val="clear" w:color="auto" w:fill="FFFFFF"/>
          <w:lang w:val="es-CR"/>
        </w:rPr>
        <w:t>.</w:t>
      </w:r>
    </w:p>
    <w:p w:rsidR="004B0025" w:rsidRDefault="004B0025" w:rsidP="004B0025">
      <w:pPr>
        <w:pStyle w:val="ListParagraph"/>
        <w:autoSpaceDE w:val="0"/>
        <w:autoSpaceDN w:val="0"/>
        <w:adjustRightInd w:val="0"/>
        <w:spacing w:line="20" w:lineRule="atLeast"/>
        <w:ind w:left="0" w:right="-138"/>
        <w:rPr>
          <w:rFonts w:cs="Arial"/>
          <w:i/>
          <w:color w:val="222222"/>
          <w:shd w:val="clear" w:color="auto" w:fill="FFFFFF"/>
          <w:lang w:val="es-CR"/>
        </w:rPr>
      </w:pPr>
    </w:p>
    <w:p w:rsidR="0077591E" w:rsidRDefault="00793B9A" w:rsidP="00C328C0">
      <w:pPr>
        <w:pStyle w:val="ListParagraph"/>
        <w:widowControl w:val="0"/>
        <w:numPr>
          <w:ilvl w:val="0"/>
          <w:numId w:val="1"/>
        </w:numPr>
        <w:tabs>
          <w:tab w:val="left" w:pos="0"/>
        </w:tabs>
        <w:adjustRightInd w:val="0"/>
        <w:ind w:left="0" w:firstLine="0"/>
        <w:rPr>
          <w:rFonts w:cs="Arial"/>
          <w:color w:val="222222"/>
          <w:shd w:val="clear" w:color="auto" w:fill="FFFFFF"/>
          <w:lang w:val="es-CR"/>
        </w:rPr>
      </w:pPr>
      <w:r>
        <w:rPr>
          <w:rFonts w:cs="Arial"/>
          <w:color w:val="222222"/>
          <w:shd w:val="clear" w:color="auto" w:fill="FFFFFF"/>
          <w:lang w:val="es-CR"/>
        </w:rPr>
        <w:t xml:space="preserve">El nombre </w:t>
      </w:r>
      <w:r w:rsidRPr="009F01BC">
        <w:rPr>
          <w:rFonts w:cs="Arial"/>
          <w:color w:val="222222"/>
          <w:shd w:val="clear" w:color="auto" w:fill="FFFFFF"/>
          <w:lang w:val="es-CR"/>
        </w:rPr>
        <w:t xml:space="preserve">Néstor Rojas Medina </w:t>
      </w:r>
      <w:r w:rsidR="00BF3F1F">
        <w:rPr>
          <w:rFonts w:cs="Arial"/>
          <w:color w:val="222222"/>
          <w:shd w:val="clear" w:color="auto" w:fill="FFFFFF"/>
          <w:lang w:val="es-CR"/>
        </w:rPr>
        <w:t xml:space="preserve">se encuentra registrado en la </w:t>
      </w:r>
      <w:r>
        <w:rPr>
          <w:rFonts w:cs="Arial"/>
          <w:color w:val="222222"/>
          <w:shd w:val="clear" w:color="auto" w:fill="FFFFFF"/>
          <w:lang w:val="es-CR"/>
        </w:rPr>
        <w:t xml:space="preserve">Nómina de Personas Muertas y Desaparecidas </w:t>
      </w:r>
      <w:r w:rsidR="00C447C9">
        <w:rPr>
          <w:rFonts w:cs="Arial"/>
          <w:color w:val="222222"/>
          <w:shd w:val="clear" w:color="auto" w:fill="FFFFFF"/>
          <w:lang w:val="es-CR"/>
        </w:rPr>
        <w:t>R</w:t>
      </w:r>
      <w:r w:rsidR="00191347" w:rsidRPr="000B2F26">
        <w:rPr>
          <w:rFonts w:cs="Arial"/>
          <w:color w:val="222222"/>
          <w:shd w:val="clear" w:color="auto" w:fill="FFFFFF"/>
          <w:lang w:val="es-CR"/>
        </w:rPr>
        <w:t>eportadas a la Comisión de la Ve</w:t>
      </w:r>
      <w:r w:rsidR="00BF3F1F">
        <w:rPr>
          <w:rFonts w:cs="Arial"/>
          <w:color w:val="222222"/>
          <w:shd w:val="clear" w:color="auto" w:fill="FFFFFF"/>
          <w:lang w:val="es-CR"/>
        </w:rPr>
        <w:t>rdad y Reconciliación 1980-2000</w:t>
      </w:r>
      <w:r w:rsidR="00191347" w:rsidRPr="000B2F26">
        <w:rPr>
          <w:rFonts w:cs="Arial"/>
          <w:color w:val="222222"/>
          <w:shd w:val="clear" w:color="auto" w:fill="FFFFFF"/>
          <w:lang w:val="es-CR"/>
        </w:rPr>
        <w:t xml:space="preserve">, </w:t>
      </w:r>
      <w:r w:rsidR="00BF3F1F">
        <w:rPr>
          <w:rFonts w:cs="Arial"/>
          <w:color w:val="222222"/>
          <w:shd w:val="clear" w:color="auto" w:fill="FFFFFF"/>
          <w:lang w:val="es-CR"/>
        </w:rPr>
        <w:t xml:space="preserve">y </w:t>
      </w:r>
      <w:r w:rsidR="00E15A95">
        <w:rPr>
          <w:rFonts w:cs="Arial"/>
          <w:color w:val="222222"/>
          <w:shd w:val="clear" w:color="auto" w:fill="FFFFFF"/>
          <w:lang w:val="es-CR"/>
        </w:rPr>
        <w:t xml:space="preserve">aparece </w:t>
      </w:r>
      <w:r w:rsidR="00BF3F1F">
        <w:rPr>
          <w:rFonts w:cs="Arial"/>
          <w:color w:val="222222"/>
          <w:shd w:val="clear" w:color="auto" w:fill="FFFFFF"/>
          <w:lang w:val="es-CR"/>
        </w:rPr>
        <w:t xml:space="preserve">como </w:t>
      </w:r>
      <w:r w:rsidR="00191347" w:rsidRPr="000B2F26">
        <w:rPr>
          <w:rFonts w:cs="Arial"/>
          <w:color w:val="222222"/>
          <w:shd w:val="clear" w:color="auto" w:fill="FFFFFF"/>
          <w:lang w:val="es-CR"/>
        </w:rPr>
        <w:t>desap</w:t>
      </w:r>
      <w:r w:rsidR="00E15A95">
        <w:rPr>
          <w:rFonts w:cs="Arial"/>
          <w:color w:val="222222"/>
          <w:shd w:val="clear" w:color="auto" w:fill="FFFFFF"/>
          <w:lang w:val="es-CR"/>
        </w:rPr>
        <w:t>arecido</w:t>
      </w:r>
      <w:r w:rsidR="00191347" w:rsidRPr="000B2F26">
        <w:rPr>
          <w:rFonts w:cs="Arial"/>
          <w:color w:val="222222"/>
          <w:shd w:val="clear" w:color="auto" w:fill="FFFFFF"/>
          <w:lang w:val="es-CR"/>
        </w:rPr>
        <w:t xml:space="preserve"> presuntamente p</w:t>
      </w:r>
      <w:r w:rsidR="004B13AF">
        <w:rPr>
          <w:rFonts w:cs="Arial"/>
          <w:color w:val="222222"/>
          <w:shd w:val="clear" w:color="auto" w:fill="FFFFFF"/>
          <w:lang w:val="es-CR"/>
        </w:rPr>
        <w:t xml:space="preserve">or agentes estatales. Se señala </w:t>
      </w:r>
      <w:r w:rsidR="004C4DA1">
        <w:rPr>
          <w:rFonts w:cs="Arial"/>
          <w:color w:val="222222"/>
          <w:shd w:val="clear" w:color="auto" w:fill="FFFFFF"/>
          <w:lang w:val="es-CR"/>
        </w:rPr>
        <w:t>que só</w:t>
      </w:r>
      <w:r w:rsidR="00191347" w:rsidRPr="000B2F26">
        <w:rPr>
          <w:rFonts w:cs="Arial"/>
          <w:color w:val="222222"/>
          <w:shd w:val="clear" w:color="auto" w:fill="FFFFFF"/>
          <w:lang w:val="es-CR"/>
        </w:rPr>
        <w:t xml:space="preserve">lo se recibió un </w:t>
      </w:r>
      <w:r w:rsidR="00191347" w:rsidRPr="00C328C0">
        <w:rPr>
          <w:rFonts w:cs="Arial"/>
          <w:color w:val="222222"/>
          <w:szCs w:val="20"/>
          <w:shd w:val="clear" w:color="auto" w:fill="FFFFFF"/>
          <w:lang w:val="es-CR"/>
        </w:rPr>
        <w:t>testimonio</w:t>
      </w:r>
      <w:r w:rsidR="00191347" w:rsidRPr="000B2F26">
        <w:rPr>
          <w:rFonts w:cs="Arial"/>
          <w:color w:val="222222"/>
          <w:shd w:val="clear" w:color="auto" w:fill="FFFFFF"/>
          <w:lang w:val="es-CR"/>
        </w:rPr>
        <w:t xml:space="preserve"> que reporta su desaparición</w:t>
      </w:r>
      <w:r w:rsidR="00191347" w:rsidRPr="00364A8E">
        <w:rPr>
          <w:rStyle w:val="FootnoteReference"/>
          <w:color w:val="222222"/>
          <w:sz w:val="20"/>
          <w:szCs w:val="20"/>
          <w:shd w:val="clear" w:color="auto" w:fill="FFFFFF"/>
          <w:lang w:val="es-CR"/>
        </w:rPr>
        <w:footnoteReference w:id="132"/>
      </w:r>
      <w:r w:rsidR="00191347" w:rsidRPr="00364A8E">
        <w:rPr>
          <w:rFonts w:cs="Arial"/>
          <w:color w:val="222222"/>
          <w:szCs w:val="20"/>
          <w:shd w:val="clear" w:color="auto" w:fill="FFFFFF"/>
          <w:lang w:val="es-CR"/>
        </w:rPr>
        <w:t>.</w:t>
      </w:r>
      <w:r w:rsidR="00191347" w:rsidRPr="000B2F26">
        <w:rPr>
          <w:rFonts w:cs="Arial"/>
          <w:color w:val="222222"/>
          <w:shd w:val="clear" w:color="auto" w:fill="FFFFFF"/>
          <w:lang w:val="es-CR"/>
        </w:rPr>
        <w:t xml:space="preserve"> </w:t>
      </w:r>
    </w:p>
    <w:p w:rsidR="001751C1" w:rsidRPr="003749D0" w:rsidRDefault="001751C1" w:rsidP="0077591E">
      <w:pPr>
        <w:pStyle w:val="ListParagraph"/>
        <w:autoSpaceDE w:val="0"/>
        <w:autoSpaceDN w:val="0"/>
        <w:adjustRightInd w:val="0"/>
        <w:spacing w:line="20" w:lineRule="atLeast"/>
        <w:ind w:left="0" w:right="-138"/>
        <w:rPr>
          <w:rFonts w:cs="Arial"/>
          <w:i/>
          <w:color w:val="222222"/>
          <w:shd w:val="clear" w:color="auto" w:fill="FFFFFF"/>
          <w:lang w:val="es-CR"/>
        </w:rPr>
      </w:pPr>
    </w:p>
    <w:p w:rsidR="0077591E" w:rsidRPr="0077591E" w:rsidRDefault="009718A2" w:rsidP="0077591E">
      <w:pPr>
        <w:autoSpaceDE w:val="0"/>
        <w:autoSpaceDN w:val="0"/>
        <w:adjustRightInd w:val="0"/>
        <w:spacing w:line="20" w:lineRule="atLeast"/>
        <w:ind w:right="-138" w:firstLine="708"/>
        <w:rPr>
          <w:rFonts w:cs="Arial"/>
          <w:color w:val="222222"/>
          <w:shd w:val="clear" w:color="auto" w:fill="FFFFFF"/>
          <w:lang w:val="es-CR"/>
        </w:rPr>
      </w:pPr>
      <w:r>
        <w:rPr>
          <w:rFonts w:cs="Arial"/>
          <w:i/>
          <w:color w:val="222222"/>
          <w:shd w:val="clear" w:color="auto" w:fill="FFFFFF"/>
          <w:lang w:val="es-CR"/>
        </w:rPr>
        <w:t>B.4</w:t>
      </w:r>
      <w:r w:rsidR="00191347" w:rsidRPr="004B13AF">
        <w:rPr>
          <w:rFonts w:cs="Arial"/>
          <w:i/>
          <w:color w:val="222222"/>
          <w:shd w:val="clear" w:color="auto" w:fill="FFFFFF"/>
          <w:lang w:val="es-CR"/>
        </w:rPr>
        <w:t xml:space="preserve">.3. </w:t>
      </w:r>
      <w:r w:rsidR="009F394A">
        <w:rPr>
          <w:rFonts w:cs="Arial"/>
          <w:color w:val="222222"/>
          <w:shd w:val="clear" w:color="auto" w:fill="FFFFFF"/>
          <w:lang w:val="es-CR"/>
        </w:rPr>
        <w:t>D</w:t>
      </w:r>
      <w:r w:rsidR="009F394A" w:rsidRPr="000B2F26">
        <w:rPr>
          <w:rFonts w:cs="Arial"/>
          <w:color w:val="222222"/>
          <w:shd w:val="clear" w:color="auto" w:fill="FFFFFF"/>
          <w:lang w:val="es-CR"/>
        </w:rPr>
        <w:t>eclaración ante la Comisió</w:t>
      </w:r>
      <w:r w:rsidR="00571522">
        <w:rPr>
          <w:rFonts w:cs="Arial"/>
          <w:color w:val="222222"/>
          <w:shd w:val="clear" w:color="auto" w:fill="FFFFFF"/>
          <w:lang w:val="es-CR"/>
        </w:rPr>
        <w:t>n de la Verdad y Reconciliación</w:t>
      </w:r>
    </w:p>
    <w:p w:rsidR="009F394A" w:rsidRDefault="009F394A" w:rsidP="003749D0">
      <w:pPr>
        <w:autoSpaceDE w:val="0"/>
        <w:autoSpaceDN w:val="0"/>
        <w:adjustRightInd w:val="0"/>
        <w:spacing w:line="20" w:lineRule="atLeast"/>
        <w:ind w:right="-138" w:firstLine="708"/>
        <w:rPr>
          <w:rFonts w:cs="Arial"/>
          <w:i/>
          <w:color w:val="222222"/>
          <w:shd w:val="clear" w:color="auto" w:fill="FFFFFF"/>
          <w:lang w:val="es-CR"/>
        </w:rPr>
      </w:pPr>
    </w:p>
    <w:p w:rsidR="009F394A" w:rsidRPr="004B0025" w:rsidRDefault="009F394A" w:rsidP="00C328C0">
      <w:pPr>
        <w:pStyle w:val="ListParagraph"/>
        <w:widowControl w:val="0"/>
        <w:numPr>
          <w:ilvl w:val="0"/>
          <w:numId w:val="1"/>
        </w:numPr>
        <w:tabs>
          <w:tab w:val="left" w:pos="0"/>
        </w:tabs>
        <w:adjustRightInd w:val="0"/>
        <w:ind w:left="0" w:firstLine="0"/>
        <w:rPr>
          <w:rFonts w:cs="Arial"/>
          <w:i/>
          <w:color w:val="222222"/>
          <w:shd w:val="clear" w:color="auto" w:fill="FFFFFF"/>
          <w:lang w:val="es-CR"/>
        </w:rPr>
      </w:pPr>
      <w:r w:rsidRPr="000B2F26">
        <w:rPr>
          <w:rFonts w:cs="Arial"/>
          <w:color w:val="222222"/>
          <w:shd w:val="clear" w:color="auto" w:fill="FFFFFF"/>
          <w:lang w:val="es-CR"/>
        </w:rPr>
        <w:t>El 8 de may</w:t>
      </w:r>
      <w:r>
        <w:rPr>
          <w:rFonts w:cs="Arial"/>
          <w:color w:val="222222"/>
          <w:shd w:val="clear" w:color="auto" w:fill="FFFFFF"/>
          <w:lang w:val="es-CR"/>
        </w:rPr>
        <w:t>o de 2002 Marcelina Medina Negró</w:t>
      </w:r>
      <w:r w:rsidRPr="000B2F26">
        <w:rPr>
          <w:rFonts w:cs="Arial"/>
          <w:color w:val="222222"/>
          <w:shd w:val="clear" w:color="auto" w:fill="FFFFFF"/>
          <w:lang w:val="es-CR"/>
        </w:rPr>
        <w:t>n rindió una declaración ante la Comisión de la Verdad y Reconciliación, en la que ratificó sus declaraciones en cuanto a la detención de Néstor Rojas</w:t>
      </w:r>
      <w:r>
        <w:rPr>
          <w:rFonts w:cs="Arial"/>
          <w:color w:val="222222"/>
          <w:shd w:val="clear" w:color="auto" w:fill="FFFFFF"/>
          <w:lang w:val="es-CR"/>
        </w:rPr>
        <w:t xml:space="preserve"> Medina habría ocurrido</w:t>
      </w:r>
      <w:r w:rsidRPr="000B2F26">
        <w:rPr>
          <w:rFonts w:cs="Arial"/>
          <w:color w:val="222222"/>
          <w:shd w:val="clear" w:color="auto" w:fill="FFFFFF"/>
          <w:lang w:val="es-CR"/>
        </w:rPr>
        <w:t xml:space="preserve"> el 26 de enero de 1991, e in</w:t>
      </w:r>
      <w:r>
        <w:rPr>
          <w:rFonts w:cs="Arial"/>
          <w:color w:val="222222"/>
          <w:shd w:val="clear" w:color="auto" w:fill="FFFFFF"/>
          <w:lang w:val="es-CR"/>
        </w:rPr>
        <w:t>dicó que el Comandante Santos lo</w:t>
      </w:r>
      <w:r w:rsidRPr="000B2F26">
        <w:rPr>
          <w:rFonts w:cs="Arial"/>
          <w:color w:val="222222"/>
          <w:shd w:val="clear" w:color="auto" w:fill="FFFFFF"/>
          <w:lang w:val="es-CR"/>
        </w:rPr>
        <w:t xml:space="preserve"> capturó, </w:t>
      </w:r>
      <w:r>
        <w:rPr>
          <w:rFonts w:cs="Arial"/>
          <w:color w:val="222222"/>
          <w:shd w:val="clear" w:color="auto" w:fill="FFFFFF"/>
          <w:lang w:val="es-CR"/>
        </w:rPr>
        <w:t xml:space="preserve">y </w:t>
      </w:r>
      <w:r w:rsidRPr="000B2F26">
        <w:rPr>
          <w:rFonts w:cs="Arial"/>
          <w:color w:val="222222"/>
          <w:shd w:val="clear" w:color="auto" w:fill="FFFFFF"/>
          <w:lang w:val="es-CR"/>
        </w:rPr>
        <w:t>que estuvo detenido en la Comisaría de Tocache por 8 días, y luego fue trasladado a la base militar de Tocache</w:t>
      </w:r>
      <w:r w:rsidRPr="00364A8E">
        <w:rPr>
          <w:rStyle w:val="FootnoteReference"/>
          <w:color w:val="222222"/>
          <w:sz w:val="20"/>
          <w:szCs w:val="20"/>
          <w:shd w:val="clear" w:color="auto" w:fill="FFFFFF"/>
          <w:lang w:val="es-CR"/>
        </w:rPr>
        <w:footnoteReference w:id="133"/>
      </w:r>
      <w:r w:rsidRPr="000B2F26">
        <w:rPr>
          <w:rFonts w:cs="Arial"/>
          <w:color w:val="222222"/>
          <w:shd w:val="clear" w:color="auto" w:fill="FFFFFF"/>
          <w:lang w:val="es-CR"/>
        </w:rPr>
        <w:t>.</w:t>
      </w:r>
    </w:p>
    <w:p w:rsidR="009F394A" w:rsidRDefault="009F394A" w:rsidP="003749D0">
      <w:pPr>
        <w:autoSpaceDE w:val="0"/>
        <w:autoSpaceDN w:val="0"/>
        <w:adjustRightInd w:val="0"/>
        <w:spacing w:line="20" w:lineRule="atLeast"/>
        <w:ind w:right="-138" w:firstLine="708"/>
        <w:rPr>
          <w:rFonts w:cs="Arial"/>
          <w:i/>
          <w:color w:val="222222"/>
          <w:shd w:val="clear" w:color="auto" w:fill="FFFFFF"/>
          <w:lang w:val="es-CR"/>
        </w:rPr>
      </w:pPr>
    </w:p>
    <w:p w:rsidR="00191347" w:rsidRPr="004B13AF" w:rsidRDefault="009F394A" w:rsidP="004C4DA1">
      <w:pPr>
        <w:autoSpaceDE w:val="0"/>
        <w:autoSpaceDN w:val="0"/>
        <w:adjustRightInd w:val="0"/>
        <w:spacing w:line="20" w:lineRule="atLeast"/>
        <w:ind w:right="-138" w:firstLine="708"/>
        <w:rPr>
          <w:rFonts w:cs="Arial"/>
          <w:i/>
          <w:color w:val="222222"/>
          <w:shd w:val="clear" w:color="auto" w:fill="FFFFFF"/>
          <w:lang w:val="es-CR"/>
        </w:rPr>
      </w:pPr>
      <w:r>
        <w:rPr>
          <w:rFonts w:cs="Arial"/>
          <w:i/>
          <w:color w:val="222222"/>
          <w:shd w:val="clear" w:color="auto" w:fill="FFFFFF"/>
          <w:lang w:val="es-CR"/>
        </w:rPr>
        <w:t xml:space="preserve">B.4.4. </w:t>
      </w:r>
      <w:r w:rsidR="00191347" w:rsidRPr="004B13AF">
        <w:rPr>
          <w:rFonts w:cs="Arial"/>
          <w:i/>
          <w:color w:val="222222"/>
          <w:shd w:val="clear" w:color="auto" w:fill="FFFFFF"/>
          <w:lang w:val="es-CR"/>
        </w:rPr>
        <w:t>Actuaciones judiciales en torno a la desaparición de Néstor Rojas Medina</w:t>
      </w:r>
    </w:p>
    <w:p w:rsidR="00191347" w:rsidRDefault="00191347" w:rsidP="00191347">
      <w:pPr>
        <w:pStyle w:val="ListParagraph"/>
        <w:autoSpaceDE w:val="0"/>
        <w:autoSpaceDN w:val="0"/>
        <w:adjustRightInd w:val="0"/>
        <w:spacing w:line="20" w:lineRule="atLeast"/>
        <w:ind w:right="-138"/>
        <w:rPr>
          <w:rFonts w:cs="Arial"/>
          <w:i/>
          <w:color w:val="222222"/>
          <w:shd w:val="clear" w:color="auto" w:fill="FFFFFF"/>
          <w:lang w:val="es-CR"/>
        </w:rPr>
      </w:pPr>
    </w:p>
    <w:p w:rsidR="00191347" w:rsidRDefault="009718A2" w:rsidP="00191347">
      <w:pPr>
        <w:pStyle w:val="ListParagraph"/>
        <w:autoSpaceDE w:val="0"/>
        <w:autoSpaceDN w:val="0"/>
        <w:adjustRightInd w:val="0"/>
        <w:spacing w:line="20" w:lineRule="atLeast"/>
        <w:ind w:left="0" w:right="-138" w:firstLine="708"/>
        <w:rPr>
          <w:rFonts w:cs="Arial"/>
          <w:i/>
          <w:color w:val="222222"/>
          <w:shd w:val="clear" w:color="auto" w:fill="FFFFFF"/>
          <w:lang w:val="es-CR"/>
        </w:rPr>
      </w:pPr>
      <w:r>
        <w:rPr>
          <w:rFonts w:cs="Arial"/>
          <w:i/>
          <w:color w:val="222222"/>
          <w:shd w:val="clear" w:color="auto" w:fill="FFFFFF"/>
          <w:lang w:val="es-CR"/>
        </w:rPr>
        <w:t>B.4</w:t>
      </w:r>
      <w:r w:rsidR="009F394A">
        <w:rPr>
          <w:rFonts w:cs="Arial"/>
          <w:i/>
          <w:color w:val="222222"/>
          <w:shd w:val="clear" w:color="auto" w:fill="FFFFFF"/>
          <w:lang w:val="es-CR"/>
        </w:rPr>
        <w:t>.4</w:t>
      </w:r>
      <w:r w:rsidR="00191347">
        <w:rPr>
          <w:rFonts w:cs="Arial"/>
          <w:i/>
          <w:color w:val="222222"/>
          <w:shd w:val="clear" w:color="auto" w:fill="FFFFFF"/>
          <w:lang w:val="es-CR"/>
        </w:rPr>
        <w:t>.1</w:t>
      </w:r>
      <w:r w:rsidR="003749D0">
        <w:rPr>
          <w:rFonts w:cs="Arial"/>
          <w:i/>
          <w:color w:val="222222"/>
          <w:shd w:val="clear" w:color="auto" w:fill="FFFFFF"/>
          <w:lang w:val="es-CR"/>
        </w:rPr>
        <w:t>.</w:t>
      </w:r>
      <w:r w:rsidR="00191347">
        <w:rPr>
          <w:rFonts w:cs="Arial"/>
          <w:i/>
          <w:color w:val="222222"/>
          <w:shd w:val="clear" w:color="auto" w:fill="FFFFFF"/>
          <w:lang w:val="es-CR"/>
        </w:rPr>
        <w:t xml:space="preserve"> Denuncias presentadas relativas a la desaparición de Néstor Rojas Medina</w:t>
      </w:r>
    </w:p>
    <w:p w:rsidR="00191347" w:rsidRPr="00CA6043" w:rsidRDefault="00191347" w:rsidP="00191347">
      <w:pPr>
        <w:pStyle w:val="ListParagraph"/>
        <w:tabs>
          <w:tab w:val="left" w:pos="5122"/>
        </w:tabs>
        <w:autoSpaceDE w:val="0"/>
        <w:autoSpaceDN w:val="0"/>
        <w:adjustRightInd w:val="0"/>
        <w:spacing w:line="20" w:lineRule="atLeast"/>
        <w:ind w:left="0" w:right="-138"/>
        <w:rPr>
          <w:rFonts w:cs="Arial"/>
          <w:i/>
          <w:color w:val="222222"/>
          <w:shd w:val="clear" w:color="auto" w:fill="FFFFFF"/>
          <w:lang w:val="es-CR"/>
        </w:rPr>
      </w:pPr>
      <w:r>
        <w:rPr>
          <w:rFonts w:cs="Arial"/>
          <w:i/>
          <w:color w:val="222222"/>
          <w:shd w:val="clear" w:color="auto" w:fill="FFFFFF"/>
          <w:lang w:val="es-CR"/>
        </w:rPr>
        <w:tab/>
      </w:r>
    </w:p>
    <w:p w:rsidR="0042224A" w:rsidRPr="0042224A" w:rsidRDefault="00191347" w:rsidP="0042224A">
      <w:pPr>
        <w:pStyle w:val="ListParagraph"/>
        <w:widowControl w:val="0"/>
        <w:numPr>
          <w:ilvl w:val="0"/>
          <w:numId w:val="1"/>
        </w:numPr>
        <w:tabs>
          <w:tab w:val="left" w:pos="0"/>
        </w:tabs>
        <w:adjustRightInd w:val="0"/>
        <w:ind w:left="0" w:firstLine="0"/>
        <w:rPr>
          <w:rFonts w:cs="Arial"/>
          <w:color w:val="222222"/>
          <w:szCs w:val="20"/>
          <w:shd w:val="clear" w:color="auto" w:fill="FFFFFF"/>
          <w:lang w:val="es-CR"/>
        </w:rPr>
      </w:pPr>
      <w:r w:rsidRPr="00B17DC6">
        <w:rPr>
          <w:rFonts w:cs="Arial"/>
          <w:color w:val="222222"/>
          <w:shd w:val="clear" w:color="auto" w:fill="FFFFFF"/>
          <w:lang w:val="es-CR"/>
        </w:rPr>
        <w:t xml:space="preserve">Según la información disponible en el expediente, se habrían presentado varias denuncias relativas a la desaparición de Néstor Rojas Medina. La primera fue presentada por la </w:t>
      </w:r>
      <w:r w:rsidR="009F394A">
        <w:rPr>
          <w:rFonts w:cs="Arial"/>
          <w:color w:val="222222"/>
          <w:shd w:val="clear" w:color="auto" w:fill="FFFFFF"/>
          <w:lang w:val="es-CR"/>
        </w:rPr>
        <w:t xml:space="preserve">señora </w:t>
      </w:r>
      <w:r w:rsidR="009F394A" w:rsidRPr="009F01BC">
        <w:rPr>
          <w:rFonts w:cs="Arial"/>
          <w:color w:val="222222"/>
          <w:shd w:val="clear" w:color="auto" w:fill="FFFFFF"/>
          <w:lang w:val="es-CR"/>
        </w:rPr>
        <w:t>CSL</w:t>
      </w:r>
      <w:r w:rsidR="009F394A">
        <w:rPr>
          <w:rFonts w:cs="Arial"/>
          <w:color w:val="222222"/>
          <w:shd w:val="clear" w:color="auto" w:fill="FFFFFF"/>
          <w:lang w:val="es-CR"/>
        </w:rPr>
        <w:t>,</w:t>
      </w:r>
      <w:r w:rsidRPr="00B17DC6">
        <w:rPr>
          <w:rFonts w:cs="Arial"/>
          <w:color w:val="222222"/>
          <w:shd w:val="clear" w:color="auto" w:fill="FFFFFF"/>
          <w:lang w:val="es-CR"/>
        </w:rPr>
        <w:t xml:space="preserve"> </w:t>
      </w:r>
      <w:r w:rsidR="009F394A" w:rsidRPr="009F01BC">
        <w:rPr>
          <w:rFonts w:cs="Arial"/>
          <w:color w:val="222222"/>
          <w:shd w:val="clear" w:color="auto" w:fill="FFFFFF"/>
          <w:lang w:val="es-CR"/>
        </w:rPr>
        <w:t xml:space="preserve">Presidenta de la Asociación de Comerciantes Minoristas del Mercado de </w:t>
      </w:r>
      <w:r w:rsidR="009F394A" w:rsidRPr="009F01BC">
        <w:rPr>
          <w:rFonts w:cs="Arial"/>
          <w:color w:val="222222"/>
          <w:shd w:val="clear" w:color="auto" w:fill="FFFFFF"/>
          <w:lang w:val="es-CR"/>
        </w:rPr>
        <w:lastRenderedPageBreak/>
        <w:t>Abastos No. 1</w:t>
      </w:r>
      <w:r w:rsidR="009F394A">
        <w:rPr>
          <w:rFonts w:cs="Arial"/>
          <w:color w:val="222222"/>
          <w:shd w:val="clear" w:color="auto" w:fill="FFFFFF"/>
          <w:lang w:val="es-CR"/>
        </w:rPr>
        <w:t>,</w:t>
      </w:r>
      <w:r w:rsidR="009F394A" w:rsidRPr="009F01BC">
        <w:rPr>
          <w:rFonts w:cs="Arial"/>
          <w:color w:val="222222"/>
          <w:shd w:val="clear" w:color="auto" w:fill="FFFFFF"/>
          <w:lang w:val="es-CR"/>
        </w:rPr>
        <w:t xml:space="preserve"> </w:t>
      </w:r>
      <w:r w:rsidRPr="00B17DC6">
        <w:rPr>
          <w:rFonts w:cs="Arial"/>
          <w:color w:val="222222"/>
          <w:shd w:val="clear" w:color="auto" w:fill="FFFFFF"/>
          <w:lang w:val="es-CR"/>
        </w:rPr>
        <w:t xml:space="preserve">el 5 de febrero de 1991 ante la </w:t>
      </w:r>
      <w:r w:rsidR="009F394A">
        <w:rPr>
          <w:rFonts w:cs="Arial"/>
          <w:color w:val="222222"/>
          <w:shd w:val="clear" w:color="auto" w:fill="FFFFFF"/>
          <w:lang w:val="es-CR"/>
        </w:rPr>
        <w:t>Fiscalía de Tocache</w:t>
      </w:r>
      <w:r w:rsidR="009F394A" w:rsidRPr="009F01BC">
        <w:rPr>
          <w:rFonts w:cs="Arial"/>
          <w:color w:val="222222"/>
          <w:shd w:val="clear" w:color="auto" w:fill="FFFFFF"/>
          <w:lang w:val="es-CR"/>
        </w:rPr>
        <w:t xml:space="preserve">, quien indicó que “según versiones de personas que transitaban por ese sector” el 31 de enero del mismo año Néstor Rojas Medina fue detenido por efectivos de la P.N.P., junto con el señor </w:t>
      </w:r>
      <w:r w:rsidR="009F394A">
        <w:rPr>
          <w:rFonts w:cs="Arial"/>
          <w:color w:val="222222"/>
          <w:shd w:val="clear" w:color="auto" w:fill="FFFFFF"/>
          <w:lang w:val="es-CR"/>
        </w:rPr>
        <w:t>MC</w:t>
      </w:r>
      <w:r w:rsidR="004C4DA1">
        <w:rPr>
          <w:rFonts w:cs="Arial"/>
          <w:color w:val="222222"/>
          <w:shd w:val="clear" w:color="auto" w:fill="FFFFFF"/>
          <w:lang w:val="es-CR"/>
        </w:rPr>
        <w:t xml:space="preserve">, mientras “caminaban por el </w:t>
      </w:r>
      <w:r w:rsidR="0039504D">
        <w:rPr>
          <w:rFonts w:cs="Arial"/>
          <w:color w:val="222222"/>
          <w:shd w:val="clear" w:color="auto" w:fill="FFFFFF"/>
          <w:lang w:val="es-CR"/>
        </w:rPr>
        <w:t>[</w:t>
      </w:r>
      <w:r w:rsidR="004C4DA1">
        <w:rPr>
          <w:rFonts w:cs="Arial"/>
          <w:color w:val="222222"/>
          <w:shd w:val="clear" w:color="auto" w:fill="FFFFFF"/>
          <w:lang w:val="es-CR"/>
        </w:rPr>
        <w:t>J</w:t>
      </w:r>
      <w:r w:rsidR="0039504D">
        <w:rPr>
          <w:rFonts w:cs="Arial"/>
          <w:color w:val="222222"/>
          <w:shd w:val="clear" w:color="auto" w:fill="FFFFFF"/>
          <w:lang w:val="es-CR"/>
        </w:rPr>
        <w:t>]</w:t>
      </w:r>
      <w:r w:rsidR="009F394A" w:rsidRPr="009F01BC">
        <w:rPr>
          <w:rFonts w:cs="Arial"/>
          <w:color w:val="222222"/>
          <w:shd w:val="clear" w:color="auto" w:fill="FFFFFF"/>
          <w:lang w:val="es-CR"/>
        </w:rPr>
        <w:t xml:space="preserve">irón </w:t>
      </w:r>
      <w:r w:rsidR="009F394A" w:rsidRPr="009F01BC">
        <w:rPr>
          <w:rFonts w:cs="Arial"/>
          <w:color w:val="222222"/>
          <w:szCs w:val="20"/>
          <w:shd w:val="clear" w:color="auto" w:fill="FFFFFF"/>
          <w:lang w:val="es-CR"/>
        </w:rPr>
        <w:t>Comercio”, en la provincia de Tocache</w:t>
      </w:r>
      <w:r w:rsidR="009F394A" w:rsidRPr="00D7646B">
        <w:rPr>
          <w:rStyle w:val="FootnoteReference"/>
          <w:color w:val="222222"/>
          <w:sz w:val="20"/>
          <w:szCs w:val="20"/>
          <w:shd w:val="clear" w:color="auto" w:fill="FFFFFF"/>
          <w:lang w:val="es-CR"/>
        </w:rPr>
        <w:footnoteReference w:id="134"/>
      </w:r>
      <w:r w:rsidR="009F394A" w:rsidRPr="00D7646B">
        <w:rPr>
          <w:rFonts w:cs="Arial"/>
          <w:color w:val="222222"/>
          <w:szCs w:val="20"/>
          <w:shd w:val="clear" w:color="auto" w:fill="FFFFFF"/>
          <w:lang w:val="es-CR"/>
        </w:rPr>
        <w:t>.</w:t>
      </w:r>
      <w:r w:rsidR="009F394A" w:rsidRPr="009F01BC">
        <w:rPr>
          <w:rFonts w:cs="Arial"/>
          <w:color w:val="222222"/>
          <w:szCs w:val="20"/>
          <w:shd w:val="clear" w:color="auto" w:fill="FFFFFF"/>
          <w:lang w:val="es-CR"/>
        </w:rPr>
        <w:t xml:space="preserve"> Según la declaración de la señora CSL, “[c]uando varios asociados se apersonaron a la Comisaría local y a la Base del Ejército [p]eruano, con la finalidad [de] indagar sobre la situación y el paradero de los detenidos” se les negó que se encontraban detenidos</w:t>
      </w:r>
      <w:r w:rsidR="009F394A" w:rsidRPr="00D7646B">
        <w:rPr>
          <w:rStyle w:val="FootnoteReference"/>
          <w:color w:val="222222"/>
          <w:sz w:val="20"/>
          <w:szCs w:val="20"/>
          <w:shd w:val="clear" w:color="auto" w:fill="FFFFFF"/>
          <w:lang w:val="es-CR"/>
        </w:rPr>
        <w:footnoteReference w:id="135"/>
      </w:r>
      <w:r w:rsidRPr="009F394A">
        <w:rPr>
          <w:rFonts w:cs="Arial"/>
          <w:color w:val="222222"/>
          <w:shd w:val="clear" w:color="auto" w:fill="FFFFFF"/>
          <w:lang w:val="es-CR"/>
        </w:rPr>
        <w:t>. La segunda fue presentada el</w:t>
      </w:r>
      <w:r w:rsidRPr="009F394A">
        <w:rPr>
          <w:szCs w:val="20"/>
          <w:lang w:val="es-CR"/>
        </w:rPr>
        <w:t xml:space="preserve"> 8 de marzo de 1991 por la señora Marcelina Medina Negrón ante la Fiscalía de la Nación</w:t>
      </w:r>
      <w:r w:rsidRPr="00E15A95">
        <w:rPr>
          <w:rStyle w:val="FootnoteReference"/>
          <w:sz w:val="20"/>
          <w:szCs w:val="20"/>
          <w:lang w:val="es-CR"/>
        </w:rPr>
        <w:footnoteReference w:id="136"/>
      </w:r>
      <w:r w:rsidR="00871023" w:rsidRPr="009F394A">
        <w:rPr>
          <w:szCs w:val="20"/>
          <w:lang w:val="es-CR"/>
        </w:rPr>
        <w:t xml:space="preserve">, en la que indicó que su hijo </w:t>
      </w:r>
      <w:r w:rsidRPr="009F394A">
        <w:rPr>
          <w:szCs w:val="20"/>
          <w:lang w:val="es-CR"/>
        </w:rPr>
        <w:t>“fue detenido por efectivos de la Policía Nacional del Perú en med</w:t>
      </w:r>
      <w:r w:rsidR="00871023" w:rsidRPr="009F394A">
        <w:rPr>
          <w:szCs w:val="20"/>
          <w:lang w:val="es-CR"/>
        </w:rPr>
        <w:t>io de una ‘batida’”, que</w:t>
      </w:r>
      <w:r w:rsidRPr="009F394A">
        <w:rPr>
          <w:szCs w:val="20"/>
          <w:lang w:val="es-CR"/>
        </w:rPr>
        <w:t xml:space="preserve"> fue conducido “a la Comisaría del lugar”, que “la PNP dijo que pondría en libertad a Néstor</w:t>
      </w:r>
      <w:r w:rsidR="00871023" w:rsidRPr="009F394A">
        <w:rPr>
          <w:szCs w:val="20"/>
          <w:lang w:val="es-CR"/>
        </w:rPr>
        <w:t xml:space="preserve"> [Rojas Medina]</w:t>
      </w:r>
      <w:r w:rsidRPr="009F394A">
        <w:rPr>
          <w:szCs w:val="20"/>
          <w:lang w:val="es-CR"/>
        </w:rPr>
        <w:t xml:space="preserve"> luego del procedimiento de rutina” y que después les dijeron “que fue trasladado a la base militar de Tocache, pero en ese lugar han negado que haya estado alguna vez detenido”. La tercera fue presentada el </w:t>
      </w:r>
      <w:r w:rsidR="00DC6A92">
        <w:rPr>
          <w:szCs w:val="20"/>
          <w:lang w:val="es-CR"/>
        </w:rPr>
        <w:t>20 de agosto de 2003</w:t>
      </w:r>
      <w:r w:rsidRPr="009F394A">
        <w:rPr>
          <w:szCs w:val="20"/>
          <w:lang w:val="es-CR"/>
        </w:rPr>
        <w:t xml:space="preserve"> ante la Fiscal Provisional de la Fiscalía Especializad</w:t>
      </w:r>
      <w:r w:rsidR="009F394A" w:rsidRPr="009F394A">
        <w:rPr>
          <w:szCs w:val="20"/>
          <w:lang w:val="es-CR"/>
        </w:rPr>
        <w:t xml:space="preserve">a para Desapariciones Forzosas, </w:t>
      </w:r>
      <w:r w:rsidR="009416CA" w:rsidRPr="009F394A">
        <w:rPr>
          <w:szCs w:val="20"/>
          <w:lang w:val="es-CR"/>
        </w:rPr>
        <w:t>por Marcelina Medina Negrón</w:t>
      </w:r>
      <w:r w:rsidR="009416CA" w:rsidRPr="00D7646B">
        <w:rPr>
          <w:rStyle w:val="FootnoteReference"/>
          <w:sz w:val="20"/>
          <w:szCs w:val="20"/>
          <w:lang w:val="es-CR"/>
        </w:rPr>
        <w:footnoteReference w:id="137"/>
      </w:r>
      <w:r w:rsidR="009416CA">
        <w:rPr>
          <w:szCs w:val="20"/>
          <w:lang w:val="es-CR"/>
        </w:rPr>
        <w:t>,</w:t>
      </w:r>
      <w:r w:rsidR="009416CA" w:rsidRPr="009F394A">
        <w:rPr>
          <w:szCs w:val="20"/>
          <w:lang w:val="es-CR"/>
        </w:rPr>
        <w:t xml:space="preserve"> </w:t>
      </w:r>
      <w:r w:rsidR="009F394A" w:rsidRPr="009F394A">
        <w:rPr>
          <w:szCs w:val="20"/>
          <w:lang w:val="es-CR"/>
        </w:rPr>
        <w:t>en la cual indicó que la desaparición habría ocurrido “el 26 de enero de 1991” y señaló como responsable de la desaparición de su hijo al “Comandante ‘Tito’, Jefe de la Comandancia de la Policía General de Tocache” y a cualquier otra persona responsable de dicho hecho</w:t>
      </w:r>
      <w:r w:rsidR="009416CA" w:rsidRPr="00D7646B">
        <w:rPr>
          <w:rStyle w:val="FootnoteReference"/>
          <w:sz w:val="20"/>
          <w:szCs w:val="20"/>
          <w:lang w:val="es-CR"/>
        </w:rPr>
        <w:footnoteReference w:id="138"/>
      </w:r>
      <w:r w:rsidR="009F394A" w:rsidRPr="009F394A">
        <w:rPr>
          <w:szCs w:val="20"/>
          <w:lang w:val="es-CR"/>
        </w:rPr>
        <w:t>. También indicó que la presunta detención tenía como antecedente “una incursión de Sendero Luminoso el 9 de noviembre de 1990 en el caserío de Juan Santos Atahualpa”, en la que incendiaron la casa de su madre y asesinaron al director del colegio, Segundo Grandez, primo de Néstor Rojas”. A raíz de dicho hecho, la familia de Néstor Rojas Medina se trasladó a Lima</w:t>
      </w:r>
      <w:r w:rsidR="009F394A" w:rsidRPr="00D7646B">
        <w:rPr>
          <w:rStyle w:val="FootnoteReference"/>
          <w:sz w:val="20"/>
          <w:szCs w:val="20"/>
          <w:lang w:val="es-CR"/>
        </w:rPr>
        <w:footnoteReference w:id="139"/>
      </w:r>
      <w:r w:rsidR="009F394A" w:rsidRPr="009F394A">
        <w:rPr>
          <w:szCs w:val="20"/>
          <w:lang w:val="es-CR"/>
        </w:rPr>
        <w:t>.</w:t>
      </w:r>
    </w:p>
    <w:p w:rsidR="0042224A" w:rsidRPr="00D57E1C" w:rsidRDefault="0042224A" w:rsidP="00D57E1C">
      <w:pPr>
        <w:autoSpaceDE w:val="0"/>
        <w:autoSpaceDN w:val="0"/>
        <w:adjustRightInd w:val="0"/>
        <w:spacing w:line="20" w:lineRule="atLeast"/>
        <w:ind w:right="-138"/>
        <w:rPr>
          <w:rFonts w:cs="Arial"/>
          <w:i/>
          <w:color w:val="222222"/>
          <w:shd w:val="clear" w:color="auto" w:fill="FFFFFF"/>
          <w:lang w:val="es-CR"/>
        </w:rPr>
      </w:pPr>
    </w:p>
    <w:p w:rsidR="00191347" w:rsidRPr="00802157" w:rsidRDefault="009718A2" w:rsidP="00191347">
      <w:pPr>
        <w:pStyle w:val="ListParagraph"/>
        <w:autoSpaceDE w:val="0"/>
        <w:autoSpaceDN w:val="0"/>
        <w:adjustRightInd w:val="0"/>
        <w:spacing w:line="20" w:lineRule="atLeast"/>
        <w:ind w:left="0" w:right="-138" w:firstLine="708"/>
        <w:rPr>
          <w:rFonts w:cs="Arial"/>
          <w:i/>
          <w:color w:val="222222"/>
          <w:shd w:val="clear" w:color="auto" w:fill="FFFFFF"/>
          <w:lang w:val="es-CR"/>
        </w:rPr>
      </w:pPr>
      <w:r>
        <w:rPr>
          <w:rFonts w:cs="Arial"/>
          <w:i/>
          <w:color w:val="222222"/>
          <w:shd w:val="clear" w:color="auto" w:fill="FFFFFF"/>
          <w:lang w:val="es-CR"/>
        </w:rPr>
        <w:t>B.4</w:t>
      </w:r>
      <w:r w:rsidR="009F394A">
        <w:rPr>
          <w:rFonts w:cs="Arial"/>
          <w:i/>
          <w:color w:val="222222"/>
          <w:shd w:val="clear" w:color="auto" w:fill="FFFFFF"/>
          <w:lang w:val="es-CR"/>
        </w:rPr>
        <w:t>.4</w:t>
      </w:r>
      <w:r w:rsidR="00191347" w:rsidRPr="00802157">
        <w:rPr>
          <w:rFonts w:cs="Arial"/>
          <w:i/>
          <w:color w:val="222222"/>
          <w:shd w:val="clear" w:color="auto" w:fill="FFFFFF"/>
          <w:lang w:val="es-CR"/>
        </w:rPr>
        <w:t>.2</w:t>
      </w:r>
      <w:r w:rsidR="003749D0">
        <w:rPr>
          <w:rFonts w:cs="Arial"/>
          <w:i/>
          <w:color w:val="222222"/>
          <w:shd w:val="clear" w:color="auto" w:fill="FFFFFF"/>
          <w:lang w:val="es-CR"/>
        </w:rPr>
        <w:t>.</w:t>
      </w:r>
      <w:r w:rsidR="00191347" w:rsidRPr="00802157">
        <w:rPr>
          <w:rFonts w:cs="Arial"/>
          <w:i/>
          <w:color w:val="222222"/>
          <w:shd w:val="clear" w:color="auto" w:fill="FFFFFF"/>
          <w:lang w:val="es-CR"/>
        </w:rPr>
        <w:t xml:space="preserve"> Diligencias realizadas en el marco de las investigaciones </w:t>
      </w:r>
    </w:p>
    <w:p w:rsidR="00191347" w:rsidRDefault="00191347" w:rsidP="00191347">
      <w:pPr>
        <w:pStyle w:val="ListParagraph"/>
        <w:autoSpaceDE w:val="0"/>
        <w:autoSpaceDN w:val="0"/>
        <w:adjustRightInd w:val="0"/>
        <w:spacing w:line="20" w:lineRule="atLeast"/>
        <w:ind w:left="0" w:right="-138" w:firstLine="708"/>
        <w:rPr>
          <w:rFonts w:cs="Arial"/>
          <w:i/>
          <w:color w:val="222222"/>
          <w:highlight w:val="red"/>
          <w:shd w:val="clear" w:color="auto" w:fill="FFFFFF"/>
          <w:lang w:val="es-CR"/>
        </w:rPr>
      </w:pPr>
    </w:p>
    <w:p w:rsidR="00191347" w:rsidRPr="00802157" w:rsidRDefault="009F394A" w:rsidP="00191347">
      <w:pPr>
        <w:pStyle w:val="ListParagraph"/>
        <w:autoSpaceDE w:val="0"/>
        <w:autoSpaceDN w:val="0"/>
        <w:adjustRightInd w:val="0"/>
        <w:spacing w:line="20" w:lineRule="atLeast"/>
        <w:ind w:left="0" w:right="-138" w:firstLine="708"/>
        <w:rPr>
          <w:rFonts w:cs="Arial"/>
          <w:i/>
          <w:color w:val="222222"/>
          <w:shd w:val="clear" w:color="auto" w:fill="FFFFFF"/>
          <w:lang w:val="es-CR"/>
        </w:rPr>
      </w:pPr>
      <w:r>
        <w:rPr>
          <w:rFonts w:cs="Arial"/>
          <w:i/>
          <w:color w:val="222222"/>
          <w:shd w:val="clear" w:color="auto" w:fill="FFFFFF"/>
          <w:lang w:val="es-CR"/>
        </w:rPr>
        <w:t>B.4.4</w:t>
      </w:r>
      <w:r w:rsidR="00191347" w:rsidRPr="00802157">
        <w:rPr>
          <w:rFonts w:cs="Arial"/>
          <w:i/>
          <w:color w:val="222222"/>
          <w:shd w:val="clear" w:color="auto" w:fill="FFFFFF"/>
          <w:lang w:val="es-CR"/>
        </w:rPr>
        <w:t>.2</w:t>
      </w:r>
      <w:r w:rsidR="00191347">
        <w:rPr>
          <w:rFonts w:cs="Arial"/>
          <w:i/>
          <w:color w:val="222222"/>
          <w:shd w:val="clear" w:color="auto" w:fill="FFFFFF"/>
          <w:lang w:val="es-CR"/>
        </w:rPr>
        <w:t>.1</w:t>
      </w:r>
      <w:r w:rsidR="003749D0">
        <w:rPr>
          <w:rFonts w:cs="Arial"/>
          <w:i/>
          <w:color w:val="222222"/>
          <w:shd w:val="clear" w:color="auto" w:fill="FFFFFF"/>
          <w:lang w:val="es-CR"/>
        </w:rPr>
        <w:t>.</w:t>
      </w:r>
      <w:r w:rsidR="00191347" w:rsidRPr="00802157">
        <w:rPr>
          <w:rFonts w:cs="Arial"/>
          <w:i/>
          <w:color w:val="222222"/>
          <w:shd w:val="clear" w:color="auto" w:fill="FFFFFF"/>
          <w:lang w:val="es-CR"/>
        </w:rPr>
        <w:t xml:space="preserve"> </w:t>
      </w:r>
      <w:r w:rsidR="00191347">
        <w:rPr>
          <w:rFonts w:cs="Arial"/>
          <w:i/>
          <w:color w:val="222222"/>
          <w:shd w:val="clear" w:color="auto" w:fill="FFFFFF"/>
          <w:lang w:val="es-CR"/>
        </w:rPr>
        <w:t xml:space="preserve">Diligencias realizadas desde 1991 hasta 2000 ante la Fiscalía </w:t>
      </w:r>
      <w:r w:rsidR="00D57EF3">
        <w:rPr>
          <w:rFonts w:cs="Arial"/>
          <w:i/>
          <w:color w:val="222222"/>
          <w:shd w:val="clear" w:color="auto" w:fill="FFFFFF"/>
          <w:lang w:val="es-CR"/>
        </w:rPr>
        <w:t xml:space="preserve">Provincial </w:t>
      </w:r>
      <w:r w:rsidR="00191347">
        <w:rPr>
          <w:rFonts w:cs="Arial"/>
          <w:i/>
          <w:color w:val="222222"/>
          <w:shd w:val="clear" w:color="auto" w:fill="FFFFFF"/>
          <w:lang w:val="es-CR"/>
        </w:rPr>
        <w:t>de Tocache</w:t>
      </w:r>
    </w:p>
    <w:p w:rsidR="00191347" w:rsidRDefault="00191347" w:rsidP="00191347">
      <w:pPr>
        <w:pStyle w:val="ListParagraph"/>
        <w:autoSpaceDE w:val="0"/>
        <w:autoSpaceDN w:val="0"/>
        <w:adjustRightInd w:val="0"/>
        <w:spacing w:line="20" w:lineRule="atLeast"/>
        <w:ind w:left="0" w:right="-138" w:firstLine="708"/>
        <w:rPr>
          <w:rFonts w:cs="Arial"/>
          <w:i/>
          <w:color w:val="222222"/>
          <w:highlight w:val="red"/>
          <w:shd w:val="clear" w:color="auto" w:fill="FFFFFF"/>
          <w:lang w:val="es-CR"/>
        </w:rPr>
      </w:pPr>
    </w:p>
    <w:p w:rsidR="000143EE" w:rsidRPr="000143EE" w:rsidRDefault="00191347" w:rsidP="00C328C0">
      <w:pPr>
        <w:pStyle w:val="ListParagraph"/>
        <w:widowControl w:val="0"/>
        <w:numPr>
          <w:ilvl w:val="0"/>
          <w:numId w:val="1"/>
        </w:numPr>
        <w:tabs>
          <w:tab w:val="left" w:pos="0"/>
        </w:tabs>
        <w:adjustRightInd w:val="0"/>
        <w:ind w:left="0" w:firstLine="0"/>
        <w:rPr>
          <w:rFonts w:cs="Arial"/>
          <w:i/>
          <w:color w:val="222222"/>
          <w:shd w:val="clear" w:color="auto" w:fill="FFFFFF"/>
          <w:lang w:val="es-CR"/>
        </w:rPr>
      </w:pPr>
      <w:r w:rsidRPr="00563483">
        <w:rPr>
          <w:rFonts w:cs="Arial"/>
          <w:color w:val="222222"/>
          <w:shd w:val="clear" w:color="auto" w:fill="FFFFFF"/>
          <w:lang w:val="es-CR"/>
        </w:rPr>
        <w:t>Con respecto a las denuncias presentadas en 1991 ante la Fi</w:t>
      </w:r>
      <w:r w:rsidRPr="00563483">
        <w:rPr>
          <w:rFonts w:cs="Arial"/>
          <w:color w:val="222222"/>
          <w:szCs w:val="20"/>
          <w:shd w:val="clear" w:color="auto" w:fill="FFFFFF"/>
          <w:lang w:val="es-CR"/>
        </w:rPr>
        <w:t>scalía de Tocache (</w:t>
      </w:r>
      <w:r w:rsidRPr="00563483">
        <w:rPr>
          <w:rFonts w:cs="Arial"/>
          <w:i/>
          <w:color w:val="222222"/>
          <w:szCs w:val="20"/>
          <w:shd w:val="clear" w:color="auto" w:fill="FFFFFF"/>
          <w:lang w:val="es-CR"/>
        </w:rPr>
        <w:t>supra</w:t>
      </w:r>
      <w:r w:rsidRPr="00563483">
        <w:rPr>
          <w:rFonts w:cs="Arial"/>
          <w:color w:val="222222"/>
          <w:szCs w:val="20"/>
          <w:shd w:val="clear" w:color="auto" w:fill="FFFFFF"/>
          <w:lang w:val="es-CR"/>
        </w:rPr>
        <w:t xml:space="preserve"> párr. </w:t>
      </w:r>
      <w:r w:rsidR="00AA64DD">
        <w:rPr>
          <w:rFonts w:cs="Arial"/>
          <w:color w:val="222222"/>
          <w:szCs w:val="20"/>
          <w:shd w:val="clear" w:color="auto" w:fill="FFFFFF"/>
          <w:lang w:val="es-CR"/>
        </w:rPr>
        <w:t>98</w:t>
      </w:r>
      <w:r w:rsidRPr="00563483">
        <w:rPr>
          <w:rFonts w:cs="Arial"/>
          <w:color w:val="222222"/>
          <w:szCs w:val="20"/>
          <w:shd w:val="clear" w:color="auto" w:fill="FFFFFF"/>
          <w:lang w:val="es-CR"/>
        </w:rPr>
        <w:t>)</w:t>
      </w:r>
      <w:r w:rsidRPr="00563483">
        <w:rPr>
          <w:rFonts w:cs="Arial"/>
          <w:i/>
          <w:color w:val="222222"/>
          <w:szCs w:val="20"/>
          <w:shd w:val="clear" w:color="auto" w:fill="FFFFFF"/>
          <w:lang w:val="es-CR"/>
        </w:rPr>
        <w:t xml:space="preserve">, </w:t>
      </w:r>
      <w:r w:rsidRPr="00563483">
        <w:rPr>
          <w:rFonts w:cs="Arial"/>
          <w:color w:val="222222"/>
          <w:szCs w:val="20"/>
          <w:shd w:val="clear" w:color="auto" w:fill="FFFFFF"/>
          <w:lang w:val="es-CR"/>
        </w:rPr>
        <w:t>el 6 de febrero de 1991 se dispuso iniciar la investigación</w:t>
      </w:r>
      <w:r w:rsidRPr="00563483">
        <w:rPr>
          <w:rStyle w:val="FootnoteReference"/>
          <w:color w:val="222222"/>
          <w:sz w:val="20"/>
          <w:szCs w:val="20"/>
          <w:shd w:val="clear" w:color="auto" w:fill="FFFFFF"/>
          <w:lang w:val="es-CR"/>
        </w:rPr>
        <w:footnoteReference w:id="140"/>
      </w:r>
      <w:r w:rsidRPr="00563483">
        <w:rPr>
          <w:rFonts w:cs="Arial"/>
          <w:color w:val="222222"/>
          <w:szCs w:val="20"/>
          <w:shd w:val="clear" w:color="auto" w:fill="FFFFFF"/>
          <w:lang w:val="es-CR"/>
        </w:rPr>
        <w:t>, y se solicitó información a la Jefatura Político Militar de Tocache</w:t>
      </w:r>
      <w:r w:rsidRPr="00563483">
        <w:rPr>
          <w:rStyle w:val="FootnoteReference"/>
          <w:color w:val="222222"/>
          <w:sz w:val="20"/>
          <w:szCs w:val="20"/>
          <w:shd w:val="clear" w:color="auto" w:fill="FFFFFF"/>
          <w:lang w:val="es-CR"/>
        </w:rPr>
        <w:footnoteReference w:id="141"/>
      </w:r>
      <w:r w:rsidRPr="00563483">
        <w:rPr>
          <w:rFonts w:cs="Arial"/>
          <w:color w:val="222222"/>
          <w:szCs w:val="20"/>
          <w:shd w:val="clear" w:color="auto" w:fill="FFFFFF"/>
          <w:lang w:val="es-CR"/>
        </w:rPr>
        <w:t xml:space="preserve"> y a la Comisaría de la Policía Nacional del Perú de Tocache</w:t>
      </w:r>
      <w:r w:rsidRPr="00563483">
        <w:rPr>
          <w:rStyle w:val="FootnoteReference"/>
          <w:color w:val="222222"/>
          <w:sz w:val="20"/>
          <w:szCs w:val="20"/>
          <w:shd w:val="clear" w:color="auto" w:fill="FFFFFF"/>
          <w:lang w:val="es-CR"/>
        </w:rPr>
        <w:footnoteReference w:id="142"/>
      </w:r>
      <w:r w:rsidRPr="00563483">
        <w:rPr>
          <w:rFonts w:cs="Arial"/>
          <w:color w:val="222222"/>
          <w:szCs w:val="20"/>
          <w:shd w:val="clear" w:color="auto" w:fill="FFFFFF"/>
          <w:lang w:val="es-CR"/>
        </w:rPr>
        <w:t xml:space="preserve"> sobre si </w:t>
      </w:r>
      <w:r w:rsidR="00E15A95">
        <w:rPr>
          <w:rFonts w:cs="Arial"/>
          <w:color w:val="222222"/>
          <w:szCs w:val="20"/>
          <w:shd w:val="clear" w:color="auto" w:fill="FFFFFF"/>
          <w:lang w:val="es-CR"/>
        </w:rPr>
        <w:t>hab</w:t>
      </w:r>
      <w:r w:rsidR="005561CC">
        <w:rPr>
          <w:rFonts w:cs="Arial"/>
          <w:color w:val="222222"/>
          <w:szCs w:val="20"/>
          <w:shd w:val="clear" w:color="auto" w:fill="FFFFFF"/>
          <w:lang w:val="es-CR"/>
        </w:rPr>
        <w:t>r</w:t>
      </w:r>
      <w:r w:rsidR="00E15A95">
        <w:rPr>
          <w:rFonts w:cs="Arial"/>
          <w:color w:val="222222"/>
          <w:szCs w:val="20"/>
          <w:shd w:val="clear" w:color="auto" w:fill="FFFFFF"/>
          <w:lang w:val="es-CR"/>
        </w:rPr>
        <w:t>ían detenido</w:t>
      </w:r>
      <w:r w:rsidRPr="00563483">
        <w:rPr>
          <w:rFonts w:cs="Arial"/>
          <w:color w:val="222222"/>
          <w:szCs w:val="20"/>
          <w:shd w:val="clear" w:color="auto" w:fill="FFFFFF"/>
          <w:lang w:val="es-CR"/>
        </w:rPr>
        <w:t xml:space="preserve"> a Néstor Rojas </w:t>
      </w:r>
      <w:r w:rsidR="000B19B1" w:rsidRPr="00563483">
        <w:rPr>
          <w:rFonts w:cs="Arial"/>
          <w:color w:val="222222"/>
          <w:szCs w:val="20"/>
          <w:shd w:val="clear" w:color="auto" w:fill="FFFFFF"/>
          <w:lang w:val="es-CR"/>
        </w:rPr>
        <w:t>Medina. El 8 de febrero de 1991</w:t>
      </w:r>
      <w:r w:rsidRPr="00563483">
        <w:rPr>
          <w:rFonts w:cs="Arial"/>
          <w:color w:val="222222"/>
          <w:szCs w:val="20"/>
          <w:shd w:val="clear" w:color="auto" w:fill="FFFFFF"/>
          <w:lang w:val="es-CR"/>
        </w:rPr>
        <w:t xml:space="preserve"> la Comisaría de Tocache respondió indicando que el personal policial no intervino en dichas actuaciones</w:t>
      </w:r>
      <w:r w:rsidRPr="00563483">
        <w:rPr>
          <w:rStyle w:val="FootnoteReference"/>
          <w:color w:val="222222"/>
          <w:sz w:val="20"/>
          <w:szCs w:val="20"/>
          <w:shd w:val="clear" w:color="auto" w:fill="FFFFFF"/>
          <w:lang w:val="es-CR"/>
        </w:rPr>
        <w:footnoteReference w:id="143"/>
      </w:r>
      <w:r w:rsidR="000B19B1" w:rsidRPr="00563483">
        <w:rPr>
          <w:rFonts w:cs="Arial"/>
          <w:color w:val="222222"/>
          <w:szCs w:val="20"/>
          <w:shd w:val="clear" w:color="auto" w:fill="FFFFFF"/>
          <w:lang w:val="es-CR"/>
        </w:rPr>
        <w:t>. El 8 de marzo de 1991 la Fiscalía de Tocache</w:t>
      </w:r>
      <w:r w:rsidRPr="00563483">
        <w:rPr>
          <w:rFonts w:cs="Arial"/>
          <w:color w:val="222222"/>
          <w:szCs w:val="20"/>
          <w:shd w:val="clear" w:color="auto" w:fill="FFFFFF"/>
          <w:lang w:val="es-CR"/>
        </w:rPr>
        <w:t xml:space="preserve"> remitió una comunicación al Senador </w:t>
      </w:r>
      <w:r w:rsidR="000B19B1" w:rsidRPr="00563483">
        <w:rPr>
          <w:rFonts w:cs="Arial"/>
          <w:color w:val="222222"/>
          <w:szCs w:val="20"/>
          <w:shd w:val="clear" w:color="auto" w:fill="FFFFFF"/>
          <w:lang w:val="es-CR"/>
        </w:rPr>
        <w:t>JHP en la que señal</w:t>
      </w:r>
      <w:r w:rsidRPr="00563483">
        <w:rPr>
          <w:rFonts w:cs="Arial"/>
          <w:color w:val="222222"/>
          <w:szCs w:val="20"/>
          <w:shd w:val="clear" w:color="auto" w:fill="FFFFFF"/>
          <w:lang w:val="es-CR"/>
        </w:rPr>
        <w:t>ó que enunció algunas diligencias que habría realizado hasta esa fecha, y que continuarían las investigaciones</w:t>
      </w:r>
      <w:r w:rsidRPr="00563483">
        <w:rPr>
          <w:rStyle w:val="FootnoteReference"/>
          <w:color w:val="222222"/>
          <w:sz w:val="20"/>
          <w:szCs w:val="20"/>
          <w:shd w:val="clear" w:color="auto" w:fill="FFFFFF"/>
          <w:lang w:val="es-CR"/>
        </w:rPr>
        <w:footnoteReference w:id="144"/>
      </w:r>
      <w:r w:rsidRPr="00563483">
        <w:rPr>
          <w:rFonts w:cs="Arial"/>
          <w:color w:val="222222"/>
          <w:szCs w:val="20"/>
          <w:shd w:val="clear" w:color="auto" w:fill="FFFFFF"/>
          <w:lang w:val="es-CR"/>
        </w:rPr>
        <w:t>. El 15 de marzo de 1991 se solic</w:t>
      </w:r>
      <w:r w:rsidR="004C4DA1">
        <w:rPr>
          <w:rFonts w:cs="Arial"/>
          <w:color w:val="222222"/>
          <w:szCs w:val="20"/>
          <w:shd w:val="clear" w:color="auto" w:fill="FFFFFF"/>
          <w:lang w:val="es-CR"/>
        </w:rPr>
        <w:t xml:space="preserve">itó información </w:t>
      </w:r>
      <w:r w:rsidR="00A852F7">
        <w:rPr>
          <w:rFonts w:cs="Arial"/>
          <w:color w:val="222222"/>
          <w:szCs w:val="20"/>
          <w:shd w:val="clear" w:color="auto" w:fill="FFFFFF"/>
          <w:lang w:val="es-CR"/>
        </w:rPr>
        <w:t>a la</w:t>
      </w:r>
      <w:r w:rsidRPr="00563483">
        <w:rPr>
          <w:rFonts w:cs="Arial"/>
          <w:color w:val="222222"/>
          <w:szCs w:val="20"/>
          <w:shd w:val="clear" w:color="auto" w:fill="FFFFFF"/>
          <w:lang w:val="es-CR"/>
        </w:rPr>
        <w:t xml:space="preserve"> Comandancia de Tocache sobre la desaparición de Néstor Rojas</w:t>
      </w:r>
      <w:r w:rsidR="000B19B1" w:rsidRPr="00563483">
        <w:rPr>
          <w:rFonts w:cs="Arial"/>
          <w:color w:val="222222"/>
          <w:szCs w:val="20"/>
          <w:shd w:val="clear" w:color="auto" w:fill="FFFFFF"/>
          <w:lang w:val="es-CR"/>
        </w:rPr>
        <w:t xml:space="preserve"> Medina</w:t>
      </w:r>
      <w:r w:rsidRPr="00563483">
        <w:rPr>
          <w:rStyle w:val="FootnoteReference"/>
          <w:color w:val="222222"/>
          <w:sz w:val="20"/>
          <w:szCs w:val="20"/>
          <w:shd w:val="clear" w:color="auto" w:fill="FFFFFF"/>
          <w:lang w:val="es-CR"/>
        </w:rPr>
        <w:footnoteReference w:id="145"/>
      </w:r>
      <w:r w:rsidRPr="00563483">
        <w:rPr>
          <w:rFonts w:cs="Arial"/>
          <w:color w:val="222222"/>
          <w:szCs w:val="20"/>
          <w:shd w:val="clear" w:color="auto" w:fill="FFFFFF"/>
          <w:lang w:val="es-CR"/>
        </w:rPr>
        <w:t>.</w:t>
      </w:r>
      <w:r w:rsidR="000B19B1" w:rsidRPr="00563483">
        <w:rPr>
          <w:rFonts w:cs="Arial"/>
          <w:color w:val="222222"/>
          <w:shd w:val="clear" w:color="auto" w:fill="FFFFFF"/>
          <w:lang w:val="es-CR"/>
        </w:rPr>
        <w:t xml:space="preserve"> </w:t>
      </w:r>
    </w:p>
    <w:p w:rsidR="000143EE" w:rsidRPr="000143EE" w:rsidRDefault="000143EE" w:rsidP="000143EE">
      <w:pPr>
        <w:pStyle w:val="ListParagraph"/>
        <w:autoSpaceDE w:val="0"/>
        <w:autoSpaceDN w:val="0"/>
        <w:adjustRightInd w:val="0"/>
        <w:spacing w:line="20" w:lineRule="atLeast"/>
        <w:ind w:left="0" w:right="-138"/>
        <w:rPr>
          <w:rFonts w:cs="Arial"/>
          <w:i/>
          <w:color w:val="222222"/>
          <w:shd w:val="clear" w:color="auto" w:fill="FFFFFF"/>
          <w:lang w:val="es-CR"/>
        </w:rPr>
      </w:pPr>
    </w:p>
    <w:p w:rsidR="000143EE" w:rsidRPr="00773678" w:rsidRDefault="000B19B1" w:rsidP="00C328C0">
      <w:pPr>
        <w:pStyle w:val="ListParagraph"/>
        <w:widowControl w:val="0"/>
        <w:numPr>
          <w:ilvl w:val="0"/>
          <w:numId w:val="1"/>
        </w:numPr>
        <w:tabs>
          <w:tab w:val="left" w:pos="0"/>
        </w:tabs>
        <w:adjustRightInd w:val="0"/>
        <w:ind w:left="0" w:firstLine="0"/>
        <w:rPr>
          <w:rFonts w:cs="Arial"/>
          <w:i/>
          <w:color w:val="222222"/>
          <w:shd w:val="clear" w:color="auto" w:fill="FFFFFF"/>
          <w:lang w:val="es-CR"/>
        </w:rPr>
      </w:pPr>
      <w:r w:rsidRPr="00C31E92">
        <w:rPr>
          <w:rFonts w:cs="Arial"/>
          <w:color w:val="222222"/>
          <w:shd w:val="clear" w:color="auto" w:fill="FFFFFF"/>
          <w:lang w:val="es-CR"/>
        </w:rPr>
        <w:t>El 19 de marzo de 1991</w:t>
      </w:r>
      <w:r w:rsidR="00191347" w:rsidRPr="00C31E92">
        <w:rPr>
          <w:rFonts w:cs="Arial"/>
          <w:color w:val="222222"/>
          <w:shd w:val="clear" w:color="auto" w:fill="FFFFFF"/>
          <w:lang w:val="es-CR"/>
        </w:rPr>
        <w:t xml:space="preserve"> CSL compareció ante la Fiscalía para rendir declaración indagatoria, en la cual no ratificó el contenido de su denuncia (</w:t>
      </w:r>
      <w:r w:rsidR="00191347" w:rsidRPr="00C31E92">
        <w:rPr>
          <w:rFonts w:cs="Arial"/>
          <w:i/>
          <w:color w:val="222222"/>
          <w:shd w:val="clear" w:color="auto" w:fill="FFFFFF"/>
          <w:lang w:val="es-CR"/>
        </w:rPr>
        <w:t>supra</w:t>
      </w:r>
      <w:r w:rsidR="00B54804" w:rsidRPr="00C31E92">
        <w:rPr>
          <w:rFonts w:cs="Arial"/>
          <w:color w:val="222222"/>
          <w:shd w:val="clear" w:color="auto" w:fill="FFFFFF"/>
          <w:lang w:val="es-CR"/>
        </w:rPr>
        <w:t xml:space="preserve"> pie de página </w:t>
      </w:r>
      <w:r w:rsidR="00B54804" w:rsidRPr="00D55362">
        <w:rPr>
          <w:rFonts w:cs="Arial"/>
          <w:color w:val="222222"/>
          <w:shd w:val="clear" w:color="auto" w:fill="FFFFFF"/>
          <w:lang w:val="es-CR"/>
        </w:rPr>
        <w:t>133</w:t>
      </w:r>
      <w:r w:rsidRPr="00C31E92">
        <w:rPr>
          <w:rFonts w:cs="Arial"/>
          <w:color w:val="222222"/>
          <w:shd w:val="clear" w:color="auto" w:fill="FFFFFF"/>
          <w:lang w:val="es-CR"/>
        </w:rPr>
        <w:t xml:space="preserve">). </w:t>
      </w:r>
    </w:p>
    <w:p w:rsidR="000143EE" w:rsidRPr="000143EE" w:rsidRDefault="000143EE" w:rsidP="000143EE">
      <w:pPr>
        <w:pStyle w:val="ListParagraph"/>
        <w:rPr>
          <w:rFonts w:cs="Arial"/>
          <w:color w:val="222222"/>
          <w:shd w:val="clear" w:color="auto" w:fill="FFFFFF"/>
          <w:lang w:val="es-CR"/>
        </w:rPr>
      </w:pPr>
    </w:p>
    <w:p w:rsidR="00DF7693" w:rsidRPr="00134CB4" w:rsidRDefault="000B19B1" w:rsidP="004E4845">
      <w:pPr>
        <w:pStyle w:val="ListParagraph"/>
        <w:widowControl w:val="0"/>
        <w:numPr>
          <w:ilvl w:val="0"/>
          <w:numId w:val="1"/>
        </w:numPr>
        <w:tabs>
          <w:tab w:val="left" w:pos="0"/>
        </w:tabs>
        <w:adjustRightInd w:val="0"/>
        <w:ind w:left="0" w:firstLine="0"/>
        <w:rPr>
          <w:rFonts w:cs="Arial"/>
          <w:i/>
          <w:color w:val="222222"/>
          <w:shd w:val="clear" w:color="auto" w:fill="FFFFFF"/>
          <w:lang w:val="es-CR"/>
        </w:rPr>
      </w:pPr>
      <w:r w:rsidRPr="00B1720D">
        <w:rPr>
          <w:rFonts w:cs="Arial"/>
          <w:color w:val="222222"/>
          <w:shd w:val="clear" w:color="auto" w:fill="FFFFFF"/>
          <w:lang w:val="es-CR"/>
        </w:rPr>
        <w:t xml:space="preserve">El 20 de marzo de 1991 </w:t>
      </w:r>
      <w:r w:rsidR="00191347" w:rsidRPr="00B1720D">
        <w:rPr>
          <w:rFonts w:cs="Arial"/>
          <w:color w:val="222222"/>
          <w:shd w:val="clear" w:color="auto" w:fill="FFFFFF"/>
          <w:lang w:val="es-CR"/>
        </w:rPr>
        <w:t xml:space="preserve">el Jefe de la Policía Antidrogas remitió un oficio a la Fiscalía relativo a la consulta realizada por ésta respecto a la supuesta conversación que sostuvo el Comandante “Tito” con el Senador </w:t>
      </w:r>
      <w:r w:rsidRPr="00B1720D">
        <w:rPr>
          <w:rFonts w:cs="Arial"/>
          <w:color w:val="222222"/>
          <w:shd w:val="clear" w:color="auto" w:fill="FFFFFF"/>
          <w:lang w:val="es-CR"/>
        </w:rPr>
        <w:t xml:space="preserve">JHP </w:t>
      </w:r>
      <w:r w:rsidR="00191347" w:rsidRPr="00B1720D">
        <w:rPr>
          <w:rFonts w:cs="Arial"/>
          <w:color w:val="222222"/>
          <w:shd w:val="clear" w:color="auto" w:fill="FFFFFF"/>
          <w:lang w:val="es-CR"/>
        </w:rPr>
        <w:t>(</w:t>
      </w:r>
      <w:r w:rsidR="00191347" w:rsidRPr="00B1720D">
        <w:rPr>
          <w:rFonts w:cs="Arial"/>
          <w:i/>
          <w:color w:val="222222"/>
          <w:shd w:val="clear" w:color="auto" w:fill="FFFFFF"/>
          <w:lang w:val="es-CR"/>
        </w:rPr>
        <w:t>supra</w:t>
      </w:r>
      <w:r w:rsidR="00191347" w:rsidRPr="00B1720D">
        <w:rPr>
          <w:rFonts w:cs="Arial"/>
          <w:color w:val="222222"/>
          <w:shd w:val="clear" w:color="auto" w:fill="FFFFFF"/>
          <w:lang w:val="es-CR"/>
        </w:rPr>
        <w:t xml:space="preserve"> párr. </w:t>
      </w:r>
      <w:r w:rsidR="002714C1" w:rsidRPr="00B1720D">
        <w:rPr>
          <w:rFonts w:cs="Arial"/>
          <w:color w:val="222222"/>
          <w:shd w:val="clear" w:color="auto" w:fill="FFFFFF"/>
          <w:lang w:val="es-CR"/>
        </w:rPr>
        <w:t>99</w:t>
      </w:r>
      <w:r w:rsidR="00191347" w:rsidRPr="00B1720D">
        <w:rPr>
          <w:rFonts w:cs="Arial"/>
          <w:color w:val="222222"/>
          <w:shd w:val="clear" w:color="auto" w:fill="FFFFFF"/>
          <w:lang w:val="es-CR"/>
        </w:rPr>
        <w:t>).</w:t>
      </w:r>
      <w:r w:rsidR="00191347" w:rsidRPr="00563483">
        <w:rPr>
          <w:rFonts w:cs="Arial"/>
          <w:color w:val="222222"/>
          <w:shd w:val="clear" w:color="auto" w:fill="FFFFFF"/>
          <w:lang w:val="es-CR"/>
        </w:rPr>
        <w:t xml:space="preserve"> En esa misma fecha se emitió un informe en el que el Comandante “Tito” habría reconocido haber recibido una llamada del Senador </w:t>
      </w:r>
      <w:r w:rsidRPr="00563483">
        <w:rPr>
          <w:rFonts w:cs="Arial"/>
          <w:color w:val="222222"/>
          <w:shd w:val="clear" w:color="auto" w:fill="FFFFFF"/>
          <w:lang w:val="es-CR"/>
        </w:rPr>
        <w:t>JHP</w:t>
      </w:r>
      <w:r w:rsidR="00191347" w:rsidRPr="00563483">
        <w:rPr>
          <w:rFonts w:cs="Arial"/>
          <w:color w:val="222222"/>
          <w:shd w:val="clear" w:color="auto" w:fill="FFFFFF"/>
          <w:lang w:val="es-CR"/>
        </w:rPr>
        <w:t>, en la cual le habría indicado que Néstor Rojas Medina no se encontraba detenido en la Comisaría</w:t>
      </w:r>
      <w:r w:rsidR="00191347" w:rsidRPr="00563483">
        <w:rPr>
          <w:rStyle w:val="FootnoteReference"/>
          <w:color w:val="222222"/>
          <w:sz w:val="20"/>
          <w:szCs w:val="20"/>
          <w:shd w:val="clear" w:color="auto" w:fill="FFFFFF"/>
          <w:lang w:val="es-CR"/>
        </w:rPr>
        <w:footnoteReference w:id="146"/>
      </w:r>
      <w:r w:rsidRPr="00563483">
        <w:rPr>
          <w:rFonts w:cs="Arial"/>
          <w:color w:val="222222"/>
          <w:shd w:val="clear" w:color="auto" w:fill="FFFFFF"/>
          <w:lang w:val="es-CR"/>
        </w:rPr>
        <w:t>. Los días</w:t>
      </w:r>
      <w:r w:rsidR="00B65422">
        <w:rPr>
          <w:rFonts w:cs="Arial"/>
          <w:color w:val="222222"/>
          <w:shd w:val="clear" w:color="auto" w:fill="FFFFFF"/>
          <w:lang w:val="es-CR"/>
        </w:rPr>
        <w:t xml:space="preserve"> 1 y</w:t>
      </w:r>
      <w:r w:rsidR="00191347" w:rsidRPr="00563483">
        <w:rPr>
          <w:rFonts w:cs="Arial"/>
          <w:color w:val="222222"/>
          <w:shd w:val="clear" w:color="auto" w:fill="FFFFFF"/>
          <w:lang w:val="es-CR"/>
        </w:rPr>
        <w:t xml:space="preserve"> 5 de abril de 1991 el General de División</w:t>
      </w:r>
      <w:r w:rsidR="00B65422">
        <w:rPr>
          <w:rFonts w:cs="Arial"/>
          <w:color w:val="222222"/>
          <w:shd w:val="clear" w:color="auto" w:fill="FFFFFF"/>
          <w:lang w:val="es-CR"/>
        </w:rPr>
        <w:t xml:space="preserve"> B del Ministerio de Defensa </w:t>
      </w:r>
      <w:r w:rsidR="00191347" w:rsidRPr="00563483">
        <w:rPr>
          <w:rFonts w:cs="Arial"/>
          <w:color w:val="222222"/>
          <w:shd w:val="clear" w:color="auto" w:fill="FFFFFF"/>
          <w:lang w:val="es-CR"/>
        </w:rPr>
        <w:t>comunicó al Senador</w:t>
      </w:r>
      <w:r w:rsidRPr="00563483">
        <w:rPr>
          <w:rFonts w:cs="Arial"/>
          <w:color w:val="222222"/>
          <w:shd w:val="clear" w:color="auto" w:fill="FFFFFF"/>
          <w:lang w:val="es-CR"/>
        </w:rPr>
        <w:t xml:space="preserve"> JHP </w:t>
      </w:r>
      <w:r w:rsidR="00191347" w:rsidRPr="00563483">
        <w:rPr>
          <w:rFonts w:cs="Arial"/>
          <w:color w:val="222222"/>
          <w:shd w:val="clear" w:color="auto" w:fill="FFFFFF"/>
          <w:lang w:val="es-CR"/>
        </w:rPr>
        <w:t xml:space="preserve">y al Fiscal </w:t>
      </w:r>
      <w:r w:rsidR="00B65422">
        <w:rPr>
          <w:rFonts w:cs="Arial"/>
          <w:color w:val="222222"/>
          <w:shd w:val="clear" w:color="auto" w:fill="FFFFFF"/>
          <w:lang w:val="es-CR"/>
        </w:rPr>
        <w:t xml:space="preserve">que </w:t>
      </w:r>
      <w:r w:rsidR="00191347" w:rsidRPr="00563483">
        <w:rPr>
          <w:rFonts w:cs="Arial"/>
          <w:color w:val="222222"/>
          <w:shd w:val="clear" w:color="auto" w:fill="FFFFFF"/>
          <w:lang w:val="es-CR"/>
        </w:rPr>
        <w:t>emitió ofic</w:t>
      </w:r>
      <w:r w:rsidRPr="00563483">
        <w:rPr>
          <w:rFonts w:cs="Arial"/>
          <w:color w:val="222222"/>
          <w:shd w:val="clear" w:color="auto" w:fill="FFFFFF"/>
          <w:lang w:val="es-CR"/>
        </w:rPr>
        <w:t>ios en los que comunicó que Né</w:t>
      </w:r>
      <w:r w:rsidR="00191347" w:rsidRPr="00563483">
        <w:rPr>
          <w:rFonts w:cs="Arial"/>
          <w:color w:val="222222"/>
          <w:shd w:val="clear" w:color="auto" w:fill="FFFFFF"/>
          <w:lang w:val="es-CR"/>
        </w:rPr>
        <w:t xml:space="preserve">stor Rojas </w:t>
      </w:r>
      <w:r w:rsidRPr="00563483">
        <w:rPr>
          <w:rFonts w:cs="Arial"/>
          <w:color w:val="222222"/>
          <w:shd w:val="clear" w:color="auto" w:fill="FFFFFF"/>
          <w:lang w:val="es-CR"/>
        </w:rPr>
        <w:t xml:space="preserve">Medina </w:t>
      </w:r>
      <w:r w:rsidR="00191347" w:rsidRPr="00563483">
        <w:rPr>
          <w:rFonts w:cs="Arial"/>
          <w:color w:val="222222"/>
          <w:shd w:val="clear" w:color="auto" w:fill="FFFFFF"/>
          <w:lang w:val="es-CR"/>
        </w:rPr>
        <w:t>no había sido detenido en la Base Contrasubversiva No. 26 de Tocache y que la PNP no tenía conocimiento del caso</w:t>
      </w:r>
      <w:r w:rsidR="00191347" w:rsidRPr="00563483">
        <w:rPr>
          <w:rStyle w:val="FootnoteReference"/>
          <w:color w:val="222222"/>
          <w:sz w:val="20"/>
          <w:szCs w:val="20"/>
          <w:shd w:val="clear" w:color="auto" w:fill="FFFFFF"/>
          <w:lang w:val="es-CR"/>
        </w:rPr>
        <w:footnoteReference w:id="147"/>
      </w:r>
      <w:r w:rsidR="00B65422">
        <w:rPr>
          <w:rFonts w:cs="Arial"/>
          <w:color w:val="222222"/>
          <w:szCs w:val="20"/>
          <w:shd w:val="clear" w:color="auto" w:fill="FFFFFF"/>
          <w:lang w:val="es-CR"/>
        </w:rPr>
        <w:t>. El 9 de abril de 1991</w:t>
      </w:r>
      <w:r w:rsidR="00191347" w:rsidRPr="00563483">
        <w:rPr>
          <w:rFonts w:cs="Arial"/>
          <w:color w:val="222222"/>
          <w:szCs w:val="20"/>
          <w:shd w:val="clear" w:color="auto" w:fill="FFFFFF"/>
          <w:lang w:val="es-CR"/>
        </w:rPr>
        <w:t xml:space="preserve"> el Senado, a solicitud del Senador </w:t>
      </w:r>
      <w:r w:rsidR="00753B43" w:rsidRPr="00563483">
        <w:rPr>
          <w:rFonts w:cs="Arial"/>
          <w:color w:val="222222"/>
          <w:szCs w:val="20"/>
          <w:shd w:val="clear" w:color="auto" w:fill="FFFFFF"/>
          <w:lang w:val="es-CR"/>
        </w:rPr>
        <w:t>JHP</w:t>
      </w:r>
      <w:r w:rsidR="005561CC">
        <w:rPr>
          <w:rFonts w:cs="Arial"/>
          <w:color w:val="222222"/>
          <w:szCs w:val="20"/>
          <w:shd w:val="clear" w:color="auto" w:fill="FFFFFF"/>
          <w:lang w:val="es-CR"/>
        </w:rPr>
        <w:t>, pidi</w:t>
      </w:r>
      <w:r w:rsidR="00191347" w:rsidRPr="00563483">
        <w:rPr>
          <w:rFonts w:cs="Arial"/>
          <w:color w:val="222222"/>
          <w:szCs w:val="20"/>
          <w:shd w:val="clear" w:color="auto" w:fill="FFFFFF"/>
          <w:lang w:val="es-CR"/>
        </w:rPr>
        <w:t>ó a la Fiscalía que se investigara la desaparición de Néstor Rojas Medina</w:t>
      </w:r>
      <w:r w:rsidR="00191347" w:rsidRPr="00563483">
        <w:rPr>
          <w:rStyle w:val="FootnoteReference"/>
          <w:color w:val="222222"/>
          <w:sz w:val="20"/>
          <w:szCs w:val="20"/>
          <w:shd w:val="clear" w:color="auto" w:fill="FFFFFF"/>
          <w:lang w:val="es-CR"/>
        </w:rPr>
        <w:footnoteReference w:id="148"/>
      </w:r>
      <w:r w:rsidR="00191347" w:rsidRPr="00563483">
        <w:rPr>
          <w:rFonts w:cs="Arial"/>
          <w:color w:val="222222"/>
          <w:szCs w:val="20"/>
          <w:shd w:val="clear" w:color="auto" w:fill="FFFFFF"/>
          <w:lang w:val="es-CR"/>
        </w:rPr>
        <w:t>.</w:t>
      </w:r>
      <w:r w:rsidR="00191347" w:rsidRPr="00563483">
        <w:rPr>
          <w:rFonts w:cs="Arial"/>
          <w:color w:val="222222"/>
          <w:shd w:val="clear" w:color="auto" w:fill="FFFFFF"/>
          <w:lang w:val="es-CR"/>
        </w:rPr>
        <w:t xml:space="preserve"> </w:t>
      </w:r>
      <w:r w:rsidR="00191347" w:rsidRPr="00DD5197">
        <w:rPr>
          <w:rFonts w:cs="Arial"/>
          <w:color w:val="222222"/>
          <w:shd w:val="clear" w:color="auto" w:fill="FFFFFF"/>
          <w:lang w:val="es-CR"/>
        </w:rPr>
        <w:t xml:space="preserve">El Senador </w:t>
      </w:r>
      <w:r w:rsidRPr="00DD5197">
        <w:rPr>
          <w:rFonts w:cs="Arial"/>
          <w:color w:val="222222"/>
          <w:shd w:val="clear" w:color="auto" w:fill="FFFFFF"/>
          <w:lang w:val="es-CR"/>
        </w:rPr>
        <w:t xml:space="preserve">JHP </w:t>
      </w:r>
      <w:r w:rsidR="00191347" w:rsidRPr="00DD5197">
        <w:rPr>
          <w:rFonts w:cs="Arial"/>
          <w:color w:val="222222"/>
          <w:shd w:val="clear" w:color="auto" w:fill="FFFFFF"/>
          <w:lang w:val="es-CR"/>
        </w:rPr>
        <w:t>afir</w:t>
      </w:r>
      <w:r w:rsidR="005561CC" w:rsidRPr="00DD5197">
        <w:rPr>
          <w:rFonts w:cs="Arial"/>
          <w:color w:val="222222"/>
          <w:shd w:val="clear" w:color="auto" w:fill="FFFFFF"/>
          <w:lang w:val="es-CR"/>
        </w:rPr>
        <w:t>mó que el 14 de febrero de 1991</w:t>
      </w:r>
      <w:r w:rsidR="00191347" w:rsidRPr="00DD5197">
        <w:rPr>
          <w:rFonts w:cs="Arial"/>
          <w:color w:val="222222"/>
          <w:shd w:val="clear" w:color="auto" w:fill="FFFFFF"/>
          <w:lang w:val="es-CR"/>
        </w:rPr>
        <w:t xml:space="preserve"> indicó a la Fiscalía que se comunicó con el Comandante “Tito” (</w:t>
      </w:r>
      <w:r w:rsidRPr="00DD5197">
        <w:rPr>
          <w:rFonts w:cs="Arial"/>
          <w:color w:val="222222"/>
          <w:shd w:val="clear" w:color="auto" w:fill="FFFFFF"/>
          <w:lang w:val="es-CR"/>
        </w:rPr>
        <w:t>SDC</w:t>
      </w:r>
      <w:r w:rsidR="00191347" w:rsidRPr="00DD5197">
        <w:rPr>
          <w:rFonts w:cs="Arial"/>
          <w:color w:val="222222"/>
          <w:shd w:val="clear" w:color="auto" w:fill="FFFFFF"/>
          <w:lang w:val="es-CR"/>
        </w:rPr>
        <w:t>) y que éste le confirmó que</w:t>
      </w:r>
      <w:r w:rsidR="00753B43" w:rsidRPr="00DD5197">
        <w:rPr>
          <w:rFonts w:cs="Arial"/>
          <w:color w:val="222222"/>
          <w:shd w:val="clear" w:color="auto" w:fill="FFFFFF"/>
          <w:lang w:val="es-CR"/>
        </w:rPr>
        <w:t xml:space="preserve"> Néstor Rojas Medina había sido</w:t>
      </w:r>
      <w:r w:rsidRPr="00DD5197">
        <w:rPr>
          <w:rFonts w:cs="Arial"/>
          <w:color w:val="222222"/>
          <w:shd w:val="clear" w:color="auto" w:fill="FFFFFF"/>
          <w:lang w:val="es-CR"/>
        </w:rPr>
        <w:t xml:space="preserve"> </w:t>
      </w:r>
      <w:r w:rsidR="00191347" w:rsidRPr="00DD5197">
        <w:rPr>
          <w:rFonts w:cs="Arial"/>
          <w:color w:val="222222"/>
          <w:shd w:val="clear" w:color="auto" w:fill="FFFFFF"/>
          <w:lang w:val="es-CR"/>
        </w:rPr>
        <w:t xml:space="preserve">detenido y posteriormente puesto a disposición de las Fuerzas </w:t>
      </w:r>
      <w:r w:rsidR="00191347" w:rsidRPr="00DD5197">
        <w:rPr>
          <w:rFonts w:cs="Arial"/>
          <w:color w:val="222222"/>
          <w:shd w:val="clear" w:color="auto" w:fill="FFFFFF"/>
          <w:lang w:val="es-CR"/>
        </w:rPr>
        <w:lastRenderedPageBreak/>
        <w:t>Armadas</w:t>
      </w:r>
      <w:r w:rsidR="00191347" w:rsidRPr="00DD5197">
        <w:rPr>
          <w:rStyle w:val="FootnoteReference"/>
          <w:color w:val="222222"/>
          <w:sz w:val="20"/>
          <w:szCs w:val="20"/>
          <w:shd w:val="clear" w:color="auto" w:fill="FFFFFF"/>
          <w:lang w:val="es-CR"/>
        </w:rPr>
        <w:footnoteReference w:id="149"/>
      </w:r>
      <w:r w:rsidR="00191347" w:rsidRPr="00DD5197">
        <w:rPr>
          <w:rFonts w:cs="Arial"/>
          <w:color w:val="222222"/>
          <w:szCs w:val="20"/>
          <w:shd w:val="clear" w:color="auto" w:fill="FFFFFF"/>
          <w:lang w:val="es-CR"/>
        </w:rPr>
        <w:t>.</w:t>
      </w:r>
      <w:r w:rsidR="00191347" w:rsidRPr="00563483">
        <w:rPr>
          <w:rFonts w:cs="Arial"/>
          <w:color w:val="222222"/>
          <w:szCs w:val="20"/>
          <w:shd w:val="clear" w:color="auto" w:fill="FFFFFF"/>
          <w:lang w:val="es-CR"/>
        </w:rPr>
        <w:t xml:space="preserve"> </w:t>
      </w:r>
    </w:p>
    <w:p w:rsidR="00134CB4" w:rsidRPr="004E4845" w:rsidRDefault="00134CB4" w:rsidP="00134CB4">
      <w:pPr>
        <w:pStyle w:val="ListParagraph"/>
        <w:widowControl w:val="0"/>
        <w:tabs>
          <w:tab w:val="left" w:pos="0"/>
        </w:tabs>
        <w:adjustRightInd w:val="0"/>
        <w:ind w:left="0"/>
        <w:rPr>
          <w:rFonts w:cs="Arial"/>
          <w:i/>
          <w:color w:val="222222"/>
          <w:shd w:val="clear" w:color="auto" w:fill="FFFFFF"/>
          <w:lang w:val="es-CR"/>
        </w:rPr>
      </w:pPr>
    </w:p>
    <w:p w:rsidR="00191347" w:rsidRPr="00563483" w:rsidRDefault="00191347" w:rsidP="00C328C0">
      <w:pPr>
        <w:pStyle w:val="ListParagraph"/>
        <w:widowControl w:val="0"/>
        <w:numPr>
          <w:ilvl w:val="0"/>
          <w:numId w:val="1"/>
        </w:numPr>
        <w:tabs>
          <w:tab w:val="left" w:pos="0"/>
        </w:tabs>
        <w:adjustRightInd w:val="0"/>
        <w:ind w:left="0" w:firstLine="0"/>
        <w:rPr>
          <w:rFonts w:cs="Arial"/>
          <w:i/>
          <w:color w:val="222222"/>
          <w:shd w:val="clear" w:color="auto" w:fill="FFFFFF"/>
          <w:lang w:val="es-CR"/>
        </w:rPr>
      </w:pPr>
      <w:r w:rsidRPr="00563483">
        <w:rPr>
          <w:rFonts w:cs="Arial"/>
          <w:color w:val="222222"/>
          <w:szCs w:val="20"/>
          <w:shd w:val="clear" w:color="auto" w:fill="FFFFFF"/>
          <w:lang w:val="es-CR"/>
        </w:rPr>
        <w:t xml:space="preserve">El 13 de abril </w:t>
      </w:r>
      <w:r w:rsidR="00DF7693">
        <w:rPr>
          <w:rFonts w:cs="Arial"/>
          <w:color w:val="222222"/>
          <w:szCs w:val="20"/>
          <w:shd w:val="clear" w:color="auto" w:fill="FFFFFF"/>
          <w:lang w:val="es-CR"/>
        </w:rPr>
        <w:t>de 1991 Marcelina Medina Negrón</w:t>
      </w:r>
      <w:r w:rsidRPr="00563483">
        <w:rPr>
          <w:rFonts w:cs="Arial"/>
          <w:color w:val="222222"/>
          <w:szCs w:val="20"/>
          <w:shd w:val="clear" w:color="auto" w:fill="FFFFFF"/>
          <w:lang w:val="es-CR"/>
        </w:rPr>
        <w:t xml:space="preserve"> se entrevistó con el Comisario</w:t>
      </w:r>
      <w:r w:rsidR="00DF7693">
        <w:rPr>
          <w:rFonts w:cs="Arial"/>
          <w:color w:val="222222"/>
          <w:szCs w:val="20"/>
          <w:shd w:val="clear" w:color="auto" w:fill="FFFFFF"/>
          <w:lang w:val="es-CR"/>
        </w:rPr>
        <w:t xml:space="preserve"> de Tocach</w:t>
      </w:r>
      <w:r w:rsidR="00C20E4F">
        <w:rPr>
          <w:rFonts w:cs="Arial"/>
          <w:color w:val="222222"/>
          <w:szCs w:val="20"/>
          <w:shd w:val="clear" w:color="auto" w:fill="FFFFFF"/>
          <w:lang w:val="es-CR"/>
        </w:rPr>
        <w:t>e, quien</w:t>
      </w:r>
      <w:r w:rsidRPr="00563483">
        <w:rPr>
          <w:rFonts w:cs="Arial"/>
          <w:color w:val="222222"/>
          <w:szCs w:val="20"/>
          <w:shd w:val="clear" w:color="auto" w:fill="FFFFFF"/>
          <w:lang w:val="es-CR"/>
        </w:rPr>
        <w:t xml:space="preserve"> le mostró el libro de detenidos, </w:t>
      </w:r>
      <w:r w:rsidR="00DF7693">
        <w:rPr>
          <w:rFonts w:cs="Arial"/>
          <w:color w:val="222222"/>
          <w:szCs w:val="20"/>
          <w:shd w:val="clear" w:color="auto" w:fill="FFFFFF"/>
          <w:lang w:val="es-CR"/>
        </w:rPr>
        <w:t xml:space="preserve">en </w:t>
      </w:r>
      <w:r w:rsidRPr="00563483">
        <w:rPr>
          <w:rFonts w:cs="Arial"/>
          <w:color w:val="222222"/>
          <w:szCs w:val="20"/>
          <w:shd w:val="clear" w:color="auto" w:fill="FFFFFF"/>
          <w:lang w:val="es-CR"/>
        </w:rPr>
        <w:t xml:space="preserve">donde no </w:t>
      </w:r>
      <w:r w:rsidR="000B19B1" w:rsidRPr="00563483">
        <w:rPr>
          <w:rFonts w:cs="Arial"/>
          <w:color w:val="222222"/>
          <w:szCs w:val="20"/>
          <w:shd w:val="clear" w:color="auto" w:fill="FFFFFF"/>
          <w:lang w:val="es-CR"/>
        </w:rPr>
        <w:t>estaba el nombre de Né</w:t>
      </w:r>
      <w:r w:rsidRPr="00563483">
        <w:rPr>
          <w:rFonts w:cs="Arial"/>
          <w:color w:val="222222"/>
          <w:szCs w:val="20"/>
          <w:shd w:val="clear" w:color="auto" w:fill="FFFFFF"/>
          <w:lang w:val="es-CR"/>
        </w:rPr>
        <w:t xml:space="preserve">stor </w:t>
      </w:r>
      <w:r w:rsidRPr="00C328C0">
        <w:rPr>
          <w:rFonts w:cs="Arial"/>
          <w:color w:val="222222"/>
          <w:shd w:val="clear" w:color="auto" w:fill="FFFFFF"/>
          <w:lang w:val="es-CR"/>
        </w:rPr>
        <w:t>Rojas</w:t>
      </w:r>
      <w:r w:rsidR="000B19B1" w:rsidRPr="00563483">
        <w:rPr>
          <w:rFonts w:cs="Arial"/>
          <w:color w:val="222222"/>
          <w:szCs w:val="20"/>
          <w:shd w:val="clear" w:color="auto" w:fill="FFFFFF"/>
          <w:lang w:val="es-CR"/>
        </w:rPr>
        <w:t xml:space="preserve"> Medina</w:t>
      </w:r>
      <w:r w:rsidRPr="00563483">
        <w:rPr>
          <w:rFonts w:cs="Arial"/>
          <w:color w:val="222222"/>
          <w:szCs w:val="20"/>
          <w:shd w:val="clear" w:color="auto" w:fill="FFFFFF"/>
          <w:lang w:val="es-CR"/>
        </w:rPr>
        <w:t>, y se le mostraron todos los ambientes de la Comisaría</w:t>
      </w:r>
      <w:r w:rsidRPr="00563483">
        <w:rPr>
          <w:rStyle w:val="FootnoteReference"/>
          <w:color w:val="222222"/>
          <w:sz w:val="20"/>
          <w:szCs w:val="20"/>
          <w:shd w:val="clear" w:color="auto" w:fill="FFFFFF"/>
          <w:lang w:val="es-CR"/>
        </w:rPr>
        <w:footnoteReference w:id="150"/>
      </w:r>
      <w:r w:rsidRPr="00563483">
        <w:rPr>
          <w:rFonts w:cs="Arial"/>
          <w:color w:val="222222"/>
          <w:szCs w:val="20"/>
          <w:shd w:val="clear" w:color="auto" w:fill="FFFFFF"/>
          <w:lang w:val="es-CR"/>
        </w:rPr>
        <w:t xml:space="preserve">. El 15 de abril de 1991 el Ministerio de Defensa comunicó que Néstor Rojas </w:t>
      </w:r>
      <w:r w:rsidR="000B19B1" w:rsidRPr="00563483">
        <w:rPr>
          <w:rFonts w:cs="Arial"/>
          <w:color w:val="222222"/>
          <w:szCs w:val="20"/>
          <w:shd w:val="clear" w:color="auto" w:fill="FFFFFF"/>
          <w:lang w:val="es-CR"/>
        </w:rPr>
        <w:t xml:space="preserve">Medina </w:t>
      </w:r>
      <w:r w:rsidR="00DF7693">
        <w:rPr>
          <w:rFonts w:cs="Arial"/>
          <w:color w:val="222222"/>
          <w:szCs w:val="20"/>
          <w:shd w:val="clear" w:color="auto" w:fill="FFFFFF"/>
          <w:lang w:val="es-CR"/>
        </w:rPr>
        <w:t xml:space="preserve">no había sido entregado </w:t>
      </w:r>
      <w:r w:rsidRPr="00563483">
        <w:rPr>
          <w:rFonts w:cs="Arial"/>
          <w:color w:val="222222"/>
          <w:szCs w:val="20"/>
          <w:shd w:val="clear" w:color="auto" w:fill="FFFFFF"/>
          <w:lang w:val="es-CR"/>
        </w:rPr>
        <w:t>a la Base Contrasubversiva del Frente Huallaga ni a la PNP de Tocache</w:t>
      </w:r>
      <w:r w:rsidRPr="00563483">
        <w:rPr>
          <w:rStyle w:val="FootnoteReference"/>
          <w:color w:val="222222"/>
          <w:sz w:val="20"/>
          <w:szCs w:val="20"/>
          <w:shd w:val="clear" w:color="auto" w:fill="FFFFFF"/>
          <w:lang w:val="es-CR"/>
        </w:rPr>
        <w:footnoteReference w:id="151"/>
      </w:r>
      <w:r w:rsidRPr="00563483">
        <w:rPr>
          <w:rFonts w:cs="Arial"/>
          <w:color w:val="222222"/>
          <w:shd w:val="clear" w:color="auto" w:fill="FFFFFF"/>
          <w:lang w:val="es-CR"/>
        </w:rPr>
        <w:t>. El 17 de abril de 1991, además, Marcelina Medina Negr</w:t>
      </w:r>
      <w:r w:rsidR="004C4DA1">
        <w:rPr>
          <w:rFonts w:cs="Arial"/>
          <w:color w:val="222222"/>
          <w:shd w:val="clear" w:color="auto" w:fill="FFFFFF"/>
          <w:lang w:val="es-CR"/>
        </w:rPr>
        <w:t>ón compareció al BCS Nro. 26 de</w:t>
      </w:r>
      <w:r w:rsidRPr="00563483">
        <w:rPr>
          <w:rFonts w:cs="Arial"/>
          <w:color w:val="222222"/>
          <w:shd w:val="clear" w:color="auto" w:fill="FFFFFF"/>
          <w:lang w:val="es-CR"/>
        </w:rPr>
        <w:t xml:space="preserve"> Tocache y se dejó const</w:t>
      </w:r>
      <w:r w:rsidR="000B19B1" w:rsidRPr="00563483">
        <w:rPr>
          <w:rFonts w:cs="Arial"/>
          <w:color w:val="222222"/>
          <w:shd w:val="clear" w:color="auto" w:fill="FFFFFF"/>
          <w:lang w:val="es-CR"/>
        </w:rPr>
        <w:t>ancia que tampoco es</w:t>
      </w:r>
      <w:r w:rsidR="000B19B1" w:rsidRPr="00563483">
        <w:rPr>
          <w:rFonts w:cs="Arial"/>
          <w:color w:val="222222"/>
          <w:szCs w:val="20"/>
          <w:shd w:val="clear" w:color="auto" w:fill="FFFFFF"/>
          <w:lang w:val="es-CR"/>
        </w:rPr>
        <w:t>taba allí su hijo</w:t>
      </w:r>
      <w:r w:rsidRPr="00563483">
        <w:rPr>
          <w:rStyle w:val="FootnoteReference"/>
          <w:color w:val="222222"/>
          <w:sz w:val="20"/>
          <w:szCs w:val="20"/>
          <w:shd w:val="clear" w:color="auto" w:fill="FFFFFF"/>
          <w:lang w:val="es-CR"/>
        </w:rPr>
        <w:footnoteReference w:id="152"/>
      </w:r>
      <w:r w:rsidR="000B19B1" w:rsidRPr="00563483">
        <w:rPr>
          <w:rFonts w:cs="Arial"/>
          <w:color w:val="222222"/>
          <w:szCs w:val="20"/>
          <w:shd w:val="clear" w:color="auto" w:fill="FFFFFF"/>
          <w:lang w:val="es-CR"/>
        </w:rPr>
        <w:t>. El 9 de mayo de 1991</w:t>
      </w:r>
      <w:r w:rsidRPr="00563483">
        <w:rPr>
          <w:rFonts w:cs="Arial"/>
          <w:color w:val="222222"/>
          <w:szCs w:val="20"/>
          <w:shd w:val="clear" w:color="auto" w:fill="FFFFFF"/>
          <w:lang w:val="es-CR"/>
        </w:rPr>
        <w:t xml:space="preserve"> la se</w:t>
      </w:r>
      <w:r w:rsidR="000B19B1" w:rsidRPr="00563483">
        <w:rPr>
          <w:rFonts w:cs="Arial"/>
          <w:color w:val="222222"/>
          <w:szCs w:val="20"/>
          <w:shd w:val="clear" w:color="auto" w:fill="FFFFFF"/>
          <w:lang w:val="es-CR"/>
        </w:rPr>
        <w:t xml:space="preserve">ñora Medina Negrón </w:t>
      </w:r>
      <w:r w:rsidRPr="00563483">
        <w:rPr>
          <w:rFonts w:cs="Arial"/>
          <w:color w:val="222222"/>
          <w:szCs w:val="20"/>
          <w:shd w:val="clear" w:color="auto" w:fill="FFFFFF"/>
          <w:lang w:val="es-CR"/>
        </w:rPr>
        <w:t>presentó una denuncia ante el entonces Presidente Alberto Fujimori sobre la desaparición de</w:t>
      </w:r>
      <w:r w:rsidR="00DF7693">
        <w:rPr>
          <w:rFonts w:cs="Arial"/>
          <w:color w:val="222222"/>
          <w:szCs w:val="20"/>
          <w:shd w:val="clear" w:color="auto" w:fill="FFFFFF"/>
          <w:lang w:val="es-CR"/>
        </w:rPr>
        <w:t xml:space="preserve"> su hijo</w:t>
      </w:r>
      <w:r w:rsidRPr="00563483">
        <w:rPr>
          <w:rStyle w:val="FootnoteReference"/>
          <w:color w:val="222222"/>
          <w:sz w:val="20"/>
          <w:szCs w:val="20"/>
          <w:shd w:val="clear" w:color="auto" w:fill="FFFFFF"/>
          <w:lang w:val="es-CR"/>
        </w:rPr>
        <w:footnoteReference w:id="153"/>
      </w:r>
      <w:r w:rsidR="000B19B1" w:rsidRPr="00563483">
        <w:rPr>
          <w:rFonts w:cs="Arial"/>
          <w:color w:val="222222"/>
          <w:szCs w:val="20"/>
          <w:shd w:val="clear" w:color="auto" w:fill="FFFFFF"/>
          <w:lang w:val="es-CR"/>
        </w:rPr>
        <w:t>. El 22 de mayo de 1991</w:t>
      </w:r>
      <w:r w:rsidRPr="00563483">
        <w:rPr>
          <w:rFonts w:cs="Arial"/>
          <w:color w:val="222222"/>
          <w:szCs w:val="20"/>
          <w:shd w:val="clear" w:color="auto" w:fill="FFFFFF"/>
          <w:lang w:val="es-CR"/>
        </w:rPr>
        <w:t xml:space="preserve"> Marcelina Me</w:t>
      </w:r>
      <w:r w:rsidR="00DF7693">
        <w:rPr>
          <w:rFonts w:cs="Arial"/>
          <w:color w:val="222222"/>
          <w:szCs w:val="20"/>
          <w:shd w:val="clear" w:color="auto" w:fill="FFFFFF"/>
          <w:lang w:val="es-CR"/>
        </w:rPr>
        <w:t>dina Negrón amplió su denuncia y manifestó</w:t>
      </w:r>
      <w:r w:rsidRPr="00563483">
        <w:rPr>
          <w:rFonts w:cs="Arial"/>
          <w:color w:val="222222"/>
          <w:szCs w:val="20"/>
          <w:shd w:val="clear" w:color="auto" w:fill="FFFFFF"/>
          <w:lang w:val="es-CR"/>
        </w:rPr>
        <w:t xml:space="preserve"> que “su hijo fue puesto a disposición del Ejército estando detenido por 15 días en el Cuartel de Tocache” y que “un Sargento Segundo del Ejército le manifestó que efectivamente su hijo estuvo detenido conjuntamente con otras dos personas y que h</w:t>
      </w:r>
      <w:r w:rsidR="000B19B1" w:rsidRPr="00563483">
        <w:rPr>
          <w:rFonts w:cs="Arial"/>
          <w:color w:val="222222"/>
          <w:szCs w:val="20"/>
          <w:shd w:val="clear" w:color="auto" w:fill="FFFFFF"/>
          <w:lang w:val="es-CR"/>
        </w:rPr>
        <w:t xml:space="preserve">an sido trasladados a Lima, que </w:t>
      </w:r>
      <w:r w:rsidRPr="00563483">
        <w:rPr>
          <w:rFonts w:cs="Arial"/>
          <w:color w:val="222222"/>
          <w:szCs w:val="20"/>
          <w:shd w:val="clear" w:color="auto" w:fill="FFFFFF"/>
          <w:lang w:val="es-CR"/>
        </w:rPr>
        <w:t>estarían en el cuartel del Ejército en Chorrillos”</w:t>
      </w:r>
      <w:r w:rsidRPr="00563483">
        <w:rPr>
          <w:rStyle w:val="FootnoteReference"/>
          <w:color w:val="222222"/>
          <w:sz w:val="20"/>
          <w:szCs w:val="20"/>
          <w:shd w:val="clear" w:color="auto" w:fill="FFFFFF"/>
          <w:lang w:val="es-CR"/>
        </w:rPr>
        <w:footnoteReference w:id="154"/>
      </w:r>
      <w:r w:rsidR="000B19B1" w:rsidRPr="00563483">
        <w:rPr>
          <w:rFonts w:cs="Arial"/>
          <w:color w:val="222222"/>
          <w:szCs w:val="20"/>
          <w:shd w:val="clear" w:color="auto" w:fill="FFFFFF"/>
          <w:lang w:val="es-CR"/>
        </w:rPr>
        <w:t>. El 22 de septiembre de 1991</w:t>
      </w:r>
      <w:r w:rsidRPr="00563483">
        <w:rPr>
          <w:rFonts w:cs="Arial"/>
          <w:color w:val="222222"/>
          <w:szCs w:val="20"/>
          <w:shd w:val="clear" w:color="auto" w:fill="FFFFFF"/>
          <w:lang w:val="es-CR"/>
        </w:rPr>
        <w:t xml:space="preserve"> Marcelina Medina Negró</w:t>
      </w:r>
      <w:r w:rsidR="00ED1E37">
        <w:rPr>
          <w:rFonts w:cs="Arial"/>
          <w:color w:val="222222"/>
          <w:szCs w:val="20"/>
          <w:shd w:val="clear" w:color="auto" w:fill="FFFFFF"/>
          <w:lang w:val="es-CR"/>
        </w:rPr>
        <w:t>n</w:t>
      </w:r>
      <w:r w:rsidRPr="00563483">
        <w:rPr>
          <w:rFonts w:cs="Arial"/>
          <w:color w:val="222222"/>
          <w:szCs w:val="20"/>
          <w:shd w:val="clear" w:color="auto" w:fill="FFFFFF"/>
          <w:lang w:val="es-CR"/>
        </w:rPr>
        <w:t xml:space="preserve"> rindió su primera declaración indagatoria</w:t>
      </w:r>
      <w:r w:rsidRPr="00563483">
        <w:rPr>
          <w:rStyle w:val="FootnoteReference"/>
          <w:color w:val="222222"/>
          <w:sz w:val="20"/>
          <w:szCs w:val="20"/>
          <w:shd w:val="clear" w:color="auto" w:fill="FFFFFF"/>
          <w:lang w:val="es-CR"/>
        </w:rPr>
        <w:footnoteReference w:id="155"/>
      </w:r>
      <w:r w:rsidRPr="00563483">
        <w:rPr>
          <w:rFonts w:cs="Arial"/>
          <w:color w:val="222222"/>
          <w:szCs w:val="20"/>
          <w:shd w:val="clear" w:color="auto" w:fill="FFFFFF"/>
          <w:lang w:val="es-CR"/>
        </w:rPr>
        <w:t xml:space="preserve">. </w:t>
      </w:r>
      <w:r w:rsidRPr="00563483">
        <w:rPr>
          <w:rFonts w:cs="Arial"/>
          <w:color w:val="222222"/>
          <w:shd w:val="clear" w:color="auto" w:fill="FFFFFF"/>
          <w:lang w:val="es-CR"/>
        </w:rPr>
        <w:t xml:space="preserve">En esa misma fecha, el Instituto Nacional Penitenciario comunicó al Fiscal que Néstor Rojas </w:t>
      </w:r>
      <w:r w:rsidR="000B19B1" w:rsidRPr="00563483">
        <w:rPr>
          <w:rFonts w:cs="Arial"/>
          <w:color w:val="222222"/>
          <w:shd w:val="clear" w:color="auto" w:fill="FFFFFF"/>
          <w:lang w:val="es-CR"/>
        </w:rPr>
        <w:t xml:space="preserve">Medina </w:t>
      </w:r>
      <w:r w:rsidRPr="00563483">
        <w:rPr>
          <w:rFonts w:cs="Arial"/>
          <w:color w:val="222222"/>
          <w:shd w:val="clear" w:color="auto" w:fill="FFFFFF"/>
          <w:lang w:val="es-CR"/>
        </w:rPr>
        <w:t>no se e</w:t>
      </w:r>
      <w:r w:rsidR="004C4DA1">
        <w:rPr>
          <w:rFonts w:cs="Arial"/>
          <w:color w:val="222222"/>
          <w:szCs w:val="20"/>
          <w:shd w:val="clear" w:color="auto" w:fill="FFFFFF"/>
          <w:lang w:val="es-CR"/>
        </w:rPr>
        <w:t>ncuentra ingresado</w:t>
      </w:r>
      <w:r w:rsidRPr="00563483">
        <w:rPr>
          <w:rFonts w:cs="Arial"/>
          <w:color w:val="222222"/>
          <w:szCs w:val="20"/>
          <w:shd w:val="clear" w:color="auto" w:fill="FFFFFF"/>
          <w:lang w:val="es-CR"/>
        </w:rPr>
        <w:t xml:space="preserve"> en </w:t>
      </w:r>
      <w:r w:rsidR="004C4DA1">
        <w:rPr>
          <w:rFonts w:cs="Arial"/>
          <w:color w:val="222222"/>
          <w:szCs w:val="20"/>
          <w:shd w:val="clear" w:color="auto" w:fill="FFFFFF"/>
          <w:lang w:val="es-CR"/>
        </w:rPr>
        <w:t>algún</w:t>
      </w:r>
      <w:r w:rsidRPr="00563483">
        <w:rPr>
          <w:rFonts w:cs="Arial"/>
          <w:color w:val="222222"/>
          <w:szCs w:val="20"/>
          <w:shd w:val="clear" w:color="auto" w:fill="FFFFFF"/>
          <w:lang w:val="es-CR"/>
        </w:rPr>
        <w:t xml:space="preserve"> centro penitenciario</w:t>
      </w:r>
      <w:r w:rsidRPr="00563483">
        <w:rPr>
          <w:rStyle w:val="FootnoteReference"/>
          <w:color w:val="222222"/>
          <w:sz w:val="20"/>
          <w:szCs w:val="20"/>
          <w:shd w:val="clear" w:color="auto" w:fill="FFFFFF"/>
          <w:lang w:val="es-CR"/>
        </w:rPr>
        <w:footnoteReference w:id="156"/>
      </w:r>
      <w:r w:rsidRPr="00563483">
        <w:rPr>
          <w:rFonts w:cs="Arial"/>
          <w:color w:val="222222"/>
          <w:szCs w:val="20"/>
          <w:shd w:val="clear" w:color="auto" w:fill="FFFFFF"/>
          <w:lang w:val="es-CR"/>
        </w:rPr>
        <w:t>. El 5 de agosto de 1992 la PNP comunicó a la Fiscalía que no existía registro de detención de Néstor Rojas</w:t>
      </w:r>
      <w:r w:rsidR="00397FFB">
        <w:rPr>
          <w:rFonts w:cs="Arial"/>
          <w:color w:val="222222"/>
          <w:szCs w:val="20"/>
          <w:shd w:val="clear" w:color="auto" w:fill="FFFFFF"/>
          <w:lang w:val="es-CR"/>
        </w:rPr>
        <w:t xml:space="preserve"> Medina</w:t>
      </w:r>
      <w:r w:rsidRPr="00563483">
        <w:rPr>
          <w:rStyle w:val="FootnoteReference"/>
          <w:color w:val="222222"/>
          <w:sz w:val="20"/>
          <w:szCs w:val="20"/>
          <w:shd w:val="clear" w:color="auto" w:fill="FFFFFF"/>
          <w:lang w:val="es-CR"/>
        </w:rPr>
        <w:footnoteReference w:id="157"/>
      </w:r>
      <w:r w:rsidRPr="00563483">
        <w:rPr>
          <w:rFonts w:cs="Arial"/>
          <w:color w:val="222222"/>
          <w:shd w:val="clear" w:color="auto" w:fill="FFFFFF"/>
          <w:lang w:val="es-CR"/>
        </w:rPr>
        <w:t>.</w:t>
      </w:r>
    </w:p>
    <w:p w:rsidR="00191347" w:rsidRPr="004A5D6B" w:rsidRDefault="00191347" w:rsidP="00191347">
      <w:pPr>
        <w:pStyle w:val="ListParagraph"/>
        <w:autoSpaceDE w:val="0"/>
        <w:autoSpaceDN w:val="0"/>
        <w:adjustRightInd w:val="0"/>
        <w:spacing w:line="20" w:lineRule="atLeast"/>
        <w:ind w:left="0" w:right="-138"/>
        <w:rPr>
          <w:rFonts w:cs="Arial"/>
          <w:color w:val="222222"/>
          <w:shd w:val="clear" w:color="auto" w:fill="FFFFFF"/>
          <w:lang w:val="es-CR"/>
        </w:rPr>
      </w:pPr>
    </w:p>
    <w:p w:rsidR="00191347" w:rsidRPr="00C65EA4" w:rsidRDefault="00191347" w:rsidP="00C328C0">
      <w:pPr>
        <w:pStyle w:val="ListParagraph"/>
        <w:widowControl w:val="0"/>
        <w:numPr>
          <w:ilvl w:val="0"/>
          <w:numId w:val="1"/>
        </w:numPr>
        <w:tabs>
          <w:tab w:val="left" w:pos="0"/>
        </w:tabs>
        <w:adjustRightInd w:val="0"/>
        <w:ind w:left="0" w:firstLine="0"/>
        <w:rPr>
          <w:rFonts w:cs="Arial"/>
          <w:i/>
          <w:color w:val="222222"/>
          <w:shd w:val="clear" w:color="auto" w:fill="FFFFFF"/>
          <w:lang w:val="es-CR"/>
        </w:rPr>
      </w:pPr>
      <w:r w:rsidRPr="000B2F26">
        <w:rPr>
          <w:rFonts w:cs="Arial"/>
          <w:color w:val="222222"/>
          <w:shd w:val="clear" w:color="auto" w:fill="FFFFFF"/>
          <w:lang w:val="es-CR"/>
        </w:rPr>
        <w:t>El 18 de enero de 2000 remitió “los actuados” a la PNP con el fin de que contin</w:t>
      </w:r>
      <w:r w:rsidR="00603D8C">
        <w:rPr>
          <w:rFonts w:cs="Arial"/>
          <w:color w:val="222222"/>
          <w:shd w:val="clear" w:color="auto" w:fill="FFFFFF"/>
          <w:lang w:val="es-CR"/>
        </w:rPr>
        <w:t>ú</w:t>
      </w:r>
      <w:r w:rsidRPr="000B2F26">
        <w:rPr>
          <w:rFonts w:cs="Arial"/>
          <w:color w:val="222222"/>
          <w:shd w:val="clear" w:color="auto" w:fill="FFFFFF"/>
          <w:lang w:val="es-CR"/>
        </w:rPr>
        <w:t xml:space="preserve">en las investigaciones sobre el </w:t>
      </w:r>
      <w:r w:rsidRPr="00364732">
        <w:rPr>
          <w:rFonts w:cs="Arial"/>
          <w:color w:val="222222"/>
          <w:szCs w:val="20"/>
          <w:shd w:val="clear" w:color="auto" w:fill="FFFFFF"/>
          <w:lang w:val="es-CR"/>
        </w:rPr>
        <w:t>hecho</w:t>
      </w:r>
      <w:r w:rsidRPr="00364732">
        <w:rPr>
          <w:rStyle w:val="FootnoteReference"/>
          <w:color w:val="222222"/>
          <w:sz w:val="20"/>
          <w:szCs w:val="20"/>
          <w:shd w:val="clear" w:color="auto" w:fill="FFFFFF"/>
          <w:lang w:val="es-CR"/>
        </w:rPr>
        <w:footnoteReference w:id="158"/>
      </w:r>
      <w:r w:rsidRPr="00364732">
        <w:rPr>
          <w:rFonts w:cs="Arial"/>
          <w:color w:val="222222"/>
          <w:szCs w:val="20"/>
          <w:shd w:val="clear" w:color="auto" w:fill="FFFFFF"/>
          <w:lang w:val="es-CR"/>
        </w:rPr>
        <w:t xml:space="preserve">. El 5 de abril de 2000 la Policía Nacional de Tocache presentó </w:t>
      </w:r>
      <w:r w:rsidR="004C4DA1">
        <w:rPr>
          <w:rFonts w:cs="Arial"/>
          <w:color w:val="222222"/>
          <w:szCs w:val="20"/>
          <w:shd w:val="clear" w:color="auto" w:fill="FFFFFF"/>
          <w:lang w:val="es-CR"/>
        </w:rPr>
        <w:t xml:space="preserve">una nota </w:t>
      </w:r>
      <w:r w:rsidRPr="00364732">
        <w:rPr>
          <w:rFonts w:cs="Arial"/>
          <w:color w:val="222222"/>
          <w:szCs w:val="20"/>
          <w:shd w:val="clear" w:color="auto" w:fill="FFFFFF"/>
          <w:lang w:val="es-CR"/>
        </w:rPr>
        <w:t xml:space="preserve">policial en </w:t>
      </w:r>
      <w:r w:rsidR="00795EC1">
        <w:rPr>
          <w:rFonts w:cs="Arial"/>
          <w:color w:val="222222"/>
          <w:szCs w:val="20"/>
          <w:shd w:val="clear" w:color="auto" w:fill="FFFFFF"/>
          <w:lang w:val="es-CR"/>
        </w:rPr>
        <w:t>la</w:t>
      </w:r>
      <w:r w:rsidRPr="00364732">
        <w:rPr>
          <w:rFonts w:cs="Arial"/>
          <w:color w:val="222222"/>
          <w:szCs w:val="20"/>
          <w:shd w:val="clear" w:color="auto" w:fill="FFFFFF"/>
          <w:lang w:val="es-CR"/>
        </w:rPr>
        <w:t xml:space="preserve"> que concluyeron que no se ha logrado determinar que Néstor Rojas</w:t>
      </w:r>
      <w:r w:rsidR="00364732">
        <w:rPr>
          <w:rFonts w:cs="Arial"/>
          <w:color w:val="222222"/>
          <w:szCs w:val="20"/>
          <w:shd w:val="clear" w:color="auto" w:fill="FFFFFF"/>
          <w:lang w:val="es-CR"/>
        </w:rPr>
        <w:t xml:space="preserve"> Medina</w:t>
      </w:r>
      <w:r w:rsidRPr="00364732">
        <w:rPr>
          <w:rFonts w:cs="Arial"/>
          <w:color w:val="222222"/>
          <w:szCs w:val="20"/>
          <w:shd w:val="clear" w:color="auto" w:fill="FFFFFF"/>
          <w:lang w:val="es-CR"/>
        </w:rPr>
        <w:t xml:space="preserve"> hubiese sido intervenido por oficiales de las Fuerzas del Orden, y remitió declaración tomada a </w:t>
      </w:r>
      <w:r w:rsidR="004E00BC">
        <w:rPr>
          <w:rFonts w:cs="Arial"/>
          <w:color w:val="222222"/>
          <w:szCs w:val="20"/>
          <w:shd w:val="clear" w:color="auto" w:fill="FFFFFF"/>
          <w:lang w:val="es-CR"/>
        </w:rPr>
        <w:t xml:space="preserve">HUC, </w:t>
      </w:r>
      <w:r w:rsidRPr="00364732">
        <w:rPr>
          <w:rFonts w:cs="Arial"/>
          <w:color w:val="222222"/>
          <w:szCs w:val="20"/>
          <w:shd w:val="clear" w:color="auto" w:fill="FFFFFF"/>
          <w:lang w:val="es-CR"/>
        </w:rPr>
        <w:t>quien indicó conocer de la detención de Néstor Rojas</w:t>
      </w:r>
      <w:r w:rsidR="00364732">
        <w:rPr>
          <w:rFonts w:cs="Arial"/>
          <w:color w:val="222222"/>
          <w:szCs w:val="20"/>
          <w:shd w:val="clear" w:color="auto" w:fill="FFFFFF"/>
          <w:lang w:val="es-CR"/>
        </w:rPr>
        <w:t xml:space="preserve"> Medina</w:t>
      </w:r>
      <w:r w:rsidRPr="00364732">
        <w:rPr>
          <w:rFonts w:cs="Arial"/>
          <w:color w:val="222222"/>
          <w:szCs w:val="20"/>
          <w:shd w:val="clear" w:color="auto" w:fill="FFFFFF"/>
          <w:lang w:val="es-CR"/>
        </w:rPr>
        <w:t xml:space="preserve"> “por versión de su esposa”</w:t>
      </w:r>
      <w:r w:rsidRPr="00364732">
        <w:rPr>
          <w:rStyle w:val="FootnoteReference"/>
          <w:color w:val="222222"/>
          <w:sz w:val="20"/>
          <w:szCs w:val="20"/>
          <w:shd w:val="clear" w:color="auto" w:fill="FFFFFF"/>
          <w:lang w:val="es-CR"/>
        </w:rPr>
        <w:footnoteReference w:id="159"/>
      </w:r>
      <w:r w:rsidRPr="00364732">
        <w:rPr>
          <w:rFonts w:cs="Arial"/>
          <w:color w:val="222222"/>
          <w:szCs w:val="20"/>
          <w:shd w:val="clear" w:color="auto" w:fill="FFFFFF"/>
          <w:lang w:val="es-CR"/>
        </w:rPr>
        <w:t xml:space="preserve">, y que habría sido sacado “de su domicilio en horas de la noche, por 08 sujetos que </w:t>
      </w:r>
      <w:r w:rsidR="00FD6317">
        <w:rPr>
          <w:rFonts w:cs="Arial"/>
          <w:color w:val="222222"/>
          <w:szCs w:val="20"/>
          <w:shd w:val="clear" w:color="auto" w:fill="FFFFFF"/>
          <w:lang w:val="es-CR"/>
        </w:rPr>
        <w:t xml:space="preserve">[tenían] </w:t>
      </w:r>
      <w:r w:rsidRPr="00364732">
        <w:rPr>
          <w:rFonts w:cs="Arial"/>
          <w:color w:val="222222"/>
          <w:szCs w:val="20"/>
          <w:shd w:val="clear" w:color="auto" w:fill="FFFFFF"/>
          <w:lang w:val="es-CR"/>
        </w:rPr>
        <w:t>cubiertos el rostro”, y que se desconoce quiénes lo detuvieron. El 25 de abril de 2000 la Fiscalía remitió la investigación a la Policía para que continuara con las diligencias de ubicación de Néstor Rojas Medina</w:t>
      </w:r>
      <w:r w:rsidRPr="00364732">
        <w:rPr>
          <w:rStyle w:val="FootnoteReference"/>
          <w:color w:val="222222"/>
          <w:sz w:val="20"/>
          <w:szCs w:val="20"/>
          <w:shd w:val="clear" w:color="auto" w:fill="FFFFFF"/>
          <w:lang w:val="es-CR"/>
        </w:rPr>
        <w:footnoteReference w:id="160"/>
      </w:r>
      <w:r w:rsidR="00364732">
        <w:rPr>
          <w:rFonts w:cs="Arial"/>
          <w:color w:val="222222"/>
          <w:szCs w:val="20"/>
          <w:shd w:val="clear" w:color="auto" w:fill="FFFFFF"/>
          <w:lang w:val="es-CR"/>
        </w:rPr>
        <w:t>. El 12 de junio de 2000</w:t>
      </w:r>
      <w:r w:rsidRPr="00364732">
        <w:rPr>
          <w:rFonts w:cs="Arial"/>
          <w:color w:val="222222"/>
          <w:szCs w:val="20"/>
          <w:shd w:val="clear" w:color="auto" w:fill="FFFFFF"/>
          <w:lang w:val="es-CR"/>
        </w:rPr>
        <w:t xml:space="preserve"> la Policía Nacional de Tocache reiteró que no </w:t>
      </w:r>
      <w:r w:rsidR="004C4DA1">
        <w:rPr>
          <w:rFonts w:cs="Arial"/>
          <w:color w:val="222222"/>
          <w:szCs w:val="20"/>
          <w:shd w:val="clear" w:color="auto" w:fill="FFFFFF"/>
          <w:lang w:val="es-CR"/>
        </w:rPr>
        <w:t>ha logrado determinar que</w:t>
      </w:r>
      <w:r w:rsidRPr="00364732">
        <w:rPr>
          <w:rFonts w:cs="Arial"/>
          <w:color w:val="222222"/>
          <w:szCs w:val="20"/>
          <w:shd w:val="clear" w:color="auto" w:fill="FFFFFF"/>
          <w:lang w:val="es-CR"/>
        </w:rPr>
        <w:t xml:space="preserve"> </w:t>
      </w:r>
      <w:r w:rsidR="00793B9A">
        <w:rPr>
          <w:rFonts w:cs="Arial"/>
          <w:color w:val="222222"/>
          <w:szCs w:val="20"/>
          <w:shd w:val="clear" w:color="auto" w:fill="FFFFFF"/>
          <w:lang w:val="es-CR"/>
        </w:rPr>
        <w:t xml:space="preserve">el señor </w:t>
      </w:r>
      <w:r w:rsidRPr="00364732">
        <w:rPr>
          <w:rFonts w:cs="Arial"/>
          <w:color w:val="222222"/>
          <w:szCs w:val="20"/>
          <w:shd w:val="clear" w:color="auto" w:fill="FFFFFF"/>
          <w:lang w:val="es-CR"/>
        </w:rPr>
        <w:t xml:space="preserve">Rojas </w:t>
      </w:r>
      <w:r w:rsidR="00FD6317">
        <w:rPr>
          <w:rFonts w:cs="Arial"/>
          <w:color w:val="222222"/>
          <w:szCs w:val="20"/>
          <w:shd w:val="clear" w:color="auto" w:fill="FFFFFF"/>
          <w:lang w:val="es-CR"/>
        </w:rPr>
        <w:lastRenderedPageBreak/>
        <w:t xml:space="preserve">Medina </w:t>
      </w:r>
      <w:r w:rsidRPr="00364732">
        <w:rPr>
          <w:rFonts w:cs="Arial"/>
          <w:color w:val="222222"/>
          <w:szCs w:val="20"/>
          <w:shd w:val="clear" w:color="auto" w:fill="FFFFFF"/>
          <w:lang w:val="es-CR"/>
        </w:rPr>
        <w:t>hubiese sido intervenido por oficiales de las Fuerzas del Orden, y al contrario, pr</w:t>
      </w:r>
      <w:r w:rsidR="00FD6317">
        <w:rPr>
          <w:rFonts w:cs="Arial"/>
          <w:color w:val="222222"/>
          <w:szCs w:val="20"/>
          <w:shd w:val="clear" w:color="auto" w:fill="FFFFFF"/>
          <w:lang w:val="es-CR"/>
        </w:rPr>
        <w:t>esume que fue</w:t>
      </w:r>
      <w:r w:rsidR="00364732">
        <w:rPr>
          <w:rFonts w:cs="Arial"/>
          <w:color w:val="222222"/>
          <w:szCs w:val="20"/>
          <w:shd w:val="clear" w:color="auto" w:fill="FFFFFF"/>
          <w:lang w:val="es-CR"/>
        </w:rPr>
        <w:t xml:space="preserve"> “intervenido por</w:t>
      </w:r>
      <w:r w:rsidRPr="00364732">
        <w:rPr>
          <w:rFonts w:cs="Arial"/>
          <w:color w:val="222222"/>
          <w:szCs w:val="20"/>
          <w:shd w:val="clear" w:color="auto" w:fill="FFFFFF"/>
          <w:lang w:val="es-CR"/>
        </w:rPr>
        <w:t xml:space="preserve"> DD.TT. si se tiene</w:t>
      </w:r>
      <w:r w:rsidR="00FD6317">
        <w:rPr>
          <w:rFonts w:cs="Arial"/>
          <w:color w:val="222222"/>
          <w:szCs w:val="20"/>
          <w:shd w:val="clear" w:color="auto" w:fill="FFFFFF"/>
          <w:lang w:val="es-CR"/>
        </w:rPr>
        <w:t xml:space="preserve"> en cuenta que esa oportunidad</w:t>
      </w:r>
      <w:r w:rsidR="004C4DA1">
        <w:rPr>
          <w:rFonts w:cs="Arial"/>
          <w:color w:val="222222"/>
          <w:szCs w:val="20"/>
          <w:shd w:val="clear" w:color="auto" w:fill="FFFFFF"/>
          <w:lang w:val="es-CR"/>
        </w:rPr>
        <w:t xml:space="preserve"> </w:t>
      </w:r>
      <w:r w:rsidRPr="004C4DA1">
        <w:rPr>
          <w:rFonts w:cs="Arial"/>
          <w:color w:val="222222"/>
          <w:szCs w:val="20"/>
          <w:shd w:val="clear" w:color="auto" w:fill="FFFFFF"/>
          <w:lang w:val="es-CR"/>
        </w:rPr>
        <w:t>la</w:t>
      </w:r>
      <w:r w:rsidR="004C4DA1">
        <w:rPr>
          <w:rFonts w:cs="Arial"/>
          <w:color w:val="222222"/>
          <w:szCs w:val="20"/>
          <w:shd w:val="clear" w:color="auto" w:fill="FFFFFF"/>
          <w:lang w:val="es-CR"/>
        </w:rPr>
        <w:t xml:space="preserve"> delincuencia subversiva en e</w:t>
      </w:r>
      <w:r w:rsidRPr="00364732">
        <w:rPr>
          <w:rFonts w:cs="Arial"/>
          <w:color w:val="222222"/>
          <w:szCs w:val="20"/>
          <w:shd w:val="clear" w:color="auto" w:fill="FFFFFF"/>
          <w:lang w:val="es-CR"/>
        </w:rPr>
        <w:t>sta Provincia se encontraba en pleno apogeo”</w:t>
      </w:r>
      <w:r w:rsidRPr="00364732">
        <w:rPr>
          <w:rStyle w:val="FootnoteReference"/>
          <w:color w:val="222222"/>
          <w:sz w:val="20"/>
          <w:szCs w:val="20"/>
          <w:shd w:val="clear" w:color="auto" w:fill="FFFFFF"/>
          <w:lang w:val="es-CR"/>
        </w:rPr>
        <w:footnoteReference w:id="161"/>
      </w:r>
      <w:r w:rsidRPr="00364732">
        <w:rPr>
          <w:rFonts w:cs="Arial"/>
          <w:color w:val="222222"/>
          <w:szCs w:val="20"/>
          <w:shd w:val="clear" w:color="auto" w:fill="FFFFFF"/>
          <w:lang w:val="es-CR"/>
        </w:rPr>
        <w:t xml:space="preserve">. </w:t>
      </w:r>
      <w:r w:rsidRPr="000B2F26">
        <w:rPr>
          <w:rFonts w:cs="Arial"/>
          <w:color w:val="222222"/>
          <w:shd w:val="clear" w:color="auto" w:fill="FFFFFF"/>
          <w:lang w:val="es-CR"/>
        </w:rPr>
        <w:t xml:space="preserve">El </w:t>
      </w:r>
      <w:r w:rsidRPr="002366E1">
        <w:rPr>
          <w:rFonts w:cs="Arial"/>
          <w:color w:val="222222"/>
          <w:shd w:val="clear" w:color="auto" w:fill="FFFFFF"/>
          <w:lang w:val="es-CR"/>
        </w:rPr>
        <w:t>11 de julio</w:t>
      </w:r>
      <w:r w:rsidRPr="000B2F26">
        <w:rPr>
          <w:rFonts w:cs="Arial"/>
          <w:color w:val="222222"/>
          <w:shd w:val="clear" w:color="auto" w:fill="FFFFFF"/>
          <w:lang w:val="es-CR"/>
        </w:rPr>
        <w:t xml:space="preserve"> de 2000 la Fiscalía emitió una resolución en la que indicó que no tenía certeza de quiénes detuvieron a la víctima, por lo que dispuso el archiv</w:t>
      </w:r>
      <w:r w:rsidR="00FD6317">
        <w:rPr>
          <w:rFonts w:cs="Arial"/>
          <w:color w:val="222222"/>
          <w:shd w:val="clear" w:color="auto" w:fill="FFFFFF"/>
          <w:lang w:val="es-CR"/>
        </w:rPr>
        <w:t>o provisional del caso y</w:t>
      </w:r>
      <w:r w:rsidRPr="000B2F26">
        <w:rPr>
          <w:rFonts w:cs="Arial"/>
          <w:color w:val="222222"/>
          <w:shd w:val="clear" w:color="auto" w:fill="FFFFFF"/>
          <w:lang w:val="es-CR"/>
        </w:rPr>
        <w:t xml:space="preserve"> que la Comisaría de Tocache continuara con la investigación</w:t>
      </w:r>
      <w:r w:rsidRPr="00364732">
        <w:rPr>
          <w:rStyle w:val="FootnoteReference"/>
          <w:color w:val="222222"/>
          <w:sz w:val="20"/>
          <w:szCs w:val="20"/>
          <w:shd w:val="clear" w:color="auto" w:fill="FFFFFF"/>
          <w:lang w:val="es-CR"/>
        </w:rPr>
        <w:footnoteReference w:id="162"/>
      </w:r>
      <w:r w:rsidRPr="00364732">
        <w:rPr>
          <w:rFonts w:cs="Arial"/>
          <w:color w:val="222222"/>
          <w:szCs w:val="20"/>
          <w:shd w:val="clear" w:color="auto" w:fill="FFFFFF"/>
          <w:lang w:val="es-CR"/>
        </w:rPr>
        <w:t>.</w:t>
      </w:r>
    </w:p>
    <w:p w:rsidR="00C65EA4" w:rsidRPr="00D23B4E" w:rsidRDefault="00C65EA4" w:rsidP="00C65EA4">
      <w:pPr>
        <w:pStyle w:val="ListParagraph"/>
        <w:autoSpaceDE w:val="0"/>
        <w:autoSpaceDN w:val="0"/>
        <w:adjustRightInd w:val="0"/>
        <w:spacing w:line="20" w:lineRule="atLeast"/>
        <w:ind w:left="0" w:right="-138"/>
        <w:rPr>
          <w:rFonts w:cs="Arial"/>
          <w:i/>
          <w:color w:val="222222"/>
          <w:shd w:val="clear" w:color="auto" w:fill="FFFFFF"/>
          <w:lang w:val="es-CR"/>
        </w:rPr>
      </w:pPr>
    </w:p>
    <w:p w:rsidR="00191347" w:rsidRDefault="009718A2" w:rsidP="00191347">
      <w:pPr>
        <w:pStyle w:val="ListParagraph"/>
        <w:autoSpaceDE w:val="0"/>
        <w:autoSpaceDN w:val="0"/>
        <w:adjustRightInd w:val="0"/>
        <w:spacing w:line="20" w:lineRule="atLeast"/>
        <w:ind w:left="0" w:right="-138" w:firstLine="708"/>
        <w:rPr>
          <w:rFonts w:cs="Arial"/>
          <w:i/>
          <w:color w:val="222222"/>
          <w:shd w:val="clear" w:color="auto" w:fill="FFFFFF"/>
          <w:lang w:val="es-CR"/>
        </w:rPr>
      </w:pPr>
      <w:r>
        <w:rPr>
          <w:rFonts w:cs="Arial"/>
          <w:i/>
          <w:color w:val="222222"/>
          <w:shd w:val="clear" w:color="auto" w:fill="FFFFFF"/>
          <w:lang w:val="es-CR"/>
        </w:rPr>
        <w:t>B.4</w:t>
      </w:r>
      <w:r w:rsidR="009F394A">
        <w:rPr>
          <w:rFonts w:cs="Arial"/>
          <w:i/>
          <w:color w:val="222222"/>
          <w:shd w:val="clear" w:color="auto" w:fill="FFFFFF"/>
          <w:lang w:val="es-CR"/>
        </w:rPr>
        <w:t>.4</w:t>
      </w:r>
      <w:r w:rsidR="00191347" w:rsidRPr="00802157">
        <w:rPr>
          <w:rFonts w:cs="Arial"/>
          <w:i/>
          <w:color w:val="222222"/>
          <w:shd w:val="clear" w:color="auto" w:fill="FFFFFF"/>
          <w:lang w:val="es-CR"/>
        </w:rPr>
        <w:t>.2</w:t>
      </w:r>
      <w:r w:rsidR="00191347">
        <w:rPr>
          <w:rFonts w:cs="Arial"/>
          <w:i/>
          <w:color w:val="222222"/>
          <w:shd w:val="clear" w:color="auto" w:fill="FFFFFF"/>
          <w:lang w:val="es-CR"/>
        </w:rPr>
        <w:t>.2</w:t>
      </w:r>
      <w:r w:rsidR="003749D0">
        <w:rPr>
          <w:rFonts w:cs="Arial"/>
          <w:i/>
          <w:color w:val="222222"/>
          <w:shd w:val="clear" w:color="auto" w:fill="FFFFFF"/>
          <w:lang w:val="es-CR"/>
        </w:rPr>
        <w:t>.</w:t>
      </w:r>
      <w:r w:rsidR="00191347" w:rsidRPr="00802157">
        <w:rPr>
          <w:rFonts w:cs="Arial"/>
          <w:i/>
          <w:color w:val="222222"/>
          <w:shd w:val="clear" w:color="auto" w:fill="FFFFFF"/>
          <w:lang w:val="es-CR"/>
        </w:rPr>
        <w:t xml:space="preserve"> </w:t>
      </w:r>
      <w:r w:rsidR="00191347">
        <w:rPr>
          <w:rFonts w:cs="Arial"/>
          <w:i/>
          <w:color w:val="222222"/>
          <w:shd w:val="clear" w:color="auto" w:fill="FFFFFF"/>
          <w:lang w:val="es-CR"/>
        </w:rPr>
        <w:t>Denuncia</w:t>
      </w:r>
      <w:r w:rsidR="00DF1FF7">
        <w:rPr>
          <w:rFonts w:cs="Arial"/>
          <w:i/>
          <w:color w:val="222222"/>
          <w:shd w:val="clear" w:color="auto" w:fill="FFFFFF"/>
          <w:lang w:val="es-CR"/>
        </w:rPr>
        <w:t>s</w:t>
      </w:r>
      <w:r w:rsidR="00191347">
        <w:rPr>
          <w:rFonts w:cs="Arial"/>
          <w:i/>
          <w:color w:val="222222"/>
          <w:shd w:val="clear" w:color="auto" w:fill="FFFFFF"/>
          <w:lang w:val="es-CR"/>
        </w:rPr>
        <w:t xml:space="preserve"> presentada</w:t>
      </w:r>
      <w:r w:rsidR="00DF1FF7">
        <w:rPr>
          <w:rFonts w:cs="Arial"/>
          <w:i/>
          <w:color w:val="222222"/>
          <w:shd w:val="clear" w:color="auto" w:fill="FFFFFF"/>
          <w:lang w:val="es-CR"/>
        </w:rPr>
        <w:t>s</w:t>
      </w:r>
      <w:r w:rsidR="00191347">
        <w:rPr>
          <w:rFonts w:cs="Arial"/>
          <w:i/>
          <w:color w:val="222222"/>
          <w:shd w:val="clear" w:color="auto" w:fill="FFFFFF"/>
          <w:lang w:val="es-CR"/>
        </w:rPr>
        <w:t xml:space="preserve"> en 1991 ante la Fiscalía de la Nación y la Fiscalía Especial en la Defensoría del Pueblo y Derechos Humanos</w:t>
      </w:r>
    </w:p>
    <w:p w:rsidR="00191347" w:rsidRDefault="00191347" w:rsidP="00191347">
      <w:pPr>
        <w:pStyle w:val="ListParagraph"/>
        <w:rPr>
          <w:rFonts w:cs="Arial"/>
          <w:i/>
          <w:color w:val="222222"/>
          <w:highlight w:val="yellow"/>
          <w:shd w:val="clear" w:color="auto" w:fill="FFFFFF"/>
          <w:lang w:val="es-CR"/>
        </w:rPr>
      </w:pPr>
    </w:p>
    <w:p w:rsidR="00FD6317" w:rsidRPr="00A95A4B" w:rsidRDefault="00191347" w:rsidP="00C328C0">
      <w:pPr>
        <w:pStyle w:val="ListParagraph"/>
        <w:widowControl w:val="0"/>
        <w:numPr>
          <w:ilvl w:val="0"/>
          <w:numId w:val="1"/>
        </w:numPr>
        <w:tabs>
          <w:tab w:val="left" w:pos="0"/>
        </w:tabs>
        <w:adjustRightInd w:val="0"/>
        <w:ind w:left="0" w:firstLine="0"/>
        <w:rPr>
          <w:rFonts w:cs="Arial"/>
          <w:i/>
          <w:color w:val="222222"/>
          <w:shd w:val="clear" w:color="auto" w:fill="FFFFFF"/>
          <w:lang w:val="es-CR"/>
        </w:rPr>
      </w:pPr>
      <w:r w:rsidRPr="000B2F26">
        <w:rPr>
          <w:rFonts w:cs="Arial"/>
          <w:color w:val="222222"/>
          <w:shd w:val="clear" w:color="auto" w:fill="FFFFFF"/>
          <w:lang w:val="es-CR"/>
        </w:rPr>
        <w:t>Con respecto a las denuncia</w:t>
      </w:r>
      <w:r w:rsidR="00DF1FF7">
        <w:rPr>
          <w:rFonts w:cs="Arial"/>
          <w:color w:val="222222"/>
          <w:shd w:val="clear" w:color="auto" w:fill="FFFFFF"/>
          <w:lang w:val="es-CR"/>
        </w:rPr>
        <w:t>s</w:t>
      </w:r>
      <w:r w:rsidRPr="000B2F26">
        <w:rPr>
          <w:rFonts w:cs="Arial"/>
          <w:color w:val="222222"/>
          <w:shd w:val="clear" w:color="auto" w:fill="FFFFFF"/>
          <w:lang w:val="es-CR"/>
        </w:rPr>
        <w:t xml:space="preserve"> presentada</w:t>
      </w:r>
      <w:r w:rsidR="00DF1FF7">
        <w:rPr>
          <w:rFonts w:cs="Arial"/>
          <w:color w:val="222222"/>
          <w:shd w:val="clear" w:color="auto" w:fill="FFFFFF"/>
          <w:lang w:val="es-CR"/>
        </w:rPr>
        <w:t>s</w:t>
      </w:r>
      <w:r w:rsidRPr="000B2F26">
        <w:rPr>
          <w:rFonts w:cs="Arial"/>
          <w:color w:val="222222"/>
          <w:shd w:val="clear" w:color="auto" w:fill="FFFFFF"/>
          <w:lang w:val="es-CR"/>
        </w:rPr>
        <w:t xml:space="preserve"> en 1991 ante la Fiscalía de la Nación (</w:t>
      </w:r>
      <w:r w:rsidRPr="000B2F26">
        <w:rPr>
          <w:rFonts w:cs="Arial"/>
          <w:i/>
          <w:color w:val="222222"/>
          <w:shd w:val="clear" w:color="auto" w:fill="FFFFFF"/>
          <w:lang w:val="es-CR"/>
        </w:rPr>
        <w:t>supra</w:t>
      </w:r>
      <w:r w:rsidRPr="000B2F26">
        <w:rPr>
          <w:rFonts w:cs="Arial"/>
          <w:color w:val="222222"/>
          <w:shd w:val="clear" w:color="auto" w:fill="FFFFFF"/>
          <w:lang w:val="es-CR"/>
        </w:rPr>
        <w:t xml:space="preserve"> párr. </w:t>
      </w:r>
      <w:r w:rsidR="00DF1FF7">
        <w:rPr>
          <w:rFonts w:cs="Arial"/>
          <w:color w:val="222222"/>
          <w:shd w:val="clear" w:color="auto" w:fill="FFFFFF"/>
          <w:lang w:val="es-CR"/>
        </w:rPr>
        <w:t>98</w:t>
      </w:r>
      <w:r w:rsidRPr="000B2F26">
        <w:rPr>
          <w:rFonts w:cs="Arial"/>
          <w:color w:val="222222"/>
          <w:shd w:val="clear" w:color="auto" w:fill="FFFFFF"/>
          <w:lang w:val="es-CR"/>
        </w:rPr>
        <w:t>)</w:t>
      </w:r>
      <w:r w:rsidRPr="000B2F26">
        <w:rPr>
          <w:rFonts w:cs="Arial"/>
          <w:i/>
          <w:color w:val="222222"/>
          <w:shd w:val="clear" w:color="auto" w:fill="FFFFFF"/>
          <w:lang w:val="es-CR"/>
        </w:rPr>
        <w:t xml:space="preserve">, </w:t>
      </w:r>
      <w:r w:rsidRPr="000B2F26">
        <w:rPr>
          <w:rFonts w:cs="Arial"/>
          <w:color w:val="222222"/>
          <w:shd w:val="clear" w:color="auto" w:fill="FFFFFF"/>
          <w:lang w:val="es-CR"/>
        </w:rPr>
        <w:t xml:space="preserve">en el expediente ante esta Corte no se desprende información alguna con relación a este proceso.  </w:t>
      </w:r>
    </w:p>
    <w:p w:rsidR="00220FCE" w:rsidRPr="00C328C0" w:rsidRDefault="00220FCE" w:rsidP="00C328C0">
      <w:pPr>
        <w:autoSpaceDE w:val="0"/>
        <w:autoSpaceDN w:val="0"/>
        <w:adjustRightInd w:val="0"/>
        <w:spacing w:line="20" w:lineRule="atLeast"/>
        <w:ind w:right="-138"/>
        <w:rPr>
          <w:rFonts w:cs="Arial"/>
          <w:i/>
          <w:color w:val="222222"/>
          <w:shd w:val="clear" w:color="auto" w:fill="FFFFFF"/>
          <w:lang w:val="es-CR"/>
        </w:rPr>
      </w:pPr>
    </w:p>
    <w:p w:rsidR="00191347" w:rsidRDefault="009718A2" w:rsidP="00191347">
      <w:pPr>
        <w:pStyle w:val="ListParagraph"/>
        <w:autoSpaceDE w:val="0"/>
        <w:autoSpaceDN w:val="0"/>
        <w:adjustRightInd w:val="0"/>
        <w:spacing w:line="20" w:lineRule="atLeast"/>
        <w:ind w:left="0" w:right="-138" w:firstLine="708"/>
        <w:rPr>
          <w:rFonts w:cs="Arial"/>
          <w:i/>
          <w:color w:val="222222"/>
          <w:shd w:val="clear" w:color="auto" w:fill="FFFFFF"/>
          <w:lang w:val="es-CR"/>
        </w:rPr>
      </w:pPr>
      <w:r>
        <w:rPr>
          <w:rFonts w:cs="Arial"/>
          <w:i/>
          <w:color w:val="222222"/>
          <w:shd w:val="clear" w:color="auto" w:fill="FFFFFF"/>
          <w:lang w:val="es-CR"/>
        </w:rPr>
        <w:t>B.4</w:t>
      </w:r>
      <w:r w:rsidR="009F394A">
        <w:rPr>
          <w:rFonts w:cs="Arial"/>
          <w:i/>
          <w:color w:val="222222"/>
          <w:shd w:val="clear" w:color="auto" w:fill="FFFFFF"/>
          <w:lang w:val="es-CR"/>
        </w:rPr>
        <w:t>.4</w:t>
      </w:r>
      <w:r w:rsidR="00191347" w:rsidRPr="00802157">
        <w:rPr>
          <w:rFonts w:cs="Arial"/>
          <w:i/>
          <w:color w:val="222222"/>
          <w:shd w:val="clear" w:color="auto" w:fill="FFFFFF"/>
          <w:lang w:val="es-CR"/>
        </w:rPr>
        <w:t>.2</w:t>
      </w:r>
      <w:r w:rsidR="00191347">
        <w:rPr>
          <w:rFonts w:cs="Arial"/>
          <w:i/>
          <w:color w:val="222222"/>
          <w:shd w:val="clear" w:color="auto" w:fill="FFFFFF"/>
          <w:lang w:val="es-CR"/>
        </w:rPr>
        <w:t>.3</w:t>
      </w:r>
      <w:r w:rsidR="003749D0">
        <w:rPr>
          <w:rFonts w:cs="Arial"/>
          <w:i/>
          <w:color w:val="222222"/>
          <w:shd w:val="clear" w:color="auto" w:fill="FFFFFF"/>
          <w:lang w:val="es-CR"/>
        </w:rPr>
        <w:t>.</w:t>
      </w:r>
      <w:r w:rsidR="00191347" w:rsidRPr="00802157">
        <w:rPr>
          <w:rFonts w:cs="Arial"/>
          <w:i/>
          <w:color w:val="222222"/>
          <w:shd w:val="clear" w:color="auto" w:fill="FFFFFF"/>
          <w:lang w:val="es-CR"/>
        </w:rPr>
        <w:t xml:space="preserve"> </w:t>
      </w:r>
      <w:r w:rsidR="00191347">
        <w:rPr>
          <w:rFonts w:cs="Arial"/>
          <w:i/>
          <w:color w:val="222222"/>
          <w:shd w:val="clear" w:color="auto" w:fill="FFFFFF"/>
          <w:lang w:val="es-CR"/>
        </w:rPr>
        <w:t xml:space="preserve">Diligencias realizadas desde 2004 hasta la fecha ante la Fiscalía </w:t>
      </w:r>
      <w:r w:rsidR="00191347" w:rsidRPr="00EA4E3F">
        <w:rPr>
          <w:rFonts w:cs="Arial"/>
          <w:i/>
          <w:color w:val="222222"/>
          <w:shd w:val="clear" w:color="auto" w:fill="FFFFFF"/>
          <w:lang w:val="es-CR"/>
        </w:rPr>
        <w:t>Especializada para Desapariciones Forzosas, Ejecuciones E</w:t>
      </w:r>
      <w:r w:rsidR="004C4DA1">
        <w:rPr>
          <w:rFonts w:cs="Arial"/>
          <w:i/>
          <w:color w:val="222222"/>
          <w:shd w:val="clear" w:color="auto" w:fill="FFFFFF"/>
          <w:lang w:val="es-CR"/>
        </w:rPr>
        <w:t>xtrajudiciales y Exhumación de Fosas C</w:t>
      </w:r>
      <w:r w:rsidR="00191347" w:rsidRPr="00EA4E3F">
        <w:rPr>
          <w:rFonts w:cs="Arial"/>
          <w:i/>
          <w:color w:val="222222"/>
          <w:shd w:val="clear" w:color="auto" w:fill="FFFFFF"/>
          <w:lang w:val="es-CR"/>
        </w:rPr>
        <w:t>landestinas</w:t>
      </w:r>
    </w:p>
    <w:p w:rsidR="00191347" w:rsidRPr="00802157" w:rsidRDefault="00191347" w:rsidP="00191347">
      <w:pPr>
        <w:pStyle w:val="ListParagraph"/>
        <w:autoSpaceDE w:val="0"/>
        <w:autoSpaceDN w:val="0"/>
        <w:adjustRightInd w:val="0"/>
        <w:spacing w:line="20" w:lineRule="atLeast"/>
        <w:ind w:left="0" w:right="-138" w:firstLine="708"/>
        <w:rPr>
          <w:rFonts w:cs="Arial"/>
          <w:i/>
          <w:color w:val="222222"/>
          <w:shd w:val="clear" w:color="auto" w:fill="FFFFFF"/>
          <w:lang w:val="es-CR"/>
        </w:rPr>
      </w:pPr>
    </w:p>
    <w:p w:rsidR="00191347" w:rsidRPr="000B2F26" w:rsidRDefault="00191347" w:rsidP="00C328C0">
      <w:pPr>
        <w:pStyle w:val="ListParagraph"/>
        <w:widowControl w:val="0"/>
        <w:numPr>
          <w:ilvl w:val="0"/>
          <w:numId w:val="1"/>
        </w:numPr>
        <w:tabs>
          <w:tab w:val="left" w:pos="0"/>
        </w:tabs>
        <w:adjustRightInd w:val="0"/>
        <w:ind w:left="0" w:firstLine="0"/>
        <w:rPr>
          <w:rFonts w:cs="Arial"/>
          <w:i/>
          <w:color w:val="222222"/>
          <w:shd w:val="clear" w:color="auto" w:fill="FFFFFF"/>
          <w:lang w:val="es-CR"/>
        </w:rPr>
      </w:pPr>
      <w:r w:rsidRPr="00C31E92">
        <w:rPr>
          <w:rFonts w:cs="Arial"/>
          <w:color w:val="222222"/>
          <w:shd w:val="clear" w:color="auto" w:fill="FFFFFF"/>
          <w:lang w:val="es-CR"/>
        </w:rPr>
        <w:t xml:space="preserve">Con respecto a la denuncia presentada el </w:t>
      </w:r>
      <w:r w:rsidR="005659EF" w:rsidRPr="00D55362">
        <w:rPr>
          <w:rFonts w:cs="Arial"/>
          <w:color w:val="222222"/>
          <w:shd w:val="clear" w:color="auto" w:fill="FFFFFF"/>
          <w:lang w:val="es-CR"/>
        </w:rPr>
        <w:t>20 de agosto de 2003</w:t>
      </w:r>
      <w:r w:rsidRPr="00F07651">
        <w:rPr>
          <w:rFonts w:cs="Arial"/>
          <w:color w:val="222222"/>
          <w:shd w:val="clear" w:color="auto" w:fill="FFFFFF"/>
          <w:lang w:val="es-CR"/>
        </w:rPr>
        <w:t xml:space="preserve"> (</w:t>
      </w:r>
      <w:r w:rsidRPr="00972406">
        <w:rPr>
          <w:rFonts w:cs="Arial"/>
          <w:i/>
          <w:color w:val="222222"/>
          <w:shd w:val="clear" w:color="auto" w:fill="FFFFFF"/>
          <w:lang w:val="es-CR"/>
        </w:rPr>
        <w:t>supra</w:t>
      </w:r>
      <w:r w:rsidRPr="00D55362">
        <w:rPr>
          <w:rFonts w:cs="Arial"/>
          <w:color w:val="222222"/>
          <w:shd w:val="clear" w:color="auto" w:fill="FFFFFF"/>
          <w:lang w:val="es-CR"/>
        </w:rPr>
        <w:t xml:space="preserve"> párr. </w:t>
      </w:r>
      <w:r w:rsidR="001264C0" w:rsidRPr="00D55362">
        <w:rPr>
          <w:rFonts w:cs="Arial"/>
          <w:color w:val="222222"/>
          <w:shd w:val="clear" w:color="auto" w:fill="FFFFFF"/>
          <w:lang w:val="es-CR"/>
        </w:rPr>
        <w:t>98</w:t>
      </w:r>
      <w:r w:rsidRPr="00D55362">
        <w:rPr>
          <w:rFonts w:cs="Arial"/>
          <w:color w:val="222222"/>
          <w:shd w:val="clear" w:color="auto" w:fill="FFFFFF"/>
          <w:lang w:val="es-CR"/>
        </w:rPr>
        <w:t>), se indicó</w:t>
      </w:r>
      <w:r w:rsidRPr="000B2F26">
        <w:rPr>
          <w:rFonts w:cs="Arial"/>
          <w:color w:val="222222"/>
          <w:shd w:val="clear" w:color="auto" w:fill="FFFFFF"/>
          <w:lang w:val="es-CR"/>
        </w:rPr>
        <w:t xml:space="preserve"> que fue abierta a trámite el 23 de septiembre de 2004, que se giraron oficios a diversas autoridades</w:t>
      </w:r>
      <w:r w:rsidRPr="00364732">
        <w:rPr>
          <w:rStyle w:val="FootnoteReference"/>
          <w:color w:val="222222"/>
          <w:sz w:val="20"/>
          <w:szCs w:val="20"/>
          <w:shd w:val="clear" w:color="auto" w:fill="FFFFFF"/>
          <w:lang w:val="es-CR"/>
        </w:rPr>
        <w:footnoteReference w:id="163"/>
      </w:r>
      <w:r w:rsidRPr="000B2F26">
        <w:rPr>
          <w:rFonts w:cs="Arial"/>
          <w:color w:val="222222"/>
          <w:shd w:val="clear" w:color="auto" w:fill="FFFFFF"/>
          <w:lang w:val="es-CR"/>
        </w:rPr>
        <w:t>, de los cuales se recibieron respuestas de las que se desprende que</w:t>
      </w:r>
      <w:r w:rsidR="00364732">
        <w:rPr>
          <w:rFonts w:cs="Arial"/>
          <w:color w:val="222222"/>
          <w:shd w:val="clear" w:color="auto" w:fill="FFFFFF"/>
          <w:lang w:val="es-CR"/>
        </w:rPr>
        <w:t xml:space="preserve">: </w:t>
      </w:r>
      <w:r w:rsidRPr="000B2F26">
        <w:rPr>
          <w:rFonts w:cs="Arial"/>
          <w:color w:val="222222"/>
          <w:shd w:val="clear" w:color="auto" w:fill="FFFFFF"/>
          <w:lang w:val="es-CR"/>
        </w:rPr>
        <w:t>1) existía la investi</w:t>
      </w:r>
      <w:r w:rsidR="00364732">
        <w:rPr>
          <w:rFonts w:cs="Arial"/>
          <w:color w:val="222222"/>
          <w:shd w:val="clear" w:color="auto" w:fill="FFFFFF"/>
          <w:lang w:val="es-CR"/>
        </w:rPr>
        <w:t xml:space="preserve">gación penal iniciada en 1991; </w:t>
      </w:r>
      <w:r w:rsidRPr="000B2F26">
        <w:rPr>
          <w:rFonts w:cs="Arial"/>
          <w:color w:val="222222"/>
          <w:shd w:val="clear" w:color="auto" w:fill="FFFFFF"/>
          <w:lang w:val="es-CR"/>
        </w:rPr>
        <w:t>2) no se había iniciado juicio alguno ante la Sala Nacional por dichos hechos</w:t>
      </w:r>
      <w:r w:rsidRPr="00364732">
        <w:rPr>
          <w:rStyle w:val="FootnoteReference"/>
          <w:color w:val="222222"/>
          <w:sz w:val="20"/>
          <w:szCs w:val="20"/>
          <w:shd w:val="clear" w:color="auto" w:fill="FFFFFF"/>
          <w:lang w:val="es-CR"/>
        </w:rPr>
        <w:footnoteReference w:id="164"/>
      </w:r>
      <w:r w:rsidR="00364732" w:rsidRPr="00364732">
        <w:rPr>
          <w:rFonts w:cs="Arial"/>
          <w:color w:val="222222"/>
          <w:szCs w:val="20"/>
          <w:shd w:val="clear" w:color="auto" w:fill="FFFFFF"/>
          <w:lang w:val="es-CR"/>
        </w:rPr>
        <w:t xml:space="preserve">; </w:t>
      </w:r>
      <w:r w:rsidRPr="00364732">
        <w:rPr>
          <w:rFonts w:cs="Arial"/>
          <w:color w:val="222222"/>
          <w:szCs w:val="20"/>
          <w:shd w:val="clear" w:color="auto" w:fill="FFFFFF"/>
          <w:lang w:val="es-CR"/>
        </w:rPr>
        <w:t xml:space="preserve">3) Néstor </w:t>
      </w:r>
      <w:r w:rsidR="00364732" w:rsidRPr="00364732">
        <w:rPr>
          <w:rFonts w:cs="Arial"/>
          <w:color w:val="222222"/>
          <w:szCs w:val="20"/>
          <w:shd w:val="clear" w:color="auto" w:fill="FFFFFF"/>
          <w:lang w:val="es-CR"/>
        </w:rPr>
        <w:t xml:space="preserve">Rojas Medina </w:t>
      </w:r>
      <w:r w:rsidRPr="00364732">
        <w:rPr>
          <w:rFonts w:cs="Arial"/>
          <w:color w:val="222222"/>
          <w:szCs w:val="20"/>
          <w:shd w:val="clear" w:color="auto" w:fill="FFFFFF"/>
          <w:lang w:val="es-CR"/>
        </w:rPr>
        <w:t>no registraba información por terrorismo en la dirección policial</w:t>
      </w:r>
      <w:r w:rsidRPr="00364732">
        <w:rPr>
          <w:rStyle w:val="FootnoteReference"/>
          <w:color w:val="222222"/>
          <w:sz w:val="20"/>
          <w:szCs w:val="20"/>
          <w:shd w:val="clear" w:color="auto" w:fill="FFFFFF"/>
          <w:lang w:val="es-CR"/>
        </w:rPr>
        <w:footnoteReference w:id="165"/>
      </w:r>
      <w:r w:rsidR="00364732" w:rsidRPr="00364732">
        <w:rPr>
          <w:rFonts w:cs="Arial"/>
          <w:color w:val="222222"/>
          <w:szCs w:val="20"/>
          <w:shd w:val="clear" w:color="auto" w:fill="FFFFFF"/>
          <w:lang w:val="es-CR"/>
        </w:rPr>
        <w:t xml:space="preserve">; </w:t>
      </w:r>
      <w:r w:rsidRPr="00364732">
        <w:rPr>
          <w:rFonts w:cs="Arial"/>
          <w:color w:val="222222"/>
          <w:szCs w:val="20"/>
          <w:shd w:val="clear" w:color="auto" w:fill="FFFFFF"/>
          <w:lang w:val="es-CR"/>
        </w:rPr>
        <w:t>4) Néstor</w:t>
      </w:r>
      <w:r w:rsidR="00364732" w:rsidRPr="00364732">
        <w:rPr>
          <w:rFonts w:cs="Arial"/>
          <w:color w:val="222222"/>
          <w:szCs w:val="20"/>
          <w:shd w:val="clear" w:color="auto" w:fill="FFFFFF"/>
          <w:lang w:val="es-CR"/>
        </w:rPr>
        <w:t xml:space="preserve"> Rojas Medina</w:t>
      </w:r>
      <w:r w:rsidRPr="00364732">
        <w:rPr>
          <w:rFonts w:cs="Arial"/>
          <w:color w:val="222222"/>
          <w:szCs w:val="20"/>
          <w:shd w:val="clear" w:color="auto" w:fill="FFFFFF"/>
          <w:lang w:val="es-CR"/>
        </w:rPr>
        <w:t xml:space="preserve"> no registra</w:t>
      </w:r>
      <w:r w:rsidR="00FD6317">
        <w:rPr>
          <w:rFonts w:cs="Arial"/>
          <w:color w:val="222222"/>
          <w:szCs w:val="20"/>
          <w:shd w:val="clear" w:color="auto" w:fill="FFFFFF"/>
          <w:lang w:val="es-CR"/>
        </w:rPr>
        <w:t>ba</w:t>
      </w:r>
      <w:r w:rsidRPr="00364732">
        <w:rPr>
          <w:rFonts w:cs="Arial"/>
          <w:color w:val="222222"/>
          <w:szCs w:val="20"/>
          <w:shd w:val="clear" w:color="auto" w:fill="FFFFFF"/>
          <w:lang w:val="es-CR"/>
        </w:rPr>
        <w:t xml:space="preserve"> antecedentes judiciales ni de detención</w:t>
      </w:r>
      <w:r w:rsidRPr="00364732">
        <w:rPr>
          <w:rStyle w:val="FootnoteReference"/>
          <w:color w:val="222222"/>
          <w:sz w:val="20"/>
          <w:szCs w:val="20"/>
          <w:shd w:val="clear" w:color="auto" w:fill="FFFFFF"/>
          <w:lang w:val="es-CR"/>
        </w:rPr>
        <w:footnoteReference w:id="166"/>
      </w:r>
      <w:r w:rsidR="00364732" w:rsidRPr="00364732">
        <w:rPr>
          <w:rFonts w:cs="Arial"/>
          <w:color w:val="222222"/>
          <w:szCs w:val="20"/>
          <w:shd w:val="clear" w:color="auto" w:fill="FFFFFF"/>
          <w:lang w:val="es-CR"/>
        </w:rPr>
        <w:t xml:space="preserve">, y que </w:t>
      </w:r>
      <w:r w:rsidRPr="00364732">
        <w:rPr>
          <w:rFonts w:cs="Arial"/>
          <w:color w:val="222222"/>
          <w:szCs w:val="20"/>
          <w:shd w:val="clear" w:color="auto" w:fill="FFFFFF"/>
          <w:lang w:val="es-CR"/>
        </w:rPr>
        <w:t xml:space="preserve">5) Néstor Rojas </w:t>
      </w:r>
      <w:r w:rsidR="00364732" w:rsidRPr="00364732">
        <w:rPr>
          <w:rFonts w:cs="Arial"/>
          <w:color w:val="222222"/>
          <w:szCs w:val="20"/>
          <w:shd w:val="clear" w:color="auto" w:fill="FFFFFF"/>
          <w:lang w:val="es-CR"/>
        </w:rPr>
        <w:t xml:space="preserve">Medina </w:t>
      </w:r>
      <w:r w:rsidRPr="00364732">
        <w:rPr>
          <w:rFonts w:cs="Arial"/>
          <w:color w:val="222222"/>
          <w:szCs w:val="20"/>
          <w:shd w:val="clear" w:color="auto" w:fill="FFFFFF"/>
          <w:lang w:val="es-CR"/>
        </w:rPr>
        <w:t>sí había registrado movimientos migratorios a Japón y Estados Unidos en 1995</w:t>
      </w:r>
      <w:r w:rsidRPr="00364732">
        <w:rPr>
          <w:rStyle w:val="FootnoteReference"/>
          <w:color w:val="222222"/>
          <w:sz w:val="20"/>
          <w:szCs w:val="20"/>
          <w:shd w:val="clear" w:color="auto" w:fill="FFFFFF"/>
          <w:lang w:val="es-CR"/>
        </w:rPr>
        <w:footnoteReference w:id="167"/>
      </w:r>
      <w:r w:rsidRPr="00364732">
        <w:rPr>
          <w:rFonts w:cs="Arial"/>
          <w:color w:val="222222"/>
          <w:szCs w:val="20"/>
          <w:shd w:val="clear" w:color="auto" w:fill="FFFFFF"/>
          <w:lang w:val="es-CR"/>
        </w:rPr>
        <w:t>. Posteriorme</w:t>
      </w:r>
      <w:r w:rsidR="00DF7693">
        <w:rPr>
          <w:rFonts w:cs="Arial"/>
          <w:color w:val="222222"/>
          <w:szCs w:val="20"/>
          <w:shd w:val="clear" w:color="auto" w:fill="FFFFFF"/>
          <w:lang w:val="es-CR"/>
        </w:rPr>
        <w:t>nte, el 13 de diciembre de 2004</w:t>
      </w:r>
      <w:r w:rsidRPr="00364732">
        <w:rPr>
          <w:rFonts w:cs="Arial"/>
          <w:color w:val="222222"/>
          <w:szCs w:val="20"/>
          <w:shd w:val="clear" w:color="auto" w:fill="FFFFFF"/>
          <w:lang w:val="es-CR"/>
        </w:rPr>
        <w:t xml:space="preserve"> la Fiscalía Especializada procedió a ordenar nuevas diligencias, de las cuales se recibió información sobre que</w:t>
      </w:r>
      <w:r w:rsidR="00364732">
        <w:rPr>
          <w:rFonts w:cs="Arial"/>
          <w:color w:val="222222"/>
          <w:szCs w:val="20"/>
          <w:shd w:val="clear" w:color="auto" w:fill="FFFFFF"/>
          <w:lang w:val="es-CR"/>
        </w:rPr>
        <w:t>:</w:t>
      </w:r>
      <w:r w:rsidR="001F43EF" w:rsidRPr="00364732">
        <w:rPr>
          <w:rFonts w:cs="Arial"/>
          <w:color w:val="222222"/>
          <w:szCs w:val="20"/>
          <w:shd w:val="clear" w:color="auto" w:fill="FFFFFF"/>
          <w:lang w:val="es-CR"/>
        </w:rPr>
        <w:t xml:space="preserve"> </w:t>
      </w:r>
      <w:r w:rsidRPr="00364732">
        <w:rPr>
          <w:rFonts w:cs="Arial"/>
          <w:color w:val="222222"/>
          <w:szCs w:val="20"/>
          <w:shd w:val="clear" w:color="auto" w:fill="FFFFFF"/>
          <w:lang w:val="es-CR"/>
        </w:rPr>
        <w:t>1) existían cinco efectivos policiales que prestaron servicios en 1991 en la Comandancia de la Policía de Tocache</w:t>
      </w:r>
      <w:r w:rsidRPr="00364732">
        <w:rPr>
          <w:rStyle w:val="FootnoteReference"/>
          <w:color w:val="222222"/>
          <w:sz w:val="20"/>
          <w:szCs w:val="20"/>
          <w:shd w:val="clear" w:color="auto" w:fill="FFFFFF"/>
          <w:lang w:val="es-CR"/>
        </w:rPr>
        <w:footnoteReference w:id="168"/>
      </w:r>
      <w:r w:rsidR="00364732">
        <w:rPr>
          <w:rFonts w:cs="Arial"/>
          <w:color w:val="222222"/>
          <w:szCs w:val="20"/>
          <w:shd w:val="clear" w:color="auto" w:fill="FFFFFF"/>
          <w:lang w:val="es-CR"/>
        </w:rPr>
        <w:t xml:space="preserve">, y </w:t>
      </w:r>
      <w:r w:rsidRPr="00364732">
        <w:rPr>
          <w:rFonts w:cs="Arial"/>
          <w:color w:val="222222"/>
          <w:szCs w:val="20"/>
          <w:shd w:val="clear" w:color="auto" w:fill="FFFFFF"/>
          <w:lang w:val="es-CR"/>
        </w:rPr>
        <w:t>2) el 17 de enero de 2005 Marcelina Medina Negrón rindió una nueva declaración indagatoria</w:t>
      </w:r>
      <w:r w:rsidRPr="00364732">
        <w:rPr>
          <w:rStyle w:val="FootnoteReference"/>
          <w:color w:val="222222"/>
          <w:sz w:val="20"/>
          <w:szCs w:val="20"/>
          <w:shd w:val="clear" w:color="auto" w:fill="FFFFFF"/>
          <w:lang w:val="es-CR"/>
        </w:rPr>
        <w:footnoteReference w:id="169"/>
      </w:r>
      <w:r w:rsidRPr="00364732">
        <w:rPr>
          <w:rFonts w:cs="Arial"/>
          <w:color w:val="222222"/>
          <w:szCs w:val="20"/>
          <w:shd w:val="clear" w:color="auto" w:fill="FFFFFF"/>
          <w:lang w:val="es-CR"/>
        </w:rPr>
        <w:t>.</w:t>
      </w:r>
      <w:r w:rsidR="00364732">
        <w:rPr>
          <w:rFonts w:cs="Arial"/>
          <w:color w:val="222222"/>
          <w:shd w:val="clear" w:color="auto" w:fill="FFFFFF"/>
          <w:lang w:val="es-CR"/>
        </w:rPr>
        <w:t xml:space="preserve"> El 21 de marzo de 2005</w:t>
      </w:r>
      <w:r w:rsidRPr="000B2F26">
        <w:rPr>
          <w:rFonts w:cs="Arial"/>
          <w:color w:val="222222"/>
          <w:shd w:val="clear" w:color="auto" w:fill="FFFFFF"/>
          <w:lang w:val="es-CR"/>
        </w:rPr>
        <w:t xml:space="preserve"> la Fiscalía </w:t>
      </w:r>
      <w:r w:rsidRPr="000B2F26">
        <w:rPr>
          <w:rFonts w:cs="Arial"/>
          <w:color w:val="222222"/>
          <w:shd w:val="clear" w:color="auto" w:fill="FFFFFF"/>
          <w:lang w:val="es-CR"/>
        </w:rPr>
        <w:lastRenderedPageBreak/>
        <w:t xml:space="preserve">requirió cuatro nuevas </w:t>
      </w:r>
      <w:r w:rsidRPr="00364732">
        <w:rPr>
          <w:rFonts w:cs="Arial"/>
          <w:color w:val="222222"/>
          <w:szCs w:val="20"/>
          <w:shd w:val="clear" w:color="auto" w:fill="FFFFFF"/>
          <w:lang w:val="es-CR"/>
        </w:rPr>
        <w:t>declaraciones indagatorias</w:t>
      </w:r>
      <w:r w:rsidRPr="00364732">
        <w:rPr>
          <w:rStyle w:val="FootnoteReference"/>
          <w:color w:val="222222"/>
          <w:sz w:val="20"/>
          <w:szCs w:val="20"/>
          <w:shd w:val="clear" w:color="auto" w:fill="FFFFFF"/>
          <w:lang w:val="es-CR"/>
        </w:rPr>
        <w:footnoteReference w:id="170"/>
      </w:r>
      <w:r w:rsidRPr="00364732">
        <w:rPr>
          <w:rFonts w:cs="Arial"/>
          <w:color w:val="222222"/>
          <w:szCs w:val="20"/>
          <w:shd w:val="clear" w:color="auto" w:fill="FFFFFF"/>
          <w:lang w:val="es-CR"/>
        </w:rPr>
        <w:t>, de las cuales dos no consta en el expediente que se ha</w:t>
      </w:r>
      <w:r w:rsidR="00DF7693">
        <w:rPr>
          <w:rFonts w:cs="Arial"/>
          <w:color w:val="222222"/>
          <w:szCs w:val="20"/>
          <w:shd w:val="clear" w:color="auto" w:fill="FFFFFF"/>
          <w:lang w:val="es-CR"/>
        </w:rPr>
        <w:t>yan realizado</w:t>
      </w:r>
      <w:r w:rsidR="00DF7693" w:rsidRPr="00B15D4F">
        <w:rPr>
          <w:rFonts w:cs="Arial"/>
          <w:color w:val="222222"/>
          <w:szCs w:val="20"/>
          <w:shd w:val="clear" w:color="auto" w:fill="FFFFFF"/>
          <w:lang w:val="es-CR"/>
        </w:rPr>
        <w:t xml:space="preserve">. Las otras dos </w:t>
      </w:r>
      <w:r w:rsidRPr="00B15D4F">
        <w:rPr>
          <w:rFonts w:cs="Arial"/>
          <w:color w:val="222222"/>
          <w:szCs w:val="20"/>
          <w:shd w:val="clear" w:color="auto" w:fill="FFFFFF"/>
          <w:lang w:val="es-CR"/>
        </w:rPr>
        <w:t xml:space="preserve">correspondieron a declaraciones de los funcionarios policiales </w:t>
      </w:r>
      <w:r w:rsidR="004E00BC" w:rsidRPr="00B15D4F">
        <w:rPr>
          <w:rFonts w:cs="Arial"/>
          <w:color w:val="222222"/>
          <w:szCs w:val="20"/>
          <w:shd w:val="clear" w:color="auto" w:fill="FFFFFF"/>
          <w:lang w:val="es-CR"/>
        </w:rPr>
        <w:t>J</w:t>
      </w:r>
      <w:r w:rsidR="00364732" w:rsidRPr="00B15D4F">
        <w:rPr>
          <w:rFonts w:cs="Arial"/>
          <w:color w:val="222222"/>
          <w:szCs w:val="20"/>
          <w:shd w:val="clear" w:color="auto" w:fill="FFFFFF"/>
          <w:lang w:val="es-CR"/>
        </w:rPr>
        <w:t>TCh</w:t>
      </w:r>
      <w:r w:rsidRPr="00B15D4F">
        <w:rPr>
          <w:rFonts w:cs="Arial"/>
          <w:color w:val="222222"/>
          <w:szCs w:val="20"/>
          <w:shd w:val="clear" w:color="auto" w:fill="FFFFFF"/>
          <w:lang w:val="es-CR"/>
        </w:rPr>
        <w:t xml:space="preserve">, que a la fecha de los </w:t>
      </w:r>
      <w:r w:rsidR="00DF7693" w:rsidRPr="00B15D4F">
        <w:rPr>
          <w:rFonts w:cs="Arial"/>
          <w:color w:val="222222"/>
          <w:szCs w:val="20"/>
          <w:shd w:val="clear" w:color="auto" w:fill="FFFFFF"/>
          <w:lang w:val="es-CR"/>
        </w:rPr>
        <w:t xml:space="preserve">hechos </w:t>
      </w:r>
      <w:r w:rsidRPr="00B15D4F">
        <w:rPr>
          <w:rFonts w:cs="Arial"/>
          <w:color w:val="222222"/>
          <w:szCs w:val="20"/>
          <w:shd w:val="clear" w:color="auto" w:fill="FFFFFF"/>
          <w:lang w:val="es-CR"/>
        </w:rPr>
        <w:t>se encontraba haciendo un curso en Lima</w:t>
      </w:r>
      <w:r w:rsidRPr="00B15D4F">
        <w:rPr>
          <w:rStyle w:val="FootnoteReference"/>
          <w:color w:val="222222"/>
          <w:sz w:val="20"/>
          <w:szCs w:val="20"/>
          <w:shd w:val="clear" w:color="auto" w:fill="FFFFFF"/>
          <w:lang w:val="es-CR"/>
        </w:rPr>
        <w:footnoteReference w:id="171"/>
      </w:r>
      <w:r w:rsidR="00DF7693" w:rsidRPr="00B15D4F">
        <w:rPr>
          <w:rFonts w:cs="Arial"/>
          <w:color w:val="222222"/>
          <w:szCs w:val="20"/>
          <w:shd w:val="clear" w:color="auto" w:fill="FFFFFF"/>
          <w:lang w:val="es-CR"/>
        </w:rPr>
        <w:t>,</w:t>
      </w:r>
      <w:r w:rsidRPr="00B15D4F">
        <w:rPr>
          <w:rFonts w:cs="Arial"/>
          <w:color w:val="222222"/>
          <w:szCs w:val="20"/>
          <w:shd w:val="clear" w:color="auto" w:fill="FFFFFF"/>
          <w:lang w:val="es-CR"/>
        </w:rPr>
        <w:t xml:space="preserve"> y la de </w:t>
      </w:r>
      <w:r w:rsidR="004E00BC" w:rsidRPr="00B15D4F">
        <w:rPr>
          <w:rFonts w:cs="Arial"/>
          <w:color w:val="222222"/>
          <w:szCs w:val="20"/>
          <w:shd w:val="clear" w:color="auto" w:fill="FFFFFF"/>
          <w:lang w:val="es-CR"/>
        </w:rPr>
        <w:t>A</w:t>
      </w:r>
      <w:r w:rsidR="00364732" w:rsidRPr="00B15D4F">
        <w:rPr>
          <w:rFonts w:cs="Arial"/>
          <w:color w:val="222222"/>
          <w:szCs w:val="20"/>
          <w:shd w:val="clear" w:color="auto" w:fill="FFFFFF"/>
          <w:lang w:val="es-CR"/>
        </w:rPr>
        <w:t>OF</w:t>
      </w:r>
      <w:r w:rsidRPr="00B15D4F">
        <w:rPr>
          <w:rFonts w:cs="Arial"/>
          <w:color w:val="222222"/>
          <w:szCs w:val="20"/>
          <w:shd w:val="clear" w:color="auto" w:fill="FFFFFF"/>
          <w:lang w:val="es-CR"/>
        </w:rPr>
        <w:t>, quien llegó a la Comisaría de Tocache con posterioridad a la fecha de los hechos</w:t>
      </w:r>
      <w:r w:rsidRPr="00B15D4F">
        <w:rPr>
          <w:rStyle w:val="FootnoteReference"/>
          <w:color w:val="222222"/>
          <w:sz w:val="20"/>
          <w:szCs w:val="20"/>
          <w:shd w:val="clear" w:color="auto" w:fill="FFFFFF"/>
          <w:lang w:val="es-CR"/>
        </w:rPr>
        <w:footnoteReference w:id="172"/>
      </w:r>
      <w:r w:rsidRPr="00B15D4F">
        <w:rPr>
          <w:rFonts w:cs="Arial"/>
          <w:color w:val="222222"/>
          <w:szCs w:val="20"/>
          <w:shd w:val="clear" w:color="auto" w:fill="FFFFFF"/>
          <w:lang w:val="es-CR"/>
        </w:rPr>
        <w:t>.</w:t>
      </w:r>
    </w:p>
    <w:p w:rsidR="00191347" w:rsidRPr="004A6649" w:rsidRDefault="00191347" w:rsidP="00191347">
      <w:pPr>
        <w:pStyle w:val="ListParagraph"/>
        <w:autoSpaceDE w:val="0"/>
        <w:autoSpaceDN w:val="0"/>
        <w:adjustRightInd w:val="0"/>
        <w:spacing w:line="20" w:lineRule="atLeast"/>
        <w:ind w:left="0" w:right="-138"/>
        <w:rPr>
          <w:rFonts w:cs="Arial"/>
          <w:i/>
          <w:color w:val="222222"/>
          <w:highlight w:val="yellow"/>
          <w:shd w:val="clear" w:color="auto" w:fill="FFFFFF"/>
          <w:lang w:val="es-CR"/>
        </w:rPr>
      </w:pPr>
    </w:p>
    <w:p w:rsidR="00191347" w:rsidRPr="00D13347" w:rsidRDefault="00191347" w:rsidP="00C328C0">
      <w:pPr>
        <w:pStyle w:val="ListParagraph"/>
        <w:widowControl w:val="0"/>
        <w:numPr>
          <w:ilvl w:val="0"/>
          <w:numId w:val="1"/>
        </w:numPr>
        <w:tabs>
          <w:tab w:val="left" w:pos="0"/>
        </w:tabs>
        <w:adjustRightInd w:val="0"/>
        <w:ind w:left="0" w:firstLine="0"/>
        <w:rPr>
          <w:rFonts w:cs="Arial"/>
          <w:i/>
          <w:color w:val="222222"/>
          <w:shd w:val="clear" w:color="auto" w:fill="FFFFFF"/>
          <w:lang w:val="es-CR"/>
        </w:rPr>
      </w:pPr>
      <w:r>
        <w:rPr>
          <w:rFonts w:cs="Arial"/>
          <w:color w:val="222222"/>
          <w:shd w:val="clear" w:color="auto" w:fill="FFFFFF"/>
          <w:lang w:val="es-CR"/>
        </w:rPr>
        <w:t>El 8 de junio de 2005</w:t>
      </w:r>
      <w:r w:rsidRPr="00D13347">
        <w:rPr>
          <w:rFonts w:cs="Arial"/>
          <w:color w:val="222222"/>
          <w:shd w:val="clear" w:color="auto" w:fill="FFFFFF"/>
          <w:lang w:val="es-CR"/>
        </w:rPr>
        <w:t xml:space="preserve"> la Fiscalía (ahora denominada Quinta Fiscalía Penal </w:t>
      </w:r>
      <w:r w:rsidRPr="00C328C0">
        <w:rPr>
          <w:rFonts w:cs="Arial"/>
          <w:color w:val="222222"/>
          <w:szCs w:val="20"/>
          <w:shd w:val="clear" w:color="auto" w:fill="FFFFFF"/>
          <w:lang w:val="es-CR"/>
        </w:rPr>
        <w:t>Supraprovincial</w:t>
      </w:r>
      <w:r w:rsidRPr="00D13347">
        <w:rPr>
          <w:rFonts w:cs="Arial"/>
          <w:color w:val="222222"/>
          <w:shd w:val="clear" w:color="auto" w:fill="FFFFFF"/>
          <w:lang w:val="es-CR"/>
        </w:rPr>
        <w:t xml:space="preserve">) se inhibió del conocimiento de la investigación por considerarse incompetente para la </w:t>
      </w:r>
      <w:r w:rsidRPr="00364732">
        <w:rPr>
          <w:rFonts w:cs="Arial"/>
          <w:color w:val="222222"/>
          <w:szCs w:val="20"/>
          <w:shd w:val="clear" w:color="auto" w:fill="FFFFFF"/>
          <w:lang w:val="es-CR"/>
        </w:rPr>
        <w:t>misma</w:t>
      </w:r>
      <w:r w:rsidRPr="00364732">
        <w:rPr>
          <w:rStyle w:val="FootnoteReference"/>
          <w:color w:val="222222"/>
          <w:sz w:val="20"/>
          <w:szCs w:val="20"/>
          <w:shd w:val="clear" w:color="auto" w:fill="FFFFFF"/>
          <w:lang w:val="es-CR"/>
        </w:rPr>
        <w:footnoteReference w:id="173"/>
      </w:r>
      <w:r w:rsidRPr="00364732">
        <w:rPr>
          <w:rFonts w:cs="Arial"/>
          <w:color w:val="222222"/>
          <w:szCs w:val="20"/>
          <w:shd w:val="clear" w:color="auto" w:fill="FFFFFF"/>
          <w:lang w:val="es-CR"/>
        </w:rPr>
        <w:t>, y la remitió el 14 de septiembre de 2005 al Fiscal Superior Dec</w:t>
      </w:r>
      <w:r w:rsidR="004C4DA1">
        <w:rPr>
          <w:rFonts w:cs="Arial"/>
          <w:color w:val="222222"/>
          <w:szCs w:val="20"/>
          <w:shd w:val="clear" w:color="auto" w:fill="FFFFFF"/>
          <w:lang w:val="es-CR"/>
        </w:rPr>
        <w:t>an</w:t>
      </w:r>
      <w:r w:rsidR="0068701A">
        <w:rPr>
          <w:rFonts w:cs="Arial"/>
          <w:color w:val="222222"/>
          <w:szCs w:val="20"/>
          <w:shd w:val="clear" w:color="auto" w:fill="FFFFFF"/>
          <w:lang w:val="es-CR"/>
        </w:rPr>
        <w:t>o del Distrito Judicial de Huánu</w:t>
      </w:r>
      <w:r w:rsidRPr="00364732">
        <w:rPr>
          <w:rFonts w:cs="Arial"/>
          <w:color w:val="222222"/>
          <w:szCs w:val="20"/>
          <w:shd w:val="clear" w:color="auto" w:fill="FFFFFF"/>
          <w:lang w:val="es-CR"/>
        </w:rPr>
        <w:t>co, quien debía derivarlo a la Fiscalía correspondiente</w:t>
      </w:r>
      <w:r w:rsidRPr="00364732">
        <w:rPr>
          <w:rStyle w:val="FootnoteReference"/>
          <w:color w:val="222222"/>
          <w:sz w:val="20"/>
          <w:szCs w:val="20"/>
          <w:shd w:val="clear" w:color="auto" w:fill="FFFFFF"/>
          <w:lang w:val="es-CR"/>
        </w:rPr>
        <w:footnoteReference w:id="174"/>
      </w:r>
      <w:r w:rsidR="00DF7693">
        <w:rPr>
          <w:rFonts w:cs="Arial"/>
          <w:color w:val="222222"/>
          <w:szCs w:val="20"/>
          <w:shd w:val="clear" w:color="auto" w:fill="FFFFFF"/>
          <w:lang w:val="es-CR"/>
        </w:rPr>
        <w:t>. El 5 de octubre de 2006</w:t>
      </w:r>
      <w:r w:rsidRPr="00364732">
        <w:rPr>
          <w:rFonts w:cs="Arial"/>
          <w:color w:val="222222"/>
          <w:szCs w:val="20"/>
          <w:shd w:val="clear" w:color="auto" w:fill="FFFFFF"/>
          <w:lang w:val="es-CR"/>
        </w:rPr>
        <w:t xml:space="preserve"> el Fiscal Provincial Penal de Moyobamba se dirigió a la Fiscalía Mixta de Tocache para remitirle las actuaciones precedentes de la Fiscalía Decana del Distrito Judicial de Huánuco</w:t>
      </w:r>
      <w:r w:rsidRPr="00364732">
        <w:rPr>
          <w:rStyle w:val="FootnoteReference"/>
          <w:color w:val="222222"/>
          <w:sz w:val="20"/>
          <w:szCs w:val="20"/>
          <w:shd w:val="clear" w:color="auto" w:fill="FFFFFF"/>
          <w:lang w:val="es-CR"/>
        </w:rPr>
        <w:footnoteReference w:id="175"/>
      </w:r>
      <w:r w:rsidRPr="00364732">
        <w:rPr>
          <w:rFonts w:cs="Arial"/>
          <w:color w:val="222222"/>
          <w:szCs w:val="20"/>
          <w:shd w:val="clear" w:color="auto" w:fill="FFFFFF"/>
          <w:lang w:val="es-CR"/>
        </w:rPr>
        <w:t>.</w:t>
      </w:r>
    </w:p>
    <w:p w:rsidR="00191347" w:rsidRPr="004E55C2" w:rsidRDefault="00191347" w:rsidP="00191347">
      <w:pPr>
        <w:pStyle w:val="ListParagraph"/>
        <w:rPr>
          <w:rFonts w:cs="Arial"/>
          <w:i/>
          <w:color w:val="222222"/>
          <w:highlight w:val="yellow"/>
          <w:shd w:val="clear" w:color="auto" w:fill="FFFFFF"/>
          <w:lang w:val="es-CR"/>
        </w:rPr>
      </w:pPr>
    </w:p>
    <w:p w:rsidR="00191347" w:rsidRPr="00563483" w:rsidRDefault="00191347" w:rsidP="00C328C0">
      <w:pPr>
        <w:pStyle w:val="ListParagraph"/>
        <w:widowControl w:val="0"/>
        <w:numPr>
          <w:ilvl w:val="0"/>
          <w:numId w:val="1"/>
        </w:numPr>
        <w:tabs>
          <w:tab w:val="left" w:pos="0"/>
        </w:tabs>
        <w:adjustRightInd w:val="0"/>
        <w:ind w:left="0" w:firstLine="0"/>
        <w:rPr>
          <w:i/>
          <w:strike/>
          <w:szCs w:val="20"/>
          <w:shd w:val="clear" w:color="auto" w:fill="FFFFFF"/>
        </w:rPr>
      </w:pPr>
      <w:r w:rsidRPr="00364732">
        <w:rPr>
          <w:szCs w:val="20"/>
          <w:shd w:val="clear" w:color="auto" w:fill="FFFFFF"/>
        </w:rPr>
        <w:t>El 20 de febrero de 2011 se dispuso derivar la investigación a la Primera Fiscalía Provincial Penal Corporativa de Moyobamba</w:t>
      </w:r>
      <w:r w:rsidR="00DF7693">
        <w:rPr>
          <w:szCs w:val="20"/>
          <w:shd w:val="clear" w:color="auto" w:fill="FFFFFF"/>
        </w:rPr>
        <w:t xml:space="preserve"> (en ad</w:t>
      </w:r>
      <w:r w:rsidR="00FD6317">
        <w:rPr>
          <w:szCs w:val="20"/>
          <w:shd w:val="clear" w:color="auto" w:fill="FFFFFF"/>
        </w:rPr>
        <w:t>elante también “Primera Fiscalía</w:t>
      </w:r>
      <w:r w:rsidR="00DF7693">
        <w:rPr>
          <w:szCs w:val="20"/>
          <w:shd w:val="clear" w:color="auto" w:fill="FFFFFF"/>
        </w:rPr>
        <w:t>”)</w:t>
      </w:r>
      <w:r w:rsidRPr="00364732">
        <w:rPr>
          <w:rStyle w:val="FootnoteReference"/>
          <w:sz w:val="20"/>
          <w:szCs w:val="20"/>
          <w:shd w:val="clear" w:color="auto" w:fill="FFFFFF"/>
        </w:rPr>
        <w:footnoteReference w:id="176"/>
      </w:r>
      <w:r w:rsidRPr="00364732">
        <w:rPr>
          <w:szCs w:val="20"/>
          <w:shd w:val="clear" w:color="auto" w:fill="FFFFFF"/>
        </w:rPr>
        <w:t>.</w:t>
      </w:r>
      <w:r w:rsidR="00364732" w:rsidRPr="00364732">
        <w:rPr>
          <w:szCs w:val="20"/>
          <w:shd w:val="clear" w:color="auto" w:fill="FFFFFF"/>
        </w:rPr>
        <w:t xml:space="preserve"> El 28 de </w:t>
      </w:r>
      <w:r w:rsidR="00364732" w:rsidRPr="00C328C0">
        <w:rPr>
          <w:rFonts w:cs="Arial"/>
          <w:color w:val="222222"/>
          <w:szCs w:val="20"/>
          <w:shd w:val="clear" w:color="auto" w:fill="FFFFFF"/>
          <w:lang w:val="es-CR"/>
        </w:rPr>
        <w:t>marzo</w:t>
      </w:r>
      <w:r w:rsidR="00364732" w:rsidRPr="00364732">
        <w:rPr>
          <w:szCs w:val="20"/>
          <w:shd w:val="clear" w:color="auto" w:fill="FFFFFF"/>
        </w:rPr>
        <w:t xml:space="preserve"> de 2011</w:t>
      </w:r>
      <w:r w:rsidRPr="00364732">
        <w:rPr>
          <w:szCs w:val="20"/>
          <w:shd w:val="clear" w:color="auto" w:fill="FFFFFF"/>
        </w:rPr>
        <w:t xml:space="preserve"> la Primera Fiscalía dispuso adecuar la investigación del caso de Néstor Rojas Medina al nuevo Código Procesal Penal, iniciar una investigación preliminar en sede fiscal contra los que resulten responsables por el “delito contra la humanidad en la modalidad de desaparición forzada” en su contra “con plazo máximo de 120 días para el mejor esclarecimiento de los hechos”, la ampliación de la declaración de varias personas, y girar diversos oficios a distintas instituciones estatales</w:t>
      </w:r>
      <w:r w:rsidRPr="00364732">
        <w:rPr>
          <w:rStyle w:val="FootnoteReference"/>
          <w:sz w:val="20"/>
          <w:szCs w:val="20"/>
          <w:shd w:val="clear" w:color="auto" w:fill="FFFFFF"/>
        </w:rPr>
        <w:footnoteReference w:id="177"/>
      </w:r>
      <w:r w:rsidRPr="00364732">
        <w:rPr>
          <w:szCs w:val="20"/>
          <w:shd w:val="clear" w:color="auto" w:fill="FFFFFF"/>
        </w:rPr>
        <w:t xml:space="preserve">. </w:t>
      </w:r>
    </w:p>
    <w:p w:rsidR="00191347" w:rsidRPr="006704F0" w:rsidRDefault="00191347" w:rsidP="00191347">
      <w:pPr>
        <w:pStyle w:val="ListParagraph"/>
        <w:rPr>
          <w:rFonts w:cs="Arial"/>
          <w:i/>
          <w:color w:val="222222"/>
          <w:highlight w:val="yellow"/>
          <w:shd w:val="clear" w:color="auto" w:fill="FFFFFF"/>
          <w:lang w:val="es-CR"/>
        </w:rPr>
      </w:pPr>
    </w:p>
    <w:p w:rsidR="00191347" w:rsidRPr="00364732" w:rsidRDefault="00753B43" w:rsidP="00C328C0">
      <w:pPr>
        <w:pStyle w:val="ListParagraph"/>
        <w:widowControl w:val="0"/>
        <w:numPr>
          <w:ilvl w:val="0"/>
          <w:numId w:val="1"/>
        </w:numPr>
        <w:tabs>
          <w:tab w:val="left" w:pos="0"/>
        </w:tabs>
        <w:adjustRightInd w:val="0"/>
        <w:ind w:left="0" w:firstLine="0"/>
        <w:rPr>
          <w:rFonts w:cs="Arial"/>
          <w:i/>
          <w:color w:val="222222"/>
          <w:szCs w:val="20"/>
          <w:shd w:val="clear" w:color="auto" w:fill="FFFFFF"/>
          <w:lang w:val="es-CR"/>
        </w:rPr>
      </w:pPr>
      <w:r>
        <w:rPr>
          <w:rFonts w:cs="Arial"/>
          <w:color w:val="222222"/>
          <w:szCs w:val="20"/>
          <w:shd w:val="clear" w:color="auto" w:fill="FFFFFF"/>
          <w:lang w:val="es-CR"/>
        </w:rPr>
        <w:t>El 18 de enero de 2013</w:t>
      </w:r>
      <w:r w:rsidR="00191347" w:rsidRPr="00364732">
        <w:rPr>
          <w:rFonts w:cs="Arial"/>
          <w:color w:val="222222"/>
          <w:szCs w:val="20"/>
          <w:shd w:val="clear" w:color="auto" w:fill="FFFFFF"/>
          <w:lang w:val="es-CR"/>
        </w:rPr>
        <w:t xml:space="preserve"> la Primera Fiscalía declaró “que no procede formalizar ni continuar con la investigación preparatoria” por el delito de desaparición forzada “cometido por miembros de la Policía Nacional, en estado de identificación, en agravio de Néstor Rojas Medina”. También dispuso “en el plazo de tres días podrán impugnar tal decisión ante el </w:t>
      </w:r>
      <w:r w:rsidR="00191347" w:rsidRPr="00364732">
        <w:rPr>
          <w:rFonts w:cs="Arial"/>
          <w:color w:val="222222"/>
          <w:szCs w:val="20"/>
          <w:shd w:val="clear" w:color="auto" w:fill="FFFFFF"/>
          <w:lang w:val="es-CR"/>
        </w:rPr>
        <w:lastRenderedPageBreak/>
        <w:t xml:space="preserve">mismo fiscal, a fin de [que] éste </w:t>
      </w:r>
      <w:r w:rsidR="004C4DA1">
        <w:rPr>
          <w:rFonts w:cs="Arial"/>
          <w:color w:val="222222"/>
          <w:szCs w:val="20"/>
          <w:shd w:val="clear" w:color="auto" w:fill="FFFFFF"/>
          <w:lang w:val="es-CR"/>
        </w:rPr>
        <w:t>eleve lo actuado a la Fiscalía S</w:t>
      </w:r>
      <w:r w:rsidR="00191347" w:rsidRPr="00364732">
        <w:rPr>
          <w:rFonts w:cs="Arial"/>
          <w:color w:val="222222"/>
          <w:szCs w:val="20"/>
          <w:shd w:val="clear" w:color="auto" w:fill="FFFFFF"/>
          <w:lang w:val="es-CR"/>
        </w:rPr>
        <w:t>uperior que corresponda”</w:t>
      </w:r>
      <w:r w:rsidR="00191347" w:rsidRPr="00364732">
        <w:rPr>
          <w:rStyle w:val="FootnoteReference"/>
          <w:color w:val="222222"/>
          <w:sz w:val="20"/>
          <w:szCs w:val="20"/>
          <w:shd w:val="clear" w:color="auto" w:fill="FFFFFF"/>
          <w:lang w:val="es-CR"/>
        </w:rPr>
        <w:footnoteReference w:id="178"/>
      </w:r>
      <w:r w:rsidR="00191347" w:rsidRPr="00364732">
        <w:rPr>
          <w:rFonts w:cs="Arial"/>
          <w:color w:val="222222"/>
          <w:szCs w:val="20"/>
          <w:shd w:val="clear" w:color="auto" w:fill="FFFFFF"/>
          <w:lang w:val="es-CR"/>
        </w:rPr>
        <w:t>. En dicha decisión, la Fiscalía consideró que “si bien es cierto de la percepción de los actuados que conforman la causa penal hasta la fecha, se puede concluir que el hecho criminal se encuentra acreditado con la declaración de la denunciante [CSL] y demás medios de prueba”, también es cierto que “de las investigaciones realizadas tanto a nivel policial y fiscal no se ha podido individualizar</w:t>
      </w:r>
      <w:r w:rsidR="00191347" w:rsidRPr="004D3D8D">
        <w:rPr>
          <w:rFonts w:cs="Arial"/>
          <w:color w:val="222222"/>
          <w:shd w:val="clear" w:color="auto" w:fill="FFFFFF"/>
          <w:lang w:val="es-CR"/>
        </w:rPr>
        <w:t xml:space="preserve"> e identificar a los presuntos responsables del hecho criminal” y que “solo se obtuvo declaraciones, entre una de ellas la manifestación de Marcelina Medina Negrón, y que en materia de una investigación a nivel fiscal, y en cumplimiento de las nuevas normas procesales, esta declaración no da mérito a judicializar una</w:t>
      </w:r>
      <w:r w:rsidR="00191347" w:rsidRPr="00364732">
        <w:rPr>
          <w:rFonts w:cs="Arial"/>
          <w:color w:val="222222"/>
          <w:szCs w:val="20"/>
          <w:shd w:val="clear" w:color="auto" w:fill="FFFFFF"/>
          <w:lang w:val="es-CR"/>
        </w:rPr>
        <w:t xml:space="preserve"> investigación”</w:t>
      </w:r>
      <w:r w:rsidR="00191347" w:rsidRPr="00364732">
        <w:rPr>
          <w:rStyle w:val="FootnoteReference"/>
          <w:color w:val="222222"/>
          <w:sz w:val="20"/>
          <w:szCs w:val="20"/>
          <w:shd w:val="clear" w:color="auto" w:fill="FFFFFF"/>
          <w:lang w:val="es-CR"/>
        </w:rPr>
        <w:footnoteReference w:id="179"/>
      </w:r>
      <w:r w:rsidR="00191347" w:rsidRPr="00364732">
        <w:rPr>
          <w:rFonts w:cs="Arial"/>
          <w:color w:val="222222"/>
          <w:szCs w:val="20"/>
          <w:shd w:val="clear" w:color="auto" w:fill="FFFFFF"/>
          <w:lang w:val="es-CR"/>
        </w:rPr>
        <w:t>.</w:t>
      </w:r>
    </w:p>
    <w:p w:rsidR="00191347" w:rsidRPr="00364732" w:rsidRDefault="00191347" w:rsidP="00191347">
      <w:pPr>
        <w:pStyle w:val="ListParagraph"/>
        <w:autoSpaceDE w:val="0"/>
        <w:autoSpaceDN w:val="0"/>
        <w:adjustRightInd w:val="0"/>
        <w:spacing w:line="20" w:lineRule="atLeast"/>
        <w:ind w:left="0" w:right="-138"/>
        <w:rPr>
          <w:rFonts w:cs="Arial"/>
          <w:i/>
          <w:color w:val="222222"/>
          <w:szCs w:val="20"/>
          <w:highlight w:val="yellow"/>
          <w:shd w:val="clear" w:color="auto" w:fill="FFFFFF"/>
          <w:lang w:val="es-CR"/>
        </w:rPr>
      </w:pPr>
      <w:r w:rsidRPr="00364732">
        <w:rPr>
          <w:rFonts w:cs="Arial"/>
          <w:color w:val="222222"/>
          <w:szCs w:val="20"/>
          <w:highlight w:val="yellow"/>
          <w:shd w:val="clear" w:color="auto" w:fill="FFFFFF"/>
          <w:lang w:val="es-CR"/>
        </w:rPr>
        <w:t xml:space="preserve"> </w:t>
      </w:r>
    </w:p>
    <w:p w:rsidR="00191347" w:rsidRPr="00364732" w:rsidRDefault="00753B43" w:rsidP="00C328C0">
      <w:pPr>
        <w:pStyle w:val="ListParagraph"/>
        <w:widowControl w:val="0"/>
        <w:numPr>
          <w:ilvl w:val="0"/>
          <w:numId w:val="1"/>
        </w:numPr>
        <w:tabs>
          <w:tab w:val="left" w:pos="0"/>
        </w:tabs>
        <w:adjustRightInd w:val="0"/>
        <w:ind w:left="0" w:firstLine="0"/>
        <w:rPr>
          <w:rFonts w:cs="Arial"/>
          <w:i/>
          <w:color w:val="222222"/>
          <w:szCs w:val="20"/>
          <w:shd w:val="clear" w:color="auto" w:fill="FFFFFF"/>
          <w:lang w:val="es-CR"/>
        </w:rPr>
      </w:pPr>
      <w:r>
        <w:rPr>
          <w:rFonts w:cs="Arial"/>
          <w:color w:val="222222"/>
          <w:szCs w:val="20"/>
          <w:shd w:val="clear" w:color="auto" w:fill="FFFFFF"/>
          <w:lang w:val="es-CR"/>
        </w:rPr>
        <w:t>El 26 de agosto de 2013</w:t>
      </w:r>
      <w:r w:rsidR="00191347" w:rsidRPr="00364732">
        <w:rPr>
          <w:rFonts w:cs="Arial"/>
          <w:color w:val="222222"/>
          <w:szCs w:val="20"/>
          <w:shd w:val="clear" w:color="auto" w:fill="FFFFFF"/>
          <w:lang w:val="es-CR"/>
        </w:rPr>
        <w:t xml:space="preserve"> la Primera Fiscalía declaró </w:t>
      </w:r>
      <w:r w:rsidR="00DD5197" w:rsidRPr="00DC6A92">
        <w:rPr>
          <w:rFonts w:cs="Arial"/>
          <w:color w:val="222222"/>
          <w:szCs w:val="20"/>
          <w:shd w:val="clear" w:color="auto" w:fill="FFFFFF"/>
          <w:lang w:val="es-CR"/>
        </w:rPr>
        <w:t>“</w:t>
      </w:r>
      <w:r w:rsidR="00191347" w:rsidRPr="00DC6A92">
        <w:rPr>
          <w:rFonts w:cs="Arial"/>
          <w:color w:val="222222"/>
          <w:szCs w:val="20"/>
          <w:shd w:val="clear" w:color="auto" w:fill="FFFFFF"/>
          <w:lang w:val="es-CR"/>
        </w:rPr>
        <w:t>consentida</w:t>
      </w:r>
      <w:r w:rsidR="00DD5197" w:rsidRPr="00DC6A92">
        <w:rPr>
          <w:rFonts w:cs="Arial"/>
          <w:color w:val="222222"/>
          <w:szCs w:val="20"/>
          <w:shd w:val="clear" w:color="auto" w:fill="FFFFFF"/>
          <w:lang w:val="es-CR"/>
        </w:rPr>
        <w:t>”</w:t>
      </w:r>
      <w:r w:rsidR="00191347" w:rsidRPr="00364732">
        <w:rPr>
          <w:rFonts w:cs="Arial"/>
          <w:color w:val="222222"/>
          <w:szCs w:val="20"/>
          <w:shd w:val="clear" w:color="auto" w:fill="FFFFFF"/>
          <w:lang w:val="es-CR"/>
        </w:rPr>
        <w:t xml:space="preserve"> la decisión de la Fiscalía de 18 de enero de 2013, pues había “transcurrido el plazo para que las partes [puedan] interponer Recurso de Impugnación” y que no existe “recurso alguno contra la Disposición antes indicada”</w:t>
      </w:r>
      <w:r w:rsidR="00191347" w:rsidRPr="00364732">
        <w:rPr>
          <w:rStyle w:val="FootnoteReference"/>
          <w:color w:val="222222"/>
          <w:sz w:val="20"/>
          <w:szCs w:val="20"/>
          <w:shd w:val="clear" w:color="auto" w:fill="FFFFFF"/>
          <w:lang w:val="es-CR"/>
        </w:rPr>
        <w:footnoteReference w:id="180"/>
      </w:r>
      <w:r w:rsidR="00191347" w:rsidRPr="00364732">
        <w:rPr>
          <w:rFonts w:cs="Arial"/>
          <w:color w:val="222222"/>
          <w:szCs w:val="20"/>
          <w:shd w:val="clear" w:color="auto" w:fill="FFFFFF"/>
          <w:lang w:val="es-CR"/>
        </w:rPr>
        <w:t>.</w:t>
      </w:r>
    </w:p>
    <w:p w:rsidR="00191347" w:rsidRPr="0051471A" w:rsidRDefault="00191347" w:rsidP="00191347">
      <w:pPr>
        <w:pStyle w:val="ListParagraph"/>
        <w:autoSpaceDE w:val="0"/>
        <w:autoSpaceDN w:val="0"/>
        <w:adjustRightInd w:val="0"/>
        <w:spacing w:line="20" w:lineRule="atLeast"/>
        <w:ind w:left="0" w:right="-138" w:firstLine="708"/>
        <w:rPr>
          <w:rFonts w:cs="Arial"/>
          <w:i/>
          <w:color w:val="222222"/>
          <w:highlight w:val="red"/>
          <w:shd w:val="clear" w:color="auto" w:fill="FFFFFF"/>
          <w:lang w:val="es-CR"/>
        </w:rPr>
      </w:pPr>
    </w:p>
    <w:p w:rsidR="00191347" w:rsidRDefault="009718A2" w:rsidP="001F43EF">
      <w:pPr>
        <w:pStyle w:val="ListParagraph"/>
        <w:autoSpaceDE w:val="0"/>
        <w:autoSpaceDN w:val="0"/>
        <w:adjustRightInd w:val="0"/>
        <w:spacing w:line="20" w:lineRule="atLeast"/>
        <w:ind w:left="708" w:right="-138"/>
        <w:rPr>
          <w:rFonts w:cs="Arial"/>
          <w:i/>
          <w:color w:val="222222"/>
          <w:shd w:val="clear" w:color="auto" w:fill="FFFFFF"/>
          <w:lang w:val="es-CR"/>
        </w:rPr>
      </w:pPr>
      <w:r>
        <w:rPr>
          <w:rFonts w:cs="Arial"/>
          <w:i/>
          <w:color w:val="222222"/>
          <w:shd w:val="clear" w:color="auto" w:fill="FFFFFF"/>
          <w:lang w:val="es-CR"/>
        </w:rPr>
        <w:t>B.4</w:t>
      </w:r>
      <w:r w:rsidR="009F394A">
        <w:rPr>
          <w:rFonts w:cs="Arial"/>
          <w:i/>
          <w:color w:val="222222"/>
          <w:shd w:val="clear" w:color="auto" w:fill="FFFFFF"/>
          <w:lang w:val="es-CR"/>
        </w:rPr>
        <w:t>.4</w:t>
      </w:r>
      <w:r w:rsidR="00191347" w:rsidRPr="00802157">
        <w:rPr>
          <w:rFonts w:cs="Arial"/>
          <w:i/>
          <w:color w:val="222222"/>
          <w:shd w:val="clear" w:color="auto" w:fill="FFFFFF"/>
          <w:lang w:val="es-CR"/>
        </w:rPr>
        <w:t>.2</w:t>
      </w:r>
      <w:r w:rsidR="00191347">
        <w:rPr>
          <w:rFonts w:cs="Arial"/>
          <w:i/>
          <w:color w:val="222222"/>
          <w:shd w:val="clear" w:color="auto" w:fill="FFFFFF"/>
          <w:lang w:val="es-CR"/>
        </w:rPr>
        <w:t>.4</w:t>
      </w:r>
      <w:r w:rsidR="003749D0">
        <w:rPr>
          <w:rFonts w:cs="Arial"/>
          <w:i/>
          <w:color w:val="222222"/>
          <w:shd w:val="clear" w:color="auto" w:fill="FFFFFF"/>
          <w:lang w:val="es-CR"/>
        </w:rPr>
        <w:t>.</w:t>
      </w:r>
      <w:r w:rsidR="00191347" w:rsidRPr="00802157">
        <w:rPr>
          <w:rFonts w:cs="Arial"/>
          <w:i/>
          <w:color w:val="222222"/>
          <w:shd w:val="clear" w:color="auto" w:fill="FFFFFF"/>
          <w:lang w:val="es-CR"/>
        </w:rPr>
        <w:t xml:space="preserve"> </w:t>
      </w:r>
      <w:r w:rsidR="00191347">
        <w:rPr>
          <w:rFonts w:cs="Arial"/>
          <w:i/>
          <w:color w:val="222222"/>
          <w:shd w:val="clear" w:color="auto" w:fill="FFFFFF"/>
          <w:lang w:val="es-CR"/>
        </w:rPr>
        <w:t xml:space="preserve">Diligencias realizadas a partir de 2016 ante la Fiscalía </w:t>
      </w:r>
      <w:r w:rsidR="00191347" w:rsidRPr="00EA4E3F">
        <w:rPr>
          <w:rFonts w:cs="Arial"/>
          <w:i/>
          <w:color w:val="222222"/>
          <w:shd w:val="clear" w:color="auto" w:fill="FFFFFF"/>
          <w:lang w:val="es-CR"/>
        </w:rPr>
        <w:t>Especializada para Desapariciones Forzosas, Ejecuciones E</w:t>
      </w:r>
      <w:r w:rsidR="004C4DA1">
        <w:rPr>
          <w:rFonts w:cs="Arial"/>
          <w:i/>
          <w:color w:val="222222"/>
          <w:shd w:val="clear" w:color="auto" w:fill="FFFFFF"/>
          <w:lang w:val="es-CR"/>
        </w:rPr>
        <w:t>xtrajudiciales y Exhumación de Fosas C</w:t>
      </w:r>
      <w:r w:rsidR="00191347" w:rsidRPr="00EA4E3F">
        <w:rPr>
          <w:rFonts w:cs="Arial"/>
          <w:i/>
          <w:color w:val="222222"/>
          <w:shd w:val="clear" w:color="auto" w:fill="FFFFFF"/>
          <w:lang w:val="es-CR"/>
        </w:rPr>
        <w:t>landestinas</w:t>
      </w:r>
    </w:p>
    <w:p w:rsidR="00191347" w:rsidRPr="007F1EFC" w:rsidRDefault="00191347" w:rsidP="00191347">
      <w:pPr>
        <w:pStyle w:val="ListParagraph"/>
        <w:autoSpaceDE w:val="0"/>
        <w:autoSpaceDN w:val="0"/>
        <w:adjustRightInd w:val="0"/>
        <w:spacing w:line="20" w:lineRule="atLeast"/>
        <w:ind w:left="0" w:right="-138"/>
        <w:rPr>
          <w:rFonts w:cs="Arial"/>
          <w:color w:val="222222"/>
          <w:highlight w:val="yellow"/>
          <w:shd w:val="clear" w:color="auto" w:fill="FFFFFF"/>
          <w:lang w:val="es-CR"/>
        </w:rPr>
      </w:pPr>
    </w:p>
    <w:p w:rsidR="00191347" w:rsidRPr="00880F40" w:rsidRDefault="00191347" w:rsidP="00C328C0">
      <w:pPr>
        <w:pStyle w:val="ListParagraph"/>
        <w:widowControl w:val="0"/>
        <w:numPr>
          <w:ilvl w:val="0"/>
          <w:numId w:val="1"/>
        </w:numPr>
        <w:tabs>
          <w:tab w:val="left" w:pos="0"/>
        </w:tabs>
        <w:adjustRightInd w:val="0"/>
        <w:ind w:left="0" w:firstLine="0"/>
        <w:rPr>
          <w:rFonts w:cs="Arial"/>
          <w:color w:val="222222"/>
          <w:shd w:val="clear" w:color="auto" w:fill="FFFFFF"/>
          <w:lang w:val="es-CR"/>
        </w:rPr>
      </w:pPr>
      <w:r w:rsidRPr="00880F40">
        <w:rPr>
          <w:rFonts w:cs="Arial"/>
          <w:color w:val="222222"/>
          <w:shd w:val="clear" w:color="auto" w:fill="FFFFFF"/>
          <w:lang w:val="es-CR"/>
        </w:rPr>
        <w:t xml:space="preserve">Al igual que en los demás casos, mediante Resolución de 10 de octubre de 2016 se dispuso la </w:t>
      </w:r>
      <w:r w:rsidRPr="00C328C0">
        <w:rPr>
          <w:rFonts w:cs="Arial"/>
          <w:color w:val="222222"/>
          <w:szCs w:val="20"/>
          <w:shd w:val="clear" w:color="auto" w:fill="FFFFFF"/>
          <w:lang w:val="es-CR"/>
        </w:rPr>
        <w:t>apertura</w:t>
      </w:r>
      <w:r w:rsidRPr="00880F40">
        <w:rPr>
          <w:rFonts w:cs="Arial"/>
          <w:color w:val="222222"/>
          <w:shd w:val="clear" w:color="auto" w:fill="FFFFFF"/>
          <w:lang w:val="es-CR"/>
        </w:rPr>
        <w:t xml:space="preserve"> de la investigación por desaparición forzosa</w:t>
      </w:r>
      <w:r w:rsidR="00FD6317">
        <w:rPr>
          <w:rFonts w:cs="Arial"/>
          <w:color w:val="222222"/>
          <w:shd w:val="clear" w:color="auto" w:fill="FFFFFF"/>
          <w:lang w:val="es-CR"/>
        </w:rPr>
        <w:t>,</w:t>
      </w:r>
      <w:r w:rsidRPr="00880F40">
        <w:rPr>
          <w:rFonts w:cs="Arial"/>
          <w:color w:val="222222"/>
          <w:shd w:val="clear" w:color="auto" w:fill="FFFFFF"/>
          <w:lang w:val="es-CR"/>
        </w:rPr>
        <w:t xml:space="preserve"> en perjuicio de Néstor Rojas Medina</w:t>
      </w:r>
      <w:r w:rsidR="00FD6317">
        <w:rPr>
          <w:rFonts w:cs="Arial"/>
          <w:color w:val="222222"/>
          <w:shd w:val="clear" w:color="auto" w:fill="FFFFFF"/>
          <w:lang w:val="es-CR"/>
        </w:rPr>
        <w:t>,</w:t>
      </w:r>
      <w:r w:rsidRPr="00880F40">
        <w:rPr>
          <w:rFonts w:cs="Arial"/>
          <w:color w:val="222222"/>
          <w:shd w:val="clear" w:color="auto" w:fill="FFFFFF"/>
          <w:lang w:val="es-CR"/>
        </w:rPr>
        <w:t xml:space="preserve"> </w:t>
      </w:r>
      <w:r w:rsidR="00FD6317">
        <w:rPr>
          <w:rFonts w:cs="Arial"/>
          <w:color w:val="222222"/>
          <w:shd w:val="clear" w:color="auto" w:fill="FFFFFF"/>
          <w:lang w:val="es-CR"/>
        </w:rPr>
        <w:t xml:space="preserve">al igual que a </w:t>
      </w:r>
      <w:r w:rsidRPr="00880F40">
        <w:rPr>
          <w:rFonts w:cs="Arial"/>
          <w:color w:val="222222"/>
          <w:shd w:val="clear" w:color="auto" w:fill="FFFFFF"/>
          <w:lang w:val="es-CR"/>
        </w:rPr>
        <w:t>las demás presuntas víctimas del presente caso (</w:t>
      </w:r>
      <w:r w:rsidRPr="00880F40">
        <w:rPr>
          <w:rFonts w:cs="Arial"/>
          <w:i/>
          <w:color w:val="222222"/>
          <w:shd w:val="clear" w:color="auto" w:fill="FFFFFF"/>
          <w:lang w:val="es-CR"/>
        </w:rPr>
        <w:t>supra</w:t>
      </w:r>
      <w:r w:rsidRPr="00880F40">
        <w:rPr>
          <w:rFonts w:cs="Arial"/>
          <w:color w:val="222222"/>
          <w:shd w:val="clear" w:color="auto" w:fill="FFFFFF"/>
          <w:lang w:val="es-CR"/>
        </w:rPr>
        <w:t xml:space="preserve"> párr. </w:t>
      </w:r>
      <w:r w:rsidR="003D619D">
        <w:rPr>
          <w:rFonts w:cs="Arial"/>
          <w:color w:val="222222"/>
          <w:shd w:val="clear" w:color="auto" w:fill="FFFFFF"/>
          <w:lang w:val="es-CR"/>
        </w:rPr>
        <w:t>63</w:t>
      </w:r>
      <w:r w:rsidRPr="00880F40">
        <w:rPr>
          <w:rFonts w:cs="Arial"/>
          <w:color w:val="222222"/>
          <w:shd w:val="clear" w:color="auto" w:fill="FFFFFF"/>
          <w:lang w:val="es-CR"/>
        </w:rPr>
        <w:t xml:space="preserve">). </w:t>
      </w:r>
    </w:p>
    <w:p w:rsidR="00191347" w:rsidRPr="00880F40" w:rsidRDefault="00191347" w:rsidP="00191347">
      <w:pPr>
        <w:pStyle w:val="ListParagraph"/>
        <w:autoSpaceDE w:val="0"/>
        <w:autoSpaceDN w:val="0"/>
        <w:adjustRightInd w:val="0"/>
        <w:spacing w:line="20" w:lineRule="atLeast"/>
        <w:ind w:left="0" w:right="-138"/>
        <w:rPr>
          <w:rFonts w:cs="Arial"/>
          <w:color w:val="222222"/>
          <w:shd w:val="clear" w:color="auto" w:fill="FFFFFF"/>
          <w:lang w:val="es-CR"/>
        </w:rPr>
      </w:pPr>
    </w:p>
    <w:p w:rsidR="00191347" w:rsidRDefault="00191347" w:rsidP="00C328C0">
      <w:pPr>
        <w:pStyle w:val="ListParagraph"/>
        <w:widowControl w:val="0"/>
        <w:numPr>
          <w:ilvl w:val="0"/>
          <w:numId w:val="1"/>
        </w:numPr>
        <w:tabs>
          <w:tab w:val="left" w:pos="0"/>
        </w:tabs>
        <w:adjustRightInd w:val="0"/>
        <w:ind w:left="0" w:firstLine="0"/>
        <w:rPr>
          <w:rFonts w:cs="Arial"/>
          <w:color w:val="222222"/>
          <w:shd w:val="clear" w:color="auto" w:fill="FFFFFF"/>
          <w:lang w:val="es-CR"/>
        </w:rPr>
      </w:pPr>
      <w:r>
        <w:rPr>
          <w:rFonts w:cs="Arial"/>
          <w:color w:val="222222"/>
          <w:shd w:val="clear" w:color="auto" w:fill="FFFFFF"/>
          <w:lang w:val="es-CR"/>
        </w:rPr>
        <w:t xml:space="preserve">El </w:t>
      </w:r>
      <w:r w:rsidRPr="00226671">
        <w:rPr>
          <w:rFonts w:cs="Arial"/>
          <w:color w:val="222222"/>
          <w:shd w:val="clear" w:color="auto" w:fill="FFFFFF"/>
          <w:lang w:val="es-CR"/>
        </w:rPr>
        <w:t>25</w:t>
      </w:r>
      <w:r>
        <w:rPr>
          <w:rFonts w:cs="Arial"/>
          <w:color w:val="222222"/>
          <w:shd w:val="clear" w:color="auto" w:fill="FFFFFF"/>
          <w:lang w:val="es-CR"/>
        </w:rPr>
        <w:t xml:space="preserve"> de abril de 2017</w:t>
      </w:r>
      <w:r w:rsidRPr="00880F40">
        <w:rPr>
          <w:rFonts w:cs="Arial"/>
          <w:color w:val="222222"/>
          <w:shd w:val="clear" w:color="auto" w:fill="FFFFFF"/>
          <w:lang w:val="es-CR"/>
        </w:rPr>
        <w:t xml:space="preserve"> la Primera Fiscalía derivó la investigación a la Policía Nacional, con el fin de que realice investigación complementaria, y de forma específica requirió </w:t>
      </w:r>
      <w:r w:rsidR="003D619D">
        <w:rPr>
          <w:rFonts w:cs="Arial"/>
          <w:color w:val="222222"/>
          <w:shd w:val="clear" w:color="auto" w:fill="FFFFFF"/>
          <w:lang w:val="es-CR"/>
        </w:rPr>
        <w:t xml:space="preserve">ampliar </w:t>
      </w:r>
      <w:r w:rsidRPr="00880F40">
        <w:rPr>
          <w:rFonts w:cs="Arial"/>
          <w:color w:val="222222"/>
          <w:shd w:val="clear" w:color="auto" w:fill="FFFFFF"/>
          <w:lang w:val="es-CR"/>
        </w:rPr>
        <w:t>la declaración de</w:t>
      </w:r>
      <w:r w:rsidR="00391AA7">
        <w:rPr>
          <w:rFonts w:cs="Arial"/>
          <w:color w:val="222222"/>
          <w:shd w:val="clear" w:color="auto" w:fill="FFFFFF"/>
          <w:lang w:val="es-CR"/>
        </w:rPr>
        <w:t xml:space="preserve"> HUC</w:t>
      </w:r>
      <w:r w:rsidRPr="00880F40">
        <w:rPr>
          <w:rFonts w:cs="Arial"/>
          <w:color w:val="222222"/>
          <w:shd w:val="clear" w:color="auto" w:fill="FFFFFF"/>
          <w:lang w:val="es-CR"/>
        </w:rPr>
        <w:t xml:space="preserve"> y CSL, emitir oficios al Ministerio </w:t>
      </w:r>
      <w:r w:rsidRPr="00880F40">
        <w:rPr>
          <w:rFonts w:cs="Arial"/>
          <w:shd w:val="clear" w:color="auto" w:fill="FFFFFF"/>
          <w:lang w:val="es-CR"/>
        </w:rPr>
        <w:t xml:space="preserve">de Defensa, Ministerio del Interior, Dirección contra el Terrorismo de la Policía del Perú, Oficina Ejecutiva de Registro Penitenciario, Registro Nacional de Condenas, Dirección General de Migraciones y Naturalización, Oficina de Procesos Electorales, </w:t>
      </w:r>
      <w:r w:rsidR="003D619D">
        <w:rPr>
          <w:rFonts w:cs="Arial"/>
          <w:shd w:val="clear" w:color="auto" w:fill="FFFFFF"/>
          <w:lang w:val="es-CR"/>
        </w:rPr>
        <w:t xml:space="preserve">y </w:t>
      </w:r>
      <w:r w:rsidRPr="00880F40">
        <w:rPr>
          <w:rFonts w:cs="Arial"/>
          <w:color w:val="222222"/>
          <w:shd w:val="clear" w:color="auto" w:fill="FFFFFF"/>
          <w:lang w:val="es-CR"/>
        </w:rPr>
        <w:t>requerir declaraciones de funcionarios policiales que laboraron en Tocache durante la época de los hechos</w:t>
      </w:r>
      <w:r w:rsidR="000B7F45" w:rsidRPr="00391AA7">
        <w:rPr>
          <w:rStyle w:val="FootnoteReference"/>
          <w:color w:val="222222"/>
          <w:sz w:val="20"/>
          <w:szCs w:val="20"/>
          <w:shd w:val="clear" w:color="auto" w:fill="FFFFFF"/>
          <w:lang w:val="es-CR"/>
        </w:rPr>
        <w:footnoteReference w:id="181"/>
      </w:r>
      <w:r w:rsidRPr="00753B43">
        <w:rPr>
          <w:rFonts w:cs="Arial"/>
          <w:color w:val="222222"/>
          <w:szCs w:val="20"/>
          <w:shd w:val="clear" w:color="auto" w:fill="FFFFFF"/>
          <w:lang w:val="es-CR"/>
        </w:rPr>
        <w:t>.</w:t>
      </w:r>
    </w:p>
    <w:p w:rsidR="00563483" w:rsidRPr="00D23B4E" w:rsidRDefault="00563483" w:rsidP="00563483">
      <w:pPr>
        <w:pStyle w:val="ListParagraph"/>
        <w:autoSpaceDE w:val="0"/>
        <w:autoSpaceDN w:val="0"/>
        <w:adjustRightInd w:val="0"/>
        <w:spacing w:line="20" w:lineRule="atLeast"/>
        <w:ind w:left="0" w:right="-138"/>
        <w:rPr>
          <w:rFonts w:cs="Arial"/>
          <w:color w:val="222222"/>
          <w:shd w:val="clear" w:color="auto" w:fill="FFFFFF"/>
          <w:lang w:val="es-CR"/>
        </w:rPr>
      </w:pPr>
    </w:p>
    <w:p w:rsidR="00191347" w:rsidRPr="00563483" w:rsidRDefault="00191347" w:rsidP="00C328C0">
      <w:pPr>
        <w:pStyle w:val="ListParagraph"/>
        <w:widowControl w:val="0"/>
        <w:numPr>
          <w:ilvl w:val="0"/>
          <w:numId w:val="1"/>
        </w:numPr>
        <w:tabs>
          <w:tab w:val="left" w:pos="0"/>
        </w:tabs>
        <w:adjustRightInd w:val="0"/>
        <w:ind w:left="0" w:firstLine="0"/>
        <w:rPr>
          <w:rFonts w:cs="Arial"/>
          <w:color w:val="222222"/>
          <w:shd w:val="clear" w:color="auto" w:fill="FFFFFF"/>
          <w:lang w:val="es-CR"/>
        </w:rPr>
      </w:pPr>
      <w:r w:rsidRPr="00880F40">
        <w:rPr>
          <w:rFonts w:cs="Arial"/>
          <w:color w:val="222222"/>
          <w:shd w:val="clear" w:color="auto" w:fill="FFFFFF"/>
          <w:lang w:val="es-CR"/>
        </w:rPr>
        <w:t xml:space="preserve">El 7 </w:t>
      </w:r>
      <w:r>
        <w:rPr>
          <w:rFonts w:cs="Arial"/>
          <w:shd w:val="clear" w:color="auto" w:fill="FFFFFF"/>
          <w:lang w:val="es-CR"/>
        </w:rPr>
        <w:t xml:space="preserve">de julio de 2017 la Policía </w:t>
      </w:r>
      <w:r w:rsidR="003D619D">
        <w:rPr>
          <w:rFonts w:cs="Arial"/>
          <w:shd w:val="clear" w:color="auto" w:fill="FFFFFF"/>
          <w:lang w:val="es-CR"/>
        </w:rPr>
        <w:t xml:space="preserve">emitió un informe en el cual </w:t>
      </w:r>
      <w:r>
        <w:rPr>
          <w:rFonts w:cs="Arial"/>
          <w:shd w:val="clear" w:color="auto" w:fill="FFFFFF"/>
          <w:lang w:val="es-CR"/>
        </w:rPr>
        <w:t>comunicó</w:t>
      </w:r>
      <w:r w:rsidRPr="00880F40">
        <w:rPr>
          <w:rFonts w:cs="Arial"/>
          <w:shd w:val="clear" w:color="auto" w:fill="FFFFFF"/>
          <w:lang w:val="es-CR"/>
        </w:rPr>
        <w:t xml:space="preserve"> que se realizaron las solicitudes de información a la Dirección contra el Terrorismo de la Policía del Perú, Registro Nacional de Condenas, Dirección General de Migraciones y Naturalización, Oficina de Procesos Electorales y Oficina Ejecutiva de Registro Penitenciario, de las cuales habrían respondido únicamente las últimas d</w:t>
      </w:r>
      <w:r w:rsidR="00D23AE2">
        <w:rPr>
          <w:rFonts w:cs="Arial"/>
          <w:shd w:val="clear" w:color="auto" w:fill="FFFFFF"/>
          <w:lang w:val="es-CR"/>
        </w:rPr>
        <w:t>os, indicando que no se registró</w:t>
      </w:r>
      <w:r w:rsidRPr="00880F40">
        <w:rPr>
          <w:rFonts w:cs="Arial"/>
          <w:shd w:val="clear" w:color="auto" w:fill="FFFFFF"/>
          <w:lang w:val="es-CR"/>
        </w:rPr>
        <w:t xml:space="preserve"> ni el ingreso a algún establecimiento penitenciario ni el ejercicio del sufragio universal por Néstor Rojas Medin</w:t>
      </w:r>
      <w:r w:rsidRPr="00364732">
        <w:rPr>
          <w:rFonts w:cs="Arial"/>
          <w:szCs w:val="20"/>
          <w:shd w:val="clear" w:color="auto" w:fill="FFFFFF"/>
          <w:lang w:val="es-CR"/>
        </w:rPr>
        <w:t>a</w:t>
      </w:r>
      <w:r w:rsidRPr="00364732">
        <w:rPr>
          <w:rStyle w:val="FootnoteReference"/>
          <w:color w:val="222222"/>
          <w:sz w:val="20"/>
          <w:szCs w:val="20"/>
          <w:shd w:val="clear" w:color="auto" w:fill="FFFFFF"/>
          <w:lang w:val="es-CR"/>
        </w:rPr>
        <w:footnoteReference w:id="182"/>
      </w:r>
      <w:r w:rsidRPr="00364732">
        <w:rPr>
          <w:rFonts w:cs="Arial"/>
          <w:szCs w:val="20"/>
          <w:shd w:val="clear" w:color="auto" w:fill="FFFFFF"/>
          <w:lang w:val="es-CR"/>
        </w:rPr>
        <w:t>.</w:t>
      </w:r>
      <w:r w:rsidRPr="00880F40">
        <w:rPr>
          <w:rFonts w:cs="Arial"/>
          <w:shd w:val="clear" w:color="auto" w:fill="FFFFFF"/>
          <w:lang w:val="es-CR"/>
        </w:rPr>
        <w:t xml:space="preserve"> </w:t>
      </w:r>
      <w:r w:rsidRPr="00563483">
        <w:rPr>
          <w:rFonts w:cs="Arial"/>
          <w:color w:val="222222"/>
          <w:szCs w:val="20"/>
          <w:shd w:val="clear" w:color="auto" w:fill="FFFFFF"/>
          <w:lang w:val="es-CR"/>
        </w:rPr>
        <w:t>La Policía concluye</w:t>
      </w:r>
      <w:r w:rsidR="005F1FD0">
        <w:rPr>
          <w:rFonts w:cs="Arial"/>
          <w:color w:val="222222"/>
          <w:szCs w:val="20"/>
          <w:shd w:val="clear" w:color="auto" w:fill="FFFFFF"/>
          <w:lang w:val="es-CR"/>
        </w:rPr>
        <w:t xml:space="preserve"> en</w:t>
      </w:r>
      <w:r w:rsidRPr="00563483">
        <w:rPr>
          <w:rFonts w:cs="Arial"/>
          <w:color w:val="222222"/>
          <w:szCs w:val="20"/>
          <w:shd w:val="clear" w:color="auto" w:fill="FFFFFF"/>
          <w:lang w:val="es-CR"/>
        </w:rPr>
        <w:t xml:space="preserve"> el informe señalando que “no se ha llegado a determinar </w:t>
      </w:r>
      <w:r w:rsidRPr="00563483">
        <w:rPr>
          <w:rFonts w:cs="Arial"/>
          <w:color w:val="222222"/>
          <w:szCs w:val="20"/>
          <w:shd w:val="clear" w:color="auto" w:fill="FFFFFF"/>
          <w:lang w:val="es-CR"/>
        </w:rPr>
        <w:lastRenderedPageBreak/>
        <w:t>fehacientemente que la persona de Néstor Rojas Medina, supuestamente haya desaparecido el día 31ENE91 o haya sido i</w:t>
      </w:r>
      <w:r w:rsidR="00D23AE2">
        <w:rPr>
          <w:rFonts w:cs="Arial"/>
          <w:color w:val="222222"/>
          <w:szCs w:val="20"/>
          <w:shd w:val="clear" w:color="auto" w:fill="FFFFFF"/>
          <w:lang w:val="es-CR"/>
        </w:rPr>
        <w:t>ntervenido por las Fuerzas del [O]</w:t>
      </w:r>
      <w:r w:rsidRPr="00563483">
        <w:rPr>
          <w:rFonts w:cs="Arial"/>
          <w:color w:val="222222"/>
          <w:szCs w:val="20"/>
          <w:shd w:val="clear" w:color="auto" w:fill="FFFFFF"/>
          <w:lang w:val="es-CR"/>
        </w:rPr>
        <w:t>rden entre ellos la Policía Nacional del Perú o las FF.AA.”</w:t>
      </w:r>
      <w:r w:rsidRPr="000128D6">
        <w:rPr>
          <w:rStyle w:val="FootnoteReference"/>
          <w:color w:val="222222"/>
          <w:sz w:val="20"/>
          <w:szCs w:val="20"/>
          <w:shd w:val="clear" w:color="auto" w:fill="FFFFFF"/>
          <w:lang w:val="es-CR"/>
        </w:rPr>
        <w:footnoteReference w:id="183"/>
      </w:r>
      <w:r w:rsidRPr="00563483">
        <w:rPr>
          <w:rFonts w:cs="Arial"/>
          <w:color w:val="222222"/>
          <w:szCs w:val="20"/>
          <w:shd w:val="clear" w:color="auto" w:fill="FFFFFF"/>
          <w:lang w:val="es-CR"/>
        </w:rPr>
        <w:t>.</w:t>
      </w:r>
    </w:p>
    <w:p w:rsidR="00191347" w:rsidRPr="00D604CF" w:rsidRDefault="00191347" w:rsidP="00191347">
      <w:pPr>
        <w:pStyle w:val="ListParagraph"/>
        <w:autoSpaceDE w:val="0"/>
        <w:autoSpaceDN w:val="0"/>
        <w:adjustRightInd w:val="0"/>
        <w:spacing w:line="20" w:lineRule="atLeast"/>
        <w:ind w:left="0" w:right="-138"/>
        <w:rPr>
          <w:rFonts w:cs="Arial"/>
          <w:color w:val="222222"/>
          <w:shd w:val="clear" w:color="auto" w:fill="FFFFFF"/>
          <w:lang w:val="es-CR"/>
        </w:rPr>
      </w:pPr>
    </w:p>
    <w:p w:rsidR="00191347" w:rsidRPr="00D604CF" w:rsidRDefault="00191347" w:rsidP="00C328C0">
      <w:pPr>
        <w:pStyle w:val="ListParagraph"/>
        <w:widowControl w:val="0"/>
        <w:numPr>
          <w:ilvl w:val="0"/>
          <w:numId w:val="1"/>
        </w:numPr>
        <w:tabs>
          <w:tab w:val="left" w:pos="0"/>
        </w:tabs>
        <w:adjustRightInd w:val="0"/>
        <w:ind w:left="0" w:firstLine="0"/>
        <w:rPr>
          <w:rFonts w:cs="Arial"/>
          <w:color w:val="222222"/>
          <w:shd w:val="clear" w:color="auto" w:fill="FFFFFF"/>
          <w:lang w:val="es-CR"/>
        </w:rPr>
      </w:pPr>
      <w:r w:rsidRPr="00D604CF">
        <w:rPr>
          <w:rFonts w:cs="Arial"/>
          <w:color w:val="222222"/>
          <w:shd w:val="clear" w:color="auto" w:fill="FFFFFF"/>
          <w:lang w:val="es-CR"/>
        </w:rPr>
        <w:t xml:space="preserve">El 15 de </w:t>
      </w:r>
      <w:r>
        <w:rPr>
          <w:rFonts w:cs="Arial"/>
          <w:color w:val="222222"/>
          <w:shd w:val="clear" w:color="auto" w:fill="FFFFFF"/>
          <w:lang w:val="es-CR"/>
        </w:rPr>
        <w:t>marzo de 2018</w:t>
      </w:r>
      <w:r w:rsidRPr="00D604CF">
        <w:rPr>
          <w:rFonts w:cs="Arial"/>
          <w:color w:val="222222"/>
          <w:shd w:val="clear" w:color="auto" w:fill="FFFFFF"/>
          <w:lang w:val="es-CR"/>
        </w:rPr>
        <w:t xml:space="preserve"> la Fiscalía Provincial Penal Corporativa de Tocache solicitó información a la Policía Nacional sobre la investigación</w:t>
      </w:r>
      <w:r w:rsidRPr="000128D6">
        <w:rPr>
          <w:rStyle w:val="FootnoteReference"/>
          <w:color w:val="222222"/>
          <w:sz w:val="20"/>
          <w:szCs w:val="20"/>
          <w:shd w:val="clear" w:color="auto" w:fill="FFFFFF"/>
          <w:lang w:val="es-CR"/>
        </w:rPr>
        <w:footnoteReference w:id="184"/>
      </w:r>
      <w:r w:rsidRPr="000128D6">
        <w:rPr>
          <w:rFonts w:cs="Arial"/>
          <w:color w:val="222222"/>
          <w:szCs w:val="20"/>
          <w:shd w:val="clear" w:color="auto" w:fill="FFFFFF"/>
          <w:lang w:val="es-CR"/>
        </w:rPr>
        <w:t>. En el expediente ante la Corte no consta información adicional sobre la presente investigación</w:t>
      </w:r>
      <w:r w:rsidRPr="00D604CF">
        <w:rPr>
          <w:rFonts w:cs="Arial"/>
          <w:color w:val="222222"/>
          <w:shd w:val="clear" w:color="auto" w:fill="FFFFFF"/>
          <w:lang w:val="es-CR"/>
        </w:rPr>
        <w:t>.</w:t>
      </w:r>
    </w:p>
    <w:p w:rsidR="00191347" w:rsidRPr="00CA6043" w:rsidRDefault="00191347" w:rsidP="00191347">
      <w:pPr>
        <w:pStyle w:val="ListParagraph"/>
        <w:autoSpaceDE w:val="0"/>
        <w:autoSpaceDN w:val="0"/>
        <w:adjustRightInd w:val="0"/>
        <w:spacing w:line="20" w:lineRule="atLeast"/>
        <w:ind w:left="0" w:right="-138"/>
        <w:rPr>
          <w:rFonts w:cs="Arial"/>
          <w:color w:val="222222"/>
          <w:szCs w:val="20"/>
          <w:shd w:val="clear" w:color="auto" w:fill="FFFFFF"/>
          <w:lang w:val="es-CR"/>
        </w:rPr>
      </w:pPr>
    </w:p>
    <w:p w:rsidR="00191347" w:rsidRDefault="009718A2" w:rsidP="001F43EF">
      <w:pPr>
        <w:pStyle w:val="ListParagraph"/>
        <w:autoSpaceDE w:val="0"/>
        <w:autoSpaceDN w:val="0"/>
        <w:adjustRightInd w:val="0"/>
        <w:spacing w:line="20" w:lineRule="atLeast"/>
        <w:ind w:left="708" w:right="-138"/>
        <w:rPr>
          <w:rFonts w:cs="Arial"/>
          <w:i/>
          <w:color w:val="222222"/>
          <w:shd w:val="clear" w:color="auto" w:fill="FFFFFF"/>
          <w:lang w:val="es-CR"/>
        </w:rPr>
      </w:pPr>
      <w:r>
        <w:rPr>
          <w:rFonts w:cs="Arial"/>
          <w:i/>
          <w:color w:val="222222"/>
          <w:shd w:val="clear" w:color="auto" w:fill="FFFFFF"/>
          <w:lang w:val="es-CR"/>
        </w:rPr>
        <w:t>B.4</w:t>
      </w:r>
      <w:r w:rsidR="009F394A">
        <w:rPr>
          <w:rFonts w:cs="Arial"/>
          <w:i/>
          <w:color w:val="222222"/>
          <w:shd w:val="clear" w:color="auto" w:fill="FFFFFF"/>
          <w:lang w:val="es-CR"/>
        </w:rPr>
        <w:t>.4</w:t>
      </w:r>
      <w:r w:rsidR="00191347">
        <w:rPr>
          <w:rFonts w:cs="Arial"/>
          <w:i/>
          <w:color w:val="222222"/>
          <w:shd w:val="clear" w:color="auto" w:fill="FFFFFF"/>
          <w:lang w:val="es-CR"/>
        </w:rPr>
        <w:t>.3</w:t>
      </w:r>
      <w:r w:rsidR="003749D0">
        <w:rPr>
          <w:rFonts w:cs="Arial"/>
          <w:i/>
          <w:color w:val="222222"/>
          <w:shd w:val="clear" w:color="auto" w:fill="FFFFFF"/>
          <w:lang w:val="es-CR"/>
        </w:rPr>
        <w:t>.</w:t>
      </w:r>
      <w:r w:rsidR="00191347">
        <w:rPr>
          <w:rFonts w:cs="Arial"/>
          <w:i/>
          <w:color w:val="222222"/>
          <w:shd w:val="clear" w:color="auto" w:fill="FFFFFF"/>
          <w:lang w:val="es-CR"/>
        </w:rPr>
        <w:t xml:space="preserve"> Constancia de ausencia por desaparición forzada emitida por la Defensoría del Pueblo </w:t>
      </w:r>
    </w:p>
    <w:p w:rsidR="00191347" w:rsidRPr="00F64CE1" w:rsidRDefault="00191347" w:rsidP="00191347">
      <w:pPr>
        <w:pStyle w:val="ListParagraph"/>
        <w:autoSpaceDE w:val="0"/>
        <w:autoSpaceDN w:val="0"/>
        <w:adjustRightInd w:val="0"/>
        <w:spacing w:line="20" w:lineRule="atLeast"/>
        <w:ind w:left="0" w:right="-138"/>
        <w:rPr>
          <w:rFonts w:cs="Arial"/>
          <w:color w:val="222222"/>
          <w:shd w:val="clear" w:color="auto" w:fill="FFFFFF"/>
          <w:lang w:val="es-CR"/>
        </w:rPr>
      </w:pPr>
    </w:p>
    <w:p w:rsidR="00191347" w:rsidRPr="00E802ED" w:rsidRDefault="000128D6" w:rsidP="00C328C0">
      <w:pPr>
        <w:pStyle w:val="ListParagraph"/>
        <w:widowControl w:val="0"/>
        <w:numPr>
          <w:ilvl w:val="0"/>
          <w:numId w:val="1"/>
        </w:numPr>
        <w:tabs>
          <w:tab w:val="left" w:pos="0"/>
        </w:tabs>
        <w:adjustRightInd w:val="0"/>
        <w:ind w:left="0" w:firstLine="0"/>
        <w:rPr>
          <w:rFonts w:cs="Arial"/>
          <w:color w:val="222222"/>
          <w:shd w:val="clear" w:color="auto" w:fill="FFFFFF"/>
          <w:lang w:val="es-CR"/>
        </w:rPr>
      </w:pPr>
      <w:r>
        <w:rPr>
          <w:szCs w:val="20"/>
          <w:lang w:val="es-CR"/>
        </w:rPr>
        <w:t>El 22 de agosto de 2005</w:t>
      </w:r>
      <w:r w:rsidR="00191347" w:rsidRPr="00E802ED">
        <w:rPr>
          <w:szCs w:val="20"/>
          <w:lang w:val="es-CR"/>
        </w:rPr>
        <w:t xml:space="preserve"> Marcelina Medina Negrón solicitó a la Defensoría del Pueblo una constancia de ausencia por desaparición forzada a favor de Néstor Rojas Medina en el marco de la Ley No. 2841</w:t>
      </w:r>
      <w:r w:rsidR="00191347" w:rsidRPr="000128D6">
        <w:rPr>
          <w:szCs w:val="20"/>
          <w:lang w:val="es-CR"/>
        </w:rPr>
        <w:t>3</w:t>
      </w:r>
      <w:r w:rsidR="00191347" w:rsidRPr="000128D6">
        <w:rPr>
          <w:rStyle w:val="FootnoteReference"/>
          <w:sz w:val="20"/>
          <w:szCs w:val="20"/>
          <w:lang w:val="es-CR"/>
        </w:rPr>
        <w:footnoteReference w:id="185"/>
      </w:r>
      <w:r w:rsidR="00191347" w:rsidRPr="000128D6">
        <w:rPr>
          <w:szCs w:val="20"/>
          <w:lang w:val="es-CR"/>
        </w:rPr>
        <w:t>.</w:t>
      </w:r>
      <w:r w:rsidR="00191347" w:rsidRPr="00E802ED">
        <w:rPr>
          <w:szCs w:val="20"/>
          <w:lang w:val="es-CR"/>
        </w:rPr>
        <w:t xml:space="preserve"> </w:t>
      </w:r>
    </w:p>
    <w:p w:rsidR="00191347" w:rsidRPr="00294D6C" w:rsidRDefault="00191347" w:rsidP="00191347">
      <w:pPr>
        <w:pStyle w:val="ListParagraph"/>
        <w:autoSpaceDE w:val="0"/>
        <w:autoSpaceDN w:val="0"/>
        <w:adjustRightInd w:val="0"/>
        <w:spacing w:line="20" w:lineRule="atLeast"/>
        <w:ind w:left="0" w:right="-138"/>
        <w:rPr>
          <w:rFonts w:cs="Arial"/>
          <w:color w:val="222222"/>
          <w:highlight w:val="cyan"/>
          <w:shd w:val="clear" w:color="auto" w:fill="FFFFFF"/>
          <w:lang w:val="es-CR"/>
        </w:rPr>
      </w:pPr>
    </w:p>
    <w:p w:rsidR="00391AA7" w:rsidRPr="003D619D" w:rsidRDefault="000128D6" w:rsidP="003D619D">
      <w:pPr>
        <w:pStyle w:val="ListParagraph"/>
        <w:widowControl w:val="0"/>
        <w:numPr>
          <w:ilvl w:val="0"/>
          <w:numId w:val="1"/>
        </w:numPr>
        <w:tabs>
          <w:tab w:val="left" w:pos="0"/>
        </w:tabs>
        <w:adjustRightInd w:val="0"/>
        <w:ind w:left="0" w:firstLine="0"/>
        <w:rPr>
          <w:rFonts w:cs="Arial"/>
          <w:color w:val="222222"/>
          <w:shd w:val="clear" w:color="auto" w:fill="FFFFFF"/>
          <w:lang w:val="es-CR"/>
        </w:rPr>
      </w:pPr>
      <w:r>
        <w:rPr>
          <w:szCs w:val="20"/>
          <w:lang w:val="es-CR"/>
        </w:rPr>
        <w:t>El 6 de septiembre de 2006</w:t>
      </w:r>
      <w:r w:rsidR="00191347" w:rsidRPr="00294D6C">
        <w:rPr>
          <w:szCs w:val="20"/>
          <w:lang w:val="es-CR"/>
        </w:rPr>
        <w:t xml:space="preserve"> la Defensoría del Pueblo emitió un informe de verificación en el </w:t>
      </w:r>
      <w:r w:rsidR="00391AA7">
        <w:rPr>
          <w:szCs w:val="20"/>
          <w:lang w:val="es-CR"/>
        </w:rPr>
        <w:t>cual “recom[endó]</w:t>
      </w:r>
      <w:r w:rsidR="00191347" w:rsidRPr="000128D6">
        <w:rPr>
          <w:szCs w:val="20"/>
          <w:lang w:val="es-CR"/>
        </w:rPr>
        <w:t xml:space="preserve"> expedir la respectiva constancia de ausencia por Desaparición Forzada”</w:t>
      </w:r>
      <w:r w:rsidR="00992B26">
        <w:rPr>
          <w:szCs w:val="20"/>
          <w:lang w:val="es-CR"/>
        </w:rPr>
        <w:t>.</w:t>
      </w:r>
      <w:r w:rsidR="00191347" w:rsidRPr="000128D6">
        <w:rPr>
          <w:rFonts w:cs="Arial"/>
          <w:color w:val="222222"/>
          <w:szCs w:val="20"/>
          <w:shd w:val="clear" w:color="auto" w:fill="FFFFFF"/>
          <w:lang w:val="es-CR"/>
        </w:rPr>
        <w:t xml:space="preserve"> En dicho informe de verificación, se determinó que “existen elementos que permiten presumir razonablemente que Néstor Rojas Medina se encuentra ausente por desaparición forzada como consecuencia de la violencia ocurrida entre los años 1980 y </w:t>
      </w:r>
      <w:r w:rsidR="00191347" w:rsidRPr="00F55D26">
        <w:rPr>
          <w:rFonts w:cs="Arial"/>
          <w:color w:val="222222"/>
          <w:szCs w:val="20"/>
          <w:shd w:val="clear" w:color="auto" w:fill="FFFFFF"/>
          <w:lang w:val="es-CR"/>
        </w:rPr>
        <w:t>20</w:t>
      </w:r>
      <w:r w:rsidR="00563483" w:rsidRPr="00F55D26">
        <w:rPr>
          <w:rFonts w:cs="Arial"/>
          <w:color w:val="222222"/>
          <w:szCs w:val="20"/>
          <w:shd w:val="clear" w:color="auto" w:fill="FFFFFF"/>
          <w:lang w:val="es-CR"/>
        </w:rPr>
        <w:t>0</w:t>
      </w:r>
      <w:r w:rsidR="00191347" w:rsidRPr="00F55D26">
        <w:rPr>
          <w:rFonts w:cs="Arial"/>
          <w:color w:val="222222"/>
          <w:szCs w:val="20"/>
          <w:shd w:val="clear" w:color="auto" w:fill="FFFFFF"/>
          <w:lang w:val="es-CR"/>
        </w:rPr>
        <w:t>0,</w:t>
      </w:r>
      <w:r w:rsidR="00191347" w:rsidRPr="000128D6">
        <w:rPr>
          <w:rFonts w:cs="Arial"/>
          <w:color w:val="222222"/>
          <w:szCs w:val="20"/>
          <w:shd w:val="clear" w:color="auto" w:fill="FFFFFF"/>
          <w:lang w:val="es-CR"/>
        </w:rPr>
        <w:t xml:space="preserve"> desde el 26 de enero de 1991”</w:t>
      </w:r>
      <w:r w:rsidR="00191347" w:rsidRPr="000128D6">
        <w:rPr>
          <w:rStyle w:val="FootnoteReference"/>
          <w:sz w:val="20"/>
          <w:szCs w:val="20"/>
          <w:lang w:val="es-CR"/>
        </w:rPr>
        <w:footnoteReference w:id="186"/>
      </w:r>
      <w:r w:rsidR="00191347" w:rsidRPr="000128D6">
        <w:rPr>
          <w:rFonts w:cs="Arial"/>
          <w:color w:val="222222"/>
          <w:szCs w:val="20"/>
          <w:shd w:val="clear" w:color="auto" w:fill="FFFFFF"/>
          <w:lang w:val="es-CR"/>
        </w:rPr>
        <w:t>. Igualmente, determinó que “un grupo de policías, quienes se encontraban realizando una batida, detuvieron a Néstor Rojas Medina cuando transitaba por las inmediaciones de la avenida Aviación, distrito y provincia de Tocache, departamento de San Martín. Los efectivos policiales condujeron a la víctima a la Comisaría de Tocache, y luego de unos días fue trasladada a la Base Militar de Tocache. Desde esa fecha se desconoce su paradero”</w:t>
      </w:r>
      <w:r w:rsidR="00191347" w:rsidRPr="000128D6">
        <w:rPr>
          <w:rStyle w:val="FootnoteReference"/>
          <w:color w:val="222222"/>
          <w:sz w:val="20"/>
          <w:szCs w:val="20"/>
          <w:shd w:val="clear" w:color="auto" w:fill="FFFFFF"/>
          <w:lang w:val="es-CR"/>
        </w:rPr>
        <w:footnoteReference w:id="187"/>
      </w:r>
      <w:r w:rsidR="00191347" w:rsidRPr="000128D6">
        <w:rPr>
          <w:rFonts w:cs="Arial"/>
          <w:color w:val="222222"/>
          <w:szCs w:val="20"/>
          <w:shd w:val="clear" w:color="auto" w:fill="FFFFFF"/>
          <w:lang w:val="es-CR"/>
        </w:rPr>
        <w:t>.</w:t>
      </w:r>
    </w:p>
    <w:p w:rsidR="00191347" w:rsidRDefault="00191347" w:rsidP="00C328C0">
      <w:pPr>
        <w:pStyle w:val="ListParagraph"/>
        <w:widowControl w:val="0"/>
        <w:numPr>
          <w:ilvl w:val="0"/>
          <w:numId w:val="1"/>
        </w:numPr>
        <w:tabs>
          <w:tab w:val="left" w:pos="0"/>
        </w:tabs>
        <w:adjustRightInd w:val="0"/>
        <w:ind w:left="0" w:firstLine="0"/>
        <w:rPr>
          <w:rFonts w:cs="Arial"/>
          <w:color w:val="222222"/>
          <w:shd w:val="clear" w:color="auto" w:fill="FFFFFF"/>
          <w:lang w:val="es-CR"/>
        </w:rPr>
      </w:pPr>
      <w:r>
        <w:rPr>
          <w:rFonts w:cs="Arial"/>
          <w:color w:val="222222"/>
          <w:shd w:val="clear" w:color="auto" w:fill="FFFFFF"/>
          <w:lang w:val="es-CR"/>
        </w:rPr>
        <w:lastRenderedPageBreak/>
        <w:t>E</w:t>
      </w:r>
      <w:r w:rsidR="000128D6">
        <w:rPr>
          <w:rFonts w:cs="Arial"/>
          <w:color w:val="222222"/>
          <w:shd w:val="clear" w:color="auto" w:fill="FFFFFF"/>
          <w:lang w:val="es-CR"/>
        </w:rPr>
        <w:t>l mismo 6 de septiembre de 2006</w:t>
      </w:r>
      <w:r>
        <w:rPr>
          <w:rFonts w:cs="Arial"/>
          <w:color w:val="222222"/>
          <w:shd w:val="clear" w:color="auto" w:fill="FFFFFF"/>
          <w:lang w:val="es-CR"/>
        </w:rPr>
        <w:t xml:space="preserve"> la Defensoría del Pueb</w:t>
      </w:r>
      <w:r w:rsidR="00391AA7">
        <w:rPr>
          <w:rFonts w:cs="Arial"/>
          <w:color w:val="222222"/>
          <w:shd w:val="clear" w:color="auto" w:fill="FFFFFF"/>
          <w:lang w:val="es-CR"/>
        </w:rPr>
        <w:t>lo emitió una c</w:t>
      </w:r>
      <w:r>
        <w:rPr>
          <w:rFonts w:cs="Arial"/>
          <w:color w:val="222222"/>
          <w:shd w:val="clear" w:color="auto" w:fill="FFFFFF"/>
          <w:lang w:val="es-CR"/>
        </w:rPr>
        <w:t xml:space="preserve">onstancia de Ausencia por Desaparición Forzada, en la cual se indica que “[d]icha persona desapareció a la edad de 20 años, en la Avenida Aviación, distrito y provincia de Tocache, departamento de San </w:t>
      </w:r>
      <w:r w:rsidRPr="00C328C0">
        <w:rPr>
          <w:szCs w:val="20"/>
          <w:lang w:val="es-CR"/>
        </w:rPr>
        <w:t>Martín</w:t>
      </w:r>
      <w:r>
        <w:rPr>
          <w:rFonts w:cs="Arial"/>
          <w:color w:val="222222"/>
          <w:shd w:val="clear" w:color="auto" w:fill="FFFFFF"/>
          <w:lang w:val="es-CR"/>
        </w:rPr>
        <w:t>, el 26 de enero de 1991”</w:t>
      </w:r>
      <w:r w:rsidRPr="000128D6">
        <w:rPr>
          <w:rStyle w:val="FootnoteReference"/>
          <w:color w:val="222222"/>
          <w:sz w:val="20"/>
          <w:szCs w:val="20"/>
          <w:shd w:val="clear" w:color="auto" w:fill="FFFFFF"/>
          <w:lang w:val="es-CR"/>
        </w:rPr>
        <w:footnoteReference w:id="188"/>
      </w:r>
      <w:r w:rsidRPr="000128D6">
        <w:rPr>
          <w:rFonts w:cs="Arial"/>
          <w:color w:val="222222"/>
          <w:szCs w:val="20"/>
          <w:shd w:val="clear" w:color="auto" w:fill="FFFFFF"/>
          <w:lang w:val="es-CR"/>
        </w:rPr>
        <w:t>.</w:t>
      </w:r>
    </w:p>
    <w:p w:rsidR="00191347" w:rsidRPr="00B377EC" w:rsidRDefault="00191347" w:rsidP="00191347">
      <w:pPr>
        <w:pStyle w:val="ListParagraph"/>
        <w:ind w:left="0"/>
        <w:rPr>
          <w:lang w:val="es-CR"/>
        </w:rPr>
      </w:pPr>
    </w:p>
    <w:p w:rsidR="00873835" w:rsidRDefault="00873835" w:rsidP="00873835">
      <w:pPr>
        <w:pStyle w:val="Heading3"/>
        <w:spacing w:before="0"/>
        <w:ind w:left="709"/>
        <w:rPr>
          <w:lang w:val="es-ES_tradnl"/>
        </w:rPr>
      </w:pPr>
      <w:bookmarkStart w:id="138" w:name="_Toc527993534"/>
      <w:bookmarkStart w:id="139" w:name="_Toc517966054"/>
      <w:r>
        <w:rPr>
          <w:lang w:val="es-ES_tradnl"/>
        </w:rPr>
        <w:t>B</w:t>
      </w:r>
      <w:r w:rsidRPr="003C79CF">
        <w:rPr>
          <w:lang w:val="es-ES_tradnl"/>
        </w:rPr>
        <w:t>.</w:t>
      </w:r>
      <w:r>
        <w:rPr>
          <w:lang w:val="es-ES_tradnl"/>
        </w:rPr>
        <w:t>5.</w:t>
      </w:r>
      <w:r w:rsidRPr="003C79CF">
        <w:rPr>
          <w:lang w:val="es-ES_tradnl"/>
        </w:rPr>
        <w:t xml:space="preserve"> </w:t>
      </w:r>
      <w:r>
        <w:rPr>
          <w:lang w:val="es-ES_tradnl"/>
        </w:rPr>
        <w:t>Santiago Antezana Cueto</w:t>
      </w:r>
      <w:bookmarkEnd w:id="138"/>
    </w:p>
    <w:p w:rsidR="00873835" w:rsidRPr="00FC4988" w:rsidRDefault="00873835" w:rsidP="00873835">
      <w:pPr>
        <w:pStyle w:val="ListParagraph"/>
        <w:autoSpaceDE w:val="0"/>
        <w:autoSpaceDN w:val="0"/>
        <w:adjustRightInd w:val="0"/>
        <w:spacing w:line="20" w:lineRule="atLeast"/>
        <w:ind w:left="0" w:right="-138"/>
        <w:rPr>
          <w:rFonts w:cs="Arial"/>
          <w:color w:val="222222"/>
          <w:shd w:val="clear" w:color="auto" w:fill="FFFFFF"/>
          <w:lang w:val="es-CR"/>
        </w:rPr>
      </w:pPr>
    </w:p>
    <w:p w:rsidR="00873835" w:rsidRDefault="00873835" w:rsidP="00873835">
      <w:pPr>
        <w:pStyle w:val="ListParagraph"/>
        <w:autoSpaceDE w:val="0"/>
        <w:autoSpaceDN w:val="0"/>
        <w:adjustRightInd w:val="0"/>
        <w:spacing w:line="20" w:lineRule="atLeast"/>
        <w:ind w:left="0" w:right="-138" w:firstLine="709"/>
        <w:rPr>
          <w:rFonts w:cs="Arial"/>
          <w:i/>
          <w:color w:val="222222"/>
          <w:shd w:val="clear" w:color="auto" w:fill="FFFFFF"/>
          <w:lang w:val="es-CR"/>
        </w:rPr>
      </w:pPr>
      <w:r>
        <w:rPr>
          <w:rFonts w:cs="Arial"/>
          <w:i/>
          <w:color w:val="222222"/>
          <w:shd w:val="clear" w:color="auto" w:fill="FFFFFF"/>
          <w:lang w:val="es-CR"/>
        </w:rPr>
        <w:t>B.5</w:t>
      </w:r>
      <w:r w:rsidRPr="00DC66E7">
        <w:rPr>
          <w:rFonts w:cs="Arial"/>
          <w:i/>
          <w:color w:val="222222"/>
          <w:shd w:val="clear" w:color="auto" w:fill="FFFFFF"/>
          <w:lang w:val="es-CR"/>
        </w:rPr>
        <w:t>.1</w:t>
      </w:r>
      <w:r>
        <w:rPr>
          <w:rFonts w:cs="Arial"/>
          <w:i/>
          <w:color w:val="222222"/>
          <w:shd w:val="clear" w:color="auto" w:fill="FFFFFF"/>
          <w:lang w:val="es-CR"/>
        </w:rPr>
        <w:t>.</w:t>
      </w:r>
      <w:r w:rsidRPr="00DC66E7">
        <w:rPr>
          <w:rFonts w:cs="Arial"/>
          <w:i/>
          <w:color w:val="222222"/>
          <w:shd w:val="clear" w:color="auto" w:fill="FFFFFF"/>
          <w:lang w:val="es-CR"/>
        </w:rPr>
        <w:t xml:space="preserve"> Circunstancias personales y familiares de</w:t>
      </w:r>
      <w:r>
        <w:rPr>
          <w:rFonts w:cs="Arial"/>
          <w:i/>
          <w:color w:val="222222"/>
          <w:shd w:val="clear" w:color="auto" w:fill="FFFFFF"/>
          <w:lang w:val="es-CR"/>
        </w:rPr>
        <w:t xml:space="preserve"> Santiago Antezana Cueto</w:t>
      </w:r>
    </w:p>
    <w:p w:rsidR="00873835" w:rsidRPr="00C529EA" w:rsidRDefault="00873835" w:rsidP="00873835">
      <w:pPr>
        <w:pStyle w:val="ListParagraph"/>
        <w:tabs>
          <w:tab w:val="left" w:pos="7352"/>
        </w:tabs>
        <w:autoSpaceDE w:val="0"/>
        <w:autoSpaceDN w:val="0"/>
        <w:adjustRightInd w:val="0"/>
        <w:spacing w:line="20" w:lineRule="atLeast"/>
        <w:ind w:left="0" w:right="-138" w:firstLine="709"/>
        <w:rPr>
          <w:rFonts w:cs="Arial"/>
          <w:color w:val="222222"/>
          <w:shd w:val="clear" w:color="auto" w:fill="FFFFFF"/>
          <w:lang w:val="es-CR"/>
        </w:rPr>
      </w:pPr>
      <w:r>
        <w:rPr>
          <w:rFonts w:cs="Arial"/>
          <w:color w:val="222222"/>
          <w:shd w:val="clear" w:color="auto" w:fill="FFFFFF"/>
          <w:lang w:val="es-CR"/>
        </w:rPr>
        <w:tab/>
      </w:r>
    </w:p>
    <w:p w:rsidR="00873835" w:rsidRPr="00DB4E19" w:rsidRDefault="00873835" w:rsidP="00873835">
      <w:pPr>
        <w:pStyle w:val="ListParagraph"/>
        <w:widowControl w:val="0"/>
        <w:numPr>
          <w:ilvl w:val="0"/>
          <w:numId w:val="1"/>
        </w:numPr>
        <w:tabs>
          <w:tab w:val="left" w:pos="0"/>
        </w:tabs>
        <w:adjustRightInd w:val="0"/>
        <w:ind w:left="0" w:firstLine="0"/>
        <w:rPr>
          <w:rFonts w:cs="Arial"/>
          <w:color w:val="222222"/>
          <w:shd w:val="clear" w:color="auto" w:fill="FFFFFF"/>
          <w:lang w:val="es-CR"/>
        </w:rPr>
      </w:pPr>
      <w:r w:rsidRPr="00FB6DA6">
        <w:rPr>
          <w:szCs w:val="20"/>
          <w:lang w:val="es-CR"/>
        </w:rPr>
        <w:t>Santiago Antezana</w:t>
      </w:r>
      <w:r w:rsidRPr="004E13B0">
        <w:rPr>
          <w:szCs w:val="20"/>
          <w:lang w:val="es-CR"/>
        </w:rPr>
        <w:t xml:space="preserve"> Cueto</w:t>
      </w:r>
      <w:r w:rsidRPr="00B9167F">
        <w:rPr>
          <w:rStyle w:val="FootnoteReference"/>
          <w:sz w:val="20"/>
          <w:szCs w:val="20"/>
          <w:lang w:val="es-CR"/>
        </w:rPr>
        <w:footnoteReference w:id="189"/>
      </w:r>
      <w:r w:rsidRPr="004E13B0">
        <w:rPr>
          <w:szCs w:val="20"/>
          <w:lang w:val="es-CR"/>
        </w:rPr>
        <w:t xml:space="preserve"> nació el 20 de mayo de 1946, y era nativo de Manyac, Distrito de </w:t>
      </w:r>
      <w:r w:rsidRPr="0058205D">
        <w:rPr>
          <w:rFonts w:cs="Arial"/>
          <w:color w:val="222222"/>
          <w:shd w:val="clear" w:color="auto" w:fill="FFFFFF"/>
          <w:lang w:val="es-CR"/>
        </w:rPr>
        <w:t>Anta</w:t>
      </w:r>
      <w:r w:rsidRPr="0058205D">
        <w:rPr>
          <w:szCs w:val="20"/>
          <w:lang w:val="es-CR"/>
        </w:rPr>
        <w:t>, Provincia de Acobamba, Departamento de Huancavelica</w:t>
      </w:r>
      <w:r w:rsidRPr="00904554">
        <w:rPr>
          <w:rStyle w:val="FootnoteReference"/>
          <w:sz w:val="20"/>
          <w:szCs w:val="20"/>
          <w:lang w:val="es-CR"/>
        </w:rPr>
        <w:footnoteReference w:id="190"/>
      </w:r>
      <w:r w:rsidRPr="00904554">
        <w:rPr>
          <w:szCs w:val="20"/>
          <w:lang w:val="es-CR"/>
        </w:rPr>
        <w:t>.</w:t>
      </w:r>
      <w:r w:rsidRPr="004E13B0">
        <w:rPr>
          <w:szCs w:val="20"/>
          <w:lang w:val="es-CR"/>
        </w:rPr>
        <w:t xml:space="preserve"> Trabajaba como vendedor independiente, radicaba en la ciudad de Lima, Jr. </w:t>
      </w:r>
      <w:r w:rsidRPr="0058205D">
        <w:rPr>
          <w:szCs w:val="20"/>
          <w:lang w:val="es-CR"/>
        </w:rPr>
        <w:t>Pachacútec MZ. “U”, Lote 02, Carmen Alto, Comas</w:t>
      </w:r>
      <w:r w:rsidRPr="0058205D">
        <w:rPr>
          <w:rStyle w:val="FootnoteReference"/>
          <w:sz w:val="20"/>
          <w:szCs w:val="20"/>
          <w:lang w:val="es-CR"/>
        </w:rPr>
        <w:t xml:space="preserve"> </w:t>
      </w:r>
      <w:r w:rsidRPr="0058205D">
        <w:rPr>
          <w:szCs w:val="20"/>
          <w:lang w:val="es-CR"/>
        </w:rPr>
        <w:t>y vivía con su conviviente Rosa Carcausto Paco</w:t>
      </w:r>
      <w:r w:rsidRPr="00B9167F">
        <w:rPr>
          <w:rStyle w:val="FootnoteReference"/>
          <w:sz w:val="20"/>
          <w:szCs w:val="20"/>
          <w:lang w:val="es-CR"/>
        </w:rPr>
        <w:footnoteReference w:id="191"/>
      </w:r>
      <w:r w:rsidRPr="004E13B0">
        <w:rPr>
          <w:szCs w:val="20"/>
          <w:lang w:val="es-CR"/>
        </w:rPr>
        <w:t xml:space="preserve">. </w:t>
      </w:r>
    </w:p>
    <w:p w:rsidR="00873835" w:rsidRPr="004E13B0" w:rsidRDefault="00873835" w:rsidP="00873835">
      <w:pPr>
        <w:rPr>
          <w:rFonts w:cs="Arial"/>
          <w:color w:val="222222"/>
          <w:shd w:val="clear" w:color="auto" w:fill="FFFFFF"/>
          <w:lang w:val="es-CR"/>
        </w:rPr>
      </w:pPr>
    </w:p>
    <w:p w:rsidR="00873835" w:rsidRPr="001F43EF" w:rsidRDefault="00873835" w:rsidP="00873835">
      <w:pPr>
        <w:pStyle w:val="ListParagraph"/>
        <w:autoSpaceDE w:val="0"/>
        <w:autoSpaceDN w:val="0"/>
        <w:adjustRightInd w:val="0"/>
        <w:spacing w:line="20" w:lineRule="atLeast"/>
        <w:ind w:left="0" w:right="-138" w:firstLine="720"/>
        <w:rPr>
          <w:rFonts w:cs="Arial"/>
          <w:color w:val="222222"/>
          <w:shd w:val="clear" w:color="auto" w:fill="FFFFFF"/>
          <w:lang w:val="es-CR"/>
        </w:rPr>
      </w:pPr>
      <w:r w:rsidRPr="00D10CCA">
        <w:rPr>
          <w:rFonts w:cs="Arial"/>
          <w:i/>
          <w:color w:val="222222"/>
          <w:shd w:val="clear" w:color="auto" w:fill="FFFFFF"/>
          <w:lang w:val="es-CR"/>
        </w:rPr>
        <w:t>B.5.2.</w:t>
      </w:r>
      <w:r w:rsidRPr="001F43EF">
        <w:rPr>
          <w:rFonts w:cs="Arial"/>
          <w:color w:val="222222"/>
          <w:shd w:val="clear" w:color="auto" w:fill="FFFFFF"/>
          <w:lang w:val="es-CR"/>
        </w:rPr>
        <w:t xml:space="preserve"> </w:t>
      </w:r>
      <w:r w:rsidRPr="001F43EF">
        <w:rPr>
          <w:rFonts w:cs="Arial"/>
          <w:i/>
          <w:color w:val="222222"/>
          <w:shd w:val="clear" w:color="auto" w:fill="FFFFFF"/>
          <w:lang w:val="es-CR"/>
        </w:rPr>
        <w:t>Desaparición de Santiago Antezana Cueto</w:t>
      </w:r>
    </w:p>
    <w:p w:rsidR="00873835" w:rsidRPr="00C529EA" w:rsidRDefault="00873835" w:rsidP="00873835">
      <w:pPr>
        <w:pStyle w:val="ListParagraph"/>
        <w:autoSpaceDE w:val="0"/>
        <w:autoSpaceDN w:val="0"/>
        <w:adjustRightInd w:val="0"/>
        <w:spacing w:line="20" w:lineRule="atLeast"/>
        <w:ind w:left="0" w:right="-138"/>
        <w:rPr>
          <w:rFonts w:cs="Arial"/>
          <w:color w:val="222222"/>
          <w:highlight w:val="cyan"/>
          <w:shd w:val="clear" w:color="auto" w:fill="FFFFFF"/>
          <w:lang w:val="es-CR"/>
        </w:rPr>
      </w:pPr>
    </w:p>
    <w:p w:rsidR="00DC6A92" w:rsidRPr="001F43EF" w:rsidRDefault="00DC6A92" w:rsidP="00DC6A92">
      <w:pPr>
        <w:pStyle w:val="ListParagraph"/>
        <w:widowControl w:val="0"/>
        <w:numPr>
          <w:ilvl w:val="0"/>
          <w:numId w:val="1"/>
        </w:numPr>
        <w:tabs>
          <w:tab w:val="left" w:pos="0"/>
        </w:tabs>
        <w:adjustRightInd w:val="0"/>
        <w:ind w:left="0" w:firstLine="0"/>
        <w:rPr>
          <w:rFonts w:cs="Arial"/>
          <w:color w:val="222222"/>
          <w:shd w:val="clear" w:color="auto" w:fill="FFFFFF"/>
          <w:lang w:val="es-CR"/>
        </w:rPr>
      </w:pPr>
      <w:r w:rsidRPr="00FB6DA6">
        <w:rPr>
          <w:szCs w:val="20"/>
          <w:lang w:val="es-CR"/>
        </w:rPr>
        <w:t>El 7</w:t>
      </w:r>
      <w:r w:rsidRPr="001F43EF">
        <w:rPr>
          <w:szCs w:val="20"/>
          <w:lang w:val="es-CR"/>
        </w:rPr>
        <w:t xml:space="preserve"> de mayo de 1984 Santiago Antezana Cueto viajó </w:t>
      </w:r>
      <w:r>
        <w:rPr>
          <w:szCs w:val="20"/>
          <w:lang w:val="es-CR"/>
        </w:rPr>
        <w:t>a</w:t>
      </w:r>
      <w:r w:rsidRPr="001F43EF">
        <w:rPr>
          <w:szCs w:val="20"/>
          <w:lang w:val="es-CR"/>
        </w:rPr>
        <w:t xml:space="preserve"> Manyac, para acudir al velorio de s</w:t>
      </w:r>
      <w:r w:rsidRPr="00B9167F">
        <w:rPr>
          <w:szCs w:val="20"/>
          <w:lang w:val="es-CR"/>
        </w:rPr>
        <w:t xml:space="preserve">u padre. </w:t>
      </w:r>
      <w:r w:rsidRPr="000F169C">
        <w:rPr>
          <w:szCs w:val="20"/>
          <w:lang w:val="es-CR"/>
        </w:rPr>
        <w:t>Ese</w:t>
      </w:r>
      <w:r w:rsidRPr="00B9167F">
        <w:rPr>
          <w:szCs w:val="20"/>
          <w:lang w:val="es-CR"/>
        </w:rPr>
        <w:t xml:space="preserve"> mismo día, al percatarse que su tío Máximo Antezana Espeza estaba siendo detenido por comuneros miembros del Comité de Autodefensa del Anexo de M</w:t>
      </w:r>
      <w:r w:rsidR="003D619D">
        <w:rPr>
          <w:szCs w:val="20"/>
          <w:lang w:val="es-CR"/>
        </w:rPr>
        <w:t>anyac</w:t>
      </w:r>
      <w:r w:rsidRPr="00B9167F">
        <w:rPr>
          <w:szCs w:val="20"/>
          <w:lang w:val="es-CR"/>
        </w:rPr>
        <w:t xml:space="preserve">, salió en defensa de su tío y por ello fue detenido y entregado a miembros del Ejército peruano, quienes lo llevaron junto con su tío al Cuartel Militar del Destacamento de </w:t>
      </w:r>
      <w:r w:rsidRPr="00CD7584">
        <w:rPr>
          <w:szCs w:val="20"/>
          <w:lang w:val="es-CR"/>
        </w:rPr>
        <w:t>Acobamba</w:t>
      </w:r>
      <w:r w:rsidRPr="00CD7584">
        <w:rPr>
          <w:rStyle w:val="FootnoteReference"/>
          <w:sz w:val="20"/>
          <w:szCs w:val="20"/>
          <w:lang w:val="es-CR"/>
        </w:rPr>
        <w:footnoteReference w:id="192"/>
      </w:r>
      <w:r>
        <w:rPr>
          <w:szCs w:val="20"/>
          <w:lang w:val="es-CR"/>
        </w:rPr>
        <w:t>.</w:t>
      </w:r>
      <w:r w:rsidRPr="00CD7584">
        <w:rPr>
          <w:szCs w:val="20"/>
          <w:lang w:val="es-CR"/>
        </w:rPr>
        <w:t xml:space="preserve"> </w:t>
      </w:r>
      <w:r>
        <w:rPr>
          <w:lang w:val="es-ES"/>
        </w:rPr>
        <w:t xml:space="preserve">El </w:t>
      </w:r>
      <w:r w:rsidRPr="0049438A">
        <w:rPr>
          <w:lang w:val="es-ES"/>
        </w:rPr>
        <w:t>15 de mayo de 1984</w:t>
      </w:r>
      <w:r w:rsidRPr="00CD7584">
        <w:rPr>
          <w:lang w:val="es-ES"/>
        </w:rPr>
        <w:t xml:space="preserve"> Máximo Antezana Espeza, su tío, </w:t>
      </w:r>
      <w:r w:rsidRPr="00CD7584">
        <w:rPr>
          <w:szCs w:val="20"/>
          <w:lang w:val="es-CR"/>
        </w:rPr>
        <w:t>luego de haber sido torturado</w:t>
      </w:r>
      <w:r>
        <w:rPr>
          <w:szCs w:val="20"/>
          <w:lang w:val="es-CR"/>
        </w:rPr>
        <w:t>,</w:t>
      </w:r>
      <w:r w:rsidRPr="00CD7584">
        <w:rPr>
          <w:lang w:val="es-ES"/>
        </w:rPr>
        <w:t xml:space="preserve"> habría sido liberado, </w:t>
      </w:r>
      <w:r w:rsidRPr="00B94289">
        <w:rPr>
          <w:lang w:val="es-ES"/>
        </w:rPr>
        <w:t>dejando aún con vida en la base militar a Santiago Antezana Cueto</w:t>
      </w:r>
      <w:r w:rsidRPr="00CD7584">
        <w:rPr>
          <w:rStyle w:val="FootnoteReference"/>
          <w:sz w:val="20"/>
          <w:szCs w:val="20"/>
          <w:lang w:val="es-CR"/>
        </w:rPr>
        <w:footnoteReference w:id="193"/>
      </w:r>
      <w:r w:rsidRPr="00CD7584">
        <w:rPr>
          <w:szCs w:val="20"/>
          <w:lang w:val="es-CR"/>
        </w:rPr>
        <w:t>.</w:t>
      </w:r>
      <w:r>
        <w:rPr>
          <w:szCs w:val="20"/>
          <w:lang w:val="es-CR"/>
        </w:rPr>
        <w:t xml:space="preserve"> Desde esa fecha se ha negado toda información sobre el señor Antezana Cueto a sus familiares</w:t>
      </w:r>
      <w:r w:rsidRPr="00904554">
        <w:rPr>
          <w:rStyle w:val="FootnoteReference"/>
          <w:sz w:val="20"/>
          <w:szCs w:val="20"/>
          <w:lang w:val="es-CR"/>
        </w:rPr>
        <w:footnoteReference w:id="194"/>
      </w:r>
      <w:r w:rsidRPr="00904554">
        <w:rPr>
          <w:szCs w:val="20"/>
          <w:lang w:val="es-CR"/>
        </w:rPr>
        <w:t xml:space="preserve">. </w:t>
      </w:r>
      <w:r w:rsidRPr="003740D6">
        <w:rPr>
          <w:szCs w:val="20"/>
          <w:lang w:val="es-CR"/>
        </w:rPr>
        <w:t>Máximo Antezana Espeza manifestó que él y su sobrino habían sido objeto de torturas mientras que permanecieron detenidos en el Cuartel Militar. Rosa Carcausto Paco denunció</w:t>
      </w:r>
      <w:r>
        <w:rPr>
          <w:szCs w:val="20"/>
          <w:lang w:val="es-CR"/>
        </w:rPr>
        <w:t>, de acuerdo a lo que le informó</w:t>
      </w:r>
      <w:r w:rsidRPr="003740D6">
        <w:rPr>
          <w:szCs w:val="20"/>
          <w:lang w:val="es-CR"/>
        </w:rPr>
        <w:t xml:space="preserve"> el señor Antezana Espeza</w:t>
      </w:r>
      <w:r>
        <w:rPr>
          <w:szCs w:val="20"/>
          <w:lang w:val="es-CR"/>
        </w:rPr>
        <w:t>,</w:t>
      </w:r>
      <w:r w:rsidRPr="003740D6">
        <w:rPr>
          <w:szCs w:val="20"/>
          <w:lang w:val="es-CR"/>
        </w:rPr>
        <w:t xml:space="preserve"> que Santiago Antezana Cueto también fue sometido a diversas torturas</w:t>
      </w:r>
      <w:r w:rsidRPr="003740D6">
        <w:rPr>
          <w:rStyle w:val="FootnoteReference"/>
          <w:sz w:val="20"/>
          <w:szCs w:val="20"/>
          <w:lang w:val="es-CR"/>
        </w:rPr>
        <w:footnoteReference w:id="195"/>
      </w:r>
      <w:r w:rsidRPr="003740D6">
        <w:rPr>
          <w:szCs w:val="20"/>
          <w:lang w:val="es-CR"/>
        </w:rPr>
        <w:t>.</w:t>
      </w:r>
    </w:p>
    <w:p w:rsidR="00873835" w:rsidRPr="00580025" w:rsidRDefault="00873835" w:rsidP="00873835">
      <w:pPr>
        <w:pStyle w:val="ListParagraph"/>
        <w:rPr>
          <w:rFonts w:cs="Arial"/>
          <w:color w:val="222222"/>
          <w:shd w:val="clear" w:color="auto" w:fill="FFFFFF"/>
          <w:lang w:val="es-CR"/>
        </w:rPr>
      </w:pPr>
    </w:p>
    <w:p w:rsidR="00873835" w:rsidRPr="009E6A45" w:rsidRDefault="00873835" w:rsidP="00873835">
      <w:pPr>
        <w:pStyle w:val="ListParagraph"/>
        <w:widowControl w:val="0"/>
        <w:numPr>
          <w:ilvl w:val="0"/>
          <w:numId w:val="1"/>
        </w:numPr>
        <w:tabs>
          <w:tab w:val="left" w:pos="0"/>
        </w:tabs>
        <w:adjustRightInd w:val="0"/>
        <w:ind w:left="0" w:firstLine="0"/>
        <w:rPr>
          <w:rFonts w:cs="Arial"/>
          <w:color w:val="222222"/>
          <w:shd w:val="clear" w:color="auto" w:fill="FFFFFF"/>
          <w:lang w:val="es-CR"/>
        </w:rPr>
      </w:pPr>
      <w:r w:rsidRPr="00FB6DA6">
        <w:rPr>
          <w:rFonts w:cs="Arial"/>
          <w:color w:val="222222"/>
          <w:shd w:val="clear" w:color="auto" w:fill="FFFFFF"/>
          <w:lang w:val="es-CR"/>
        </w:rPr>
        <w:t>El</w:t>
      </w:r>
      <w:r>
        <w:rPr>
          <w:rFonts w:cs="Arial"/>
          <w:color w:val="222222"/>
          <w:shd w:val="clear" w:color="auto" w:fill="FFFFFF"/>
          <w:lang w:val="es-CR"/>
        </w:rPr>
        <w:t xml:space="preserve"> nombre de Santiago Antezana Cueto</w:t>
      </w:r>
      <w:r w:rsidRPr="005B6024">
        <w:rPr>
          <w:rFonts w:cs="Arial"/>
          <w:color w:val="222222"/>
          <w:shd w:val="clear" w:color="auto" w:fill="FFFFFF"/>
          <w:lang w:val="es-CR"/>
        </w:rPr>
        <w:t xml:space="preserve"> se encuentra registrado en la Nómina de Personas Muertas y Desaparecidas Reportadas a la </w:t>
      </w:r>
      <w:r w:rsidRPr="00AC594E">
        <w:rPr>
          <w:rFonts w:cs="Arial"/>
          <w:color w:val="222222"/>
          <w:szCs w:val="20"/>
          <w:shd w:val="clear" w:color="auto" w:fill="FFFFFF"/>
          <w:lang w:val="es-CR"/>
        </w:rPr>
        <w:t>Comisión de la Verdad y Reconciliación 1980-2000</w:t>
      </w:r>
      <w:r w:rsidRPr="00B9167F">
        <w:rPr>
          <w:rStyle w:val="FootnoteReference"/>
          <w:color w:val="222222"/>
          <w:sz w:val="20"/>
          <w:szCs w:val="20"/>
          <w:shd w:val="clear" w:color="auto" w:fill="FFFFFF"/>
          <w:lang w:val="es-CR"/>
        </w:rPr>
        <w:footnoteReference w:id="196"/>
      </w:r>
      <w:r w:rsidRPr="00B9167F">
        <w:rPr>
          <w:rFonts w:cs="Arial"/>
          <w:color w:val="222222"/>
          <w:szCs w:val="20"/>
          <w:shd w:val="clear" w:color="auto" w:fill="FFFFFF"/>
          <w:lang w:val="es-CR"/>
        </w:rPr>
        <w:t>.</w:t>
      </w:r>
      <w:r>
        <w:rPr>
          <w:rFonts w:cs="Arial"/>
          <w:color w:val="222222"/>
          <w:shd w:val="clear" w:color="auto" w:fill="FFFFFF"/>
          <w:lang w:val="es-CR"/>
        </w:rPr>
        <w:t xml:space="preserve"> </w:t>
      </w:r>
    </w:p>
    <w:p w:rsidR="00873835" w:rsidRPr="00580025" w:rsidRDefault="00873835" w:rsidP="00873835">
      <w:pPr>
        <w:pStyle w:val="ListParagraph"/>
        <w:autoSpaceDE w:val="0"/>
        <w:autoSpaceDN w:val="0"/>
        <w:adjustRightInd w:val="0"/>
        <w:spacing w:line="20" w:lineRule="atLeast"/>
        <w:ind w:left="0" w:right="-138"/>
        <w:rPr>
          <w:rFonts w:cs="Arial"/>
          <w:color w:val="222222"/>
          <w:shd w:val="clear" w:color="auto" w:fill="FFFFFF"/>
          <w:lang w:val="es-CR"/>
        </w:rPr>
      </w:pPr>
    </w:p>
    <w:p w:rsidR="00873835" w:rsidRPr="001D36EE" w:rsidRDefault="00873835" w:rsidP="00873835">
      <w:pPr>
        <w:pStyle w:val="ListParagraph"/>
        <w:autoSpaceDE w:val="0"/>
        <w:autoSpaceDN w:val="0"/>
        <w:adjustRightInd w:val="0"/>
        <w:spacing w:line="20" w:lineRule="atLeast"/>
        <w:ind w:right="-138"/>
        <w:rPr>
          <w:rFonts w:cs="Arial"/>
          <w:i/>
          <w:color w:val="222222"/>
          <w:shd w:val="clear" w:color="auto" w:fill="FFFFFF"/>
          <w:lang w:val="es-CR"/>
        </w:rPr>
      </w:pPr>
      <w:r w:rsidRPr="00D10CCA">
        <w:rPr>
          <w:i/>
          <w:szCs w:val="20"/>
          <w:lang w:val="es-CR"/>
        </w:rPr>
        <w:t>B.5.3.</w:t>
      </w:r>
      <w:r>
        <w:rPr>
          <w:szCs w:val="20"/>
          <w:lang w:val="es-CR"/>
        </w:rPr>
        <w:t xml:space="preserve"> </w:t>
      </w:r>
      <w:r w:rsidRPr="001D36EE">
        <w:rPr>
          <w:i/>
          <w:szCs w:val="20"/>
          <w:lang w:val="es-CR"/>
        </w:rPr>
        <w:t xml:space="preserve">Actuaciones </w:t>
      </w:r>
      <w:r>
        <w:rPr>
          <w:i/>
          <w:szCs w:val="20"/>
          <w:lang w:val="es-CR"/>
        </w:rPr>
        <w:t xml:space="preserve">en la jurisdicción </w:t>
      </w:r>
      <w:r w:rsidRPr="001D36EE">
        <w:rPr>
          <w:i/>
          <w:szCs w:val="20"/>
          <w:lang w:val="es-CR"/>
        </w:rPr>
        <w:t>en torno a la desaparición de Santiago Antezana Cueto</w:t>
      </w:r>
    </w:p>
    <w:p w:rsidR="00873835" w:rsidRPr="001D36EE" w:rsidRDefault="00873835" w:rsidP="00873835">
      <w:pPr>
        <w:pStyle w:val="ListParagraph"/>
        <w:autoSpaceDE w:val="0"/>
        <w:autoSpaceDN w:val="0"/>
        <w:adjustRightInd w:val="0"/>
        <w:spacing w:line="20" w:lineRule="atLeast"/>
        <w:ind w:right="-138"/>
        <w:rPr>
          <w:rFonts w:cs="Arial"/>
          <w:i/>
          <w:color w:val="222222"/>
          <w:shd w:val="clear" w:color="auto" w:fill="FFFFFF"/>
          <w:lang w:val="es-CR"/>
        </w:rPr>
      </w:pPr>
    </w:p>
    <w:p w:rsidR="00873835" w:rsidRPr="001D36EE" w:rsidRDefault="00873835" w:rsidP="00873835">
      <w:pPr>
        <w:pStyle w:val="ListParagraph"/>
        <w:autoSpaceDE w:val="0"/>
        <w:autoSpaceDN w:val="0"/>
        <w:adjustRightInd w:val="0"/>
        <w:spacing w:line="20" w:lineRule="atLeast"/>
        <w:ind w:right="-138"/>
        <w:rPr>
          <w:rFonts w:cs="Arial"/>
          <w:i/>
          <w:color w:val="222222"/>
          <w:shd w:val="clear" w:color="auto" w:fill="FFFFFF"/>
          <w:lang w:val="es-CR"/>
        </w:rPr>
      </w:pPr>
      <w:r w:rsidRPr="006A0350">
        <w:rPr>
          <w:rFonts w:cs="Arial"/>
          <w:i/>
          <w:color w:val="222222"/>
          <w:shd w:val="clear" w:color="auto" w:fill="FFFFFF"/>
          <w:lang w:val="es-CR"/>
        </w:rPr>
        <w:t>B.</w:t>
      </w:r>
      <w:r>
        <w:rPr>
          <w:rFonts w:cs="Arial"/>
          <w:i/>
          <w:color w:val="222222"/>
          <w:shd w:val="clear" w:color="auto" w:fill="FFFFFF"/>
          <w:lang w:val="es-CR"/>
        </w:rPr>
        <w:t>5</w:t>
      </w:r>
      <w:r w:rsidRPr="001D36EE">
        <w:rPr>
          <w:rFonts w:cs="Arial"/>
          <w:i/>
          <w:color w:val="222222"/>
          <w:shd w:val="clear" w:color="auto" w:fill="FFFFFF"/>
          <w:lang w:val="es-CR"/>
        </w:rPr>
        <w:t>.3.1</w:t>
      </w:r>
      <w:r>
        <w:rPr>
          <w:rFonts w:cs="Arial"/>
          <w:i/>
          <w:color w:val="222222"/>
          <w:shd w:val="clear" w:color="auto" w:fill="FFFFFF"/>
          <w:lang w:val="es-CR"/>
        </w:rPr>
        <w:t xml:space="preserve">. </w:t>
      </w:r>
      <w:r w:rsidRPr="001D36EE">
        <w:rPr>
          <w:rFonts w:cs="Arial"/>
          <w:i/>
          <w:color w:val="222222"/>
          <w:shd w:val="clear" w:color="auto" w:fill="FFFFFF"/>
          <w:lang w:val="es-CR"/>
        </w:rPr>
        <w:t xml:space="preserve">Denuncias </w:t>
      </w:r>
      <w:r>
        <w:rPr>
          <w:rFonts w:cs="Arial"/>
          <w:i/>
          <w:color w:val="222222"/>
          <w:shd w:val="clear" w:color="auto" w:fill="FFFFFF"/>
          <w:lang w:val="es-CR"/>
        </w:rPr>
        <w:t>realizadas</w:t>
      </w:r>
      <w:r w:rsidRPr="001D36EE">
        <w:rPr>
          <w:rFonts w:cs="Arial"/>
          <w:i/>
          <w:color w:val="222222"/>
          <w:shd w:val="clear" w:color="auto" w:fill="FFFFFF"/>
          <w:lang w:val="es-CR"/>
        </w:rPr>
        <w:t xml:space="preserve"> por los familiares de </w:t>
      </w:r>
      <w:r w:rsidRPr="001D36EE">
        <w:rPr>
          <w:i/>
          <w:szCs w:val="20"/>
          <w:lang w:val="es-CR"/>
        </w:rPr>
        <w:t>Santiago Antezana Cueto</w:t>
      </w:r>
      <w:r>
        <w:rPr>
          <w:i/>
          <w:szCs w:val="20"/>
          <w:lang w:val="es-CR"/>
        </w:rPr>
        <w:t xml:space="preserve"> entre 1985 y 1992</w:t>
      </w:r>
    </w:p>
    <w:p w:rsidR="00873835" w:rsidRPr="00C4042F" w:rsidRDefault="00873835" w:rsidP="00873835">
      <w:pPr>
        <w:pStyle w:val="ListParagraph"/>
        <w:autoSpaceDE w:val="0"/>
        <w:autoSpaceDN w:val="0"/>
        <w:adjustRightInd w:val="0"/>
        <w:spacing w:line="20" w:lineRule="atLeast"/>
        <w:ind w:left="0" w:right="-138"/>
        <w:rPr>
          <w:rFonts w:cs="Arial"/>
          <w:color w:val="222222"/>
          <w:shd w:val="clear" w:color="auto" w:fill="FFFFFF"/>
          <w:lang w:val="es-CR"/>
        </w:rPr>
      </w:pPr>
    </w:p>
    <w:p w:rsidR="00873835" w:rsidRPr="00BD39C5" w:rsidRDefault="00B54804" w:rsidP="00873835">
      <w:pPr>
        <w:pStyle w:val="ListParagraph"/>
        <w:widowControl w:val="0"/>
        <w:numPr>
          <w:ilvl w:val="0"/>
          <w:numId w:val="1"/>
        </w:numPr>
        <w:tabs>
          <w:tab w:val="left" w:pos="0"/>
        </w:tabs>
        <w:adjustRightInd w:val="0"/>
        <w:ind w:left="0" w:firstLine="0"/>
        <w:rPr>
          <w:rFonts w:cs="Arial"/>
          <w:color w:val="222222"/>
          <w:shd w:val="clear" w:color="auto" w:fill="FFFFFF"/>
          <w:lang w:val="es-CR"/>
        </w:rPr>
      </w:pPr>
      <w:r>
        <w:rPr>
          <w:szCs w:val="20"/>
          <w:lang w:val="es-CR"/>
        </w:rPr>
        <w:t>El 15</w:t>
      </w:r>
      <w:r w:rsidR="00873835" w:rsidRPr="00BD39C5">
        <w:rPr>
          <w:szCs w:val="20"/>
          <w:lang w:val="es-CR"/>
        </w:rPr>
        <w:t xml:space="preserve"> de marzo de 1985 Ermilio Antezana Cueto y Rosa Carcausto Paco, hermano y conviviente de Santiago Antezana Cueto, respectivamente, presentaron una denuncia ante la Fiscalía de la Nación, solicitando la investigación de los hechos para cautelar la integridad personal de él y demás detenidos, y para la identificación y sanción de los responsables</w:t>
      </w:r>
      <w:r w:rsidR="00873835" w:rsidRPr="00BD39C5">
        <w:rPr>
          <w:rStyle w:val="FootnoteReference"/>
          <w:sz w:val="20"/>
          <w:szCs w:val="20"/>
          <w:lang w:val="es-CR"/>
        </w:rPr>
        <w:footnoteReference w:id="197"/>
      </w:r>
      <w:r w:rsidR="00873835" w:rsidRPr="00BD39C5">
        <w:rPr>
          <w:szCs w:val="20"/>
          <w:lang w:val="es-CR"/>
        </w:rPr>
        <w:t xml:space="preserve">. </w:t>
      </w:r>
      <w:r w:rsidR="00873835" w:rsidRPr="00BD39C5">
        <w:rPr>
          <w:rFonts w:cs="Arial"/>
          <w:color w:val="222222"/>
          <w:shd w:val="clear" w:color="auto" w:fill="FFFFFF"/>
          <w:lang w:val="es-CR"/>
        </w:rPr>
        <w:t>Asimismo, el 13 de septiembre de 1984 Ofelia Antezana Torre, Julia Antezana Torre, Justina Antezana Espeza, Honorata Cueto Trucios y Ermilio Antezana Cueto presentaron una denuncia ante el Fiscal de la Nación, por los hechos ocurridos al señor Antezana Cueto para que se asuma la in</w:t>
      </w:r>
      <w:r w:rsidR="00873835" w:rsidRPr="00BD39C5">
        <w:rPr>
          <w:rFonts w:cs="Arial"/>
          <w:color w:val="222222"/>
          <w:szCs w:val="20"/>
          <w:shd w:val="clear" w:color="auto" w:fill="FFFFFF"/>
          <w:lang w:val="es-CR"/>
        </w:rPr>
        <w:t>vestigación correspondiente y se formalice en su momento la denuncia ante el Juez Instructor</w:t>
      </w:r>
      <w:r w:rsidR="00873835" w:rsidRPr="00BD39C5">
        <w:rPr>
          <w:rStyle w:val="FootnoteReference"/>
          <w:color w:val="222222"/>
          <w:sz w:val="20"/>
          <w:szCs w:val="20"/>
          <w:shd w:val="clear" w:color="auto" w:fill="FFFFFF"/>
          <w:lang w:val="es-CR"/>
        </w:rPr>
        <w:footnoteReference w:id="198"/>
      </w:r>
      <w:r w:rsidR="00873835" w:rsidRPr="00BD39C5">
        <w:rPr>
          <w:rFonts w:cs="Arial"/>
          <w:color w:val="222222"/>
          <w:szCs w:val="20"/>
          <w:shd w:val="clear" w:color="auto" w:fill="FFFFFF"/>
          <w:lang w:val="es-CR"/>
        </w:rPr>
        <w:t>.</w:t>
      </w:r>
    </w:p>
    <w:p w:rsidR="00873835" w:rsidRPr="00BD39C5" w:rsidRDefault="00873835" w:rsidP="00873835">
      <w:pPr>
        <w:pStyle w:val="ListParagraph"/>
        <w:autoSpaceDE w:val="0"/>
        <w:autoSpaceDN w:val="0"/>
        <w:adjustRightInd w:val="0"/>
        <w:spacing w:line="20" w:lineRule="atLeast"/>
        <w:ind w:left="0" w:right="-138"/>
        <w:rPr>
          <w:rFonts w:cs="Arial"/>
          <w:color w:val="222222"/>
          <w:shd w:val="clear" w:color="auto" w:fill="FFFFFF"/>
          <w:lang w:val="es-CR"/>
        </w:rPr>
      </w:pPr>
    </w:p>
    <w:p w:rsidR="00873835" w:rsidRPr="00BD39C5" w:rsidRDefault="00873835" w:rsidP="00873835">
      <w:pPr>
        <w:pStyle w:val="ListParagraph"/>
        <w:widowControl w:val="0"/>
        <w:numPr>
          <w:ilvl w:val="0"/>
          <w:numId w:val="1"/>
        </w:numPr>
        <w:tabs>
          <w:tab w:val="left" w:pos="0"/>
        </w:tabs>
        <w:adjustRightInd w:val="0"/>
        <w:ind w:left="0" w:firstLine="0"/>
        <w:rPr>
          <w:rFonts w:cs="Arial"/>
          <w:color w:val="222222"/>
          <w:shd w:val="clear" w:color="auto" w:fill="FFFFFF"/>
          <w:lang w:val="es-CR"/>
        </w:rPr>
      </w:pPr>
      <w:r w:rsidRPr="00BD39C5">
        <w:rPr>
          <w:rFonts w:cs="Arial"/>
          <w:color w:val="222222"/>
          <w:shd w:val="clear" w:color="auto" w:fill="FFFFFF"/>
          <w:lang w:val="es-CR"/>
        </w:rPr>
        <w:t xml:space="preserve">El 16 de enero de 1985 Ermilio Antezana Cueto y Ofelia Antezana Torre, prima de Santiago Antezana Cueto, junto a otras </w:t>
      </w:r>
      <w:r w:rsidRPr="00BD39C5">
        <w:rPr>
          <w:szCs w:val="20"/>
          <w:lang w:val="es-CR"/>
        </w:rPr>
        <w:t>personas,</w:t>
      </w:r>
      <w:r w:rsidRPr="00BD39C5">
        <w:rPr>
          <w:rFonts w:cs="Arial"/>
          <w:color w:val="222222"/>
          <w:shd w:val="clear" w:color="auto" w:fill="FFFFFF"/>
          <w:lang w:val="es-CR"/>
        </w:rPr>
        <w:t xml:space="preserve"> solicitaron información sobre la denuncia que habían presentado en septiembre de 1984</w:t>
      </w:r>
      <w:r w:rsidRPr="00BD39C5">
        <w:rPr>
          <w:rStyle w:val="FootnoteReference"/>
          <w:color w:val="222222"/>
          <w:sz w:val="20"/>
          <w:szCs w:val="20"/>
          <w:shd w:val="clear" w:color="auto" w:fill="FFFFFF"/>
          <w:lang w:val="es-CR"/>
        </w:rPr>
        <w:footnoteReference w:id="199"/>
      </w:r>
      <w:r w:rsidRPr="00BD39C5">
        <w:rPr>
          <w:rFonts w:cs="Arial"/>
          <w:color w:val="222222"/>
          <w:shd w:val="clear" w:color="auto" w:fill="FFFFFF"/>
          <w:lang w:val="es-CR"/>
        </w:rPr>
        <w:t>. El 31 de mayo de 1985 Ofelia Antezana Torre solicitó al Fiscal de la Nación información respecto a las denuncias presentadas por la detención y posterior desaparición de Santiago Antezana Cueto, Emiliano Antezana Espeza, y otras dos personas</w:t>
      </w:r>
      <w:r w:rsidRPr="00BD39C5">
        <w:rPr>
          <w:rStyle w:val="FootnoteReference"/>
          <w:color w:val="222222"/>
          <w:sz w:val="20"/>
          <w:szCs w:val="20"/>
          <w:shd w:val="clear" w:color="auto" w:fill="FFFFFF"/>
          <w:lang w:val="es-CR"/>
        </w:rPr>
        <w:footnoteReference w:id="200"/>
      </w:r>
      <w:r w:rsidRPr="00BD39C5">
        <w:rPr>
          <w:rFonts w:cs="Arial"/>
          <w:color w:val="222222"/>
          <w:szCs w:val="20"/>
          <w:shd w:val="clear" w:color="auto" w:fill="FFFFFF"/>
          <w:lang w:val="es-CR"/>
        </w:rPr>
        <w:t>.</w:t>
      </w:r>
      <w:r w:rsidRPr="00BD39C5">
        <w:rPr>
          <w:rFonts w:cs="Arial"/>
          <w:color w:val="222222"/>
          <w:shd w:val="clear" w:color="auto" w:fill="FFFFFF"/>
          <w:lang w:val="es-CR"/>
        </w:rPr>
        <w:t xml:space="preserve"> </w:t>
      </w:r>
    </w:p>
    <w:p w:rsidR="00873835" w:rsidRPr="00BD39C5" w:rsidRDefault="00873835" w:rsidP="00873835">
      <w:pPr>
        <w:pStyle w:val="ListParagraph"/>
        <w:autoSpaceDE w:val="0"/>
        <w:autoSpaceDN w:val="0"/>
        <w:adjustRightInd w:val="0"/>
        <w:spacing w:line="20" w:lineRule="atLeast"/>
        <w:ind w:left="0" w:right="-138"/>
        <w:rPr>
          <w:rFonts w:cs="Arial"/>
          <w:color w:val="222222"/>
          <w:shd w:val="clear" w:color="auto" w:fill="FFFFFF"/>
          <w:lang w:val="es-CR"/>
        </w:rPr>
      </w:pPr>
    </w:p>
    <w:p w:rsidR="00873835" w:rsidRPr="00BD39C5" w:rsidRDefault="00873835" w:rsidP="00873835">
      <w:pPr>
        <w:pStyle w:val="ListParagraph"/>
        <w:widowControl w:val="0"/>
        <w:numPr>
          <w:ilvl w:val="0"/>
          <w:numId w:val="1"/>
        </w:numPr>
        <w:tabs>
          <w:tab w:val="left" w:pos="0"/>
        </w:tabs>
        <w:adjustRightInd w:val="0"/>
        <w:ind w:left="0" w:firstLine="0"/>
        <w:rPr>
          <w:rFonts w:cs="Arial"/>
          <w:color w:val="222222"/>
          <w:shd w:val="clear" w:color="auto" w:fill="FFFFFF"/>
          <w:lang w:val="es-CR"/>
        </w:rPr>
      </w:pPr>
      <w:r w:rsidRPr="00BD39C5">
        <w:rPr>
          <w:szCs w:val="20"/>
          <w:lang w:val="es-CR"/>
        </w:rPr>
        <w:t>El 27 de mayo de 1992 Rosa Carcausto Paco acudió a la Fiscalía Esp</w:t>
      </w:r>
      <w:r w:rsidR="0079499D">
        <w:rPr>
          <w:szCs w:val="20"/>
          <w:lang w:val="es-CR"/>
        </w:rPr>
        <w:t>e</w:t>
      </w:r>
      <w:r w:rsidRPr="00BD39C5">
        <w:rPr>
          <w:szCs w:val="20"/>
          <w:lang w:val="es-CR"/>
        </w:rPr>
        <w:t>cial de la Defensoría del Pueblo y Derechos Humanos para indagar sobre su denuncia. Indicó que cuando fue a indagar por el desaparecido al mes de su detención le negaron su detención en el Destacamento Militar, pero que estaba detenido antes y que no debían insistir pues había sido trasladado a Ayacucho</w:t>
      </w:r>
      <w:r w:rsidRPr="00BD39C5">
        <w:rPr>
          <w:rStyle w:val="FootnoteReference"/>
          <w:sz w:val="20"/>
          <w:szCs w:val="20"/>
          <w:lang w:val="es-CR"/>
        </w:rPr>
        <w:footnoteReference w:id="201"/>
      </w:r>
      <w:r w:rsidRPr="00BD39C5">
        <w:rPr>
          <w:szCs w:val="20"/>
          <w:lang w:val="es-CR"/>
        </w:rPr>
        <w:t xml:space="preserve">. El 14 de agosto de 1992 el Fiscal Provincial Mixto de Acobamba informó a la Fiscalía Especial de Prevención del Delito, Defensora del Pueblo y Derechos Humanos de Huancavelica que “no existe denuncia alguna al respecto[,] así como que ambas personas no han sido intervenidas por personal de esta Jefatura[,…] ya que no existen archivos de ese entonces por cuanto fueron incendiados durante el ataque </w:t>
      </w:r>
      <w:r w:rsidRPr="00BD39C5">
        <w:rPr>
          <w:szCs w:val="20"/>
          <w:lang w:val="es-CR"/>
        </w:rPr>
        <w:lastRenderedPageBreak/>
        <w:t>subver[sivo] producido en el año 1989”</w:t>
      </w:r>
      <w:r w:rsidRPr="00BD39C5">
        <w:rPr>
          <w:rStyle w:val="FootnoteReference"/>
          <w:sz w:val="20"/>
          <w:szCs w:val="20"/>
          <w:lang w:val="es-CR"/>
        </w:rPr>
        <w:footnoteReference w:id="202"/>
      </w:r>
      <w:r w:rsidRPr="00BD39C5">
        <w:rPr>
          <w:szCs w:val="20"/>
          <w:lang w:val="es-CR"/>
        </w:rPr>
        <w:t>. El 17 de agosto de 1992 la Fiscalía Especial de Prevención del Delito, Defensora del Pueblo y Derechos Humanos de Huancavelica ordenó al Fiscal Provincial de Acobamba que inicie nueva investigación</w:t>
      </w:r>
      <w:r w:rsidRPr="00BD39C5">
        <w:rPr>
          <w:rStyle w:val="FootnoteReference"/>
          <w:sz w:val="20"/>
          <w:szCs w:val="20"/>
          <w:lang w:val="es-CR"/>
        </w:rPr>
        <w:footnoteReference w:id="203"/>
      </w:r>
      <w:r w:rsidRPr="00BD39C5">
        <w:rPr>
          <w:szCs w:val="20"/>
          <w:lang w:val="es-CR"/>
        </w:rPr>
        <w:t>.</w:t>
      </w:r>
      <w:r w:rsidRPr="00BD39C5">
        <w:rPr>
          <w:sz w:val="18"/>
          <w:szCs w:val="20"/>
        </w:rPr>
        <w:t xml:space="preserve"> </w:t>
      </w:r>
    </w:p>
    <w:p w:rsidR="00873835" w:rsidRPr="00BD39C5" w:rsidRDefault="00873835" w:rsidP="00873835">
      <w:pPr>
        <w:autoSpaceDE w:val="0"/>
        <w:autoSpaceDN w:val="0"/>
        <w:adjustRightInd w:val="0"/>
        <w:spacing w:line="20" w:lineRule="atLeast"/>
        <w:ind w:right="-138"/>
        <w:rPr>
          <w:rFonts w:cs="Arial"/>
          <w:color w:val="222222"/>
          <w:shd w:val="clear" w:color="auto" w:fill="FFFFFF"/>
          <w:lang w:val="es-CR"/>
        </w:rPr>
      </w:pPr>
    </w:p>
    <w:p w:rsidR="00873835" w:rsidRPr="00BD39C5" w:rsidRDefault="00873835" w:rsidP="00873835">
      <w:pPr>
        <w:pStyle w:val="ListParagraph"/>
        <w:autoSpaceDE w:val="0"/>
        <w:autoSpaceDN w:val="0"/>
        <w:adjustRightInd w:val="0"/>
        <w:spacing w:line="20" w:lineRule="atLeast"/>
        <w:ind w:left="0" w:right="-138" w:firstLine="720"/>
        <w:rPr>
          <w:rFonts w:cs="Arial"/>
          <w:color w:val="222222"/>
          <w:shd w:val="clear" w:color="auto" w:fill="FFFFFF"/>
          <w:lang w:val="es-CR"/>
        </w:rPr>
      </w:pPr>
      <w:r w:rsidRPr="00BD39C5">
        <w:rPr>
          <w:rFonts w:cs="Arial"/>
          <w:i/>
          <w:color w:val="222222"/>
          <w:shd w:val="clear" w:color="auto" w:fill="FFFFFF"/>
          <w:lang w:val="es-CR"/>
        </w:rPr>
        <w:t>B.5.3.2.</w:t>
      </w:r>
      <w:r w:rsidRPr="00BD39C5">
        <w:rPr>
          <w:rFonts w:cs="Arial"/>
          <w:color w:val="222222"/>
          <w:shd w:val="clear" w:color="auto" w:fill="FFFFFF"/>
          <w:lang w:val="es-CR"/>
        </w:rPr>
        <w:t xml:space="preserve"> </w:t>
      </w:r>
      <w:r w:rsidRPr="00BD39C5">
        <w:rPr>
          <w:rFonts w:cs="Arial"/>
          <w:i/>
          <w:color w:val="222222"/>
          <w:shd w:val="clear" w:color="auto" w:fill="FFFFFF"/>
          <w:lang w:val="es-CR"/>
        </w:rPr>
        <w:t>Proceso penal a nivel interno con posterioridad a 2001</w:t>
      </w:r>
    </w:p>
    <w:p w:rsidR="00873835" w:rsidRPr="00BD39C5" w:rsidRDefault="00873835" w:rsidP="00873835">
      <w:pPr>
        <w:pStyle w:val="ListParagraph"/>
        <w:autoSpaceDE w:val="0"/>
        <w:autoSpaceDN w:val="0"/>
        <w:adjustRightInd w:val="0"/>
        <w:spacing w:line="20" w:lineRule="atLeast"/>
        <w:ind w:left="0" w:right="-138"/>
        <w:rPr>
          <w:rFonts w:cs="Arial"/>
          <w:color w:val="222222"/>
          <w:shd w:val="clear" w:color="auto" w:fill="FFFFFF"/>
          <w:lang w:val="es-CR"/>
        </w:rPr>
      </w:pPr>
    </w:p>
    <w:p w:rsidR="00873835" w:rsidRPr="00BD39C5" w:rsidRDefault="00873835" w:rsidP="00873835">
      <w:pPr>
        <w:pStyle w:val="ListParagraph"/>
        <w:widowControl w:val="0"/>
        <w:numPr>
          <w:ilvl w:val="0"/>
          <w:numId w:val="1"/>
        </w:numPr>
        <w:tabs>
          <w:tab w:val="left" w:pos="0"/>
        </w:tabs>
        <w:adjustRightInd w:val="0"/>
        <w:ind w:left="0" w:firstLine="0"/>
        <w:rPr>
          <w:rFonts w:cs="Arial"/>
          <w:color w:val="222222"/>
          <w:shd w:val="clear" w:color="auto" w:fill="FFFFFF"/>
          <w:lang w:val="es-CR"/>
        </w:rPr>
      </w:pPr>
      <w:r w:rsidRPr="00BD39C5">
        <w:rPr>
          <w:szCs w:val="20"/>
          <w:lang w:val="es-CR"/>
        </w:rPr>
        <w:t>El 25 de junio de 2001 Rosa Carcausto Paco ratificó su denuncia por la detención y desaparición de Santiago Antezana Cueto ante la Fiscalía de la Nación</w:t>
      </w:r>
      <w:r w:rsidRPr="00BD39C5">
        <w:rPr>
          <w:rStyle w:val="FootnoteReference"/>
          <w:sz w:val="20"/>
          <w:szCs w:val="20"/>
          <w:lang w:val="es-CR"/>
        </w:rPr>
        <w:footnoteReference w:id="204"/>
      </w:r>
      <w:r w:rsidRPr="00BD39C5">
        <w:rPr>
          <w:szCs w:val="20"/>
          <w:lang w:val="es-CR"/>
        </w:rPr>
        <w:t>. El 25 de noviembre de 2004 presentó una denuncia penal ante la Fiscalía Provincial Mixta de Acobamba en contra del Capitán del Ejército apodado “Scorpión” perteneciente al Cuartel Militar de Acobamba, y otros efectivos militares y demás responsables por la desaparición de Santiago Antezana Cueto</w:t>
      </w:r>
      <w:r w:rsidRPr="00BD39C5">
        <w:rPr>
          <w:rStyle w:val="FootnoteReference"/>
          <w:sz w:val="20"/>
          <w:szCs w:val="20"/>
          <w:lang w:val="es-CR"/>
        </w:rPr>
        <w:footnoteReference w:id="205"/>
      </w:r>
      <w:r w:rsidRPr="00BD39C5">
        <w:rPr>
          <w:szCs w:val="20"/>
          <w:lang w:val="es-CR"/>
        </w:rPr>
        <w:t xml:space="preserve">. </w:t>
      </w:r>
    </w:p>
    <w:p w:rsidR="00873835" w:rsidRPr="00BD39C5" w:rsidRDefault="00873835" w:rsidP="00873835">
      <w:pPr>
        <w:pStyle w:val="ListParagraph"/>
        <w:widowControl w:val="0"/>
        <w:tabs>
          <w:tab w:val="left" w:pos="0"/>
        </w:tabs>
        <w:adjustRightInd w:val="0"/>
        <w:ind w:left="0"/>
        <w:rPr>
          <w:rFonts w:cs="Arial"/>
          <w:color w:val="222222"/>
          <w:shd w:val="clear" w:color="auto" w:fill="FFFFFF"/>
          <w:lang w:val="es-CR"/>
        </w:rPr>
      </w:pPr>
    </w:p>
    <w:p w:rsidR="00873835" w:rsidRPr="000F150A" w:rsidRDefault="000F150A" w:rsidP="00873835">
      <w:pPr>
        <w:pStyle w:val="ListParagraph"/>
        <w:widowControl w:val="0"/>
        <w:numPr>
          <w:ilvl w:val="0"/>
          <w:numId w:val="1"/>
        </w:numPr>
        <w:tabs>
          <w:tab w:val="left" w:pos="0"/>
        </w:tabs>
        <w:autoSpaceDE w:val="0"/>
        <w:autoSpaceDN w:val="0"/>
        <w:adjustRightInd w:val="0"/>
        <w:spacing w:line="20" w:lineRule="atLeast"/>
        <w:ind w:left="0" w:right="-138" w:firstLine="0"/>
        <w:rPr>
          <w:rFonts w:cs="Arial"/>
          <w:color w:val="222222"/>
          <w:shd w:val="clear" w:color="auto" w:fill="FFFFFF"/>
          <w:lang w:val="es-CR"/>
        </w:rPr>
      </w:pPr>
      <w:r w:rsidRPr="000F150A">
        <w:rPr>
          <w:szCs w:val="20"/>
          <w:lang w:val="es-CR"/>
        </w:rPr>
        <w:t xml:space="preserve">El 3 de febrero de 2005 </w:t>
      </w:r>
      <w:r w:rsidRPr="000F150A">
        <w:rPr>
          <w:szCs w:val="20"/>
        </w:rPr>
        <w:t>emitió una resolución con el fin de realizar diligencias para la identificación de los responsables de lo sucedido</w:t>
      </w:r>
      <w:r>
        <w:rPr>
          <w:szCs w:val="20"/>
          <w:lang w:val="es-CR"/>
        </w:rPr>
        <w:t>, y</w:t>
      </w:r>
      <w:r w:rsidRPr="000F150A">
        <w:rPr>
          <w:szCs w:val="20"/>
          <w:lang w:val="es-CR"/>
        </w:rPr>
        <w:t xml:space="preserve"> </w:t>
      </w:r>
      <w:r>
        <w:rPr>
          <w:szCs w:val="20"/>
          <w:lang w:val="es-CR"/>
        </w:rPr>
        <w:t>e</w:t>
      </w:r>
      <w:r w:rsidR="00873835" w:rsidRPr="000F150A">
        <w:rPr>
          <w:szCs w:val="20"/>
          <w:lang w:val="es-CR"/>
        </w:rPr>
        <w:t>l 31 de julio de 2009 el Fiscal Provincial Penal Supraprovisional de Huancavelica formalizó denuncia penal contra José Antonio Esquivel Mora, Capitán del Ejército del Cuartel de Acobamba, como autor del delito contra la humanidad en la modalidad de desaparición forzada en agravio de Santiago Antezana Cueto</w:t>
      </w:r>
      <w:r w:rsidR="00873835" w:rsidRPr="000F150A">
        <w:rPr>
          <w:rStyle w:val="FootnoteReference"/>
          <w:sz w:val="20"/>
          <w:szCs w:val="20"/>
          <w:lang w:val="es-CR"/>
        </w:rPr>
        <w:footnoteReference w:id="206"/>
      </w:r>
      <w:r w:rsidR="00873835" w:rsidRPr="000F150A">
        <w:rPr>
          <w:szCs w:val="20"/>
          <w:lang w:val="es-CR"/>
        </w:rPr>
        <w:t>. El 28 de abril de 2010 se abrió el correspondiente proceso penal</w:t>
      </w:r>
      <w:r w:rsidR="00873835" w:rsidRPr="000F150A">
        <w:rPr>
          <w:rStyle w:val="FootnoteReference"/>
          <w:sz w:val="20"/>
          <w:szCs w:val="20"/>
          <w:lang w:val="es-CR"/>
        </w:rPr>
        <w:footnoteReference w:id="207"/>
      </w:r>
      <w:r w:rsidR="00873835" w:rsidRPr="000F150A">
        <w:rPr>
          <w:szCs w:val="20"/>
          <w:lang w:val="es-CR"/>
        </w:rPr>
        <w:t>, y el 8 de abril de 2011 el Tercer Juzgado Penal Supraprovincial de Lima dictó impedimento de salida del país al capitán José Antonio Esquivel Mora</w:t>
      </w:r>
      <w:r w:rsidR="00873835" w:rsidRPr="000F150A">
        <w:rPr>
          <w:rStyle w:val="FootnoteReference"/>
          <w:sz w:val="20"/>
          <w:szCs w:val="20"/>
          <w:lang w:val="es-CR"/>
        </w:rPr>
        <w:footnoteReference w:id="208"/>
      </w:r>
      <w:r w:rsidR="00873835" w:rsidRPr="000F150A">
        <w:rPr>
          <w:szCs w:val="20"/>
          <w:lang w:val="es-CR"/>
        </w:rPr>
        <w:t xml:space="preserve">. </w:t>
      </w:r>
    </w:p>
    <w:p w:rsidR="00873835" w:rsidRPr="00BD39C5" w:rsidRDefault="00873835" w:rsidP="00873835">
      <w:pPr>
        <w:pStyle w:val="ListParagraph"/>
        <w:widowControl w:val="0"/>
        <w:tabs>
          <w:tab w:val="left" w:pos="0"/>
        </w:tabs>
        <w:autoSpaceDE w:val="0"/>
        <w:autoSpaceDN w:val="0"/>
        <w:adjustRightInd w:val="0"/>
        <w:spacing w:line="20" w:lineRule="atLeast"/>
        <w:ind w:left="0" w:right="-138"/>
        <w:rPr>
          <w:rFonts w:cs="Arial"/>
          <w:color w:val="222222"/>
          <w:shd w:val="clear" w:color="auto" w:fill="FFFFFF"/>
          <w:lang w:val="es-CR"/>
        </w:rPr>
      </w:pPr>
    </w:p>
    <w:p w:rsidR="00873835" w:rsidRPr="00BD39C5" w:rsidRDefault="00873835" w:rsidP="00873835">
      <w:pPr>
        <w:pStyle w:val="ListParagraph"/>
        <w:widowControl w:val="0"/>
        <w:numPr>
          <w:ilvl w:val="0"/>
          <w:numId w:val="1"/>
        </w:numPr>
        <w:tabs>
          <w:tab w:val="left" w:pos="0"/>
        </w:tabs>
        <w:adjustRightInd w:val="0"/>
        <w:ind w:left="0" w:firstLine="0"/>
        <w:rPr>
          <w:szCs w:val="20"/>
          <w:lang w:val="es-CR"/>
        </w:rPr>
      </w:pPr>
      <w:r w:rsidRPr="00BD39C5">
        <w:rPr>
          <w:rFonts w:cs="Arial"/>
          <w:color w:val="222222"/>
          <w:shd w:val="clear" w:color="auto" w:fill="FFFFFF"/>
          <w:lang w:val="es-CR"/>
        </w:rPr>
        <w:t xml:space="preserve">El </w:t>
      </w:r>
      <w:r w:rsidRPr="00BD39C5">
        <w:rPr>
          <w:szCs w:val="20"/>
          <w:lang w:val="es-CR"/>
        </w:rPr>
        <w:t>26</w:t>
      </w:r>
      <w:r w:rsidRPr="00BD39C5">
        <w:rPr>
          <w:rFonts w:cs="Arial"/>
          <w:color w:val="222222"/>
          <w:shd w:val="clear" w:color="auto" w:fill="FFFFFF"/>
          <w:lang w:val="es-CR"/>
        </w:rPr>
        <w:t xml:space="preserve"> de diciembre de 2012 la Tercera Fiscalía Superior Penal Nacional emitió el Dictamen No. 116-2012-3FSPN, mediante el cual consideró que había mérito para pasar a juicio oral por la comisión del delito contra la humanidad en la modalidad de Desaparición Forzada en agravio del señor Antezana Cuet</w:t>
      </w:r>
      <w:r w:rsidRPr="00BD39C5">
        <w:rPr>
          <w:rFonts w:cs="Arial"/>
          <w:color w:val="222222"/>
          <w:szCs w:val="20"/>
          <w:shd w:val="clear" w:color="auto" w:fill="FFFFFF"/>
          <w:lang w:val="es-CR"/>
        </w:rPr>
        <w:t>o</w:t>
      </w:r>
      <w:r w:rsidRPr="00BD39C5">
        <w:rPr>
          <w:rStyle w:val="FootnoteReference"/>
          <w:color w:val="222222"/>
          <w:sz w:val="20"/>
          <w:szCs w:val="20"/>
          <w:shd w:val="clear" w:color="auto" w:fill="FFFFFF"/>
          <w:lang w:val="es-CR"/>
        </w:rPr>
        <w:footnoteReference w:id="209"/>
      </w:r>
      <w:r w:rsidRPr="00BD39C5">
        <w:rPr>
          <w:rFonts w:cs="Arial"/>
          <w:color w:val="222222"/>
          <w:szCs w:val="20"/>
          <w:shd w:val="clear" w:color="auto" w:fill="FFFFFF"/>
          <w:lang w:val="es-CR"/>
        </w:rPr>
        <w:t>, en contra de Jose Antonio Esquivel Mora.</w:t>
      </w:r>
    </w:p>
    <w:p w:rsidR="00873835" w:rsidRPr="00BD39C5" w:rsidRDefault="00873835" w:rsidP="00873835">
      <w:pPr>
        <w:pStyle w:val="ListParagraph"/>
        <w:autoSpaceDE w:val="0"/>
        <w:autoSpaceDN w:val="0"/>
        <w:adjustRightInd w:val="0"/>
        <w:spacing w:line="20" w:lineRule="atLeast"/>
        <w:ind w:left="0" w:right="-138"/>
        <w:rPr>
          <w:rFonts w:cs="Arial"/>
          <w:color w:val="222222"/>
          <w:shd w:val="clear" w:color="auto" w:fill="FFFFFF"/>
          <w:lang w:val="es-CR"/>
        </w:rPr>
      </w:pPr>
    </w:p>
    <w:p w:rsidR="00873835" w:rsidRPr="00BD39C5" w:rsidRDefault="00873835" w:rsidP="00873835">
      <w:pPr>
        <w:pStyle w:val="ListParagraph"/>
        <w:widowControl w:val="0"/>
        <w:numPr>
          <w:ilvl w:val="0"/>
          <w:numId w:val="1"/>
        </w:numPr>
        <w:tabs>
          <w:tab w:val="left" w:pos="0"/>
        </w:tabs>
        <w:adjustRightInd w:val="0"/>
        <w:ind w:left="0" w:firstLine="0"/>
        <w:rPr>
          <w:rFonts w:cs="Arial"/>
          <w:color w:val="222222"/>
          <w:shd w:val="clear" w:color="auto" w:fill="FFFFFF"/>
          <w:lang w:val="es-CR"/>
        </w:rPr>
      </w:pPr>
      <w:r w:rsidRPr="00BD39C5">
        <w:rPr>
          <w:szCs w:val="20"/>
          <w:lang w:val="es-CR"/>
        </w:rPr>
        <w:t>El 12 de diciembre de 2013 la Sala Penal Nacional emitió sentencia contra José Antonio Esquivel Mora, condenándolo a 15 años de pena privativa de libertad como autor mediato en aparatos organizados de poder de la desaparición forzada de Santiago Antezana Cuet</w:t>
      </w:r>
      <w:r w:rsidR="00D05669">
        <w:rPr>
          <w:szCs w:val="20"/>
          <w:lang w:val="es-CR"/>
        </w:rPr>
        <w:t>o, en su calidad de Jefe de la Base M</w:t>
      </w:r>
      <w:r w:rsidRPr="00BD39C5">
        <w:rPr>
          <w:szCs w:val="20"/>
          <w:lang w:val="es-CR"/>
        </w:rPr>
        <w:t>ilitar de Acobamba, a cuatro años de pena de inhabilitación y al pago de la reparación civil de cien mil nuevos soles a favor de los herederos legales de la víctima y cincuenta mil nuevos soles a favor de Rosa Carcausto Paco</w:t>
      </w:r>
      <w:r w:rsidRPr="00BD39C5">
        <w:rPr>
          <w:rStyle w:val="FootnoteReference"/>
          <w:sz w:val="20"/>
          <w:szCs w:val="20"/>
          <w:lang w:val="es-CR"/>
        </w:rPr>
        <w:footnoteReference w:id="210"/>
      </w:r>
      <w:r w:rsidRPr="00BD39C5">
        <w:rPr>
          <w:szCs w:val="20"/>
          <w:lang w:val="es-CR"/>
        </w:rPr>
        <w:t xml:space="preserve">. Sin embargo, pese a haber estado presente en todas las audiencias del juicio oral, José Antonio Esquivel Mora no acudió a la lectura de sentencia, encontrándose prófugo de la </w:t>
      </w:r>
      <w:r w:rsidRPr="00BD39C5">
        <w:rPr>
          <w:szCs w:val="20"/>
          <w:lang w:val="es-CR"/>
        </w:rPr>
        <w:lastRenderedPageBreak/>
        <w:t>justicia desde entonces. Ante esta situación, el 13 de diciembre de 2013 la Sala emitió orden de captura en su contra</w:t>
      </w:r>
      <w:r w:rsidRPr="00BD39C5">
        <w:rPr>
          <w:rStyle w:val="FootnoteReference"/>
          <w:sz w:val="20"/>
          <w:szCs w:val="20"/>
          <w:lang w:val="es-CR"/>
        </w:rPr>
        <w:footnoteReference w:id="211"/>
      </w:r>
      <w:r w:rsidRPr="00BD39C5">
        <w:rPr>
          <w:szCs w:val="20"/>
          <w:lang w:val="es-CR"/>
        </w:rPr>
        <w:t>.</w:t>
      </w:r>
      <w:r w:rsidRPr="00BD39C5">
        <w:rPr>
          <w:b/>
          <w:sz w:val="16"/>
          <w:szCs w:val="20"/>
          <w:lang w:val="es-CR"/>
        </w:rPr>
        <w:t xml:space="preserve"> </w:t>
      </w:r>
      <w:r w:rsidRPr="00BD39C5">
        <w:rPr>
          <w:szCs w:val="20"/>
          <w:lang w:val="es-CR"/>
        </w:rPr>
        <w:t>El 26 de marzo de 2015, la Sala Penal Transitoria de la Corte Suprema de Justicia de la República rechazó un recurso de nulidad interpuesto contra la referida decisión de diciembre de 2013</w:t>
      </w:r>
      <w:r w:rsidRPr="00904554">
        <w:rPr>
          <w:rStyle w:val="FootnoteReference"/>
          <w:sz w:val="20"/>
          <w:szCs w:val="20"/>
          <w:lang w:val="es-CR"/>
        </w:rPr>
        <w:footnoteReference w:id="212"/>
      </w:r>
      <w:r w:rsidRPr="00904554">
        <w:rPr>
          <w:szCs w:val="20"/>
          <w:lang w:val="es-CR"/>
        </w:rPr>
        <w:t>. El</w:t>
      </w:r>
      <w:r w:rsidRPr="00BD39C5">
        <w:rPr>
          <w:szCs w:val="20"/>
          <w:lang w:val="es-CR"/>
        </w:rPr>
        <w:t xml:space="preserve"> 6 de agosto de 2015, la Sala Penal Nacional ordenó el cumplimiento de lo ejecutoriado y la inscripción de la sentencia en el registro nacional de internos y procesados</w:t>
      </w:r>
      <w:r w:rsidRPr="00BD39C5">
        <w:rPr>
          <w:rStyle w:val="FootnoteReference"/>
          <w:sz w:val="20"/>
          <w:szCs w:val="20"/>
          <w:lang w:val="es-CR"/>
        </w:rPr>
        <w:footnoteReference w:id="213"/>
      </w:r>
      <w:r w:rsidRPr="00BD39C5">
        <w:rPr>
          <w:szCs w:val="20"/>
          <w:lang w:val="es-CR"/>
        </w:rPr>
        <w:t xml:space="preserve">. </w:t>
      </w:r>
    </w:p>
    <w:p w:rsidR="00873835" w:rsidRPr="00BD39C5" w:rsidRDefault="00873835" w:rsidP="00873835">
      <w:pPr>
        <w:pStyle w:val="ListParagraph"/>
        <w:rPr>
          <w:b/>
          <w:sz w:val="16"/>
          <w:szCs w:val="16"/>
          <w:lang w:val="es-CR"/>
        </w:rPr>
      </w:pPr>
    </w:p>
    <w:p w:rsidR="00873835" w:rsidRPr="00606A36" w:rsidRDefault="00873835" w:rsidP="00606A36">
      <w:pPr>
        <w:pStyle w:val="ListParagraph"/>
        <w:widowControl w:val="0"/>
        <w:numPr>
          <w:ilvl w:val="0"/>
          <w:numId w:val="1"/>
        </w:numPr>
        <w:tabs>
          <w:tab w:val="left" w:pos="0"/>
        </w:tabs>
        <w:adjustRightInd w:val="0"/>
        <w:ind w:left="0" w:firstLine="0"/>
        <w:rPr>
          <w:rFonts w:cs="Arial"/>
          <w:color w:val="222222"/>
          <w:szCs w:val="20"/>
          <w:shd w:val="clear" w:color="auto" w:fill="FFFFFF"/>
          <w:lang w:val="es-CR"/>
        </w:rPr>
      </w:pPr>
      <w:r w:rsidRPr="00BD39C5">
        <w:rPr>
          <w:szCs w:val="20"/>
          <w:lang w:val="es-CR"/>
        </w:rPr>
        <w:t>M</w:t>
      </w:r>
      <w:r w:rsidRPr="00BD39C5">
        <w:rPr>
          <w:szCs w:val="20"/>
        </w:rPr>
        <w:t xml:space="preserve">ediante Resolución No. 6 de 29 de diciembre de 2015 la Sala Penal Nacional dispuso renovar las órdenes de ubicación y captura nacional e internacional contra </w:t>
      </w:r>
      <w:r w:rsidRPr="00BD39C5">
        <w:rPr>
          <w:szCs w:val="20"/>
          <w:lang w:val="es-CR"/>
        </w:rPr>
        <w:t>José Antonio Esquivel Mora</w:t>
      </w:r>
      <w:r w:rsidRPr="00BD39C5">
        <w:rPr>
          <w:rStyle w:val="FootnoteReference"/>
          <w:sz w:val="20"/>
          <w:szCs w:val="20"/>
          <w:lang w:val="es-CR"/>
        </w:rPr>
        <w:footnoteReference w:id="214"/>
      </w:r>
      <w:r w:rsidRPr="00BD39C5">
        <w:rPr>
          <w:szCs w:val="20"/>
          <w:lang w:val="es-CR"/>
        </w:rPr>
        <w:t>.</w:t>
      </w:r>
      <w:r w:rsidRPr="00BD39C5">
        <w:rPr>
          <w:szCs w:val="20"/>
        </w:rPr>
        <w:t xml:space="preserve"> </w:t>
      </w:r>
      <w:r w:rsidRPr="00BD39C5">
        <w:rPr>
          <w:szCs w:val="20"/>
          <w:lang w:val="es-CR"/>
        </w:rPr>
        <w:t>El 13 de enero de 2016 la Sala Penal Nacional expidió los oficios correspondientes, ordenando su inmediata ubicación y captura, los que fueron dirigidos a la División de Requisitorias de la Policía Judicial, Oficina de Requisitorias Distrital de Lima y la Dirección Ejecutiva de la Oficina Central Nacional INTERPOL-Lima</w:t>
      </w:r>
      <w:r w:rsidRPr="00BD39C5">
        <w:rPr>
          <w:rStyle w:val="FootnoteReference"/>
          <w:sz w:val="20"/>
          <w:szCs w:val="20"/>
          <w:lang w:val="es-CR"/>
        </w:rPr>
        <w:footnoteReference w:id="215"/>
      </w:r>
      <w:r w:rsidRPr="00BD39C5">
        <w:rPr>
          <w:szCs w:val="20"/>
          <w:lang w:val="es-CR"/>
        </w:rPr>
        <w:t>. El 2 de mayo de 2016 dicha Sala dispuso renovar dichas órdenes</w:t>
      </w:r>
      <w:r w:rsidRPr="00BD39C5">
        <w:rPr>
          <w:rStyle w:val="FootnoteReference"/>
          <w:sz w:val="20"/>
          <w:szCs w:val="20"/>
          <w:lang w:val="es-CR"/>
        </w:rPr>
        <w:footnoteReference w:id="216"/>
      </w:r>
      <w:r w:rsidRPr="00BD39C5">
        <w:rPr>
          <w:szCs w:val="20"/>
          <w:lang w:val="es-CR"/>
        </w:rPr>
        <w:t xml:space="preserve"> y los días 11 y 12 de mayo de 2016 fueron expedidos los oficios correspondientes</w:t>
      </w:r>
      <w:r w:rsidRPr="00BD39C5">
        <w:rPr>
          <w:rStyle w:val="FootnoteReference"/>
          <w:sz w:val="20"/>
          <w:szCs w:val="20"/>
          <w:lang w:val="es-CR"/>
        </w:rPr>
        <w:footnoteReference w:id="217"/>
      </w:r>
      <w:r w:rsidRPr="00BD39C5">
        <w:rPr>
          <w:szCs w:val="20"/>
          <w:lang w:val="es-CR"/>
        </w:rPr>
        <w:t>. Mediante Resolución No. 227 de 20 de junio de 2016 la Sala Penal Nacional declaró improcedente un escrito de la defensa de la señora Rosa Carcausto Paco, en el que se solicitaba el allanamiento de un apartamento, en que presuntamente se encontraba el sentenciado, ya que conforme a la Ley. No. 27379 no estaba facultada para realizar tal diligencia debido a que el estado de la causa era el de ejecución de sentencias, y no de investigaciones preliminares, sin perjuicio de hacerlo conocimiento de la División de Requisitorias de la Policía Nacional del Perú y la Oficina de Requisitorias Distrital de Lima</w:t>
      </w:r>
      <w:r w:rsidRPr="00BD39C5">
        <w:rPr>
          <w:rStyle w:val="FootnoteReference"/>
          <w:sz w:val="20"/>
          <w:szCs w:val="20"/>
          <w:lang w:val="es-CR"/>
        </w:rPr>
        <w:footnoteReference w:id="218"/>
      </w:r>
      <w:r w:rsidRPr="00BD39C5">
        <w:rPr>
          <w:szCs w:val="20"/>
          <w:lang w:val="es-CR"/>
        </w:rPr>
        <w:t xml:space="preserve">. </w:t>
      </w:r>
      <w:bookmarkStart w:id="140" w:name="_Toc521932434"/>
      <w:bookmarkStart w:id="141" w:name="_Toc521932508"/>
      <w:bookmarkStart w:id="142" w:name="_Toc522543503"/>
      <w:bookmarkStart w:id="143" w:name="_Toc523934916"/>
      <w:bookmarkStart w:id="144" w:name="_Toc525217920"/>
      <w:bookmarkStart w:id="145" w:name="_Toc525218261"/>
      <w:bookmarkStart w:id="146" w:name="_Toc525225510"/>
      <w:bookmarkStart w:id="147" w:name="_Toc399131153"/>
      <w:bookmarkStart w:id="148" w:name="_Toc399131797"/>
      <w:bookmarkStart w:id="149" w:name="_Toc525293044"/>
      <w:bookmarkStart w:id="150" w:name="_Toc525723184"/>
    </w:p>
    <w:p w:rsidR="00606A36" w:rsidRPr="00606A36" w:rsidRDefault="00606A36" w:rsidP="00606A36">
      <w:pPr>
        <w:pStyle w:val="ListParagraph"/>
        <w:widowControl w:val="0"/>
        <w:tabs>
          <w:tab w:val="left" w:pos="0"/>
        </w:tabs>
        <w:adjustRightInd w:val="0"/>
        <w:ind w:left="0"/>
        <w:rPr>
          <w:rFonts w:cs="Arial"/>
          <w:color w:val="222222"/>
          <w:szCs w:val="20"/>
          <w:shd w:val="clear" w:color="auto" w:fill="FFFFFF"/>
          <w:lang w:val="es-CR"/>
        </w:rPr>
      </w:pPr>
    </w:p>
    <w:p w:rsidR="00873835" w:rsidRPr="00BD39C5" w:rsidRDefault="00873835" w:rsidP="00873835">
      <w:pPr>
        <w:pStyle w:val="Heading1"/>
        <w:spacing w:before="0"/>
        <w:jc w:val="center"/>
        <w:rPr>
          <w:sz w:val="20"/>
          <w:szCs w:val="20"/>
        </w:rPr>
      </w:pPr>
      <w:bookmarkStart w:id="151" w:name="_Toc527993535"/>
      <w:r w:rsidRPr="00BD39C5">
        <w:rPr>
          <w:sz w:val="20"/>
          <w:szCs w:val="20"/>
        </w:rPr>
        <w:t>VIII</w:t>
      </w:r>
      <w:bookmarkEnd w:id="140"/>
      <w:bookmarkEnd w:id="141"/>
      <w:bookmarkEnd w:id="142"/>
      <w:bookmarkEnd w:id="143"/>
      <w:bookmarkEnd w:id="144"/>
      <w:bookmarkEnd w:id="145"/>
      <w:bookmarkEnd w:id="146"/>
      <w:bookmarkEnd w:id="147"/>
      <w:bookmarkEnd w:id="148"/>
      <w:bookmarkEnd w:id="149"/>
      <w:bookmarkEnd w:id="150"/>
      <w:bookmarkEnd w:id="151"/>
    </w:p>
    <w:p w:rsidR="00873835" w:rsidRPr="00BD39C5" w:rsidRDefault="00873835" w:rsidP="00873835">
      <w:pPr>
        <w:pStyle w:val="Heading1"/>
        <w:spacing w:before="0"/>
        <w:jc w:val="center"/>
        <w:rPr>
          <w:sz w:val="20"/>
          <w:szCs w:val="20"/>
        </w:rPr>
      </w:pPr>
      <w:bookmarkStart w:id="152" w:name="_Toc527993536"/>
      <w:r w:rsidRPr="00BD39C5">
        <w:rPr>
          <w:sz w:val="20"/>
          <w:szCs w:val="20"/>
        </w:rPr>
        <w:t>FONDO</w:t>
      </w:r>
      <w:bookmarkEnd w:id="152"/>
    </w:p>
    <w:p w:rsidR="00873835" w:rsidRPr="00BD39C5" w:rsidRDefault="00873835" w:rsidP="00873835">
      <w:pPr>
        <w:jc w:val="center"/>
        <w:rPr>
          <w:b/>
        </w:rPr>
      </w:pPr>
    </w:p>
    <w:p w:rsidR="00873835" w:rsidRPr="00D5436E" w:rsidRDefault="00873835" w:rsidP="00873835">
      <w:pPr>
        <w:pStyle w:val="ListParagraph"/>
        <w:widowControl w:val="0"/>
        <w:numPr>
          <w:ilvl w:val="0"/>
          <w:numId w:val="1"/>
        </w:numPr>
        <w:tabs>
          <w:tab w:val="left" w:pos="0"/>
        </w:tabs>
        <w:adjustRightInd w:val="0"/>
        <w:ind w:left="0" w:firstLine="0"/>
        <w:rPr>
          <w:szCs w:val="20"/>
          <w:lang w:val="es-AR"/>
        </w:rPr>
      </w:pPr>
      <w:r w:rsidRPr="00BD39C5">
        <w:rPr>
          <w:noProof/>
          <w:szCs w:val="20"/>
          <w:lang w:eastAsia="es-CR"/>
        </w:rPr>
        <w:t>El caso</w:t>
      </w:r>
      <w:r w:rsidRPr="00DA1AE6">
        <w:rPr>
          <w:noProof/>
          <w:szCs w:val="20"/>
          <w:lang w:eastAsia="es-CR"/>
        </w:rPr>
        <w:t xml:space="preserve"> se relaciona </w:t>
      </w:r>
      <w:r w:rsidRPr="001A6AC5">
        <w:rPr>
          <w:lang w:val="es-ES"/>
        </w:rPr>
        <w:t xml:space="preserve">con las </w:t>
      </w:r>
      <w:r>
        <w:rPr>
          <w:lang w:val="es-ES"/>
        </w:rPr>
        <w:t xml:space="preserve">alegadas </w:t>
      </w:r>
      <w:r w:rsidRPr="001A6AC5">
        <w:rPr>
          <w:lang w:val="es-ES"/>
        </w:rPr>
        <w:t>desapariciones forzadas de Wilfred</w:t>
      </w:r>
      <w:r w:rsidRPr="00033B8D">
        <w:rPr>
          <w:lang w:val="es-ES"/>
        </w:rPr>
        <w:t>o Terrones Silva (</w:t>
      </w:r>
      <w:r>
        <w:rPr>
          <w:lang w:val="es-ES"/>
        </w:rPr>
        <w:t>desde el 26 de agosto de 1992),</w:t>
      </w:r>
      <w:r w:rsidRPr="002B39F7">
        <w:rPr>
          <w:lang w:val="es-ES"/>
        </w:rPr>
        <w:t xml:space="preserve"> </w:t>
      </w:r>
      <w:r w:rsidRPr="00033B8D">
        <w:rPr>
          <w:lang w:val="es-ES"/>
        </w:rPr>
        <w:t>Teresa Díaz Aparicio (</w:t>
      </w:r>
      <w:r>
        <w:rPr>
          <w:lang w:val="es-ES"/>
        </w:rPr>
        <w:t xml:space="preserve">desde el 19 de agosto de 1992), </w:t>
      </w:r>
      <w:r w:rsidRPr="002C2F60">
        <w:rPr>
          <w:lang w:val="es-ES"/>
        </w:rPr>
        <w:t>Cory Clodolia Tenicela Tello (desde el 2 de octubre de 1992)</w:t>
      </w:r>
      <w:r>
        <w:rPr>
          <w:lang w:val="es-ES"/>
        </w:rPr>
        <w:t>,</w:t>
      </w:r>
      <w:r w:rsidRPr="002B39F7">
        <w:rPr>
          <w:lang w:val="es-ES"/>
        </w:rPr>
        <w:t xml:space="preserve"> </w:t>
      </w:r>
      <w:r w:rsidRPr="00033B8D">
        <w:rPr>
          <w:lang w:val="es-ES"/>
        </w:rPr>
        <w:t xml:space="preserve">Néstor Rojas Medina (desde </w:t>
      </w:r>
      <w:r w:rsidRPr="002C2F60">
        <w:rPr>
          <w:lang w:val="es-ES"/>
        </w:rPr>
        <w:t>enero de 1991)</w:t>
      </w:r>
      <w:r>
        <w:rPr>
          <w:lang w:val="es-ES"/>
        </w:rPr>
        <w:t xml:space="preserve">, y </w:t>
      </w:r>
      <w:r w:rsidRPr="00033B8D">
        <w:rPr>
          <w:lang w:val="es-ES"/>
        </w:rPr>
        <w:t>Santiago Antezana Cueto (desde el 7 de mayo de 1984)</w:t>
      </w:r>
      <w:r>
        <w:rPr>
          <w:lang w:val="es-ES"/>
        </w:rPr>
        <w:t>. A la fecha se desconoce su paradero</w:t>
      </w:r>
      <w:r w:rsidRPr="002C2F60">
        <w:rPr>
          <w:lang w:val="es-ES"/>
        </w:rPr>
        <w:t xml:space="preserve">. </w:t>
      </w:r>
      <w:r>
        <w:rPr>
          <w:lang w:val="es-ES"/>
        </w:rPr>
        <w:t>Los hechos ocurridos a las cinco presuntas víctimas tuvieron</w:t>
      </w:r>
      <w:r w:rsidRPr="002C2F60">
        <w:rPr>
          <w:lang w:val="es-ES"/>
        </w:rPr>
        <w:t xml:space="preserve"> lugar en el contexto de la práctica </w:t>
      </w:r>
      <w:r>
        <w:rPr>
          <w:lang w:val="es-ES"/>
        </w:rPr>
        <w:t>sistemática y generalizada de</w:t>
      </w:r>
      <w:r w:rsidRPr="002C2F60">
        <w:rPr>
          <w:lang w:val="es-ES"/>
        </w:rPr>
        <w:t xml:space="preserve"> desaparición forzada en el marco de la lucha antiterrorista por parte del Estado</w:t>
      </w:r>
      <w:r w:rsidRPr="009A6A52">
        <w:rPr>
          <w:lang w:val="es-ES"/>
        </w:rPr>
        <w:t xml:space="preserve">, con especial incidencia en dichos años. </w:t>
      </w:r>
      <w:r>
        <w:rPr>
          <w:lang w:val="es-ES"/>
        </w:rPr>
        <w:t xml:space="preserve">Según la Comisión, el </w:t>
      </w:r>
      <w:r w:rsidRPr="00830C61">
        <w:rPr>
          <w:rFonts w:eastAsiaTheme="minorHAnsi" w:cs="Arial"/>
          <w:color w:val="0F0F0F"/>
          <w:szCs w:val="20"/>
          <w:lang w:val="es-CR"/>
        </w:rPr>
        <w:t xml:space="preserve">Estado </w:t>
      </w:r>
      <w:r>
        <w:rPr>
          <w:rFonts w:eastAsiaTheme="minorHAnsi" w:cs="Arial"/>
          <w:color w:val="0F0F0F"/>
          <w:szCs w:val="20"/>
          <w:lang w:val="es-CR"/>
        </w:rPr>
        <w:t xml:space="preserve">sería también responsable </w:t>
      </w:r>
      <w:r w:rsidRPr="00830C61">
        <w:rPr>
          <w:rFonts w:eastAsiaTheme="minorHAnsi" w:cs="Arial"/>
          <w:color w:val="0F0F0F"/>
          <w:szCs w:val="20"/>
          <w:lang w:val="es-CR"/>
        </w:rPr>
        <w:t xml:space="preserve">por la </w:t>
      </w:r>
      <w:r>
        <w:rPr>
          <w:rFonts w:eastAsiaTheme="minorHAnsi" w:cs="Arial"/>
          <w:color w:val="0F0F0F"/>
          <w:szCs w:val="20"/>
          <w:lang w:val="es-CR"/>
        </w:rPr>
        <w:t xml:space="preserve">tortura sufrida por </w:t>
      </w:r>
      <w:r w:rsidRPr="0072478D">
        <w:rPr>
          <w:rFonts w:eastAsiaTheme="minorHAnsi" w:cs="Arial"/>
          <w:color w:val="0F0F0F"/>
          <w:szCs w:val="20"/>
        </w:rPr>
        <w:t>Santiago Antezana Cueto</w:t>
      </w:r>
      <w:r>
        <w:rPr>
          <w:rFonts w:eastAsiaTheme="minorHAnsi" w:cs="Arial"/>
          <w:color w:val="0F0F0F"/>
          <w:szCs w:val="20"/>
        </w:rPr>
        <w:t xml:space="preserve"> en la Base Militar de Acobamba</w:t>
      </w:r>
      <w:r>
        <w:rPr>
          <w:szCs w:val="20"/>
        </w:rPr>
        <w:t xml:space="preserve">. Asimismo, la Comisión adujo que desde las desapariciones ocurridas entre los años 1984 y 1992 han transcurrido </w:t>
      </w:r>
      <w:r>
        <w:rPr>
          <w:szCs w:val="20"/>
        </w:rPr>
        <w:lastRenderedPageBreak/>
        <w:t>largos años en todos los casos, sin que el Estado haya concluido las investigaciones para establecer el paradero de las presuntas víctimas e identificar, procesar y, en su caso, sancionar a los responsables. No obstante, cabe hacer notar que el 12 de diciembre de 2013 se dictó una sentencia definitiva en el caso de Santiago Antezana Cueto. Además, alegó que el Estado violó el derecho a la integridad personal, en perjuicio de los familiares de las personas nombradas.</w:t>
      </w:r>
    </w:p>
    <w:p w:rsidR="00873835" w:rsidRPr="00D5436E" w:rsidRDefault="00873835" w:rsidP="00873835">
      <w:pPr>
        <w:pStyle w:val="ListParagraph"/>
        <w:autoSpaceDE w:val="0"/>
        <w:autoSpaceDN w:val="0"/>
        <w:adjustRightInd w:val="0"/>
        <w:spacing w:line="20" w:lineRule="atLeast"/>
        <w:ind w:left="0" w:right="-138"/>
        <w:rPr>
          <w:szCs w:val="20"/>
          <w:lang w:val="es-AR"/>
        </w:rPr>
      </w:pPr>
    </w:p>
    <w:p w:rsidR="00873835" w:rsidRDefault="00873835" w:rsidP="00873835">
      <w:pPr>
        <w:pStyle w:val="ListParagraph"/>
        <w:widowControl w:val="0"/>
        <w:numPr>
          <w:ilvl w:val="0"/>
          <w:numId w:val="1"/>
        </w:numPr>
        <w:tabs>
          <w:tab w:val="left" w:pos="0"/>
        </w:tabs>
        <w:adjustRightInd w:val="0"/>
        <w:ind w:left="0" w:firstLine="0"/>
        <w:rPr>
          <w:szCs w:val="20"/>
          <w:lang w:val="es-AR"/>
        </w:rPr>
      </w:pPr>
      <w:r w:rsidRPr="00FD6009">
        <w:rPr>
          <w:szCs w:val="20"/>
        </w:rPr>
        <w:t>Para resolver la controversia planteada en primer término, la Corte determinará si lo sucedido a las</w:t>
      </w:r>
      <w:r>
        <w:rPr>
          <w:szCs w:val="20"/>
        </w:rPr>
        <w:t xml:space="preserve"> cinco presuntas víctimas constituye una desaparición forzada de personas y, de ser el caso, se pronunciará por la consiguiente responsabilidad internacional del Estado. Para ello</w:t>
      </w:r>
      <w:r>
        <w:rPr>
          <w:szCs w:val="20"/>
          <w:lang w:val="es-AR"/>
        </w:rPr>
        <w:t xml:space="preserve"> </w:t>
      </w:r>
      <w:r>
        <w:rPr>
          <w:szCs w:val="20"/>
        </w:rPr>
        <w:t xml:space="preserve">hará referencia </w:t>
      </w:r>
      <w:r>
        <w:rPr>
          <w:szCs w:val="20"/>
          <w:lang w:val="es-AR"/>
        </w:rPr>
        <w:t>a los estándares</w:t>
      </w:r>
      <w:r w:rsidRPr="00375CFA">
        <w:rPr>
          <w:szCs w:val="20"/>
          <w:lang w:val="es-AR"/>
        </w:rPr>
        <w:t xml:space="preserve"> general</w:t>
      </w:r>
      <w:r>
        <w:rPr>
          <w:szCs w:val="20"/>
          <w:lang w:val="es-AR"/>
        </w:rPr>
        <w:t>es</w:t>
      </w:r>
      <w:r w:rsidRPr="00375CFA">
        <w:rPr>
          <w:szCs w:val="20"/>
          <w:lang w:val="es-AR"/>
        </w:rPr>
        <w:t xml:space="preserve"> desde </w:t>
      </w:r>
      <w:r>
        <w:rPr>
          <w:szCs w:val="20"/>
          <w:lang w:val="es-AR"/>
        </w:rPr>
        <w:t>los</w:t>
      </w:r>
      <w:r w:rsidRPr="00375CFA">
        <w:rPr>
          <w:szCs w:val="20"/>
          <w:lang w:val="es-AR"/>
        </w:rPr>
        <w:t xml:space="preserve"> cual</w:t>
      </w:r>
      <w:r>
        <w:rPr>
          <w:szCs w:val="20"/>
          <w:lang w:val="es-AR"/>
        </w:rPr>
        <w:t>es</w:t>
      </w:r>
      <w:r w:rsidRPr="00375CFA">
        <w:rPr>
          <w:szCs w:val="20"/>
          <w:lang w:val="es-AR"/>
        </w:rPr>
        <w:t xml:space="preserve"> realizará </w:t>
      </w:r>
      <w:r>
        <w:rPr>
          <w:szCs w:val="20"/>
          <w:lang w:val="es-AR"/>
        </w:rPr>
        <w:t xml:space="preserve">el análisis de la alegada </w:t>
      </w:r>
      <w:r>
        <w:rPr>
          <w:szCs w:val="20"/>
        </w:rPr>
        <w:t xml:space="preserve">desaparición forzada y, posteriormente, examinará la alegada desaparición forzada de </w:t>
      </w:r>
      <w:r w:rsidRPr="00375CFA">
        <w:rPr>
          <w:szCs w:val="20"/>
          <w:lang w:val="es-AR"/>
        </w:rPr>
        <w:t>Wilfredo Terrones Silva, Teresa Díaz Aparicio, Cory Clodolia Tenicela Tello</w:t>
      </w:r>
      <w:r>
        <w:rPr>
          <w:szCs w:val="20"/>
          <w:lang w:val="es-AR"/>
        </w:rPr>
        <w:t>,</w:t>
      </w:r>
      <w:r w:rsidRPr="0052100E">
        <w:rPr>
          <w:szCs w:val="20"/>
          <w:lang w:val="es-AR"/>
        </w:rPr>
        <w:t xml:space="preserve"> </w:t>
      </w:r>
      <w:r w:rsidRPr="00375CFA">
        <w:rPr>
          <w:szCs w:val="20"/>
          <w:lang w:val="es-AR"/>
        </w:rPr>
        <w:t>Néstor Rojas Medina</w:t>
      </w:r>
      <w:r>
        <w:rPr>
          <w:szCs w:val="20"/>
          <w:lang w:val="es-AR"/>
        </w:rPr>
        <w:t xml:space="preserve"> y</w:t>
      </w:r>
      <w:r w:rsidRPr="00526AAB">
        <w:rPr>
          <w:szCs w:val="20"/>
          <w:lang w:val="es-AR"/>
        </w:rPr>
        <w:t xml:space="preserve"> </w:t>
      </w:r>
      <w:r w:rsidRPr="00375CFA">
        <w:rPr>
          <w:szCs w:val="20"/>
          <w:lang w:val="es-AR"/>
        </w:rPr>
        <w:t>Santiago Antezana Cueto</w:t>
      </w:r>
      <w:r>
        <w:rPr>
          <w:szCs w:val="20"/>
          <w:lang w:val="es-AR"/>
        </w:rPr>
        <w:t>.</w:t>
      </w:r>
      <w:r w:rsidRPr="00231999">
        <w:rPr>
          <w:szCs w:val="20"/>
        </w:rPr>
        <w:t xml:space="preserve"> </w:t>
      </w:r>
      <w:r>
        <w:rPr>
          <w:szCs w:val="20"/>
        </w:rPr>
        <w:t xml:space="preserve">Seguidamente, la Corte analizará </w:t>
      </w:r>
      <w:r>
        <w:rPr>
          <w:szCs w:val="20"/>
          <w:lang w:val="es-AR"/>
        </w:rPr>
        <w:t>las alegadas violaciones a las garantías judiciales y protección judicial en el marco de las investigaciones o procesos, según el caso, iniciadas a raíz de los hechos ocurridos a las cinco presuntas víctimas, así como las alegadas violaciones del artículo I.b</w:t>
      </w:r>
      <w:r w:rsidR="00005206">
        <w:rPr>
          <w:szCs w:val="20"/>
          <w:lang w:val="es-AR"/>
        </w:rPr>
        <w:t>)</w:t>
      </w:r>
      <w:r>
        <w:rPr>
          <w:szCs w:val="20"/>
          <w:lang w:val="es-AR"/>
        </w:rPr>
        <w:t xml:space="preserve"> de la CIDFP, en perjuicio de dichas personas y los artículos 1, 6, y 8 de la CIPST, en perjuicio de Sant</w:t>
      </w:r>
      <w:r w:rsidR="0014244F">
        <w:rPr>
          <w:szCs w:val="20"/>
          <w:lang w:val="es-AR"/>
        </w:rPr>
        <w:t>iago Antezana Cueto, así como a la alegada violación al</w:t>
      </w:r>
      <w:r>
        <w:rPr>
          <w:szCs w:val="20"/>
          <w:lang w:val="es-AR"/>
        </w:rPr>
        <w:t xml:space="preserve"> derecho a la verdad y el alegado incumplimiento de las obligaciones al deber de adoptar disposiciones de derecho interno. Por último, se referirá a las alegadas afectaciones a la integridad personal de los familiares de las presuntas víctimas. </w:t>
      </w:r>
    </w:p>
    <w:p w:rsidR="00873835" w:rsidRDefault="00873835" w:rsidP="00873835">
      <w:pPr>
        <w:pStyle w:val="ListParagraph"/>
        <w:autoSpaceDE w:val="0"/>
        <w:autoSpaceDN w:val="0"/>
        <w:adjustRightInd w:val="0"/>
        <w:spacing w:line="20" w:lineRule="atLeast"/>
        <w:ind w:left="0" w:right="-138"/>
        <w:rPr>
          <w:szCs w:val="20"/>
          <w:lang w:val="es-AR"/>
        </w:rPr>
      </w:pPr>
    </w:p>
    <w:p w:rsidR="00B5178B" w:rsidRPr="00B5178B" w:rsidRDefault="00873835" w:rsidP="00B5178B">
      <w:pPr>
        <w:pStyle w:val="ListParagraph"/>
        <w:widowControl w:val="0"/>
        <w:numPr>
          <w:ilvl w:val="0"/>
          <w:numId w:val="1"/>
        </w:numPr>
        <w:tabs>
          <w:tab w:val="left" w:pos="0"/>
        </w:tabs>
        <w:adjustRightInd w:val="0"/>
        <w:spacing w:after="200" w:line="276" w:lineRule="auto"/>
        <w:ind w:left="0" w:firstLine="0"/>
        <w:jc w:val="left"/>
        <w:rPr>
          <w:lang w:val="es-ES_tradnl"/>
        </w:rPr>
      </w:pPr>
      <w:r w:rsidRPr="00B5178B">
        <w:rPr>
          <w:lang w:val="es-ES_tradnl"/>
        </w:rPr>
        <w:t xml:space="preserve">Además cabe señalar que del análisis de los hechos del presente caso se desprende que </w:t>
      </w:r>
      <w:r w:rsidRPr="00B5178B">
        <w:rPr>
          <w:rFonts w:eastAsia="Batang" w:cs="Times"/>
          <w:spacing w:val="-2"/>
          <w:szCs w:val="20"/>
          <w:lang w:val="es-ES"/>
        </w:rPr>
        <w:t>Guillermina Frida Landázuri Gómez, Graciela Aparicio Pastor, Federico Díaz Aparicio, Marcelina Medina Negrón,</w:t>
      </w:r>
      <w:r w:rsidRPr="00B5178B">
        <w:rPr>
          <w:rFonts w:eastAsia="Batang" w:cs="Times"/>
          <w:spacing w:val="-2"/>
          <w:sz w:val="16"/>
          <w:szCs w:val="16"/>
          <w:lang w:val="es-ES"/>
        </w:rPr>
        <w:t xml:space="preserve"> </w:t>
      </w:r>
      <w:r w:rsidRPr="00B5178B">
        <w:rPr>
          <w:szCs w:val="20"/>
        </w:rPr>
        <w:t xml:space="preserve">Tania Collantes Medina, </w:t>
      </w:r>
      <w:r w:rsidRPr="00B5178B">
        <w:rPr>
          <w:rFonts w:eastAsia="Batang" w:cs="Times"/>
          <w:spacing w:val="-2"/>
          <w:szCs w:val="20"/>
          <w:lang w:val="es-ES"/>
        </w:rPr>
        <w:t xml:space="preserve">Amadea </w:t>
      </w:r>
      <w:r w:rsidR="005E7EF6" w:rsidRPr="00B5178B">
        <w:rPr>
          <w:rFonts w:eastAsia="Batang" w:cs="Times"/>
          <w:spacing w:val="-2"/>
          <w:szCs w:val="20"/>
          <w:lang w:val="es-ES"/>
        </w:rPr>
        <w:t xml:space="preserve">Felipa </w:t>
      </w:r>
      <w:r w:rsidRPr="00B5178B">
        <w:rPr>
          <w:rFonts w:eastAsia="Batang" w:cs="Times"/>
          <w:spacing w:val="-2"/>
          <w:szCs w:val="20"/>
          <w:lang w:val="es-ES"/>
        </w:rPr>
        <w:t xml:space="preserve">Tello de Tenicela, Rosa Carcausto Paco, Ermilio Antezana Cueto, y Ofelia Antezana Torre, </w:t>
      </w:r>
      <w:r w:rsidRPr="00B5178B">
        <w:rPr>
          <w:lang w:val="es-ES_tradnl"/>
        </w:rPr>
        <w:t xml:space="preserve">fueron quienes iniciaron, acompañaron o intervinieron en el desarrollo de las </w:t>
      </w:r>
      <w:r w:rsidRPr="00B5178B">
        <w:rPr>
          <w:szCs w:val="20"/>
          <w:lang w:val="es-AR"/>
        </w:rPr>
        <w:t>gestiones</w:t>
      </w:r>
      <w:r w:rsidRPr="00B5178B">
        <w:rPr>
          <w:lang w:val="es-ES_tradnl"/>
        </w:rPr>
        <w:t xml:space="preserve"> para averiguar lo que había sucedido a sus familiares, razón por la cual este Tribunal analizará si el Estado les proporcionó un recurso efectivo.</w:t>
      </w:r>
      <w:r w:rsidR="00B5178B" w:rsidRPr="00B5178B">
        <w:rPr>
          <w:lang w:val="es-ES_tradnl"/>
        </w:rPr>
        <w:br w:type="page"/>
      </w:r>
    </w:p>
    <w:p w:rsidR="00873835" w:rsidRPr="00B5178B" w:rsidRDefault="00873835" w:rsidP="00B5178B">
      <w:pPr>
        <w:pStyle w:val="ListParagraph"/>
        <w:widowControl w:val="0"/>
        <w:tabs>
          <w:tab w:val="left" w:pos="0"/>
        </w:tabs>
        <w:adjustRightInd w:val="0"/>
        <w:spacing w:after="200" w:line="276" w:lineRule="auto"/>
        <w:ind w:left="0"/>
        <w:jc w:val="left"/>
        <w:rPr>
          <w:szCs w:val="20"/>
          <w:lang w:val="es-AR"/>
        </w:rPr>
      </w:pPr>
    </w:p>
    <w:p w:rsidR="00873835" w:rsidRPr="00FC66A0" w:rsidRDefault="00873835" w:rsidP="00873835">
      <w:pPr>
        <w:pStyle w:val="Heading1"/>
        <w:spacing w:before="0"/>
        <w:jc w:val="center"/>
        <w:rPr>
          <w:sz w:val="20"/>
          <w:szCs w:val="20"/>
        </w:rPr>
      </w:pPr>
      <w:bookmarkStart w:id="153" w:name="_Toc521932510"/>
      <w:bookmarkStart w:id="154" w:name="_Toc522543509"/>
      <w:bookmarkStart w:id="155" w:name="_Toc523934918"/>
      <w:bookmarkStart w:id="156" w:name="_Toc525217922"/>
      <w:bookmarkStart w:id="157" w:name="_Toc525218263"/>
      <w:bookmarkStart w:id="158" w:name="_Toc525225512"/>
      <w:bookmarkStart w:id="159" w:name="_Toc399131799"/>
      <w:bookmarkStart w:id="160" w:name="_Toc525293046"/>
      <w:bookmarkStart w:id="161" w:name="_Toc525723186"/>
      <w:bookmarkStart w:id="162" w:name="_Toc527993537"/>
      <w:r>
        <w:rPr>
          <w:sz w:val="20"/>
          <w:szCs w:val="20"/>
        </w:rPr>
        <w:t>VIII.1</w:t>
      </w:r>
      <w:r w:rsidRPr="00FC66A0">
        <w:rPr>
          <w:sz w:val="20"/>
          <w:szCs w:val="20"/>
        </w:rPr>
        <w:t>.</w:t>
      </w:r>
      <w:bookmarkEnd w:id="153"/>
      <w:bookmarkEnd w:id="154"/>
      <w:bookmarkEnd w:id="155"/>
      <w:bookmarkEnd w:id="156"/>
      <w:bookmarkEnd w:id="157"/>
      <w:bookmarkEnd w:id="158"/>
      <w:bookmarkEnd w:id="159"/>
      <w:bookmarkEnd w:id="160"/>
      <w:bookmarkEnd w:id="161"/>
      <w:bookmarkEnd w:id="162"/>
    </w:p>
    <w:p w:rsidR="00873835" w:rsidRPr="00257982" w:rsidRDefault="00873835" w:rsidP="00873835">
      <w:pPr>
        <w:pStyle w:val="Heading1"/>
        <w:spacing w:before="0"/>
        <w:jc w:val="center"/>
        <w:rPr>
          <w:sz w:val="20"/>
          <w:szCs w:val="20"/>
        </w:rPr>
      </w:pPr>
      <w:bookmarkStart w:id="163" w:name="_Toc527993538"/>
      <w:r w:rsidRPr="00257982">
        <w:rPr>
          <w:sz w:val="20"/>
          <w:szCs w:val="20"/>
        </w:rPr>
        <w:t>DESAPARICIÓN FORZADA</w:t>
      </w:r>
      <w:bookmarkEnd w:id="163"/>
      <w:r w:rsidRPr="00257982">
        <w:rPr>
          <w:sz w:val="20"/>
          <w:szCs w:val="20"/>
        </w:rPr>
        <w:t xml:space="preserve">  </w:t>
      </w:r>
    </w:p>
    <w:p w:rsidR="00873835" w:rsidRDefault="00873835" w:rsidP="00873835">
      <w:pPr>
        <w:jc w:val="center"/>
        <w:rPr>
          <w:b/>
          <w:szCs w:val="20"/>
          <w:lang w:val="es-AR"/>
        </w:rPr>
      </w:pPr>
      <w:r w:rsidRPr="00BB5FD9">
        <w:rPr>
          <w:b/>
          <w:szCs w:val="20"/>
          <w:lang w:val="es-AR"/>
        </w:rPr>
        <w:t xml:space="preserve">(Artículos </w:t>
      </w:r>
      <w:r w:rsidRPr="00BB5FD9">
        <w:rPr>
          <w:b/>
          <w:caps/>
          <w:szCs w:val="20"/>
          <w:lang w:val="es-CR"/>
        </w:rPr>
        <w:t>3</w:t>
      </w:r>
      <w:r w:rsidRPr="00BB5FD9">
        <w:rPr>
          <w:rStyle w:val="FootnoteReference"/>
          <w:b/>
          <w:caps/>
          <w:sz w:val="20"/>
          <w:szCs w:val="20"/>
        </w:rPr>
        <w:footnoteReference w:id="219"/>
      </w:r>
      <w:r w:rsidRPr="00BB5FD9">
        <w:rPr>
          <w:b/>
          <w:szCs w:val="20"/>
          <w:lang w:val="es-AR"/>
        </w:rPr>
        <w:t xml:space="preserve">, </w:t>
      </w:r>
      <w:r w:rsidRPr="00BB5FD9">
        <w:rPr>
          <w:b/>
          <w:caps/>
          <w:szCs w:val="20"/>
          <w:lang w:val="es-CR"/>
        </w:rPr>
        <w:t>4</w:t>
      </w:r>
      <w:r w:rsidRPr="00BB5FD9">
        <w:rPr>
          <w:rStyle w:val="FootnoteReference"/>
          <w:b/>
          <w:caps/>
          <w:sz w:val="20"/>
          <w:szCs w:val="20"/>
        </w:rPr>
        <w:footnoteReference w:id="220"/>
      </w:r>
      <w:r w:rsidRPr="00BB5FD9">
        <w:rPr>
          <w:b/>
          <w:szCs w:val="20"/>
          <w:lang w:val="es-AR"/>
        </w:rPr>
        <w:t xml:space="preserve">, </w:t>
      </w:r>
      <w:r w:rsidRPr="00BB5FD9">
        <w:rPr>
          <w:b/>
          <w:caps/>
          <w:szCs w:val="20"/>
          <w:lang w:val="es-CR"/>
        </w:rPr>
        <w:t>5</w:t>
      </w:r>
      <w:r w:rsidRPr="00BB5FD9">
        <w:rPr>
          <w:rStyle w:val="FootnoteReference"/>
          <w:b/>
          <w:caps/>
          <w:sz w:val="20"/>
          <w:szCs w:val="20"/>
        </w:rPr>
        <w:footnoteReference w:id="221"/>
      </w:r>
      <w:r w:rsidRPr="00BB5FD9">
        <w:rPr>
          <w:b/>
          <w:caps/>
          <w:szCs w:val="20"/>
          <w:lang w:val="es-CR"/>
        </w:rPr>
        <w:t xml:space="preserve"> </w:t>
      </w:r>
      <w:r w:rsidRPr="00BB5FD9">
        <w:rPr>
          <w:b/>
          <w:szCs w:val="20"/>
          <w:lang w:val="es-AR"/>
        </w:rPr>
        <w:t xml:space="preserve">y </w:t>
      </w:r>
      <w:r w:rsidRPr="00BB5FD9">
        <w:rPr>
          <w:b/>
          <w:caps/>
          <w:szCs w:val="20"/>
          <w:lang w:val="es-CR"/>
        </w:rPr>
        <w:t>7</w:t>
      </w:r>
      <w:r w:rsidRPr="00BB5FD9">
        <w:rPr>
          <w:rStyle w:val="FootnoteReference"/>
          <w:b/>
          <w:caps/>
          <w:sz w:val="20"/>
          <w:szCs w:val="20"/>
        </w:rPr>
        <w:footnoteReference w:id="222"/>
      </w:r>
      <w:r w:rsidRPr="00BB5FD9">
        <w:rPr>
          <w:b/>
          <w:caps/>
          <w:szCs w:val="20"/>
          <w:lang w:val="es-CR"/>
        </w:rPr>
        <w:t xml:space="preserve"> </w:t>
      </w:r>
      <w:r w:rsidRPr="00BB5FD9">
        <w:rPr>
          <w:b/>
          <w:szCs w:val="20"/>
          <w:lang w:val="es-AR"/>
        </w:rPr>
        <w:t>de la Convención Americana</w:t>
      </w:r>
    </w:p>
    <w:p w:rsidR="00873835" w:rsidRDefault="00873835" w:rsidP="00873835">
      <w:pPr>
        <w:jc w:val="center"/>
        <w:rPr>
          <w:b/>
          <w:szCs w:val="20"/>
          <w:lang w:val="es-AR"/>
        </w:rPr>
      </w:pPr>
      <w:r>
        <w:rPr>
          <w:b/>
          <w:szCs w:val="20"/>
          <w:lang w:val="es-AR"/>
        </w:rPr>
        <w:t xml:space="preserve"> sobre Derechos Humanos</w:t>
      </w:r>
      <w:r w:rsidRPr="00BB5FD9">
        <w:rPr>
          <w:b/>
          <w:szCs w:val="20"/>
          <w:lang w:val="es-AR"/>
        </w:rPr>
        <w:t xml:space="preserve">, en relación con su artículo </w:t>
      </w:r>
      <w:r w:rsidRPr="00BB5FD9">
        <w:rPr>
          <w:b/>
          <w:szCs w:val="20"/>
          <w:lang w:val="es-CR"/>
        </w:rPr>
        <w:t>1.1</w:t>
      </w:r>
      <w:r w:rsidRPr="00BB5FD9">
        <w:rPr>
          <w:rStyle w:val="FootnoteReference"/>
          <w:b/>
          <w:caps/>
          <w:sz w:val="20"/>
          <w:szCs w:val="20"/>
        </w:rPr>
        <w:footnoteReference w:id="223"/>
      </w:r>
      <w:r w:rsidRPr="00BB5FD9">
        <w:rPr>
          <w:b/>
          <w:szCs w:val="20"/>
          <w:lang w:val="es-CR"/>
        </w:rPr>
        <w:t>)</w:t>
      </w:r>
      <w:r w:rsidRPr="00BB5FD9">
        <w:rPr>
          <w:b/>
          <w:szCs w:val="20"/>
          <w:lang w:val="es-AR"/>
        </w:rPr>
        <w:t xml:space="preserve"> </w:t>
      </w:r>
    </w:p>
    <w:p w:rsidR="00873835" w:rsidRDefault="00873835" w:rsidP="00873835">
      <w:pPr>
        <w:jc w:val="center"/>
        <w:rPr>
          <w:b/>
          <w:szCs w:val="20"/>
          <w:lang w:val="es-AR"/>
        </w:rPr>
      </w:pPr>
      <w:r>
        <w:rPr>
          <w:b/>
          <w:szCs w:val="20"/>
          <w:lang w:val="es-AR"/>
        </w:rPr>
        <w:t>y</w:t>
      </w:r>
      <w:r w:rsidRPr="00BB5FD9">
        <w:rPr>
          <w:b/>
          <w:szCs w:val="20"/>
          <w:lang w:val="es-AR"/>
        </w:rPr>
        <w:t xml:space="preserve"> obligación prevista en el artículo I.a</w:t>
      </w:r>
      <w:r>
        <w:rPr>
          <w:b/>
          <w:szCs w:val="20"/>
          <w:lang w:val="es-AR"/>
        </w:rPr>
        <w:t>)</w:t>
      </w:r>
      <w:r w:rsidRPr="00BB5FD9">
        <w:rPr>
          <w:rStyle w:val="FootnoteReference"/>
          <w:sz w:val="20"/>
          <w:szCs w:val="20"/>
          <w:lang w:val="es-AR"/>
        </w:rPr>
        <w:footnoteReference w:id="224"/>
      </w:r>
      <w:r w:rsidRPr="008B1F8A">
        <w:rPr>
          <w:b/>
          <w:szCs w:val="20"/>
          <w:lang w:val="es-AR"/>
        </w:rPr>
        <w:t xml:space="preserve"> </w:t>
      </w:r>
    </w:p>
    <w:p w:rsidR="00873835" w:rsidRPr="00BB5FD9" w:rsidRDefault="00873835" w:rsidP="00873835">
      <w:pPr>
        <w:jc w:val="center"/>
        <w:rPr>
          <w:b/>
          <w:szCs w:val="20"/>
          <w:lang w:val="es-AR"/>
        </w:rPr>
      </w:pPr>
      <w:r w:rsidRPr="00BB5FD9">
        <w:rPr>
          <w:b/>
          <w:szCs w:val="20"/>
          <w:lang w:val="es-AR"/>
        </w:rPr>
        <w:t>de la Convención Interamericana sobre Desaparición Forzada de Personas</w:t>
      </w:r>
    </w:p>
    <w:p w:rsidR="00873835" w:rsidRDefault="00873835" w:rsidP="00873835">
      <w:pPr>
        <w:jc w:val="center"/>
        <w:rPr>
          <w:b/>
          <w:szCs w:val="20"/>
          <w:lang w:val="es-AR"/>
        </w:rPr>
      </w:pPr>
    </w:p>
    <w:p w:rsidR="00873835" w:rsidRPr="00E1677F" w:rsidRDefault="00873835" w:rsidP="00873835">
      <w:pPr>
        <w:pStyle w:val="Heading2"/>
        <w:numPr>
          <w:ilvl w:val="0"/>
          <w:numId w:val="38"/>
        </w:numPr>
        <w:spacing w:before="0"/>
        <w:rPr>
          <w:b w:val="0"/>
          <w:lang w:val="es-CR"/>
        </w:rPr>
      </w:pPr>
      <w:bookmarkStart w:id="164" w:name="_Toc527993539"/>
      <w:r w:rsidRPr="00E1677F">
        <w:rPr>
          <w:lang w:val="es-CR"/>
        </w:rPr>
        <w:t>Argumentos de las partes y de la Comisión</w:t>
      </w:r>
      <w:bookmarkEnd w:id="164"/>
      <w:r w:rsidRPr="00E1677F">
        <w:rPr>
          <w:lang w:val="es-CR"/>
        </w:rPr>
        <w:t xml:space="preserve"> </w:t>
      </w:r>
    </w:p>
    <w:p w:rsidR="00873835" w:rsidRDefault="00873835" w:rsidP="00873835">
      <w:pPr>
        <w:pStyle w:val="ListParagraph"/>
        <w:widowControl w:val="0"/>
        <w:tabs>
          <w:tab w:val="left" w:pos="0"/>
        </w:tabs>
        <w:adjustRightInd w:val="0"/>
        <w:ind w:left="0"/>
        <w:rPr>
          <w:szCs w:val="20"/>
          <w:lang w:val="es-AR"/>
        </w:rPr>
      </w:pPr>
    </w:p>
    <w:p w:rsidR="00873835" w:rsidRPr="0014244F" w:rsidRDefault="00873835" w:rsidP="00873835">
      <w:pPr>
        <w:pStyle w:val="ListParagraph"/>
        <w:widowControl w:val="0"/>
        <w:numPr>
          <w:ilvl w:val="0"/>
          <w:numId w:val="1"/>
        </w:numPr>
        <w:tabs>
          <w:tab w:val="left" w:pos="0"/>
        </w:tabs>
        <w:adjustRightInd w:val="0"/>
        <w:ind w:left="0" w:firstLine="0"/>
        <w:rPr>
          <w:szCs w:val="20"/>
          <w:lang w:val="es-AR"/>
        </w:rPr>
      </w:pPr>
      <w:r w:rsidRPr="00FD6009">
        <w:rPr>
          <w:szCs w:val="20"/>
          <w:lang w:val="es-AR"/>
        </w:rPr>
        <w:t>La</w:t>
      </w:r>
      <w:r w:rsidRPr="00375CFA">
        <w:rPr>
          <w:szCs w:val="20"/>
          <w:lang w:val="es-AR"/>
        </w:rPr>
        <w:t xml:space="preserve"> </w:t>
      </w:r>
      <w:r w:rsidRPr="00375CFA">
        <w:rPr>
          <w:b/>
          <w:szCs w:val="20"/>
          <w:lang w:val="es-AR"/>
        </w:rPr>
        <w:t>Comisión</w:t>
      </w:r>
      <w:r>
        <w:rPr>
          <w:b/>
          <w:szCs w:val="20"/>
          <w:lang w:val="es-AR"/>
        </w:rPr>
        <w:t xml:space="preserve"> </w:t>
      </w:r>
      <w:r w:rsidRPr="00335C69">
        <w:rPr>
          <w:szCs w:val="20"/>
          <w:lang w:val="es-AR"/>
        </w:rPr>
        <w:t xml:space="preserve">alegó </w:t>
      </w:r>
      <w:r w:rsidRPr="00375CFA">
        <w:rPr>
          <w:szCs w:val="20"/>
          <w:lang w:val="es-AR"/>
        </w:rPr>
        <w:t xml:space="preserve">que Wilfredo Terrones Silva, Teresa Díaz Aparicio, Santiago Antezana Cueto, Néstor Rojas Medina y Cory Clodolia Tenicela Tello desaparecieron en diferentes </w:t>
      </w:r>
      <w:r w:rsidRPr="00481B99">
        <w:rPr>
          <w:lang w:val="es-ES_tradnl"/>
        </w:rPr>
        <w:t>momentos</w:t>
      </w:r>
      <w:r w:rsidRPr="00375CFA">
        <w:rPr>
          <w:szCs w:val="20"/>
          <w:lang w:val="es-AR"/>
        </w:rPr>
        <w:t xml:space="preserve"> entre 1984 y 1992 en el contexto del conflicto armado en</w:t>
      </w:r>
      <w:r>
        <w:rPr>
          <w:szCs w:val="20"/>
          <w:lang w:val="es-AR"/>
        </w:rPr>
        <w:t xml:space="preserve"> el</w:t>
      </w:r>
      <w:r w:rsidRPr="00375CFA">
        <w:rPr>
          <w:szCs w:val="20"/>
          <w:lang w:val="es-AR"/>
        </w:rPr>
        <w:t xml:space="preserve"> Perú, en el cual existió un uso sistemático de la desaparición forzada como una de las formas de lucha contra el terrorismo. Agregó, que el estudio de una posible desaparición forzada no debe enfocarse de manera </w:t>
      </w:r>
      <w:r>
        <w:rPr>
          <w:szCs w:val="20"/>
          <w:lang w:val="es-AR"/>
        </w:rPr>
        <w:t>“</w:t>
      </w:r>
      <w:r w:rsidRPr="00375CFA">
        <w:rPr>
          <w:szCs w:val="20"/>
          <w:lang w:val="es-AR"/>
        </w:rPr>
        <w:t>aislada, dividida y f</w:t>
      </w:r>
      <w:r>
        <w:rPr>
          <w:szCs w:val="20"/>
          <w:lang w:val="es-AR"/>
        </w:rPr>
        <w:t>ragmentada sólo en la detención</w:t>
      </w:r>
      <w:r w:rsidRPr="00375CFA">
        <w:rPr>
          <w:szCs w:val="20"/>
          <w:lang w:val="es-AR"/>
        </w:rPr>
        <w:t xml:space="preserve"> o posible tortura, o el riesgo a perder la vida</w:t>
      </w:r>
      <w:r>
        <w:rPr>
          <w:szCs w:val="20"/>
          <w:lang w:val="es-AR"/>
        </w:rPr>
        <w:t>”</w:t>
      </w:r>
      <w:r w:rsidRPr="00375CFA">
        <w:rPr>
          <w:szCs w:val="20"/>
          <w:lang w:val="es-AR"/>
        </w:rPr>
        <w:t xml:space="preserve">, sino </w:t>
      </w:r>
      <w:r>
        <w:rPr>
          <w:szCs w:val="20"/>
          <w:lang w:val="es-AR"/>
        </w:rPr>
        <w:t>también</w:t>
      </w:r>
      <w:r w:rsidRPr="00375CFA">
        <w:rPr>
          <w:szCs w:val="20"/>
          <w:lang w:val="es-AR"/>
        </w:rPr>
        <w:t xml:space="preserve"> </w:t>
      </w:r>
      <w:r>
        <w:rPr>
          <w:szCs w:val="20"/>
          <w:lang w:val="es-AR"/>
        </w:rPr>
        <w:t xml:space="preserve">que </w:t>
      </w:r>
      <w:r w:rsidRPr="00375CFA">
        <w:rPr>
          <w:szCs w:val="20"/>
          <w:lang w:val="es-AR"/>
        </w:rPr>
        <w:t xml:space="preserve">debe enfocarse en el conjunto de hechos que se presentan en el caso a consideración. También destacó que </w:t>
      </w:r>
      <w:r>
        <w:rPr>
          <w:szCs w:val="20"/>
          <w:lang w:val="es-AR"/>
        </w:rPr>
        <w:t>“</w:t>
      </w:r>
      <w:r w:rsidRPr="00375CFA">
        <w:rPr>
          <w:szCs w:val="20"/>
          <w:lang w:val="es-AR"/>
        </w:rPr>
        <w:t>en todos los casos las autoridades estatales o bien negaron la detención de las presuntas víctimas, o</w:t>
      </w:r>
      <w:r>
        <w:rPr>
          <w:szCs w:val="20"/>
          <w:lang w:val="es-AR"/>
        </w:rPr>
        <w:t xml:space="preserve"> bien</w:t>
      </w:r>
      <w:r w:rsidRPr="00375CFA">
        <w:rPr>
          <w:szCs w:val="20"/>
          <w:lang w:val="es-AR"/>
        </w:rPr>
        <w:t xml:space="preserve"> se negaron a informar sobre su destino o paradero</w:t>
      </w:r>
      <w:r>
        <w:rPr>
          <w:szCs w:val="20"/>
          <w:lang w:val="es-AR"/>
        </w:rPr>
        <w:t>”</w:t>
      </w:r>
      <w:r w:rsidRPr="00375CFA">
        <w:rPr>
          <w:szCs w:val="20"/>
          <w:lang w:val="es-AR"/>
        </w:rPr>
        <w:t xml:space="preserve">. </w:t>
      </w:r>
      <w:r>
        <w:rPr>
          <w:szCs w:val="20"/>
          <w:lang w:val="es-AR"/>
        </w:rPr>
        <w:t>C</w:t>
      </w:r>
      <w:r w:rsidRPr="00375CFA">
        <w:rPr>
          <w:szCs w:val="20"/>
          <w:lang w:val="es-AR"/>
        </w:rPr>
        <w:t xml:space="preserve">oncluyó que todos los elementos de la desaparición forzada tomados en su conjunto permiten inferir que las cinco presuntas víctimas fueron detenidas por agentes del Estado entre 1984 y 1992. </w:t>
      </w:r>
      <w:r>
        <w:rPr>
          <w:szCs w:val="20"/>
          <w:lang w:val="es-AR"/>
        </w:rPr>
        <w:t>C</w:t>
      </w:r>
      <w:r w:rsidRPr="00335C69">
        <w:rPr>
          <w:szCs w:val="20"/>
          <w:lang w:val="es-AR"/>
        </w:rPr>
        <w:t xml:space="preserve">onsideró que existen suficientes elementos para calificar lo sucedido a </w:t>
      </w:r>
      <w:r>
        <w:rPr>
          <w:szCs w:val="20"/>
          <w:lang w:val="es-AR"/>
        </w:rPr>
        <w:t xml:space="preserve">dichas personas </w:t>
      </w:r>
      <w:r w:rsidRPr="00335C69">
        <w:rPr>
          <w:szCs w:val="20"/>
          <w:lang w:val="es-AR"/>
        </w:rPr>
        <w:t>como una desaparición forzada perpetrada por agentes estatales</w:t>
      </w:r>
      <w:r>
        <w:rPr>
          <w:szCs w:val="20"/>
          <w:lang w:val="es-AR"/>
        </w:rPr>
        <w:t>, la cual continúa hasta la fecha. Concluyó que el Estado violó y continú</w:t>
      </w:r>
      <w:r w:rsidRPr="00335C69">
        <w:rPr>
          <w:szCs w:val="20"/>
          <w:lang w:val="es-AR"/>
        </w:rPr>
        <w:t>a violando los artículos 3,</w:t>
      </w:r>
      <w:r>
        <w:rPr>
          <w:szCs w:val="20"/>
          <w:lang w:val="es-AR"/>
        </w:rPr>
        <w:t xml:space="preserve"> </w:t>
      </w:r>
      <w:r w:rsidRPr="00335C69">
        <w:rPr>
          <w:szCs w:val="20"/>
          <w:lang w:val="es-AR"/>
        </w:rPr>
        <w:t>4,</w:t>
      </w:r>
      <w:r>
        <w:rPr>
          <w:szCs w:val="20"/>
          <w:lang w:val="es-AR"/>
        </w:rPr>
        <w:t xml:space="preserve"> </w:t>
      </w:r>
      <w:r w:rsidRPr="00335C69">
        <w:rPr>
          <w:szCs w:val="20"/>
          <w:lang w:val="es-AR"/>
        </w:rPr>
        <w:t>5</w:t>
      </w:r>
      <w:r>
        <w:rPr>
          <w:szCs w:val="20"/>
          <w:lang w:val="es-AR"/>
        </w:rPr>
        <w:t xml:space="preserve"> y 7 de la Convención Americana</w:t>
      </w:r>
      <w:r w:rsidRPr="00335C69">
        <w:rPr>
          <w:szCs w:val="20"/>
          <w:lang w:val="es-AR"/>
        </w:rPr>
        <w:t xml:space="preserve">, en </w:t>
      </w:r>
      <w:r w:rsidRPr="00335C69">
        <w:rPr>
          <w:szCs w:val="20"/>
          <w:lang w:val="es-AR"/>
        </w:rPr>
        <w:lastRenderedPageBreak/>
        <w:t>relación con las obligaciones establecidas en el art</w:t>
      </w:r>
      <w:r>
        <w:rPr>
          <w:szCs w:val="20"/>
          <w:lang w:val="es-AR"/>
        </w:rPr>
        <w:t>ículo 1.1 del mismo instrumento</w:t>
      </w:r>
      <w:r w:rsidRPr="00335C69">
        <w:rPr>
          <w:szCs w:val="20"/>
          <w:lang w:val="es-AR"/>
        </w:rPr>
        <w:t xml:space="preserve"> y el artículo I.a) de la CIDFP</w:t>
      </w:r>
      <w:r>
        <w:rPr>
          <w:szCs w:val="20"/>
          <w:lang w:val="es-AR"/>
        </w:rPr>
        <w:t>,</w:t>
      </w:r>
      <w:r w:rsidRPr="00335C69">
        <w:rPr>
          <w:szCs w:val="20"/>
          <w:lang w:val="es-AR"/>
        </w:rPr>
        <w:t xml:space="preserve"> </w:t>
      </w:r>
      <w:r>
        <w:rPr>
          <w:szCs w:val="20"/>
          <w:lang w:val="es-AR"/>
        </w:rPr>
        <w:t>en su perjuicio.</w:t>
      </w:r>
      <w:r w:rsidRPr="00335C69">
        <w:rPr>
          <w:szCs w:val="20"/>
          <w:lang w:val="es-AR"/>
        </w:rPr>
        <w:t xml:space="preserve"> </w:t>
      </w:r>
    </w:p>
    <w:p w:rsidR="00873835" w:rsidRPr="00FD6009" w:rsidRDefault="00873835" w:rsidP="00873835">
      <w:pPr>
        <w:pStyle w:val="ListParagraph"/>
        <w:widowControl w:val="0"/>
        <w:numPr>
          <w:ilvl w:val="0"/>
          <w:numId w:val="1"/>
        </w:numPr>
        <w:tabs>
          <w:tab w:val="left" w:pos="0"/>
        </w:tabs>
        <w:adjustRightInd w:val="0"/>
        <w:ind w:left="0" w:firstLine="0"/>
        <w:rPr>
          <w:szCs w:val="20"/>
          <w:lang w:val="es-AR"/>
        </w:rPr>
      </w:pPr>
      <w:r w:rsidRPr="00FD6009">
        <w:rPr>
          <w:szCs w:val="20"/>
          <w:lang w:val="es-AR"/>
        </w:rPr>
        <w:t xml:space="preserve">Los </w:t>
      </w:r>
      <w:r w:rsidRPr="00FD6009">
        <w:rPr>
          <w:b/>
          <w:szCs w:val="20"/>
          <w:lang w:val="es-AR"/>
        </w:rPr>
        <w:t xml:space="preserve">representantes </w:t>
      </w:r>
      <w:r w:rsidRPr="00FD6009">
        <w:rPr>
          <w:szCs w:val="20"/>
          <w:lang w:val="es-AR"/>
        </w:rPr>
        <w:t xml:space="preserve">se adhirieron a las consideraciones de la Comisión. </w:t>
      </w:r>
    </w:p>
    <w:p w:rsidR="00873835" w:rsidRPr="00FD6009" w:rsidRDefault="00873835" w:rsidP="00873835">
      <w:pPr>
        <w:pStyle w:val="ListParagraph"/>
        <w:ind w:left="0"/>
        <w:rPr>
          <w:szCs w:val="20"/>
          <w:lang w:val="es-AR"/>
        </w:rPr>
      </w:pPr>
    </w:p>
    <w:p w:rsidR="00873835" w:rsidRPr="00FD6009" w:rsidRDefault="00873835" w:rsidP="00873835">
      <w:pPr>
        <w:pStyle w:val="ListParagraph"/>
        <w:widowControl w:val="0"/>
        <w:numPr>
          <w:ilvl w:val="0"/>
          <w:numId w:val="1"/>
        </w:numPr>
        <w:tabs>
          <w:tab w:val="left" w:pos="0"/>
        </w:tabs>
        <w:adjustRightInd w:val="0"/>
        <w:ind w:left="0" w:firstLine="0"/>
        <w:rPr>
          <w:szCs w:val="20"/>
          <w:lang w:val="es-AR"/>
        </w:rPr>
      </w:pPr>
      <w:r w:rsidRPr="00FD6009">
        <w:rPr>
          <w:szCs w:val="20"/>
          <w:lang w:val="es-AR"/>
        </w:rPr>
        <w:t xml:space="preserve">El </w:t>
      </w:r>
      <w:r w:rsidRPr="00FD6009">
        <w:rPr>
          <w:b/>
          <w:szCs w:val="20"/>
          <w:lang w:val="es-AR"/>
        </w:rPr>
        <w:t>Estado</w:t>
      </w:r>
      <w:r w:rsidRPr="00FD6009">
        <w:rPr>
          <w:szCs w:val="20"/>
          <w:lang w:val="es-AR"/>
        </w:rPr>
        <w:t xml:space="preserve"> indicó que no violó los artículos 3, 4.1, 5.1, 5.2 y 7.1 de la Convención Americana y las obligaciones previstas en los artículos I y III de la CIDFP, en agravio de Wilfredo Terrones Silva, Teresa Díaz Aparicio, Néstor Rojas Medina y Cory Clodolia Tenicela Tello, ya que </w:t>
      </w:r>
      <w:r w:rsidRPr="00FD6009">
        <w:rPr>
          <w:szCs w:val="20"/>
        </w:rPr>
        <w:t>la</w:t>
      </w:r>
      <w:r w:rsidRPr="00FD6009">
        <w:rPr>
          <w:szCs w:val="20"/>
          <w:lang w:val="es-AR"/>
        </w:rPr>
        <w:t xml:space="preserve"> desaparición forzada no ha sido probada. En cuanto a Santiago Antezana Cueto, consider</w:t>
      </w:r>
      <w:r w:rsidR="003B7392">
        <w:rPr>
          <w:szCs w:val="20"/>
          <w:lang w:val="es-AR"/>
        </w:rPr>
        <w:t>ó</w:t>
      </w:r>
      <w:r w:rsidRPr="00FD6009">
        <w:rPr>
          <w:szCs w:val="20"/>
          <w:lang w:val="es-AR"/>
        </w:rPr>
        <w:t xml:space="preserve"> que corresponde aplicar el principio de subsidiariedad o complementariedad, dado que ya existe un pronunciamiento judicial definitivo que determinó la responsabilidad penal individual del imputado involucrado en el proceso así como la reparación civil que les correspondía a sus familiares. Por lo tanto, la Corte no debería pronunciarse sobre el fondo de las alegadas violaciones. Similarmente, respecto a la alegada tortura perpetrada contra Santiago Antezana Cueto, afirmó que se dispuso el inicio de una investigación al respecto en 2016. </w:t>
      </w:r>
    </w:p>
    <w:p w:rsidR="00873835" w:rsidRPr="00FD6009" w:rsidRDefault="00873835" w:rsidP="00873835">
      <w:pPr>
        <w:pStyle w:val="ListParagraph"/>
        <w:ind w:left="0"/>
        <w:rPr>
          <w:szCs w:val="20"/>
          <w:lang w:val="es-AR"/>
        </w:rPr>
      </w:pPr>
    </w:p>
    <w:p w:rsidR="00873835" w:rsidRPr="00FD6009" w:rsidRDefault="00873835" w:rsidP="00873835">
      <w:pPr>
        <w:pStyle w:val="Heading2"/>
        <w:numPr>
          <w:ilvl w:val="0"/>
          <w:numId w:val="38"/>
        </w:numPr>
        <w:spacing w:before="0"/>
        <w:rPr>
          <w:i/>
          <w:szCs w:val="20"/>
          <w:lang w:val="es-AR"/>
        </w:rPr>
      </w:pPr>
      <w:bookmarkStart w:id="165" w:name="_Toc527993540"/>
      <w:r w:rsidRPr="00FD6009">
        <w:rPr>
          <w:lang w:val="es-CR"/>
        </w:rPr>
        <w:t>Consideraciones</w:t>
      </w:r>
      <w:r w:rsidRPr="00FD6009">
        <w:rPr>
          <w:b w:val="0"/>
          <w:bCs w:val="0"/>
          <w:lang w:val="es-CR"/>
        </w:rPr>
        <w:t xml:space="preserve"> </w:t>
      </w:r>
      <w:r w:rsidRPr="00FD6009">
        <w:rPr>
          <w:bCs w:val="0"/>
          <w:lang w:val="es-CR"/>
        </w:rPr>
        <w:t>de la Corte</w:t>
      </w:r>
      <w:bookmarkEnd w:id="165"/>
    </w:p>
    <w:p w:rsidR="00873835" w:rsidRPr="00FD6009" w:rsidRDefault="00873835" w:rsidP="00873835">
      <w:pPr>
        <w:pStyle w:val="ListParagraph"/>
        <w:rPr>
          <w:b/>
          <w:i/>
          <w:szCs w:val="20"/>
          <w:lang w:val="es-AR"/>
        </w:rPr>
      </w:pPr>
    </w:p>
    <w:p w:rsidR="00873835" w:rsidRPr="00FD6009" w:rsidRDefault="00873835" w:rsidP="00873835">
      <w:pPr>
        <w:pStyle w:val="ListParagraph"/>
        <w:outlineLvl w:val="2"/>
        <w:rPr>
          <w:b/>
          <w:i/>
          <w:szCs w:val="20"/>
          <w:lang w:val="es-AR"/>
        </w:rPr>
      </w:pPr>
      <w:bookmarkStart w:id="166" w:name="_Toc527993541"/>
      <w:r w:rsidRPr="00FD6009">
        <w:rPr>
          <w:b/>
          <w:i/>
          <w:szCs w:val="20"/>
          <w:lang w:val="es-AR"/>
        </w:rPr>
        <w:t>B.1. Consideraciones generales sobre la Desaparición Forzada</w:t>
      </w:r>
      <w:bookmarkEnd w:id="166"/>
    </w:p>
    <w:p w:rsidR="00873835" w:rsidRPr="00FD6009" w:rsidRDefault="00873835" w:rsidP="00873835">
      <w:pPr>
        <w:pStyle w:val="ListParagraph"/>
        <w:ind w:left="0"/>
        <w:rPr>
          <w:szCs w:val="20"/>
          <w:lang w:val="es-CR"/>
        </w:rPr>
      </w:pPr>
    </w:p>
    <w:p w:rsidR="00873835" w:rsidRPr="00FD6009" w:rsidRDefault="00873835" w:rsidP="00873835">
      <w:pPr>
        <w:pStyle w:val="ListParagraph"/>
        <w:widowControl w:val="0"/>
        <w:numPr>
          <w:ilvl w:val="0"/>
          <w:numId w:val="1"/>
        </w:numPr>
        <w:tabs>
          <w:tab w:val="left" w:pos="0"/>
        </w:tabs>
        <w:adjustRightInd w:val="0"/>
        <w:ind w:left="0" w:firstLine="0"/>
        <w:rPr>
          <w:szCs w:val="20"/>
          <w:lang w:val="es-AR"/>
        </w:rPr>
      </w:pPr>
      <w:r w:rsidRPr="00FD6009">
        <w:rPr>
          <w:szCs w:val="20"/>
          <w:lang w:val="es-AR"/>
        </w:rPr>
        <w:t>Este Tribunal ha desarrollado en su jurisprudencia el carácter pluriofensivo de la desaparición forzada, así como su naturaleza permanente o continua, la cual se prolonga mientras no se conozca el paradero de la persona desaparecida o se identifiquen con certeza sus restos</w:t>
      </w:r>
      <w:r w:rsidRPr="00FD6009">
        <w:rPr>
          <w:rStyle w:val="FootnoteReference"/>
          <w:color w:val="000000" w:themeColor="text1"/>
        </w:rPr>
        <w:footnoteReference w:id="225"/>
      </w:r>
      <w:r w:rsidRPr="00FD6009">
        <w:rPr>
          <w:szCs w:val="20"/>
          <w:lang w:val="es-AR"/>
        </w:rPr>
        <w:t>. En tal sentido, el análisis de una posible desaparición forzada debe abarcar la totalidad del conjunto de los hechos que se presentan a consideración del Tribunal. Sólo de este modo el análisis legal de la posible desaparición forzada es consecuente con la compleja violación a derechos humanos que ésta conlleva</w:t>
      </w:r>
      <w:r w:rsidRPr="00FD6009">
        <w:rPr>
          <w:rStyle w:val="FootnoteReference"/>
        </w:rPr>
        <w:footnoteReference w:id="226"/>
      </w:r>
      <w:r w:rsidRPr="00FD6009">
        <w:rPr>
          <w:szCs w:val="20"/>
          <w:lang w:val="es-AR"/>
        </w:rPr>
        <w:t xml:space="preserve">, con su carácter permanente y con la necesidad de considerar el contexto en que ocurrieron los hechos, a fin de analizar sus efectos prolongados en el tiempo y enfocar integralmente sus consecuencias, teniendo en cuenta el </w:t>
      </w:r>
      <w:r w:rsidRPr="00FD6009">
        <w:rPr>
          <w:i/>
          <w:szCs w:val="20"/>
          <w:lang w:val="es-AR"/>
        </w:rPr>
        <w:t>corpus juris</w:t>
      </w:r>
      <w:r w:rsidRPr="00FD6009">
        <w:rPr>
          <w:szCs w:val="20"/>
          <w:lang w:val="es-AR"/>
        </w:rPr>
        <w:t xml:space="preserve"> de protección tanto interamericano como internacional</w:t>
      </w:r>
      <w:r w:rsidRPr="00FD6009">
        <w:rPr>
          <w:rStyle w:val="FootnoteReference"/>
          <w:sz w:val="20"/>
          <w:szCs w:val="20"/>
          <w:lang w:val="es-AR"/>
        </w:rPr>
        <w:footnoteReference w:id="227"/>
      </w:r>
      <w:r w:rsidRPr="00FD6009">
        <w:rPr>
          <w:szCs w:val="20"/>
          <w:lang w:val="es-AR"/>
        </w:rPr>
        <w:t>.</w:t>
      </w:r>
    </w:p>
    <w:p w:rsidR="00873835" w:rsidRPr="00FD6009" w:rsidRDefault="00873835" w:rsidP="00873835">
      <w:pPr>
        <w:pStyle w:val="ListParagraph"/>
        <w:autoSpaceDE w:val="0"/>
        <w:autoSpaceDN w:val="0"/>
        <w:adjustRightInd w:val="0"/>
        <w:spacing w:line="20" w:lineRule="atLeast"/>
        <w:ind w:left="0" w:right="-138"/>
        <w:rPr>
          <w:szCs w:val="20"/>
          <w:lang w:val="es-AR"/>
        </w:rPr>
      </w:pPr>
    </w:p>
    <w:p w:rsidR="00873835" w:rsidRPr="008146AF" w:rsidRDefault="00873835" w:rsidP="00873835">
      <w:pPr>
        <w:pStyle w:val="ListParagraph"/>
        <w:widowControl w:val="0"/>
        <w:numPr>
          <w:ilvl w:val="0"/>
          <w:numId w:val="1"/>
        </w:numPr>
        <w:tabs>
          <w:tab w:val="left" w:pos="0"/>
        </w:tabs>
        <w:adjustRightInd w:val="0"/>
        <w:ind w:left="0" w:firstLine="0"/>
        <w:rPr>
          <w:szCs w:val="20"/>
          <w:lang w:val="es-AR"/>
        </w:rPr>
      </w:pPr>
      <w:r w:rsidRPr="00FD6009">
        <w:rPr>
          <w:szCs w:val="20"/>
          <w:lang w:val="es-AR"/>
        </w:rPr>
        <w:t>Además,</w:t>
      </w:r>
      <w:r w:rsidRPr="008146AF">
        <w:rPr>
          <w:szCs w:val="20"/>
          <w:lang w:val="es-AR"/>
        </w:rPr>
        <w:t xml:space="preserve"> la Corte recuerda que la desaparición de una persona porque no se conoce su paradero</w:t>
      </w:r>
      <w:r>
        <w:rPr>
          <w:szCs w:val="20"/>
          <w:lang w:val="es-AR"/>
        </w:rPr>
        <w:t>,</w:t>
      </w:r>
      <w:r w:rsidRPr="008146AF">
        <w:rPr>
          <w:szCs w:val="20"/>
          <w:lang w:val="es-AR"/>
        </w:rPr>
        <w:t xml:space="preserve"> no es lo mismo que una desaparición forzada</w:t>
      </w:r>
      <w:r w:rsidRPr="00F225AA">
        <w:rPr>
          <w:rStyle w:val="FootnoteReference"/>
          <w:sz w:val="20"/>
          <w:szCs w:val="20"/>
          <w:lang w:val="es-AR"/>
        </w:rPr>
        <w:footnoteReference w:id="228"/>
      </w:r>
      <w:r>
        <w:rPr>
          <w:szCs w:val="20"/>
          <w:lang w:val="es-AR"/>
        </w:rPr>
        <w:t xml:space="preserve">. A su vez, </w:t>
      </w:r>
      <w:r w:rsidRPr="008146AF">
        <w:rPr>
          <w:szCs w:val="20"/>
          <w:lang w:val="es-AR"/>
        </w:rPr>
        <w:t xml:space="preserve">de acuerdo a lo señalado </w:t>
      </w:r>
      <w:r w:rsidRPr="008146AF">
        <w:rPr>
          <w:szCs w:val="20"/>
          <w:lang w:val="es-CR"/>
        </w:rPr>
        <w:t>anteriormente</w:t>
      </w:r>
      <w:r w:rsidRPr="008146AF">
        <w:rPr>
          <w:szCs w:val="20"/>
          <w:lang w:val="es-AR"/>
        </w:rPr>
        <w:t xml:space="preserve">, la desaparición forzada de personas es una violación de derechos humanos constituida por tres elementos concurrentes: a) la privación de la libertad; b) la intervención directa de agentes estatales o la aquiescencia de </w:t>
      </w:r>
      <w:r>
        <w:rPr>
          <w:szCs w:val="20"/>
          <w:lang w:val="es-AR"/>
        </w:rPr>
        <w:t>e</w:t>
      </w:r>
      <w:r w:rsidRPr="008146AF">
        <w:rPr>
          <w:szCs w:val="20"/>
          <w:lang w:val="es-AR"/>
        </w:rPr>
        <w:t>stos, y c) la negativa de reconocer la detención</w:t>
      </w:r>
      <w:r>
        <w:rPr>
          <w:szCs w:val="20"/>
          <w:lang w:val="es-AR"/>
        </w:rPr>
        <w:t xml:space="preserve"> o falta de proveer información</w:t>
      </w:r>
      <w:r w:rsidRPr="008146AF">
        <w:rPr>
          <w:szCs w:val="20"/>
          <w:lang w:val="es-AR"/>
        </w:rPr>
        <w:t xml:space="preserve"> y de revelar la suerte o el paradero de la persona interesada</w:t>
      </w:r>
      <w:r w:rsidRPr="00F225AA">
        <w:rPr>
          <w:rStyle w:val="FootnoteReference"/>
          <w:sz w:val="20"/>
          <w:szCs w:val="20"/>
          <w:lang w:val="es-AR"/>
        </w:rPr>
        <w:footnoteReference w:id="229"/>
      </w:r>
      <w:r w:rsidRPr="008146AF">
        <w:rPr>
          <w:szCs w:val="20"/>
          <w:lang w:val="es-AR"/>
        </w:rPr>
        <w:t xml:space="preserve">. </w:t>
      </w:r>
    </w:p>
    <w:p w:rsidR="00873835" w:rsidRPr="00FC0C0F" w:rsidRDefault="00873835" w:rsidP="00873835">
      <w:pPr>
        <w:pStyle w:val="ListParagraph"/>
        <w:autoSpaceDE w:val="0"/>
        <w:autoSpaceDN w:val="0"/>
        <w:adjustRightInd w:val="0"/>
        <w:spacing w:line="20" w:lineRule="atLeast"/>
        <w:ind w:left="0" w:right="-138"/>
        <w:rPr>
          <w:szCs w:val="20"/>
          <w:lang w:val="es-AR"/>
        </w:rPr>
      </w:pPr>
    </w:p>
    <w:p w:rsidR="00873835" w:rsidRPr="00FD6009" w:rsidRDefault="00C2360E" w:rsidP="00873835">
      <w:pPr>
        <w:pStyle w:val="ListParagraph"/>
        <w:widowControl w:val="0"/>
        <w:numPr>
          <w:ilvl w:val="0"/>
          <w:numId w:val="1"/>
        </w:numPr>
        <w:tabs>
          <w:tab w:val="left" w:pos="0"/>
        </w:tabs>
        <w:adjustRightInd w:val="0"/>
        <w:ind w:left="0" w:firstLine="0"/>
        <w:rPr>
          <w:szCs w:val="20"/>
          <w:lang w:val="es-AR"/>
        </w:rPr>
      </w:pPr>
      <w:r>
        <w:rPr>
          <w:szCs w:val="20"/>
          <w:lang w:val="es-AR"/>
        </w:rPr>
        <w:t>E</w:t>
      </w:r>
      <w:r w:rsidR="00873835" w:rsidRPr="00FD6009">
        <w:rPr>
          <w:szCs w:val="20"/>
          <w:lang w:val="es-AR"/>
        </w:rPr>
        <w:t xml:space="preserve">s legítimo el uso de la prueba circunstancial, los indicios y las presunciones para fundar una sentencia, siempre que de ellos puedan inferirse conclusiones consistentes sobre </w:t>
      </w:r>
      <w:r w:rsidR="00873835" w:rsidRPr="00FD6009">
        <w:rPr>
          <w:szCs w:val="20"/>
          <w:lang w:val="es-AR"/>
        </w:rPr>
        <w:lastRenderedPageBreak/>
        <w:t>los hechos</w:t>
      </w:r>
      <w:r w:rsidR="00873835" w:rsidRPr="0014244F">
        <w:rPr>
          <w:rStyle w:val="FootnoteReference"/>
          <w:sz w:val="20"/>
          <w:szCs w:val="20"/>
          <w:lang w:val="es-AR"/>
        </w:rPr>
        <w:footnoteReference w:id="230"/>
      </w:r>
      <w:r w:rsidR="00873835" w:rsidRPr="00FD6009">
        <w:rPr>
          <w:szCs w:val="20"/>
          <w:lang w:val="es-AR"/>
        </w:rPr>
        <w:t>. Al respecto, este Tribunal ha señalado que corresponde a la parte demandante, en principio, la carga de la prueba de los hechos en que se funda su alegato; no obstante, ha destacado que, a diferencia del derecho penal interno, en los procesos sobre violaciones de derechos humanos la defensa del Estado no puede descansar sobre la imposibilidad del demandante de allegar pruebas, cuando es el Estado quien tiene el control de los medios para aclarar hechos ocurridos dentro de su territorio</w:t>
      </w:r>
      <w:r w:rsidR="00873835" w:rsidRPr="00FD6009">
        <w:rPr>
          <w:rStyle w:val="FootnoteReference"/>
          <w:sz w:val="20"/>
          <w:szCs w:val="20"/>
          <w:lang w:val="es-AR"/>
        </w:rPr>
        <w:footnoteReference w:id="231"/>
      </w:r>
      <w:r w:rsidR="00873835" w:rsidRPr="00FD6009">
        <w:rPr>
          <w:szCs w:val="20"/>
          <w:lang w:val="es-AR"/>
        </w:rPr>
        <w:t>. Adicionalmente, la prueba indiciaria o presuntiva resulta de especial importancia cuando se trata de denuncias sobre desaparición forzada, ya que esta forma de violación se caracteriza por procurar la supresión de todo elemento que permita comprobar la detención, el paradero y la suerte de las víctimas</w:t>
      </w:r>
      <w:r w:rsidR="00873835" w:rsidRPr="00FD6009">
        <w:rPr>
          <w:rStyle w:val="FootnoteReference"/>
          <w:sz w:val="20"/>
          <w:szCs w:val="20"/>
          <w:lang w:val="es-AR"/>
        </w:rPr>
        <w:footnoteReference w:id="232"/>
      </w:r>
      <w:r w:rsidR="00873835" w:rsidRPr="00FD6009">
        <w:rPr>
          <w:szCs w:val="20"/>
          <w:lang w:val="es-AR"/>
        </w:rPr>
        <w:t>.</w:t>
      </w:r>
    </w:p>
    <w:p w:rsidR="00873835" w:rsidRPr="00FD6009" w:rsidRDefault="00873835" w:rsidP="00873835">
      <w:pPr>
        <w:pStyle w:val="ListParagraph"/>
        <w:rPr>
          <w:b/>
          <w:szCs w:val="20"/>
          <w:lang w:val="es-AR"/>
        </w:rPr>
      </w:pPr>
    </w:p>
    <w:p w:rsidR="00873835" w:rsidRPr="00FD6009" w:rsidRDefault="00873835" w:rsidP="00873835">
      <w:pPr>
        <w:pStyle w:val="ListParagraph"/>
        <w:widowControl w:val="0"/>
        <w:numPr>
          <w:ilvl w:val="0"/>
          <w:numId w:val="1"/>
        </w:numPr>
        <w:tabs>
          <w:tab w:val="left" w:pos="0"/>
        </w:tabs>
        <w:adjustRightInd w:val="0"/>
        <w:ind w:left="0" w:firstLine="0"/>
        <w:rPr>
          <w:szCs w:val="20"/>
          <w:lang w:val="es-AR"/>
        </w:rPr>
      </w:pPr>
      <w:r w:rsidRPr="00FD6009">
        <w:rPr>
          <w:szCs w:val="20"/>
          <w:lang w:val="es-AR"/>
        </w:rPr>
        <w:t>Además, l</w:t>
      </w:r>
      <w:r w:rsidRPr="00FD6009">
        <w:rPr>
          <w:szCs w:val="20"/>
          <w:lang w:val="es-CR"/>
        </w:rPr>
        <w:t xml:space="preserve">a Corte estima que, aunque exista un contexto </w:t>
      </w:r>
      <w:r w:rsidRPr="00FD6009">
        <w:rPr>
          <w:szCs w:val="20"/>
          <w:lang w:val="es-ES"/>
        </w:rPr>
        <w:t xml:space="preserve">de práctica sistemática y generalizada de desaparición forzada, para la determinación de la ocurrencia de una desaparición forzada se requiere la existencia de otros elementos que permitan corroborar que la persona fue privada de su libertad con la participación de agentes estatales o por particulares que actuaran </w:t>
      </w:r>
      <w:r w:rsidRPr="00FD6009">
        <w:rPr>
          <w:szCs w:val="20"/>
          <w:lang w:val="es-CR"/>
        </w:rPr>
        <w:t>con la autorización, el apoyo o la aquiescencia del Estado. En tal sentido, este Tribunal ha determinado que “</w:t>
      </w:r>
      <w:r w:rsidRPr="00FD6009">
        <w:rPr>
          <w:rFonts w:eastAsia="Verdana" w:cs="Verdana"/>
          <w:szCs w:val="20"/>
          <w:lang w:val="es-CR"/>
        </w:rPr>
        <w:t>la sola comprobación de la práctica de desapariciones no basta, en ausencia de toda otra prueba, aún circunstancial o indirecta, para demostrar que una persona cuyo paradero se desconoce fue víctima de ella”</w:t>
      </w:r>
      <w:r w:rsidRPr="00FD6009">
        <w:rPr>
          <w:rStyle w:val="FootnoteReference"/>
          <w:rFonts w:eastAsia="Verdana"/>
          <w:sz w:val="20"/>
          <w:szCs w:val="20"/>
          <w:lang w:val="es-CR"/>
        </w:rPr>
        <w:footnoteReference w:id="233"/>
      </w:r>
      <w:r w:rsidRPr="00FD6009">
        <w:rPr>
          <w:rFonts w:eastAsia="Verdana" w:cs="Verdana"/>
          <w:szCs w:val="20"/>
          <w:lang w:val="es-CR"/>
        </w:rPr>
        <w:t>.</w:t>
      </w:r>
    </w:p>
    <w:p w:rsidR="00856BC6" w:rsidRPr="00FD6009" w:rsidRDefault="00856BC6" w:rsidP="00856BC6">
      <w:pPr>
        <w:pStyle w:val="ListParagraph"/>
        <w:widowControl w:val="0"/>
        <w:tabs>
          <w:tab w:val="left" w:pos="0"/>
        </w:tabs>
        <w:adjustRightInd w:val="0"/>
        <w:ind w:left="0"/>
        <w:rPr>
          <w:szCs w:val="20"/>
          <w:lang w:val="es-AR"/>
        </w:rPr>
      </w:pPr>
    </w:p>
    <w:p w:rsidR="00873835" w:rsidRPr="002D754D" w:rsidRDefault="00873835" w:rsidP="00873835">
      <w:pPr>
        <w:pStyle w:val="ListParagraph"/>
        <w:widowControl w:val="0"/>
        <w:numPr>
          <w:ilvl w:val="0"/>
          <w:numId w:val="1"/>
        </w:numPr>
        <w:tabs>
          <w:tab w:val="left" w:pos="0"/>
        </w:tabs>
        <w:adjustRightInd w:val="0"/>
        <w:ind w:left="0" w:firstLine="0"/>
        <w:rPr>
          <w:szCs w:val="20"/>
          <w:lang w:val="es-AR"/>
        </w:rPr>
      </w:pPr>
      <w:r w:rsidRPr="00FD6009">
        <w:rPr>
          <w:szCs w:val="20"/>
          <w:lang w:val="es-AR"/>
        </w:rPr>
        <w:t>Por último, a</w:t>
      </w:r>
      <w:r w:rsidRPr="00FD6009">
        <w:rPr>
          <w:szCs w:val="20"/>
        </w:rPr>
        <w:t>ntes de pasar al análisis de fondo de la controversia, este Tribunal considera que</w:t>
      </w:r>
      <w:r w:rsidRPr="002D754D">
        <w:rPr>
          <w:szCs w:val="20"/>
        </w:rPr>
        <w:t xml:space="preserve"> es importante recordar que la jurisdicción internacional de los derechos humanos no debe confundirse con la jurisdicción penal, ya que los Estados no comparecen ante la Corte como sujetos de acción penal</w:t>
      </w:r>
      <w:r w:rsidRPr="001C3E97">
        <w:rPr>
          <w:rStyle w:val="FootnoteReference"/>
          <w:sz w:val="20"/>
          <w:szCs w:val="20"/>
        </w:rPr>
        <w:footnoteReference w:id="234"/>
      </w:r>
      <w:r w:rsidRPr="002D754D">
        <w:rPr>
          <w:szCs w:val="20"/>
        </w:rPr>
        <w:t>. En efecto, la competencia de la Corte se enfoca en la determinación de violaciones a los derechos humanos por parte de los Estados, por lo que la responsabilidad de los mismos bajo la Convención u otros tratados aplicables no debe ser confundida con la responsabilidad penal de individuos particulares</w:t>
      </w:r>
      <w:r w:rsidRPr="002D754D">
        <w:rPr>
          <w:rStyle w:val="FootnoteReference"/>
          <w:sz w:val="20"/>
          <w:szCs w:val="20"/>
        </w:rPr>
        <w:footnoteReference w:id="235"/>
      </w:r>
      <w:r w:rsidRPr="002D754D">
        <w:rPr>
          <w:szCs w:val="20"/>
        </w:rPr>
        <w:t xml:space="preserve">. </w:t>
      </w:r>
      <w:r>
        <w:t>L</w:t>
      </w:r>
      <w:r w:rsidRPr="00A64ED1">
        <w:t xml:space="preserve">a Corte recuerda que, a diferencia de un tribunal penal, para establecer que se ha producido una violación de los derechos contemplados en la Convención no es necesario que se pruebe la responsabilidad del Estado más allá de toda duda razonable ni que se identifique individualmente a los agentes a los cuales se atribuyen los hechos violatorios. Para esta Corte es necesario adquirir la convicción de que se han verificado acciones u omisiones, atribuibles al Estado, que han permitido la perpetración de esas violaciones o que existe una obligación del Estado incumplida por éste. En este sentido, para un tribunal internacional los criterios de valoración de la prueba son </w:t>
      </w:r>
      <w:r w:rsidRPr="003A4C04">
        <w:t>diferentes a los utilizados en</w:t>
      </w:r>
      <w:r>
        <w:t xml:space="preserve"> </w:t>
      </w:r>
      <w:r w:rsidRPr="00A64ED1">
        <w:t>sistemas legales internos y le es posible evaluar libremente las pruebas</w:t>
      </w:r>
      <w:r w:rsidRPr="004075BC">
        <w:rPr>
          <w:vertAlign w:val="superscript"/>
        </w:rPr>
        <w:footnoteReference w:id="236"/>
      </w:r>
      <w:r w:rsidRPr="00A64ED1">
        <w:t>.</w:t>
      </w:r>
    </w:p>
    <w:p w:rsidR="00873835" w:rsidRDefault="00873835" w:rsidP="00873835">
      <w:pPr>
        <w:pStyle w:val="ListParagraph"/>
        <w:ind w:left="0"/>
        <w:rPr>
          <w:szCs w:val="20"/>
          <w:lang w:val="es-AR"/>
        </w:rPr>
      </w:pPr>
    </w:p>
    <w:p w:rsidR="00873835" w:rsidRPr="00FD6009" w:rsidRDefault="00873835" w:rsidP="00873835">
      <w:pPr>
        <w:pStyle w:val="ListParagraph"/>
        <w:widowControl w:val="0"/>
        <w:numPr>
          <w:ilvl w:val="0"/>
          <w:numId w:val="1"/>
        </w:numPr>
        <w:tabs>
          <w:tab w:val="left" w:pos="0"/>
        </w:tabs>
        <w:adjustRightInd w:val="0"/>
        <w:ind w:left="0" w:firstLine="0"/>
        <w:rPr>
          <w:b/>
          <w:szCs w:val="20"/>
          <w:lang w:val="es-AR"/>
        </w:rPr>
      </w:pPr>
      <w:r w:rsidRPr="00FD6009">
        <w:rPr>
          <w:szCs w:val="20"/>
          <w:lang w:val="es-AR"/>
        </w:rPr>
        <w:t xml:space="preserve">Seguidamente, la Corte analizará la controversia existente entre las partes y la Comisión sobre si se ha </w:t>
      </w:r>
      <w:r w:rsidRPr="00FD6009">
        <w:rPr>
          <w:szCs w:val="20"/>
          <w:lang w:val="es-CR"/>
        </w:rPr>
        <w:t>configurado</w:t>
      </w:r>
      <w:r w:rsidRPr="00FD6009">
        <w:rPr>
          <w:szCs w:val="20"/>
          <w:lang w:val="es-AR"/>
        </w:rPr>
        <w:t xml:space="preserve"> o no la desaparición forzada de Wilfredo Terrones Silva, Teresa Díaz Aparicio, Cory Clodolia Tenicela Tello y Néstor Rojas Medina. Igualmente, se referirá </w:t>
      </w:r>
      <w:r w:rsidR="0049438A">
        <w:rPr>
          <w:szCs w:val="20"/>
          <w:lang w:val="es-AR"/>
        </w:rPr>
        <w:t>a</w:t>
      </w:r>
      <w:r w:rsidR="005E7EF6">
        <w:rPr>
          <w:szCs w:val="20"/>
          <w:lang w:val="es-AR"/>
        </w:rPr>
        <w:t xml:space="preserve"> la</w:t>
      </w:r>
      <w:r w:rsidRPr="00FD6009">
        <w:rPr>
          <w:szCs w:val="20"/>
          <w:lang w:val="es-AR"/>
        </w:rPr>
        <w:t xml:space="preserve"> solicitud </w:t>
      </w:r>
      <w:r w:rsidR="0049438A">
        <w:rPr>
          <w:szCs w:val="20"/>
          <w:lang w:val="es-AR"/>
        </w:rPr>
        <w:t>del Estado para que</w:t>
      </w:r>
      <w:r w:rsidR="005E7EF6">
        <w:rPr>
          <w:szCs w:val="20"/>
          <w:lang w:val="es-AR"/>
        </w:rPr>
        <w:t xml:space="preserve"> </w:t>
      </w:r>
      <w:r w:rsidRPr="00FD6009">
        <w:rPr>
          <w:szCs w:val="20"/>
          <w:lang w:val="es-AR"/>
        </w:rPr>
        <w:t xml:space="preserve">la Corte </w:t>
      </w:r>
      <w:r w:rsidR="005E7EF6">
        <w:rPr>
          <w:szCs w:val="20"/>
          <w:lang w:val="es-AR"/>
        </w:rPr>
        <w:t xml:space="preserve">no se </w:t>
      </w:r>
      <w:r w:rsidRPr="00FD6009">
        <w:rPr>
          <w:szCs w:val="20"/>
          <w:lang w:val="es-AR"/>
        </w:rPr>
        <w:t xml:space="preserve">pronuncie </w:t>
      </w:r>
      <w:r w:rsidR="0049438A">
        <w:rPr>
          <w:szCs w:val="20"/>
          <w:lang w:val="es-AR"/>
        </w:rPr>
        <w:t>sobre</w:t>
      </w:r>
      <w:r w:rsidR="00E8710A">
        <w:rPr>
          <w:szCs w:val="20"/>
          <w:lang w:val="es-AR"/>
        </w:rPr>
        <w:t xml:space="preserve"> </w:t>
      </w:r>
      <w:r w:rsidRPr="00FD6009">
        <w:rPr>
          <w:szCs w:val="20"/>
          <w:lang w:val="es-AR"/>
        </w:rPr>
        <w:t xml:space="preserve">la desaparición forzada de Santiago Antezana Cueto. El </w:t>
      </w:r>
      <w:r w:rsidR="005E7EF6">
        <w:rPr>
          <w:szCs w:val="20"/>
          <w:lang w:val="es-AR"/>
        </w:rPr>
        <w:t>ex</w:t>
      </w:r>
      <w:r w:rsidR="003B7392">
        <w:rPr>
          <w:szCs w:val="20"/>
          <w:lang w:val="es-AR"/>
        </w:rPr>
        <w:t>a</w:t>
      </w:r>
      <w:r w:rsidR="005E7EF6">
        <w:rPr>
          <w:szCs w:val="20"/>
          <w:lang w:val="es-AR"/>
        </w:rPr>
        <w:t>men</w:t>
      </w:r>
      <w:r w:rsidRPr="00FD6009">
        <w:rPr>
          <w:szCs w:val="20"/>
          <w:lang w:val="es-AR"/>
        </w:rPr>
        <w:t xml:space="preserve"> es realizado teniendo en cuenta el contexto </w:t>
      </w:r>
      <w:r w:rsidRPr="00FD6009">
        <w:rPr>
          <w:szCs w:val="20"/>
          <w:lang w:val="es-AR"/>
        </w:rPr>
        <w:lastRenderedPageBreak/>
        <w:t>dentro del cual se circunscribieron las desapariciones de las cinco presuntas víctimas</w:t>
      </w:r>
      <w:r w:rsidRPr="00FD6009">
        <w:t xml:space="preserve">. </w:t>
      </w:r>
      <w:r w:rsidR="005E7EF6">
        <w:t xml:space="preserve">En consideración de </w:t>
      </w:r>
      <w:r w:rsidRPr="00FD6009">
        <w:t xml:space="preserve">lo anterior, la Corte procederá a </w:t>
      </w:r>
      <w:r w:rsidR="005E7EF6">
        <w:t>analizar</w:t>
      </w:r>
      <w:r w:rsidRPr="00FD6009">
        <w:t xml:space="preserve"> las alegadas desapariciones </w:t>
      </w:r>
      <w:r w:rsidR="005E7EF6">
        <w:t xml:space="preserve">de acuerdo con </w:t>
      </w:r>
      <w:r w:rsidRPr="00FD6009">
        <w:t>los tres elementos constitutivos de la desaparición forzada (</w:t>
      </w:r>
      <w:r w:rsidRPr="00FD6009">
        <w:rPr>
          <w:i/>
        </w:rPr>
        <w:t>supra</w:t>
      </w:r>
      <w:r w:rsidRPr="00FD6009">
        <w:t xml:space="preserve"> párr. 135), con el fin de determinar si los mismos se encuentran acreditados en cada uno de los casos bajo análisis. </w:t>
      </w:r>
    </w:p>
    <w:p w:rsidR="00873835" w:rsidRPr="00A221AF" w:rsidRDefault="00873835" w:rsidP="00873835">
      <w:pPr>
        <w:pStyle w:val="ListParagraph"/>
        <w:autoSpaceDE w:val="0"/>
        <w:autoSpaceDN w:val="0"/>
        <w:adjustRightInd w:val="0"/>
        <w:spacing w:line="20" w:lineRule="atLeast"/>
        <w:ind w:left="0" w:right="-138"/>
        <w:rPr>
          <w:b/>
          <w:szCs w:val="20"/>
          <w:lang w:val="es-AR"/>
        </w:rPr>
      </w:pPr>
    </w:p>
    <w:p w:rsidR="00873835" w:rsidRDefault="00873835" w:rsidP="00873835">
      <w:pPr>
        <w:pStyle w:val="Heading3"/>
        <w:spacing w:before="0"/>
        <w:ind w:firstLine="720"/>
        <w:rPr>
          <w:i/>
          <w:szCs w:val="20"/>
        </w:rPr>
      </w:pPr>
      <w:bookmarkStart w:id="167" w:name="_Toc399131803"/>
      <w:bookmarkStart w:id="168" w:name="_Toc527993542"/>
      <w:r w:rsidRPr="00F27325">
        <w:rPr>
          <w:i/>
          <w:szCs w:val="20"/>
        </w:rPr>
        <w:t xml:space="preserve">B.2. </w:t>
      </w:r>
      <w:bookmarkStart w:id="169" w:name="_Toc399131804"/>
      <w:bookmarkEnd w:id="167"/>
      <w:r w:rsidRPr="00F27325">
        <w:rPr>
          <w:i/>
          <w:szCs w:val="20"/>
        </w:rPr>
        <w:t xml:space="preserve"> Desaparición Forzada de Wilfredo Terrones Silva</w:t>
      </w:r>
      <w:bookmarkEnd w:id="168"/>
      <w:bookmarkEnd w:id="169"/>
    </w:p>
    <w:p w:rsidR="00873835" w:rsidRPr="007B0B62" w:rsidRDefault="00873835" w:rsidP="00873835"/>
    <w:p w:rsidR="00873835" w:rsidRDefault="00873835" w:rsidP="00873835">
      <w:pPr>
        <w:pStyle w:val="ListParagraph"/>
        <w:widowControl w:val="0"/>
        <w:numPr>
          <w:ilvl w:val="0"/>
          <w:numId w:val="1"/>
        </w:numPr>
        <w:tabs>
          <w:tab w:val="left" w:pos="0"/>
        </w:tabs>
        <w:autoSpaceDE w:val="0"/>
        <w:autoSpaceDN w:val="0"/>
        <w:adjustRightInd w:val="0"/>
        <w:spacing w:line="20" w:lineRule="atLeast"/>
        <w:ind w:left="0" w:right="-138" w:firstLine="0"/>
        <w:rPr>
          <w:szCs w:val="20"/>
          <w:lang w:val="es-AR"/>
        </w:rPr>
      </w:pPr>
      <w:r w:rsidRPr="00C95A78">
        <w:rPr>
          <w:szCs w:val="20"/>
          <w:lang w:val="es-AR"/>
        </w:rPr>
        <w:t>Wilfredo</w:t>
      </w:r>
      <w:r w:rsidRPr="00E21F95">
        <w:rPr>
          <w:szCs w:val="20"/>
          <w:lang w:val="es-AR"/>
        </w:rPr>
        <w:t xml:space="preserve"> Terrones Silva</w:t>
      </w:r>
      <w:r>
        <w:rPr>
          <w:szCs w:val="20"/>
          <w:lang w:val="es-AR"/>
        </w:rPr>
        <w:t>, abogado,</w:t>
      </w:r>
      <w:r w:rsidRPr="00E21F95">
        <w:rPr>
          <w:szCs w:val="20"/>
          <w:lang w:val="es-AR"/>
        </w:rPr>
        <w:t xml:space="preserve"> fue visto por última vez el 26 de agosto de 1992. El 28 </w:t>
      </w:r>
      <w:r>
        <w:rPr>
          <w:szCs w:val="20"/>
          <w:lang w:val="es-AR"/>
        </w:rPr>
        <w:t>de agosto de 1992 se denunció su</w:t>
      </w:r>
      <w:r w:rsidRPr="00E21F95">
        <w:rPr>
          <w:szCs w:val="20"/>
          <w:lang w:val="es-AR"/>
        </w:rPr>
        <w:t xml:space="preserve"> desaparición ante la Quinta Fiscalía Provincial Penal de la Policía Nacional</w:t>
      </w:r>
      <w:r w:rsidR="009F1BAB">
        <w:rPr>
          <w:szCs w:val="20"/>
          <w:lang w:val="es-AR"/>
        </w:rPr>
        <w:t xml:space="preserve"> (</w:t>
      </w:r>
      <w:r w:rsidR="009F1BAB" w:rsidRPr="00606A36">
        <w:rPr>
          <w:i/>
          <w:szCs w:val="20"/>
          <w:lang w:val="es-AR"/>
        </w:rPr>
        <w:t>supra</w:t>
      </w:r>
      <w:r w:rsidR="009F1BAB">
        <w:rPr>
          <w:szCs w:val="20"/>
          <w:lang w:val="es-AR"/>
        </w:rPr>
        <w:t xml:space="preserve"> párrs</w:t>
      </w:r>
      <w:r w:rsidRPr="00E21F95">
        <w:rPr>
          <w:szCs w:val="20"/>
          <w:lang w:val="es-AR"/>
        </w:rPr>
        <w:t xml:space="preserve">. </w:t>
      </w:r>
      <w:r w:rsidR="00C95A78">
        <w:rPr>
          <w:szCs w:val="20"/>
          <w:lang w:val="es-AR"/>
        </w:rPr>
        <w:t>55 y 58)</w:t>
      </w:r>
      <w:r w:rsidR="00606A36">
        <w:rPr>
          <w:szCs w:val="20"/>
          <w:lang w:val="es-AR"/>
        </w:rPr>
        <w:t>.</w:t>
      </w:r>
    </w:p>
    <w:p w:rsidR="00873835" w:rsidRDefault="00873835" w:rsidP="00873835">
      <w:pPr>
        <w:pStyle w:val="ListParagraph"/>
        <w:widowControl w:val="0"/>
        <w:tabs>
          <w:tab w:val="left" w:pos="0"/>
        </w:tabs>
        <w:autoSpaceDE w:val="0"/>
        <w:autoSpaceDN w:val="0"/>
        <w:adjustRightInd w:val="0"/>
        <w:spacing w:line="20" w:lineRule="atLeast"/>
        <w:ind w:left="0" w:right="-138"/>
        <w:rPr>
          <w:szCs w:val="20"/>
          <w:lang w:val="es-AR"/>
        </w:rPr>
      </w:pPr>
    </w:p>
    <w:p w:rsidR="00873835" w:rsidRPr="00C95A78" w:rsidRDefault="00873835" w:rsidP="00873835">
      <w:pPr>
        <w:pStyle w:val="ListParagraph"/>
        <w:widowControl w:val="0"/>
        <w:numPr>
          <w:ilvl w:val="0"/>
          <w:numId w:val="1"/>
        </w:numPr>
        <w:tabs>
          <w:tab w:val="left" w:pos="0"/>
        </w:tabs>
        <w:autoSpaceDE w:val="0"/>
        <w:autoSpaceDN w:val="0"/>
        <w:adjustRightInd w:val="0"/>
        <w:spacing w:line="20" w:lineRule="atLeast"/>
        <w:ind w:left="0" w:right="-138" w:firstLine="0"/>
        <w:rPr>
          <w:szCs w:val="20"/>
          <w:lang w:val="es-AR"/>
        </w:rPr>
      </w:pPr>
      <w:r w:rsidRPr="00C95A78">
        <w:rPr>
          <w:szCs w:val="20"/>
          <w:lang w:val="es-AR"/>
        </w:rPr>
        <w:t xml:space="preserve">La Corte </w:t>
      </w:r>
      <w:r w:rsidR="005E7EF6">
        <w:rPr>
          <w:szCs w:val="20"/>
          <w:lang w:val="es-AR"/>
        </w:rPr>
        <w:t>nota</w:t>
      </w:r>
      <w:r w:rsidRPr="00C95A78">
        <w:rPr>
          <w:szCs w:val="20"/>
          <w:lang w:val="es-AR"/>
        </w:rPr>
        <w:t xml:space="preserve"> que </w:t>
      </w:r>
      <w:r w:rsidRPr="00C95A78">
        <w:rPr>
          <w:szCs w:val="20"/>
          <w:lang w:val="es-ES"/>
        </w:rPr>
        <w:t>en la época de los hechos  existía en el Perú un conflicto armado, en el cual se hacía uso de una práctica sistemática de desapariciones forzadas, como una forma de lucha contra el terrorismo. Esta se desarrollaba</w:t>
      </w:r>
      <w:r w:rsidR="00C95A78" w:rsidRPr="00C95A78">
        <w:rPr>
          <w:szCs w:val="20"/>
          <w:lang w:val="es-ES"/>
        </w:rPr>
        <w:t xml:space="preserve">, entre otros, </w:t>
      </w:r>
      <w:r w:rsidRPr="00C95A78">
        <w:rPr>
          <w:szCs w:val="20"/>
          <w:lang w:val="es-ES"/>
        </w:rPr>
        <w:t>en contra del grupo Sendero Luminoso e iba dirigida sin distinción a sus miembros,</w:t>
      </w:r>
      <w:r w:rsidR="00C95A78" w:rsidRPr="00C95A78">
        <w:rPr>
          <w:szCs w:val="20"/>
          <w:lang w:val="es-ES"/>
        </w:rPr>
        <w:t xml:space="preserve"> colaboradores</w:t>
      </w:r>
      <w:r w:rsidRPr="00C95A78">
        <w:rPr>
          <w:szCs w:val="20"/>
          <w:lang w:val="es-ES"/>
        </w:rPr>
        <w:t xml:space="preserve"> o simpatizantes, entre los que según el Estado se encontraban los abogados integrantes de la Asociación de Abogados Democráticos (</w:t>
      </w:r>
      <w:r w:rsidRPr="00C95A78">
        <w:rPr>
          <w:i/>
          <w:szCs w:val="20"/>
          <w:lang w:val="es-ES"/>
        </w:rPr>
        <w:t xml:space="preserve">supra </w:t>
      </w:r>
      <w:r w:rsidR="00C95A78" w:rsidRPr="00C95A78">
        <w:rPr>
          <w:szCs w:val="20"/>
          <w:lang w:val="es-ES"/>
        </w:rPr>
        <w:t>párr. 51</w:t>
      </w:r>
      <w:r w:rsidRPr="00C95A78">
        <w:rPr>
          <w:szCs w:val="20"/>
          <w:lang w:val="es-ES"/>
        </w:rPr>
        <w:t>). La categorización de quienes prestaban cualquier servicio a los miembros del llamado PCP-SL dentro del marco del ejercicio lícito de su profesión como part</w:t>
      </w:r>
      <w:r w:rsidR="00603D8C">
        <w:rPr>
          <w:szCs w:val="20"/>
          <w:lang w:val="es-ES"/>
        </w:rPr>
        <w:t>í</w:t>
      </w:r>
      <w:r w:rsidRPr="00C95A78">
        <w:rPr>
          <w:szCs w:val="20"/>
          <w:lang w:val="es-ES"/>
        </w:rPr>
        <w:t>cipe del terrorismo, como sucedía con los médicos</w:t>
      </w:r>
      <w:r w:rsidRPr="00C95A78">
        <w:rPr>
          <w:rStyle w:val="FootnoteReference"/>
          <w:sz w:val="20"/>
          <w:szCs w:val="20"/>
          <w:lang w:val="es-ES"/>
        </w:rPr>
        <w:footnoteReference w:id="237"/>
      </w:r>
      <w:r w:rsidRPr="00C95A78">
        <w:rPr>
          <w:szCs w:val="20"/>
          <w:lang w:val="es-ES"/>
        </w:rPr>
        <w:t xml:space="preserve"> y en este caso con abogados, indica que el contexto respondía a una política que tendía a no guardar límites respecto de quienes eran reputados terroristas sin discriminación alguna.</w:t>
      </w:r>
    </w:p>
    <w:p w:rsidR="00873835" w:rsidRPr="002D754D" w:rsidRDefault="00873835" w:rsidP="00873835">
      <w:pPr>
        <w:pStyle w:val="ListParagraph"/>
        <w:rPr>
          <w:szCs w:val="20"/>
          <w:lang w:val="es-ES"/>
        </w:rPr>
      </w:pPr>
    </w:p>
    <w:p w:rsidR="00873835" w:rsidRPr="00C95A78" w:rsidRDefault="00873835" w:rsidP="00873835">
      <w:pPr>
        <w:pStyle w:val="ListParagraph"/>
        <w:widowControl w:val="0"/>
        <w:numPr>
          <w:ilvl w:val="0"/>
          <w:numId w:val="1"/>
        </w:numPr>
        <w:tabs>
          <w:tab w:val="left" w:pos="0"/>
        </w:tabs>
        <w:autoSpaceDE w:val="0"/>
        <w:autoSpaceDN w:val="0"/>
        <w:adjustRightInd w:val="0"/>
        <w:spacing w:line="20" w:lineRule="atLeast"/>
        <w:ind w:left="0" w:right="-138" w:firstLine="0"/>
        <w:rPr>
          <w:szCs w:val="20"/>
          <w:lang w:val="es-AR"/>
        </w:rPr>
      </w:pPr>
      <w:r w:rsidRPr="00C95A78">
        <w:rPr>
          <w:szCs w:val="20"/>
          <w:lang w:val="es-ES"/>
        </w:rPr>
        <w:t xml:space="preserve">En el presente caso está demostrado que Wilfredo Terrones Silva era una persona identificada por el Estado como vinculada con el grupo Sendero Luminoso e incluso ya había permanecido privado de libertad por el delito de terrorismo en </w:t>
      </w:r>
      <w:r w:rsidRPr="00C95A78">
        <w:rPr>
          <w:szCs w:val="20"/>
          <w:lang w:val="es-AR"/>
        </w:rPr>
        <w:t>las cárceles de Chiclayo y El Frontón antes de su desaparición</w:t>
      </w:r>
      <w:r w:rsidRPr="00C95A78">
        <w:rPr>
          <w:szCs w:val="20"/>
          <w:lang w:val="es-ES"/>
        </w:rPr>
        <w:t>.</w:t>
      </w:r>
      <w:r w:rsidRPr="00C95A78">
        <w:rPr>
          <w:sz w:val="16"/>
          <w:szCs w:val="16"/>
          <w:lang w:val="es-AR"/>
        </w:rPr>
        <w:t xml:space="preserve"> </w:t>
      </w:r>
      <w:r w:rsidRPr="00C95A78">
        <w:rPr>
          <w:szCs w:val="20"/>
          <w:lang w:val="es-AR"/>
        </w:rPr>
        <w:t>El Estado afirmó que el señor Terrones Silva fue sindicado como Sub-Director de Base y dirigente de Sendero Luminoso en la Provincia de Jaén.</w:t>
      </w:r>
      <w:r w:rsidRPr="00C95A78">
        <w:rPr>
          <w:sz w:val="16"/>
          <w:szCs w:val="16"/>
          <w:lang w:val="es-AR"/>
        </w:rPr>
        <w:t xml:space="preserve">  </w:t>
      </w:r>
      <w:r w:rsidRPr="00C95A78">
        <w:rPr>
          <w:szCs w:val="20"/>
          <w:lang w:val="es-ES"/>
        </w:rPr>
        <w:t>Además, el señor Terrones Silva formaba parte de la Asociación de Abogados Democráticos, grupo al que se reconocía su función de brindar asesoría jurídica y asumir la defensa de miembros de Sendero Luminoso acusados por terrorismo (</w:t>
      </w:r>
      <w:r w:rsidRPr="00C95A78">
        <w:rPr>
          <w:i/>
          <w:szCs w:val="20"/>
          <w:lang w:val="es-ES"/>
        </w:rPr>
        <w:t>supra</w:t>
      </w:r>
      <w:r w:rsidR="00C95A78" w:rsidRPr="00C95A78">
        <w:rPr>
          <w:szCs w:val="20"/>
          <w:lang w:val="es-ES"/>
        </w:rPr>
        <w:t xml:space="preserve"> párr. 54</w:t>
      </w:r>
      <w:r w:rsidRPr="00C95A78">
        <w:rPr>
          <w:szCs w:val="20"/>
          <w:lang w:val="es-ES"/>
        </w:rPr>
        <w:t>). De lo anterior, se desprende que las actividades del señor Terrones Silva se enmarcan dentro del contexto de desapariciones forzadas en el Perú.</w:t>
      </w:r>
    </w:p>
    <w:p w:rsidR="00873835" w:rsidRPr="002D754D" w:rsidRDefault="00873835" w:rsidP="00873835">
      <w:pPr>
        <w:pStyle w:val="ListParagraph"/>
        <w:widowControl w:val="0"/>
        <w:tabs>
          <w:tab w:val="left" w:pos="0"/>
        </w:tabs>
        <w:autoSpaceDE w:val="0"/>
        <w:autoSpaceDN w:val="0"/>
        <w:adjustRightInd w:val="0"/>
        <w:spacing w:line="20" w:lineRule="atLeast"/>
        <w:ind w:left="0" w:right="-138"/>
        <w:rPr>
          <w:szCs w:val="20"/>
          <w:lang w:val="es-AR"/>
        </w:rPr>
      </w:pPr>
    </w:p>
    <w:p w:rsidR="00873835" w:rsidRPr="00AF70D7" w:rsidRDefault="00873835" w:rsidP="00873835">
      <w:pPr>
        <w:pStyle w:val="ListParagraph"/>
        <w:widowControl w:val="0"/>
        <w:numPr>
          <w:ilvl w:val="0"/>
          <w:numId w:val="1"/>
        </w:numPr>
        <w:tabs>
          <w:tab w:val="left" w:pos="0"/>
        </w:tabs>
        <w:autoSpaceDE w:val="0"/>
        <w:autoSpaceDN w:val="0"/>
        <w:adjustRightInd w:val="0"/>
        <w:spacing w:line="20" w:lineRule="atLeast"/>
        <w:ind w:left="0" w:right="-138" w:firstLine="0"/>
        <w:rPr>
          <w:szCs w:val="20"/>
          <w:lang w:val="es-AR"/>
        </w:rPr>
      </w:pPr>
      <w:r w:rsidRPr="00C95A78">
        <w:rPr>
          <w:szCs w:val="20"/>
          <w:lang w:val="es-AR"/>
        </w:rPr>
        <w:t>Esta Corte advierte</w:t>
      </w:r>
      <w:r w:rsidRPr="002D754D">
        <w:rPr>
          <w:szCs w:val="20"/>
          <w:lang w:val="es-AR"/>
        </w:rPr>
        <w:t>, además del contexto, que exi</w:t>
      </w:r>
      <w:r w:rsidR="005E7EF6">
        <w:rPr>
          <w:szCs w:val="20"/>
          <w:lang w:val="es-AR"/>
        </w:rPr>
        <w:t>s</w:t>
      </w:r>
      <w:r w:rsidRPr="002D754D">
        <w:rPr>
          <w:szCs w:val="20"/>
          <w:lang w:val="es-AR"/>
        </w:rPr>
        <w:t>ten otros elementos probatorios relativos a la situación del señor Terrones Silva.</w:t>
      </w:r>
      <w:r>
        <w:rPr>
          <w:szCs w:val="20"/>
          <w:lang w:val="es-AR"/>
        </w:rPr>
        <w:t xml:space="preserve"> </w:t>
      </w:r>
      <w:r w:rsidR="00CB0E32" w:rsidRPr="008E2180">
        <w:rPr>
          <w:szCs w:val="20"/>
          <w:lang w:val="es-AR"/>
        </w:rPr>
        <w:t>A</w:t>
      </w:r>
      <w:r w:rsidR="00CB0E32" w:rsidRPr="008E2180">
        <w:rPr>
          <w:szCs w:val="20"/>
          <w:lang w:val="es-ES"/>
        </w:rPr>
        <w:t xml:space="preserve">l momento de su desaparición, </w:t>
      </w:r>
      <w:r w:rsidR="00CB0E32">
        <w:rPr>
          <w:szCs w:val="20"/>
          <w:lang w:val="es-ES"/>
        </w:rPr>
        <w:t xml:space="preserve">su hijo se encontraba privado de la libertad en el Penal Castro Castro, y según manifestó </w:t>
      </w:r>
      <w:r w:rsidR="00CB0E32" w:rsidRPr="008E2180">
        <w:rPr>
          <w:szCs w:val="20"/>
          <w:lang w:val="es-ES"/>
        </w:rPr>
        <w:t xml:space="preserve">su padre </w:t>
      </w:r>
      <w:r w:rsidR="00CB0E32">
        <w:rPr>
          <w:szCs w:val="20"/>
          <w:lang w:val="es-ES"/>
        </w:rPr>
        <w:t>ejercía como su abogado</w:t>
      </w:r>
      <w:r w:rsidRPr="000E68D2">
        <w:rPr>
          <w:szCs w:val="20"/>
          <w:lang w:val="es-ES"/>
        </w:rPr>
        <w:t xml:space="preserve">. En ese sentido, </w:t>
      </w:r>
      <w:r w:rsidR="00F478D5">
        <w:rPr>
          <w:szCs w:val="20"/>
          <w:lang w:val="es-AR"/>
        </w:rPr>
        <w:t>Wilfredo</w:t>
      </w:r>
      <w:r w:rsidRPr="00144A45">
        <w:rPr>
          <w:szCs w:val="20"/>
          <w:lang w:val="es-AR"/>
        </w:rPr>
        <w:t xml:space="preserve"> Terrones Landázuri </w:t>
      </w:r>
      <w:r>
        <w:rPr>
          <w:szCs w:val="20"/>
          <w:lang w:val="es-AR"/>
        </w:rPr>
        <w:t xml:space="preserve">en su </w:t>
      </w:r>
      <w:r w:rsidRPr="00144A45">
        <w:rPr>
          <w:szCs w:val="20"/>
          <w:lang w:val="es-AR"/>
        </w:rPr>
        <w:t xml:space="preserve">declaración indagatoria </w:t>
      </w:r>
      <w:r>
        <w:rPr>
          <w:szCs w:val="20"/>
          <w:lang w:val="es-AR"/>
        </w:rPr>
        <w:t xml:space="preserve">rendida </w:t>
      </w:r>
      <w:r w:rsidRPr="00144A45">
        <w:rPr>
          <w:szCs w:val="20"/>
          <w:lang w:val="es-AR"/>
        </w:rPr>
        <w:t xml:space="preserve">el 26 de enero de 2018 </w:t>
      </w:r>
      <w:r w:rsidRPr="00144A45">
        <w:rPr>
          <w:szCs w:val="20"/>
          <w:lang w:val="es-CR"/>
        </w:rPr>
        <w:t>ante la Segunda Fiscalía Penal Supraprovincial</w:t>
      </w:r>
      <w:r>
        <w:rPr>
          <w:szCs w:val="20"/>
          <w:lang w:val="es-CR"/>
        </w:rPr>
        <w:t>,</w:t>
      </w:r>
      <w:r w:rsidRPr="00144A45">
        <w:rPr>
          <w:szCs w:val="20"/>
          <w:lang w:val="es-CR"/>
        </w:rPr>
        <w:t xml:space="preserve"> manifestó que se enteró</w:t>
      </w:r>
      <w:r>
        <w:rPr>
          <w:szCs w:val="20"/>
          <w:lang w:val="es-CR"/>
        </w:rPr>
        <w:t>,</w:t>
      </w:r>
      <w:r w:rsidRPr="00144A45">
        <w:rPr>
          <w:szCs w:val="20"/>
          <w:lang w:val="es-CR"/>
        </w:rPr>
        <w:t xml:space="preserve"> a finales de agosto</w:t>
      </w:r>
      <w:r>
        <w:rPr>
          <w:szCs w:val="20"/>
          <w:lang w:val="es-CR"/>
        </w:rPr>
        <w:t xml:space="preserve"> de 1992, </w:t>
      </w:r>
      <w:r w:rsidRPr="00144A45">
        <w:rPr>
          <w:szCs w:val="20"/>
          <w:lang w:val="es-CR"/>
        </w:rPr>
        <w:t xml:space="preserve">cuando estaba privado de </w:t>
      </w:r>
      <w:r>
        <w:rPr>
          <w:szCs w:val="20"/>
          <w:lang w:val="es-CR"/>
        </w:rPr>
        <w:t xml:space="preserve">su </w:t>
      </w:r>
      <w:r w:rsidRPr="00144A45">
        <w:rPr>
          <w:szCs w:val="20"/>
          <w:lang w:val="es-CR"/>
        </w:rPr>
        <w:t>libertad, de la desaparición de su padre a través de un</w:t>
      </w:r>
      <w:r>
        <w:rPr>
          <w:szCs w:val="20"/>
          <w:lang w:val="es-CR"/>
        </w:rPr>
        <w:t xml:space="preserve"> delegado del Pabellón, quien le expresó que</w:t>
      </w:r>
      <w:r w:rsidRPr="00144A45">
        <w:rPr>
          <w:szCs w:val="20"/>
          <w:lang w:val="es-CR"/>
        </w:rPr>
        <w:t xml:space="preserve"> en la puerta del pen</w:t>
      </w:r>
      <w:r>
        <w:rPr>
          <w:szCs w:val="20"/>
          <w:lang w:val="es-CR"/>
        </w:rPr>
        <w:t xml:space="preserve">al personas no identificadas </w:t>
      </w:r>
      <w:r w:rsidRPr="00144A45">
        <w:rPr>
          <w:szCs w:val="20"/>
          <w:lang w:val="es-CR"/>
        </w:rPr>
        <w:t>secuestraron</w:t>
      </w:r>
      <w:r>
        <w:rPr>
          <w:szCs w:val="20"/>
          <w:lang w:val="es-CR"/>
        </w:rPr>
        <w:t xml:space="preserve"> al señor Terrones Silva</w:t>
      </w:r>
      <w:r w:rsidRPr="00144A45">
        <w:rPr>
          <w:szCs w:val="20"/>
          <w:lang w:val="es-CR"/>
        </w:rPr>
        <w:t>. Agregó que su madre “le contó que durante sus averiguaciones en esa época le habían dicho las personas que vendían flores en los alrededores del Penal Castro Castro que habían visto llegar a su padre y cruzar la tranquera de ingreso del Penal, pero no lo vieron salir” (</w:t>
      </w:r>
      <w:r w:rsidRPr="00144A45">
        <w:rPr>
          <w:i/>
          <w:szCs w:val="20"/>
          <w:lang w:val="es-CR"/>
        </w:rPr>
        <w:t>supra</w:t>
      </w:r>
      <w:r w:rsidR="00C95A78">
        <w:rPr>
          <w:szCs w:val="20"/>
          <w:lang w:val="es-CR"/>
        </w:rPr>
        <w:t xml:space="preserve"> pie de página 5</w:t>
      </w:r>
      <w:r w:rsidR="00871ABC">
        <w:rPr>
          <w:szCs w:val="20"/>
          <w:lang w:val="es-CR"/>
        </w:rPr>
        <w:t>2</w:t>
      </w:r>
      <w:r w:rsidRPr="00144A45">
        <w:rPr>
          <w:szCs w:val="20"/>
          <w:lang w:val="es-CR"/>
        </w:rPr>
        <w:t>).</w:t>
      </w:r>
      <w:r w:rsidRPr="00144A45">
        <w:rPr>
          <w:szCs w:val="20"/>
          <w:lang w:val="es-AR"/>
        </w:rPr>
        <w:t xml:space="preserve"> </w:t>
      </w:r>
      <w:r w:rsidRPr="00144A45">
        <w:rPr>
          <w:szCs w:val="20"/>
          <w:lang w:val="es-CR"/>
        </w:rPr>
        <w:t xml:space="preserve">Ello fue reiterado en términos similares en su declaración en la </w:t>
      </w:r>
      <w:r w:rsidR="00606A36">
        <w:rPr>
          <w:szCs w:val="20"/>
          <w:lang w:val="es-CR"/>
        </w:rPr>
        <w:t>audiencia pública ante este Tribunal</w:t>
      </w:r>
      <w:r>
        <w:rPr>
          <w:szCs w:val="20"/>
          <w:lang w:val="es-CR"/>
        </w:rPr>
        <w:t xml:space="preserve">. </w:t>
      </w:r>
      <w:r>
        <w:rPr>
          <w:szCs w:val="20"/>
          <w:lang w:val="es-ES"/>
        </w:rPr>
        <w:t xml:space="preserve">La Corte nota que dichas declaraciones son consistentes entre sí y con el patrón de desapariciones forzadas que existía en el momento en Perú. Todas ellas dan cuenta de que el señor Terrones Silva fue privado de su libertad por agentes estatales en las inmediaciones del </w:t>
      </w:r>
      <w:r w:rsidR="005E7EF6">
        <w:rPr>
          <w:szCs w:val="20"/>
          <w:lang w:val="es-ES"/>
        </w:rPr>
        <w:t>P</w:t>
      </w:r>
      <w:r>
        <w:rPr>
          <w:szCs w:val="20"/>
          <w:lang w:val="es-ES"/>
        </w:rPr>
        <w:t xml:space="preserve">enal Castro Castro, razón por la cual la Corte encuentra acreditados los </w:t>
      </w:r>
      <w:r>
        <w:rPr>
          <w:szCs w:val="20"/>
          <w:lang w:val="es-ES"/>
        </w:rPr>
        <w:lastRenderedPageBreak/>
        <w:t>dos primeros elementos constitutivos de la desaparición forzada.</w:t>
      </w:r>
    </w:p>
    <w:p w:rsidR="00873835" w:rsidRPr="002D754D" w:rsidRDefault="00873835" w:rsidP="00873835">
      <w:pPr>
        <w:pStyle w:val="ListParagraph"/>
        <w:widowControl w:val="0"/>
        <w:tabs>
          <w:tab w:val="left" w:pos="0"/>
        </w:tabs>
        <w:autoSpaceDE w:val="0"/>
        <w:autoSpaceDN w:val="0"/>
        <w:adjustRightInd w:val="0"/>
        <w:spacing w:line="20" w:lineRule="atLeast"/>
        <w:ind w:left="0" w:right="-138"/>
        <w:rPr>
          <w:szCs w:val="20"/>
          <w:lang w:val="es-AR"/>
        </w:rPr>
      </w:pPr>
    </w:p>
    <w:p w:rsidR="00873835" w:rsidRPr="00FD4C97" w:rsidRDefault="00873835" w:rsidP="00873835">
      <w:pPr>
        <w:pStyle w:val="ListParagraph"/>
        <w:numPr>
          <w:ilvl w:val="0"/>
          <w:numId w:val="1"/>
        </w:numPr>
        <w:autoSpaceDE w:val="0"/>
        <w:autoSpaceDN w:val="0"/>
        <w:adjustRightInd w:val="0"/>
        <w:spacing w:line="20" w:lineRule="atLeast"/>
        <w:ind w:left="0" w:right="-138" w:firstLine="0"/>
        <w:rPr>
          <w:szCs w:val="20"/>
          <w:lang w:val="es-AR"/>
        </w:rPr>
      </w:pPr>
      <w:r w:rsidRPr="005F337B">
        <w:rPr>
          <w:szCs w:val="20"/>
          <w:lang w:val="es-AR"/>
        </w:rPr>
        <w:t xml:space="preserve">Además, entre otros elementos se encuentra </w:t>
      </w:r>
      <w:r w:rsidRPr="005F337B">
        <w:rPr>
          <w:szCs w:val="20"/>
          <w:lang w:val="es-CR"/>
        </w:rPr>
        <w:t xml:space="preserve">una </w:t>
      </w:r>
      <w:r w:rsidRPr="005F337B">
        <w:rPr>
          <w:szCs w:val="20"/>
          <w:lang w:val="es-AR"/>
        </w:rPr>
        <w:t>nota periodística</w:t>
      </w:r>
      <w:r w:rsidR="000F1310">
        <w:rPr>
          <w:szCs w:val="20"/>
          <w:lang w:val="es-AR"/>
        </w:rPr>
        <w:t xml:space="preserve"> publicada en </w:t>
      </w:r>
      <w:r w:rsidRPr="005F337B">
        <w:rPr>
          <w:szCs w:val="20"/>
          <w:lang w:val="es-AR"/>
        </w:rPr>
        <w:t xml:space="preserve">el diario Caretas en la que se entrevista al señor Clemente Alayo Calderón, ex agente del Grupo Colina, </w:t>
      </w:r>
      <w:r w:rsidR="000F1310">
        <w:rPr>
          <w:szCs w:val="20"/>
          <w:lang w:val="es-AR"/>
        </w:rPr>
        <w:t>quien</w:t>
      </w:r>
      <w:r w:rsidR="005F337B">
        <w:rPr>
          <w:szCs w:val="20"/>
          <w:lang w:val="es-AR"/>
        </w:rPr>
        <w:t xml:space="preserve"> se refirió </w:t>
      </w:r>
      <w:r w:rsidR="00AE6E88">
        <w:rPr>
          <w:szCs w:val="20"/>
          <w:lang w:val="es-AR"/>
        </w:rPr>
        <w:t xml:space="preserve">a las prácticas de </w:t>
      </w:r>
      <w:r w:rsidR="005F337B">
        <w:rPr>
          <w:szCs w:val="20"/>
          <w:lang w:val="es-AR"/>
        </w:rPr>
        <w:t>los miembros de</w:t>
      </w:r>
      <w:r w:rsidRPr="005F337B">
        <w:rPr>
          <w:szCs w:val="20"/>
          <w:lang w:val="es-AR"/>
        </w:rPr>
        <w:t xml:space="preserve"> ese Grupo contra las personas identificadas como presuntos </w:t>
      </w:r>
      <w:r w:rsidRPr="00AE6E88">
        <w:rPr>
          <w:szCs w:val="20"/>
          <w:lang w:val="es-AR"/>
        </w:rPr>
        <w:t>terroristas y, una de estas, consistía e</w:t>
      </w:r>
      <w:r w:rsidR="00AE6E88" w:rsidRPr="00AE6E88">
        <w:rPr>
          <w:szCs w:val="20"/>
          <w:lang w:val="es-AR"/>
        </w:rPr>
        <w:t>n “depositar los cuerpos en bolsas” y posteriormente era arrojarlos “al mar o a algún lugar desértico”</w:t>
      </w:r>
      <w:r w:rsidRPr="00AE6E88">
        <w:rPr>
          <w:szCs w:val="20"/>
          <w:lang w:val="es-AR"/>
        </w:rPr>
        <w:t xml:space="preserve">, y </w:t>
      </w:r>
      <w:r w:rsidR="00AE6E88" w:rsidRPr="00AE6E88">
        <w:rPr>
          <w:szCs w:val="20"/>
          <w:lang w:val="es-AR"/>
        </w:rPr>
        <w:t>que uno de los cadáveres</w:t>
      </w:r>
      <w:r w:rsidR="000F1310">
        <w:rPr>
          <w:szCs w:val="20"/>
          <w:lang w:val="es-AR"/>
        </w:rPr>
        <w:t xml:space="preserve"> que sufrió esa suerte</w:t>
      </w:r>
      <w:r w:rsidR="00AE6E88" w:rsidRPr="00AE6E88">
        <w:rPr>
          <w:szCs w:val="20"/>
          <w:lang w:val="es-AR"/>
        </w:rPr>
        <w:t>, fue el de “</w:t>
      </w:r>
      <w:r w:rsidRPr="00AE6E88">
        <w:rPr>
          <w:szCs w:val="20"/>
          <w:lang w:val="es-AR"/>
        </w:rPr>
        <w:t>Wilfredo T</w:t>
      </w:r>
      <w:r w:rsidR="00AE6E88" w:rsidRPr="00AE6E88">
        <w:rPr>
          <w:szCs w:val="20"/>
          <w:lang w:val="es-AR"/>
        </w:rPr>
        <w:t>errones Silva”</w:t>
      </w:r>
      <w:r w:rsidRPr="00AE6E88">
        <w:rPr>
          <w:rStyle w:val="FootnoteReference"/>
          <w:sz w:val="20"/>
          <w:szCs w:val="20"/>
          <w:lang w:val="es-AR"/>
        </w:rPr>
        <w:footnoteReference w:id="238"/>
      </w:r>
      <w:r w:rsidRPr="00AE6E88">
        <w:rPr>
          <w:rFonts w:cs="Verdana"/>
          <w:szCs w:val="20"/>
          <w:lang w:val="es-AR"/>
        </w:rPr>
        <w:t>.</w:t>
      </w:r>
      <w:r w:rsidRPr="00AE6E88">
        <w:rPr>
          <w:szCs w:val="20"/>
          <w:lang w:val="es-AR"/>
        </w:rPr>
        <w:t xml:space="preserve"> </w:t>
      </w:r>
      <w:r w:rsidRPr="00B1720D">
        <w:rPr>
          <w:szCs w:val="20"/>
          <w:lang w:val="es-AR"/>
        </w:rPr>
        <w:t>Tal</w:t>
      </w:r>
      <w:r w:rsidRPr="00B1720D">
        <w:rPr>
          <w:rFonts w:cs="Verdana"/>
          <w:szCs w:val="20"/>
          <w:lang w:val="es-AR"/>
        </w:rPr>
        <w:t xml:space="preserve"> como lo ha señalado en múltiples ocasiones</w:t>
      </w:r>
      <w:r w:rsidR="000F7525" w:rsidRPr="00B1720D">
        <w:rPr>
          <w:rStyle w:val="FootnoteReference"/>
          <w:sz w:val="20"/>
          <w:szCs w:val="20"/>
          <w:lang w:val="es-AR"/>
        </w:rPr>
        <w:footnoteReference w:id="239"/>
      </w:r>
      <w:r w:rsidRPr="00B1720D">
        <w:rPr>
          <w:rFonts w:cs="Verdana"/>
          <w:szCs w:val="20"/>
          <w:lang w:val="es-AR"/>
        </w:rPr>
        <w:t>, este Tribunal considera que los documentos de prensa podrán ser apreciados cuando recojan hechos públicos y notorios o declaraciones de funcionarios del Estado, o cuando corroboren aspectos relacionados con el caso</w:t>
      </w:r>
      <w:r w:rsidRPr="00B1720D">
        <w:rPr>
          <w:szCs w:val="20"/>
          <w:lang w:val="es-AR"/>
        </w:rPr>
        <w:t>. Asimismo</w:t>
      </w:r>
      <w:r w:rsidR="00606A36">
        <w:rPr>
          <w:szCs w:val="20"/>
          <w:lang w:val="es-AR"/>
        </w:rPr>
        <w:t>, Wil</w:t>
      </w:r>
      <w:r w:rsidR="00F478D5">
        <w:rPr>
          <w:szCs w:val="20"/>
          <w:lang w:val="es-AR"/>
        </w:rPr>
        <w:t>fredo</w:t>
      </w:r>
      <w:r w:rsidRPr="00335007">
        <w:rPr>
          <w:szCs w:val="20"/>
          <w:lang w:val="es-AR"/>
        </w:rPr>
        <w:t xml:space="preserve"> Terrones </w:t>
      </w:r>
      <w:r w:rsidR="00F2053D">
        <w:rPr>
          <w:szCs w:val="20"/>
          <w:lang w:val="es-AR"/>
        </w:rPr>
        <w:t xml:space="preserve">Landázuri </w:t>
      </w:r>
      <w:r w:rsidR="00335007">
        <w:rPr>
          <w:szCs w:val="20"/>
          <w:lang w:val="es-AR"/>
        </w:rPr>
        <w:t>afirmó</w:t>
      </w:r>
      <w:r w:rsidRPr="00335007">
        <w:rPr>
          <w:szCs w:val="20"/>
          <w:lang w:val="es-AR"/>
        </w:rPr>
        <w:t xml:space="preserve"> igualmente que una persona le indicó que su padre fue tortu</w:t>
      </w:r>
      <w:r w:rsidR="00F2053D">
        <w:rPr>
          <w:szCs w:val="20"/>
          <w:lang w:val="es-AR"/>
        </w:rPr>
        <w:t>rado y asesinado, para luego arrojar</w:t>
      </w:r>
      <w:r w:rsidRPr="00335007">
        <w:rPr>
          <w:szCs w:val="20"/>
          <w:lang w:val="es-AR"/>
        </w:rPr>
        <w:t xml:space="preserve"> sus restos al mar</w:t>
      </w:r>
      <w:r w:rsidRPr="00335007">
        <w:rPr>
          <w:rStyle w:val="FootnoteReference"/>
          <w:sz w:val="20"/>
          <w:szCs w:val="20"/>
          <w:lang w:val="es-AR"/>
        </w:rPr>
        <w:footnoteReference w:id="240"/>
      </w:r>
      <w:r w:rsidRPr="00335007">
        <w:rPr>
          <w:szCs w:val="20"/>
          <w:lang w:val="es-AR"/>
        </w:rPr>
        <w:t>.</w:t>
      </w:r>
      <w:r w:rsidRPr="00FB3341">
        <w:rPr>
          <w:szCs w:val="20"/>
          <w:lang w:val="es-AR"/>
        </w:rPr>
        <w:t xml:space="preserve"> </w:t>
      </w:r>
      <w:r>
        <w:rPr>
          <w:szCs w:val="20"/>
          <w:lang w:val="es-AR"/>
        </w:rPr>
        <w:t>L</w:t>
      </w:r>
      <w:r w:rsidRPr="00FB3341">
        <w:rPr>
          <w:szCs w:val="20"/>
          <w:lang w:val="es-AR"/>
        </w:rPr>
        <w:t>a Corte advierte que estos son los únicos elementos aportados</w:t>
      </w:r>
      <w:r>
        <w:rPr>
          <w:szCs w:val="20"/>
          <w:lang w:val="es-AR"/>
        </w:rPr>
        <w:t xml:space="preserve"> en el expediente</w:t>
      </w:r>
      <w:r w:rsidRPr="00FB3341">
        <w:rPr>
          <w:szCs w:val="20"/>
          <w:lang w:val="es-AR"/>
        </w:rPr>
        <w:t xml:space="preserve"> que hacen referencia al posible paradero de Wilfredo Terrones Silva.</w:t>
      </w:r>
      <w:r w:rsidRPr="00FB3341">
        <w:rPr>
          <w:szCs w:val="20"/>
          <w:lang w:val="es-ES"/>
        </w:rPr>
        <w:t xml:space="preserve"> </w:t>
      </w:r>
      <w:r>
        <w:rPr>
          <w:szCs w:val="20"/>
          <w:lang w:val="es-ES"/>
        </w:rPr>
        <w:t>En ese sentido, la C</w:t>
      </w:r>
      <w:r w:rsidR="00C95A78">
        <w:rPr>
          <w:szCs w:val="20"/>
          <w:lang w:val="es-ES"/>
        </w:rPr>
        <w:t>orte nota</w:t>
      </w:r>
      <w:r>
        <w:rPr>
          <w:szCs w:val="20"/>
          <w:lang w:val="es-ES"/>
        </w:rPr>
        <w:t xml:space="preserve"> que </w:t>
      </w:r>
      <w:r w:rsidRPr="00FB3341">
        <w:rPr>
          <w:szCs w:val="20"/>
          <w:lang w:val="es-ES"/>
        </w:rPr>
        <w:t xml:space="preserve">pese a que al Estado tuvo conocimiento de los hechos desde agosto de </w:t>
      </w:r>
      <w:r w:rsidR="00C95A78">
        <w:rPr>
          <w:szCs w:val="20"/>
          <w:lang w:val="es-ES"/>
        </w:rPr>
        <w:t>1992, han transcurrido más de 2</w:t>
      </w:r>
      <w:r w:rsidR="00DE44FA">
        <w:rPr>
          <w:szCs w:val="20"/>
          <w:lang w:val="es-ES"/>
        </w:rPr>
        <w:t>6</w:t>
      </w:r>
      <w:r w:rsidRPr="00FB3341">
        <w:rPr>
          <w:szCs w:val="20"/>
          <w:lang w:val="es-ES"/>
        </w:rPr>
        <w:t xml:space="preserve"> años desde que desapareció, sin que en la actualidad se conozca su paradero, y sin que se haya concluido una investigación de </w:t>
      </w:r>
      <w:r>
        <w:rPr>
          <w:szCs w:val="20"/>
          <w:lang w:val="es-ES"/>
        </w:rPr>
        <w:t>lo ocurrido,</w:t>
      </w:r>
      <w:r w:rsidRPr="00FB3341">
        <w:rPr>
          <w:szCs w:val="20"/>
          <w:lang w:val="es-ES"/>
        </w:rPr>
        <w:t xml:space="preserve"> como se determina en el capítulo siguiente (</w:t>
      </w:r>
      <w:r w:rsidRPr="00FB3341">
        <w:rPr>
          <w:i/>
          <w:szCs w:val="20"/>
          <w:lang w:val="es-ES"/>
        </w:rPr>
        <w:t>infra</w:t>
      </w:r>
      <w:r w:rsidR="00C95A78">
        <w:rPr>
          <w:szCs w:val="20"/>
          <w:lang w:val="es-ES"/>
        </w:rPr>
        <w:t xml:space="preserve"> párr.</w:t>
      </w:r>
      <w:r w:rsidR="007F1C0C">
        <w:rPr>
          <w:szCs w:val="20"/>
          <w:lang w:val="es-ES"/>
        </w:rPr>
        <w:t xml:space="preserve"> </w:t>
      </w:r>
      <w:r w:rsidR="00A566D3">
        <w:rPr>
          <w:szCs w:val="20"/>
          <w:lang w:val="es-ES"/>
        </w:rPr>
        <w:t>220</w:t>
      </w:r>
      <w:r w:rsidRPr="00FB3341">
        <w:rPr>
          <w:szCs w:val="20"/>
          <w:lang w:val="es-ES"/>
        </w:rPr>
        <w:t>).</w:t>
      </w:r>
      <w:r>
        <w:rPr>
          <w:szCs w:val="20"/>
          <w:lang w:val="es-AR"/>
        </w:rPr>
        <w:t xml:space="preserve"> Tampoco el Estado ha </w:t>
      </w:r>
      <w:r w:rsidRPr="00FD4C97">
        <w:rPr>
          <w:szCs w:val="20"/>
          <w:lang w:val="es-AR"/>
        </w:rPr>
        <w:t>presentado alguna hipótesis distinta sobre su paradero</w:t>
      </w:r>
      <w:r>
        <w:rPr>
          <w:szCs w:val="20"/>
          <w:lang w:val="es-AR"/>
        </w:rPr>
        <w:t xml:space="preserve">. Sin embargo, </w:t>
      </w:r>
      <w:r w:rsidRPr="00FA2B33">
        <w:rPr>
          <w:szCs w:val="20"/>
          <w:lang w:val="es-ES"/>
        </w:rPr>
        <w:t xml:space="preserve">el Estado ha negado la existencia de la desaparición forzada del señor Terrones Silva basado en que no ha tenido resultados positivos en las diligencias realizadas para </w:t>
      </w:r>
      <w:r>
        <w:rPr>
          <w:szCs w:val="20"/>
          <w:lang w:val="es-ES"/>
        </w:rPr>
        <w:t>ubicar su</w:t>
      </w:r>
      <w:r w:rsidRPr="00FA2B33">
        <w:rPr>
          <w:szCs w:val="20"/>
          <w:lang w:val="es-ES"/>
        </w:rPr>
        <w:t xml:space="preserve"> paradero, por lo que consideró q</w:t>
      </w:r>
      <w:r>
        <w:rPr>
          <w:szCs w:val="20"/>
          <w:lang w:val="es-ES"/>
        </w:rPr>
        <w:t>ue se debía presumir que pasó</w:t>
      </w:r>
      <w:r w:rsidRPr="00FA2B33">
        <w:rPr>
          <w:szCs w:val="20"/>
          <w:lang w:val="es-ES"/>
        </w:rPr>
        <w:t xml:space="preserve"> a la clandestinidad</w:t>
      </w:r>
      <w:r w:rsidR="00C95A78">
        <w:rPr>
          <w:szCs w:val="20"/>
          <w:lang w:val="es-ES"/>
        </w:rPr>
        <w:t xml:space="preserve"> (</w:t>
      </w:r>
      <w:r w:rsidR="00C95A78" w:rsidRPr="00C95A78">
        <w:rPr>
          <w:i/>
          <w:szCs w:val="20"/>
          <w:lang w:val="es-ES"/>
        </w:rPr>
        <w:t>supra</w:t>
      </w:r>
      <w:r w:rsidR="00C95A78">
        <w:rPr>
          <w:szCs w:val="20"/>
          <w:lang w:val="es-ES"/>
        </w:rPr>
        <w:t xml:space="preserve"> párrs. 59 y 60)</w:t>
      </w:r>
      <w:r w:rsidRPr="00FA2B33">
        <w:rPr>
          <w:szCs w:val="20"/>
          <w:lang w:val="es-ES"/>
        </w:rPr>
        <w:t xml:space="preserve">. </w:t>
      </w:r>
    </w:p>
    <w:p w:rsidR="00873835" w:rsidRPr="00834703" w:rsidRDefault="00873835" w:rsidP="00873835">
      <w:pPr>
        <w:pStyle w:val="ListParagraph"/>
        <w:autoSpaceDE w:val="0"/>
        <w:autoSpaceDN w:val="0"/>
        <w:adjustRightInd w:val="0"/>
        <w:spacing w:line="20" w:lineRule="atLeast"/>
        <w:ind w:left="0" w:right="-138"/>
        <w:rPr>
          <w:szCs w:val="20"/>
          <w:highlight w:val="yellow"/>
          <w:lang w:val="es-AR"/>
        </w:rPr>
      </w:pPr>
    </w:p>
    <w:p w:rsidR="00873835" w:rsidRPr="0075639E" w:rsidRDefault="00873835" w:rsidP="00873835">
      <w:pPr>
        <w:pStyle w:val="ListParagraph"/>
        <w:widowControl w:val="0"/>
        <w:numPr>
          <w:ilvl w:val="0"/>
          <w:numId w:val="1"/>
        </w:numPr>
        <w:tabs>
          <w:tab w:val="left" w:pos="0"/>
        </w:tabs>
        <w:adjustRightInd w:val="0"/>
        <w:ind w:left="0" w:firstLine="0"/>
        <w:rPr>
          <w:lang w:val="es-ES"/>
        </w:rPr>
      </w:pPr>
      <w:r w:rsidRPr="0075639E">
        <w:rPr>
          <w:szCs w:val="20"/>
          <w:lang w:val="es-ES"/>
        </w:rPr>
        <w:t>De lo expuesto, la Corte concluye que la desaparición del señor Terrones Silva ocurrió en el contexto de una política estatal contrasubversiva que, dados los antecedentes y actividad de la víctima, lo colocaba en situación de alta vulnerabilidad ante la práctica sistemática de desaparición forzada con la intervención de agentes estatales de las personas sospechosas de pertenecer</w:t>
      </w:r>
      <w:r w:rsidR="000F1310">
        <w:rPr>
          <w:szCs w:val="20"/>
          <w:lang w:val="es-ES"/>
        </w:rPr>
        <w:t xml:space="preserve"> o simpatizar con</w:t>
      </w:r>
      <w:r w:rsidRPr="0075639E">
        <w:rPr>
          <w:szCs w:val="20"/>
          <w:lang w:val="es-ES"/>
        </w:rPr>
        <w:t xml:space="preserve"> Sendero Luminoso. A eso se suman los indicios derivados de la</w:t>
      </w:r>
      <w:r w:rsidR="003742F3">
        <w:rPr>
          <w:szCs w:val="20"/>
          <w:lang w:val="es-ES"/>
        </w:rPr>
        <w:t>s</w:t>
      </w:r>
      <w:r w:rsidRPr="0075639E">
        <w:rPr>
          <w:szCs w:val="20"/>
          <w:lang w:val="es-ES"/>
        </w:rPr>
        <w:t xml:space="preserve"> declaraci</w:t>
      </w:r>
      <w:r w:rsidR="003B7392">
        <w:rPr>
          <w:szCs w:val="20"/>
          <w:lang w:val="es-ES"/>
        </w:rPr>
        <w:t>o</w:t>
      </w:r>
      <w:r w:rsidRPr="0075639E">
        <w:rPr>
          <w:szCs w:val="20"/>
          <w:lang w:val="es-ES"/>
        </w:rPr>
        <w:t>n</w:t>
      </w:r>
      <w:r w:rsidR="003742F3">
        <w:rPr>
          <w:szCs w:val="20"/>
          <w:lang w:val="es-ES"/>
        </w:rPr>
        <w:t>es</w:t>
      </w:r>
      <w:r w:rsidRPr="0075639E">
        <w:rPr>
          <w:szCs w:val="20"/>
          <w:lang w:val="es-ES"/>
        </w:rPr>
        <w:t xml:space="preserve"> de</w:t>
      </w:r>
      <w:r w:rsidR="003742F3">
        <w:rPr>
          <w:szCs w:val="20"/>
          <w:lang w:val="es-ES"/>
        </w:rPr>
        <w:t xml:space="preserve"> Wilfredo Terrones </w:t>
      </w:r>
      <w:r w:rsidR="003742F3" w:rsidRPr="00A309FA">
        <w:t>Landázur</w:t>
      </w:r>
      <w:r w:rsidR="003742F3">
        <w:t>i</w:t>
      </w:r>
      <w:r w:rsidRPr="0075639E">
        <w:rPr>
          <w:szCs w:val="20"/>
          <w:lang w:val="es-ES"/>
        </w:rPr>
        <w:t>, que la última noticia de la presencia del señor Terrones Silva fue en las inmediaciones del penal donde estaba privado de libertad su hijo</w:t>
      </w:r>
      <w:r w:rsidR="00BC0A84">
        <w:rPr>
          <w:szCs w:val="20"/>
          <w:lang w:val="es-ES"/>
        </w:rPr>
        <w:t>,</w:t>
      </w:r>
      <w:r w:rsidRPr="0075639E">
        <w:rPr>
          <w:szCs w:val="20"/>
          <w:lang w:val="es-ES"/>
        </w:rPr>
        <w:t xml:space="preserve"> a su vez</w:t>
      </w:r>
      <w:r w:rsidR="00BC0A84">
        <w:rPr>
          <w:szCs w:val="20"/>
          <w:lang w:val="es-ES"/>
        </w:rPr>
        <w:t>,</w:t>
      </w:r>
      <w:r w:rsidRPr="0075639E">
        <w:rPr>
          <w:szCs w:val="20"/>
          <w:lang w:val="es-ES"/>
        </w:rPr>
        <w:t xml:space="preserve"> señalado como miembro del grupo terrorista, </w:t>
      </w:r>
      <w:r w:rsidR="000F1310">
        <w:rPr>
          <w:szCs w:val="20"/>
          <w:lang w:val="es-ES"/>
        </w:rPr>
        <w:t xml:space="preserve">que su presencia en el lugar obedecía a una supuesta llamada que habría recibido en la cual le alertaban sobre el peligro que corría su hijo, </w:t>
      </w:r>
      <w:r w:rsidR="000F1310" w:rsidRPr="0075639E">
        <w:rPr>
          <w:szCs w:val="20"/>
          <w:lang w:val="es-ES"/>
        </w:rPr>
        <w:t xml:space="preserve">a </w:t>
      </w:r>
      <w:r w:rsidR="000F1310">
        <w:rPr>
          <w:szCs w:val="20"/>
          <w:lang w:val="es-ES"/>
        </w:rPr>
        <w:t xml:space="preserve">lo cual </w:t>
      </w:r>
      <w:r w:rsidR="000F1310" w:rsidRPr="0075639E">
        <w:rPr>
          <w:szCs w:val="20"/>
          <w:lang w:val="es-ES"/>
        </w:rPr>
        <w:t xml:space="preserve">cabría agregar la publicación de la declaración periodística de un </w:t>
      </w:r>
      <w:r w:rsidR="000F1310">
        <w:rPr>
          <w:szCs w:val="20"/>
          <w:lang w:val="es-ES"/>
        </w:rPr>
        <w:t>miembro de las fuerzas de seguridad del Estado en la cua</w:t>
      </w:r>
      <w:r w:rsidR="007F1C0C">
        <w:rPr>
          <w:szCs w:val="20"/>
          <w:lang w:val="es-ES"/>
        </w:rPr>
        <w:t>l menciona que el cadáver del señor</w:t>
      </w:r>
      <w:r w:rsidR="000F1310">
        <w:rPr>
          <w:szCs w:val="20"/>
          <w:lang w:val="es-ES"/>
        </w:rPr>
        <w:t>. Terrones Silva habría sido arrojado al mar</w:t>
      </w:r>
      <w:r w:rsidR="000F1310" w:rsidRPr="0075639E">
        <w:rPr>
          <w:szCs w:val="20"/>
          <w:lang w:val="es-ES"/>
        </w:rPr>
        <w:t xml:space="preserve">, la negación de toda </w:t>
      </w:r>
      <w:r w:rsidR="000F1310" w:rsidRPr="0075639E">
        <w:rPr>
          <w:szCs w:val="20"/>
          <w:lang w:val="es-ES"/>
        </w:rPr>
        <w:lastRenderedPageBreak/>
        <w:t>información por parte del Estado</w:t>
      </w:r>
      <w:r w:rsidR="000F1310">
        <w:rPr>
          <w:szCs w:val="20"/>
          <w:lang w:val="es-ES"/>
        </w:rPr>
        <w:t xml:space="preserve"> sobre su paradero</w:t>
      </w:r>
      <w:r w:rsidR="000F1310" w:rsidRPr="0075639E">
        <w:rPr>
          <w:szCs w:val="20"/>
          <w:lang w:val="es-ES"/>
        </w:rPr>
        <w:t xml:space="preserve"> y la manifestación estatal que presume un supuesto paso a la clandestinidad, con lo que se reitera que lo consideraba claramente como integrante del grupo terrorista,</w:t>
      </w:r>
      <w:r w:rsidRPr="0075639E">
        <w:rPr>
          <w:szCs w:val="20"/>
          <w:lang w:val="es-ES"/>
        </w:rPr>
        <w:t xml:space="preserve"> sin contar con la objetividad de las casi tres décadas transcurridas sin que se tuviera noticia del señor Terrones Silva.</w:t>
      </w:r>
    </w:p>
    <w:p w:rsidR="00873835" w:rsidRPr="007B0B62" w:rsidRDefault="00873835" w:rsidP="00873835">
      <w:pPr>
        <w:pStyle w:val="ListParagraph"/>
        <w:rPr>
          <w:b/>
          <w:lang w:val="es-ES"/>
        </w:rPr>
      </w:pPr>
    </w:p>
    <w:p w:rsidR="00873835" w:rsidRPr="00FD6009" w:rsidRDefault="00873835" w:rsidP="00873835">
      <w:pPr>
        <w:pStyle w:val="ListParagraph"/>
        <w:widowControl w:val="0"/>
        <w:numPr>
          <w:ilvl w:val="0"/>
          <w:numId w:val="1"/>
        </w:numPr>
        <w:tabs>
          <w:tab w:val="left" w:pos="0"/>
        </w:tabs>
        <w:adjustRightInd w:val="0"/>
        <w:ind w:left="0" w:firstLine="0"/>
        <w:rPr>
          <w:b/>
          <w:lang w:val="es-ES"/>
        </w:rPr>
      </w:pPr>
      <w:r w:rsidRPr="00FD6009">
        <w:rPr>
          <w:szCs w:val="20"/>
          <w:lang w:val="es-ES"/>
        </w:rPr>
        <w:t xml:space="preserve">En consecuencia, </w:t>
      </w:r>
      <w:r w:rsidRPr="00FD6009">
        <w:rPr>
          <w:szCs w:val="20"/>
          <w:lang w:val="es-AR"/>
        </w:rPr>
        <w:t>teniendo en cuenta el carácter pluriofensivo de la desaparición forzada de personas (</w:t>
      </w:r>
      <w:r w:rsidRPr="00FD6009">
        <w:rPr>
          <w:i/>
          <w:szCs w:val="20"/>
          <w:lang w:val="es-AR"/>
        </w:rPr>
        <w:t>supra</w:t>
      </w:r>
      <w:r w:rsidRPr="00FD6009">
        <w:rPr>
          <w:szCs w:val="20"/>
          <w:lang w:val="es-AR"/>
        </w:rPr>
        <w:t xml:space="preserve"> párr. 134),</w:t>
      </w:r>
      <w:r w:rsidRPr="00FD6009">
        <w:rPr>
          <w:szCs w:val="20"/>
          <w:lang w:val="es-ES"/>
        </w:rPr>
        <w:t xml:space="preserve"> </w:t>
      </w:r>
      <w:r w:rsidRPr="00FD6009">
        <w:rPr>
          <w:szCs w:val="20"/>
          <w:lang w:val="es-AR"/>
        </w:rPr>
        <w:t>este Tribunal concluye que el Estado es responsable de la violación de los derechos reconocidos en los artículos 7, 5.1, 5.2, 4.1 y 3 de la Convención Americana, en relación con el artículo 1.1 de la misma y con lo dispuesto en el artículo I.a) de la Convención Interamericana sobre Desaparición Forzada, en perjuicio de Wilfredo Terrones Silva.</w:t>
      </w:r>
    </w:p>
    <w:p w:rsidR="00873835" w:rsidRPr="007B0B62" w:rsidRDefault="00873835" w:rsidP="00873835">
      <w:pPr>
        <w:pStyle w:val="ListParagraph"/>
        <w:rPr>
          <w:szCs w:val="20"/>
          <w:lang w:val="es-AR"/>
        </w:rPr>
      </w:pPr>
    </w:p>
    <w:p w:rsidR="00873835" w:rsidRPr="00F27325" w:rsidRDefault="00873835" w:rsidP="00873835">
      <w:pPr>
        <w:pStyle w:val="Heading3"/>
        <w:spacing w:before="0"/>
        <w:ind w:firstLine="720"/>
        <w:rPr>
          <w:i/>
          <w:szCs w:val="20"/>
        </w:rPr>
      </w:pPr>
      <w:bookmarkStart w:id="170" w:name="_Toc399131805"/>
      <w:bookmarkStart w:id="171" w:name="_Toc527993543"/>
      <w:r>
        <w:rPr>
          <w:i/>
          <w:szCs w:val="20"/>
        </w:rPr>
        <w:t xml:space="preserve">B.3. </w:t>
      </w:r>
      <w:r w:rsidRPr="00F27325">
        <w:rPr>
          <w:i/>
          <w:szCs w:val="20"/>
        </w:rPr>
        <w:t>Desaparición Forzada de Teresa Díaz Aparicio</w:t>
      </w:r>
      <w:bookmarkEnd w:id="170"/>
      <w:bookmarkEnd w:id="171"/>
    </w:p>
    <w:p w:rsidR="00873835" w:rsidRPr="00144A45" w:rsidRDefault="00873835" w:rsidP="00873835">
      <w:pPr>
        <w:rPr>
          <w:b/>
          <w:szCs w:val="20"/>
        </w:rPr>
      </w:pPr>
    </w:p>
    <w:p w:rsidR="00873835" w:rsidRPr="00986C71" w:rsidRDefault="00873835" w:rsidP="00873835">
      <w:pPr>
        <w:pStyle w:val="ListParagraph"/>
        <w:numPr>
          <w:ilvl w:val="0"/>
          <w:numId w:val="1"/>
        </w:numPr>
        <w:autoSpaceDE w:val="0"/>
        <w:autoSpaceDN w:val="0"/>
        <w:adjustRightInd w:val="0"/>
        <w:spacing w:line="20" w:lineRule="atLeast"/>
        <w:ind w:left="0" w:right="-138" w:firstLine="0"/>
        <w:rPr>
          <w:szCs w:val="20"/>
          <w:lang w:val="es-ES"/>
        </w:rPr>
      </w:pPr>
      <w:r w:rsidRPr="00986C71">
        <w:rPr>
          <w:szCs w:val="20"/>
          <w:lang w:val="es-AR"/>
        </w:rPr>
        <w:t xml:space="preserve">Teresa Díaz Aparicio fue vista por última vez el 19 de agosto de 1992. </w:t>
      </w:r>
      <w:r w:rsidRPr="00986C71">
        <w:rPr>
          <w:szCs w:val="20"/>
          <w:lang w:val="es-ES"/>
        </w:rPr>
        <w:t xml:space="preserve">Su desaparición fue denunciada </w:t>
      </w:r>
      <w:r w:rsidRPr="00986C71">
        <w:rPr>
          <w:szCs w:val="20"/>
          <w:lang w:val="es-AR"/>
        </w:rPr>
        <w:t>el 25 de febrero de 2002 por su hermano Federico Díaz Aparicio, cuando presentó un recurso de hábeas corpus contra el Director de la DINCOTE y el Ministro de Justicia (</w:t>
      </w:r>
      <w:r w:rsidRPr="00986C71">
        <w:rPr>
          <w:i/>
          <w:szCs w:val="20"/>
          <w:lang w:val="es-AR"/>
        </w:rPr>
        <w:t>supra</w:t>
      </w:r>
      <w:r w:rsidRPr="00986C71">
        <w:rPr>
          <w:szCs w:val="20"/>
          <w:lang w:val="es-AR"/>
        </w:rPr>
        <w:t xml:space="preserve"> párr</w:t>
      </w:r>
      <w:r w:rsidR="00986C71">
        <w:rPr>
          <w:szCs w:val="20"/>
          <w:lang w:val="es-AR"/>
        </w:rPr>
        <w:t>s. 67 y 70</w:t>
      </w:r>
      <w:r w:rsidRPr="00986C71">
        <w:rPr>
          <w:szCs w:val="20"/>
          <w:lang w:val="es-AR"/>
        </w:rPr>
        <w:t xml:space="preserve">). El 31 de julio de 2002 su hermano manifestó ante la Comisión de la Verdad y Reconciliación que su familia no había </w:t>
      </w:r>
      <w:r w:rsidRPr="00986C71">
        <w:rPr>
          <w:szCs w:val="20"/>
          <w:lang w:val="es-CR"/>
        </w:rPr>
        <w:t>denunciado</w:t>
      </w:r>
      <w:r w:rsidRPr="00986C71">
        <w:rPr>
          <w:szCs w:val="20"/>
          <w:lang w:val="es-AR"/>
        </w:rPr>
        <w:t xml:space="preserve"> la desaparición de su hermana por temor, ya que en esa época continuaba con seguimiento de la DINCOTE</w:t>
      </w:r>
      <w:r w:rsidR="00986C71">
        <w:rPr>
          <w:szCs w:val="20"/>
          <w:lang w:val="es-AR"/>
        </w:rPr>
        <w:t xml:space="preserve"> (</w:t>
      </w:r>
      <w:r w:rsidR="00986C71" w:rsidRPr="00986C71">
        <w:rPr>
          <w:i/>
          <w:szCs w:val="20"/>
          <w:lang w:val="es-AR"/>
        </w:rPr>
        <w:t>supra</w:t>
      </w:r>
      <w:r w:rsidR="00986C71">
        <w:rPr>
          <w:szCs w:val="20"/>
          <w:lang w:val="es-AR"/>
        </w:rPr>
        <w:t xml:space="preserve"> párr. 69)</w:t>
      </w:r>
      <w:r w:rsidRPr="00986C71">
        <w:rPr>
          <w:szCs w:val="20"/>
          <w:lang w:val="es-AR"/>
        </w:rPr>
        <w:t>.</w:t>
      </w:r>
    </w:p>
    <w:p w:rsidR="00873835" w:rsidRPr="00904D50" w:rsidRDefault="00873835" w:rsidP="00873835">
      <w:pPr>
        <w:pStyle w:val="ListParagraph"/>
        <w:autoSpaceDE w:val="0"/>
        <w:autoSpaceDN w:val="0"/>
        <w:adjustRightInd w:val="0"/>
        <w:spacing w:line="20" w:lineRule="atLeast"/>
        <w:ind w:left="0" w:right="-138"/>
        <w:rPr>
          <w:szCs w:val="20"/>
          <w:lang w:val="es-ES"/>
        </w:rPr>
      </w:pPr>
    </w:p>
    <w:p w:rsidR="00873835" w:rsidRPr="002D754D" w:rsidRDefault="00873835" w:rsidP="00873835">
      <w:pPr>
        <w:pStyle w:val="ListParagraph"/>
        <w:numPr>
          <w:ilvl w:val="0"/>
          <w:numId w:val="1"/>
        </w:numPr>
        <w:autoSpaceDE w:val="0"/>
        <w:autoSpaceDN w:val="0"/>
        <w:adjustRightInd w:val="0"/>
        <w:spacing w:line="20" w:lineRule="atLeast"/>
        <w:ind w:left="0" w:right="-138" w:firstLine="0"/>
        <w:rPr>
          <w:szCs w:val="20"/>
          <w:lang w:val="es-ES"/>
        </w:rPr>
      </w:pPr>
      <w:r w:rsidRPr="00986C71">
        <w:rPr>
          <w:szCs w:val="20"/>
          <w:lang w:val="es-ES"/>
        </w:rPr>
        <w:t>La</w:t>
      </w:r>
      <w:r w:rsidR="00986C71" w:rsidRPr="00986C71">
        <w:rPr>
          <w:szCs w:val="20"/>
          <w:lang w:val="es-ES"/>
        </w:rPr>
        <w:t xml:space="preserve"> Corte not</w:t>
      </w:r>
      <w:r w:rsidRPr="00986C71">
        <w:rPr>
          <w:szCs w:val="20"/>
          <w:lang w:val="es-ES"/>
        </w:rPr>
        <w:t>a que la desaparición de Teresa Díaz Aparicio se enmarca en un contexto de desaparición</w:t>
      </w:r>
      <w:r w:rsidRPr="00904D50">
        <w:rPr>
          <w:szCs w:val="20"/>
          <w:lang w:val="es-ES"/>
        </w:rPr>
        <w:t xml:space="preserve"> forzada de personas que </w:t>
      </w:r>
      <w:r>
        <w:rPr>
          <w:szCs w:val="20"/>
          <w:lang w:val="es-ES"/>
        </w:rPr>
        <w:t xml:space="preserve">comprendió </w:t>
      </w:r>
      <w:r w:rsidRPr="00904D50">
        <w:rPr>
          <w:szCs w:val="20"/>
          <w:lang w:val="es-ES"/>
        </w:rPr>
        <w:t xml:space="preserve">a docentes universitarios de la Universidad Nacional </w:t>
      </w:r>
      <w:r w:rsidR="00986C71">
        <w:rPr>
          <w:szCs w:val="20"/>
          <w:lang w:val="es-ES"/>
        </w:rPr>
        <w:t xml:space="preserve">Mayor </w:t>
      </w:r>
      <w:r w:rsidRPr="00904D50">
        <w:rPr>
          <w:szCs w:val="20"/>
          <w:lang w:val="es-ES"/>
        </w:rPr>
        <w:t xml:space="preserve">de San Marcos que eran asociados con </w:t>
      </w:r>
      <w:r>
        <w:rPr>
          <w:szCs w:val="20"/>
          <w:lang w:val="es-ES"/>
        </w:rPr>
        <w:t>PCP-SL</w:t>
      </w:r>
      <w:r w:rsidRPr="00904D50">
        <w:rPr>
          <w:szCs w:val="20"/>
          <w:lang w:val="es-ES"/>
        </w:rPr>
        <w:t xml:space="preserve">. En ese sentido, la señora Díaz Aparicio, no sólo </w:t>
      </w:r>
      <w:r>
        <w:rPr>
          <w:szCs w:val="20"/>
          <w:lang w:val="es-ES"/>
        </w:rPr>
        <w:t xml:space="preserve">encajaba en este </w:t>
      </w:r>
      <w:r w:rsidRPr="00904D50">
        <w:rPr>
          <w:szCs w:val="20"/>
          <w:lang w:val="es-ES"/>
        </w:rPr>
        <w:t xml:space="preserve">perfil como docente universitaria, sino que además había sido </w:t>
      </w:r>
      <w:r w:rsidRPr="002D754D">
        <w:rPr>
          <w:szCs w:val="20"/>
          <w:lang w:val="es-ES"/>
        </w:rPr>
        <w:t>objeto de distintas diligencias de investigación en su contra, tales como registro de su domicilio, detención, indagación respecto a documentos incautados en su domicilio (</w:t>
      </w:r>
      <w:r w:rsidRPr="002D754D">
        <w:rPr>
          <w:i/>
          <w:szCs w:val="20"/>
          <w:lang w:val="es-ES"/>
        </w:rPr>
        <w:t>supra</w:t>
      </w:r>
      <w:r w:rsidR="00986C71">
        <w:rPr>
          <w:szCs w:val="20"/>
          <w:lang w:val="es-ES"/>
        </w:rPr>
        <w:t xml:space="preserve"> párr. 66</w:t>
      </w:r>
      <w:r w:rsidRPr="002D754D">
        <w:rPr>
          <w:szCs w:val="20"/>
          <w:lang w:val="es-ES"/>
        </w:rPr>
        <w:t xml:space="preserve">). La detención ocurrió el 27 de marzo de 1989 </w:t>
      </w:r>
      <w:r w:rsidR="00BC0A84">
        <w:rPr>
          <w:szCs w:val="20"/>
          <w:lang w:val="es-ES"/>
        </w:rPr>
        <w:t xml:space="preserve">y el </w:t>
      </w:r>
      <w:r w:rsidR="00986C71">
        <w:rPr>
          <w:szCs w:val="20"/>
          <w:lang w:val="es-ES"/>
        </w:rPr>
        <w:t xml:space="preserve">5 de abril de 1989 la Policía Nacional concluyó que “pertenecía al </w:t>
      </w:r>
      <w:r w:rsidRPr="002D754D">
        <w:rPr>
          <w:szCs w:val="20"/>
          <w:lang w:val="es-ES"/>
        </w:rPr>
        <w:t>aparato de apoyo del PCP-SL”. Además, en una declaración rendida por su hermano Federico Díaz Aparicio manifestó que posteriormente a su liberación en abril de 1989, ella fue vigilada por la DINCOTE</w:t>
      </w:r>
      <w:r w:rsidR="00986C71">
        <w:rPr>
          <w:szCs w:val="20"/>
          <w:lang w:val="es-ES"/>
        </w:rPr>
        <w:t xml:space="preserve"> </w:t>
      </w:r>
      <w:r w:rsidR="00986C71" w:rsidRPr="002D754D">
        <w:rPr>
          <w:szCs w:val="20"/>
          <w:lang w:val="es-ES"/>
        </w:rPr>
        <w:t>(</w:t>
      </w:r>
      <w:r w:rsidR="00986C71" w:rsidRPr="002D754D">
        <w:rPr>
          <w:i/>
          <w:szCs w:val="20"/>
          <w:lang w:val="es-ES"/>
        </w:rPr>
        <w:t>supra</w:t>
      </w:r>
      <w:r w:rsidR="00986C71">
        <w:rPr>
          <w:szCs w:val="20"/>
          <w:lang w:val="es-ES"/>
        </w:rPr>
        <w:t xml:space="preserve"> párr. 7</w:t>
      </w:r>
      <w:r w:rsidR="002F6DAF">
        <w:rPr>
          <w:szCs w:val="20"/>
          <w:lang w:val="es-ES"/>
        </w:rPr>
        <w:t>6</w:t>
      </w:r>
      <w:r w:rsidR="00986C71" w:rsidRPr="002D754D">
        <w:rPr>
          <w:szCs w:val="20"/>
          <w:lang w:val="es-ES"/>
        </w:rPr>
        <w:t>)</w:t>
      </w:r>
      <w:r w:rsidRPr="002D754D">
        <w:rPr>
          <w:szCs w:val="20"/>
          <w:lang w:val="es-ES"/>
        </w:rPr>
        <w:t xml:space="preserve">. </w:t>
      </w:r>
    </w:p>
    <w:p w:rsidR="00873835" w:rsidRPr="002D754D" w:rsidRDefault="00873835" w:rsidP="00873835">
      <w:pPr>
        <w:pStyle w:val="ListParagraph"/>
        <w:rPr>
          <w:szCs w:val="20"/>
          <w:lang w:val="es-ES"/>
        </w:rPr>
      </w:pPr>
    </w:p>
    <w:p w:rsidR="00873835" w:rsidRPr="00C75EC5" w:rsidRDefault="00873835" w:rsidP="00873835">
      <w:pPr>
        <w:pStyle w:val="ListParagraph"/>
        <w:numPr>
          <w:ilvl w:val="0"/>
          <w:numId w:val="1"/>
        </w:numPr>
        <w:autoSpaceDE w:val="0"/>
        <w:autoSpaceDN w:val="0"/>
        <w:adjustRightInd w:val="0"/>
        <w:spacing w:line="20" w:lineRule="atLeast"/>
        <w:ind w:left="0" w:right="-138" w:firstLine="0"/>
        <w:rPr>
          <w:szCs w:val="20"/>
          <w:lang w:val="es-AR"/>
        </w:rPr>
      </w:pPr>
      <w:r w:rsidRPr="00986C71">
        <w:rPr>
          <w:szCs w:val="20"/>
          <w:lang w:val="es-ES"/>
        </w:rPr>
        <w:t>L</w:t>
      </w:r>
      <w:r w:rsidRPr="00986C71">
        <w:rPr>
          <w:szCs w:val="20"/>
          <w:lang w:val="es-AR"/>
        </w:rPr>
        <w:t>a Corte nota que desde el 19 de agosto de 1992 no existe rastro alguno sobre el paradero</w:t>
      </w:r>
      <w:r w:rsidRPr="00986C71">
        <w:rPr>
          <w:szCs w:val="20"/>
          <w:lang w:val="es-ES"/>
        </w:rPr>
        <w:t xml:space="preserve"> de la señora Díaz Aparicio</w:t>
      </w:r>
      <w:r w:rsidRPr="00986C71">
        <w:rPr>
          <w:szCs w:val="20"/>
          <w:lang w:val="es-AR"/>
        </w:rPr>
        <w:t xml:space="preserve">, y que desde el 25 de febrero de 2002 el Estado tenía conocimiento de su desaparición con la presentación del hábeas corpus planteado por su hermano Federico </w:t>
      </w:r>
      <w:r w:rsidRPr="003471EE">
        <w:rPr>
          <w:szCs w:val="20"/>
          <w:lang w:val="es-AR"/>
        </w:rPr>
        <w:t xml:space="preserve">Díaz Aparicio, sin que haya presentado alguna hipótesis distinta sobre su paradero. </w:t>
      </w:r>
      <w:r w:rsidRPr="003471EE">
        <w:rPr>
          <w:szCs w:val="20"/>
          <w:lang w:val="es-ES"/>
        </w:rPr>
        <w:t>Además, la Segunda Fiscalía Penal Supraprovincial emitió un dictamen el 13 de febrero de 2009, en el cual se señala que la señora Díaz Aparicio fue víctima de una desaparición forzada (</w:t>
      </w:r>
      <w:r w:rsidRPr="003471EE">
        <w:rPr>
          <w:i/>
          <w:szCs w:val="20"/>
          <w:lang w:val="es-ES"/>
        </w:rPr>
        <w:t>supra</w:t>
      </w:r>
      <w:r w:rsidR="00986C71" w:rsidRPr="003471EE">
        <w:rPr>
          <w:szCs w:val="20"/>
          <w:lang w:val="es-ES"/>
        </w:rPr>
        <w:t xml:space="preserve"> párr. 78</w:t>
      </w:r>
      <w:r w:rsidRPr="003471EE">
        <w:rPr>
          <w:szCs w:val="20"/>
          <w:lang w:val="es-ES"/>
        </w:rPr>
        <w:t>), dado que había sido miembro del aparato de apoyo del Partido Comunista del Perú, y que había</w:t>
      </w:r>
      <w:r w:rsidRPr="00986C71">
        <w:rPr>
          <w:szCs w:val="20"/>
          <w:lang w:val="es-ES"/>
        </w:rPr>
        <w:t xml:space="preserve"> sido objeto de un allanamiento y detención por parte de funcionarios estatales en las circunstancias descritas en el párrafo anterior. </w:t>
      </w:r>
    </w:p>
    <w:p w:rsidR="00873835" w:rsidRPr="00904D50" w:rsidRDefault="00873835" w:rsidP="00873835">
      <w:pPr>
        <w:pStyle w:val="ListParagraph"/>
        <w:autoSpaceDE w:val="0"/>
        <w:autoSpaceDN w:val="0"/>
        <w:adjustRightInd w:val="0"/>
        <w:spacing w:line="20" w:lineRule="atLeast"/>
        <w:ind w:left="0" w:right="-138"/>
        <w:rPr>
          <w:szCs w:val="20"/>
          <w:lang w:val="es-ES"/>
        </w:rPr>
      </w:pPr>
    </w:p>
    <w:p w:rsidR="00873835" w:rsidRPr="00986C71" w:rsidRDefault="00873835" w:rsidP="00873835">
      <w:pPr>
        <w:pStyle w:val="ListParagraph"/>
        <w:numPr>
          <w:ilvl w:val="0"/>
          <w:numId w:val="1"/>
        </w:numPr>
        <w:autoSpaceDE w:val="0"/>
        <w:autoSpaceDN w:val="0"/>
        <w:adjustRightInd w:val="0"/>
        <w:spacing w:line="20" w:lineRule="atLeast"/>
        <w:ind w:left="0" w:right="-138" w:firstLine="0"/>
        <w:rPr>
          <w:rFonts w:cs="Verdana"/>
          <w:szCs w:val="20"/>
          <w:lang w:val="es-DO"/>
        </w:rPr>
      </w:pPr>
      <w:r w:rsidRPr="00986C71">
        <w:rPr>
          <w:szCs w:val="20"/>
          <w:lang w:val="es-AR"/>
        </w:rPr>
        <w:t xml:space="preserve">Por su parte, la Corte </w:t>
      </w:r>
      <w:r w:rsidR="003742F3">
        <w:rPr>
          <w:szCs w:val="20"/>
          <w:lang w:val="es-AR"/>
        </w:rPr>
        <w:t xml:space="preserve">observa </w:t>
      </w:r>
      <w:r w:rsidRPr="00986C71">
        <w:rPr>
          <w:szCs w:val="20"/>
          <w:lang w:val="es-AR"/>
        </w:rPr>
        <w:t xml:space="preserve">que en el caso específico de Teresa Díaz Aparicio, la Dirección de Investigación Criminal del Departamento de Homicidios de la Policía Nacional estimó que “es presumible” </w:t>
      </w:r>
      <w:r w:rsidR="00986C71" w:rsidRPr="00986C71">
        <w:rPr>
          <w:szCs w:val="20"/>
          <w:lang w:val="es-AR"/>
        </w:rPr>
        <w:t xml:space="preserve">que “pasó a la clandestinidad” </w:t>
      </w:r>
      <w:r w:rsidRPr="00986C71">
        <w:rPr>
          <w:szCs w:val="20"/>
          <w:lang w:val="es-AR"/>
        </w:rPr>
        <w:t>(</w:t>
      </w:r>
      <w:r w:rsidRPr="00986C71">
        <w:rPr>
          <w:i/>
          <w:szCs w:val="20"/>
          <w:lang w:val="es-AR"/>
        </w:rPr>
        <w:t xml:space="preserve">supra </w:t>
      </w:r>
      <w:r w:rsidR="00986C71" w:rsidRPr="00986C71">
        <w:rPr>
          <w:szCs w:val="20"/>
          <w:lang w:val="es-AR"/>
        </w:rPr>
        <w:t>párr. 74</w:t>
      </w:r>
      <w:r w:rsidR="007F1C0C">
        <w:rPr>
          <w:szCs w:val="20"/>
          <w:lang w:val="es-AR"/>
        </w:rPr>
        <w:t>).</w:t>
      </w:r>
      <w:r w:rsidRPr="00986C71">
        <w:rPr>
          <w:szCs w:val="20"/>
          <w:lang w:val="es-AR"/>
        </w:rPr>
        <w:t xml:space="preserve"> La Corte considera que dicho hecho realza la negación de la detención y </w:t>
      </w:r>
      <w:r w:rsidR="00C75EC5">
        <w:rPr>
          <w:szCs w:val="20"/>
          <w:lang w:val="es-AR"/>
        </w:rPr>
        <w:t xml:space="preserve">su </w:t>
      </w:r>
      <w:r w:rsidRPr="00986C71">
        <w:rPr>
          <w:szCs w:val="20"/>
          <w:lang w:val="es-AR"/>
        </w:rPr>
        <w:t xml:space="preserve">posterior desaparición por agentes estatales, pues la </w:t>
      </w:r>
      <w:r w:rsidRPr="00986C71">
        <w:rPr>
          <w:rFonts w:cs="Verdana"/>
          <w:szCs w:val="20"/>
          <w:lang w:val="es-DO"/>
        </w:rPr>
        <w:t>negativa de reconocer la detención y de revelar la suerte o el paradero de la persona constituye un elemento preponderante al mom</w:t>
      </w:r>
      <w:r w:rsidR="000F1310">
        <w:rPr>
          <w:rFonts w:cs="Verdana"/>
          <w:szCs w:val="20"/>
          <w:lang w:val="es-DO"/>
        </w:rPr>
        <w:t xml:space="preserve">ento de evaluar la </w:t>
      </w:r>
      <w:r w:rsidR="000F1310">
        <w:rPr>
          <w:rFonts w:cs="Verdana"/>
          <w:szCs w:val="20"/>
          <w:lang w:val="es-DO"/>
        </w:rPr>
        <w:lastRenderedPageBreak/>
        <w:t>desaparición</w:t>
      </w:r>
      <w:r w:rsidRPr="00986C71">
        <w:rPr>
          <w:rStyle w:val="FootnoteReference"/>
          <w:sz w:val="20"/>
          <w:szCs w:val="20"/>
          <w:lang w:val="es-DO"/>
        </w:rPr>
        <w:footnoteReference w:id="241"/>
      </w:r>
      <w:r w:rsidR="007F1C0C">
        <w:rPr>
          <w:szCs w:val="20"/>
          <w:lang w:val="es-AR"/>
        </w:rPr>
        <w:t xml:space="preserve">. </w:t>
      </w:r>
      <w:r w:rsidRPr="00986C71">
        <w:rPr>
          <w:szCs w:val="20"/>
          <w:lang w:val="es-AR"/>
        </w:rPr>
        <w:t>En este sentido, dicha hipótesis estatal, la cual no fue ratificada en s</w:t>
      </w:r>
      <w:r w:rsidR="00986C71" w:rsidRPr="00986C71">
        <w:rPr>
          <w:szCs w:val="20"/>
          <w:lang w:val="es-AR"/>
        </w:rPr>
        <w:t>us posteriores investigaciones</w:t>
      </w:r>
      <w:r w:rsidRPr="00986C71">
        <w:rPr>
          <w:szCs w:val="20"/>
          <w:lang w:val="es-AR"/>
        </w:rPr>
        <w:t xml:space="preserve">, no es congruente con los hechos que se desprenden del presente caso. Así, la Corte </w:t>
      </w:r>
      <w:r w:rsidR="003742F3">
        <w:rPr>
          <w:szCs w:val="20"/>
          <w:lang w:val="es-AR"/>
        </w:rPr>
        <w:t>nota</w:t>
      </w:r>
      <w:r w:rsidRPr="00986C71">
        <w:rPr>
          <w:szCs w:val="20"/>
          <w:lang w:val="es-AR"/>
        </w:rPr>
        <w:t xml:space="preserve"> que habría</w:t>
      </w:r>
      <w:r w:rsidR="00986C71" w:rsidRPr="00986C71">
        <w:rPr>
          <w:szCs w:val="20"/>
          <w:lang w:val="es-AR"/>
        </w:rPr>
        <w:t>n transcurrido más de 2</w:t>
      </w:r>
      <w:r w:rsidR="00B92AF7">
        <w:rPr>
          <w:szCs w:val="20"/>
          <w:lang w:val="es-AR"/>
        </w:rPr>
        <w:t>6</w:t>
      </w:r>
      <w:r w:rsidRPr="00986C71">
        <w:rPr>
          <w:szCs w:val="20"/>
          <w:lang w:val="es-AR"/>
        </w:rPr>
        <w:t xml:space="preserve"> años sin que exista rastro alguno sobre Teresa Díaz</w:t>
      </w:r>
      <w:r w:rsidR="00986C71" w:rsidRPr="00986C71">
        <w:rPr>
          <w:szCs w:val="20"/>
          <w:lang w:val="es-AR"/>
        </w:rPr>
        <w:t xml:space="preserve"> Aparicio</w:t>
      </w:r>
      <w:r w:rsidRPr="00986C71">
        <w:rPr>
          <w:szCs w:val="20"/>
          <w:lang w:val="es-AR"/>
        </w:rPr>
        <w:t>.</w:t>
      </w:r>
    </w:p>
    <w:p w:rsidR="00873835" w:rsidRPr="002E67D2" w:rsidRDefault="00873835" w:rsidP="00873835">
      <w:pPr>
        <w:pStyle w:val="ListParagraph"/>
        <w:autoSpaceDE w:val="0"/>
        <w:autoSpaceDN w:val="0"/>
        <w:adjustRightInd w:val="0"/>
        <w:spacing w:line="20" w:lineRule="atLeast"/>
        <w:ind w:left="0" w:right="-138"/>
        <w:rPr>
          <w:rFonts w:cs="Verdana"/>
          <w:szCs w:val="20"/>
          <w:lang w:val="es-DO"/>
        </w:rPr>
      </w:pPr>
    </w:p>
    <w:p w:rsidR="00873835" w:rsidRPr="00986C71" w:rsidRDefault="00873835" w:rsidP="00873835">
      <w:pPr>
        <w:pStyle w:val="ListParagraph"/>
        <w:numPr>
          <w:ilvl w:val="0"/>
          <w:numId w:val="1"/>
        </w:numPr>
        <w:autoSpaceDE w:val="0"/>
        <w:autoSpaceDN w:val="0"/>
        <w:adjustRightInd w:val="0"/>
        <w:spacing w:line="20" w:lineRule="atLeast"/>
        <w:ind w:left="0" w:right="-138" w:firstLine="0"/>
        <w:rPr>
          <w:szCs w:val="20"/>
          <w:lang w:val="es-AR"/>
        </w:rPr>
      </w:pPr>
      <w:r w:rsidRPr="00986C71">
        <w:rPr>
          <w:szCs w:val="20"/>
          <w:lang w:val="es-AR"/>
        </w:rPr>
        <w:t xml:space="preserve">De </w:t>
      </w:r>
      <w:r w:rsidRPr="00986C71">
        <w:rPr>
          <w:rFonts w:cs="Verdana"/>
          <w:szCs w:val="20"/>
          <w:lang w:val="es-DO"/>
        </w:rPr>
        <w:t>esta</w:t>
      </w:r>
      <w:r w:rsidRPr="00986C71">
        <w:rPr>
          <w:szCs w:val="20"/>
          <w:lang w:val="es-AR"/>
        </w:rPr>
        <w:t xml:space="preserve"> forma, la Corte destaca que la desaparición de Teresa Díaz Aparicio se subsume en un contexto de práctica sistemática y generalizada de desaparición forzada en el marco de la lucha antiterrorista por parte del Estado. En el caso concreto, teniendo en cuenta el perfil de docente universitaria y su vinculación con SL, al igual que el allanamiento y dete</w:t>
      </w:r>
      <w:r w:rsidR="00986C71" w:rsidRPr="00986C71">
        <w:rPr>
          <w:szCs w:val="20"/>
          <w:lang w:val="es-AR"/>
        </w:rPr>
        <w:t>nción del que fue objeto en 1989, los más de 2</w:t>
      </w:r>
      <w:r w:rsidR="00B92AF7">
        <w:rPr>
          <w:szCs w:val="20"/>
          <w:lang w:val="es-AR"/>
        </w:rPr>
        <w:t>6</w:t>
      </w:r>
      <w:r w:rsidRPr="00986C71">
        <w:rPr>
          <w:szCs w:val="20"/>
          <w:lang w:val="es-AR"/>
        </w:rPr>
        <w:t xml:space="preserve"> años transcurridos sin que hubiese reaparecido, y los indicios antes analizados, la Corte estima que existen elementos suficient</w:t>
      </w:r>
      <w:r w:rsidR="00986C71" w:rsidRPr="00986C71">
        <w:rPr>
          <w:szCs w:val="20"/>
          <w:lang w:val="es-AR"/>
        </w:rPr>
        <w:t xml:space="preserve">es que permiten corroborar que la señora </w:t>
      </w:r>
      <w:r w:rsidRPr="00986C71">
        <w:rPr>
          <w:szCs w:val="20"/>
          <w:lang w:val="es-AR"/>
        </w:rPr>
        <w:t xml:space="preserve">Díaz </w:t>
      </w:r>
      <w:r w:rsidR="00986C71" w:rsidRPr="00986C71">
        <w:rPr>
          <w:szCs w:val="20"/>
          <w:lang w:val="es-AR"/>
        </w:rPr>
        <w:t>Apar</w:t>
      </w:r>
      <w:r w:rsidR="00603D8C">
        <w:rPr>
          <w:szCs w:val="20"/>
          <w:lang w:val="es-AR"/>
        </w:rPr>
        <w:t>i</w:t>
      </w:r>
      <w:r w:rsidR="00986C71" w:rsidRPr="00986C71">
        <w:rPr>
          <w:szCs w:val="20"/>
          <w:lang w:val="es-AR"/>
        </w:rPr>
        <w:t xml:space="preserve">cio </w:t>
      </w:r>
      <w:r w:rsidRPr="00986C71">
        <w:rPr>
          <w:szCs w:val="20"/>
          <w:lang w:val="es-AR"/>
        </w:rPr>
        <w:t>fue detenida por agentes estatales</w:t>
      </w:r>
      <w:r w:rsidR="00986C71" w:rsidRPr="00986C71">
        <w:rPr>
          <w:szCs w:val="20"/>
          <w:lang w:val="es-AR"/>
        </w:rPr>
        <w:t>. Aunado a ello, la Corte not</w:t>
      </w:r>
      <w:r w:rsidRPr="00986C71">
        <w:rPr>
          <w:szCs w:val="20"/>
          <w:lang w:val="es-AR"/>
        </w:rPr>
        <w:t xml:space="preserve">a que el Estado no ha proporcionado información alguna con relación a su paradero. En conclusión, la Corte considera acreditado que Teresa Díaz Aparicio fue objeto de una desaparición forzada en el presente caso. </w:t>
      </w:r>
    </w:p>
    <w:p w:rsidR="00873835" w:rsidRDefault="00873835" w:rsidP="003471EE">
      <w:pPr>
        <w:pStyle w:val="ListParagraph"/>
        <w:jc w:val="center"/>
        <w:rPr>
          <w:szCs w:val="20"/>
          <w:lang w:val="es-AR"/>
        </w:rPr>
      </w:pPr>
    </w:p>
    <w:p w:rsidR="00873835" w:rsidRDefault="00873835" w:rsidP="00873835">
      <w:pPr>
        <w:pStyle w:val="ListParagraph"/>
        <w:numPr>
          <w:ilvl w:val="0"/>
          <w:numId w:val="1"/>
        </w:numPr>
        <w:autoSpaceDE w:val="0"/>
        <w:autoSpaceDN w:val="0"/>
        <w:adjustRightInd w:val="0"/>
        <w:spacing w:line="20" w:lineRule="atLeast"/>
        <w:ind w:left="0" w:right="-138" w:firstLine="0"/>
        <w:rPr>
          <w:szCs w:val="20"/>
          <w:lang w:val="es-AR"/>
        </w:rPr>
      </w:pPr>
      <w:r w:rsidRPr="00FD6009">
        <w:rPr>
          <w:szCs w:val="20"/>
          <w:lang w:val="es-AR"/>
        </w:rPr>
        <w:t>En consecuencia</w:t>
      </w:r>
      <w:r>
        <w:rPr>
          <w:szCs w:val="20"/>
          <w:lang w:val="es-AR"/>
        </w:rPr>
        <w:t xml:space="preserve">, teniendo en cuenta el carácter pluriofensivo de la desaparición forzada de personas, este Tribunal concluye que el Estado es responsable de la violación de los derechos reconocidos en los artículos 7, 5.1, 5.2, 4.1 y 3 de la Convención Americana, en relación con el artículo 1.1 de la misma y con lo dispuesto en el artículo I.a) de la Convención Interamericana sobre Desaparición Forzada, en perjuicio de Teresa Díaz Aparicio. </w:t>
      </w:r>
    </w:p>
    <w:p w:rsidR="00873835" w:rsidRPr="007B0B62" w:rsidRDefault="00873835" w:rsidP="00873835">
      <w:pPr>
        <w:pStyle w:val="ListParagraph"/>
        <w:rPr>
          <w:szCs w:val="20"/>
          <w:lang w:val="es-AR"/>
        </w:rPr>
      </w:pPr>
    </w:p>
    <w:p w:rsidR="00873835" w:rsidRPr="00F27325" w:rsidRDefault="00873835" w:rsidP="00873835">
      <w:pPr>
        <w:pStyle w:val="Heading3"/>
        <w:spacing w:before="0"/>
        <w:ind w:firstLine="720"/>
        <w:rPr>
          <w:i/>
          <w:szCs w:val="20"/>
        </w:rPr>
      </w:pPr>
      <w:bookmarkStart w:id="172" w:name="_Toc399131806"/>
      <w:bookmarkStart w:id="173" w:name="_Toc527993544"/>
      <w:r>
        <w:rPr>
          <w:i/>
          <w:szCs w:val="20"/>
        </w:rPr>
        <w:t xml:space="preserve">B.4. </w:t>
      </w:r>
      <w:r w:rsidRPr="00F27325">
        <w:rPr>
          <w:i/>
          <w:szCs w:val="20"/>
        </w:rPr>
        <w:t>Desaparición Forzada de Cory Clod</w:t>
      </w:r>
      <w:r w:rsidR="00603D8C">
        <w:rPr>
          <w:i/>
          <w:szCs w:val="20"/>
        </w:rPr>
        <w:t>o</w:t>
      </w:r>
      <w:r w:rsidRPr="00F27325">
        <w:rPr>
          <w:i/>
          <w:szCs w:val="20"/>
        </w:rPr>
        <w:t>lia Tenicela Tello</w:t>
      </w:r>
      <w:bookmarkEnd w:id="172"/>
      <w:bookmarkEnd w:id="173"/>
    </w:p>
    <w:p w:rsidR="00873835" w:rsidRPr="00144A45" w:rsidRDefault="00873835" w:rsidP="00873835">
      <w:pPr>
        <w:rPr>
          <w:b/>
          <w:szCs w:val="20"/>
        </w:rPr>
      </w:pPr>
    </w:p>
    <w:p w:rsidR="00873835" w:rsidRDefault="00873835" w:rsidP="00873835">
      <w:pPr>
        <w:pStyle w:val="ListParagraph"/>
        <w:numPr>
          <w:ilvl w:val="0"/>
          <w:numId w:val="1"/>
        </w:numPr>
        <w:autoSpaceDE w:val="0"/>
        <w:autoSpaceDN w:val="0"/>
        <w:adjustRightInd w:val="0"/>
        <w:spacing w:line="20" w:lineRule="atLeast"/>
        <w:ind w:left="0" w:right="-138" w:firstLine="0"/>
        <w:rPr>
          <w:szCs w:val="20"/>
          <w:lang w:val="es-AR"/>
        </w:rPr>
      </w:pPr>
      <w:r w:rsidRPr="00107390">
        <w:rPr>
          <w:szCs w:val="20"/>
          <w:lang w:val="es-AR"/>
        </w:rPr>
        <w:t>Cory Clodolia Tenicela</w:t>
      </w:r>
      <w:r w:rsidRPr="00FC0C0F">
        <w:rPr>
          <w:szCs w:val="20"/>
          <w:lang w:val="es-AR"/>
        </w:rPr>
        <w:t xml:space="preserve"> Tello</w:t>
      </w:r>
      <w:r>
        <w:rPr>
          <w:szCs w:val="20"/>
          <w:lang w:val="es-AR"/>
        </w:rPr>
        <w:t>, estudiante de la Universidad Nacional del Centro de Perú,</w:t>
      </w:r>
      <w:r w:rsidRPr="00FC0C0F">
        <w:rPr>
          <w:szCs w:val="20"/>
          <w:lang w:val="es-AR"/>
        </w:rPr>
        <w:t xml:space="preserve"> fue vista por última vez </w:t>
      </w:r>
      <w:r w:rsidRPr="0004226D">
        <w:rPr>
          <w:szCs w:val="20"/>
          <w:lang w:val="es-AR"/>
        </w:rPr>
        <w:t>el 2 de</w:t>
      </w:r>
      <w:r w:rsidRPr="00FC0C0F">
        <w:rPr>
          <w:szCs w:val="20"/>
          <w:lang w:val="es-AR"/>
        </w:rPr>
        <w:t xml:space="preserve"> octubre de 1992</w:t>
      </w:r>
      <w:r>
        <w:rPr>
          <w:szCs w:val="20"/>
          <w:lang w:val="es-AR"/>
        </w:rPr>
        <w:t xml:space="preserve">. </w:t>
      </w:r>
      <w:r w:rsidR="00107390">
        <w:rPr>
          <w:szCs w:val="20"/>
          <w:lang w:val="es-AR"/>
        </w:rPr>
        <w:t>El 14 de octubre de 1992 fue presen</w:t>
      </w:r>
      <w:r w:rsidR="00F478D5">
        <w:rPr>
          <w:szCs w:val="20"/>
          <w:lang w:val="es-AR"/>
        </w:rPr>
        <w:t>t</w:t>
      </w:r>
      <w:r w:rsidR="00107390">
        <w:rPr>
          <w:szCs w:val="20"/>
          <w:lang w:val="es-AR"/>
        </w:rPr>
        <w:t>ada l</w:t>
      </w:r>
      <w:r>
        <w:rPr>
          <w:szCs w:val="20"/>
          <w:lang w:val="es-AR"/>
        </w:rPr>
        <w:t xml:space="preserve">a primera denuncia </w:t>
      </w:r>
      <w:r w:rsidR="00107390">
        <w:rPr>
          <w:szCs w:val="20"/>
          <w:lang w:val="es-AR"/>
        </w:rPr>
        <w:t xml:space="preserve">sobre los hechos ocurridos a </w:t>
      </w:r>
      <w:r w:rsidR="00D57EF3">
        <w:rPr>
          <w:szCs w:val="20"/>
          <w:lang w:val="es-AR"/>
        </w:rPr>
        <w:t>la</w:t>
      </w:r>
      <w:r w:rsidR="00107390">
        <w:rPr>
          <w:szCs w:val="20"/>
          <w:lang w:val="es-AR"/>
        </w:rPr>
        <w:t xml:space="preserve"> señora</w:t>
      </w:r>
      <w:r w:rsidR="00D57EF3">
        <w:rPr>
          <w:szCs w:val="20"/>
          <w:lang w:val="es-AR"/>
        </w:rPr>
        <w:t xml:space="preserve"> Tenicela Tello</w:t>
      </w:r>
      <w:r>
        <w:rPr>
          <w:szCs w:val="20"/>
          <w:lang w:val="es-AR"/>
        </w:rPr>
        <w:t>.</w:t>
      </w:r>
    </w:p>
    <w:p w:rsidR="00873835" w:rsidRPr="00F92127" w:rsidRDefault="00873835" w:rsidP="00873835">
      <w:pPr>
        <w:pStyle w:val="ListParagraph"/>
        <w:rPr>
          <w:szCs w:val="20"/>
          <w:lang w:val="es-AR"/>
        </w:rPr>
      </w:pPr>
    </w:p>
    <w:p w:rsidR="00873835" w:rsidRPr="00107390" w:rsidRDefault="00873835" w:rsidP="00873835">
      <w:pPr>
        <w:pStyle w:val="ListParagraph"/>
        <w:numPr>
          <w:ilvl w:val="0"/>
          <w:numId w:val="1"/>
        </w:numPr>
        <w:autoSpaceDE w:val="0"/>
        <w:autoSpaceDN w:val="0"/>
        <w:adjustRightInd w:val="0"/>
        <w:spacing w:line="20" w:lineRule="atLeast"/>
        <w:ind w:left="0" w:right="-138" w:firstLine="0"/>
        <w:rPr>
          <w:szCs w:val="20"/>
          <w:lang w:val="es-AR"/>
        </w:rPr>
      </w:pPr>
      <w:r w:rsidRPr="00107390">
        <w:rPr>
          <w:szCs w:val="20"/>
          <w:lang w:val="es-AR"/>
        </w:rPr>
        <w:t xml:space="preserve">Su desaparición se encuentra enmarcada en un contexto en el cual estudiantes universitarios, particularmente aquellos de la Universidad </w:t>
      </w:r>
      <w:r w:rsidR="0013333C">
        <w:rPr>
          <w:szCs w:val="20"/>
          <w:lang w:val="es-AR"/>
        </w:rPr>
        <w:t xml:space="preserve">Nacional </w:t>
      </w:r>
      <w:r w:rsidRPr="00107390">
        <w:rPr>
          <w:szCs w:val="20"/>
          <w:lang w:val="es-AR"/>
        </w:rPr>
        <w:t>del Centro del Perú, eran obj</w:t>
      </w:r>
      <w:r w:rsidR="00107390">
        <w:rPr>
          <w:szCs w:val="20"/>
          <w:lang w:val="es-AR"/>
        </w:rPr>
        <w:t>eto de desapariciones forzadas</w:t>
      </w:r>
      <w:r w:rsidRPr="00107390">
        <w:rPr>
          <w:szCs w:val="20"/>
          <w:lang w:val="es-AR"/>
        </w:rPr>
        <w:t>. De hecho, la Corte destaca que entre el año 1989 y 1993 fueron más de 100 estudiantes de dicho centro de estudios que desaparecieron o fueron asesinados por parte de agentes estatales, en el marco de la “lucha antisubve</w:t>
      </w:r>
      <w:r w:rsidR="00107390">
        <w:rPr>
          <w:szCs w:val="20"/>
          <w:lang w:val="es-AR"/>
        </w:rPr>
        <w:t>rsiva”. Incluso, la Corte not</w:t>
      </w:r>
      <w:r w:rsidRPr="00107390">
        <w:rPr>
          <w:szCs w:val="20"/>
          <w:lang w:val="es-AR"/>
        </w:rPr>
        <w:t>a que el año en que desaparece Cory Clodolia Tenicela Tello fue el año con más desapariciones forzadas selectivas de estudiantes (</w:t>
      </w:r>
      <w:r w:rsidRPr="00107390">
        <w:rPr>
          <w:i/>
          <w:szCs w:val="20"/>
          <w:lang w:val="es-AR"/>
        </w:rPr>
        <w:t>supra</w:t>
      </w:r>
      <w:r w:rsidR="00107390">
        <w:t xml:space="preserve"> párr. 53</w:t>
      </w:r>
      <w:r w:rsidRPr="00107390">
        <w:t xml:space="preserve">). </w:t>
      </w:r>
    </w:p>
    <w:p w:rsidR="00873835" w:rsidRDefault="00873835" w:rsidP="00873835">
      <w:pPr>
        <w:pStyle w:val="ListParagraph"/>
        <w:autoSpaceDE w:val="0"/>
        <w:autoSpaceDN w:val="0"/>
        <w:adjustRightInd w:val="0"/>
        <w:spacing w:line="20" w:lineRule="atLeast"/>
        <w:ind w:left="0" w:right="-138"/>
        <w:rPr>
          <w:szCs w:val="20"/>
          <w:lang w:val="es-AR"/>
        </w:rPr>
      </w:pPr>
    </w:p>
    <w:p w:rsidR="00F221F3" w:rsidRPr="00F221F3" w:rsidRDefault="00F221F3" w:rsidP="00F221F3">
      <w:pPr>
        <w:pStyle w:val="ListParagraph"/>
        <w:numPr>
          <w:ilvl w:val="0"/>
          <w:numId w:val="1"/>
        </w:numPr>
        <w:autoSpaceDE w:val="0"/>
        <w:autoSpaceDN w:val="0"/>
        <w:adjustRightInd w:val="0"/>
        <w:spacing w:line="20" w:lineRule="atLeast"/>
        <w:ind w:left="0" w:right="-138" w:firstLine="0"/>
        <w:rPr>
          <w:szCs w:val="20"/>
          <w:lang w:val="es-AR"/>
        </w:rPr>
      </w:pPr>
      <w:r w:rsidRPr="00107390">
        <w:rPr>
          <w:szCs w:val="20"/>
          <w:lang w:val="es-AR"/>
        </w:rPr>
        <w:t>Sumado a ello, esta Corte advierte que existen elementos probatorios que relacionan su desaparición con la actividad de agentes estatales.</w:t>
      </w:r>
      <w:r w:rsidRPr="00D26213">
        <w:rPr>
          <w:szCs w:val="20"/>
          <w:lang w:val="es-AR"/>
        </w:rPr>
        <w:t xml:space="preserve"> </w:t>
      </w:r>
      <w:r w:rsidRPr="004A70D8">
        <w:rPr>
          <w:szCs w:val="20"/>
          <w:lang w:val="es-AR"/>
        </w:rPr>
        <w:t xml:space="preserve">En primer lugar, se cuenta con un dictamen del Ministerio Público, cuyo objeto era imputar a dos personas por la presunta </w:t>
      </w:r>
      <w:r w:rsidRPr="003471EE">
        <w:rPr>
          <w:szCs w:val="20"/>
          <w:lang w:val="es-AR"/>
        </w:rPr>
        <w:t xml:space="preserve">desaparición forzada de </w:t>
      </w:r>
      <w:r w:rsidR="0013333C" w:rsidRPr="003471EE">
        <w:rPr>
          <w:szCs w:val="20"/>
          <w:lang w:val="es-AR"/>
        </w:rPr>
        <w:t>32</w:t>
      </w:r>
      <w:r w:rsidRPr="003471EE">
        <w:rPr>
          <w:szCs w:val="20"/>
          <w:lang w:val="es-AR"/>
        </w:rPr>
        <w:t xml:space="preserve"> personas</w:t>
      </w:r>
      <w:r w:rsidRPr="004A70D8">
        <w:rPr>
          <w:szCs w:val="20"/>
          <w:lang w:val="es-AR"/>
        </w:rPr>
        <w:t xml:space="preserve">, entre las cuales figura la señora Tenicela Tello. En dicho dictamen se imputa que la misma “fue detenida por miembros del </w:t>
      </w:r>
      <w:r w:rsidR="00871ABC">
        <w:rPr>
          <w:szCs w:val="20"/>
          <w:lang w:val="es-AR"/>
        </w:rPr>
        <w:t>[</w:t>
      </w:r>
      <w:r w:rsidRPr="004A70D8">
        <w:rPr>
          <w:szCs w:val="20"/>
          <w:lang w:val="es-AR"/>
        </w:rPr>
        <w:t>e</w:t>
      </w:r>
      <w:r w:rsidR="00871ABC">
        <w:rPr>
          <w:szCs w:val="20"/>
          <w:lang w:val="es-AR"/>
        </w:rPr>
        <w:t>]</w:t>
      </w:r>
      <w:r w:rsidRPr="004A70D8">
        <w:rPr>
          <w:szCs w:val="20"/>
          <w:lang w:val="es-AR"/>
        </w:rPr>
        <w:t xml:space="preserve">jército </w:t>
      </w:r>
      <w:r w:rsidR="00871ABC">
        <w:rPr>
          <w:szCs w:val="20"/>
          <w:lang w:val="es-AR"/>
        </w:rPr>
        <w:t>[</w:t>
      </w:r>
      <w:r w:rsidRPr="004A70D8">
        <w:rPr>
          <w:szCs w:val="20"/>
          <w:lang w:val="es-AR"/>
        </w:rPr>
        <w:t>p</w:t>
      </w:r>
      <w:r w:rsidR="00871ABC">
        <w:rPr>
          <w:szCs w:val="20"/>
          <w:lang w:val="es-AR"/>
        </w:rPr>
        <w:t>]</w:t>
      </w:r>
      <w:r w:rsidRPr="004A70D8">
        <w:rPr>
          <w:szCs w:val="20"/>
          <w:lang w:val="es-AR"/>
        </w:rPr>
        <w:t>eruano” el 2 de octubre de 1992 cuando se encontraba en el centro de la ciudad debido a que no portaba documentos y que desde entonces se encuentra desaparecida”</w:t>
      </w:r>
      <w:r w:rsidRPr="004A70D8">
        <w:rPr>
          <w:rStyle w:val="FootnoteReference"/>
          <w:sz w:val="20"/>
          <w:szCs w:val="20"/>
          <w:lang w:val="es-AR"/>
        </w:rPr>
        <w:footnoteReference w:id="242"/>
      </w:r>
      <w:r>
        <w:rPr>
          <w:szCs w:val="20"/>
          <w:lang w:val="es-AR"/>
        </w:rPr>
        <w:t xml:space="preserve"> (</w:t>
      </w:r>
      <w:r w:rsidRPr="0004226D">
        <w:rPr>
          <w:i/>
          <w:szCs w:val="20"/>
          <w:lang w:val="es-AR"/>
        </w:rPr>
        <w:t>supra</w:t>
      </w:r>
      <w:r>
        <w:rPr>
          <w:szCs w:val="20"/>
          <w:lang w:val="es-AR"/>
        </w:rPr>
        <w:t xml:space="preserve"> párr. 8</w:t>
      </w:r>
      <w:r w:rsidR="0013333C">
        <w:rPr>
          <w:szCs w:val="20"/>
          <w:lang w:val="es-AR"/>
        </w:rPr>
        <w:t>8</w:t>
      </w:r>
      <w:r>
        <w:rPr>
          <w:szCs w:val="20"/>
          <w:lang w:val="es-AR"/>
        </w:rPr>
        <w:t>)</w:t>
      </w:r>
      <w:r w:rsidRPr="00690FD1">
        <w:rPr>
          <w:sz w:val="16"/>
          <w:szCs w:val="16"/>
          <w:lang w:val="es-AR"/>
        </w:rPr>
        <w:t xml:space="preserve">. </w:t>
      </w:r>
      <w:r w:rsidRPr="002D754D">
        <w:rPr>
          <w:szCs w:val="20"/>
          <w:lang w:val="es-AR"/>
        </w:rPr>
        <w:t>En segundo lugar, e</w:t>
      </w:r>
      <w:r w:rsidRPr="002D754D">
        <w:rPr>
          <w:rFonts w:cs="Arial"/>
          <w:color w:val="222222"/>
          <w:szCs w:val="20"/>
          <w:shd w:val="clear" w:color="auto" w:fill="FFFFFF"/>
          <w:lang w:val="es-CR"/>
        </w:rPr>
        <w:t xml:space="preserve">l 20 de octubre de 2014 el Tercer Juzgado Penal Nacional dictó auto de procesamiento y </w:t>
      </w:r>
      <w:r w:rsidR="004E00BC">
        <w:rPr>
          <w:rFonts w:cs="Arial"/>
          <w:color w:val="222222"/>
          <w:szCs w:val="20"/>
          <w:shd w:val="clear" w:color="auto" w:fill="FFFFFF"/>
          <w:lang w:val="es-CR"/>
        </w:rPr>
        <w:t>abrió el proceso penal contra L</w:t>
      </w:r>
      <w:r w:rsidRPr="002D754D">
        <w:rPr>
          <w:rFonts w:cs="Arial"/>
          <w:color w:val="222222"/>
          <w:szCs w:val="20"/>
          <w:shd w:val="clear" w:color="auto" w:fill="FFFFFF"/>
          <w:lang w:val="es-CR"/>
        </w:rPr>
        <w:t>DP por el delito contra la libertad personal en la modalidad de secuestro agravado, en perjuicio Cory Cl</w:t>
      </w:r>
      <w:r w:rsidRPr="00F221F3">
        <w:rPr>
          <w:rFonts w:cs="Arial"/>
          <w:color w:val="222222"/>
          <w:szCs w:val="20"/>
          <w:shd w:val="clear" w:color="auto" w:fill="FFFFFF"/>
          <w:lang w:val="es-CR"/>
        </w:rPr>
        <w:t xml:space="preserve">odolia Tenicela Tello, afirmando que  dicho hecho sucedió en un contexto en el que existían “indicios, evidencias y pruebas </w:t>
      </w:r>
      <w:r w:rsidRPr="00F221F3">
        <w:rPr>
          <w:rFonts w:cs="Arial"/>
          <w:color w:val="222222"/>
          <w:szCs w:val="20"/>
          <w:shd w:val="clear" w:color="auto" w:fill="FFFFFF"/>
          <w:lang w:val="es-CR"/>
        </w:rPr>
        <w:lastRenderedPageBreak/>
        <w:t>razonables, […] que permitirían afirmar que se trataría de violaciones masivas y sistemáticas de derechos fundamentales, […]”</w:t>
      </w:r>
      <w:r w:rsidRPr="00F221F3">
        <w:rPr>
          <w:rStyle w:val="FootnoteReference"/>
          <w:color w:val="222222"/>
          <w:sz w:val="20"/>
          <w:szCs w:val="20"/>
          <w:shd w:val="clear" w:color="auto" w:fill="FFFFFF"/>
          <w:lang w:val="es-CR"/>
        </w:rPr>
        <w:footnoteReference w:id="243"/>
      </w:r>
      <w:r w:rsidRPr="00F221F3">
        <w:rPr>
          <w:rFonts w:cs="Arial"/>
          <w:color w:val="222222"/>
          <w:szCs w:val="20"/>
          <w:shd w:val="clear" w:color="auto" w:fill="FFFFFF"/>
          <w:lang w:val="es-CR"/>
        </w:rPr>
        <w:t xml:space="preserve"> por</w:t>
      </w:r>
      <w:r w:rsidRPr="002D754D">
        <w:rPr>
          <w:rFonts w:cs="Arial"/>
          <w:color w:val="222222"/>
          <w:szCs w:val="20"/>
          <w:shd w:val="clear" w:color="auto" w:fill="FFFFFF"/>
          <w:lang w:val="es-CR"/>
        </w:rPr>
        <w:t xml:space="preserve"> lo que se dictó mandato de comparecencia con estricciones en contra del mencionado Coronel.</w:t>
      </w:r>
      <w:r w:rsidRPr="002D754D">
        <w:rPr>
          <w:szCs w:val="20"/>
          <w:lang w:val="es-AR"/>
        </w:rPr>
        <w:t xml:space="preserve"> Aunado a ello, se encuentran las dos denuncias </w:t>
      </w:r>
      <w:r w:rsidR="000C43E3">
        <w:rPr>
          <w:szCs w:val="20"/>
          <w:lang w:val="es-AR"/>
        </w:rPr>
        <w:t xml:space="preserve">de </w:t>
      </w:r>
      <w:r w:rsidRPr="002D754D">
        <w:rPr>
          <w:szCs w:val="20"/>
          <w:lang w:val="es-AR"/>
        </w:rPr>
        <w:t xml:space="preserve">la madre de la presunta víctima, </w:t>
      </w:r>
      <w:r w:rsidR="0013333C">
        <w:rPr>
          <w:szCs w:val="20"/>
          <w:lang w:val="es-AR"/>
        </w:rPr>
        <w:t xml:space="preserve">en una de </w:t>
      </w:r>
      <w:r w:rsidR="00E8710A">
        <w:rPr>
          <w:szCs w:val="20"/>
          <w:lang w:val="es-AR"/>
        </w:rPr>
        <w:t xml:space="preserve">ellas </w:t>
      </w:r>
      <w:r w:rsidR="000C43E3">
        <w:rPr>
          <w:szCs w:val="20"/>
          <w:lang w:val="es-AR"/>
        </w:rPr>
        <w:t>señaló</w:t>
      </w:r>
      <w:r w:rsidR="0013333C">
        <w:rPr>
          <w:szCs w:val="20"/>
          <w:lang w:val="es-AR"/>
        </w:rPr>
        <w:t xml:space="preserve"> que </w:t>
      </w:r>
      <w:r w:rsidRPr="002D754D">
        <w:rPr>
          <w:szCs w:val="20"/>
          <w:lang w:val="es-AR"/>
        </w:rPr>
        <w:t>un teniente de la policía técnica le dio a entender que su hija estaba detenida en dicha institución estatal de la ciudad y que se encontraba comprendida en delito común</w:t>
      </w:r>
      <w:r w:rsidR="000C43E3">
        <w:rPr>
          <w:szCs w:val="20"/>
          <w:lang w:val="es-AR"/>
        </w:rPr>
        <w:t xml:space="preserve"> (</w:t>
      </w:r>
      <w:r w:rsidR="000C43E3" w:rsidRPr="00E8710A">
        <w:rPr>
          <w:i/>
          <w:szCs w:val="20"/>
          <w:lang w:val="es-AR"/>
        </w:rPr>
        <w:t>supra</w:t>
      </w:r>
      <w:r w:rsidR="000C43E3">
        <w:rPr>
          <w:szCs w:val="20"/>
          <w:lang w:val="es-AR"/>
        </w:rPr>
        <w:t xml:space="preserve"> párr. 87)</w:t>
      </w:r>
      <w:r w:rsidRPr="002D754D">
        <w:rPr>
          <w:szCs w:val="20"/>
          <w:lang w:val="es-AR"/>
        </w:rPr>
        <w:t>. Por último, la</w:t>
      </w:r>
      <w:r>
        <w:rPr>
          <w:szCs w:val="20"/>
          <w:lang w:val="es-AR"/>
        </w:rPr>
        <w:t xml:space="preserve"> Corte nota que desde </w:t>
      </w:r>
      <w:r w:rsidRPr="0004226D">
        <w:rPr>
          <w:szCs w:val="20"/>
          <w:lang w:val="es-AR"/>
        </w:rPr>
        <w:t xml:space="preserve">el 2 de octubre de 1992 no existe rastro alguno sobre el paradero de Cory </w:t>
      </w:r>
      <w:r>
        <w:rPr>
          <w:szCs w:val="20"/>
          <w:lang w:val="es-AR"/>
        </w:rPr>
        <w:t xml:space="preserve">Clodolia </w:t>
      </w:r>
      <w:r w:rsidRPr="0004226D">
        <w:rPr>
          <w:szCs w:val="20"/>
          <w:lang w:val="es-AR"/>
        </w:rPr>
        <w:t>Tenicela</w:t>
      </w:r>
      <w:r>
        <w:rPr>
          <w:szCs w:val="20"/>
          <w:lang w:val="es-AR"/>
        </w:rPr>
        <w:t xml:space="preserve"> Tello</w:t>
      </w:r>
      <w:r w:rsidRPr="0004226D">
        <w:rPr>
          <w:szCs w:val="20"/>
          <w:lang w:val="es-AR"/>
        </w:rPr>
        <w:t>, y que desde el 14 de octubre de 1992 el Estado tenía conocimiento de su desaparición, sin que haya presentado</w:t>
      </w:r>
      <w:r>
        <w:rPr>
          <w:szCs w:val="20"/>
          <w:lang w:val="es-AR"/>
        </w:rPr>
        <w:t xml:space="preserve"> alguna hipótesis distinta sobre su paradero.</w:t>
      </w:r>
    </w:p>
    <w:p w:rsidR="00F221F3" w:rsidRPr="00F221F3" w:rsidRDefault="00F221F3" w:rsidP="00F221F3">
      <w:pPr>
        <w:pStyle w:val="ListParagraph"/>
        <w:rPr>
          <w:szCs w:val="20"/>
          <w:lang w:val="es-ES"/>
        </w:rPr>
      </w:pPr>
    </w:p>
    <w:p w:rsidR="00873835" w:rsidRPr="00107390" w:rsidRDefault="00873835" w:rsidP="00873835">
      <w:pPr>
        <w:pStyle w:val="ListParagraph"/>
        <w:numPr>
          <w:ilvl w:val="0"/>
          <w:numId w:val="1"/>
        </w:numPr>
        <w:autoSpaceDE w:val="0"/>
        <w:autoSpaceDN w:val="0"/>
        <w:adjustRightInd w:val="0"/>
        <w:spacing w:line="20" w:lineRule="atLeast"/>
        <w:ind w:left="0" w:right="-138" w:firstLine="0"/>
        <w:rPr>
          <w:szCs w:val="20"/>
          <w:lang w:val="es-AR"/>
        </w:rPr>
      </w:pPr>
      <w:r>
        <w:rPr>
          <w:szCs w:val="20"/>
          <w:lang w:val="es-ES"/>
        </w:rPr>
        <w:t xml:space="preserve"> </w:t>
      </w:r>
      <w:r w:rsidRPr="00107390">
        <w:rPr>
          <w:szCs w:val="20"/>
          <w:lang w:val="es-AR"/>
        </w:rPr>
        <w:t>De esta forma, la Corte destaca que la desaparición de Cory Clodolia Tenicela Tello se subsume en un contexto de práctica sistemática y generalizada de desaparición forzada en el marco de la lucha antiterrorista por parte del Estado. En el caso concreto, teniendo en cuenta el perfil de estudiante universitaria</w:t>
      </w:r>
      <w:r w:rsidR="00107390" w:rsidRPr="00107390">
        <w:rPr>
          <w:szCs w:val="20"/>
          <w:lang w:val="es-AR"/>
        </w:rPr>
        <w:t>, los casi 2</w:t>
      </w:r>
      <w:r w:rsidR="00B92AF7">
        <w:rPr>
          <w:szCs w:val="20"/>
          <w:lang w:val="es-AR"/>
        </w:rPr>
        <w:t>6</w:t>
      </w:r>
      <w:r w:rsidRPr="00107390">
        <w:rPr>
          <w:szCs w:val="20"/>
          <w:lang w:val="es-AR"/>
        </w:rPr>
        <w:t xml:space="preserve"> años transcurridos sin que hubiese reaparecido, y los indicios antes analizados, la Corte estima que existen elementos suficientes que permiten corroborar que </w:t>
      </w:r>
      <w:r w:rsidR="007F1C0C">
        <w:rPr>
          <w:szCs w:val="20"/>
          <w:lang w:val="es-AR"/>
        </w:rPr>
        <w:t xml:space="preserve">la señora </w:t>
      </w:r>
      <w:r w:rsidRPr="00107390">
        <w:rPr>
          <w:szCs w:val="20"/>
          <w:lang w:val="es-AR"/>
        </w:rPr>
        <w:t>Tenicela</w:t>
      </w:r>
      <w:r w:rsidR="007F1C0C">
        <w:rPr>
          <w:szCs w:val="20"/>
          <w:lang w:val="es-AR"/>
        </w:rPr>
        <w:t xml:space="preserve"> Tello</w:t>
      </w:r>
      <w:r w:rsidRPr="00107390">
        <w:rPr>
          <w:szCs w:val="20"/>
          <w:lang w:val="es-AR"/>
        </w:rPr>
        <w:t xml:space="preserve"> fue detenida por agentes estatales</w:t>
      </w:r>
      <w:r w:rsidR="00107390" w:rsidRPr="00107390">
        <w:rPr>
          <w:szCs w:val="20"/>
          <w:lang w:val="es-AR"/>
        </w:rPr>
        <w:t>. Aunado a ello, la Corte not</w:t>
      </w:r>
      <w:r w:rsidRPr="00107390">
        <w:rPr>
          <w:szCs w:val="20"/>
          <w:lang w:val="es-AR"/>
        </w:rPr>
        <w:t xml:space="preserve">a que el Estado no ha proporcionado información alguna con relación a su paradero. En conclusión, la Corte considera acreditado que Cory Clodolia Tenicela Tello fue objeto de una desaparición forzada en el presente caso. </w:t>
      </w:r>
    </w:p>
    <w:p w:rsidR="00873835" w:rsidRPr="00CE3F08" w:rsidRDefault="00873835" w:rsidP="00873835">
      <w:pPr>
        <w:pStyle w:val="ListParagraph"/>
        <w:autoSpaceDE w:val="0"/>
        <w:autoSpaceDN w:val="0"/>
        <w:adjustRightInd w:val="0"/>
        <w:spacing w:line="20" w:lineRule="atLeast"/>
        <w:ind w:left="0" w:right="-138"/>
        <w:rPr>
          <w:szCs w:val="20"/>
          <w:lang w:val="es-AR"/>
        </w:rPr>
      </w:pPr>
    </w:p>
    <w:p w:rsidR="00873835" w:rsidRPr="00C9037F" w:rsidRDefault="00873835" w:rsidP="00873835">
      <w:pPr>
        <w:pStyle w:val="ListParagraph"/>
        <w:numPr>
          <w:ilvl w:val="0"/>
          <w:numId w:val="1"/>
        </w:numPr>
        <w:autoSpaceDE w:val="0"/>
        <w:autoSpaceDN w:val="0"/>
        <w:adjustRightInd w:val="0"/>
        <w:spacing w:line="20" w:lineRule="atLeast"/>
        <w:ind w:left="0" w:right="-138" w:firstLine="0"/>
        <w:rPr>
          <w:szCs w:val="20"/>
          <w:lang w:val="es-AR"/>
        </w:rPr>
      </w:pPr>
      <w:r w:rsidRPr="00FD6009">
        <w:rPr>
          <w:szCs w:val="20"/>
          <w:lang w:val="es-AR"/>
        </w:rPr>
        <w:t>En</w:t>
      </w:r>
      <w:r w:rsidRPr="00C9037F">
        <w:rPr>
          <w:szCs w:val="20"/>
          <w:lang w:val="es-AR"/>
        </w:rPr>
        <w:t xml:space="preserve"> consecuencia,</w:t>
      </w:r>
      <w:r>
        <w:rPr>
          <w:szCs w:val="20"/>
          <w:lang w:val="es-AR"/>
        </w:rPr>
        <w:t xml:space="preserve"> teniendo en cuenta el carácter pluriofensivo de la desaparición fo</w:t>
      </w:r>
      <w:r w:rsidR="007F1C0C">
        <w:rPr>
          <w:szCs w:val="20"/>
          <w:lang w:val="es-AR"/>
        </w:rPr>
        <w:t>rzada de personas</w:t>
      </w:r>
      <w:r>
        <w:rPr>
          <w:szCs w:val="20"/>
          <w:lang w:val="es-AR"/>
        </w:rPr>
        <w:t>,</w:t>
      </w:r>
      <w:r w:rsidRPr="00C9037F">
        <w:rPr>
          <w:szCs w:val="20"/>
          <w:lang w:val="es-AR"/>
        </w:rPr>
        <w:t xml:space="preserve"> este Tribunal concluye que el Estado es responsable de la violación de los derechos reconocidos en los artículos 7, 5.1, 5.2, 4.1 y 3 de la Convención Americana, en relación con el artículo 1.1 de la misma y con lo dispuesto en el artículo I.a) de la Convención Interamericana sobre Desaparición Forzada, en perjuicio de Cory Clodolia Tenicela Tello. </w:t>
      </w:r>
    </w:p>
    <w:p w:rsidR="00873835" w:rsidRPr="00D22503" w:rsidRDefault="00873835" w:rsidP="00873835">
      <w:pPr>
        <w:pStyle w:val="ListParagraph"/>
        <w:rPr>
          <w:szCs w:val="20"/>
          <w:lang w:val="es-AR"/>
        </w:rPr>
      </w:pPr>
    </w:p>
    <w:p w:rsidR="00873835" w:rsidRPr="00F27325" w:rsidRDefault="00873835" w:rsidP="00873835">
      <w:pPr>
        <w:pStyle w:val="Heading3"/>
        <w:spacing w:before="0"/>
        <w:ind w:firstLine="720"/>
        <w:rPr>
          <w:i/>
          <w:szCs w:val="20"/>
        </w:rPr>
      </w:pPr>
      <w:bookmarkStart w:id="174" w:name="_Toc399131807"/>
      <w:bookmarkStart w:id="175" w:name="_Toc527993545"/>
      <w:r>
        <w:rPr>
          <w:i/>
          <w:szCs w:val="20"/>
        </w:rPr>
        <w:t xml:space="preserve">B.5. </w:t>
      </w:r>
      <w:r w:rsidRPr="00F27325">
        <w:rPr>
          <w:i/>
          <w:szCs w:val="20"/>
        </w:rPr>
        <w:t>Desaparición Forzada de Néstor Rojas Medina</w:t>
      </w:r>
      <w:bookmarkEnd w:id="174"/>
      <w:bookmarkEnd w:id="175"/>
    </w:p>
    <w:p w:rsidR="00873835" w:rsidRPr="00144A45" w:rsidRDefault="00873835" w:rsidP="00873835">
      <w:pPr>
        <w:rPr>
          <w:b/>
          <w:szCs w:val="20"/>
        </w:rPr>
      </w:pPr>
    </w:p>
    <w:p w:rsidR="00873835" w:rsidRPr="000B360E" w:rsidRDefault="00873835" w:rsidP="00873835">
      <w:pPr>
        <w:pStyle w:val="ListParagraph"/>
        <w:widowControl w:val="0"/>
        <w:numPr>
          <w:ilvl w:val="0"/>
          <w:numId w:val="1"/>
        </w:numPr>
        <w:tabs>
          <w:tab w:val="left" w:pos="0"/>
        </w:tabs>
        <w:adjustRightInd w:val="0"/>
        <w:ind w:left="0" w:firstLine="0"/>
        <w:rPr>
          <w:szCs w:val="20"/>
          <w:lang w:val="es-CR"/>
        </w:rPr>
      </w:pPr>
      <w:r w:rsidRPr="000B360E">
        <w:rPr>
          <w:szCs w:val="20"/>
          <w:lang w:val="es-CR"/>
        </w:rPr>
        <w:t>Néstor Rojas Medina fue visto por última vez en enero de 1991. Su desaparición fue denunciada por primera vez el 5 de febrero de 1991, por la señora CSL.</w:t>
      </w:r>
    </w:p>
    <w:p w:rsidR="00873835" w:rsidRDefault="00873835" w:rsidP="00873835">
      <w:pPr>
        <w:pStyle w:val="ListParagraph"/>
        <w:widowControl w:val="0"/>
        <w:tabs>
          <w:tab w:val="left" w:pos="0"/>
        </w:tabs>
        <w:adjustRightInd w:val="0"/>
        <w:ind w:left="0"/>
        <w:rPr>
          <w:szCs w:val="20"/>
          <w:lang w:val="es-CR"/>
        </w:rPr>
      </w:pPr>
    </w:p>
    <w:p w:rsidR="00873835" w:rsidRPr="000B360E" w:rsidRDefault="00873835" w:rsidP="00873835">
      <w:pPr>
        <w:pStyle w:val="ListParagraph"/>
        <w:widowControl w:val="0"/>
        <w:numPr>
          <w:ilvl w:val="0"/>
          <w:numId w:val="1"/>
        </w:numPr>
        <w:tabs>
          <w:tab w:val="left" w:pos="0"/>
        </w:tabs>
        <w:adjustRightInd w:val="0"/>
        <w:ind w:left="0" w:firstLine="0"/>
        <w:rPr>
          <w:szCs w:val="20"/>
          <w:lang w:val="es-CR"/>
        </w:rPr>
      </w:pPr>
      <w:r w:rsidRPr="000B360E">
        <w:rPr>
          <w:szCs w:val="20"/>
          <w:lang w:val="es-CR"/>
        </w:rPr>
        <w:t>La Corte hace notar que existen diversos medios probatorios que permiten demostrar que Néstor Rojas Medina fue detenido por parte de agentes estatales en el año 1991. Particularmente, la Corte valora: i) las conclusiones de la Defensoría del Pueblo en su Informe de Verificación emitido en 2006, en el marco del procedimiento para adquirir una constancia de ausencia de la presunta víctima; ii) las comunicaciones que el Senador JHP habría tenido con la Comisaría de la Policía Nacional en Tocache; iii)</w:t>
      </w:r>
      <w:r w:rsidR="000B360E">
        <w:rPr>
          <w:szCs w:val="20"/>
          <w:lang w:val="es-CR"/>
        </w:rPr>
        <w:t xml:space="preserve"> </w:t>
      </w:r>
      <w:r w:rsidR="0004226D" w:rsidRPr="000B360E">
        <w:rPr>
          <w:szCs w:val="20"/>
          <w:lang w:val="es-CR"/>
        </w:rPr>
        <w:t>la denuncia presentada por CSL en 1991</w:t>
      </w:r>
      <w:r w:rsidRPr="000B360E">
        <w:rPr>
          <w:szCs w:val="20"/>
          <w:lang w:val="es-CR"/>
        </w:rPr>
        <w:t>, y iv)</w:t>
      </w:r>
      <w:r w:rsidR="0004226D">
        <w:rPr>
          <w:szCs w:val="20"/>
          <w:lang w:val="es-CR"/>
        </w:rPr>
        <w:t xml:space="preserve"> las denuncias presentadas por</w:t>
      </w:r>
      <w:r w:rsidR="0004226D" w:rsidRPr="000B360E">
        <w:rPr>
          <w:szCs w:val="20"/>
          <w:lang w:val="es-CR"/>
        </w:rPr>
        <w:t xml:space="preserve"> Marcelina Medina Negrón</w:t>
      </w:r>
      <w:r w:rsidR="007F1C0C">
        <w:rPr>
          <w:szCs w:val="20"/>
          <w:lang w:val="es-CR"/>
        </w:rPr>
        <w:t xml:space="preserve"> en 1991 y 2003</w:t>
      </w:r>
      <w:r w:rsidR="0004226D">
        <w:rPr>
          <w:szCs w:val="20"/>
          <w:lang w:val="es-CR"/>
        </w:rPr>
        <w:t>, así como las diversas</w:t>
      </w:r>
      <w:r w:rsidR="0004226D" w:rsidRPr="000B360E">
        <w:rPr>
          <w:szCs w:val="20"/>
          <w:lang w:val="es-CR"/>
        </w:rPr>
        <w:t xml:space="preserve"> declaraciones rendidas por</w:t>
      </w:r>
      <w:r w:rsidR="0004226D">
        <w:rPr>
          <w:szCs w:val="20"/>
          <w:lang w:val="es-CR"/>
        </w:rPr>
        <w:t xml:space="preserve"> ella</w:t>
      </w:r>
      <w:r w:rsidRPr="000B360E">
        <w:rPr>
          <w:szCs w:val="20"/>
          <w:lang w:val="es-CR"/>
        </w:rPr>
        <w:t xml:space="preserve">. </w:t>
      </w:r>
    </w:p>
    <w:p w:rsidR="00873835" w:rsidRPr="00DA22EF" w:rsidRDefault="00873835" w:rsidP="00873835">
      <w:pPr>
        <w:pStyle w:val="ListParagraph"/>
        <w:rPr>
          <w:szCs w:val="20"/>
          <w:lang w:val="es-CR"/>
        </w:rPr>
      </w:pPr>
    </w:p>
    <w:p w:rsidR="00873835" w:rsidRPr="00992B26" w:rsidRDefault="00873835" w:rsidP="00873835">
      <w:pPr>
        <w:pStyle w:val="ListParagraph"/>
        <w:widowControl w:val="0"/>
        <w:numPr>
          <w:ilvl w:val="0"/>
          <w:numId w:val="1"/>
        </w:numPr>
        <w:tabs>
          <w:tab w:val="left" w:pos="0"/>
        </w:tabs>
        <w:adjustRightInd w:val="0"/>
        <w:ind w:left="0" w:firstLine="0"/>
        <w:rPr>
          <w:b/>
          <w:szCs w:val="20"/>
          <w:lang w:val="es-CR"/>
        </w:rPr>
      </w:pPr>
      <w:r w:rsidRPr="00992B26">
        <w:rPr>
          <w:szCs w:val="20"/>
          <w:lang w:val="es-CR"/>
        </w:rPr>
        <w:t xml:space="preserve">La Corte destaca </w:t>
      </w:r>
      <w:r w:rsidRPr="00992B26">
        <w:rPr>
          <w:szCs w:val="20"/>
          <w:lang w:val="es-ES"/>
        </w:rPr>
        <w:t xml:space="preserve">que la Defensoría del Pueblo emitió un informe de verificación </w:t>
      </w:r>
      <w:r w:rsidRPr="00992B26">
        <w:rPr>
          <w:szCs w:val="20"/>
          <w:lang w:val="es-CR"/>
        </w:rPr>
        <w:t xml:space="preserve">en el marco de la Ley No. 28413, </w:t>
      </w:r>
      <w:r w:rsidR="00992B26" w:rsidRPr="00992B26">
        <w:rPr>
          <w:szCs w:val="20"/>
          <w:lang w:val="es-CR"/>
        </w:rPr>
        <w:t>“[</w:t>
      </w:r>
      <w:r w:rsidRPr="00992B26">
        <w:rPr>
          <w:szCs w:val="20"/>
          <w:lang w:val="es-CR"/>
        </w:rPr>
        <w:t>c</w:t>
      </w:r>
      <w:r w:rsidR="00992B26" w:rsidRPr="00992B26">
        <w:rPr>
          <w:szCs w:val="20"/>
          <w:lang w:val="es-CR"/>
        </w:rPr>
        <w:t>]</w:t>
      </w:r>
      <w:r w:rsidRPr="00992B26">
        <w:rPr>
          <w:szCs w:val="20"/>
          <w:lang w:val="es-CR"/>
        </w:rPr>
        <w:t>onforme a la información recabada por la Defensoría del Pueblo, se tiene que el 26 de enero de 1991, un grupo de policías, quienes se encontraban realizando una batida, detuvieron a Néstor Rojas Medina cuando transitaba por las inmediaciones de la Avenida Aviación, distrito y provincia de Tocach</w:t>
      </w:r>
      <w:r w:rsidR="00992B26" w:rsidRPr="00992B26">
        <w:rPr>
          <w:szCs w:val="20"/>
          <w:lang w:val="es-CR"/>
        </w:rPr>
        <w:t xml:space="preserve">e, departamento de San Martín. </w:t>
      </w:r>
      <w:r w:rsidRPr="00992B26">
        <w:rPr>
          <w:szCs w:val="20"/>
          <w:lang w:val="es-CR"/>
        </w:rPr>
        <w:t>Los efectivos policiales condu</w:t>
      </w:r>
      <w:r w:rsidR="007F1C0C">
        <w:rPr>
          <w:szCs w:val="20"/>
          <w:lang w:val="es-CR"/>
        </w:rPr>
        <w:t>jeron a la víctima a la Comisarí</w:t>
      </w:r>
      <w:r w:rsidRPr="00992B26">
        <w:rPr>
          <w:szCs w:val="20"/>
          <w:lang w:val="es-CR"/>
        </w:rPr>
        <w:t>a de Tocache, y luego de unos días f</w:t>
      </w:r>
      <w:r w:rsidR="00992B26" w:rsidRPr="00992B26">
        <w:rPr>
          <w:szCs w:val="20"/>
          <w:lang w:val="es-CR"/>
        </w:rPr>
        <w:t>ue trasladado a la Base Militar</w:t>
      </w:r>
      <w:r w:rsidRPr="00992B26">
        <w:rPr>
          <w:szCs w:val="20"/>
          <w:lang w:val="es-CR"/>
        </w:rPr>
        <w:t xml:space="preserve"> de Tocache. Desde esa </w:t>
      </w:r>
      <w:r w:rsidR="00992B26" w:rsidRPr="00992B26">
        <w:rPr>
          <w:szCs w:val="20"/>
          <w:lang w:val="es-CR"/>
        </w:rPr>
        <w:t>fecha se desconoce su paradero”</w:t>
      </w:r>
      <w:r w:rsidR="0013333C">
        <w:rPr>
          <w:szCs w:val="20"/>
          <w:lang w:val="es-CR"/>
        </w:rPr>
        <w:t xml:space="preserve">. </w:t>
      </w:r>
      <w:r w:rsidR="00992B26" w:rsidRPr="00992B26">
        <w:rPr>
          <w:szCs w:val="20"/>
          <w:lang w:val="es-CR"/>
        </w:rPr>
        <w:t>A</w:t>
      </w:r>
      <w:r w:rsidRPr="00992B26">
        <w:rPr>
          <w:szCs w:val="20"/>
          <w:lang w:val="es-CR"/>
        </w:rPr>
        <w:t xml:space="preserve"> su vez se concluyó que se puede “presumir razonablemente que Néstor Rojas Medina se encuentra ausente por desaparición forzada como consecuencia de la violencia </w:t>
      </w:r>
      <w:r w:rsidRPr="00992B26">
        <w:rPr>
          <w:szCs w:val="20"/>
          <w:lang w:val="es-CR"/>
        </w:rPr>
        <w:lastRenderedPageBreak/>
        <w:t>ocurrida entre los años 1980 y 2000, desde el 26 de enero de 1991”</w:t>
      </w:r>
      <w:r w:rsidR="0013333C">
        <w:rPr>
          <w:szCs w:val="20"/>
          <w:lang w:val="es-CR"/>
        </w:rPr>
        <w:t xml:space="preserve"> </w:t>
      </w:r>
      <w:r w:rsidR="0013333C" w:rsidRPr="00107390">
        <w:rPr>
          <w:szCs w:val="20"/>
          <w:lang w:val="es-AR"/>
        </w:rPr>
        <w:t>(</w:t>
      </w:r>
      <w:r w:rsidR="0013333C" w:rsidRPr="00107390">
        <w:rPr>
          <w:i/>
          <w:szCs w:val="20"/>
          <w:lang w:val="es-AR"/>
        </w:rPr>
        <w:t>supra</w:t>
      </w:r>
      <w:r w:rsidR="0013333C">
        <w:t xml:space="preserve"> párr. 115</w:t>
      </w:r>
      <w:r w:rsidR="0013333C" w:rsidRPr="00107390">
        <w:t>)</w:t>
      </w:r>
      <w:r w:rsidRPr="00992B26">
        <w:rPr>
          <w:szCs w:val="20"/>
          <w:lang w:val="es-CR"/>
        </w:rPr>
        <w:t>.</w:t>
      </w:r>
      <w:r w:rsidRPr="00992B26">
        <w:rPr>
          <w:b/>
          <w:szCs w:val="20"/>
          <w:lang w:val="es-CR"/>
        </w:rPr>
        <w:t xml:space="preserve"> </w:t>
      </w:r>
      <w:r w:rsidRPr="00992B26">
        <w:rPr>
          <w:szCs w:val="20"/>
          <w:lang w:val="es-CR"/>
        </w:rPr>
        <w:t xml:space="preserve">Aunado a ello, la Corte advierte que la Defensoría del Pueblo arribó a la conclusión antedicha teniendo en cuenta que </w:t>
      </w:r>
      <w:r w:rsidRPr="00992B26">
        <w:rPr>
          <w:szCs w:val="20"/>
          <w:lang w:val="es-ES"/>
        </w:rPr>
        <w:t>Néstor Rojas Medina se encuentra incorporado como víctima de desaparición forzada en el informe final de la CVR</w:t>
      </w:r>
      <w:r w:rsidRPr="00992B26">
        <w:rPr>
          <w:rStyle w:val="FootnoteReference"/>
          <w:sz w:val="20"/>
          <w:szCs w:val="20"/>
          <w:lang w:val="es-ES"/>
        </w:rPr>
        <w:footnoteReference w:id="244"/>
      </w:r>
      <w:r w:rsidRPr="00992B26">
        <w:rPr>
          <w:szCs w:val="20"/>
          <w:lang w:val="es-ES"/>
        </w:rPr>
        <w:t xml:space="preserve"> y con base en la declaración de dos familiares de Néstor Rojas Medina, quienes habrían indicado ante la Defensoría que conocen de su detención por información suministrada por terceros. </w:t>
      </w:r>
    </w:p>
    <w:p w:rsidR="00873835" w:rsidRPr="00DA22EF" w:rsidRDefault="00873835" w:rsidP="00873835">
      <w:pPr>
        <w:pStyle w:val="ListParagraph"/>
        <w:widowControl w:val="0"/>
        <w:tabs>
          <w:tab w:val="left" w:pos="0"/>
        </w:tabs>
        <w:adjustRightInd w:val="0"/>
        <w:ind w:left="0"/>
        <w:rPr>
          <w:b/>
          <w:szCs w:val="20"/>
          <w:lang w:val="es-CR"/>
        </w:rPr>
      </w:pPr>
    </w:p>
    <w:p w:rsidR="002F6C73" w:rsidRPr="00427BE3" w:rsidRDefault="002F6C73" w:rsidP="002F6C73">
      <w:pPr>
        <w:pStyle w:val="ListParagraph"/>
        <w:widowControl w:val="0"/>
        <w:numPr>
          <w:ilvl w:val="0"/>
          <w:numId w:val="1"/>
        </w:numPr>
        <w:tabs>
          <w:tab w:val="left" w:pos="0"/>
        </w:tabs>
        <w:adjustRightInd w:val="0"/>
        <w:ind w:left="0" w:firstLine="0"/>
        <w:rPr>
          <w:szCs w:val="20"/>
          <w:lang w:val="es-ES"/>
        </w:rPr>
      </w:pPr>
      <w:r w:rsidRPr="003A2012">
        <w:rPr>
          <w:rFonts w:cs="Arial"/>
          <w:color w:val="222222"/>
          <w:szCs w:val="20"/>
          <w:shd w:val="clear" w:color="auto" w:fill="FFFFFF"/>
          <w:lang w:val="es-CR"/>
        </w:rPr>
        <w:t>La</w:t>
      </w:r>
      <w:r>
        <w:rPr>
          <w:rFonts w:cs="Arial"/>
          <w:color w:val="222222"/>
          <w:szCs w:val="20"/>
          <w:shd w:val="clear" w:color="auto" w:fill="FFFFFF"/>
          <w:lang w:val="es-CR"/>
        </w:rPr>
        <w:t xml:space="preserve"> Corte nota que dicha conclusión de la Defensoría es consistente tanto con las declaraciones de Marcelina Medina Negrón como con las comunicaciones del Senador JHP. Al respecto, Marcelina Medina Negrón indicó en sus primeras declaraciones que otra persona le había indicado que el responsable de la detención de su hijo era el Comandante “Tito”, y que se encontraba privado de libertad en la Comisaría de Tocache. </w:t>
      </w:r>
      <w:r w:rsidRPr="00427BE3">
        <w:rPr>
          <w:rFonts w:cs="Arial"/>
          <w:color w:val="222222"/>
          <w:szCs w:val="20"/>
          <w:shd w:val="clear" w:color="auto" w:fill="FFFFFF"/>
          <w:lang w:val="es-CR"/>
        </w:rPr>
        <w:t>Similarmente, el Senador JHP indicó</w:t>
      </w:r>
      <w:r w:rsidRPr="00427BE3">
        <w:rPr>
          <w:szCs w:val="20"/>
          <w:lang w:val="es-CR"/>
        </w:rPr>
        <w:t xml:space="preserve"> que se comunicó con el Comandante “Tito” y que éste habría reconocido la detención de Néstor Rojas Medina (</w:t>
      </w:r>
      <w:r w:rsidRPr="00427BE3">
        <w:rPr>
          <w:i/>
          <w:szCs w:val="20"/>
          <w:lang w:val="es-CR"/>
        </w:rPr>
        <w:t>supra</w:t>
      </w:r>
      <w:r w:rsidRPr="00427BE3">
        <w:rPr>
          <w:szCs w:val="20"/>
          <w:lang w:val="es-CR"/>
        </w:rPr>
        <w:t xml:space="preserve"> párr. </w:t>
      </w:r>
      <w:r>
        <w:rPr>
          <w:szCs w:val="20"/>
          <w:lang w:val="es-CR"/>
        </w:rPr>
        <w:t>101</w:t>
      </w:r>
      <w:r w:rsidRPr="00427BE3">
        <w:rPr>
          <w:szCs w:val="20"/>
          <w:lang w:val="es-CR"/>
        </w:rPr>
        <w:t xml:space="preserve">). </w:t>
      </w:r>
    </w:p>
    <w:p w:rsidR="002F6C73" w:rsidRPr="002F6C73" w:rsidRDefault="002F6C73" w:rsidP="002F6C73">
      <w:pPr>
        <w:pStyle w:val="ListParagraph"/>
        <w:rPr>
          <w:szCs w:val="20"/>
          <w:lang w:val="es-ES"/>
        </w:rPr>
      </w:pPr>
    </w:p>
    <w:p w:rsidR="002F6C73" w:rsidRPr="000C75CA" w:rsidRDefault="00DC6A92" w:rsidP="00E8710A">
      <w:pPr>
        <w:pStyle w:val="ListParagraph"/>
        <w:widowControl w:val="0"/>
        <w:numPr>
          <w:ilvl w:val="0"/>
          <w:numId w:val="1"/>
        </w:numPr>
        <w:tabs>
          <w:tab w:val="left" w:pos="0"/>
        </w:tabs>
        <w:adjustRightInd w:val="0"/>
        <w:ind w:left="0" w:firstLine="0"/>
        <w:rPr>
          <w:szCs w:val="20"/>
          <w:lang w:val="es-ES"/>
        </w:rPr>
      </w:pPr>
      <w:r w:rsidRPr="000C75CA">
        <w:rPr>
          <w:szCs w:val="20"/>
          <w:lang w:val="es-ES"/>
        </w:rPr>
        <w:t xml:space="preserve">Por otra parte, existen elementos probatorios que podrían mostrar inconsistencias o contradicciones con relación a la posible detención de Néstor Rojas Medina. Particularmente, la Corte constata que </w:t>
      </w:r>
      <w:r w:rsidRPr="000C75CA">
        <w:rPr>
          <w:szCs w:val="20"/>
          <w:lang w:val="es-CR"/>
        </w:rPr>
        <w:t>existen diferencias entre las declaraciones de Marcelina Medina Negrón en cuanto al modo, tiempo y lugar de la presunta detención de Néstor Rojas Medina y la denuncia presentada por CSL en 1991</w:t>
      </w:r>
      <w:r w:rsidRPr="000C75CA">
        <w:rPr>
          <w:rStyle w:val="FootnoteReference"/>
          <w:sz w:val="20"/>
          <w:szCs w:val="20"/>
          <w:lang w:val="es-CR"/>
        </w:rPr>
        <w:footnoteReference w:id="245"/>
      </w:r>
      <w:r w:rsidRPr="000C75CA">
        <w:rPr>
          <w:szCs w:val="20"/>
          <w:lang w:val="es-CR"/>
        </w:rPr>
        <w:t>. También se nota que Marcelina Medina Negrón en sus declaraciones indicó como presuntos responsables a dos personas distintas: en sus primeras declaraciones responsabilizaba al Comandan</w:t>
      </w:r>
      <w:r w:rsidRPr="000F150A">
        <w:rPr>
          <w:szCs w:val="20"/>
          <w:lang w:val="es-CR"/>
        </w:rPr>
        <w:t>te “Tito” de la desaparición de su hijo y, posteriormente, al Comandante Santos, siendo esta última la afirmación que señaló durante la audiencia pública (</w:t>
      </w:r>
      <w:r w:rsidRPr="000F150A">
        <w:rPr>
          <w:i/>
          <w:szCs w:val="20"/>
          <w:lang w:val="es-CR"/>
        </w:rPr>
        <w:t>supra</w:t>
      </w:r>
      <w:r w:rsidRPr="000F150A">
        <w:rPr>
          <w:szCs w:val="20"/>
          <w:lang w:val="es-CR"/>
        </w:rPr>
        <w:t xml:space="preserve"> párr. 97)</w:t>
      </w:r>
      <w:r w:rsidRPr="000F150A">
        <w:rPr>
          <w:rStyle w:val="FootnoteReference"/>
          <w:sz w:val="20"/>
          <w:szCs w:val="20"/>
          <w:lang w:val="es-CR"/>
        </w:rPr>
        <w:footnoteReference w:id="246"/>
      </w:r>
      <w:r w:rsidRPr="000F150A">
        <w:rPr>
          <w:szCs w:val="20"/>
          <w:lang w:val="es-CR"/>
        </w:rPr>
        <w:t>.</w:t>
      </w:r>
      <w:r w:rsidRPr="000C75CA">
        <w:rPr>
          <w:szCs w:val="20"/>
          <w:lang w:val="es-CR"/>
        </w:rPr>
        <w:t xml:space="preserve"> Similarmente, </w:t>
      </w:r>
      <w:r w:rsidRPr="000C75CA">
        <w:rPr>
          <w:szCs w:val="20"/>
          <w:lang w:val="es-ES"/>
        </w:rPr>
        <w:t>con respecto a la denuncia presentada por CSL, la Corte nota que con posterioridad a la denuncia inicial,</w:t>
      </w:r>
      <w:r w:rsidRPr="000C75CA">
        <w:rPr>
          <w:szCs w:val="20"/>
          <w:lang w:val="es-CR"/>
        </w:rPr>
        <w:t xml:space="preserve"> e</w:t>
      </w:r>
      <w:r w:rsidRPr="000C75CA">
        <w:rPr>
          <w:rFonts w:cs="Arial"/>
          <w:color w:val="222222"/>
          <w:szCs w:val="20"/>
          <w:shd w:val="clear" w:color="auto" w:fill="FFFFFF"/>
          <w:lang w:val="es-CR"/>
        </w:rPr>
        <w:t xml:space="preserve">n dos oportunidades la señora CSL se negó a ratificar el contenido de su denuncia y que su </w:t>
      </w:r>
      <w:r w:rsidRPr="000C75CA">
        <w:rPr>
          <w:szCs w:val="20"/>
          <w:lang w:val="es-ES"/>
        </w:rPr>
        <w:t>declaración</w:t>
      </w:r>
      <w:r w:rsidRPr="000C75CA">
        <w:rPr>
          <w:rFonts w:cs="Arial"/>
          <w:color w:val="222222"/>
          <w:szCs w:val="20"/>
          <w:shd w:val="clear" w:color="auto" w:fill="FFFFFF"/>
          <w:lang w:val="es-CR"/>
        </w:rPr>
        <w:t xml:space="preserve"> no es consistente con ninguna de las narrativas de la madre de Néstor Rojas Medina sobre su detención. </w:t>
      </w:r>
      <w:r w:rsidR="000C75CA" w:rsidRPr="000C75CA">
        <w:rPr>
          <w:rFonts w:cs="Arial"/>
          <w:color w:val="222222"/>
          <w:szCs w:val="20"/>
          <w:shd w:val="clear" w:color="auto" w:fill="FFFFFF"/>
          <w:lang w:val="es-CR"/>
        </w:rPr>
        <w:t>Según informe de la Policía Nacional del Perú de julio de 2018, e</w:t>
      </w:r>
      <w:r w:rsidRPr="000C75CA">
        <w:rPr>
          <w:rFonts w:cs="Arial"/>
          <w:color w:val="222222"/>
          <w:szCs w:val="20"/>
          <w:shd w:val="clear" w:color="auto" w:fill="FFFFFF"/>
          <w:lang w:val="es-CR"/>
        </w:rPr>
        <w:t xml:space="preserve">n su última declaración realizada en el marco de la investigación iniciada en 2016, CSL señaló que </w:t>
      </w:r>
      <w:r w:rsidRPr="000C75CA">
        <w:rPr>
          <w:szCs w:val="20"/>
          <w:lang w:val="es-CR"/>
        </w:rPr>
        <w:t>no conoce los hechos ocurridos en contra de Néstor Rojas Medina, sino que se referían a “Walter o Shapiruco” en un principio, y que desconocía si fue detenido por funcionarios policiales</w:t>
      </w:r>
      <w:r w:rsidR="000C75CA" w:rsidRPr="000C75CA">
        <w:rPr>
          <w:szCs w:val="20"/>
          <w:lang w:val="es-CR"/>
        </w:rPr>
        <w:t>.</w:t>
      </w:r>
      <w:r w:rsidRPr="000C75CA">
        <w:rPr>
          <w:szCs w:val="20"/>
          <w:lang w:val="es-CR"/>
        </w:rPr>
        <w:t xml:space="preserve"> Igualmente,</w:t>
      </w:r>
      <w:r w:rsidR="000C75CA" w:rsidRPr="000C75CA">
        <w:rPr>
          <w:szCs w:val="20"/>
          <w:lang w:val="es-CR"/>
        </w:rPr>
        <w:t xml:space="preserve"> según el referido informe,</w:t>
      </w:r>
      <w:r w:rsidRPr="000C75CA">
        <w:rPr>
          <w:szCs w:val="20"/>
          <w:lang w:val="es-CR"/>
        </w:rPr>
        <w:t xml:space="preserve"> HUC rindió una declaración en términos similares a la de CSL (</w:t>
      </w:r>
      <w:r w:rsidRPr="000C75CA">
        <w:rPr>
          <w:i/>
          <w:szCs w:val="20"/>
          <w:lang w:val="es-CR"/>
        </w:rPr>
        <w:t>supra</w:t>
      </w:r>
      <w:r w:rsidRPr="000C75CA">
        <w:rPr>
          <w:szCs w:val="20"/>
          <w:lang w:val="es-CR"/>
        </w:rPr>
        <w:t xml:space="preserve"> </w:t>
      </w:r>
      <w:r w:rsidR="000C75CA" w:rsidRPr="000C75CA">
        <w:rPr>
          <w:szCs w:val="20"/>
          <w:lang w:val="es-CR"/>
        </w:rPr>
        <w:t xml:space="preserve">pie </w:t>
      </w:r>
      <w:r w:rsidRPr="000C75CA">
        <w:rPr>
          <w:szCs w:val="20"/>
          <w:lang w:val="es-CR"/>
        </w:rPr>
        <w:t>de página 18</w:t>
      </w:r>
      <w:r w:rsidR="000C75CA" w:rsidRPr="000C75CA">
        <w:rPr>
          <w:szCs w:val="20"/>
          <w:lang w:val="es-CR"/>
        </w:rPr>
        <w:t>1</w:t>
      </w:r>
      <w:r w:rsidRPr="000C75CA">
        <w:rPr>
          <w:szCs w:val="20"/>
          <w:lang w:val="es-CR"/>
        </w:rPr>
        <w:t>)</w:t>
      </w:r>
      <w:r w:rsidRPr="000C75CA">
        <w:t xml:space="preserve">. </w:t>
      </w:r>
      <w:r w:rsidRPr="000C75CA">
        <w:rPr>
          <w:szCs w:val="20"/>
          <w:lang w:val="es-CR"/>
        </w:rPr>
        <w:t xml:space="preserve">Finalmente, la Corte toma </w:t>
      </w:r>
      <w:r w:rsidRPr="000C75CA">
        <w:rPr>
          <w:szCs w:val="20"/>
          <w:lang w:val="es-ES"/>
        </w:rPr>
        <w:t xml:space="preserve">nota </w:t>
      </w:r>
      <w:r w:rsidR="000C75CA" w:rsidRPr="000C75CA">
        <w:rPr>
          <w:szCs w:val="20"/>
          <w:lang w:val="es-ES"/>
        </w:rPr>
        <w:t>de</w:t>
      </w:r>
      <w:r w:rsidRPr="000C75CA">
        <w:rPr>
          <w:szCs w:val="20"/>
          <w:lang w:val="es-ES"/>
        </w:rPr>
        <w:t xml:space="preserve"> </w:t>
      </w:r>
      <w:r w:rsidRPr="000C75CA">
        <w:rPr>
          <w:szCs w:val="20"/>
          <w:lang w:val="es-CR"/>
        </w:rPr>
        <w:lastRenderedPageBreak/>
        <w:t xml:space="preserve">una comunicación </w:t>
      </w:r>
      <w:r w:rsidRPr="000C75CA">
        <w:rPr>
          <w:szCs w:val="20"/>
          <w:lang w:val="es-ES"/>
        </w:rPr>
        <w:t>de</w:t>
      </w:r>
      <w:r w:rsidRPr="000C75CA">
        <w:rPr>
          <w:szCs w:val="20"/>
          <w:lang w:val="es-CR"/>
        </w:rPr>
        <w:t xml:space="preserve"> la Dirección General de Migraciones, de la que se desprenden dos movimientos migratorios en 1995 realizados por Néstor Rojas Medina</w:t>
      </w:r>
      <w:r w:rsidRPr="000C75CA">
        <w:t xml:space="preserve"> </w:t>
      </w:r>
      <w:r w:rsidR="004525A6" w:rsidRPr="000C75CA">
        <w:t>(</w:t>
      </w:r>
      <w:r w:rsidR="000C43E3" w:rsidRPr="007F1C0C">
        <w:rPr>
          <w:i/>
        </w:rPr>
        <w:t>s</w:t>
      </w:r>
      <w:r w:rsidR="004525A6" w:rsidRPr="007F1C0C">
        <w:rPr>
          <w:i/>
        </w:rPr>
        <w:t xml:space="preserve">upra </w:t>
      </w:r>
      <w:r w:rsidR="004525A6" w:rsidRPr="000C75CA">
        <w:t>p</w:t>
      </w:r>
      <w:r w:rsidR="004525A6" w:rsidRPr="000C75CA">
        <w:rPr>
          <w:szCs w:val="20"/>
          <w:lang w:val="es-CR"/>
        </w:rPr>
        <w:t>á</w:t>
      </w:r>
      <w:r w:rsidR="004525A6" w:rsidRPr="000C75CA">
        <w:t>rr. 105)</w:t>
      </w:r>
      <w:r w:rsidR="000C75CA">
        <w:t>.</w:t>
      </w:r>
    </w:p>
    <w:p w:rsidR="002F6C73" w:rsidRPr="00F54259" w:rsidRDefault="002F6C73" w:rsidP="002F6C73">
      <w:pPr>
        <w:pStyle w:val="ListParagraph"/>
        <w:widowControl w:val="0"/>
        <w:tabs>
          <w:tab w:val="left" w:pos="0"/>
        </w:tabs>
        <w:adjustRightInd w:val="0"/>
        <w:ind w:left="0"/>
        <w:rPr>
          <w:szCs w:val="20"/>
          <w:lang w:val="es-ES"/>
        </w:rPr>
      </w:pPr>
    </w:p>
    <w:p w:rsidR="00873835" w:rsidRPr="000B360E" w:rsidRDefault="00873835" w:rsidP="00873835">
      <w:pPr>
        <w:pStyle w:val="ListParagraph"/>
        <w:widowControl w:val="0"/>
        <w:numPr>
          <w:ilvl w:val="0"/>
          <w:numId w:val="1"/>
        </w:numPr>
        <w:tabs>
          <w:tab w:val="left" w:pos="0"/>
        </w:tabs>
        <w:adjustRightInd w:val="0"/>
        <w:ind w:left="0" w:firstLine="0"/>
        <w:rPr>
          <w:szCs w:val="20"/>
          <w:lang w:val="es-ES"/>
        </w:rPr>
      </w:pPr>
      <w:r w:rsidRPr="000B360E">
        <w:rPr>
          <w:szCs w:val="20"/>
          <w:lang w:val="es-ES"/>
        </w:rPr>
        <w:t>No obstante lo anterior, la Corte considera que con independencia de las diferencias sobre el modo, tiempo y lugar en las cuales pudo haber ocurrido la desaparición de Néstor Rojas Medina</w:t>
      </w:r>
      <w:r w:rsidR="000F1310">
        <w:rPr>
          <w:szCs w:val="20"/>
          <w:lang w:val="es-ES"/>
        </w:rPr>
        <w:t>,</w:t>
      </w:r>
      <w:r w:rsidRPr="000B360E">
        <w:rPr>
          <w:szCs w:val="20"/>
          <w:lang w:val="es-ES"/>
        </w:rPr>
        <w:t xml:space="preserve"> según las declaraciones de su madr</w:t>
      </w:r>
      <w:r w:rsidR="000B360E" w:rsidRPr="000B360E">
        <w:rPr>
          <w:szCs w:val="20"/>
          <w:lang w:val="es-ES"/>
        </w:rPr>
        <w:t xml:space="preserve">e y la primera declaración </w:t>
      </w:r>
      <w:r w:rsidR="00DC6A92">
        <w:rPr>
          <w:szCs w:val="20"/>
          <w:lang w:val="es-ES"/>
        </w:rPr>
        <w:t xml:space="preserve">de </w:t>
      </w:r>
      <w:r w:rsidR="000B360E" w:rsidRPr="000B360E">
        <w:rPr>
          <w:szCs w:val="20"/>
          <w:lang w:val="es-ES"/>
        </w:rPr>
        <w:t>CSL,</w:t>
      </w:r>
      <w:r w:rsidR="004E00BC">
        <w:rPr>
          <w:szCs w:val="20"/>
          <w:lang w:val="es-ES"/>
        </w:rPr>
        <w:t xml:space="preserve"> </w:t>
      </w:r>
      <w:r w:rsidRPr="000B360E">
        <w:rPr>
          <w:szCs w:val="20"/>
          <w:lang w:val="es-ES"/>
        </w:rPr>
        <w:t>existe consistencia en que Néstor Rojas Medina</w:t>
      </w:r>
      <w:r w:rsidR="000F1310">
        <w:rPr>
          <w:szCs w:val="20"/>
          <w:lang w:val="es-ES"/>
        </w:rPr>
        <w:t xml:space="preserve"> fue detenido por agentes estatales mientras se encontraba en la población de Tocache a finales de enero de 1991, y hasta la fecha</w:t>
      </w:r>
      <w:r w:rsidRPr="000B360E">
        <w:rPr>
          <w:szCs w:val="20"/>
          <w:lang w:val="es-ES"/>
        </w:rPr>
        <w:t xml:space="preserve"> se encuentra desaparecido, y que a pesar de que han transcurrido más de </w:t>
      </w:r>
      <w:r w:rsidR="007F1C0C">
        <w:rPr>
          <w:szCs w:val="20"/>
          <w:lang w:val="es-ES"/>
        </w:rPr>
        <w:t>27</w:t>
      </w:r>
      <w:r w:rsidRPr="000B360E">
        <w:rPr>
          <w:szCs w:val="20"/>
          <w:lang w:val="es-ES"/>
        </w:rPr>
        <w:t xml:space="preserve"> años desde los hechos y de la denuncia inicial presentada por la señora CSL, el Estado no ha brindado una hipótesis convincente sobre su paradero. Más aún, la Corte estima que los indicios disponibles, particularmente los resultados de la investigación realizada por la Defensoría del Pueblo en su Inform</w:t>
      </w:r>
      <w:r w:rsidR="000B360E" w:rsidRPr="000B360E">
        <w:rPr>
          <w:szCs w:val="20"/>
          <w:lang w:val="es-ES"/>
        </w:rPr>
        <w:t>e de Verificación, generan en este</w:t>
      </w:r>
      <w:r w:rsidRPr="000B360E">
        <w:rPr>
          <w:szCs w:val="20"/>
          <w:lang w:val="es-ES"/>
        </w:rPr>
        <w:t xml:space="preserve"> Tribunal convicción de que Néstor Rojas Medina fue detenido por agentes </w:t>
      </w:r>
      <w:r w:rsidR="004525A6">
        <w:rPr>
          <w:szCs w:val="20"/>
          <w:lang w:val="es-ES"/>
        </w:rPr>
        <w:t>estatales</w:t>
      </w:r>
      <w:r w:rsidRPr="000B360E">
        <w:rPr>
          <w:szCs w:val="20"/>
          <w:lang w:val="es-ES"/>
        </w:rPr>
        <w:t xml:space="preserve">. Además, debe hacerse notar que su desaparición tuvo lugar en un </w:t>
      </w:r>
      <w:r w:rsidRPr="000B360E">
        <w:rPr>
          <w:lang w:val="es-ES"/>
        </w:rPr>
        <w:t xml:space="preserve">el contexto de la práctica </w:t>
      </w:r>
      <w:r w:rsidRPr="000B360E">
        <w:rPr>
          <w:szCs w:val="20"/>
          <w:lang w:val="es-ES"/>
        </w:rPr>
        <w:t>sistemática</w:t>
      </w:r>
      <w:r w:rsidRPr="000B360E">
        <w:rPr>
          <w:lang w:val="es-ES"/>
        </w:rPr>
        <w:t xml:space="preserve"> y generalizada de desaparición forzada en el marco de la lucha antiterrorista por parte del Estado</w:t>
      </w:r>
      <w:r w:rsidRPr="000B360E">
        <w:rPr>
          <w:szCs w:val="20"/>
          <w:lang w:val="es-ES"/>
        </w:rPr>
        <w:t xml:space="preserve">. </w:t>
      </w:r>
      <w:r w:rsidRPr="000B360E">
        <w:rPr>
          <w:szCs w:val="20"/>
          <w:lang w:val="es-AR"/>
        </w:rPr>
        <w:t xml:space="preserve">En conclusión, la Corte considera acreditado que Néstor Rojas Medina fue objeto de una desaparición forzada en el presente caso. </w:t>
      </w:r>
    </w:p>
    <w:p w:rsidR="00873835" w:rsidRPr="00936864" w:rsidRDefault="00873835" w:rsidP="00873835">
      <w:pPr>
        <w:rPr>
          <w:szCs w:val="20"/>
          <w:lang w:val="es-AR"/>
        </w:rPr>
      </w:pPr>
    </w:p>
    <w:p w:rsidR="00873835" w:rsidRDefault="00873835" w:rsidP="00873835">
      <w:pPr>
        <w:pStyle w:val="ListParagraph"/>
        <w:numPr>
          <w:ilvl w:val="0"/>
          <w:numId w:val="1"/>
        </w:numPr>
        <w:autoSpaceDE w:val="0"/>
        <w:autoSpaceDN w:val="0"/>
        <w:adjustRightInd w:val="0"/>
        <w:spacing w:line="20" w:lineRule="atLeast"/>
        <w:ind w:left="0" w:right="-138" w:firstLine="0"/>
        <w:rPr>
          <w:szCs w:val="20"/>
          <w:lang w:val="es-AR"/>
        </w:rPr>
      </w:pPr>
      <w:r w:rsidRPr="000E0038">
        <w:rPr>
          <w:szCs w:val="20"/>
          <w:lang w:val="es-AR"/>
        </w:rPr>
        <w:t>En</w:t>
      </w:r>
      <w:r w:rsidRPr="00C9037F">
        <w:rPr>
          <w:szCs w:val="20"/>
          <w:lang w:val="es-AR"/>
        </w:rPr>
        <w:t xml:space="preserve"> consecuencia,</w:t>
      </w:r>
      <w:r>
        <w:rPr>
          <w:szCs w:val="20"/>
          <w:lang w:val="es-AR"/>
        </w:rPr>
        <w:t xml:space="preserve"> teniendo en cuenta el carácter pluriofensivo de la desaparición forzada de personas (</w:t>
      </w:r>
      <w:r>
        <w:rPr>
          <w:i/>
          <w:szCs w:val="20"/>
          <w:lang w:val="es-AR"/>
        </w:rPr>
        <w:t>supra</w:t>
      </w:r>
      <w:r>
        <w:rPr>
          <w:szCs w:val="20"/>
          <w:lang w:val="es-AR"/>
        </w:rPr>
        <w:t xml:space="preserve"> párr. 134),</w:t>
      </w:r>
      <w:r w:rsidRPr="00C9037F">
        <w:rPr>
          <w:szCs w:val="20"/>
          <w:lang w:val="es-AR"/>
        </w:rPr>
        <w:t xml:space="preserve"> este Tribunal concluye que el Estado es responsable de la violación de los derechos reconocidos en los artículos 7, 5.1, 5.2, 4.1 y 3 de la Convención Americana, en relación con el artículo 1.1 de la misma y con lo dispuesto en el artículo I.a) de la Convención Interamericana sobre Desaparición Forzada, en perjuicio de </w:t>
      </w:r>
      <w:r>
        <w:rPr>
          <w:szCs w:val="20"/>
          <w:lang w:val="es-AR"/>
        </w:rPr>
        <w:t>Néstor Rojas Medina</w:t>
      </w:r>
      <w:r w:rsidRPr="00C9037F">
        <w:rPr>
          <w:szCs w:val="20"/>
          <w:lang w:val="es-AR"/>
        </w:rPr>
        <w:t xml:space="preserve">. </w:t>
      </w:r>
    </w:p>
    <w:p w:rsidR="00873835" w:rsidRPr="00A22DDF" w:rsidRDefault="00873835" w:rsidP="00873835">
      <w:pPr>
        <w:pStyle w:val="ListParagraph"/>
        <w:autoSpaceDE w:val="0"/>
        <w:autoSpaceDN w:val="0"/>
        <w:adjustRightInd w:val="0"/>
        <w:spacing w:line="20" w:lineRule="atLeast"/>
        <w:ind w:left="0" w:right="-138"/>
        <w:rPr>
          <w:szCs w:val="20"/>
          <w:lang w:val="es-AR"/>
        </w:rPr>
      </w:pPr>
    </w:p>
    <w:p w:rsidR="00873835" w:rsidRPr="00F27325" w:rsidRDefault="00873835" w:rsidP="00873835">
      <w:pPr>
        <w:pStyle w:val="Heading3"/>
        <w:spacing w:before="0"/>
        <w:ind w:firstLine="720"/>
        <w:rPr>
          <w:i/>
          <w:szCs w:val="20"/>
        </w:rPr>
      </w:pPr>
      <w:bookmarkStart w:id="176" w:name="_Toc527993546"/>
      <w:r>
        <w:rPr>
          <w:i/>
          <w:szCs w:val="20"/>
        </w:rPr>
        <w:t>B.6.</w:t>
      </w:r>
      <w:r>
        <w:rPr>
          <w:i/>
          <w:szCs w:val="20"/>
        </w:rPr>
        <w:tab/>
      </w:r>
      <w:r w:rsidRPr="00F27325">
        <w:rPr>
          <w:i/>
          <w:szCs w:val="20"/>
        </w:rPr>
        <w:t>Desaparición Forzada de Santiago Antezana Cueto</w:t>
      </w:r>
      <w:bookmarkEnd w:id="176"/>
      <w:r w:rsidRPr="00F27325">
        <w:rPr>
          <w:i/>
          <w:szCs w:val="20"/>
        </w:rPr>
        <w:t xml:space="preserve"> </w:t>
      </w:r>
    </w:p>
    <w:p w:rsidR="00873835" w:rsidRPr="00144A45" w:rsidRDefault="00873835" w:rsidP="00873835">
      <w:pPr>
        <w:rPr>
          <w:b/>
          <w:szCs w:val="20"/>
        </w:rPr>
      </w:pPr>
    </w:p>
    <w:p w:rsidR="00873835" w:rsidRPr="00144A45" w:rsidRDefault="00873835" w:rsidP="00873835">
      <w:pPr>
        <w:pStyle w:val="ListParagraph"/>
        <w:widowControl w:val="0"/>
        <w:numPr>
          <w:ilvl w:val="0"/>
          <w:numId w:val="1"/>
        </w:numPr>
        <w:tabs>
          <w:tab w:val="left" w:pos="0"/>
        </w:tabs>
        <w:adjustRightInd w:val="0"/>
        <w:ind w:left="0" w:firstLine="0"/>
        <w:rPr>
          <w:szCs w:val="20"/>
          <w:lang w:val="es-ES"/>
        </w:rPr>
      </w:pPr>
      <w:r w:rsidRPr="00144A45">
        <w:rPr>
          <w:szCs w:val="20"/>
          <w:lang w:val="es-AR"/>
        </w:rPr>
        <w:t xml:space="preserve">En el presente apartado corresponde al Tribunal analizar la responsabilidad internacional del Estado con respecto a la desaparición forzada de </w:t>
      </w:r>
      <w:r w:rsidRPr="00144A45">
        <w:rPr>
          <w:szCs w:val="20"/>
          <w:lang w:val="es-ES"/>
        </w:rPr>
        <w:t>Santiago Antezana Cueto. A di</w:t>
      </w:r>
      <w:r>
        <w:rPr>
          <w:szCs w:val="20"/>
          <w:lang w:val="es-ES"/>
        </w:rPr>
        <w:t>ferencia de los otros casos</w:t>
      </w:r>
      <w:r w:rsidR="0069469D">
        <w:rPr>
          <w:szCs w:val="20"/>
          <w:lang w:val="es-ES"/>
        </w:rPr>
        <w:t>, el Estado señaló que, c</w:t>
      </w:r>
      <w:r w:rsidR="00DB7E2F">
        <w:rPr>
          <w:szCs w:val="20"/>
          <w:lang w:val="es-ES"/>
        </w:rPr>
        <w:t>onforme se resolvió</w:t>
      </w:r>
      <w:r w:rsidR="0069469D">
        <w:rPr>
          <w:szCs w:val="20"/>
          <w:lang w:val="es-ES"/>
        </w:rPr>
        <w:t xml:space="preserve"> en la sentencia emitida por la Sala Penal Nacional,</w:t>
      </w:r>
      <w:r w:rsidRPr="00144A45">
        <w:rPr>
          <w:szCs w:val="20"/>
          <w:lang w:val="es-ES"/>
        </w:rPr>
        <w:t xml:space="preserve"> </w:t>
      </w:r>
      <w:r w:rsidR="00DB7E2F">
        <w:rPr>
          <w:szCs w:val="20"/>
          <w:lang w:val="es-ES"/>
        </w:rPr>
        <w:t>en el presente caso se estableció</w:t>
      </w:r>
      <w:r w:rsidR="0069469D">
        <w:rPr>
          <w:szCs w:val="20"/>
          <w:lang w:val="es-ES"/>
        </w:rPr>
        <w:t xml:space="preserve"> la</w:t>
      </w:r>
      <w:r w:rsidRPr="00144A45">
        <w:rPr>
          <w:szCs w:val="20"/>
          <w:lang w:val="es-ES"/>
        </w:rPr>
        <w:t xml:space="preserve"> desaparición forzada </w:t>
      </w:r>
      <w:r>
        <w:rPr>
          <w:szCs w:val="20"/>
          <w:lang w:val="es-ES"/>
        </w:rPr>
        <w:t>en perjuicio de</w:t>
      </w:r>
      <w:r w:rsidRPr="00144A45">
        <w:rPr>
          <w:szCs w:val="20"/>
          <w:lang w:val="es-ES"/>
        </w:rPr>
        <w:t xml:space="preserve"> Santiago Antezana Cueto y consideró que la Corte no debe pronunciarse</w:t>
      </w:r>
      <w:r>
        <w:rPr>
          <w:szCs w:val="20"/>
          <w:lang w:val="es-ES"/>
        </w:rPr>
        <w:t>,</w:t>
      </w:r>
      <w:r w:rsidRPr="00144A45">
        <w:rPr>
          <w:szCs w:val="20"/>
          <w:lang w:val="es-ES"/>
        </w:rPr>
        <w:t xml:space="preserve"> ya que la investigación correspondiente fue llevada a cabo y se determinó la responsabilidad penal individual de </w:t>
      </w:r>
      <w:r w:rsidRPr="00481B99">
        <w:rPr>
          <w:szCs w:val="20"/>
          <w:lang w:val="es-AR"/>
        </w:rPr>
        <w:t>un</w:t>
      </w:r>
      <w:r w:rsidRPr="00144A45">
        <w:rPr>
          <w:szCs w:val="20"/>
          <w:lang w:val="es-ES"/>
        </w:rPr>
        <w:t xml:space="preserve"> imputado y la </w:t>
      </w:r>
      <w:r>
        <w:rPr>
          <w:szCs w:val="20"/>
          <w:lang w:val="es-ES"/>
        </w:rPr>
        <w:t>reparación</w:t>
      </w:r>
      <w:r w:rsidRPr="00144A45">
        <w:rPr>
          <w:szCs w:val="20"/>
          <w:lang w:val="es-ES"/>
        </w:rPr>
        <w:t xml:space="preserve"> civil que le correspondía a </w:t>
      </w:r>
      <w:r>
        <w:rPr>
          <w:szCs w:val="20"/>
          <w:lang w:val="es-ES"/>
        </w:rPr>
        <w:t>sus</w:t>
      </w:r>
      <w:r w:rsidRPr="00144A45">
        <w:rPr>
          <w:szCs w:val="20"/>
          <w:lang w:val="es-ES"/>
        </w:rPr>
        <w:t xml:space="preserve"> familiares. </w:t>
      </w:r>
    </w:p>
    <w:p w:rsidR="00873835" w:rsidRPr="00144A45" w:rsidRDefault="00873835" w:rsidP="00873835">
      <w:pPr>
        <w:pStyle w:val="ListParagraph"/>
        <w:autoSpaceDE w:val="0"/>
        <w:autoSpaceDN w:val="0"/>
        <w:adjustRightInd w:val="0"/>
        <w:spacing w:line="20" w:lineRule="atLeast"/>
        <w:ind w:left="0" w:right="-138"/>
        <w:rPr>
          <w:szCs w:val="20"/>
          <w:lang w:val="es-ES"/>
        </w:rPr>
      </w:pPr>
    </w:p>
    <w:p w:rsidR="00873835" w:rsidRPr="00FD6009" w:rsidRDefault="00873835" w:rsidP="00873835">
      <w:pPr>
        <w:pStyle w:val="ListParagraph"/>
        <w:widowControl w:val="0"/>
        <w:numPr>
          <w:ilvl w:val="0"/>
          <w:numId w:val="1"/>
        </w:numPr>
        <w:tabs>
          <w:tab w:val="left" w:pos="0"/>
        </w:tabs>
        <w:adjustRightInd w:val="0"/>
        <w:ind w:left="0" w:firstLine="0"/>
        <w:rPr>
          <w:szCs w:val="20"/>
          <w:lang w:val="es-AR"/>
        </w:rPr>
      </w:pPr>
      <w:r w:rsidRPr="00FD6009">
        <w:rPr>
          <w:szCs w:val="20"/>
          <w:lang w:val="es-ES"/>
        </w:rPr>
        <w:t>E</w:t>
      </w:r>
      <w:r w:rsidRPr="00FD6009">
        <w:rPr>
          <w:szCs w:val="20"/>
          <w:lang w:val="es-AR"/>
        </w:rPr>
        <w:t>sta Corte ya expresó que el Sistema Interamericano de Derechos Humanos (en adelante también “Sistema Interamericano”) “consta de un nivel nacional que consiste en la obligación de cada Estado de garantizar los derechos y libertades previstos en la Convención y de sancionar las infracciones que se cometieren” y que “si un caso concreto no es solucionado en la etapa interna o nacional, la Convención prevé un nivel internacional en la que los órganos principales son la Comisión y esta Corte”. Asimismo, este Tribunal también indicó que “cuando una cuestión ha sido resuelta definitivamente en el orden interno según las cláusulas de la Convención, no es necesario traerla a esta Corte para su ‘aprobación’ o ‘confirmación’”</w:t>
      </w:r>
      <w:r w:rsidRPr="00FD6009">
        <w:rPr>
          <w:rStyle w:val="FootnoteReference"/>
          <w:sz w:val="20"/>
          <w:szCs w:val="20"/>
          <w:lang w:val="es-AR"/>
        </w:rPr>
        <w:footnoteReference w:id="247"/>
      </w:r>
      <w:r w:rsidRPr="00FD6009">
        <w:rPr>
          <w:szCs w:val="20"/>
          <w:lang w:val="es-AR"/>
        </w:rPr>
        <w:t>.</w:t>
      </w:r>
    </w:p>
    <w:p w:rsidR="00873835" w:rsidRPr="00FD6009" w:rsidRDefault="00873835" w:rsidP="00873835">
      <w:pPr>
        <w:pStyle w:val="ListParagraph"/>
        <w:autoSpaceDE w:val="0"/>
        <w:autoSpaceDN w:val="0"/>
        <w:adjustRightInd w:val="0"/>
        <w:spacing w:line="20" w:lineRule="atLeast"/>
        <w:ind w:left="0" w:right="-138"/>
        <w:rPr>
          <w:szCs w:val="20"/>
          <w:lang w:val="es-AR"/>
        </w:rPr>
      </w:pPr>
    </w:p>
    <w:p w:rsidR="00873835" w:rsidRPr="00FD6009" w:rsidRDefault="00873835" w:rsidP="00873835">
      <w:pPr>
        <w:pStyle w:val="ListParagraph"/>
        <w:widowControl w:val="0"/>
        <w:numPr>
          <w:ilvl w:val="0"/>
          <w:numId w:val="1"/>
        </w:numPr>
        <w:tabs>
          <w:tab w:val="left" w:pos="0"/>
        </w:tabs>
        <w:adjustRightInd w:val="0"/>
        <w:ind w:left="0" w:firstLine="0"/>
        <w:rPr>
          <w:szCs w:val="20"/>
          <w:lang w:val="es-AR"/>
        </w:rPr>
      </w:pPr>
      <w:r w:rsidRPr="00FD6009">
        <w:rPr>
          <w:szCs w:val="20"/>
          <w:lang w:val="es-AR"/>
        </w:rPr>
        <w:t>De lo anterior se desprende que, en el Sistema Interamericano, existe un control dinámico y complementario de las obligaciones convencionales de los Estados de respetar y garantizar los derechos humanos, conjuntamente entre las autoridades internas (</w:t>
      </w:r>
      <w:r w:rsidRPr="00FD6009">
        <w:rPr>
          <w:szCs w:val="20"/>
          <w:lang w:val="es-ES"/>
        </w:rPr>
        <w:t>primariamente</w:t>
      </w:r>
      <w:r w:rsidRPr="00FD6009">
        <w:rPr>
          <w:szCs w:val="20"/>
          <w:lang w:val="es-AR"/>
        </w:rPr>
        <w:t xml:space="preserve"> obligadas) y las instancias internacionales (en forma complementaria), de </w:t>
      </w:r>
      <w:r w:rsidRPr="00FD6009">
        <w:rPr>
          <w:szCs w:val="20"/>
          <w:lang w:val="es-AR"/>
        </w:rPr>
        <w:lastRenderedPageBreak/>
        <w:t>modo que los criterios de decisión, y los mecanismos de protección, tanto los nacionales como los internacionales, puedan ser conformados y adecuados entre sí. En este sentido, la Corte ha señalado que la responsabilidad estatal bajo la Convención sólo puede ser exigida a nivel internacional después de que el Estado haya tenido la oportunidad de reconocer, en su caso, una violación de un derecho, y de reparar por sus propios medios los daños ocasionados</w:t>
      </w:r>
      <w:r w:rsidRPr="00FD6009">
        <w:rPr>
          <w:rStyle w:val="FootnoteReference"/>
          <w:sz w:val="20"/>
          <w:szCs w:val="20"/>
          <w:lang w:val="es-AR"/>
        </w:rPr>
        <w:footnoteReference w:id="248"/>
      </w:r>
      <w:r w:rsidRPr="00FD6009">
        <w:rPr>
          <w:szCs w:val="20"/>
          <w:lang w:val="es-AR"/>
        </w:rPr>
        <w:t>.</w:t>
      </w:r>
    </w:p>
    <w:p w:rsidR="00873835" w:rsidRPr="00FD6009" w:rsidRDefault="00873835" w:rsidP="00873835">
      <w:pPr>
        <w:pStyle w:val="ListParagraph"/>
        <w:autoSpaceDE w:val="0"/>
        <w:autoSpaceDN w:val="0"/>
        <w:adjustRightInd w:val="0"/>
        <w:spacing w:line="20" w:lineRule="atLeast"/>
        <w:ind w:left="0" w:right="-138"/>
        <w:rPr>
          <w:szCs w:val="20"/>
          <w:lang w:val="es-AR"/>
        </w:rPr>
      </w:pPr>
    </w:p>
    <w:p w:rsidR="000C75CA" w:rsidRPr="000C75CA" w:rsidRDefault="00DC6A92" w:rsidP="000C75CA">
      <w:pPr>
        <w:pStyle w:val="ListParagraph"/>
        <w:widowControl w:val="0"/>
        <w:numPr>
          <w:ilvl w:val="0"/>
          <w:numId w:val="1"/>
        </w:numPr>
        <w:tabs>
          <w:tab w:val="left" w:pos="0"/>
        </w:tabs>
        <w:adjustRightInd w:val="0"/>
        <w:ind w:left="0" w:firstLine="0"/>
        <w:rPr>
          <w:szCs w:val="20"/>
          <w:lang w:val="es-AR"/>
        </w:rPr>
      </w:pPr>
      <w:r w:rsidRPr="000C75CA">
        <w:rPr>
          <w:szCs w:val="20"/>
          <w:lang w:val="es-AR"/>
        </w:rPr>
        <w:t xml:space="preserve">Conforme a lo anterior, este Tribunal recuerda que, </w:t>
      </w:r>
      <w:r w:rsidRPr="000C75CA">
        <w:t>el hecho de que el Estado haga un reconocimiento de responsabilidad internacional, y afirme que lo reparó, no significa esto que lo inhiba de efectuar determinaciones sobre las consecuencias jurídicas que surgen de un acto violatorio de la Convención, aun cuando el Estado alegue que dicho acto cesó y fue reparado</w:t>
      </w:r>
      <w:r w:rsidRPr="000C75CA">
        <w:rPr>
          <w:rStyle w:val="FootnoteReference"/>
          <w:sz w:val="20"/>
          <w:szCs w:val="20"/>
          <w:lang w:val="es-AR"/>
        </w:rPr>
        <w:footnoteReference w:id="249"/>
      </w:r>
      <w:r w:rsidRPr="000C75CA">
        <w:rPr>
          <w:szCs w:val="20"/>
          <w:lang w:val="es-AR"/>
        </w:rPr>
        <w:t>.</w:t>
      </w:r>
    </w:p>
    <w:p w:rsidR="00873835" w:rsidRPr="00144A45" w:rsidRDefault="000C75CA" w:rsidP="000C75CA">
      <w:pPr>
        <w:pStyle w:val="ListParagraph"/>
        <w:widowControl w:val="0"/>
        <w:tabs>
          <w:tab w:val="left" w:pos="0"/>
        </w:tabs>
        <w:adjustRightInd w:val="0"/>
        <w:ind w:left="0"/>
        <w:rPr>
          <w:szCs w:val="20"/>
          <w:lang w:val="es-AR"/>
        </w:rPr>
      </w:pPr>
      <w:r w:rsidRPr="00144A45">
        <w:rPr>
          <w:szCs w:val="20"/>
          <w:lang w:val="es-AR"/>
        </w:rPr>
        <w:t xml:space="preserve"> </w:t>
      </w:r>
    </w:p>
    <w:p w:rsidR="00873835" w:rsidRPr="00144A45" w:rsidRDefault="00873835" w:rsidP="00873835">
      <w:pPr>
        <w:pStyle w:val="ListParagraph"/>
        <w:widowControl w:val="0"/>
        <w:numPr>
          <w:ilvl w:val="0"/>
          <w:numId w:val="1"/>
        </w:numPr>
        <w:tabs>
          <w:tab w:val="left" w:pos="0"/>
        </w:tabs>
        <w:adjustRightInd w:val="0"/>
        <w:ind w:left="0" w:firstLine="0"/>
        <w:rPr>
          <w:szCs w:val="20"/>
          <w:lang w:val="es-AR"/>
        </w:rPr>
      </w:pPr>
      <w:r w:rsidRPr="00FD6009">
        <w:rPr>
          <w:szCs w:val="20"/>
          <w:lang w:val="es-AR"/>
        </w:rPr>
        <w:t>En lo que</w:t>
      </w:r>
      <w:r w:rsidRPr="00144A45">
        <w:rPr>
          <w:szCs w:val="20"/>
          <w:lang w:val="es-AR"/>
        </w:rPr>
        <w:t xml:space="preserve"> respecta a si el hecho ilícito internacional alegado cesó, debe indicarse que, tal como se </w:t>
      </w:r>
      <w:r w:rsidRPr="00144A45">
        <w:rPr>
          <w:szCs w:val="20"/>
          <w:lang w:val="es-CR"/>
        </w:rPr>
        <w:t>indicó</w:t>
      </w:r>
      <w:r w:rsidRPr="00144A45">
        <w:rPr>
          <w:szCs w:val="20"/>
          <w:lang w:val="es-AR"/>
        </w:rPr>
        <w:t xml:space="preserve"> previamente, la desaparición forzada es un hecho ilícito de carácter continuo, que no cesa hasta tanto se determine el paradero de la persona desaparecida o sus restos</w:t>
      </w:r>
      <w:r w:rsidR="00C72378">
        <w:rPr>
          <w:szCs w:val="20"/>
          <w:lang w:val="es-AR"/>
        </w:rPr>
        <w:t xml:space="preserve"> </w:t>
      </w:r>
      <w:r w:rsidRPr="00144A45">
        <w:rPr>
          <w:szCs w:val="20"/>
          <w:lang w:val="es-AR"/>
        </w:rPr>
        <w:t>(</w:t>
      </w:r>
      <w:r w:rsidRPr="00144A45">
        <w:rPr>
          <w:i/>
          <w:szCs w:val="20"/>
          <w:lang w:val="es-AR"/>
        </w:rPr>
        <w:t>supra</w:t>
      </w:r>
      <w:r w:rsidRPr="00144A45">
        <w:rPr>
          <w:szCs w:val="20"/>
          <w:lang w:val="es-AR"/>
        </w:rPr>
        <w:t xml:space="preserve"> párr. </w:t>
      </w:r>
      <w:r>
        <w:rPr>
          <w:szCs w:val="20"/>
          <w:lang w:val="es-AR"/>
        </w:rPr>
        <w:t>134</w:t>
      </w:r>
      <w:r w:rsidRPr="00144A45">
        <w:rPr>
          <w:szCs w:val="20"/>
          <w:lang w:val="es-AR"/>
        </w:rPr>
        <w:t xml:space="preserve">). En el presente caso, se </w:t>
      </w:r>
      <w:r>
        <w:rPr>
          <w:szCs w:val="20"/>
          <w:lang w:val="es-AR"/>
        </w:rPr>
        <w:t xml:space="preserve">advierte </w:t>
      </w:r>
      <w:r w:rsidRPr="00144A45">
        <w:rPr>
          <w:szCs w:val="20"/>
          <w:lang w:val="es-AR"/>
        </w:rPr>
        <w:t xml:space="preserve">que los restos de Santiago Antezana </w:t>
      </w:r>
      <w:r>
        <w:rPr>
          <w:szCs w:val="20"/>
          <w:lang w:val="es-AR"/>
        </w:rPr>
        <w:t xml:space="preserve">Cueto </w:t>
      </w:r>
      <w:r w:rsidRPr="00144A45">
        <w:rPr>
          <w:szCs w:val="20"/>
          <w:lang w:val="es-AR"/>
        </w:rPr>
        <w:t xml:space="preserve">no han sido ubicados ni devueltos a sus familiares, razón por la cual se debe considerar que su desaparición </w:t>
      </w:r>
      <w:r>
        <w:rPr>
          <w:szCs w:val="20"/>
          <w:lang w:val="es-AR"/>
        </w:rPr>
        <w:t xml:space="preserve">forzada </w:t>
      </w:r>
      <w:r w:rsidRPr="00144A45">
        <w:rPr>
          <w:szCs w:val="20"/>
          <w:lang w:val="es-AR"/>
        </w:rPr>
        <w:t xml:space="preserve">persiste. En consecuencia, no se puede considerar que el hecho ilícito internacional ha cesado. </w:t>
      </w:r>
    </w:p>
    <w:p w:rsidR="00873835" w:rsidRPr="00144A45" w:rsidRDefault="00873835" w:rsidP="00873835">
      <w:pPr>
        <w:pStyle w:val="ListParagraph"/>
        <w:autoSpaceDE w:val="0"/>
        <w:autoSpaceDN w:val="0"/>
        <w:adjustRightInd w:val="0"/>
        <w:spacing w:line="20" w:lineRule="atLeast"/>
        <w:ind w:left="0" w:right="-138"/>
        <w:rPr>
          <w:strike/>
          <w:szCs w:val="20"/>
          <w:lang w:val="es-AR"/>
        </w:rPr>
      </w:pPr>
    </w:p>
    <w:p w:rsidR="00873835" w:rsidRPr="00144A45" w:rsidRDefault="00873835" w:rsidP="00873835">
      <w:pPr>
        <w:pStyle w:val="ListParagraph"/>
        <w:widowControl w:val="0"/>
        <w:numPr>
          <w:ilvl w:val="0"/>
          <w:numId w:val="1"/>
        </w:numPr>
        <w:tabs>
          <w:tab w:val="left" w:pos="0"/>
        </w:tabs>
        <w:adjustRightInd w:val="0"/>
        <w:ind w:left="0" w:firstLine="0"/>
        <w:rPr>
          <w:szCs w:val="20"/>
          <w:lang w:val="es-AR"/>
        </w:rPr>
      </w:pPr>
      <w:r w:rsidRPr="0069469D">
        <w:rPr>
          <w:szCs w:val="20"/>
          <w:lang w:val="es-AR"/>
        </w:rPr>
        <w:t>Teniendo en</w:t>
      </w:r>
      <w:r w:rsidRPr="00144A45">
        <w:rPr>
          <w:szCs w:val="20"/>
          <w:lang w:val="es-AR"/>
        </w:rPr>
        <w:t xml:space="preserve"> cuenta lo anterior, la Corte nota que el Estado afirmó que Santiago Antezana </w:t>
      </w:r>
      <w:r>
        <w:rPr>
          <w:szCs w:val="20"/>
          <w:lang w:val="es-AR"/>
        </w:rPr>
        <w:t xml:space="preserve">Cueto </w:t>
      </w:r>
      <w:r w:rsidRPr="00144A45">
        <w:rPr>
          <w:szCs w:val="20"/>
          <w:lang w:val="es-AR"/>
        </w:rPr>
        <w:t>fue objeto de una desaparición forzada</w:t>
      </w:r>
      <w:r w:rsidR="0069469D">
        <w:rPr>
          <w:szCs w:val="20"/>
          <w:lang w:val="es-AR"/>
        </w:rPr>
        <w:t xml:space="preserve"> como se establece en la </w:t>
      </w:r>
      <w:r w:rsidRPr="00144A45">
        <w:rPr>
          <w:szCs w:val="20"/>
          <w:lang w:val="es-AR"/>
        </w:rPr>
        <w:t>Sentencia de la Sala Penal Naci</w:t>
      </w:r>
      <w:r w:rsidR="0069469D">
        <w:rPr>
          <w:szCs w:val="20"/>
          <w:lang w:val="es-AR"/>
        </w:rPr>
        <w:t xml:space="preserve">onal, de 12 de diciembre de 2013. </w:t>
      </w:r>
      <w:r w:rsidR="0069469D" w:rsidRPr="00144A45">
        <w:rPr>
          <w:szCs w:val="20"/>
          <w:lang w:val="es-AR"/>
        </w:rPr>
        <w:t>En efe</w:t>
      </w:r>
      <w:r w:rsidR="0069469D">
        <w:rPr>
          <w:szCs w:val="20"/>
          <w:lang w:val="es-AR"/>
        </w:rPr>
        <w:t>cto, tal como se desprende de dicha sentencia</w:t>
      </w:r>
      <w:r w:rsidR="00C2360E">
        <w:rPr>
          <w:szCs w:val="20"/>
          <w:lang w:val="es-AR"/>
        </w:rPr>
        <w:t>,</w:t>
      </w:r>
      <w:r w:rsidR="0069469D">
        <w:rPr>
          <w:szCs w:val="20"/>
          <w:lang w:val="es-AR"/>
        </w:rPr>
        <w:t xml:space="preserve"> </w:t>
      </w:r>
      <w:r>
        <w:rPr>
          <w:szCs w:val="20"/>
          <w:lang w:val="es-AR"/>
        </w:rPr>
        <w:t xml:space="preserve">el señor </w:t>
      </w:r>
      <w:r w:rsidRPr="00144A45">
        <w:rPr>
          <w:szCs w:val="20"/>
          <w:lang w:val="es-AR"/>
        </w:rPr>
        <w:t>Antezana Cueto fue detenido e ingresado a la Base Militar de Acobamba</w:t>
      </w:r>
      <w:r w:rsidRPr="000A0C7F">
        <w:rPr>
          <w:szCs w:val="20"/>
          <w:lang w:val="es-AR"/>
        </w:rPr>
        <w:t xml:space="preserve"> </w:t>
      </w:r>
      <w:r w:rsidRPr="00144A45">
        <w:rPr>
          <w:szCs w:val="20"/>
          <w:lang w:val="es-AR"/>
        </w:rPr>
        <w:t>para posteriormente ser desaparec</w:t>
      </w:r>
      <w:r>
        <w:rPr>
          <w:szCs w:val="20"/>
          <w:lang w:val="es-AR"/>
        </w:rPr>
        <w:t xml:space="preserve">ido, en donde el condenado </w:t>
      </w:r>
      <w:r w:rsidR="00A340A6">
        <w:rPr>
          <w:szCs w:val="20"/>
          <w:lang w:val="es-AR"/>
        </w:rPr>
        <w:t>José</w:t>
      </w:r>
      <w:r w:rsidRPr="008D7CDB">
        <w:rPr>
          <w:szCs w:val="20"/>
          <w:lang w:val="es-AR"/>
        </w:rPr>
        <w:t xml:space="preserve"> Antonio Esquivel Mora</w:t>
      </w:r>
      <w:r w:rsidR="00D05669">
        <w:rPr>
          <w:szCs w:val="20"/>
          <w:lang w:val="es-AR"/>
        </w:rPr>
        <w:t xml:space="preserve"> </w:t>
      </w:r>
      <w:r w:rsidR="0069469D">
        <w:rPr>
          <w:szCs w:val="20"/>
          <w:lang w:val="es-AR"/>
        </w:rPr>
        <w:t>estaba</w:t>
      </w:r>
      <w:r w:rsidR="00D05669">
        <w:rPr>
          <w:szCs w:val="20"/>
          <w:lang w:val="es-AR"/>
        </w:rPr>
        <w:t xml:space="preserve"> al mando</w:t>
      </w:r>
      <w:r w:rsidR="0069469D">
        <w:rPr>
          <w:szCs w:val="20"/>
          <w:lang w:val="es-AR"/>
        </w:rPr>
        <w:t>,</w:t>
      </w:r>
      <w:r w:rsidR="00D05669">
        <w:rPr>
          <w:szCs w:val="20"/>
          <w:lang w:val="es-AR"/>
        </w:rPr>
        <w:t xml:space="preserve"> </w:t>
      </w:r>
      <w:r w:rsidR="0069469D" w:rsidRPr="00144A45">
        <w:rPr>
          <w:szCs w:val="20"/>
          <w:lang w:val="es-AR"/>
        </w:rPr>
        <w:t>en mayo de 1984</w:t>
      </w:r>
      <w:r w:rsidR="0069469D">
        <w:rPr>
          <w:szCs w:val="20"/>
          <w:lang w:val="es-AR"/>
        </w:rPr>
        <w:t xml:space="preserve">, </w:t>
      </w:r>
      <w:r w:rsidR="00D05669">
        <w:rPr>
          <w:szCs w:val="20"/>
          <w:lang w:val="es-AR"/>
        </w:rPr>
        <w:t>como J</w:t>
      </w:r>
      <w:r>
        <w:rPr>
          <w:szCs w:val="20"/>
          <w:lang w:val="es-AR"/>
        </w:rPr>
        <w:t>efe</w:t>
      </w:r>
      <w:r w:rsidR="00D05669">
        <w:rPr>
          <w:szCs w:val="20"/>
          <w:lang w:val="es-AR"/>
        </w:rPr>
        <w:t xml:space="preserve"> de dicha Base Militar</w:t>
      </w:r>
      <w:r w:rsidRPr="00144A45">
        <w:rPr>
          <w:szCs w:val="20"/>
          <w:lang w:val="es-AR"/>
        </w:rPr>
        <w:t>. Por co</w:t>
      </w:r>
      <w:r>
        <w:rPr>
          <w:szCs w:val="20"/>
          <w:lang w:val="es-AR"/>
        </w:rPr>
        <w:t>nsiguiente las autoridades del e</w:t>
      </w:r>
      <w:r w:rsidRPr="00144A45">
        <w:rPr>
          <w:szCs w:val="20"/>
          <w:lang w:val="es-AR"/>
        </w:rPr>
        <w:t>jército que tenían bajo su custodia a Santiago Antezana Cueto eran responsables por la salvaguarda de sus derechos. Transcurridos 3</w:t>
      </w:r>
      <w:r w:rsidR="00A340A6">
        <w:rPr>
          <w:szCs w:val="20"/>
          <w:lang w:val="es-AR"/>
        </w:rPr>
        <w:t>4</w:t>
      </w:r>
      <w:r w:rsidRPr="00144A45">
        <w:rPr>
          <w:szCs w:val="20"/>
          <w:lang w:val="es-AR"/>
        </w:rPr>
        <w:t xml:space="preserve"> años desde su detención, sus familiares desconocen su paradero, a pesar de las gestiones realizadas.</w:t>
      </w:r>
    </w:p>
    <w:p w:rsidR="00873835" w:rsidRPr="00144A45" w:rsidRDefault="00873835" w:rsidP="00873835">
      <w:pPr>
        <w:pStyle w:val="ListParagraph"/>
        <w:rPr>
          <w:szCs w:val="20"/>
          <w:lang w:val="es-AR"/>
        </w:rPr>
      </w:pPr>
    </w:p>
    <w:p w:rsidR="00873835" w:rsidRPr="00FD6009" w:rsidRDefault="00873835" w:rsidP="00873835">
      <w:pPr>
        <w:pStyle w:val="ListParagraph"/>
        <w:widowControl w:val="0"/>
        <w:numPr>
          <w:ilvl w:val="0"/>
          <w:numId w:val="1"/>
        </w:numPr>
        <w:tabs>
          <w:tab w:val="left" w:pos="0"/>
        </w:tabs>
        <w:adjustRightInd w:val="0"/>
        <w:ind w:left="0" w:firstLine="0"/>
        <w:rPr>
          <w:szCs w:val="20"/>
          <w:lang w:val="es-AR"/>
        </w:rPr>
      </w:pPr>
      <w:r w:rsidRPr="00FD6009">
        <w:rPr>
          <w:bCs/>
          <w:szCs w:val="20"/>
          <w:lang w:val="es-CO"/>
        </w:rPr>
        <w:t xml:space="preserve">La Corte </w:t>
      </w:r>
      <w:r w:rsidRPr="00FD6009">
        <w:rPr>
          <w:szCs w:val="20"/>
        </w:rPr>
        <w:t xml:space="preserve">recuerda que una desaparición forzada se configura por una pluralidad de conductas </w:t>
      </w:r>
      <w:r w:rsidRPr="00FD6009">
        <w:rPr>
          <w:szCs w:val="20"/>
          <w:lang w:val="es-AR"/>
        </w:rPr>
        <w:t>que</w:t>
      </w:r>
      <w:r w:rsidRPr="00FD6009">
        <w:rPr>
          <w:szCs w:val="20"/>
        </w:rPr>
        <w:t>, cohesionadas por un único fin, vulneran de manera permanente, mientras subsistan, distintos bienes jurídicos protegidos por la Convención</w:t>
      </w:r>
      <w:r w:rsidRPr="00FD6009">
        <w:rPr>
          <w:szCs w:val="20"/>
          <w:vertAlign w:val="superscript"/>
        </w:rPr>
        <w:footnoteReference w:id="250"/>
      </w:r>
      <w:r w:rsidRPr="00FD6009">
        <w:rPr>
          <w:szCs w:val="20"/>
        </w:rPr>
        <w:t>. Por tanto, el examen de una posible desaparición forzada debe ser consecuente con la violación compleja de derechos humanos que ésta conlleva y no debe enfocarse de manera aislada, dividida y fragmentada solo en la detención, la posible tortura o el riesgo de perder la vida</w:t>
      </w:r>
      <w:r w:rsidRPr="00FD6009">
        <w:rPr>
          <w:rFonts w:cs="Times"/>
          <w:szCs w:val="20"/>
          <w:vertAlign w:val="superscript"/>
        </w:rPr>
        <w:footnoteReference w:id="251"/>
      </w:r>
      <w:r w:rsidRPr="00FD6009">
        <w:rPr>
          <w:szCs w:val="20"/>
        </w:rPr>
        <w:t>.</w:t>
      </w:r>
    </w:p>
    <w:p w:rsidR="00873835" w:rsidRPr="00FD6009" w:rsidRDefault="00873835" w:rsidP="00873835">
      <w:pPr>
        <w:pStyle w:val="ListParagraph"/>
        <w:rPr>
          <w:szCs w:val="20"/>
          <w:lang w:val="es-AR"/>
        </w:rPr>
      </w:pPr>
    </w:p>
    <w:p w:rsidR="00873835" w:rsidRDefault="00873835" w:rsidP="00873835">
      <w:pPr>
        <w:pStyle w:val="ListParagraph"/>
        <w:widowControl w:val="0"/>
        <w:numPr>
          <w:ilvl w:val="0"/>
          <w:numId w:val="1"/>
        </w:numPr>
        <w:tabs>
          <w:tab w:val="left" w:pos="0"/>
        </w:tabs>
        <w:adjustRightInd w:val="0"/>
        <w:ind w:left="0" w:firstLine="0"/>
        <w:rPr>
          <w:lang w:val="es-ES"/>
        </w:rPr>
      </w:pPr>
      <w:r w:rsidRPr="00FD6009">
        <w:rPr>
          <w:bCs/>
          <w:lang w:val="es-CO"/>
        </w:rPr>
        <w:t>La desaparición</w:t>
      </w:r>
      <w:r w:rsidRPr="00A10352">
        <w:rPr>
          <w:bCs/>
          <w:lang w:val="es-CO"/>
        </w:rPr>
        <w:t xml:space="preserve"> forzada tiene un </w:t>
      </w:r>
      <w:r w:rsidRPr="00A10352">
        <w:t xml:space="preserve">carácter pluriofensivo. </w:t>
      </w:r>
      <w:r w:rsidRPr="00A10352">
        <w:rPr>
          <w:bCs/>
          <w:lang w:val="es-CO"/>
        </w:rPr>
        <w:t>De acuerdo a la jurisprudencia reiterada de esta Corte</w:t>
      </w:r>
      <w:r>
        <w:rPr>
          <w:bCs/>
          <w:lang w:val="es-CO"/>
        </w:rPr>
        <w:t>,</w:t>
      </w:r>
      <w:r w:rsidRPr="00A10352">
        <w:rPr>
          <w:bCs/>
          <w:lang w:val="es-CO"/>
        </w:rPr>
        <w:t xml:space="preserve"> al demostrarse la ocurrencia de una desaparición forzada</w:t>
      </w:r>
      <w:r>
        <w:rPr>
          <w:bCs/>
          <w:lang w:val="es-CO"/>
        </w:rPr>
        <w:t>,</w:t>
      </w:r>
      <w:r w:rsidRPr="00A10352">
        <w:rPr>
          <w:bCs/>
          <w:lang w:val="es-CO"/>
        </w:rPr>
        <w:t xml:space="preserve"> se configura una violación a varios derechos protegidos por la Convención. Primero, al derecho a la libertad personal, sin perjuicio de que la detención o</w:t>
      </w:r>
      <w:r>
        <w:rPr>
          <w:bCs/>
          <w:lang w:val="es-CO"/>
        </w:rPr>
        <w:t xml:space="preserve"> </w:t>
      </w:r>
      <w:r w:rsidRPr="00A10352">
        <w:rPr>
          <w:bCs/>
          <w:lang w:val="es-CO"/>
        </w:rPr>
        <w:t xml:space="preserve">privación de la libertad fuera o no realizada conforme a la legislación. Segundo, al derecho a la integridad personal, </w:t>
      </w:r>
      <w:r w:rsidRPr="00A10352">
        <w:t xml:space="preserve">porque el solo hecho del aislamiento prolongado y de la incomunicación coactiva representa </w:t>
      </w:r>
      <w:r w:rsidRPr="00A10352">
        <w:lastRenderedPageBreak/>
        <w:t xml:space="preserve">un tratamiento cruel e inhumano en contradicción con los </w:t>
      </w:r>
      <w:r w:rsidRPr="00A10352">
        <w:rPr>
          <w:rFonts w:cs="Times"/>
        </w:rPr>
        <w:t xml:space="preserve">artículos 5.1 y 5.2 </w:t>
      </w:r>
      <w:r w:rsidRPr="00A10352">
        <w:t>de la Convención</w:t>
      </w:r>
      <w:r w:rsidRPr="00A340A6">
        <w:rPr>
          <w:rStyle w:val="FootnoteReference"/>
          <w:sz w:val="20"/>
          <w:szCs w:val="20"/>
        </w:rPr>
        <w:footnoteReference w:id="252"/>
      </w:r>
      <w:r w:rsidRPr="00A340A6">
        <w:rPr>
          <w:szCs w:val="20"/>
        </w:rPr>
        <w:t>. Tercero, al derecho a la vida ya que la víctima se encuentra en una situación agravada de vulnerabilidad, de la cual surge el riesgo de que se viole su derecho a la vida</w:t>
      </w:r>
      <w:r w:rsidRPr="00A340A6">
        <w:rPr>
          <w:rStyle w:val="FootnoteReference"/>
          <w:sz w:val="20"/>
          <w:szCs w:val="20"/>
        </w:rPr>
        <w:footnoteReference w:id="253"/>
      </w:r>
      <w:r w:rsidRPr="00A340A6">
        <w:rPr>
          <w:szCs w:val="20"/>
        </w:rPr>
        <w:t>.</w:t>
      </w:r>
      <w:r w:rsidRPr="00A10352">
        <w:t xml:space="preserve"> Cuarto, al derecho </w:t>
      </w:r>
      <w:r w:rsidRPr="00A10352">
        <w:rPr>
          <w:szCs w:val="20"/>
        </w:rPr>
        <w:t xml:space="preserve">al reconocimiento a la personalidad jurídica porque la desaparición forzada implica </w:t>
      </w:r>
      <w:r w:rsidRPr="00A10352">
        <w:rPr>
          <w:rFonts w:cs="Verdana"/>
          <w:bCs/>
        </w:rPr>
        <w:t>la sustracción de la protección de la ley o bien la vulneración de la seguridad personal y jurídica del individuo que impide directamente el reconocimiento de la personalidad jurídica</w:t>
      </w:r>
      <w:r w:rsidRPr="00A10352">
        <w:rPr>
          <w:rFonts w:cs="Verdana"/>
          <w:bCs/>
          <w:vertAlign w:val="superscript"/>
        </w:rPr>
        <w:footnoteReference w:id="254"/>
      </w:r>
      <w:r w:rsidRPr="00A10352">
        <w:rPr>
          <w:rFonts w:cs="Verdana"/>
          <w:bCs/>
        </w:rPr>
        <w:t>. Adicionalmente, la desaparición forzada también constituye una violación del artículo I.a</w:t>
      </w:r>
      <w:r>
        <w:rPr>
          <w:rFonts w:cs="Verdana"/>
          <w:bCs/>
        </w:rPr>
        <w:t>)</w:t>
      </w:r>
      <w:r w:rsidRPr="00A10352">
        <w:rPr>
          <w:rFonts w:cs="Verdana"/>
          <w:bCs/>
        </w:rPr>
        <w:t xml:space="preserve"> </w:t>
      </w:r>
      <w:r w:rsidRPr="00A10352">
        <w:rPr>
          <w:lang w:val="es-ES"/>
        </w:rPr>
        <w:t>de la Convención Interamericana sobre Desaparición Forzada, el cual prohíbe la ocurrencia de la misma.</w:t>
      </w:r>
    </w:p>
    <w:p w:rsidR="00873835" w:rsidRDefault="00873835" w:rsidP="00873835">
      <w:pPr>
        <w:pStyle w:val="ListParagraph"/>
        <w:autoSpaceDE w:val="0"/>
        <w:autoSpaceDN w:val="0"/>
        <w:adjustRightInd w:val="0"/>
        <w:spacing w:line="20" w:lineRule="atLeast"/>
        <w:ind w:left="0" w:right="-138"/>
        <w:rPr>
          <w:lang w:val="es-ES"/>
        </w:rPr>
      </w:pPr>
    </w:p>
    <w:p w:rsidR="00873835" w:rsidRPr="00853DF4" w:rsidDel="00996E94" w:rsidRDefault="00873835" w:rsidP="00A340A6">
      <w:pPr>
        <w:pStyle w:val="ListParagraph"/>
        <w:widowControl w:val="0"/>
        <w:numPr>
          <w:ilvl w:val="0"/>
          <w:numId w:val="1"/>
        </w:numPr>
        <w:tabs>
          <w:tab w:val="left" w:pos="0"/>
        </w:tabs>
        <w:adjustRightInd w:val="0"/>
        <w:ind w:left="0" w:firstLine="0"/>
        <w:rPr>
          <w:szCs w:val="20"/>
          <w:lang w:val="es-AR"/>
        </w:rPr>
      </w:pPr>
      <w:r w:rsidRPr="0039444E">
        <w:rPr>
          <w:szCs w:val="20"/>
          <w:lang w:val="es-ES"/>
        </w:rPr>
        <w:t>En</w:t>
      </w:r>
      <w:r w:rsidRPr="00853DF4">
        <w:rPr>
          <w:szCs w:val="20"/>
          <w:lang w:val="es-ES"/>
        </w:rPr>
        <w:t xml:space="preserve"> el presente caso, además, se alegó de forma específica una violación al artículo 5.2 de la Convención Americana. Al</w:t>
      </w:r>
      <w:r w:rsidR="00672784">
        <w:rPr>
          <w:szCs w:val="20"/>
          <w:lang w:val="es-ES"/>
        </w:rPr>
        <w:t xml:space="preserve"> respecto, la Corte advierte </w:t>
      </w:r>
      <w:r w:rsidR="00D57EF3">
        <w:rPr>
          <w:szCs w:val="20"/>
          <w:lang w:val="es-ES"/>
        </w:rPr>
        <w:t xml:space="preserve">que </w:t>
      </w:r>
      <w:r w:rsidRPr="00853DF4">
        <w:rPr>
          <w:szCs w:val="20"/>
        </w:rPr>
        <w:t xml:space="preserve">en la </w:t>
      </w:r>
      <w:r w:rsidRPr="00481B99">
        <w:rPr>
          <w:bCs/>
          <w:lang w:val="es-CO"/>
        </w:rPr>
        <w:t>jurisdicción</w:t>
      </w:r>
      <w:r w:rsidRPr="00853DF4">
        <w:rPr>
          <w:szCs w:val="20"/>
        </w:rPr>
        <w:t xml:space="preserve"> interna se recibió información de Máximo Antezana Espeza, quien afirmó ser testigo directo de alegados hechos de tortura que habría sufrido Santiago Antezana Cueto (</w:t>
      </w:r>
      <w:r w:rsidR="00C72378">
        <w:rPr>
          <w:i/>
          <w:szCs w:val="20"/>
        </w:rPr>
        <w:t>supra</w:t>
      </w:r>
      <w:r w:rsidRPr="00853DF4">
        <w:rPr>
          <w:i/>
          <w:szCs w:val="20"/>
        </w:rPr>
        <w:t xml:space="preserve"> </w:t>
      </w:r>
      <w:r w:rsidR="00A2172D">
        <w:rPr>
          <w:szCs w:val="20"/>
        </w:rPr>
        <w:t>párr</w:t>
      </w:r>
      <w:r w:rsidR="00C72378">
        <w:rPr>
          <w:szCs w:val="20"/>
        </w:rPr>
        <w:t>. 118</w:t>
      </w:r>
      <w:r w:rsidRPr="00853DF4">
        <w:rPr>
          <w:szCs w:val="20"/>
        </w:rPr>
        <w:t xml:space="preserve">). Adicionalmente, </w:t>
      </w:r>
      <w:r w:rsidRPr="00853DF4">
        <w:rPr>
          <w:szCs w:val="20"/>
          <w:lang w:val="es-CR"/>
        </w:rPr>
        <w:t xml:space="preserve">este Tribunal considera </w:t>
      </w:r>
      <w:r w:rsidR="00672784">
        <w:rPr>
          <w:szCs w:val="20"/>
          <w:lang w:val="es-AR"/>
        </w:rPr>
        <w:t xml:space="preserve">que Rosa Carcausto Paco, </w:t>
      </w:r>
      <w:r w:rsidRPr="00853DF4">
        <w:rPr>
          <w:szCs w:val="20"/>
          <w:lang w:val="es-AR"/>
        </w:rPr>
        <w:t>en varias oportunidades</w:t>
      </w:r>
      <w:r w:rsidRPr="00853DF4">
        <w:rPr>
          <w:rStyle w:val="FootnoteReference"/>
          <w:sz w:val="20"/>
          <w:szCs w:val="20"/>
          <w:lang w:val="es-AR"/>
        </w:rPr>
        <w:footnoteReference w:id="255"/>
      </w:r>
      <w:r w:rsidRPr="00853DF4">
        <w:rPr>
          <w:szCs w:val="20"/>
          <w:lang w:val="es-AR"/>
        </w:rPr>
        <w:t xml:space="preserve">, brindó un testimonio indirecto sobre hechos que le habría contado Máximo Antezana, de que su conviviente había sido torturado, así como la declaración de una familiar de una persona presuntamente desaparecida, CAR, rendida el 25 de mayo de 2002 </w:t>
      </w:r>
      <w:r w:rsidR="006173A9">
        <w:rPr>
          <w:szCs w:val="20"/>
          <w:lang w:val="es-AR"/>
        </w:rPr>
        <w:t>ante</w:t>
      </w:r>
      <w:r w:rsidRPr="00853DF4">
        <w:rPr>
          <w:szCs w:val="20"/>
          <w:lang w:val="es-AR"/>
        </w:rPr>
        <w:t xml:space="preserve"> la CVR, en la cual afirmó que una ocasión ella ingresó al cuartel de Acobamba y vio</w:t>
      </w:r>
      <w:r w:rsidR="006173A9">
        <w:rPr>
          <w:szCs w:val="20"/>
          <w:lang w:val="es-AR"/>
        </w:rPr>
        <w:t>, entre otros,</w:t>
      </w:r>
      <w:r w:rsidRPr="00853DF4">
        <w:rPr>
          <w:szCs w:val="20"/>
          <w:lang w:val="es-AR"/>
        </w:rPr>
        <w:t xml:space="preserve"> a Santiago Antezana Cueto y Máximo Antezana </w:t>
      </w:r>
      <w:r w:rsidR="006173A9">
        <w:rPr>
          <w:szCs w:val="20"/>
          <w:lang w:val="es-AR"/>
        </w:rPr>
        <w:t xml:space="preserve">que </w:t>
      </w:r>
      <w:r>
        <w:rPr>
          <w:szCs w:val="20"/>
          <w:lang w:val="es-AR"/>
        </w:rPr>
        <w:t>“</w:t>
      </w:r>
      <w:r w:rsidR="006173A9">
        <w:rPr>
          <w:szCs w:val="20"/>
          <w:lang w:val="es-AR"/>
        </w:rPr>
        <w:t>estaban como pidiendo perdón con el pico y la pala al hombro</w:t>
      </w:r>
      <w:r w:rsidR="00C72378">
        <w:rPr>
          <w:szCs w:val="20"/>
          <w:lang w:val="es-AR"/>
        </w:rPr>
        <w:t xml:space="preserve">[,] </w:t>
      </w:r>
      <w:r w:rsidR="006173A9">
        <w:rPr>
          <w:szCs w:val="20"/>
          <w:lang w:val="es-AR"/>
        </w:rPr>
        <w:t xml:space="preserve">[e]staban </w:t>
      </w:r>
      <w:r w:rsidRPr="00853DF4">
        <w:rPr>
          <w:szCs w:val="20"/>
          <w:lang w:val="es-AR"/>
        </w:rPr>
        <w:t>escarbando</w:t>
      </w:r>
      <w:r>
        <w:rPr>
          <w:szCs w:val="20"/>
          <w:lang w:val="es-AR"/>
        </w:rPr>
        <w:t>”</w:t>
      </w:r>
      <w:r w:rsidRPr="00853DF4">
        <w:rPr>
          <w:rStyle w:val="FootnoteReference"/>
          <w:sz w:val="20"/>
          <w:szCs w:val="20"/>
          <w:lang w:val="es-AR"/>
        </w:rPr>
        <w:footnoteReference w:id="256"/>
      </w:r>
      <w:r w:rsidRPr="00853DF4">
        <w:rPr>
          <w:szCs w:val="20"/>
          <w:lang w:val="es-AR"/>
        </w:rPr>
        <w:t>. Además, se considera que al momento de los hechos existía un contexto que incluía el uso de la tortura de manera previa a la desaparición de personas detenidas (</w:t>
      </w:r>
      <w:r w:rsidRPr="00853DF4">
        <w:rPr>
          <w:i/>
          <w:szCs w:val="20"/>
          <w:lang w:val="es-AR"/>
        </w:rPr>
        <w:t xml:space="preserve">supra </w:t>
      </w:r>
      <w:r w:rsidR="00A2172D">
        <w:rPr>
          <w:szCs w:val="20"/>
          <w:lang w:val="es-AR"/>
        </w:rPr>
        <w:t>párr. 49</w:t>
      </w:r>
      <w:r w:rsidRPr="00853DF4">
        <w:rPr>
          <w:szCs w:val="20"/>
          <w:lang w:val="es-AR"/>
        </w:rPr>
        <w:t xml:space="preserve">). </w:t>
      </w:r>
      <w:r w:rsidRPr="00853DF4">
        <w:rPr>
          <w:szCs w:val="20"/>
        </w:rPr>
        <w:t xml:space="preserve">Estas declaraciones, analizadas en el marco de la desaparición forzada de Santiago Antezana Cueto, permiten a la Corte considerar </w:t>
      </w:r>
      <w:r w:rsidRPr="00853DF4">
        <w:rPr>
          <w:lang w:val="es-ES"/>
        </w:rPr>
        <w:t>suficientemente acreditado que</w:t>
      </w:r>
      <w:r w:rsidRPr="00853DF4">
        <w:rPr>
          <w:szCs w:val="20"/>
        </w:rPr>
        <w:t xml:space="preserve"> en el presente caso la referida víctima fue objeto de tortura, en violación a lo dispuesto en el artículo 5.2 de la Convención Americana. </w:t>
      </w:r>
    </w:p>
    <w:p w:rsidR="00873835" w:rsidRPr="00853DF4" w:rsidRDefault="00873835" w:rsidP="00873835">
      <w:pPr>
        <w:pStyle w:val="BodyText3"/>
        <w:rPr>
          <w:color w:val="auto"/>
        </w:rPr>
      </w:pPr>
    </w:p>
    <w:p w:rsidR="00873835" w:rsidRPr="00FD6009" w:rsidRDefault="00873835" w:rsidP="00873835">
      <w:pPr>
        <w:pStyle w:val="ListParagraph"/>
        <w:widowControl w:val="0"/>
        <w:numPr>
          <w:ilvl w:val="0"/>
          <w:numId w:val="1"/>
        </w:numPr>
        <w:tabs>
          <w:tab w:val="left" w:pos="0"/>
        </w:tabs>
        <w:adjustRightInd w:val="0"/>
        <w:ind w:left="0" w:firstLine="0"/>
        <w:rPr>
          <w:rFonts w:cs="Verdana"/>
          <w:bCs/>
        </w:rPr>
      </w:pPr>
      <w:r w:rsidRPr="00FD6009">
        <w:rPr>
          <w:rFonts w:cs="Verdana"/>
          <w:bCs/>
        </w:rPr>
        <w:t xml:space="preserve">Por tanto, teniendo en cuenta que la Corte concluyó que el señor Antezana Cueto fue víctima de </w:t>
      </w:r>
      <w:r w:rsidRPr="00FD6009">
        <w:rPr>
          <w:szCs w:val="20"/>
        </w:rPr>
        <w:t>una</w:t>
      </w:r>
      <w:r w:rsidRPr="00FD6009">
        <w:rPr>
          <w:rFonts w:cs="Verdana"/>
          <w:bCs/>
        </w:rPr>
        <w:t xml:space="preserve"> desaparición forzada y de tortura, este Tribunal concluye que el Estado es responsable de la violación de los derechos reconocidos en los artículos 7, 5.1, 5.2, 4.1, y 3 de la Convención Americana, en relación con el artículo 1.1 de la misma y con lo dispuesto en el artículo I.a) de la Convención Interamericana sobre Desaparición Forzada, en perjuicio de Santiago Antezana Cueto.</w:t>
      </w:r>
    </w:p>
    <w:p w:rsidR="003B266D" w:rsidRPr="00FD6009" w:rsidRDefault="003B266D" w:rsidP="00873835">
      <w:pPr>
        <w:pStyle w:val="ListParagraph"/>
        <w:ind w:left="0"/>
        <w:rPr>
          <w:szCs w:val="20"/>
        </w:rPr>
      </w:pPr>
    </w:p>
    <w:p w:rsidR="00873835" w:rsidRPr="00FD6009" w:rsidRDefault="00873835" w:rsidP="00873835">
      <w:pPr>
        <w:pStyle w:val="Heading3"/>
        <w:spacing w:before="0"/>
        <w:ind w:firstLine="720"/>
        <w:rPr>
          <w:i/>
          <w:szCs w:val="20"/>
        </w:rPr>
      </w:pPr>
      <w:bookmarkStart w:id="177" w:name="_Toc399131808"/>
      <w:bookmarkStart w:id="178" w:name="_Toc527993547"/>
      <w:r w:rsidRPr="00FD6009">
        <w:rPr>
          <w:i/>
          <w:szCs w:val="20"/>
        </w:rPr>
        <w:t>B.7. Conclusión</w:t>
      </w:r>
      <w:bookmarkEnd w:id="177"/>
      <w:bookmarkEnd w:id="178"/>
    </w:p>
    <w:p w:rsidR="00873835" w:rsidRPr="00FD6009" w:rsidRDefault="00873835" w:rsidP="00873835">
      <w:pPr>
        <w:pStyle w:val="ListParagraph"/>
        <w:autoSpaceDE w:val="0"/>
        <w:autoSpaceDN w:val="0"/>
        <w:adjustRightInd w:val="0"/>
        <w:spacing w:line="20" w:lineRule="atLeast"/>
        <w:ind w:left="0" w:right="-138"/>
        <w:rPr>
          <w:szCs w:val="20"/>
          <w:lang w:val="es-AR"/>
        </w:rPr>
      </w:pPr>
    </w:p>
    <w:p w:rsidR="00873835" w:rsidRPr="00276E46" w:rsidRDefault="00873835" w:rsidP="00873835">
      <w:pPr>
        <w:pStyle w:val="ListParagraph"/>
        <w:widowControl w:val="0"/>
        <w:numPr>
          <w:ilvl w:val="0"/>
          <w:numId w:val="1"/>
        </w:numPr>
        <w:tabs>
          <w:tab w:val="left" w:pos="0"/>
        </w:tabs>
        <w:adjustRightInd w:val="0"/>
        <w:ind w:left="0" w:firstLine="0"/>
        <w:rPr>
          <w:szCs w:val="20"/>
          <w:lang w:val="es-AR"/>
        </w:rPr>
      </w:pPr>
      <w:r w:rsidRPr="00FD6009">
        <w:rPr>
          <w:szCs w:val="20"/>
          <w:lang w:val="es-AR"/>
        </w:rPr>
        <w:t>De todo lo expuesto</w:t>
      </w:r>
      <w:r w:rsidRPr="00FD6009">
        <w:rPr>
          <w:szCs w:val="20"/>
          <w:lang w:val="es-CR"/>
        </w:rPr>
        <w:t xml:space="preserve">, este Tribunal concluye que el Estado es responsable de la </w:t>
      </w:r>
      <w:r w:rsidRPr="00FD6009">
        <w:rPr>
          <w:szCs w:val="20"/>
          <w:lang w:val="es-AR"/>
        </w:rPr>
        <w:t>violación</w:t>
      </w:r>
      <w:r w:rsidRPr="00FD6009">
        <w:rPr>
          <w:szCs w:val="20"/>
          <w:lang w:val="es-CR"/>
        </w:rPr>
        <w:t xml:space="preserve"> de los</w:t>
      </w:r>
      <w:r w:rsidRPr="00276E46">
        <w:rPr>
          <w:szCs w:val="20"/>
          <w:lang w:val="es-CR"/>
        </w:rPr>
        <w:t xml:space="preserve"> </w:t>
      </w:r>
      <w:r w:rsidRPr="00276E46">
        <w:rPr>
          <w:szCs w:val="20"/>
          <w:lang w:val="es-ES"/>
        </w:rPr>
        <w:t xml:space="preserve">derechos al reconocimiento de la personalidad jurídica, a la vida, a la integridad personal y a la libertad personal reconocidos en los artículos 3, 4.1, 5.1, 5.2, y 7 de la Convención Americana, en relación con el artículo 1.1 de la Convención, y en relación </w:t>
      </w:r>
      <w:r w:rsidRPr="00276E46">
        <w:rPr>
          <w:szCs w:val="20"/>
          <w:lang w:val="es-ES"/>
        </w:rPr>
        <w:lastRenderedPageBreak/>
        <w:t xml:space="preserve">con lo dispuesto en el artículo I.a) de la Convención Interamericana sobre Desaparición Forzada, en perjuicio de </w:t>
      </w:r>
      <w:r w:rsidRPr="00276E46">
        <w:rPr>
          <w:szCs w:val="20"/>
          <w:lang w:val="es-AR"/>
        </w:rPr>
        <w:t xml:space="preserve">Wilfredo </w:t>
      </w:r>
      <w:r w:rsidRPr="00276E46">
        <w:rPr>
          <w:szCs w:val="20"/>
          <w:lang w:val="es-ES"/>
        </w:rPr>
        <w:t>Terrones</w:t>
      </w:r>
      <w:r w:rsidRPr="00276E46">
        <w:rPr>
          <w:szCs w:val="20"/>
          <w:lang w:val="es-AR"/>
        </w:rPr>
        <w:t xml:space="preserve"> Silva, Teresa Díaz Aparicio, Cory Clodolia Tenicela Tello</w:t>
      </w:r>
      <w:r w:rsidRPr="00276E46">
        <w:rPr>
          <w:szCs w:val="20"/>
          <w:lang w:val="es-CR"/>
        </w:rPr>
        <w:t>, Néstor Rojas Medina y</w:t>
      </w:r>
      <w:r w:rsidRPr="00276E46">
        <w:rPr>
          <w:szCs w:val="20"/>
          <w:lang w:val="es-ES"/>
        </w:rPr>
        <w:t xml:space="preserve"> </w:t>
      </w:r>
      <w:r w:rsidRPr="00276E46">
        <w:rPr>
          <w:szCs w:val="20"/>
          <w:lang w:val="es-AR"/>
        </w:rPr>
        <w:t>Santiago Antezana Cueto.</w:t>
      </w:r>
    </w:p>
    <w:p w:rsidR="007F7C35" w:rsidRDefault="007F7C35" w:rsidP="00520345">
      <w:pPr>
        <w:rPr>
          <w:szCs w:val="20"/>
          <w:lang w:val="es-AR"/>
        </w:rPr>
      </w:pPr>
    </w:p>
    <w:p w:rsidR="009F2500" w:rsidRDefault="00A144A5" w:rsidP="009F2500">
      <w:pPr>
        <w:pStyle w:val="Heading1"/>
        <w:spacing w:before="0"/>
        <w:jc w:val="center"/>
        <w:rPr>
          <w:sz w:val="20"/>
          <w:szCs w:val="20"/>
        </w:rPr>
      </w:pPr>
      <w:bookmarkStart w:id="179" w:name="_Toc521932512"/>
      <w:bookmarkStart w:id="180" w:name="_Toc522543505"/>
      <w:bookmarkStart w:id="181" w:name="_Toc523934920"/>
      <w:bookmarkStart w:id="182" w:name="_Toc525218274"/>
      <w:bookmarkStart w:id="183" w:name="_Toc525225523"/>
      <w:bookmarkStart w:id="184" w:name="_Toc399131809"/>
      <w:bookmarkStart w:id="185" w:name="_Toc525293057"/>
      <w:bookmarkStart w:id="186" w:name="_Toc525723197"/>
      <w:bookmarkStart w:id="187" w:name="_Toc527993548"/>
      <w:r w:rsidRPr="00FC66A0">
        <w:rPr>
          <w:sz w:val="20"/>
          <w:szCs w:val="20"/>
        </w:rPr>
        <w:t>VIII.</w:t>
      </w:r>
      <w:r w:rsidR="00231999">
        <w:rPr>
          <w:sz w:val="20"/>
          <w:szCs w:val="20"/>
        </w:rPr>
        <w:t>2</w:t>
      </w:r>
      <w:r w:rsidRPr="00FC66A0">
        <w:rPr>
          <w:sz w:val="20"/>
          <w:szCs w:val="20"/>
        </w:rPr>
        <w:t>.</w:t>
      </w:r>
      <w:bookmarkEnd w:id="179"/>
      <w:bookmarkEnd w:id="180"/>
      <w:bookmarkEnd w:id="181"/>
      <w:bookmarkEnd w:id="182"/>
      <w:bookmarkEnd w:id="183"/>
      <w:bookmarkEnd w:id="184"/>
      <w:bookmarkEnd w:id="185"/>
      <w:bookmarkEnd w:id="186"/>
      <w:bookmarkEnd w:id="187"/>
    </w:p>
    <w:p w:rsidR="00881DB6" w:rsidRPr="00F31E42" w:rsidRDefault="00881DB6" w:rsidP="00881DB6">
      <w:pPr>
        <w:pStyle w:val="Heading1"/>
        <w:spacing w:before="0"/>
        <w:jc w:val="center"/>
        <w:rPr>
          <w:sz w:val="20"/>
          <w:szCs w:val="20"/>
        </w:rPr>
      </w:pPr>
      <w:bookmarkStart w:id="188" w:name="_Toc527993549"/>
      <w:r w:rsidRPr="00EB288E">
        <w:rPr>
          <w:sz w:val="20"/>
          <w:szCs w:val="20"/>
        </w:rPr>
        <w:t>DERECHO</w:t>
      </w:r>
      <w:r w:rsidRPr="008146AF">
        <w:rPr>
          <w:sz w:val="20"/>
          <w:szCs w:val="20"/>
        </w:rPr>
        <w:t xml:space="preserve"> A LAS GARANTÍAS JUDICIALES</w:t>
      </w:r>
      <w:r w:rsidRPr="008146AF">
        <w:rPr>
          <w:sz w:val="20"/>
          <w:szCs w:val="20"/>
          <w:vertAlign w:val="superscript"/>
        </w:rPr>
        <w:footnoteReference w:id="257"/>
      </w:r>
      <w:r w:rsidRPr="008146AF">
        <w:rPr>
          <w:sz w:val="20"/>
          <w:szCs w:val="20"/>
        </w:rPr>
        <w:t xml:space="preserve"> Y PROTECCIÓN JUDICIAL</w:t>
      </w:r>
      <w:r w:rsidRPr="008146AF">
        <w:rPr>
          <w:sz w:val="20"/>
          <w:szCs w:val="20"/>
          <w:vertAlign w:val="superscript"/>
        </w:rPr>
        <w:footnoteReference w:id="258"/>
      </w:r>
      <w:r w:rsidRPr="008146AF">
        <w:rPr>
          <w:sz w:val="20"/>
          <w:szCs w:val="20"/>
          <w:vertAlign w:val="superscript"/>
        </w:rPr>
        <w:t xml:space="preserve"> </w:t>
      </w:r>
      <w:r w:rsidR="00856BC6">
        <w:rPr>
          <w:sz w:val="20"/>
          <w:szCs w:val="20"/>
        </w:rPr>
        <w:t>RESPECTO DE LAS VÍCTIMAS DE DESAPARICIÓN FORZADA</w:t>
      </w:r>
      <w:r>
        <w:rPr>
          <w:sz w:val="20"/>
          <w:szCs w:val="20"/>
        </w:rPr>
        <w:t xml:space="preserve"> </w:t>
      </w:r>
      <w:r w:rsidRPr="008146AF">
        <w:rPr>
          <w:sz w:val="20"/>
          <w:szCs w:val="20"/>
        </w:rPr>
        <w:t xml:space="preserve">Y SUS FAMILIARES Y LAS OBLIGACIONES DERIVADAS DEL ARTICULO I.B DE LA CONVENCIÓN INTERAMERICANA SOBRE DESAPARICIÓN </w:t>
      </w:r>
      <w:r w:rsidR="00EB288E">
        <w:rPr>
          <w:sz w:val="20"/>
          <w:szCs w:val="20"/>
        </w:rPr>
        <w:t>F</w:t>
      </w:r>
      <w:r w:rsidRPr="008146AF">
        <w:rPr>
          <w:sz w:val="20"/>
          <w:szCs w:val="20"/>
        </w:rPr>
        <w:t>ORZADA DE PERSONAS</w:t>
      </w:r>
      <w:bookmarkEnd w:id="188"/>
      <w:r w:rsidR="00EB288E">
        <w:rPr>
          <w:sz w:val="20"/>
          <w:szCs w:val="20"/>
        </w:rPr>
        <w:t xml:space="preserve"> Y RESPECTO DE LA VÍCTIMA DE TORTURA Y LAS OBLIGACIONES DERIVADAS DE LOS ARTÍCULOS 1, 6 Y 8 DE LA CONVENCIÓN INTERAMERICANA PARA PREVENIR Y SANCIONAR LA TORTURA</w:t>
      </w:r>
      <w:r w:rsidR="00EB288E" w:rsidRPr="008146AF">
        <w:rPr>
          <w:rStyle w:val="FootnoteReference"/>
          <w:sz w:val="20"/>
          <w:szCs w:val="20"/>
        </w:rPr>
        <w:footnoteReference w:id="259"/>
      </w:r>
      <w:r w:rsidR="00EB288E">
        <w:rPr>
          <w:sz w:val="20"/>
          <w:szCs w:val="20"/>
        </w:rPr>
        <w:t xml:space="preserve"> </w:t>
      </w:r>
    </w:p>
    <w:p w:rsidR="00881DB6" w:rsidRPr="00E1677F" w:rsidRDefault="00881DB6" w:rsidP="00881DB6">
      <w:pPr>
        <w:pStyle w:val="Heading2"/>
        <w:numPr>
          <w:ilvl w:val="0"/>
          <w:numId w:val="28"/>
        </w:numPr>
        <w:rPr>
          <w:lang w:val="es-CR"/>
        </w:rPr>
      </w:pPr>
      <w:bookmarkStart w:id="189" w:name="_Toc470105106"/>
      <w:bookmarkStart w:id="190" w:name="_Toc486693392"/>
      <w:bookmarkStart w:id="191" w:name="_Toc486842812"/>
      <w:bookmarkStart w:id="192" w:name="_Toc486842946"/>
      <w:bookmarkStart w:id="193" w:name="_Toc498427273"/>
      <w:bookmarkStart w:id="194" w:name="_Toc521932514"/>
      <w:bookmarkStart w:id="195" w:name="_Toc522543507"/>
      <w:bookmarkStart w:id="196" w:name="_Toc523934922"/>
      <w:bookmarkStart w:id="197" w:name="_Toc527993550"/>
      <w:r w:rsidRPr="00E1677F">
        <w:rPr>
          <w:lang w:val="es-CR"/>
        </w:rPr>
        <w:t>Argumentos de las partes y de la Comisión</w:t>
      </w:r>
      <w:bookmarkEnd w:id="189"/>
      <w:bookmarkEnd w:id="190"/>
      <w:bookmarkEnd w:id="191"/>
      <w:bookmarkEnd w:id="192"/>
      <w:bookmarkEnd w:id="193"/>
      <w:bookmarkEnd w:id="194"/>
      <w:bookmarkEnd w:id="195"/>
      <w:bookmarkEnd w:id="196"/>
      <w:bookmarkEnd w:id="197"/>
    </w:p>
    <w:p w:rsidR="00881DB6" w:rsidRPr="001405B7" w:rsidRDefault="00881DB6" w:rsidP="00881DB6">
      <w:pPr>
        <w:rPr>
          <w:szCs w:val="20"/>
        </w:rPr>
      </w:pPr>
    </w:p>
    <w:p w:rsidR="00881DB6" w:rsidRPr="00FC0929" w:rsidRDefault="00881DB6" w:rsidP="00881DB6">
      <w:pPr>
        <w:pStyle w:val="ListParagraph"/>
        <w:widowControl w:val="0"/>
        <w:numPr>
          <w:ilvl w:val="0"/>
          <w:numId w:val="1"/>
        </w:numPr>
        <w:tabs>
          <w:tab w:val="left" w:pos="0"/>
        </w:tabs>
        <w:adjustRightInd w:val="0"/>
        <w:ind w:left="0" w:firstLine="0"/>
        <w:rPr>
          <w:b/>
          <w:szCs w:val="20"/>
          <w:lang w:val="es-AR"/>
        </w:rPr>
      </w:pPr>
      <w:r w:rsidRPr="00FC0929">
        <w:rPr>
          <w:szCs w:val="20"/>
          <w:lang w:val="es-AR"/>
        </w:rPr>
        <w:t xml:space="preserve">La </w:t>
      </w:r>
      <w:r w:rsidRPr="00FC0929">
        <w:rPr>
          <w:b/>
          <w:i/>
          <w:szCs w:val="20"/>
          <w:lang w:val="es-AR"/>
        </w:rPr>
        <w:t>Comisión</w:t>
      </w:r>
      <w:r w:rsidRPr="00FC0929">
        <w:rPr>
          <w:b/>
          <w:szCs w:val="20"/>
          <w:lang w:val="es-AR"/>
        </w:rPr>
        <w:t xml:space="preserve"> </w:t>
      </w:r>
      <w:r w:rsidRPr="00FC0929">
        <w:rPr>
          <w:szCs w:val="20"/>
          <w:lang w:val="es-AR"/>
        </w:rPr>
        <w:t xml:space="preserve">señaló que es </w:t>
      </w:r>
      <w:r>
        <w:rPr>
          <w:szCs w:val="20"/>
          <w:lang w:val="es-AR"/>
        </w:rPr>
        <w:t>la</w:t>
      </w:r>
      <w:r w:rsidRPr="00FC0929">
        <w:rPr>
          <w:szCs w:val="20"/>
          <w:lang w:val="es-AR"/>
        </w:rPr>
        <w:t xml:space="preserve"> carga del Estado demostrar que sus autoridades procedieron de manera diligente con las investigaciones, tras ser informadas de una desaparición</w:t>
      </w:r>
      <w:r>
        <w:rPr>
          <w:szCs w:val="20"/>
          <w:lang w:val="es-AR"/>
        </w:rPr>
        <w:t xml:space="preserve"> forzada.</w:t>
      </w:r>
      <w:r w:rsidRPr="00FC0929">
        <w:rPr>
          <w:szCs w:val="20"/>
          <w:lang w:val="es-AR"/>
        </w:rPr>
        <w:t xml:space="preserve"> Reiteró que cada vez que haya motivos razonables para presumir que una persona ha sido sometida a desaparición forzada, el Estado debe iniciar una investigación </w:t>
      </w:r>
      <w:r w:rsidRPr="005970A3">
        <w:rPr>
          <w:i/>
          <w:szCs w:val="20"/>
          <w:lang w:val="es-AR"/>
        </w:rPr>
        <w:t>ex oficio</w:t>
      </w:r>
      <w:r w:rsidRPr="00FC0929">
        <w:rPr>
          <w:szCs w:val="20"/>
          <w:lang w:val="es-AR"/>
        </w:rPr>
        <w:t>, sin dilación y de una manera seria, imparcial y efectiva. Advirtió que en todos los casos el Estado no ha proporcionado información sobre acciones específicas que se hubieran tomado de manera inmediata, al conocer de las desapariciones denunciadas, para dar con el paradero de las presuntas víctimas y proteger su vida e integridad. Todos los procesos penales que se iniciaron al respecto han estado sujetos a demoras injustifica</w:t>
      </w:r>
      <w:r>
        <w:rPr>
          <w:szCs w:val="20"/>
          <w:lang w:val="es-AR"/>
        </w:rPr>
        <w:t>das y perí</w:t>
      </w:r>
      <w:r w:rsidRPr="00FC0929">
        <w:rPr>
          <w:szCs w:val="20"/>
          <w:lang w:val="es-AR"/>
        </w:rPr>
        <w:t xml:space="preserve">odos prolongados en los que no se llevó a cabo ninguna diligencia tendiente al esclarecimiento de los hechos. Las pocas diligencias que se han realizado en cada uno de los </w:t>
      </w:r>
      <w:r w:rsidRPr="00FC0929">
        <w:rPr>
          <w:szCs w:val="20"/>
          <w:lang w:val="es-AR"/>
        </w:rPr>
        <w:lastRenderedPageBreak/>
        <w:t xml:space="preserve">casos son insuficientes y no responden a los indicios concretos. La información disponible indica que la muy limitada actividad investigativa no responde a dicho contexto ni al </w:t>
      </w:r>
      <w:r w:rsidRPr="00E8710A">
        <w:rPr>
          <w:i/>
          <w:szCs w:val="20"/>
          <w:lang w:val="es-AR"/>
        </w:rPr>
        <w:t xml:space="preserve">modus operandi </w:t>
      </w:r>
      <w:r w:rsidRPr="00FC0929">
        <w:rPr>
          <w:szCs w:val="20"/>
          <w:lang w:val="es-AR"/>
        </w:rPr>
        <w:t xml:space="preserve">concretamente establecido por la CVR. En ese sentido, la Comisión consideró que </w:t>
      </w:r>
      <w:r>
        <w:rPr>
          <w:szCs w:val="20"/>
          <w:lang w:val="es-AR"/>
        </w:rPr>
        <w:t>el</w:t>
      </w:r>
      <w:r w:rsidRPr="00FC0929">
        <w:rPr>
          <w:szCs w:val="20"/>
          <w:lang w:val="es-AR"/>
        </w:rPr>
        <w:t xml:space="preserve"> Estado ha incurrido en una demora excesiva en las investigaciones y que las mismas no se sustentan en la complejidad del asunto</w:t>
      </w:r>
      <w:r>
        <w:rPr>
          <w:szCs w:val="20"/>
          <w:lang w:val="es-AR"/>
        </w:rPr>
        <w:t>,</w:t>
      </w:r>
      <w:r w:rsidRPr="00FC0929">
        <w:rPr>
          <w:szCs w:val="20"/>
          <w:lang w:val="es-AR"/>
        </w:rPr>
        <w:t xml:space="preserve"> sino en la falta de debida d</w:t>
      </w:r>
      <w:r>
        <w:rPr>
          <w:szCs w:val="20"/>
          <w:lang w:val="es-AR"/>
        </w:rPr>
        <w:t>iligencia por parte del Estado.</w:t>
      </w:r>
    </w:p>
    <w:p w:rsidR="00881DB6" w:rsidRDefault="00881DB6" w:rsidP="00881DB6">
      <w:pPr>
        <w:rPr>
          <w:b/>
          <w:sz w:val="16"/>
          <w:szCs w:val="16"/>
          <w:lang w:val="es-AR"/>
        </w:rPr>
      </w:pPr>
    </w:p>
    <w:p w:rsidR="00881DB6" w:rsidRDefault="00881DB6" w:rsidP="00881DB6">
      <w:pPr>
        <w:pStyle w:val="ListParagraph"/>
        <w:widowControl w:val="0"/>
        <w:numPr>
          <w:ilvl w:val="0"/>
          <w:numId w:val="1"/>
        </w:numPr>
        <w:tabs>
          <w:tab w:val="left" w:pos="0"/>
        </w:tabs>
        <w:adjustRightInd w:val="0"/>
        <w:ind w:left="0" w:firstLine="0"/>
        <w:rPr>
          <w:szCs w:val="20"/>
          <w:lang w:val="es-AR"/>
        </w:rPr>
      </w:pPr>
      <w:r w:rsidRPr="00257982">
        <w:rPr>
          <w:szCs w:val="20"/>
          <w:lang w:val="es-AR"/>
        </w:rPr>
        <w:t>Agregó</w:t>
      </w:r>
      <w:r w:rsidRPr="00905CB3">
        <w:rPr>
          <w:rFonts w:eastAsia="Batang"/>
          <w:spacing w:val="-4"/>
          <w:szCs w:val="20"/>
          <w:lang w:val="es-AR" w:eastAsia="es-MX"/>
        </w:rPr>
        <w:t xml:space="preserve"> que en el Estado estaban vigentes desde 1995 hasta 2001 las </w:t>
      </w:r>
      <w:r>
        <w:rPr>
          <w:rFonts w:eastAsia="Batang"/>
          <w:spacing w:val="-4"/>
          <w:szCs w:val="20"/>
          <w:lang w:val="es-AR" w:eastAsia="es-MX"/>
        </w:rPr>
        <w:t>L</w:t>
      </w:r>
      <w:r w:rsidRPr="00905CB3">
        <w:rPr>
          <w:rFonts w:eastAsia="Batang"/>
          <w:spacing w:val="-4"/>
          <w:szCs w:val="20"/>
          <w:lang w:val="es-AR" w:eastAsia="es-MX"/>
        </w:rPr>
        <w:t xml:space="preserve">eyes de </w:t>
      </w:r>
      <w:r>
        <w:rPr>
          <w:rFonts w:eastAsia="Batang"/>
          <w:spacing w:val="-4"/>
          <w:szCs w:val="20"/>
          <w:lang w:val="es-AR" w:eastAsia="es-MX"/>
        </w:rPr>
        <w:t>A</w:t>
      </w:r>
      <w:r w:rsidRPr="00905CB3">
        <w:rPr>
          <w:rFonts w:eastAsia="Batang"/>
          <w:spacing w:val="-4"/>
          <w:szCs w:val="20"/>
          <w:lang w:val="es-AR" w:eastAsia="es-MX"/>
        </w:rPr>
        <w:t>mnistía No</w:t>
      </w:r>
      <w:r>
        <w:rPr>
          <w:rFonts w:eastAsia="Batang"/>
          <w:spacing w:val="-4"/>
          <w:szCs w:val="20"/>
          <w:lang w:val="es-AR" w:eastAsia="es-MX"/>
        </w:rPr>
        <w:t xml:space="preserve">. </w:t>
      </w:r>
      <w:r w:rsidRPr="00905CB3">
        <w:rPr>
          <w:rFonts w:eastAsia="Batang"/>
          <w:spacing w:val="-4"/>
          <w:szCs w:val="20"/>
          <w:lang w:val="es-AR" w:eastAsia="es-MX"/>
        </w:rPr>
        <w:t xml:space="preserve">26.479 y </w:t>
      </w:r>
      <w:r>
        <w:rPr>
          <w:rFonts w:eastAsia="Batang"/>
          <w:spacing w:val="-4"/>
          <w:szCs w:val="20"/>
          <w:lang w:val="es-AR" w:eastAsia="es-MX"/>
        </w:rPr>
        <w:t xml:space="preserve">No. </w:t>
      </w:r>
      <w:r w:rsidRPr="00905CB3">
        <w:rPr>
          <w:rFonts w:eastAsia="Batang"/>
          <w:spacing w:val="-4"/>
          <w:szCs w:val="20"/>
          <w:lang w:val="es-AR" w:eastAsia="es-MX"/>
        </w:rPr>
        <w:t xml:space="preserve">26.491, que </w:t>
      </w:r>
      <w:r w:rsidRPr="00257982">
        <w:rPr>
          <w:szCs w:val="20"/>
          <w:lang w:val="es-AR"/>
        </w:rPr>
        <w:t>impidieron</w:t>
      </w:r>
      <w:r w:rsidRPr="00905CB3">
        <w:rPr>
          <w:rFonts w:eastAsia="Batang"/>
          <w:spacing w:val="-4"/>
          <w:szCs w:val="20"/>
          <w:lang w:val="es-AR" w:eastAsia="es-MX"/>
        </w:rPr>
        <w:t xml:space="preserve"> las investigaciones de graves violaciones de derechos humanos cometidas durante el conflicto armado. Dichas leyes son inconvencionales. Tomando en cuenta la vigencia de dichas leyes y la falta de información sobre investigaciones realizadas durante su vigencia, la Comisión consideró suficientemente acreditado que dichas leyes constituyeron un obstáculo legal que impidió las investigaciones de las desapariciones forzadas cometidas</w:t>
      </w:r>
      <w:r>
        <w:rPr>
          <w:rFonts w:eastAsia="Batang"/>
          <w:spacing w:val="-4"/>
          <w:szCs w:val="20"/>
          <w:lang w:val="es-AR" w:eastAsia="es-MX"/>
        </w:rPr>
        <w:t>.</w:t>
      </w:r>
      <w:r w:rsidRPr="00FC0929">
        <w:rPr>
          <w:szCs w:val="20"/>
          <w:lang w:val="es-AR"/>
        </w:rPr>
        <w:t xml:space="preserve"> </w:t>
      </w:r>
    </w:p>
    <w:p w:rsidR="00881DB6" w:rsidRPr="00A45D2B" w:rsidRDefault="00881DB6" w:rsidP="00881DB6">
      <w:pPr>
        <w:rPr>
          <w:b/>
          <w:sz w:val="16"/>
          <w:szCs w:val="16"/>
          <w:lang w:val="es-AR"/>
        </w:rPr>
      </w:pPr>
    </w:p>
    <w:p w:rsidR="00881DB6" w:rsidRPr="009C15B3" w:rsidRDefault="00881DB6" w:rsidP="00881DB6">
      <w:pPr>
        <w:pStyle w:val="ListParagraph"/>
        <w:widowControl w:val="0"/>
        <w:numPr>
          <w:ilvl w:val="0"/>
          <w:numId w:val="1"/>
        </w:numPr>
        <w:tabs>
          <w:tab w:val="left" w:pos="0"/>
        </w:tabs>
        <w:adjustRightInd w:val="0"/>
        <w:ind w:left="0" w:firstLine="0"/>
        <w:rPr>
          <w:b/>
          <w:szCs w:val="20"/>
          <w:lang w:val="es-AR"/>
        </w:rPr>
      </w:pPr>
      <w:r w:rsidRPr="00FC0929">
        <w:rPr>
          <w:szCs w:val="20"/>
          <w:lang w:val="es-AR"/>
        </w:rPr>
        <w:t>La Comisión</w:t>
      </w:r>
      <w:r w:rsidRPr="00FC0929">
        <w:rPr>
          <w:b/>
          <w:szCs w:val="20"/>
          <w:lang w:val="es-AR"/>
        </w:rPr>
        <w:t xml:space="preserve"> </w:t>
      </w:r>
      <w:r w:rsidRPr="00FC0929">
        <w:rPr>
          <w:szCs w:val="20"/>
          <w:lang w:val="es-AR"/>
        </w:rPr>
        <w:t>concluyó que el Estado no ha dispuesto los medios necesarios para cumplir con su obligación de investigar, juzgar y sancionar, en un plazo razonable y con la debida diligencia, a los responsables de las cinco desapariciones forzadas. En consecuencia, el Estado violó los derechos a las garantías judiciales y a la protección judicial establecidos en los artículos 8.1 y 25.1 de la Convención Americana, en relación con las obligaciones establecidas en los artículos 1.1 y 2 del mismo instrumento, en perjuicio de las presuntas víctimas</w:t>
      </w:r>
      <w:r>
        <w:rPr>
          <w:szCs w:val="20"/>
          <w:lang w:val="es-AR"/>
        </w:rPr>
        <w:t xml:space="preserve"> y sus familiares, así como de l</w:t>
      </w:r>
      <w:r w:rsidRPr="00FC0929">
        <w:rPr>
          <w:szCs w:val="20"/>
          <w:lang w:val="es-AR"/>
        </w:rPr>
        <w:t>a violación del artículo 1.b) de la CIDFP</w:t>
      </w:r>
      <w:r>
        <w:rPr>
          <w:szCs w:val="20"/>
          <w:lang w:val="es-AR"/>
        </w:rPr>
        <w:t>.</w:t>
      </w:r>
      <w:r>
        <w:rPr>
          <w:b/>
          <w:sz w:val="16"/>
          <w:szCs w:val="16"/>
          <w:lang w:val="es-AR"/>
        </w:rPr>
        <w:t xml:space="preserve"> </w:t>
      </w:r>
      <w:r w:rsidRPr="00614E93">
        <w:rPr>
          <w:szCs w:val="20"/>
          <w:lang w:val="es-AR"/>
        </w:rPr>
        <w:t>Finalmente, la Comisión presentó argumentos específicos con relación a la alegada vulneración de las garantías judiciales y protección judicial</w:t>
      </w:r>
      <w:r>
        <w:rPr>
          <w:szCs w:val="20"/>
          <w:lang w:val="es-AR"/>
        </w:rPr>
        <w:t>,</w:t>
      </w:r>
      <w:r w:rsidRPr="00614E93">
        <w:rPr>
          <w:szCs w:val="20"/>
          <w:lang w:val="es-AR"/>
        </w:rPr>
        <w:t xml:space="preserve"> en perjuicio de cada presunta víctima</w:t>
      </w:r>
      <w:r w:rsidRPr="00C24939">
        <w:rPr>
          <w:rStyle w:val="FootnoteReference"/>
          <w:sz w:val="20"/>
          <w:szCs w:val="20"/>
          <w:lang w:val="es-AR"/>
        </w:rPr>
        <w:footnoteReference w:id="260"/>
      </w:r>
      <w:r w:rsidRPr="00C24939">
        <w:rPr>
          <w:szCs w:val="20"/>
          <w:lang w:val="es-AR"/>
        </w:rPr>
        <w:t>.</w:t>
      </w:r>
      <w:r w:rsidRPr="00614E93">
        <w:rPr>
          <w:szCs w:val="20"/>
          <w:lang w:val="es-AR"/>
        </w:rPr>
        <w:t xml:space="preserve"> </w:t>
      </w:r>
    </w:p>
    <w:p w:rsidR="00881DB6" w:rsidRPr="00831EA9" w:rsidRDefault="00881DB6" w:rsidP="00881DB6">
      <w:pPr>
        <w:pStyle w:val="ListParagraph"/>
        <w:autoSpaceDE w:val="0"/>
        <w:autoSpaceDN w:val="0"/>
        <w:adjustRightInd w:val="0"/>
        <w:spacing w:line="20" w:lineRule="atLeast"/>
        <w:ind w:left="0" w:right="-138"/>
        <w:rPr>
          <w:b/>
          <w:szCs w:val="20"/>
          <w:lang w:val="es-AR"/>
        </w:rPr>
      </w:pPr>
    </w:p>
    <w:p w:rsidR="00881DB6" w:rsidRPr="007F1C0C" w:rsidRDefault="00881DB6" w:rsidP="00881DB6">
      <w:pPr>
        <w:pStyle w:val="ListParagraph"/>
        <w:widowControl w:val="0"/>
        <w:numPr>
          <w:ilvl w:val="0"/>
          <w:numId w:val="1"/>
        </w:numPr>
        <w:tabs>
          <w:tab w:val="left" w:pos="0"/>
        </w:tabs>
        <w:adjustRightInd w:val="0"/>
        <w:ind w:left="0" w:firstLine="0"/>
        <w:rPr>
          <w:b/>
          <w:szCs w:val="20"/>
          <w:lang w:val="es-AR"/>
        </w:rPr>
      </w:pPr>
      <w:r w:rsidRPr="00FC0929">
        <w:rPr>
          <w:szCs w:val="20"/>
          <w:lang w:val="es-AR"/>
        </w:rPr>
        <w:t xml:space="preserve">Los </w:t>
      </w:r>
      <w:r w:rsidRPr="00FC0929">
        <w:rPr>
          <w:b/>
          <w:i/>
          <w:szCs w:val="20"/>
          <w:lang w:val="es-AR"/>
        </w:rPr>
        <w:t>representantes</w:t>
      </w:r>
      <w:r w:rsidRPr="00FC0929">
        <w:rPr>
          <w:szCs w:val="20"/>
          <w:lang w:val="es-AR"/>
        </w:rPr>
        <w:t xml:space="preserve"> manifestaron que el Estado violó los derechos a las garantías judiciales y a la protección judicial, en perjuicio de las presuntas víctimas</w:t>
      </w:r>
      <w:r>
        <w:rPr>
          <w:szCs w:val="20"/>
          <w:lang w:val="es-AR"/>
        </w:rPr>
        <w:t>.</w:t>
      </w:r>
      <w:r w:rsidRPr="00FC0929">
        <w:rPr>
          <w:szCs w:val="20"/>
          <w:lang w:val="es-AR"/>
        </w:rPr>
        <w:t xml:space="preserve"> Asimismo, consideraron que el Estado incumplió su obligación de adecuar el derecho interno a la Convención, debido a</w:t>
      </w:r>
      <w:r>
        <w:rPr>
          <w:szCs w:val="20"/>
          <w:lang w:val="es-AR"/>
        </w:rPr>
        <w:t xml:space="preserve"> la vigencia de las Leyes de A</w:t>
      </w:r>
      <w:r w:rsidRPr="00FC0929">
        <w:rPr>
          <w:szCs w:val="20"/>
          <w:lang w:val="es-AR"/>
        </w:rPr>
        <w:t xml:space="preserve">mnistía y su aplicación en dos de los casos </w:t>
      </w:r>
      <w:r w:rsidRPr="00176329">
        <w:rPr>
          <w:i/>
          <w:szCs w:val="20"/>
          <w:lang w:val="es-AR"/>
        </w:rPr>
        <w:t>sub judice</w:t>
      </w:r>
      <w:r w:rsidRPr="00FC0929">
        <w:rPr>
          <w:szCs w:val="20"/>
          <w:lang w:val="es-AR"/>
        </w:rPr>
        <w:t xml:space="preserve">. Se refirieron a esa línea a la falta de una adecuada tipificación del delito de </w:t>
      </w:r>
      <w:r w:rsidRPr="00FC0929">
        <w:rPr>
          <w:szCs w:val="20"/>
          <w:lang w:val="es-AR"/>
        </w:rPr>
        <w:lastRenderedPageBreak/>
        <w:t>desaparición forzada y a la orden pr</w:t>
      </w:r>
      <w:r>
        <w:rPr>
          <w:szCs w:val="20"/>
          <w:lang w:val="es-AR"/>
        </w:rPr>
        <w:t>evista en el Acuerdo Plenario No</w:t>
      </w:r>
      <w:r w:rsidRPr="00FC0929">
        <w:rPr>
          <w:szCs w:val="20"/>
          <w:lang w:val="es-AR"/>
        </w:rPr>
        <w:t>. 9-2009/CJ-116</w:t>
      </w:r>
      <w:r>
        <w:rPr>
          <w:szCs w:val="20"/>
          <w:lang w:val="es-AR"/>
        </w:rPr>
        <w:t>.</w:t>
      </w:r>
      <w:r w:rsidRPr="00FC0929">
        <w:rPr>
          <w:szCs w:val="20"/>
          <w:lang w:val="es-AR"/>
        </w:rPr>
        <w:t xml:space="preserve"> </w:t>
      </w:r>
      <w:r>
        <w:rPr>
          <w:szCs w:val="20"/>
          <w:lang w:val="es-AR"/>
        </w:rPr>
        <w:t>Adicionalmente, presentaron consideraciones específicas con relación a cuatro de los cinco casos</w:t>
      </w:r>
      <w:r w:rsidRPr="00C53AE1">
        <w:rPr>
          <w:rStyle w:val="FootnoteReference"/>
          <w:sz w:val="20"/>
          <w:szCs w:val="20"/>
          <w:lang w:val="es-AR"/>
        </w:rPr>
        <w:footnoteReference w:id="261"/>
      </w:r>
      <w:r>
        <w:rPr>
          <w:szCs w:val="20"/>
          <w:lang w:val="es-AR"/>
        </w:rPr>
        <w:t>.</w:t>
      </w:r>
    </w:p>
    <w:p w:rsidR="00881DB6" w:rsidRPr="00B94289" w:rsidRDefault="00881DB6" w:rsidP="00881DB6">
      <w:pPr>
        <w:pStyle w:val="ListParagraph"/>
        <w:widowControl w:val="0"/>
        <w:numPr>
          <w:ilvl w:val="0"/>
          <w:numId w:val="1"/>
        </w:numPr>
        <w:tabs>
          <w:tab w:val="left" w:pos="0"/>
        </w:tabs>
        <w:adjustRightInd w:val="0"/>
        <w:ind w:left="0" w:firstLine="0"/>
        <w:rPr>
          <w:szCs w:val="20"/>
          <w:lang w:val="es-AR"/>
        </w:rPr>
      </w:pPr>
      <w:r w:rsidRPr="00614E93">
        <w:rPr>
          <w:szCs w:val="20"/>
          <w:lang w:val="es-AR"/>
        </w:rPr>
        <w:t xml:space="preserve">El </w:t>
      </w:r>
      <w:r w:rsidRPr="00614E93">
        <w:rPr>
          <w:b/>
          <w:i/>
          <w:szCs w:val="20"/>
          <w:lang w:val="es-AR"/>
        </w:rPr>
        <w:t>Estado</w:t>
      </w:r>
      <w:r w:rsidRPr="00614E93">
        <w:rPr>
          <w:b/>
          <w:szCs w:val="20"/>
          <w:lang w:val="es-AR"/>
        </w:rPr>
        <w:t xml:space="preserve"> </w:t>
      </w:r>
      <w:r w:rsidRPr="00614E93">
        <w:rPr>
          <w:szCs w:val="20"/>
          <w:lang w:val="es-AR"/>
        </w:rPr>
        <w:t>consideró que no es responsable por la violación de los derechos a las garantías judiciales y protección judicial de las presuntas víctimas. En el curso de las investigaciones se realizaron diversas actuaciones que respondieron a las pautas de debida diligencia y que, si bien pudieron haber existido algunas omisiones y dilaciones en la realización de algunas de ellas, no tienen gravedad suficiente para configurar una responsabilidad internacional del Estado por una violación de esos derechos</w:t>
      </w:r>
      <w:r>
        <w:rPr>
          <w:szCs w:val="20"/>
          <w:lang w:val="es-AR"/>
        </w:rPr>
        <w:t>.</w:t>
      </w:r>
      <w:r w:rsidRPr="00614E93">
        <w:rPr>
          <w:szCs w:val="20"/>
          <w:lang w:val="es-AR"/>
        </w:rPr>
        <w:t xml:space="preserve"> Su argumento se funda en que no se ha vulnerado el plazo razonable debido a la complejidad del asunto, la conducta diligente de las autoridades y la falta de participación de los interesados</w:t>
      </w:r>
      <w:r>
        <w:rPr>
          <w:szCs w:val="20"/>
          <w:lang w:val="es-AR"/>
        </w:rPr>
        <w:t>.</w:t>
      </w:r>
      <w:r w:rsidRPr="00084EAB">
        <w:rPr>
          <w:b/>
          <w:sz w:val="16"/>
          <w:szCs w:val="16"/>
          <w:lang w:val="es-AR"/>
        </w:rPr>
        <w:t xml:space="preserve"> </w:t>
      </w:r>
      <w:r w:rsidRPr="00084EAB">
        <w:rPr>
          <w:szCs w:val="20"/>
          <w:lang w:val="es-AR"/>
        </w:rPr>
        <w:t>Además, el Estado señaló que respecto al caso concreto de Santiago Antezana Cueto y Néstor Rojas Medina, las modificaciones legislativas que ha realizado, permiten afirmar que las Leyes de Amnistía dejaron de ser un obstáculo para resolver los procesos. Tanto así que el proceso respecto al primero ya fue resuelto y, respecto al segundo ya fue reabierto</w:t>
      </w:r>
      <w:r>
        <w:rPr>
          <w:szCs w:val="20"/>
          <w:lang w:val="es-AR"/>
        </w:rPr>
        <w:t>.</w:t>
      </w:r>
      <w:r w:rsidRPr="00084EAB">
        <w:rPr>
          <w:szCs w:val="20"/>
          <w:lang w:val="es-AR"/>
        </w:rPr>
        <w:t xml:space="preserve"> </w:t>
      </w:r>
      <w:r>
        <w:rPr>
          <w:szCs w:val="20"/>
          <w:lang w:val="es-AR"/>
        </w:rPr>
        <w:t>Igualmente, present</w:t>
      </w:r>
      <w:r w:rsidR="000C43E3">
        <w:rPr>
          <w:szCs w:val="20"/>
          <w:lang w:val="es-AR"/>
        </w:rPr>
        <w:t>ó</w:t>
      </w:r>
      <w:r>
        <w:rPr>
          <w:szCs w:val="20"/>
          <w:lang w:val="es-AR"/>
        </w:rPr>
        <w:t xml:space="preserve"> consideraciones específicas respecto a cada uno de los casos</w:t>
      </w:r>
      <w:r w:rsidRPr="003F67C5">
        <w:rPr>
          <w:rStyle w:val="FootnoteReference"/>
          <w:sz w:val="20"/>
          <w:szCs w:val="20"/>
          <w:lang w:val="es-AR"/>
        </w:rPr>
        <w:footnoteReference w:id="262"/>
      </w:r>
      <w:r w:rsidRPr="003F67C5">
        <w:rPr>
          <w:szCs w:val="20"/>
          <w:lang w:val="es-AR"/>
        </w:rPr>
        <w:t>.</w:t>
      </w:r>
      <w:r w:rsidRPr="00614E93">
        <w:rPr>
          <w:szCs w:val="20"/>
          <w:lang w:val="es-AR"/>
        </w:rPr>
        <w:t xml:space="preserve"> </w:t>
      </w:r>
    </w:p>
    <w:p w:rsidR="00881DB6" w:rsidRPr="00E1677F" w:rsidRDefault="00881DB6" w:rsidP="00881DB6">
      <w:pPr>
        <w:pStyle w:val="Heading2"/>
        <w:numPr>
          <w:ilvl w:val="0"/>
          <w:numId w:val="28"/>
        </w:numPr>
        <w:rPr>
          <w:b w:val="0"/>
          <w:lang w:val="es-CR"/>
        </w:rPr>
      </w:pPr>
      <w:bookmarkStart w:id="198" w:name="_Toc521932515"/>
      <w:bookmarkStart w:id="199" w:name="_Toc522543508"/>
      <w:bookmarkStart w:id="200" w:name="_Toc523934923"/>
      <w:bookmarkStart w:id="201" w:name="_Toc527993551"/>
      <w:r w:rsidRPr="00E1677F">
        <w:rPr>
          <w:lang w:val="es-CR"/>
        </w:rPr>
        <w:lastRenderedPageBreak/>
        <w:t>Consideraciones de la Corte</w:t>
      </w:r>
      <w:bookmarkEnd w:id="198"/>
      <w:bookmarkEnd w:id="199"/>
      <w:bookmarkEnd w:id="200"/>
      <w:bookmarkEnd w:id="201"/>
    </w:p>
    <w:p w:rsidR="00881DB6" w:rsidRPr="00257982" w:rsidRDefault="00881DB6" w:rsidP="00881DB6">
      <w:pPr>
        <w:pStyle w:val="ListParagraph"/>
        <w:ind w:left="0" w:right="-144"/>
        <w:rPr>
          <w:szCs w:val="20"/>
          <w:lang w:val="es-ES"/>
        </w:rPr>
      </w:pPr>
    </w:p>
    <w:p w:rsidR="00881DB6" w:rsidRDefault="00881DB6" w:rsidP="007F1C0C">
      <w:pPr>
        <w:pStyle w:val="ListParagraph"/>
        <w:widowControl w:val="0"/>
        <w:numPr>
          <w:ilvl w:val="0"/>
          <w:numId w:val="1"/>
        </w:numPr>
        <w:tabs>
          <w:tab w:val="left" w:pos="0"/>
        </w:tabs>
        <w:adjustRightInd w:val="0"/>
        <w:ind w:left="0" w:firstLine="0"/>
        <w:rPr>
          <w:szCs w:val="20"/>
          <w:lang w:val="es-ES"/>
        </w:rPr>
      </w:pPr>
      <w:r w:rsidRPr="00A45D2B">
        <w:rPr>
          <w:rFonts w:eastAsia="Arial" w:cs="Arial"/>
          <w:szCs w:val="20"/>
          <w:lang w:val="es-ES"/>
        </w:rPr>
        <w:t xml:space="preserve">La obligación de investigar violaciones de derechos humanos es una de las medidas positivas que deben adoptar los Estados para garantizar los derechos reconocidos en la Convención. Así, desde su primera </w:t>
      </w:r>
      <w:r>
        <w:rPr>
          <w:rFonts w:eastAsia="Arial" w:cs="Arial"/>
          <w:szCs w:val="20"/>
          <w:lang w:val="es-ES"/>
        </w:rPr>
        <w:t>S</w:t>
      </w:r>
      <w:r w:rsidRPr="00A45D2B">
        <w:rPr>
          <w:rFonts w:eastAsia="Arial" w:cs="Arial"/>
          <w:szCs w:val="20"/>
          <w:lang w:val="es-ES"/>
        </w:rPr>
        <w:t>entencia esta Corte ha destacado la importancia del deber estatal de investigar y sancionar las violaciones de derechos humanos</w:t>
      </w:r>
      <w:r w:rsidRPr="00A45D2B">
        <w:rPr>
          <w:rFonts w:cs="Verdana"/>
          <w:szCs w:val="20"/>
          <w:vertAlign w:val="superscript"/>
          <w:lang w:val="es-ES"/>
        </w:rPr>
        <w:footnoteReference w:id="263"/>
      </w:r>
      <w:r w:rsidRPr="00A45D2B">
        <w:rPr>
          <w:rFonts w:eastAsia="Arial" w:cs="Arial"/>
          <w:szCs w:val="20"/>
          <w:lang w:val="es-ES"/>
        </w:rPr>
        <w:t xml:space="preserve">, el cual adquiere </w:t>
      </w:r>
      <w:r w:rsidRPr="00257982">
        <w:rPr>
          <w:szCs w:val="20"/>
          <w:lang w:val="es-AR"/>
        </w:rPr>
        <w:t>particular</w:t>
      </w:r>
      <w:r w:rsidRPr="00A45D2B">
        <w:rPr>
          <w:rFonts w:eastAsia="Arial" w:cs="Arial"/>
          <w:szCs w:val="20"/>
          <w:lang w:val="es-ES"/>
        </w:rPr>
        <w:t xml:space="preserve"> importancia ante la gravedad de los delitos cometidos y la naturaleza de los derechos lesionados</w:t>
      </w:r>
      <w:r w:rsidRPr="00A45D2B">
        <w:rPr>
          <w:rStyle w:val="FootnoteReference"/>
          <w:rFonts w:eastAsia="Arial" w:cs="Arial"/>
          <w:sz w:val="20"/>
          <w:lang w:val="es-ES"/>
        </w:rPr>
        <w:footnoteReference w:id="264"/>
      </w:r>
      <w:r w:rsidRPr="00A45D2B">
        <w:rPr>
          <w:rFonts w:eastAsia="Arial" w:cs="Arial"/>
          <w:szCs w:val="20"/>
          <w:lang w:val="es-ES"/>
        </w:rPr>
        <w:t xml:space="preserve">. </w:t>
      </w:r>
      <w:r w:rsidRPr="00A45D2B">
        <w:rPr>
          <w:szCs w:val="20"/>
          <w:lang w:val="es-ES"/>
        </w:rPr>
        <w:t xml:space="preserve">Dicha obligación también se desprende de otros instrumentos </w:t>
      </w:r>
      <w:r w:rsidRPr="00752E4B">
        <w:rPr>
          <w:szCs w:val="20"/>
          <w:lang w:val="es-AR"/>
        </w:rPr>
        <w:t>interamericanos</w:t>
      </w:r>
      <w:r w:rsidRPr="00A45D2B">
        <w:rPr>
          <w:szCs w:val="20"/>
          <w:lang w:val="es-ES"/>
        </w:rPr>
        <w:t>. Así, en casos de desapariciones forzadas, la obligación de investigar se ve reforzada por el artículo I.b</w:t>
      </w:r>
      <w:r>
        <w:rPr>
          <w:szCs w:val="20"/>
          <w:lang w:val="es-ES"/>
        </w:rPr>
        <w:t>)</w:t>
      </w:r>
      <w:r w:rsidRPr="00A45D2B">
        <w:rPr>
          <w:szCs w:val="20"/>
          <w:lang w:val="es-ES"/>
        </w:rPr>
        <w:t xml:space="preserve"> de la Convención Interamericana sobre Desaparición Forzada, en vigor para el Estado desde el</w:t>
      </w:r>
      <w:r>
        <w:rPr>
          <w:szCs w:val="20"/>
          <w:lang w:val="es-ES"/>
        </w:rPr>
        <w:t xml:space="preserve"> </w:t>
      </w:r>
      <w:r>
        <w:rPr>
          <w:rFonts w:cs="Arial"/>
          <w:bCs/>
          <w:szCs w:val="20"/>
          <w:lang w:val="es-ES"/>
        </w:rPr>
        <w:t>15 de marzo de 2002</w:t>
      </w:r>
      <w:r w:rsidRPr="00A45D2B">
        <w:rPr>
          <w:szCs w:val="20"/>
          <w:lang w:val="es-ES"/>
        </w:rPr>
        <w:t>.</w:t>
      </w:r>
    </w:p>
    <w:p w:rsidR="00B5178B" w:rsidRPr="007F1C0C" w:rsidRDefault="00B5178B" w:rsidP="00B5178B">
      <w:pPr>
        <w:pStyle w:val="ListParagraph"/>
        <w:widowControl w:val="0"/>
        <w:tabs>
          <w:tab w:val="left" w:pos="0"/>
        </w:tabs>
        <w:adjustRightInd w:val="0"/>
        <w:ind w:left="0"/>
        <w:rPr>
          <w:szCs w:val="20"/>
          <w:lang w:val="es-ES"/>
        </w:rPr>
      </w:pPr>
    </w:p>
    <w:p w:rsidR="00881DB6" w:rsidRDefault="00881DB6" w:rsidP="00881DB6">
      <w:pPr>
        <w:pStyle w:val="ListParagraph"/>
        <w:widowControl w:val="0"/>
        <w:numPr>
          <w:ilvl w:val="0"/>
          <w:numId w:val="1"/>
        </w:numPr>
        <w:tabs>
          <w:tab w:val="left" w:pos="0"/>
        </w:tabs>
        <w:adjustRightInd w:val="0"/>
        <w:ind w:left="0" w:firstLine="0"/>
        <w:rPr>
          <w:szCs w:val="20"/>
        </w:rPr>
      </w:pPr>
      <w:r w:rsidRPr="001405B7">
        <w:rPr>
          <w:rFonts w:cs="Arial"/>
          <w:szCs w:val="20"/>
        </w:rPr>
        <w:t xml:space="preserve">Por otra parte, la Corte ha señalado de </w:t>
      </w:r>
      <w:r w:rsidRPr="00022E90">
        <w:rPr>
          <w:rFonts w:cs="Arial"/>
          <w:szCs w:val="20"/>
        </w:rPr>
        <w:t>manera consistente que el deber de investigar es una obligación de medios y no de resultados, que</w:t>
      </w:r>
      <w:r w:rsidRPr="001405B7">
        <w:rPr>
          <w:rFonts w:cs="Arial"/>
          <w:szCs w:val="20"/>
        </w:rPr>
        <w:t xml:space="preserve"> debe ser asumida por el Estado como un deber jurídico </w:t>
      </w:r>
      <w:r w:rsidRPr="001405B7">
        <w:rPr>
          <w:szCs w:val="20"/>
        </w:rPr>
        <w:t>propio</w:t>
      </w:r>
      <w:r w:rsidRPr="001405B7">
        <w:rPr>
          <w:rFonts w:cs="Arial"/>
          <w:szCs w:val="20"/>
        </w:rPr>
        <w:t xml:space="preserve"> y no </w:t>
      </w:r>
      <w:r w:rsidRPr="001405B7">
        <w:rPr>
          <w:szCs w:val="20"/>
        </w:rPr>
        <w:t>como</w:t>
      </w:r>
      <w:r w:rsidRPr="001405B7">
        <w:rPr>
          <w:rFonts w:cs="Arial"/>
          <w:szCs w:val="20"/>
        </w:rPr>
        <w:t xml:space="preserve"> una simple formalidad condenada de antemano a ser infructuosa, o como una mera gestión de </w:t>
      </w:r>
      <w:r w:rsidRPr="001405B7">
        <w:rPr>
          <w:szCs w:val="20"/>
        </w:rPr>
        <w:t>intereses</w:t>
      </w:r>
      <w:r w:rsidRPr="001405B7">
        <w:rPr>
          <w:rFonts w:cs="Arial"/>
          <w:szCs w:val="20"/>
        </w:rPr>
        <w:t xml:space="preserve"> particulares</w:t>
      </w:r>
      <w:r w:rsidRPr="001405B7">
        <w:rPr>
          <w:szCs w:val="20"/>
        </w:rPr>
        <w:t xml:space="preserve">, que </w:t>
      </w:r>
      <w:r w:rsidRPr="001405B7">
        <w:rPr>
          <w:rFonts w:cs="Arial"/>
          <w:szCs w:val="20"/>
        </w:rPr>
        <w:t>dependa</w:t>
      </w:r>
      <w:r w:rsidRPr="001405B7">
        <w:rPr>
          <w:szCs w:val="20"/>
        </w:rPr>
        <w:t xml:space="preserve"> de la iniciativa procesal </w:t>
      </w:r>
      <w:r w:rsidRPr="00752E4B">
        <w:rPr>
          <w:rFonts w:eastAsia="Arial" w:cs="Arial"/>
          <w:szCs w:val="20"/>
          <w:lang w:val="es-ES"/>
        </w:rPr>
        <w:t>de</w:t>
      </w:r>
      <w:r w:rsidRPr="001405B7">
        <w:rPr>
          <w:szCs w:val="20"/>
        </w:rPr>
        <w:t xml:space="preserve"> las víctimas o de sus familiares o de la aportación privada de elementos probatorios</w:t>
      </w:r>
      <w:r w:rsidRPr="001405B7">
        <w:rPr>
          <w:szCs w:val="20"/>
          <w:vertAlign w:val="superscript"/>
        </w:rPr>
        <w:footnoteReference w:id="265"/>
      </w:r>
      <w:r w:rsidRPr="001405B7">
        <w:rPr>
          <w:rFonts w:cs="Arial"/>
          <w:szCs w:val="20"/>
        </w:rPr>
        <w:t>. Además, la investigación debe ser seria, objetiva y efectiva, y estar orientada a la determinación de la verdad y a la persecución, captura, y eventual enjuiciamiento y castigo de los autores de los hechos</w:t>
      </w:r>
      <w:r w:rsidRPr="001405B7">
        <w:rPr>
          <w:szCs w:val="20"/>
          <w:vertAlign w:val="superscript"/>
        </w:rPr>
        <w:footnoteReference w:id="266"/>
      </w:r>
      <w:r w:rsidRPr="001405B7">
        <w:rPr>
          <w:rFonts w:cs="Arial"/>
          <w:szCs w:val="20"/>
        </w:rPr>
        <w:t xml:space="preserve">. Asimismo, </w:t>
      </w:r>
      <w:r w:rsidRPr="001405B7">
        <w:rPr>
          <w:szCs w:val="20"/>
        </w:rPr>
        <w:t>la debida diligencia exige que el órgano que investiga lleve a cabo todas aquellas actuaciones y averiguaciones necesarias para procurar el resultado que se persigue</w:t>
      </w:r>
      <w:r w:rsidRPr="001405B7">
        <w:rPr>
          <w:szCs w:val="20"/>
          <w:vertAlign w:val="superscript"/>
        </w:rPr>
        <w:footnoteReference w:id="267"/>
      </w:r>
      <w:r>
        <w:rPr>
          <w:szCs w:val="20"/>
        </w:rPr>
        <w:t>.</w:t>
      </w:r>
    </w:p>
    <w:p w:rsidR="00881DB6" w:rsidRPr="001405B7" w:rsidRDefault="00881DB6" w:rsidP="00881DB6">
      <w:pPr>
        <w:pStyle w:val="ListParagraph"/>
        <w:widowControl w:val="0"/>
        <w:tabs>
          <w:tab w:val="left" w:pos="567"/>
        </w:tabs>
        <w:autoSpaceDE w:val="0"/>
        <w:autoSpaceDN w:val="0"/>
        <w:adjustRightInd w:val="0"/>
        <w:ind w:left="360"/>
        <w:contextualSpacing w:val="0"/>
        <w:rPr>
          <w:szCs w:val="20"/>
        </w:rPr>
      </w:pPr>
    </w:p>
    <w:p w:rsidR="00881DB6" w:rsidRDefault="00881DB6" w:rsidP="00881DB6">
      <w:pPr>
        <w:pStyle w:val="ListParagraph"/>
        <w:widowControl w:val="0"/>
        <w:numPr>
          <w:ilvl w:val="0"/>
          <w:numId w:val="1"/>
        </w:numPr>
        <w:tabs>
          <w:tab w:val="left" w:pos="0"/>
        </w:tabs>
        <w:adjustRightInd w:val="0"/>
        <w:ind w:left="0" w:firstLine="0"/>
        <w:rPr>
          <w:szCs w:val="20"/>
        </w:rPr>
      </w:pPr>
      <w:r w:rsidRPr="001405B7">
        <w:rPr>
          <w:szCs w:val="20"/>
        </w:rPr>
        <w:t xml:space="preserve">Ahora bien, la posibilidad de la Corte, en el ámbito de su competencia, coadyuvante y </w:t>
      </w:r>
      <w:r w:rsidRPr="00752E4B">
        <w:rPr>
          <w:rFonts w:cs="Arial"/>
          <w:szCs w:val="20"/>
        </w:rPr>
        <w:t>complementaria</w:t>
      </w:r>
      <w:r w:rsidRPr="001405B7">
        <w:rPr>
          <w:szCs w:val="20"/>
        </w:rPr>
        <w:t>, de examinar los procedimientos internos de investigación</w:t>
      </w:r>
      <w:r w:rsidRPr="001405B7">
        <w:rPr>
          <w:szCs w:val="20"/>
          <w:vertAlign w:val="superscript"/>
        </w:rPr>
        <w:footnoteReference w:id="268"/>
      </w:r>
      <w:r w:rsidRPr="001405B7">
        <w:rPr>
          <w:szCs w:val="20"/>
        </w:rPr>
        <w:t>, puede llevar a la determinación de fallas en la</w:t>
      </w:r>
      <w:r>
        <w:rPr>
          <w:szCs w:val="20"/>
        </w:rPr>
        <w:t>s</w:t>
      </w:r>
      <w:r w:rsidRPr="001405B7">
        <w:rPr>
          <w:szCs w:val="20"/>
        </w:rPr>
        <w:t xml:space="preserve"> debida</w:t>
      </w:r>
      <w:r>
        <w:rPr>
          <w:szCs w:val="20"/>
        </w:rPr>
        <w:t>s</w:t>
      </w:r>
      <w:r w:rsidRPr="001405B7">
        <w:rPr>
          <w:szCs w:val="20"/>
        </w:rPr>
        <w:t xml:space="preserve"> diligencia</w:t>
      </w:r>
      <w:r>
        <w:rPr>
          <w:szCs w:val="20"/>
        </w:rPr>
        <w:t>s</w:t>
      </w:r>
      <w:r w:rsidRPr="001405B7">
        <w:rPr>
          <w:szCs w:val="20"/>
        </w:rPr>
        <w:t xml:space="preserve"> en los mismos</w:t>
      </w:r>
      <w:r w:rsidRPr="001405B7">
        <w:rPr>
          <w:rStyle w:val="FootnoteReference"/>
          <w:sz w:val="20"/>
        </w:rPr>
        <w:footnoteReference w:id="269"/>
      </w:r>
      <w:r w:rsidRPr="001405B7">
        <w:rPr>
          <w:szCs w:val="20"/>
        </w:rPr>
        <w:t>. No obstante, ello será procedente en tanto se evidencie que las falencias que se aduzcan pudieran haber afectado la investigación en su conjunto, de modo “que conforme el tiempo vaya transcurriendo, se afecte indebidamente la posibilidad de obtener y presentar pruebas pertinentes que permitan esclarecer los hechos y determinar las responsabilidades que correspondan”</w:t>
      </w:r>
      <w:r w:rsidRPr="001405B7">
        <w:rPr>
          <w:szCs w:val="20"/>
          <w:vertAlign w:val="superscript"/>
        </w:rPr>
        <w:footnoteReference w:id="270"/>
      </w:r>
      <w:r w:rsidRPr="001405B7">
        <w:rPr>
          <w:szCs w:val="20"/>
        </w:rPr>
        <w:t>. En ese sentido,</w:t>
      </w:r>
      <w:r w:rsidRPr="001405B7">
        <w:rPr>
          <w:rFonts w:eastAsia="Cambria"/>
          <w:szCs w:val="20"/>
        </w:rPr>
        <w:t xml:space="preserve"> </w:t>
      </w:r>
      <w:r w:rsidRPr="001405B7">
        <w:rPr>
          <w:szCs w:val="20"/>
        </w:rPr>
        <w:t>no debe asumirse que fallas en medidas puntuales de investigación tengan un impacto negativo sobre el conjunto del proceso si, pese a ellas, la investigación tuvo un resultado efectivo en la determinación de los hechos</w:t>
      </w:r>
      <w:r w:rsidRPr="001405B7">
        <w:rPr>
          <w:szCs w:val="20"/>
          <w:vertAlign w:val="superscript"/>
        </w:rPr>
        <w:footnoteReference w:id="271"/>
      </w:r>
      <w:r w:rsidRPr="001405B7">
        <w:rPr>
          <w:szCs w:val="20"/>
        </w:rPr>
        <w:t>.</w:t>
      </w:r>
    </w:p>
    <w:p w:rsidR="00881DB6" w:rsidRPr="00B958E7" w:rsidRDefault="00881DB6" w:rsidP="00881DB6">
      <w:pPr>
        <w:rPr>
          <w:szCs w:val="20"/>
        </w:rPr>
      </w:pPr>
    </w:p>
    <w:p w:rsidR="00881DB6" w:rsidRDefault="00881DB6" w:rsidP="00881DB6">
      <w:pPr>
        <w:pStyle w:val="ListParagraph"/>
        <w:widowControl w:val="0"/>
        <w:numPr>
          <w:ilvl w:val="0"/>
          <w:numId w:val="1"/>
        </w:numPr>
        <w:tabs>
          <w:tab w:val="left" w:pos="0"/>
        </w:tabs>
        <w:adjustRightInd w:val="0"/>
        <w:ind w:left="0" w:firstLine="0"/>
        <w:rPr>
          <w:szCs w:val="20"/>
        </w:rPr>
      </w:pPr>
      <w:r>
        <w:rPr>
          <w:szCs w:val="20"/>
        </w:rPr>
        <w:lastRenderedPageBreak/>
        <w:t xml:space="preserve">En virtud de los hechos del presente caso y de los alegatos planteados por las partes y la Comisión, la Corte procederá a analizar la alegada violación a las garantías judiciales y a la protección judicial haciendo referencia a: 1) violación a la garantía del plazo razonable en las investigaciones; 2) violación al deber del Estado de iniciar investigaciones </w:t>
      </w:r>
      <w:r>
        <w:rPr>
          <w:i/>
          <w:szCs w:val="20"/>
        </w:rPr>
        <w:t>ex officio</w:t>
      </w:r>
      <w:r>
        <w:rPr>
          <w:szCs w:val="20"/>
        </w:rPr>
        <w:t xml:space="preserve"> y de seguir las investigaciones con la debida diligencia; 3) falta de información con relación a la búsqueda del paradero de las presuntas víctimas; 4) falta de investigación de los alegados hechos de tortura perpetrados en contra de Santiago Antezana; 5) falta de ejecución de la sentencia condenatoria dictada en contra del perpetrador de la desaparición forzada de Santiago Antezana, y 6) la violación al derecho a la verdad. </w:t>
      </w:r>
    </w:p>
    <w:p w:rsidR="00881DB6" w:rsidRDefault="00881DB6" w:rsidP="00881DB6">
      <w:pPr>
        <w:pStyle w:val="ListParagraph"/>
        <w:rPr>
          <w:szCs w:val="20"/>
        </w:rPr>
      </w:pPr>
    </w:p>
    <w:p w:rsidR="00881DB6" w:rsidRPr="00F31E42" w:rsidRDefault="00881DB6" w:rsidP="00881DB6">
      <w:pPr>
        <w:pStyle w:val="ListParagraph"/>
        <w:outlineLvl w:val="2"/>
        <w:rPr>
          <w:b/>
          <w:i/>
          <w:szCs w:val="20"/>
        </w:rPr>
      </w:pPr>
      <w:bookmarkStart w:id="202" w:name="_Toc527993552"/>
      <w:r w:rsidRPr="00F31E42">
        <w:rPr>
          <w:b/>
          <w:i/>
          <w:szCs w:val="20"/>
        </w:rPr>
        <w:t>B.1. Garantía del plazo razonable en las investigaciones</w:t>
      </w:r>
      <w:bookmarkEnd w:id="202"/>
    </w:p>
    <w:p w:rsidR="00881DB6" w:rsidRPr="00C4278A" w:rsidRDefault="00881DB6" w:rsidP="00881DB6">
      <w:pPr>
        <w:pStyle w:val="ListParagraph"/>
        <w:rPr>
          <w:szCs w:val="20"/>
        </w:rPr>
      </w:pPr>
    </w:p>
    <w:p w:rsidR="00881DB6" w:rsidRDefault="00881DB6" w:rsidP="00881DB6">
      <w:pPr>
        <w:pStyle w:val="ListParagraph"/>
        <w:widowControl w:val="0"/>
        <w:numPr>
          <w:ilvl w:val="0"/>
          <w:numId w:val="1"/>
        </w:numPr>
        <w:tabs>
          <w:tab w:val="left" w:pos="0"/>
        </w:tabs>
        <w:adjustRightInd w:val="0"/>
        <w:ind w:left="0" w:firstLine="0"/>
        <w:rPr>
          <w:rFonts w:eastAsia="Batang"/>
          <w:szCs w:val="20"/>
          <w:lang w:val="es-ES" w:eastAsia="es-MX"/>
        </w:rPr>
      </w:pPr>
      <w:r w:rsidRPr="009B0F2C">
        <w:rPr>
          <w:rFonts w:eastAsia="Batang" w:cs="Arial"/>
          <w:szCs w:val="20"/>
          <w:lang w:val="es-ES" w:eastAsia="es-MX"/>
        </w:rPr>
        <w:t xml:space="preserve">La Corte ha </w:t>
      </w:r>
      <w:r w:rsidRPr="009B0F2C">
        <w:rPr>
          <w:rFonts w:eastAsia="Batang"/>
          <w:szCs w:val="20"/>
          <w:lang w:val="es-ES" w:eastAsia="es-MX"/>
        </w:rPr>
        <w:t>señalado</w:t>
      </w:r>
      <w:r w:rsidRPr="009B0F2C">
        <w:rPr>
          <w:rFonts w:eastAsia="Batang" w:cs="Arial"/>
          <w:szCs w:val="20"/>
          <w:lang w:val="es-ES" w:eastAsia="es-MX"/>
        </w:rPr>
        <w:t xml:space="preserve"> que el derecho de acceso a la justicia implica que la realización de todo lo </w:t>
      </w:r>
      <w:r w:rsidRPr="00257982">
        <w:rPr>
          <w:szCs w:val="20"/>
        </w:rPr>
        <w:t>necesario</w:t>
      </w:r>
      <w:r w:rsidRPr="009B0F2C">
        <w:rPr>
          <w:rFonts w:eastAsia="Batang" w:cs="Arial"/>
          <w:szCs w:val="20"/>
          <w:lang w:val="es-ES" w:eastAsia="es-MX"/>
        </w:rPr>
        <w:t xml:space="preserve"> para conocer la verdad de lo sucedido y sancionar a los responsables se haga en un plazo razonable</w:t>
      </w:r>
      <w:r w:rsidRPr="009B0F2C">
        <w:rPr>
          <w:szCs w:val="20"/>
          <w:vertAlign w:val="superscript"/>
          <w:lang w:val="es-ES" w:eastAsia="es-MX"/>
        </w:rPr>
        <w:footnoteReference w:id="272"/>
      </w:r>
      <w:r w:rsidRPr="009B0F2C">
        <w:rPr>
          <w:rFonts w:eastAsia="Batang"/>
          <w:szCs w:val="20"/>
          <w:lang w:val="es-ES" w:eastAsia="es-MX"/>
        </w:rPr>
        <w:t xml:space="preserve">. </w:t>
      </w:r>
      <w:r w:rsidRPr="009B0F2C">
        <w:rPr>
          <w:szCs w:val="20"/>
          <w:lang w:val="es-ES"/>
        </w:rPr>
        <w:t xml:space="preserve">En este sentido, </w:t>
      </w:r>
      <w:r>
        <w:rPr>
          <w:rFonts w:eastAsia="Batang"/>
          <w:szCs w:val="20"/>
          <w:lang w:val="es-ES" w:eastAsia="es-MX"/>
        </w:rPr>
        <w:t>este Tribunal</w:t>
      </w:r>
      <w:r>
        <w:rPr>
          <w:szCs w:val="20"/>
          <w:lang w:val="es-ES"/>
        </w:rPr>
        <w:t xml:space="preserve"> </w:t>
      </w:r>
      <w:r w:rsidRPr="009B0F2C">
        <w:rPr>
          <w:szCs w:val="20"/>
          <w:lang w:val="es-ES"/>
        </w:rPr>
        <w:t xml:space="preserve">considera que el proceso termina cuando se </w:t>
      </w:r>
      <w:r w:rsidRPr="009B0F2C">
        <w:rPr>
          <w:rFonts w:cs="Verdana"/>
          <w:szCs w:val="20"/>
          <w:lang w:val="es-ES"/>
        </w:rPr>
        <w:t>dicta</w:t>
      </w:r>
      <w:r w:rsidRPr="009B0F2C">
        <w:rPr>
          <w:szCs w:val="20"/>
          <w:lang w:val="es-ES"/>
        </w:rPr>
        <w:t xml:space="preserve"> sentencia definitiva y firme en el asunto, con lo cual se agota la jurisdicción y que, particularmente en materia penal, dicho plazo debe comprender todo el procedimiento, incluyendo los recursos de instancia que pudieran eventualmente presentarse</w:t>
      </w:r>
      <w:r w:rsidRPr="009B0F2C">
        <w:rPr>
          <w:rFonts w:cs="Verdana"/>
          <w:szCs w:val="20"/>
          <w:vertAlign w:val="superscript"/>
          <w:lang w:val="es-ES"/>
        </w:rPr>
        <w:footnoteReference w:id="273"/>
      </w:r>
      <w:r w:rsidRPr="009B0F2C">
        <w:rPr>
          <w:rFonts w:cs="Tahoma"/>
          <w:szCs w:val="20"/>
          <w:shd w:val="clear" w:color="auto" w:fill="FFFFFF"/>
          <w:lang w:val="es-ES"/>
        </w:rPr>
        <w:t xml:space="preserve">. </w:t>
      </w:r>
      <w:r w:rsidRPr="009B0F2C">
        <w:rPr>
          <w:rFonts w:eastAsia="Batang"/>
          <w:szCs w:val="20"/>
          <w:lang w:val="es-ES" w:eastAsia="es-MX"/>
        </w:rPr>
        <w:t xml:space="preserve">Se ha </w:t>
      </w:r>
      <w:r w:rsidRPr="009B0F2C">
        <w:rPr>
          <w:rFonts w:eastAsia="Batang" w:cs="Arial"/>
          <w:szCs w:val="20"/>
          <w:lang w:val="es-ES" w:eastAsia="es-MX"/>
        </w:rPr>
        <w:t>considerado</w:t>
      </w:r>
      <w:r w:rsidRPr="009B0F2C">
        <w:rPr>
          <w:rFonts w:eastAsia="Batang"/>
          <w:szCs w:val="20"/>
          <w:lang w:val="es-ES" w:eastAsia="es-MX"/>
        </w:rPr>
        <w:t xml:space="preserve"> por</w:t>
      </w:r>
      <w:r>
        <w:rPr>
          <w:rFonts w:eastAsia="Batang"/>
          <w:szCs w:val="20"/>
          <w:lang w:val="es-ES" w:eastAsia="es-MX"/>
        </w:rPr>
        <w:t xml:space="preserve"> la Corte</w:t>
      </w:r>
      <w:r w:rsidRPr="009B0F2C">
        <w:rPr>
          <w:rFonts w:eastAsia="Batang"/>
          <w:szCs w:val="20"/>
          <w:lang w:val="es-ES" w:eastAsia="es-MX"/>
        </w:rPr>
        <w:t xml:space="preserve"> que una demora prolongada puede llegar a constituir, por sí misma, una violación a las garantías judiciales</w:t>
      </w:r>
      <w:r w:rsidRPr="009B0F2C">
        <w:rPr>
          <w:rFonts w:cs="Verdana"/>
          <w:szCs w:val="20"/>
          <w:vertAlign w:val="superscript"/>
          <w:lang w:val="es-ES" w:eastAsia="es-MX"/>
        </w:rPr>
        <w:footnoteReference w:id="274"/>
      </w:r>
      <w:r w:rsidRPr="009B0F2C">
        <w:rPr>
          <w:rFonts w:eastAsia="Batang"/>
          <w:szCs w:val="20"/>
          <w:lang w:val="es-ES" w:eastAsia="es-MX"/>
        </w:rPr>
        <w:t>.</w:t>
      </w:r>
    </w:p>
    <w:p w:rsidR="00881DB6" w:rsidRPr="00C17792" w:rsidRDefault="00881DB6" w:rsidP="00881DB6">
      <w:pPr>
        <w:pStyle w:val="ListParagraph"/>
        <w:tabs>
          <w:tab w:val="left" w:pos="567"/>
        </w:tabs>
        <w:ind w:left="0"/>
        <w:rPr>
          <w:rFonts w:eastAsia="Batang"/>
          <w:szCs w:val="20"/>
          <w:lang w:val="es-ES" w:eastAsia="es-MX"/>
        </w:rPr>
      </w:pPr>
    </w:p>
    <w:p w:rsidR="00881DB6" w:rsidRPr="004F694C" w:rsidRDefault="00881DB6" w:rsidP="00881DB6">
      <w:pPr>
        <w:pStyle w:val="ListParagraph"/>
        <w:widowControl w:val="0"/>
        <w:numPr>
          <w:ilvl w:val="0"/>
          <w:numId w:val="1"/>
        </w:numPr>
        <w:tabs>
          <w:tab w:val="left" w:pos="0"/>
        </w:tabs>
        <w:adjustRightInd w:val="0"/>
        <w:ind w:left="0" w:firstLine="0"/>
        <w:rPr>
          <w:rFonts w:eastAsia="Batang"/>
          <w:szCs w:val="20"/>
          <w:lang w:val="es-ES" w:eastAsia="es-MX"/>
        </w:rPr>
      </w:pPr>
      <w:r w:rsidRPr="009B0F2C">
        <w:rPr>
          <w:szCs w:val="20"/>
          <w:lang w:val="es-ES"/>
        </w:rPr>
        <w:t xml:space="preserve">Si bien es cierto que a efectos de analizar su plazo razonable, en términos generales la Corte debe </w:t>
      </w:r>
      <w:r w:rsidRPr="00752E4B">
        <w:rPr>
          <w:rFonts w:eastAsia="Batang" w:cs="Arial"/>
          <w:szCs w:val="20"/>
          <w:lang w:val="es-ES" w:eastAsia="es-MX"/>
        </w:rPr>
        <w:t>considerar</w:t>
      </w:r>
      <w:r w:rsidRPr="009B0F2C">
        <w:rPr>
          <w:szCs w:val="20"/>
          <w:lang w:val="es-ES"/>
        </w:rPr>
        <w:t xml:space="preserve"> la duración global de un proceso hasta que se dicte sentencia definitiva</w:t>
      </w:r>
      <w:r w:rsidRPr="009B0F2C">
        <w:rPr>
          <w:szCs w:val="20"/>
          <w:vertAlign w:val="superscript"/>
          <w:lang w:val="es-ES"/>
        </w:rPr>
        <w:footnoteReference w:id="275"/>
      </w:r>
      <w:r w:rsidRPr="009B0F2C">
        <w:rPr>
          <w:szCs w:val="20"/>
          <w:lang w:val="es-ES"/>
        </w:rPr>
        <w:t>, en ciertas situaciones particulares puede ser pertinente una valoración específica de sus distintas etapas</w:t>
      </w:r>
      <w:r w:rsidRPr="009B0F2C">
        <w:rPr>
          <w:rStyle w:val="FootnoteReference"/>
          <w:sz w:val="20"/>
          <w:lang w:val="es-ES"/>
        </w:rPr>
        <w:footnoteReference w:id="276"/>
      </w:r>
      <w:r w:rsidRPr="009B0F2C">
        <w:rPr>
          <w:szCs w:val="20"/>
          <w:lang w:val="es-ES"/>
        </w:rPr>
        <w:t>.</w:t>
      </w:r>
      <w:r w:rsidRPr="003F67C5">
        <w:rPr>
          <w:lang w:val="es-ES_tradnl"/>
        </w:rPr>
        <w:t xml:space="preserve"> </w:t>
      </w:r>
      <w:r>
        <w:rPr>
          <w:lang w:val="es-ES_tradnl"/>
        </w:rPr>
        <w:t xml:space="preserve"> </w:t>
      </w:r>
    </w:p>
    <w:p w:rsidR="00881DB6" w:rsidRPr="004F694C" w:rsidRDefault="00881DB6" w:rsidP="00881DB6">
      <w:pPr>
        <w:pStyle w:val="ListParagraph"/>
        <w:rPr>
          <w:rFonts w:eastAsia="Batang"/>
          <w:szCs w:val="20"/>
          <w:lang w:val="es-ES" w:eastAsia="es-MX"/>
        </w:rPr>
      </w:pPr>
    </w:p>
    <w:p w:rsidR="00881DB6" w:rsidRPr="00794667" w:rsidRDefault="00881DB6" w:rsidP="00881DB6">
      <w:pPr>
        <w:pStyle w:val="ListParagraph"/>
        <w:widowControl w:val="0"/>
        <w:numPr>
          <w:ilvl w:val="0"/>
          <w:numId w:val="1"/>
        </w:numPr>
        <w:tabs>
          <w:tab w:val="left" w:pos="0"/>
        </w:tabs>
        <w:adjustRightInd w:val="0"/>
        <w:ind w:left="0" w:firstLine="0"/>
        <w:rPr>
          <w:rFonts w:eastAsia="Batang"/>
          <w:szCs w:val="20"/>
          <w:lang w:val="es-ES" w:eastAsia="es-MX"/>
        </w:rPr>
      </w:pPr>
      <w:r w:rsidRPr="00794667">
        <w:rPr>
          <w:szCs w:val="20"/>
          <w:lang w:val="es-ES"/>
        </w:rPr>
        <w:t>Seguidamente</w:t>
      </w:r>
      <w:r w:rsidRPr="00794667">
        <w:rPr>
          <w:rFonts w:eastAsia="Batang"/>
          <w:szCs w:val="20"/>
          <w:lang w:val="es-ES" w:eastAsia="es-MX"/>
        </w:rPr>
        <w:t>, la Corte se referirá a las investigaciones realizadas respecto a la desaparición forzada de cada una de las cinco víctimas del presente caso.</w:t>
      </w:r>
    </w:p>
    <w:p w:rsidR="00881DB6" w:rsidRPr="00794667" w:rsidRDefault="00881DB6" w:rsidP="00881DB6">
      <w:pPr>
        <w:pStyle w:val="ListParagraph"/>
        <w:tabs>
          <w:tab w:val="left" w:pos="567"/>
        </w:tabs>
        <w:ind w:left="0"/>
        <w:rPr>
          <w:rFonts w:eastAsia="Batang"/>
          <w:szCs w:val="20"/>
          <w:lang w:val="es-ES" w:eastAsia="es-MX"/>
        </w:rPr>
      </w:pPr>
    </w:p>
    <w:p w:rsidR="00881DB6" w:rsidRPr="00794667" w:rsidRDefault="00881DB6" w:rsidP="00881DB6">
      <w:pPr>
        <w:pStyle w:val="ListParagraph"/>
        <w:widowControl w:val="0"/>
        <w:numPr>
          <w:ilvl w:val="0"/>
          <w:numId w:val="1"/>
        </w:numPr>
        <w:tabs>
          <w:tab w:val="left" w:pos="0"/>
        </w:tabs>
        <w:adjustRightInd w:val="0"/>
        <w:ind w:left="0" w:firstLine="0"/>
        <w:rPr>
          <w:lang w:val="es-AR"/>
        </w:rPr>
      </w:pPr>
      <w:r w:rsidRPr="00794667">
        <w:rPr>
          <w:szCs w:val="20"/>
        </w:rPr>
        <w:t xml:space="preserve">En cuanto a Santiago Antezana Cueto, </w:t>
      </w:r>
      <w:r w:rsidRPr="00794667">
        <w:rPr>
          <w:szCs w:val="20"/>
          <w:lang w:val="es-ES"/>
        </w:rPr>
        <w:t>l</w:t>
      </w:r>
      <w:r w:rsidRPr="00794667">
        <w:rPr>
          <w:szCs w:val="20"/>
        </w:rPr>
        <w:t>a Corte nota que hasta la fecha sólo en este caso la investigación y proceso penal correspondiente ha concluido con una sentencia firme, en la cual se determinó la responsabilidad penal de sólo un au</w:t>
      </w:r>
      <w:r w:rsidR="00B54804">
        <w:rPr>
          <w:szCs w:val="20"/>
        </w:rPr>
        <w:t>tor mediato de los hechos por su</w:t>
      </w:r>
      <w:r w:rsidRPr="00794667">
        <w:rPr>
          <w:szCs w:val="20"/>
        </w:rPr>
        <w:t xml:space="preserve"> desaparición fo</w:t>
      </w:r>
      <w:r w:rsidR="00B54804">
        <w:rPr>
          <w:szCs w:val="20"/>
        </w:rPr>
        <w:t>rzada</w:t>
      </w:r>
      <w:r w:rsidRPr="00794667">
        <w:rPr>
          <w:szCs w:val="20"/>
        </w:rPr>
        <w:t xml:space="preserve">. Dicha sentencia fue dictada el 12 de </w:t>
      </w:r>
      <w:r w:rsidRPr="00794667">
        <w:rPr>
          <w:szCs w:val="20"/>
          <w:lang w:val="es-ES"/>
        </w:rPr>
        <w:t>diciembre</w:t>
      </w:r>
      <w:r w:rsidRPr="00794667">
        <w:rPr>
          <w:szCs w:val="20"/>
        </w:rPr>
        <w:t xml:space="preserve"> de 2013, a pesar de que su desaparición ocurrió en 1984 y el Estado tomó conocimiento de ésta en 1985, es decir, después del transcurso de más de 3</w:t>
      </w:r>
      <w:r w:rsidR="00005206">
        <w:rPr>
          <w:szCs w:val="20"/>
        </w:rPr>
        <w:t>4</w:t>
      </w:r>
      <w:r w:rsidRPr="00794667">
        <w:rPr>
          <w:szCs w:val="20"/>
        </w:rPr>
        <w:t xml:space="preserve"> años desde la ejecución de los h</w:t>
      </w:r>
      <w:r w:rsidR="00B54804">
        <w:rPr>
          <w:szCs w:val="20"/>
        </w:rPr>
        <w:t>echos y presentada la denuncia</w:t>
      </w:r>
      <w:r w:rsidRPr="00794667">
        <w:rPr>
          <w:szCs w:val="20"/>
        </w:rPr>
        <w:t>. Además, a la fecha la referida sentencia no se ha ejecutado por encontrase prófugo de la justicia el responsable de los hechos, sin que el Estado haya tomado las debidas diligencias para su captura (</w:t>
      </w:r>
      <w:r w:rsidRPr="00794667">
        <w:rPr>
          <w:i/>
          <w:szCs w:val="20"/>
        </w:rPr>
        <w:t>supra</w:t>
      </w:r>
      <w:r w:rsidRPr="00794667">
        <w:rPr>
          <w:szCs w:val="20"/>
        </w:rPr>
        <w:t xml:space="preserve"> párr</w:t>
      </w:r>
      <w:r w:rsidR="00FF417A">
        <w:rPr>
          <w:szCs w:val="20"/>
        </w:rPr>
        <w:t>s</w:t>
      </w:r>
      <w:r w:rsidRPr="00794667">
        <w:rPr>
          <w:szCs w:val="20"/>
        </w:rPr>
        <w:t xml:space="preserve">. </w:t>
      </w:r>
      <w:r>
        <w:rPr>
          <w:szCs w:val="20"/>
        </w:rPr>
        <w:t>126</w:t>
      </w:r>
      <w:r w:rsidR="00322318">
        <w:rPr>
          <w:szCs w:val="20"/>
        </w:rPr>
        <w:t xml:space="preserve"> </w:t>
      </w:r>
      <w:r w:rsidR="00FF417A">
        <w:rPr>
          <w:szCs w:val="20"/>
        </w:rPr>
        <w:t>y</w:t>
      </w:r>
      <w:r w:rsidR="00322318">
        <w:rPr>
          <w:szCs w:val="20"/>
        </w:rPr>
        <w:t xml:space="preserve"> 127</w:t>
      </w:r>
      <w:r w:rsidRPr="00794667">
        <w:rPr>
          <w:szCs w:val="20"/>
        </w:rPr>
        <w:t>).</w:t>
      </w:r>
    </w:p>
    <w:p w:rsidR="00881DB6" w:rsidRPr="00794667" w:rsidRDefault="00881DB6" w:rsidP="00881DB6">
      <w:pPr>
        <w:pStyle w:val="ListParagraph"/>
        <w:rPr>
          <w:szCs w:val="20"/>
        </w:rPr>
      </w:pPr>
    </w:p>
    <w:p w:rsidR="00881DB6" w:rsidRPr="00794667" w:rsidRDefault="00881DB6" w:rsidP="00881DB6">
      <w:pPr>
        <w:pStyle w:val="ListParagraph"/>
        <w:widowControl w:val="0"/>
        <w:numPr>
          <w:ilvl w:val="0"/>
          <w:numId w:val="1"/>
        </w:numPr>
        <w:tabs>
          <w:tab w:val="left" w:pos="0"/>
        </w:tabs>
        <w:adjustRightInd w:val="0"/>
        <w:ind w:left="0" w:firstLine="0"/>
        <w:rPr>
          <w:rFonts w:cs="Arial"/>
          <w:color w:val="222222"/>
          <w:shd w:val="clear" w:color="auto" w:fill="FFFFFF"/>
          <w:lang w:val="es-CR"/>
        </w:rPr>
      </w:pPr>
      <w:r w:rsidRPr="00794667">
        <w:rPr>
          <w:szCs w:val="20"/>
        </w:rPr>
        <w:t>Respecto a la desaparición forzada de Cory Clodolia Tenicela Tello ocurrida el 2 de octubre de 1992</w:t>
      </w:r>
      <w:r w:rsidRPr="00794667">
        <w:rPr>
          <w:szCs w:val="20"/>
          <w:lang w:val="es-AR"/>
        </w:rPr>
        <w:t xml:space="preserve">, al menos, a partir del </w:t>
      </w:r>
      <w:r w:rsidR="008C4E75">
        <w:rPr>
          <w:szCs w:val="20"/>
          <w:lang w:val="es-AR"/>
        </w:rPr>
        <w:t>14 de octubre de 1992 el Estado tomó</w:t>
      </w:r>
      <w:r w:rsidRPr="00794667">
        <w:rPr>
          <w:szCs w:val="20"/>
          <w:lang w:val="es-AR"/>
        </w:rPr>
        <w:t xml:space="preserve"> conocimiento de la desaparición por la denuncia presentada </w:t>
      </w:r>
      <w:r>
        <w:rPr>
          <w:szCs w:val="20"/>
          <w:lang w:val="es-AR"/>
        </w:rPr>
        <w:t xml:space="preserve">por </w:t>
      </w:r>
      <w:r w:rsidRPr="00794667">
        <w:rPr>
          <w:szCs w:val="20"/>
          <w:lang w:val="es-AR"/>
        </w:rPr>
        <w:t xml:space="preserve">su madre Amadea Tello ante la Fiscalía </w:t>
      </w:r>
      <w:r w:rsidRPr="00794667">
        <w:rPr>
          <w:szCs w:val="20"/>
          <w:lang w:val="es-AR"/>
        </w:rPr>
        <w:lastRenderedPageBreak/>
        <w:t>Provincial de Junín (</w:t>
      </w:r>
      <w:r w:rsidRPr="00794667">
        <w:rPr>
          <w:i/>
          <w:szCs w:val="20"/>
          <w:lang w:val="es-AR"/>
        </w:rPr>
        <w:t>supra</w:t>
      </w:r>
      <w:r w:rsidRPr="00794667">
        <w:rPr>
          <w:szCs w:val="20"/>
          <w:lang w:val="es-AR"/>
        </w:rPr>
        <w:t xml:space="preserve"> </w:t>
      </w:r>
      <w:r w:rsidRPr="00794667">
        <w:rPr>
          <w:szCs w:val="20"/>
        </w:rPr>
        <w:t>párr</w:t>
      </w:r>
      <w:r w:rsidRPr="00794667">
        <w:rPr>
          <w:szCs w:val="20"/>
          <w:lang w:val="es-AR"/>
        </w:rPr>
        <w:t xml:space="preserve">. </w:t>
      </w:r>
      <w:r>
        <w:rPr>
          <w:szCs w:val="20"/>
          <w:lang w:val="es-AR"/>
        </w:rPr>
        <w:t>153</w:t>
      </w:r>
      <w:r w:rsidRPr="00794667">
        <w:rPr>
          <w:szCs w:val="20"/>
          <w:lang w:val="es-AR"/>
        </w:rPr>
        <w:t>)</w:t>
      </w:r>
      <w:r w:rsidRPr="00794667">
        <w:rPr>
          <w:rStyle w:val="FootnoteReference"/>
          <w:sz w:val="20"/>
          <w:szCs w:val="20"/>
          <w:lang w:val="es-AR"/>
        </w:rPr>
        <w:footnoteReference w:id="277"/>
      </w:r>
      <w:r w:rsidRPr="00794667">
        <w:rPr>
          <w:szCs w:val="20"/>
          <w:lang w:val="es-AR"/>
        </w:rPr>
        <w:t xml:space="preserve">. La investigación </w:t>
      </w:r>
      <w:r w:rsidRPr="00794667">
        <w:rPr>
          <w:rFonts w:cs="Arial"/>
          <w:color w:val="222222"/>
          <w:shd w:val="clear" w:color="auto" w:fill="FFFFFF"/>
          <w:lang w:val="es-CR"/>
        </w:rPr>
        <w:t>fue acumulada en 2003 al proceso penal de otras 32 personas presuntamente desaparecidas, el cual se encuentra pendiente de resolución judicial</w:t>
      </w:r>
      <w:r w:rsidRPr="00794667">
        <w:rPr>
          <w:szCs w:val="20"/>
        </w:rPr>
        <w:t>.</w:t>
      </w:r>
      <w:r w:rsidRPr="00794667">
        <w:rPr>
          <w:rFonts w:cs="Arial"/>
          <w:color w:val="222222"/>
          <w:shd w:val="clear" w:color="auto" w:fill="FFFFFF"/>
          <w:lang w:val="es-CR"/>
        </w:rPr>
        <w:t xml:space="preserve"> </w:t>
      </w:r>
      <w:r w:rsidRPr="00794667">
        <w:rPr>
          <w:szCs w:val="20"/>
          <w:lang w:val="es-AR"/>
        </w:rPr>
        <w:t>H</w:t>
      </w:r>
      <w:r w:rsidR="0083051C">
        <w:rPr>
          <w:szCs w:val="20"/>
        </w:rPr>
        <w:t>abiendo transcurrido más de 26</w:t>
      </w:r>
      <w:r w:rsidRPr="00794667">
        <w:rPr>
          <w:szCs w:val="20"/>
        </w:rPr>
        <w:t xml:space="preserve"> años desde la ejecución de los hechos y la primera denuncia presentada, el proceso penal se encuentra pendiente de la decisión final (</w:t>
      </w:r>
      <w:r w:rsidRPr="00794667">
        <w:rPr>
          <w:i/>
          <w:szCs w:val="20"/>
        </w:rPr>
        <w:t>supra</w:t>
      </w:r>
      <w:r w:rsidRPr="00794667">
        <w:rPr>
          <w:szCs w:val="20"/>
        </w:rPr>
        <w:t xml:space="preserve"> párr. </w:t>
      </w:r>
      <w:r>
        <w:rPr>
          <w:szCs w:val="20"/>
        </w:rPr>
        <w:t>92</w:t>
      </w:r>
      <w:r w:rsidRPr="00794667">
        <w:rPr>
          <w:szCs w:val="20"/>
        </w:rPr>
        <w:t xml:space="preserve">). </w:t>
      </w:r>
    </w:p>
    <w:p w:rsidR="00881DB6" w:rsidRPr="00794667" w:rsidRDefault="00881DB6" w:rsidP="00881DB6">
      <w:pPr>
        <w:pStyle w:val="ListParagraph"/>
        <w:autoSpaceDE w:val="0"/>
        <w:autoSpaceDN w:val="0"/>
        <w:adjustRightInd w:val="0"/>
        <w:spacing w:line="20" w:lineRule="atLeast"/>
        <w:ind w:left="0" w:right="-138"/>
        <w:rPr>
          <w:lang w:val="es-AR"/>
        </w:rPr>
      </w:pPr>
    </w:p>
    <w:p w:rsidR="00881DB6" w:rsidRPr="009F394A" w:rsidRDefault="00881DB6" w:rsidP="00881DB6">
      <w:pPr>
        <w:pStyle w:val="ListParagraph"/>
        <w:widowControl w:val="0"/>
        <w:numPr>
          <w:ilvl w:val="0"/>
          <w:numId w:val="1"/>
        </w:numPr>
        <w:tabs>
          <w:tab w:val="left" w:pos="0"/>
        </w:tabs>
        <w:adjustRightInd w:val="0"/>
        <w:ind w:left="0" w:firstLine="0"/>
        <w:rPr>
          <w:lang w:val="es-AR"/>
        </w:rPr>
      </w:pPr>
      <w:r w:rsidRPr="00794667">
        <w:rPr>
          <w:szCs w:val="20"/>
        </w:rPr>
        <w:t>En lo que se refiere a la desaparición forzada de</w:t>
      </w:r>
      <w:r w:rsidRPr="009F394A">
        <w:rPr>
          <w:szCs w:val="20"/>
        </w:rPr>
        <w:t xml:space="preserve"> Néstor Rojas Medina ocurrida en enero de 1991, fueron presentadas tres denuncias, y al menos, a partir del 5 de febrero de 1991, el Estado habría tomado conocimiento de la misma, a través de la primera denuncia presentada ante la Fiscalía de la Provincia de Tocache. De las tres denuncias presentadas, conforme a la prueba disponible en el expediente, en sólo dos de ellas se realizaron gestiones relativas a la investigación de los hechos, a saber: a) en la investigación llevada a cabo por la Fiscalía Provincial de Tocache, iniciada en febrero de 1991 (</w:t>
      </w:r>
      <w:r w:rsidR="00D57EF3">
        <w:rPr>
          <w:i/>
          <w:szCs w:val="20"/>
        </w:rPr>
        <w:t>supra</w:t>
      </w:r>
      <w:r w:rsidRPr="009F394A">
        <w:rPr>
          <w:szCs w:val="20"/>
        </w:rPr>
        <w:t xml:space="preserve"> párrs. </w:t>
      </w:r>
      <w:r>
        <w:rPr>
          <w:szCs w:val="20"/>
        </w:rPr>
        <w:t>99</w:t>
      </w:r>
      <w:r w:rsidRPr="009F394A">
        <w:rPr>
          <w:szCs w:val="20"/>
        </w:rPr>
        <w:t xml:space="preserve"> a </w:t>
      </w:r>
      <w:r>
        <w:rPr>
          <w:szCs w:val="20"/>
        </w:rPr>
        <w:t>103</w:t>
      </w:r>
      <w:r w:rsidRPr="009F394A">
        <w:rPr>
          <w:szCs w:val="20"/>
        </w:rPr>
        <w:t>), y b) en la llevada cabo por la Fiscalía Especializada para Desapariciones Forzosas, iniciada en septiembre de 2004 (</w:t>
      </w:r>
      <w:r w:rsidR="00D61B84">
        <w:rPr>
          <w:i/>
          <w:szCs w:val="20"/>
        </w:rPr>
        <w:t>supra</w:t>
      </w:r>
      <w:r w:rsidRPr="009F394A">
        <w:rPr>
          <w:szCs w:val="20"/>
        </w:rPr>
        <w:t xml:space="preserve"> párrs. </w:t>
      </w:r>
      <w:r>
        <w:rPr>
          <w:szCs w:val="20"/>
        </w:rPr>
        <w:t>105</w:t>
      </w:r>
      <w:r w:rsidRPr="009F394A">
        <w:rPr>
          <w:szCs w:val="20"/>
        </w:rPr>
        <w:t xml:space="preserve"> a </w:t>
      </w:r>
      <w:r>
        <w:rPr>
          <w:szCs w:val="20"/>
        </w:rPr>
        <w:t>109</w:t>
      </w:r>
      <w:r w:rsidRPr="009F394A">
        <w:rPr>
          <w:szCs w:val="20"/>
        </w:rPr>
        <w:t>).  En lo que respecta a la denuncia interpuesta en marzo de 1991 ante la Fiscalía de la Nación, no se desprende del expediente que se haya realizado diligencia alguna (</w:t>
      </w:r>
      <w:r w:rsidRPr="009F394A">
        <w:rPr>
          <w:i/>
          <w:szCs w:val="20"/>
        </w:rPr>
        <w:t>supra</w:t>
      </w:r>
      <w:r w:rsidRPr="009F394A">
        <w:rPr>
          <w:szCs w:val="20"/>
        </w:rPr>
        <w:t xml:space="preserve"> párr. </w:t>
      </w:r>
      <w:r>
        <w:rPr>
          <w:szCs w:val="20"/>
        </w:rPr>
        <w:t>104</w:t>
      </w:r>
      <w:r w:rsidRPr="009F394A">
        <w:rPr>
          <w:szCs w:val="20"/>
        </w:rPr>
        <w:t xml:space="preserve">). </w:t>
      </w:r>
      <w:r w:rsidRPr="009F394A">
        <w:rPr>
          <w:szCs w:val="20"/>
          <w:lang w:val="es-AR"/>
        </w:rPr>
        <w:t>H</w:t>
      </w:r>
      <w:r w:rsidRPr="009F394A">
        <w:rPr>
          <w:szCs w:val="20"/>
        </w:rPr>
        <w:t>abiendo transcurrido más de 2</w:t>
      </w:r>
      <w:r w:rsidR="00DE44FA">
        <w:rPr>
          <w:szCs w:val="20"/>
        </w:rPr>
        <w:t>6</w:t>
      </w:r>
      <w:r w:rsidRPr="009F394A">
        <w:rPr>
          <w:szCs w:val="20"/>
        </w:rPr>
        <w:t xml:space="preserve"> años de iniciada la ejecución de los hechos y la primera denuncia presentada, la investigación continúa en sus primeras etapas.</w:t>
      </w:r>
    </w:p>
    <w:p w:rsidR="00881DB6" w:rsidRPr="009F394A" w:rsidRDefault="00881DB6" w:rsidP="00881DB6">
      <w:pPr>
        <w:pStyle w:val="ListParagraph"/>
        <w:rPr>
          <w:szCs w:val="20"/>
        </w:rPr>
      </w:pPr>
    </w:p>
    <w:p w:rsidR="00881DB6" w:rsidRPr="009F394A" w:rsidRDefault="00881DB6" w:rsidP="00881DB6">
      <w:pPr>
        <w:pStyle w:val="ListParagraph"/>
        <w:widowControl w:val="0"/>
        <w:numPr>
          <w:ilvl w:val="0"/>
          <w:numId w:val="1"/>
        </w:numPr>
        <w:tabs>
          <w:tab w:val="left" w:pos="0"/>
        </w:tabs>
        <w:adjustRightInd w:val="0"/>
        <w:ind w:left="0" w:firstLine="0"/>
        <w:rPr>
          <w:lang w:val="es-AR"/>
        </w:rPr>
      </w:pPr>
      <w:r w:rsidRPr="009F394A">
        <w:rPr>
          <w:szCs w:val="20"/>
        </w:rPr>
        <w:t>En cuanto a las desapariciones</w:t>
      </w:r>
      <w:r>
        <w:rPr>
          <w:szCs w:val="20"/>
        </w:rPr>
        <w:t xml:space="preserve"> </w:t>
      </w:r>
      <w:r w:rsidRPr="00794667">
        <w:rPr>
          <w:szCs w:val="20"/>
        </w:rPr>
        <w:t>forzadas de Wilfredo Terrones Silva y Teresa Díaz Aparicio sucedidas el 28 de febrero de 1992 y 19 de agosto de 1992, respectivamente, recién fueron abiertas investigaciones por el delito de desaparición forzada, a más de 2</w:t>
      </w:r>
      <w:r w:rsidR="00DE44FA">
        <w:rPr>
          <w:szCs w:val="20"/>
        </w:rPr>
        <w:t>6</w:t>
      </w:r>
      <w:r w:rsidRPr="00794667">
        <w:rPr>
          <w:szCs w:val="20"/>
        </w:rPr>
        <w:t xml:space="preserve"> años de ocurridos los hechos, de acuerdo con lo dispuesto el 10 de octubre de 2016 por la Coordinación de la Fiscalía Superior Penal Nacional y Fiscalía Penal Supraprovincial del Ministerio Público. Dichas investigaciones se encuentran en sus primeras etapas (</w:t>
      </w:r>
      <w:r w:rsidRPr="00794667">
        <w:rPr>
          <w:i/>
          <w:szCs w:val="20"/>
        </w:rPr>
        <w:t>supra</w:t>
      </w:r>
      <w:r w:rsidRPr="00794667">
        <w:rPr>
          <w:szCs w:val="20"/>
        </w:rPr>
        <w:t xml:space="preserve"> párr.</w:t>
      </w:r>
      <w:r>
        <w:rPr>
          <w:szCs w:val="20"/>
        </w:rPr>
        <w:t xml:space="preserve"> 82</w:t>
      </w:r>
      <w:r w:rsidRPr="00794667">
        <w:rPr>
          <w:szCs w:val="20"/>
        </w:rPr>
        <w:t xml:space="preserve">). En el caso del señor Terrones Silva, al menos, a partir del 28 de </w:t>
      </w:r>
      <w:r>
        <w:rPr>
          <w:szCs w:val="20"/>
        </w:rPr>
        <w:t>agosto</w:t>
      </w:r>
      <w:r w:rsidRPr="00794667">
        <w:rPr>
          <w:szCs w:val="20"/>
        </w:rPr>
        <w:t xml:space="preserve"> de 1992, fecha en que se denunció su desaparición ante la Décima Fiscalía Penal de Lima, habiendo el</w:t>
      </w:r>
      <w:r w:rsidRPr="009F394A">
        <w:rPr>
          <w:szCs w:val="20"/>
        </w:rPr>
        <w:t xml:space="preserve"> Estado tomado conocimiento de la misma (</w:t>
      </w:r>
      <w:r w:rsidRPr="009F394A">
        <w:rPr>
          <w:i/>
          <w:szCs w:val="20"/>
        </w:rPr>
        <w:t>supra</w:t>
      </w:r>
      <w:r w:rsidRPr="009F394A">
        <w:rPr>
          <w:szCs w:val="20"/>
        </w:rPr>
        <w:t xml:space="preserve"> párr. </w:t>
      </w:r>
      <w:r>
        <w:rPr>
          <w:szCs w:val="20"/>
        </w:rPr>
        <w:t>58</w:t>
      </w:r>
      <w:r w:rsidRPr="009F394A">
        <w:rPr>
          <w:szCs w:val="20"/>
        </w:rPr>
        <w:t>). En el caso de Teresa Díaz Aparicio, el Estado habría tomado conocimiento de su desaparición, al menos, a partir del 25 de febrero 2002</w:t>
      </w:r>
      <w:r w:rsidRPr="009F394A">
        <w:rPr>
          <w:rStyle w:val="FootnoteReference"/>
          <w:sz w:val="20"/>
          <w:szCs w:val="20"/>
        </w:rPr>
        <w:footnoteReference w:id="278"/>
      </w:r>
      <w:r w:rsidRPr="009F394A">
        <w:rPr>
          <w:szCs w:val="20"/>
        </w:rPr>
        <w:t xml:space="preserve">, cuando su hermano interpuso un recurso de </w:t>
      </w:r>
      <w:r w:rsidRPr="009F394A">
        <w:rPr>
          <w:i/>
          <w:szCs w:val="20"/>
        </w:rPr>
        <w:t>hábeas corpus</w:t>
      </w:r>
      <w:r w:rsidRPr="009F394A">
        <w:rPr>
          <w:szCs w:val="20"/>
        </w:rPr>
        <w:t xml:space="preserve"> por su desaparición</w:t>
      </w:r>
      <w:r>
        <w:rPr>
          <w:szCs w:val="20"/>
        </w:rPr>
        <w:t xml:space="preserve"> </w:t>
      </w:r>
      <w:r w:rsidRPr="009F394A">
        <w:rPr>
          <w:szCs w:val="20"/>
        </w:rPr>
        <w:t>(</w:t>
      </w:r>
      <w:r w:rsidRPr="009F394A">
        <w:rPr>
          <w:i/>
          <w:szCs w:val="20"/>
        </w:rPr>
        <w:t>supra</w:t>
      </w:r>
      <w:r>
        <w:rPr>
          <w:szCs w:val="20"/>
        </w:rPr>
        <w:t xml:space="preserve"> párr. </w:t>
      </w:r>
      <w:r w:rsidR="00F20E17">
        <w:rPr>
          <w:szCs w:val="20"/>
        </w:rPr>
        <w:t>70</w:t>
      </w:r>
      <w:r w:rsidRPr="009F394A">
        <w:rPr>
          <w:szCs w:val="20"/>
        </w:rPr>
        <w:t>). No obstante, fue hasta el 30 de mayo de 2002 que la Primera Sala Penal Corporativa declaró infundado el recurso de hábeas corpus y por mandato al Ministerio Público, el 30 de septiembre de 2002 la Fiscalía Provincial Especializada en Desapariciones Forzadas, dispuso la apertura de una investigación</w:t>
      </w:r>
      <w:r>
        <w:rPr>
          <w:szCs w:val="20"/>
        </w:rPr>
        <w:t xml:space="preserve"> </w:t>
      </w:r>
      <w:r w:rsidRPr="009F394A">
        <w:rPr>
          <w:szCs w:val="20"/>
        </w:rPr>
        <w:t>(</w:t>
      </w:r>
      <w:r w:rsidRPr="009F394A">
        <w:rPr>
          <w:i/>
          <w:szCs w:val="20"/>
        </w:rPr>
        <w:t>supra</w:t>
      </w:r>
      <w:r>
        <w:rPr>
          <w:szCs w:val="20"/>
        </w:rPr>
        <w:t xml:space="preserve"> párr. 72</w:t>
      </w:r>
      <w:r w:rsidRPr="009F394A">
        <w:rPr>
          <w:szCs w:val="20"/>
        </w:rPr>
        <w:t>). En los años 2009 y 2014 al no encontrase mérito para formular denuncia penal se dispuso el archivo provisional de los actuados, y fue hasta el año 2017 que se retomó la investigación y se han programado una serie de diligencias (</w:t>
      </w:r>
      <w:r w:rsidRPr="009F394A">
        <w:rPr>
          <w:i/>
          <w:szCs w:val="20"/>
        </w:rPr>
        <w:t>supra</w:t>
      </w:r>
      <w:r w:rsidRPr="009F394A">
        <w:rPr>
          <w:szCs w:val="20"/>
        </w:rPr>
        <w:t xml:space="preserve"> </w:t>
      </w:r>
      <w:r w:rsidR="00871ABC">
        <w:rPr>
          <w:szCs w:val="20"/>
        </w:rPr>
        <w:t>pie de página 99</w:t>
      </w:r>
      <w:r w:rsidRPr="009F394A">
        <w:rPr>
          <w:szCs w:val="20"/>
        </w:rPr>
        <w:t>).</w:t>
      </w:r>
      <w:r w:rsidRPr="009F394A">
        <w:rPr>
          <w:szCs w:val="20"/>
          <w:lang w:val="es-AR"/>
        </w:rPr>
        <w:t xml:space="preserve"> </w:t>
      </w:r>
      <w:r w:rsidRPr="00DD28BE">
        <w:rPr>
          <w:szCs w:val="20"/>
          <w:lang w:val="es-AR"/>
        </w:rPr>
        <w:t>H</w:t>
      </w:r>
      <w:r w:rsidRPr="00DD28BE">
        <w:rPr>
          <w:szCs w:val="20"/>
        </w:rPr>
        <w:t>abiendo transcurrido más de 2</w:t>
      </w:r>
      <w:r w:rsidR="00DE44FA" w:rsidRPr="00DD28BE">
        <w:rPr>
          <w:szCs w:val="20"/>
        </w:rPr>
        <w:t>6</w:t>
      </w:r>
      <w:r w:rsidRPr="00DD28BE">
        <w:rPr>
          <w:szCs w:val="20"/>
        </w:rPr>
        <w:t xml:space="preserve"> años de iniciada la ejecución de los hechos y 2</w:t>
      </w:r>
      <w:r w:rsidR="00DD28BE" w:rsidRPr="00D55362">
        <w:rPr>
          <w:szCs w:val="20"/>
        </w:rPr>
        <w:t>6</w:t>
      </w:r>
      <w:r w:rsidRPr="00DD28BE">
        <w:rPr>
          <w:szCs w:val="20"/>
        </w:rPr>
        <w:t xml:space="preserve"> y 16 años, respectivamente, de presentadas las denuncias en cada caso, la investigación se encuentra en sus primeras etapas, sin que se haya individualizado, procesado y, eventualmente, sancionado a los posibles responsables de los hechos.</w:t>
      </w:r>
      <w:r w:rsidR="00DE44FA">
        <w:rPr>
          <w:szCs w:val="20"/>
        </w:rPr>
        <w:t xml:space="preserve"> </w:t>
      </w:r>
    </w:p>
    <w:p w:rsidR="00881DB6" w:rsidRPr="009F394A" w:rsidRDefault="00881DB6" w:rsidP="00881DB6">
      <w:pPr>
        <w:pStyle w:val="ListParagraph"/>
        <w:autoSpaceDE w:val="0"/>
        <w:autoSpaceDN w:val="0"/>
        <w:adjustRightInd w:val="0"/>
        <w:spacing w:line="20" w:lineRule="atLeast"/>
        <w:ind w:left="0" w:right="-138"/>
        <w:rPr>
          <w:lang w:val="es-AR"/>
        </w:rPr>
      </w:pPr>
    </w:p>
    <w:p w:rsidR="00881DB6" w:rsidRPr="009F394A" w:rsidRDefault="00881DB6" w:rsidP="00881DB6">
      <w:pPr>
        <w:pStyle w:val="ListParagraph"/>
        <w:widowControl w:val="0"/>
        <w:numPr>
          <w:ilvl w:val="0"/>
          <w:numId w:val="1"/>
        </w:numPr>
        <w:tabs>
          <w:tab w:val="left" w:pos="0"/>
        </w:tabs>
        <w:adjustRightInd w:val="0"/>
        <w:ind w:left="0" w:firstLine="0"/>
        <w:rPr>
          <w:lang w:val="es-AR"/>
        </w:rPr>
      </w:pPr>
      <w:r w:rsidRPr="009F394A">
        <w:rPr>
          <w:szCs w:val="20"/>
          <w:lang w:val="es-AR"/>
        </w:rPr>
        <w:t xml:space="preserve">De </w:t>
      </w:r>
      <w:r w:rsidRPr="009F394A">
        <w:rPr>
          <w:szCs w:val="20"/>
        </w:rPr>
        <w:t>lo expuesto anteriormente, en todos los casos las investigaciones han sobrepasado excesivamente el plazo que puede considerarse razonable.</w:t>
      </w:r>
    </w:p>
    <w:p w:rsidR="00881DB6" w:rsidRPr="008255C6" w:rsidRDefault="00881DB6" w:rsidP="00881DB6">
      <w:pPr>
        <w:pStyle w:val="ListParagraph"/>
        <w:autoSpaceDE w:val="0"/>
        <w:autoSpaceDN w:val="0"/>
        <w:adjustRightInd w:val="0"/>
        <w:spacing w:line="20" w:lineRule="atLeast"/>
        <w:ind w:left="0" w:right="-138"/>
        <w:rPr>
          <w:highlight w:val="cyan"/>
          <w:lang w:val="es-AR"/>
        </w:rPr>
      </w:pPr>
      <w:r w:rsidRPr="00FB6604">
        <w:rPr>
          <w:szCs w:val="20"/>
          <w:highlight w:val="cyan"/>
        </w:rPr>
        <w:t xml:space="preserve"> </w:t>
      </w:r>
      <w:r w:rsidRPr="008255C6">
        <w:rPr>
          <w:szCs w:val="20"/>
        </w:rPr>
        <w:t xml:space="preserve"> </w:t>
      </w:r>
    </w:p>
    <w:p w:rsidR="00881DB6" w:rsidRPr="003F67C5" w:rsidRDefault="00881DB6" w:rsidP="00881DB6">
      <w:pPr>
        <w:pStyle w:val="ListParagraph"/>
        <w:widowControl w:val="0"/>
        <w:numPr>
          <w:ilvl w:val="0"/>
          <w:numId w:val="1"/>
        </w:numPr>
        <w:tabs>
          <w:tab w:val="left" w:pos="0"/>
        </w:tabs>
        <w:adjustRightInd w:val="0"/>
        <w:ind w:left="0" w:firstLine="0"/>
        <w:rPr>
          <w:lang w:val="es-AR"/>
        </w:rPr>
      </w:pPr>
      <w:r>
        <w:rPr>
          <w:lang w:val="es-AR"/>
        </w:rPr>
        <w:t xml:space="preserve">Precisamente debido al tiempo transcurrido, no resulta necesario efectuar un análisis </w:t>
      </w:r>
      <w:r>
        <w:rPr>
          <w:lang w:val="es-AR"/>
        </w:rPr>
        <w:lastRenderedPageBreak/>
        <w:t>exhaustivo con relación a los elementos del plazo razonable desarrollados por la Corte</w:t>
      </w:r>
      <w:r w:rsidRPr="001C02E0">
        <w:rPr>
          <w:rStyle w:val="FootnoteReference"/>
          <w:sz w:val="20"/>
          <w:szCs w:val="20"/>
        </w:rPr>
        <w:footnoteReference w:id="279"/>
      </w:r>
      <w:r>
        <w:rPr>
          <w:lang w:val="es-AR"/>
        </w:rPr>
        <w:t xml:space="preserve">. En efecto, este Tribunal considera que una demora prolongada desde la denuncia de la desaparición </w:t>
      </w:r>
      <w:r w:rsidRPr="00FE13CF">
        <w:rPr>
          <w:szCs w:val="20"/>
          <w:lang w:val="es-AR"/>
        </w:rPr>
        <w:t>de</w:t>
      </w:r>
      <w:r>
        <w:rPr>
          <w:lang w:val="es-AR"/>
        </w:rPr>
        <w:t xml:space="preserve"> las referidas personas </w:t>
      </w:r>
      <w:r w:rsidRPr="001C02E0">
        <w:rPr>
          <w:szCs w:val="20"/>
        </w:rPr>
        <w:t>constituye en principio, por sí misma, una violación a las garantías judiciales</w:t>
      </w:r>
      <w:r w:rsidRPr="001C02E0">
        <w:rPr>
          <w:rStyle w:val="FootnoteReference"/>
          <w:rFonts w:eastAsia="Times"/>
          <w:sz w:val="20"/>
          <w:szCs w:val="20"/>
        </w:rPr>
        <w:footnoteReference w:id="280"/>
      </w:r>
      <w:r w:rsidRPr="001C02E0">
        <w:rPr>
          <w:szCs w:val="20"/>
        </w:rPr>
        <w:t>.</w:t>
      </w:r>
    </w:p>
    <w:p w:rsidR="00881DB6" w:rsidRPr="003F67C5" w:rsidRDefault="00881DB6" w:rsidP="00881DB6">
      <w:pPr>
        <w:pStyle w:val="ListParagraph"/>
        <w:rPr>
          <w:szCs w:val="20"/>
        </w:rPr>
      </w:pPr>
    </w:p>
    <w:p w:rsidR="00881DB6" w:rsidRPr="00257982" w:rsidRDefault="00881DB6" w:rsidP="00881DB6">
      <w:pPr>
        <w:pStyle w:val="ListParagraph"/>
        <w:widowControl w:val="0"/>
        <w:numPr>
          <w:ilvl w:val="0"/>
          <w:numId w:val="1"/>
        </w:numPr>
        <w:tabs>
          <w:tab w:val="left" w:pos="0"/>
        </w:tabs>
        <w:adjustRightInd w:val="0"/>
        <w:ind w:left="0" w:firstLine="0"/>
        <w:rPr>
          <w:lang w:val="es-AR"/>
        </w:rPr>
      </w:pPr>
      <w:r>
        <w:rPr>
          <w:szCs w:val="20"/>
        </w:rPr>
        <w:t xml:space="preserve">En consecuencia, la Corte estima que el Estado ha violado su obligación de garantizar el plazo </w:t>
      </w:r>
      <w:r w:rsidRPr="00FE13CF">
        <w:rPr>
          <w:lang w:val="es-AR"/>
        </w:rPr>
        <w:t>razonable</w:t>
      </w:r>
      <w:r>
        <w:rPr>
          <w:szCs w:val="20"/>
        </w:rPr>
        <w:t xml:space="preserve"> </w:t>
      </w:r>
      <w:r w:rsidRPr="00F5405C">
        <w:rPr>
          <w:szCs w:val="20"/>
        </w:rPr>
        <w:t>de la investigación y proceso penal por la desaparición forzada de</w:t>
      </w:r>
      <w:r>
        <w:rPr>
          <w:szCs w:val="20"/>
        </w:rPr>
        <w:t xml:space="preserve"> Wilfredo Terrones Silva, Teresa Díaz Aparicio,</w:t>
      </w:r>
      <w:r w:rsidRPr="00B903D9">
        <w:rPr>
          <w:szCs w:val="20"/>
        </w:rPr>
        <w:t xml:space="preserve"> </w:t>
      </w:r>
      <w:r>
        <w:rPr>
          <w:szCs w:val="20"/>
        </w:rPr>
        <w:t>Cory Clodolia Tenicela Tello,</w:t>
      </w:r>
      <w:r>
        <w:rPr>
          <w:lang w:val="es-AR"/>
        </w:rPr>
        <w:t xml:space="preserve"> </w:t>
      </w:r>
      <w:r>
        <w:rPr>
          <w:szCs w:val="20"/>
        </w:rPr>
        <w:t>Néstor Rojas Medina y</w:t>
      </w:r>
      <w:r w:rsidRPr="00B903D9">
        <w:rPr>
          <w:szCs w:val="20"/>
        </w:rPr>
        <w:t xml:space="preserve"> </w:t>
      </w:r>
      <w:r w:rsidRPr="00F5405C">
        <w:rPr>
          <w:szCs w:val="20"/>
        </w:rPr>
        <w:t>Santiago Antezana Cueto</w:t>
      </w:r>
      <w:r>
        <w:rPr>
          <w:szCs w:val="20"/>
        </w:rPr>
        <w:t>.</w:t>
      </w:r>
    </w:p>
    <w:p w:rsidR="00881DB6" w:rsidRPr="00980B88" w:rsidRDefault="00881DB6" w:rsidP="00881DB6">
      <w:pPr>
        <w:pStyle w:val="ListParagraph"/>
        <w:autoSpaceDE w:val="0"/>
        <w:autoSpaceDN w:val="0"/>
        <w:adjustRightInd w:val="0"/>
        <w:spacing w:line="20" w:lineRule="atLeast"/>
        <w:ind w:left="0" w:right="-138"/>
        <w:rPr>
          <w:lang w:val="es-AR"/>
        </w:rPr>
      </w:pPr>
    </w:p>
    <w:p w:rsidR="00881DB6" w:rsidRPr="00F31E42" w:rsidRDefault="00881DB6" w:rsidP="00881DB6">
      <w:pPr>
        <w:pStyle w:val="ListParagraph"/>
        <w:outlineLvl w:val="2"/>
        <w:rPr>
          <w:b/>
          <w:i/>
          <w:szCs w:val="20"/>
        </w:rPr>
      </w:pPr>
      <w:bookmarkStart w:id="203" w:name="_Toc527993553"/>
      <w:r>
        <w:rPr>
          <w:b/>
          <w:i/>
          <w:szCs w:val="20"/>
        </w:rPr>
        <w:t>B.2. V</w:t>
      </w:r>
      <w:r w:rsidRPr="00F31E42">
        <w:rPr>
          <w:b/>
          <w:i/>
          <w:szCs w:val="20"/>
        </w:rPr>
        <w:t>iolación al deber del Estado de iniciar investigaciones ex officio y de seguir las investigaciones con la debida diligencia</w:t>
      </w:r>
      <w:bookmarkEnd w:id="203"/>
    </w:p>
    <w:p w:rsidR="00881DB6" w:rsidRDefault="00881DB6" w:rsidP="00881DB6">
      <w:pPr>
        <w:pStyle w:val="ListParagraph"/>
        <w:rPr>
          <w:i/>
          <w:szCs w:val="20"/>
        </w:rPr>
      </w:pPr>
    </w:p>
    <w:p w:rsidR="00881DB6" w:rsidRDefault="00881DB6" w:rsidP="00881DB6">
      <w:pPr>
        <w:pStyle w:val="ListParagraph"/>
        <w:widowControl w:val="0"/>
        <w:numPr>
          <w:ilvl w:val="0"/>
          <w:numId w:val="1"/>
        </w:numPr>
        <w:tabs>
          <w:tab w:val="left" w:pos="0"/>
        </w:tabs>
        <w:adjustRightInd w:val="0"/>
        <w:ind w:left="0" w:firstLine="0"/>
        <w:rPr>
          <w:szCs w:val="20"/>
          <w:lang w:eastAsia="es-CR"/>
        </w:rPr>
      </w:pPr>
      <w:bookmarkStart w:id="204" w:name="_Ref469575218"/>
      <w:r>
        <w:rPr>
          <w:szCs w:val="20"/>
        </w:rPr>
        <w:t>E</w:t>
      </w:r>
      <w:r w:rsidRPr="008B4378">
        <w:rPr>
          <w:szCs w:val="20"/>
        </w:rPr>
        <w:t>ste Tribunal ha señalado que toda vez que haya motivos razonables para sospechar que una persona ha sido sometida a desaparición forzada debe iniciarse una investigación penal</w:t>
      </w:r>
      <w:bookmarkStart w:id="205" w:name="_Ref465352460"/>
      <w:r w:rsidRPr="008B4378">
        <w:rPr>
          <w:szCs w:val="20"/>
          <w:vertAlign w:val="superscript"/>
        </w:rPr>
        <w:footnoteReference w:id="281"/>
      </w:r>
      <w:bookmarkEnd w:id="205"/>
      <w:r w:rsidRPr="008B4378">
        <w:rPr>
          <w:szCs w:val="20"/>
        </w:rPr>
        <w:t xml:space="preserve">. Esta obligación es independiente de que se presente una denuncia, pues en casos de desaparición forzada el derecho internacional y el deber general de garantía, imponen la obligación de investigar el caso </w:t>
      </w:r>
      <w:r w:rsidRPr="008B4378">
        <w:rPr>
          <w:i/>
          <w:iCs/>
          <w:szCs w:val="20"/>
        </w:rPr>
        <w:t>ex officio</w:t>
      </w:r>
      <w:r w:rsidRPr="008B4378">
        <w:rPr>
          <w:szCs w:val="20"/>
        </w:rPr>
        <w:t>, sin dilación, y de una manera seria, imparcial y efectiva, de modo tal que no dependa de la iniciativa procesal de la víctima o de sus familiares o de la aportación privada de elementos probatorios</w:t>
      </w:r>
      <w:r w:rsidRPr="008B4378">
        <w:rPr>
          <w:szCs w:val="20"/>
          <w:vertAlign w:val="superscript"/>
        </w:rPr>
        <w:footnoteReference w:id="282"/>
      </w:r>
      <w:r w:rsidRPr="008B4378">
        <w:rPr>
          <w:szCs w:val="20"/>
        </w:rPr>
        <w:t>. En cualquier caso, toda autoridad estatal, funcionario público o particular que haya tenido noticia</w:t>
      </w:r>
      <w:r>
        <w:rPr>
          <w:szCs w:val="20"/>
        </w:rPr>
        <w:t>s</w:t>
      </w:r>
      <w:r w:rsidRPr="008B4378">
        <w:rPr>
          <w:szCs w:val="20"/>
        </w:rPr>
        <w:t xml:space="preserve"> de actos destinados a la desaparición forzada de personas, deberá denunciarlo inmediatamente</w:t>
      </w:r>
      <w:r w:rsidRPr="008B4378">
        <w:rPr>
          <w:szCs w:val="20"/>
          <w:vertAlign w:val="superscript"/>
        </w:rPr>
        <w:footnoteReference w:id="283"/>
      </w:r>
      <w:r w:rsidRPr="008B4378">
        <w:rPr>
          <w:szCs w:val="20"/>
        </w:rPr>
        <w:t>. Asimismo, la Corte ha establecido que el deber de investigar hechos de esta naturaleza subsiste mientras se mantenga la incertidumbre sobre la suerte final de la</w:t>
      </w:r>
      <w:r>
        <w:rPr>
          <w:szCs w:val="20"/>
        </w:rPr>
        <w:t>s</w:t>
      </w:r>
      <w:r w:rsidRPr="008B4378">
        <w:rPr>
          <w:szCs w:val="20"/>
        </w:rPr>
        <w:t xml:space="preserve"> persona</w:t>
      </w:r>
      <w:r>
        <w:rPr>
          <w:szCs w:val="20"/>
        </w:rPr>
        <w:t>s</w:t>
      </w:r>
      <w:r w:rsidRPr="008B4378">
        <w:rPr>
          <w:szCs w:val="20"/>
        </w:rPr>
        <w:t xml:space="preserve"> desaparecida</w:t>
      </w:r>
      <w:r>
        <w:rPr>
          <w:szCs w:val="20"/>
        </w:rPr>
        <w:t>s</w:t>
      </w:r>
      <w:r w:rsidRPr="008B4378">
        <w:rPr>
          <w:szCs w:val="20"/>
        </w:rPr>
        <w:t>, pues el derecho de los familiares de la</w:t>
      </w:r>
      <w:r>
        <w:rPr>
          <w:szCs w:val="20"/>
        </w:rPr>
        <w:t>s</w:t>
      </w:r>
      <w:r w:rsidRPr="008B4378">
        <w:rPr>
          <w:szCs w:val="20"/>
        </w:rPr>
        <w:t xml:space="preserve"> víctima</w:t>
      </w:r>
      <w:r>
        <w:rPr>
          <w:szCs w:val="20"/>
        </w:rPr>
        <w:t>s</w:t>
      </w:r>
      <w:r w:rsidRPr="008B4378">
        <w:rPr>
          <w:szCs w:val="20"/>
        </w:rPr>
        <w:t xml:space="preserve"> de conocer cuál fue el destino de ésta y, en su caso, dónde se encuentran sus restos, representa una justa expectativa que el Estado debe satisfacer con todos los medios a su alcance</w:t>
      </w:r>
      <w:r w:rsidRPr="008B4378">
        <w:rPr>
          <w:szCs w:val="20"/>
          <w:vertAlign w:val="superscript"/>
        </w:rPr>
        <w:footnoteReference w:id="284"/>
      </w:r>
      <w:r w:rsidRPr="008B4378">
        <w:rPr>
          <w:szCs w:val="20"/>
        </w:rPr>
        <w:t>.</w:t>
      </w:r>
      <w:bookmarkEnd w:id="204"/>
      <w:r w:rsidRPr="008B4378">
        <w:rPr>
          <w:szCs w:val="20"/>
          <w:lang w:eastAsia="es-CR"/>
        </w:rPr>
        <w:t xml:space="preserve"> </w:t>
      </w:r>
    </w:p>
    <w:p w:rsidR="00881DB6" w:rsidRDefault="00881DB6" w:rsidP="00881DB6">
      <w:pPr>
        <w:pStyle w:val="ListParagraph"/>
        <w:ind w:left="0" w:right="-144"/>
        <w:rPr>
          <w:szCs w:val="20"/>
          <w:lang w:eastAsia="es-CR"/>
        </w:rPr>
      </w:pPr>
    </w:p>
    <w:p w:rsidR="00881DB6" w:rsidRPr="00794667" w:rsidRDefault="00881DB6" w:rsidP="00881DB6">
      <w:pPr>
        <w:pStyle w:val="ListParagraph"/>
        <w:widowControl w:val="0"/>
        <w:numPr>
          <w:ilvl w:val="0"/>
          <w:numId w:val="1"/>
        </w:numPr>
        <w:tabs>
          <w:tab w:val="left" w:pos="0"/>
        </w:tabs>
        <w:adjustRightInd w:val="0"/>
        <w:ind w:left="0" w:firstLine="0"/>
        <w:rPr>
          <w:szCs w:val="20"/>
          <w:lang w:eastAsia="es-CR"/>
        </w:rPr>
      </w:pPr>
      <w:r>
        <w:rPr>
          <w:szCs w:val="20"/>
          <w:lang w:eastAsia="es-CR"/>
        </w:rPr>
        <w:t xml:space="preserve">Con base en la información disponible en el expediente, la Corte nota que en los casos de Wilfredo </w:t>
      </w:r>
      <w:r>
        <w:rPr>
          <w:szCs w:val="20"/>
        </w:rPr>
        <w:t>Terrones</w:t>
      </w:r>
      <w:r>
        <w:rPr>
          <w:szCs w:val="20"/>
          <w:lang w:eastAsia="es-CR"/>
        </w:rPr>
        <w:t xml:space="preserve"> Silva, Teresa Díaz Aparicio, Néstor Rojas Medina y Cory Clodolia Tenicela Tello</w:t>
      </w:r>
      <w:r w:rsidRPr="008C4E75">
        <w:rPr>
          <w:szCs w:val="20"/>
          <w:lang w:eastAsia="es-CR"/>
        </w:rPr>
        <w:t>, existe una ausencia</w:t>
      </w:r>
      <w:r>
        <w:rPr>
          <w:szCs w:val="20"/>
          <w:lang w:eastAsia="es-CR"/>
        </w:rPr>
        <w:t xml:space="preserve"> de una debida investigación que dificultó la posibilidad de allegar mayor información que permitiera a las autoridades correspondientes identificar, procesar y en su caso sancionar a los posibles responsables de las desaparicion</w:t>
      </w:r>
      <w:r w:rsidRPr="00794667">
        <w:rPr>
          <w:szCs w:val="20"/>
          <w:lang w:eastAsia="es-CR"/>
        </w:rPr>
        <w:t>es forzadas de las referidas personas. En efecto, en las investigaciones correspondientes a los respectivos casos hasta 2016, la Corte nota que:</w:t>
      </w:r>
    </w:p>
    <w:p w:rsidR="00881DB6" w:rsidRPr="00794667" w:rsidRDefault="00881DB6" w:rsidP="00881DB6">
      <w:pPr>
        <w:pStyle w:val="ListParagraph"/>
        <w:ind w:left="0" w:right="-144"/>
        <w:rPr>
          <w:i/>
          <w:szCs w:val="20"/>
        </w:rPr>
      </w:pPr>
    </w:p>
    <w:p w:rsidR="00881DB6" w:rsidRPr="001F5240" w:rsidRDefault="00881DB6" w:rsidP="00881DB6">
      <w:pPr>
        <w:pStyle w:val="ListParagraph"/>
        <w:numPr>
          <w:ilvl w:val="1"/>
          <w:numId w:val="31"/>
        </w:numPr>
        <w:ind w:left="720" w:right="-144" w:firstLine="0"/>
        <w:rPr>
          <w:szCs w:val="20"/>
        </w:rPr>
      </w:pPr>
      <w:r w:rsidRPr="00794667">
        <w:rPr>
          <w:szCs w:val="20"/>
        </w:rPr>
        <w:t xml:space="preserve">las diligencias realizadas consistieron principalmente en solicitudes de información por parte del personal de la PNP en lo correspondiente a las investigaciones de la desaparición forzada de Wilfredo Terrones Silva, Cory Clodolia </w:t>
      </w:r>
      <w:r w:rsidRPr="00794667">
        <w:rPr>
          <w:szCs w:val="20"/>
        </w:rPr>
        <w:lastRenderedPageBreak/>
        <w:t xml:space="preserve">Tenicela </w:t>
      </w:r>
      <w:r w:rsidRPr="001F5240">
        <w:rPr>
          <w:szCs w:val="20"/>
        </w:rPr>
        <w:t>Tello y Néstor Rojas Medina. Dichas diligencias concluyeron, en general, sin resultados (</w:t>
      </w:r>
      <w:r w:rsidRPr="001F5240">
        <w:rPr>
          <w:i/>
          <w:szCs w:val="20"/>
        </w:rPr>
        <w:t>supra</w:t>
      </w:r>
      <w:r w:rsidRPr="001F5240">
        <w:t xml:space="preserve"> párrs. </w:t>
      </w:r>
      <w:r w:rsidR="00A566D3" w:rsidRPr="001F5240">
        <w:t xml:space="preserve">61, </w:t>
      </w:r>
      <w:r w:rsidR="00DC6A92" w:rsidRPr="001F5240">
        <w:t>63, 64,</w:t>
      </w:r>
      <w:r w:rsidR="00A566D3" w:rsidRPr="001F5240">
        <w:t xml:space="preserve"> 73, 74, 77, 78, </w:t>
      </w:r>
      <w:r w:rsidR="00DC6A92" w:rsidRPr="001F5240">
        <w:t>81, 82,</w:t>
      </w:r>
      <w:r w:rsidR="001F5240" w:rsidRPr="001F5240">
        <w:t xml:space="preserve"> 86, 87, 99, 103</w:t>
      </w:r>
      <w:r w:rsidR="00DC6A92" w:rsidRPr="001F5240">
        <w:t xml:space="preserve"> y</w:t>
      </w:r>
      <w:r w:rsidR="001F5240" w:rsidRPr="001F5240">
        <w:t xml:space="preserve"> 105, 108 y</w:t>
      </w:r>
      <w:r w:rsidR="00DC6A92" w:rsidRPr="001F5240">
        <w:t xml:space="preserve"> 109</w:t>
      </w:r>
      <w:r w:rsidRPr="001F5240">
        <w:t>)</w:t>
      </w:r>
      <w:r w:rsidRPr="001F5240">
        <w:rPr>
          <w:szCs w:val="20"/>
        </w:rPr>
        <w:t>;</w:t>
      </w:r>
    </w:p>
    <w:p w:rsidR="00881DB6" w:rsidRPr="001F5240" w:rsidRDefault="00881DB6" w:rsidP="00881DB6">
      <w:pPr>
        <w:pStyle w:val="ListParagraph"/>
        <w:numPr>
          <w:ilvl w:val="1"/>
          <w:numId w:val="31"/>
        </w:numPr>
        <w:ind w:left="720" w:right="-144" w:firstLine="0"/>
        <w:rPr>
          <w:szCs w:val="20"/>
        </w:rPr>
      </w:pPr>
      <w:r w:rsidRPr="001F5240">
        <w:rPr>
          <w:szCs w:val="20"/>
        </w:rPr>
        <w:t>la mayoría de las declaraciones requeridas en el marco de la investigación, en los casos de Wilfredo Terrones Silva, Teresa Díaz Aparicio y Néstor Rojas Medina, fueron dirigidas principalmente a sus familiares. Algunas de las declaraciones requeridas no pudieron ser recabadas (</w:t>
      </w:r>
      <w:r w:rsidRPr="001F5240">
        <w:rPr>
          <w:i/>
          <w:szCs w:val="20"/>
        </w:rPr>
        <w:t xml:space="preserve">supra </w:t>
      </w:r>
      <w:r w:rsidRPr="001F5240">
        <w:rPr>
          <w:szCs w:val="20"/>
        </w:rPr>
        <w:t>párr</w:t>
      </w:r>
      <w:r w:rsidR="00FF417A" w:rsidRPr="001F5240">
        <w:rPr>
          <w:szCs w:val="20"/>
        </w:rPr>
        <w:t>s</w:t>
      </w:r>
      <w:r w:rsidRPr="001F5240">
        <w:rPr>
          <w:szCs w:val="20"/>
        </w:rPr>
        <w:t>.</w:t>
      </w:r>
      <w:r w:rsidR="00DC6A92" w:rsidRPr="001F5240">
        <w:rPr>
          <w:szCs w:val="20"/>
        </w:rPr>
        <w:t xml:space="preserve"> </w:t>
      </w:r>
      <w:r w:rsidR="00A566D3" w:rsidRPr="001F5240">
        <w:rPr>
          <w:szCs w:val="20"/>
        </w:rPr>
        <w:t>75, 76</w:t>
      </w:r>
      <w:r w:rsidR="00DC6A92" w:rsidRPr="001F5240">
        <w:rPr>
          <w:szCs w:val="20"/>
        </w:rPr>
        <w:t>,</w:t>
      </w:r>
      <w:r w:rsidR="00A566D3" w:rsidRPr="001F5240">
        <w:rPr>
          <w:szCs w:val="20"/>
        </w:rPr>
        <w:t xml:space="preserve"> </w:t>
      </w:r>
      <w:r w:rsidR="001F5240" w:rsidRPr="001F5240">
        <w:rPr>
          <w:szCs w:val="20"/>
        </w:rPr>
        <w:t xml:space="preserve"> 87, 101, 102 y 105</w:t>
      </w:r>
      <w:r w:rsidRPr="001F5240">
        <w:rPr>
          <w:szCs w:val="20"/>
        </w:rPr>
        <w:t>);</w:t>
      </w:r>
    </w:p>
    <w:p w:rsidR="00881DB6" w:rsidRPr="004B1350" w:rsidRDefault="00881DB6" w:rsidP="00881DB6">
      <w:pPr>
        <w:pStyle w:val="ListParagraph"/>
        <w:numPr>
          <w:ilvl w:val="1"/>
          <w:numId w:val="31"/>
        </w:numPr>
        <w:ind w:left="720" w:right="-144" w:firstLine="0"/>
        <w:rPr>
          <w:szCs w:val="20"/>
        </w:rPr>
      </w:pPr>
      <w:r w:rsidRPr="004B1350">
        <w:rPr>
          <w:szCs w:val="20"/>
        </w:rPr>
        <w:t>en los casos de Wilfredo Terrones Silva, Néstor Rojas Medina y Cory Clodolia Tenicela Tello, se realizaron diligencias iniciales entre 1991 y 1992. Posteriormente, las actuaciones fueron realizadas de forma esporádica</w:t>
      </w:r>
      <w:r w:rsidRPr="004B1350">
        <w:rPr>
          <w:rStyle w:val="FootnoteReference"/>
          <w:sz w:val="20"/>
          <w:szCs w:val="20"/>
        </w:rPr>
        <w:footnoteReference w:id="285"/>
      </w:r>
      <w:r w:rsidRPr="004B1350">
        <w:rPr>
          <w:szCs w:val="20"/>
        </w:rPr>
        <w:t xml:space="preserve">; </w:t>
      </w:r>
    </w:p>
    <w:p w:rsidR="00881DB6" w:rsidRPr="00571835" w:rsidRDefault="00881DB6" w:rsidP="00881DB6">
      <w:pPr>
        <w:pStyle w:val="ListParagraph"/>
        <w:numPr>
          <w:ilvl w:val="1"/>
          <w:numId w:val="31"/>
        </w:numPr>
        <w:ind w:left="720" w:right="-144" w:firstLine="0"/>
        <w:rPr>
          <w:szCs w:val="20"/>
        </w:rPr>
      </w:pPr>
      <w:r w:rsidRPr="00571835">
        <w:rPr>
          <w:szCs w:val="20"/>
        </w:rPr>
        <w:t xml:space="preserve">en los casos de Teresa Díaz Aparicio y Néstor Rojas Medina se dispuso </w:t>
      </w:r>
      <w:r w:rsidR="00571835" w:rsidRPr="00571835">
        <w:rPr>
          <w:szCs w:val="20"/>
        </w:rPr>
        <w:t>archivar</w:t>
      </w:r>
      <w:r w:rsidRPr="00571835">
        <w:rPr>
          <w:szCs w:val="20"/>
        </w:rPr>
        <w:t xml:space="preserve"> las investigaciones en 2009 y </w:t>
      </w:r>
      <w:r w:rsidR="00571835" w:rsidRPr="00571835">
        <w:rPr>
          <w:szCs w:val="20"/>
        </w:rPr>
        <w:t>2000</w:t>
      </w:r>
      <w:r w:rsidRPr="00571835">
        <w:rPr>
          <w:szCs w:val="20"/>
        </w:rPr>
        <w:t>, respectivamente, por cuanto no se lograron identificar a los presuntos autores de las referidas desapariciones forzadas (</w:t>
      </w:r>
      <w:r w:rsidRPr="00571835">
        <w:rPr>
          <w:i/>
          <w:szCs w:val="20"/>
        </w:rPr>
        <w:t>supra</w:t>
      </w:r>
      <w:r w:rsidRPr="00571835">
        <w:rPr>
          <w:szCs w:val="20"/>
        </w:rPr>
        <w:t xml:space="preserve"> párr</w:t>
      </w:r>
      <w:r w:rsidR="0042772E" w:rsidRPr="00571835">
        <w:rPr>
          <w:szCs w:val="20"/>
        </w:rPr>
        <w:t>s</w:t>
      </w:r>
      <w:r w:rsidRPr="00571835">
        <w:rPr>
          <w:szCs w:val="20"/>
        </w:rPr>
        <w:t xml:space="preserve">. </w:t>
      </w:r>
      <w:r w:rsidR="00FD6E9B" w:rsidRPr="00571835">
        <w:rPr>
          <w:szCs w:val="20"/>
        </w:rPr>
        <w:t>7</w:t>
      </w:r>
      <w:r w:rsidR="00DC6A92" w:rsidRPr="00571835">
        <w:rPr>
          <w:szCs w:val="20"/>
        </w:rPr>
        <w:t>8</w:t>
      </w:r>
      <w:r w:rsidR="008C4E75">
        <w:rPr>
          <w:szCs w:val="20"/>
        </w:rPr>
        <w:t xml:space="preserve"> y 103</w:t>
      </w:r>
      <w:r w:rsidRPr="00571835">
        <w:rPr>
          <w:szCs w:val="20"/>
        </w:rPr>
        <w:t>). En el caso de la señora Díaz Aparicio, se reabrió la investigación en 2012</w:t>
      </w:r>
      <w:r w:rsidR="000C75CA" w:rsidRPr="00571835">
        <w:rPr>
          <w:szCs w:val="20"/>
        </w:rPr>
        <w:t xml:space="preserve"> (</w:t>
      </w:r>
      <w:r w:rsidR="002D17D1" w:rsidRPr="00571835">
        <w:rPr>
          <w:i/>
          <w:szCs w:val="20"/>
        </w:rPr>
        <w:t xml:space="preserve">supra </w:t>
      </w:r>
      <w:r w:rsidR="000C75CA" w:rsidRPr="00571835">
        <w:rPr>
          <w:szCs w:val="20"/>
        </w:rPr>
        <w:t>párr. 79)</w:t>
      </w:r>
      <w:r w:rsidRPr="00571835">
        <w:rPr>
          <w:szCs w:val="20"/>
        </w:rPr>
        <w:t>, la cual habría sido objeto de archivo provisional en febrero de 2014, según indicó la declarante Marcelita del Rosario Gutiérrez Vallejos</w:t>
      </w:r>
      <w:r w:rsidR="00571835" w:rsidRPr="00571835">
        <w:rPr>
          <w:szCs w:val="20"/>
        </w:rPr>
        <w:t>. Similarmente, en el caso de Néstor Rojas Medina, la Corte nota que respecto a la denuncia presentada en 2004, la Fiscalía determinó, en 2013, que “no procede formalizar ni continuar con la investigación preparatoria” de dichos hechos (</w:t>
      </w:r>
      <w:r w:rsidR="00571835" w:rsidRPr="00571835">
        <w:rPr>
          <w:i/>
          <w:szCs w:val="20"/>
        </w:rPr>
        <w:t>supra</w:t>
      </w:r>
      <w:r w:rsidR="00571835" w:rsidRPr="00571835">
        <w:rPr>
          <w:szCs w:val="20"/>
        </w:rPr>
        <w:t xml:space="preserve"> párr. 108)</w:t>
      </w:r>
      <w:r w:rsidRPr="00571835">
        <w:rPr>
          <w:szCs w:val="20"/>
        </w:rPr>
        <w:t>;</w:t>
      </w:r>
    </w:p>
    <w:p w:rsidR="00881DB6" w:rsidRPr="00794667" w:rsidRDefault="00881DB6" w:rsidP="00881DB6">
      <w:pPr>
        <w:pStyle w:val="ListParagraph"/>
        <w:numPr>
          <w:ilvl w:val="1"/>
          <w:numId w:val="31"/>
        </w:numPr>
        <w:ind w:left="720" w:right="-144" w:firstLine="0"/>
        <w:rPr>
          <w:szCs w:val="20"/>
        </w:rPr>
      </w:pPr>
      <w:r w:rsidRPr="00B67C32">
        <w:rPr>
          <w:szCs w:val="20"/>
        </w:rPr>
        <w:t xml:space="preserve">inicialmente en ninguno de los </w:t>
      </w:r>
      <w:r w:rsidR="000C75CA">
        <w:rPr>
          <w:szCs w:val="20"/>
        </w:rPr>
        <w:t>cuatro casos</w:t>
      </w:r>
      <w:r w:rsidRPr="00B67C32">
        <w:rPr>
          <w:szCs w:val="20"/>
        </w:rPr>
        <w:t xml:space="preserve"> se solicitaron declaraciones indagatorias a los funcionarios policiales que formaban parte de las instituciones policiales o militares que podrían haber estado involucradas en la desaparición </w:t>
      </w:r>
      <w:r w:rsidRPr="00794667">
        <w:rPr>
          <w:szCs w:val="20"/>
        </w:rPr>
        <w:t>forzada de las presuntas víctimas;</w:t>
      </w:r>
    </w:p>
    <w:p w:rsidR="00881DB6" w:rsidRPr="00794667" w:rsidRDefault="00881DB6" w:rsidP="00881DB6">
      <w:pPr>
        <w:pStyle w:val="ListParagraph"/>
        <w:numPr>
          <w:ilvl w:val="1"/>
          <w:numId w:val="31"/>
        </w:numPr>
        <w:ind w:left="720" w:right="-144" w:firstLine="0"/>
        <w:rPr>
          <w:i/>
          <w:szCs w:val="20"/>
        </w:rPr>
      </w:pPr>
      <w:r w:rsidRPr="00794667">
        <w:rPr>
          <w:szCs w:val="20"/>
        </w:rPr>
        <w:t>en el caso de Wilfredo Terrones Silva, la otra aproximación realizada a la investigación fue dirigida a determinar si se encontraba en su estudio jurídico, entre otras, que conllevaron a concluir que, según el Estado, se encontraba en la clandestinidad (</w:t>
      </w:r>
      <w:r w:rsidRPr="00794667">
        <w:rPr>
          <w:i/>
          <w:szCs w:val="20"/>
        </w:rPr>
        <w:t>supra</w:t>
      </w:r>
      <w:r w:rsidRPr="00794667">
        <w:rPr>
          <w:szCs w:val="20"/>
        </w:rPr>
        <w:t xml:space="preserve"> párr</w:t>
      </w:r>
      <w:r>
        <w:rPr>
          <w:szCs w:val="20"/>
        </w:rPr>
        <w:t>s</w:t>
      </w:r>
      <w:r w:rsidRPr="00794667">
        <w:rPr>
          <w:szCs w:val="20"/>
        </w:rPr>
        <w:t xml:space="preserve">. </w:t>
      </w:r>
      <w:r>
        <w:rPr>
          <w:szCs w:val="20"/>
        </w:rPr>
        <w:t>60 y 144</w:t>
      </w:r>
      <w:r w:rsidRPr="00794667">
        <w:rPr>
          <w:szCs w:val="20"/>
        </w:rPr>
        <w:t xml:space="preserve">). </w:t>
      </w:r>
    </w:p>
    <w:p w:rsidR="00881DB6" w:rsidRPr="00794667" w:rsidRDefault="00881DB6" w:rsidP="00881DB6">
      <w:pPr>
        <w:pStyle w:val="ListParagraph"/>
        <w:numPr>
          <w:ilvl w:val="1"/>
          <w:numId w:val="31"/>
        </w:numPr>
        <w:ind w:left="720" w:right="-144" w:firstLine="0"/>
        <w:rPr>
          <w:i/>
          <w:szCs w:val="20"/>
        </w:rPr>
      </w:pPr>
      <w:r w:rsidRPr="00794667">
        <w:rPr>
          <w:szCs w:val="20"/>
        </w:rPr>
        <w:t>en el caso de Teresa Díaz Aparicio, no se abrió una investigación de inmediato por su desaparición forzada a pesar de que el 25 de febrero de 2002 Federico Díaz Aparicio  interpuso un recurso de hábeas corpus por su desaparición forzada (</w:t>
      </w:r>
      <w:r w:rsidRPr="00794667">
        <w:rPr>
          <w:i/>
          <w:szCs w:val="20"/>
        </w:rPr>
        <w:t>supra</w:t>
      </w:r>
      <w:r>
        <w:rPr>
          <w:szCs w:val="20"/>
        </w:rPr>
        <w:t xml:space="preserve"> párr. 70</w:t>
      </w:r>
      <w:r w:rsidRPr="00794667">
        <w:rPr>
          <w:szCs w:val="20"/>
        </w:rPr>
        <w:t>). Se dispuso abrir la investigación el 30 de mayo de 2002, cuando fue declarado infundado dicho recurso (</w:t>
      </w:r>
      <w:r w:rsidRPr="00794667">
        <w:rPr>
          <w:i/>
          <w:szCs w:val="20"/>
        </w:rPr>
        <w:t>supra</w:t>
      </w:r>
      <w:r w:rsidRPr="00794667">
        <w:rPr>
          <w:szCs w:val="20"/>
        </w:rPr>
        <w:t xml:space="preserve"> párr. </w:t>
      </w:r>
      <w:r>
        <w:rPr>
          <w:szCs w:val="20"/>
        </w:rPr>
        <w:t>72</w:t>
      </w:r>
      <w:r w:rsidRPr="00794667">
        <w:rPr>
          <w:szCs w:val="20"/>
        </w:rPr>
        <w:t>)</w:t>
      </w:r>
      <w:r w:rsidR="00DC6A92">
        <w:rPr>
          <w:szCs w:val="20"/>
        </w:rPr>
        <w:t>, y</w:t>
      </w:r>
    </w:p>
    <w:p w:rsidR="00881DB6" w:rsidRPr="0042772E" w:rsidRDefault="00881DB6" w:rsidP="00881DB6">
      <w:pPr>
        <w:pStyle w:val="ListParagraph"/>
        <w:numPr>
          <w:ilvl w:val="1"/>
          <w:numId w:val="31"/>
        </w:numPr>
        <w:ind w:left="720" w:right="-144" w:firstLine="0"/>
        <w:rPr>
          <w:i/>
          <w:szCs w:val="20"/>
        </w:rPr>
      </w:pPr>
      <w:r w:rsidRPr="0042772E">
        <w:rPr>
          <w:szCs w:val="20"/>
        </w:rPr>
        <w:t>en el caso de Néstor Rojas Medina no se investigaron posibles hipótesis distintas concernie</w:t>
      </w:r>
      <w:r w:rsidR="0042772E" w:rsidRPr="0042772E">
        <w:rPr>
          <w:szCs w:val="20"/>
        </w:rPr>
        <w:t xml:space="preserve">ntes a su desaparición forzada </w:t>
      </w:r>
      <w:r w:rsidRPr="0042772E">
        <w:rPr>
          <w:szCs w:val="20"/>
        </w:rPr>
        <w:t>(</w:t>
      </w:r>
      <w:r w:rsidRPr="0042772E">
        <w:rPr>
          <w:i/>
          <w:szCs w:val="20"/>
        </w:rPr>
        <w:t xml:space="preserve">supra </w:t>
      </w:r>
      <w:r w:rsidRPr="0042772E">
        <w:t>párr. 1</w:t>
      </w:r>
      <w:r w:rsidR="00460E0C">
        <w:t>0</w:t>
      </w:r>
      <w:r w:rsidRPr="0042772E">
        <w:t>3</w:t>
      </w:r>
      <w:r w:rsidRPr="0042772E">
        <w:rPr>
          <w:i/>
        </w:rPr>
        <w:t>).</w:t>
      </w:r>
    </w:p>
    <w:p w:rsidR="00881DB6" w:rsidRDefault="00881DB6" w:rsidP="00881DB6">
      <w:pPr>
        <w:pStyle w:val="ListParagraph"/>
        <w:ind w:left="0" w:right="-144"/>
        <w:rPr>
          <w:szCs w:val="20"/>
        </w:rPr>
      </w:pPr>
    </w:p>
    <w:p w:rsidR="00881DB6" w:rsidRDefault="00881DB6" w:rsidP="00881DB6">
      <w:pPr>
        <w:pStyle w:val="ListParagraph"/>
        <w:widowControl w:val="0"/>
        <w:numPr>
          <w:ilvl w:val="0"/>
          <w:numId w:val="1"/>
        </w:numPr>
        <w:tabs>
          <w:tab w:val="left" w:pos="0"/>
        </w:tabs>
        <w:adjustRightInd w:val="0"/>
        <w:ind w:left="0" w:firstLine="0"/>
        <w:rPr>
          <w:szCs w:val="20"/>
        </w:rPr>
      </w:pPr>
      <w:r w:rsidRPr="00257982">
        <w:rPr>
          <w:szCs w:val="20"/>
        </w:rPr>
        <w:t>Debe indicarse</w:t>
      </w:r>
      <w:r>
        <w:rPr>
          <w:szCs w:val="20"/>
        </w:rPr>
        <w:t xml:space="preserve">, además, que no fue sino hasta el </w:t>
      </w:r>
      <w:r w:rsidRPr="00F7424D">
        <w:rPr>
          <w:szCs w:val="20"/>
        </w:rPr>
        <w:t xml:space="preserve">27 de julio de 2016, a la luz de las recomendaciones de la Comisión respecto de dichos casos, que se dispuso reiterar a las </w:t>
      </w:r>
      <w:r>
        <w:rPr>
          <w:szCs w:val="20"/>
        </w:rPr>
        <w:t>F</w:t>
      </w:r>
      <w:r w:rsidRPr="00F7424D">
        <w:rPr>
          <w:szCs w:val="20"/>
        </w:rPr>
        <w:t>iscalías correspondientes información sobre las posibles investigaciones o procesos por la desaparición de dichas personas. En efecto, fue en 2016</w:t>
      </w:r>
      <w:r>
        <w:rPr>
          <w:szCs w:val="20"/>
        </w:rPr>
        <w:t xml:space="preserve"> que se dispuso la apertura de la investigación por el delito de desaparición forzada, en perjuicio de Wilfredo Terrones y Teresa Díaz Aparicio</w:t>
      </w:r>
      <w:r w:rsidR="0083051C">
        <w:rPr>
          <w:szCs w:val="20"/>
        </w:rPr>
        <w:t>(</w:t>
      </w:r>
      <w:r w:rsidR="0083051C">
        <w:rPr>
          <w:i/>
          <w:szCs w:val="20"/>
        </w:rPr>
        <w:t xml:space="preserve">supra </w:t>
      </w:r>
      <w:r w:rsidR="0083051C">
        <w:rPr>
          <w:szCs w:val="20"/>
        </w:rPr>
        <w:t>párrs. 63 y 81)</w:t>
      </w:r>
      <w:r>
        <w:rPr>
          <w:szCs w:val="20"/>
        </w:rPr>
        <w:t>, mientras que continuaban las correspondientes a Cory Clodolia Tenicela Tello y Néstor Rojas Medina.</w:t>
      </w:r>
    </w:p>
    <w:p w:rsidR="00881DB6" w:rsidRPr="003D07CE" w:rsidRDefault="00881DB6" w:rsidP="00881DB6">
      <w:pPr>
        <w:pStyle w:val="ListParagraph"/>
        <w:rPr>
          <w:szCs w:val="20"/>
        </w:rPr>
      </w:pPr>
    </w:p>
    <w:p w:rsidR="00881DB6" w:rsidRDefault="00881DB6" w:rsidP="00881DB6">
      <w:pPr>
        <w:pStyle w:val="ListParagraph"/>
        <w:widowControl w:val="0"/>
        <w:numPr>
          <w:ilvl w:val="0"/>
          <w:numId w:val="1"/>
        </w:numPr>
        <w:tabs>
          <w:tab w:val="left" w:pos="0"/>
        </w:tabs>
        <w:adjustRightInd w:val="0"/>
        <w:ind w:left="0" w:firstLine="0"/>
        <w:rPr>
          <w:szCs w:val="20"/>
        </w:rPr>
      </w:pPr>
      <w:r>
        <w:rPr>
          <w:szCs w:val="20"/>
        </w:rPr>
        <w:t>Similarmente, en el caso de Santiago Antezana Cueto, si bien en su caso particular existe una sentencia firme, mediante la cual se declaró la responsabilidad penal de un autor mediato por su desaparición forzada, se hace notar que:</w:t>
      </w:r>
    </w:p>
    <w:p w:rsidR="00881DB6" w:rsidRPr="003D07CE" w:rsidRDefault="00881DB6" w:rsidP="00881DB6">
      <w:pPr>
        <w:pStyle w:val="ListParagraph"/>
        <w:rPr>
          <w:szCs w:val="20"/>
        </w:rPr>
      </w:pPr>
    </w:p>
    <w:p w:rsidR="00881DB6" w:rsidRDefault="00881DB6" w:rsidP="00881DB6">
      <w:pPr>
        <w:pStyle w:val="ListParagraph"/>
        <w:numPr>
          <w:ilvl w:val="0"/>
          <w:numId w:val="36"/>
        </w:numPr>
        <w:ind w:left="720" w:right="-144" w:firstLine="0"/>
        <w:rPr>
          <w:szCs w:val="20"/>
        </w:rPr>
      </w:pPr>
      <w:r w:rsidRPr="003B2602">
        <w:rPr>
          <w:szCs w:val="20"/>
        </w:rPr>
        <w:lastRenderedPageBreak/>
        <w:t>en los años 1984 y 1985 los famili</w:t>
      </w:r>
      <w:r>
        <w:rPr>
          <w:szCs w:val="20"/>
        </w:rPr>
        <w:t>a</w:t>
      </w:r>
      <w:r w:rsidRPr="003B2602">
        <w:rPr>
          <w:szCs w:val="20"/>
        </w:rPr>
        <w:t>res de Santiago Antez</w:t>
      </w:r>
      <w:r>
        <w:rPr>
          <w:szCs w:val="20"/>
        </w:rPr>
        <w:t>ana Cueto presentaron varias</w:t>
      </w:r>
      <w:r w:rsidRPr="003B2602">
        <w:rPr>
          <w:szCs w:val="20"/>
        </w:rPr>
        <w:t xml:space="preserve"> denuncias y pedidos de i</w:t>
      </w:r>
      <w:r>
        <w:rPr>
          <w:szCs w:val="20"/>
        </w:rPr>
        <w:t>nformación con respecto a los hechos</w:t>
      </w:r>
      <w:r w:rsidRPr="003B2602">
        <w:rPr>
          <w:szCs w:val="20"/>
        </w:rPr>
        <w:t xml:space="preserve">. A pesar de dichas presentaciones, </w:t>
      </w:r>
      <w:r w:rsidRPr="00022E90">
        <w:rPr>
          <w:szCs w:val="20"/>
        </w:rPr>
        <w:t>no consta en el expediente ante la Corte diligencias realizadas</w:t>
      </w:r>
      <w:r w:rsidRPr="003B2602">
        <w:rPr>
          <w:szCs w:val="20"/>
        </w:rPr>
        <w:t xml:space="preserve"> por el Estado con el fin de obten</w:t>
      </w:r>
      <w:r>
        <w:rPr>
          <w:szCs w:val="20"/>
        </w:rPr>
        <w:t>er información sobre los hechos;</w:t>
      </w:r>
    </w:p>
    <w:p w:rsidR="00881DB6" w:rsidRDefault="00881DB6" w:rsidP="00881DB6">
      <w:pPr>
        <w:pStyle w:val="ListParagraph"/>
        <w:numPr>
          <w:ilvl w:val="0"/>
          <w:numId w:val="36"/>
        </w:numPr>
        <w:ind w:left="720" w:right="-144" w:firstLine="0"/>
        <w:rPr>
          <w:szCs w:val="20"/>
        </w:rPr>
      </w:pPr>
      <w:r>
        <w:rPr>
          <w:szCs w:val="20"/>
        </w:rPr>
        <w:t>en</w:t>
      </w:r>
      <w:r w:rsidRPr="003B2602">
        <w:rPr>
          <w:szCs w:val="20"/>
        </w:rPr>
        <w:t xml:space="preserve"> 1992 la Fiscalía Especial de</w:t>
      </w:r>
      <w:r>
        <w:rPr>
          <w:szCs w:val="20"/>
        </w:rPr>
        <w:t xml:space="preserve"> Prevención del Delito, Defensorí</w:t>
      </w:r>
      <w:r w:rsidRPr="003B2602">
        <w:rPr>
          <w:szCs w:val="20"/>
        </w:rPr>
        <w:t>a del P</w:t>
      </w:r>
      <w:r>
        <w:rPr>
          <w:szCs w:val="20"/>
        </w:rPr>
        <w:t>ueblo y Derechos Humanos informaron</w:t>
      </w:r>
      <w:r w:rsidRPr="003B2602">
        <w:rPr>
          <w:szCs w:val="20"/>
        </w:rPr>
        <w:t xml:space="preserve"> que “no existe denuncia alguna al res</w:t>
      </w:r>
      <w:r>
        <w:rPr>
          <w:szCs w:val="20"/>
        </w:rPr>
        <w:t xml:space="preserve">pecto, [así como ambas personas, una de ellas </w:t>
      </w:r>
      <w:r w:rsidRPr="003B2602">
        <w:rPr>
          <w:szCs w:val="20"/>
        </w:rPr>
        <w:t>Santiago Antez</w:t>
      </w:r>
      <w:r>
        <w:rPr>
          <w:szCs w:val="20"/>
        </w:rPr>
        <w:t xml:space="preserve">ana Cueto,] </w:t>
      </w:r>
      <w:r w:rsidRPr="003B2602">
        <w:rPr>
          <w:szCs w:val="20"/>
        </w:rPr>
        <w:t>no han sido intervenidas por personal de esta Jefatura</w:t>
      </w:r>
      <w:r>
        <w:rPr>
          <w:szCs w:val="20"/>
        </w:rPr>
        <w:t xml:space="preserve"> </w:t>
      </w:r>
      <w:r w:rsidRPr="003B2602">
        <w:rPr>
          <w:szCs w:val="20"/>
        </w:rPr>
        <w:t>[,…] ya que no existen archivos de ese entonces por cuanto fueron incendiados durante el ataque subversivo producido en el año 1989”</w:t>
      </w:r>
      <w:r>
        <w:rPr>
          <w:szCs w:val="20"/>
        </w:rPr>
        <w:t>, y se dispuso iniciar una nueva investigación. No consta que dicha investigación se hubiere iniciado (</w:t>
      </w:r>
      <w:r>
        <w:rPr>
          <w:i/>
          <w:szCs w:val="20"/>
        </w:rPr>
        <w:t>supra</w:t>
      </w:r>
      <w:r>
        <w:rPr>
          <w:szCs w:val="20"/>
        </w:rPr>
        <w:t xml:space="preserve"> párr. 122)</w:t>
      </w:r>
      <w:r w:rsidRPr="003B2602">
        <w:rPr>
          <w:szCs w:val="20"/>
        </w:rPr>
        <w:t>;</w:t>
      </w:r>
      <w:r>
        <w:rPr>
          <w:szCs w:val="20"/>
        </w:rPr>
        <w:t xml:space="preserve"> </w:t>
      </w:r>
    </w:p>
    <w:p w:rsidR="00881DB6" w:rsidRDefault="00881DB6" w:rsidP="00881DB6">
      <w:pPr>
        <w:pStyle w:val="ListParagraph"/>
        <w:numPr>
          <w:ilvl w:val="0"/>
          <w:numId w:val="36"/>
        </w:numPr>
        <w:ind w:left="720" w:right="-144" w:firstLine="0"/>
        <w:rPr>
          <w:szCs w:val="20"/>
        </w:rPr>
      </w:pPr>
      <w:r>
        <w:rPr>
          <w:szCs w:val="20"/>
        </w:rPr>
        <w:t xml:space="preserve">nueve años después, en 2001 </w:t>
      </w:r>
      <w:r>
        <w:rPr>
          <w:rFonts w:cs="Corbel"/>
          <w:szCs w:val="20"/>
        </w:rPr>
        <w:t>la señora</w:t>
      </w:r>
      <w:r w:rsidRPr="003B2602">
        <w:rPr>
          <w:rFonts w:cs="Corbel"/>
          <w:szCs w:val="20"/>
        </w:rPr>
        <w:t xml:space="preserve"> Rosa Car</w:t>
      </w:r>
      <w:r w:rsidR="00603D8C">
        <w:rPr>
          <w:rFonts w:cs="Corbel"/>
          <w:szCs w:val="20"/>
        </w:rPr>
        <w:t>c</w:t>
      </w:r>
      <w:r w:rsidRPr="003B2602">
        <w:rPr>
          <w:rFonts w:cs="Corbel"/>
          <w:szCs w:val="20"/>
        </w:rPr>
        <w:t xml:space="preserve">austo </w:t>
      </w:r>
      <w:r>
        <w:rPr>
          <w:rFonts w:cs="Corbel"/>
          <w:szCs w:val="20"/>
        </w:rPr>
        <w:t>Paco ratificó</w:t>
      </w:r>
      <w:r w:rsidRPr="003B2602">
        <w:rPr>
          <w:rFonts w:cs="Corbel"/>
          <w:szCs w:val="20"/>
        </w:rPr>
        <w:t xml:space="preserve"> su denuncia ante la Fiscalía de la Nación por</w:t>
      </w:r>
      <w:r>
        <w:rPr>
          <w:rFonts w:cs="Corbel"/>
          <w:szCs w:val="20"/>
        </w:rPr>
        <w:t xml:space="preserve"> la</w:t>
      </w:r>
      <w:r w:rsidRPr="003B2602">
        <w:rPr>
          <w:rFonts w:cs="Corbel"/>
          <w:szCs w:val="20"/>
        </w:rPr>
        <w:t xml:space="preserve"> detención y desaparición </w:t>
      </w:r>
      <w:r>
        <w:rPr>
          <w:rFonts w:cs="Corbel"/>
          <w:szCs w:val="20"/>
        </w:rPr>
        <w:t>de</w:t>
      </w:r>
      <w:r w:rsidRPr="003B2602">
        <w:rPr>
          <w:rFonts w:cs="Corbel"/>
          <w:szCs w:val="20"/>
        </w:rPr>
        <w:t xml:space="preserve"> Santiago Antezana</w:t>
      </w:r>
      <w:r>
        <w:rPr>
          <w:rFonts w:cs="Corbel"/>
          <w:szCs w:val="20"/>
        </w:rPr>
        <w:t xml:space="preserve"> Cueto</w:t>
      </w:r>
      <w:r w:rsidRPr="003B2602">
        <w:rPr>
          <w:rFonts w:cs="Corbel"/>
          <w:szCs w:val="20"/>
        </w:rPr>
        <w:t>. Asimismo</w:t>
      </w:r>
      <w:r>
        <w:rPr>
          <w:rFonts w:cs="Corbel"/>
          <w:szCs w:val="20"/>
        </w:rPr>
        <w:t>,</w:t>
      </w:r>
      <w:r w:rsidRPr="003B2602">
        <w:rPr>
          <w:rFonts w:cs="Corbel"/>
          <w:szCs w:val="20"/>
        </w:rPr>
        <w:t xml:space="preserve"> el 25 de noviembre de 2004 presentó una denuncia </w:t>
      </w:r>
      <w:r w:rsidRPr="003B2602">
        <w:rPr>
          <w:szCs w:val="20"/>
        </w:rPr>
        <w:t>penal ante la Fiscalía Provincial Mixta de Acobamba en contra del Capitán del Ejército apodado “scorpión”</w:t>
      </w:r>
      <w:r>
        <w:rPr>
          <w:szCs w:val="20"/>
        </w:rPr>
        <w:t>,</w:t>
      </w:r>
      <w:r w:rsidRPr="003B2602">
        <w:rPr>
          <w:szCs w:val="20"/>
        </w:rPr>
        <w:t xml:space="preserve"> perteneciente al Cuartel Militar de Acobamba y demás responsables por la desaparición de Santiago Antezana Cueto</w:t>
      </w:r>
      <w:r>
        <w:rPr>
          <w:szCs w:val="20"/>
        </w:rPr>
        <w:t xml:space="preserve"> (</w:t>
      </w:r>
      <w:r>
        <w:rPr>
          <w:i/>
          <w:szCs w:val="20"/>
        </w:rPr>
        <w:t>supra</w:t>
      </w:r>
      <w:r>
        <w:rPr>
          <w:szCs w:val="20"/>
        </w:rPr>
        <w:t xml:space="preserve"> párr. 123); </w:t>
      </w:r>
    </w:p>
    <w:p w:rsidR="00881DB6" w:rsidRDefault="00881DB6" w:rsidP="00881DB6">
      <w:pPr>
        <w:pStyle w:val="ListParagraph"/>
        <w:numPr>
          <w:ilvl w:val="0"/>
          <w:numId w:val="36"/>
        </w:numPr>
        <w:ind w:left="720" w:right="-144" w:firstLine="0"/>
        <w:rPr>
          <w:szCs w:val="20"/>
        </w:rPr>
      </w:pPr>
      <w:r w:rsidRPr="000F150A">
        <w:rPr>
          <w:szCs w:val="20"/>
        </w:rPr>
        <w:t>fue en 2005 que la Fiscalía Provincial Mixta de Acobamba emitió una resolución con el fin de realizar diligencias para la identificación de los responsables de lo sucedido</w:t>
      </w:r>
      <w:r w:rsidR="000F150A" w:rsidRPr="000F150A">
        <w:rPr>
          <w:szCs w:val="20"/>
        </w:rPr>
        <w:t xml:space="preserve"> (</w:t>
      </w:r>
      <w:r w:rsidR="000F150A" w:rsidRPr="000F150A">
        <w:rPr>
          <w:i/>
          <w:szCs w:val="20"/>
        </w:rPr>
        <w:t>supra</w:t>
      </w:r>
      <w:r w:rsidR="000F150A" w:rsidRPr="000F150A">
        <w:rPr>
          <w:szCs w:val="20"/>
        </w:rPr>
        <w:t xml:space="preserve"> párr. 124)</w:t>
      </w:r>
      <w:r w:rsidRPr="000F150A">
        <w:rPr>
          <w:szCs w:val="20"/>
        </w:rPr>
        <w:t xml:space="preserve">, y en 2009 el Fiscal Provincial Penal </w:t>
      </w:r>
      <w:r w:rsidR="00603D8C" w:rsidRPr="000F150A">
        <w:rPr>
          <w:szCs w:val="20"/>
        </w:rPr>
        <w:t>Supraprovincial</w:t>
      </w:r>
      <w:r w:rsidRPr="000F150A">
        <w:rPr>
          <w:szCs w:val="20"/>
        </w:rPr>
        <w:t xml:space="preserve"> de Huancavelica formalizó una denuncia</w:t>
      </w:r>
      <w:r w:rsidRPr="003B2602">
        <w:rPr>
          <w:szCs w:val="20"/>
        </w:rPr>
        <w:t xml:space="preserve"> penal contra </w:t>
      </w:r>
      <w:r w:rsidRPr="00412057">
        <w:rPr>
          <w:szCs w:val="20"/>
        </w:rPr>
        <w:t>José Antonio Esquivel Mora</w:t>
      </w:r>
      <w:r w:rsidRPr="003B2602">
        <w:rPr>
          <w:szCs w:val="20"/>
        </w:rPr>
        <w:t>, Capitán del Ejército del Cuartel de Acobamba, como autor del delito contra la humanidad en la modalidad de desaparición forzada en agravio de Santiago Antezana Cueto</w:t>
      </w:r>
      <w:r>
        <w:rPr>
          <w:szCs w:val="20"/>
        </w:rPr>
        <w:t xml:space="preserve"> (</w:t>
      </w:r>
      <w:r>
        <w:rPr>
          <w:i/>
          <w:szCs w:val="20"/>
        </w:rPr>
        <w:t>supra</w:t>
      </w:r>
      <w:r>
        <w:rPr>
          <w:szCs w:val="20"/>
        </w:rPr>
        <w:t xml:space="preserve"> párr. 12</w:t>
      </w:r>
      <w:r w:rsidR="00346CC3">
        <w:rPr>
          <w:szCs w:val="20"/>
        </w:rPr>
        <w:t>4</w:t>
      </w:r>
      <w:r>
        <w:rPr>
          <w:szCs w:val="20"/>
        </w:rPr>
        <w:t xml:space="preserve">), y </w:t>
      </w:r>
    </w:p>
    <w:p w:rsidR="00881DB6" w:rsidRDefault="00881DB6" w:rsidP="00881DB6">
      <w:pPr>
        <w:pStyle w:val="ListParagraph"/>
        <w:numPr>
          <w:ilvl w:val="0"/>
          <w:numId w:val="36"/>
        </w:numPr>
        <w:ind w:left="720" w:right="-144" w:firstLine="0"/>
        <w:rPr>
          <w:szCs w:val="20"/>
        </w:rPr>
      </w:pPr>
      <w:r w:rsidRPr="00022E90">
        <w:rPr>
          <w:szCs w:val="20"/>
        </w:rPr>
        <w:t>no se desprende del expediente ante la Corte que la investigación haya sido llevada a cabo en contra de otro posible responsable por la</w:t>
      </w:r>
      <w:r>
        <w:rPr>
          <w:szCs w:val="20"/>
        </w:rPr>
        <w:t xml:space="preserve"> desaparición de Santiago Antezana Cueto, particularmente, ningún autor inmediato, de acuerdo a la sentencia de 12 de diciembre de 2013.</w:t>
      </w:r>
    </w:p>
    <w:p w:rsidR="00881DB6" w:rsidRDefault="00881DB6" w:rsidP="00881DB6">
      <w:pPr>
        <w:pStyle w:val="ListParagraph"/>
        <w:ind w:left="0" w:right="-144"/>
        <w:rPr>
          <w:szCs w:val="20"/>
        </w:rPr>
      </w:pPr>
    </w:p>
    <w:p w:rsidR="00881DB6" w:rsidRDefault="00881DB6" w:rsidP="00881DB6">
      <w:pPr>
        <w:pStyle w:val="ListParagraph"/>
        <w:widowControl w:val="0"/>
        <w:numPr>
          <w:ilvl w:val="0"/>
          <w:numId w:val="1"/>
        </w:numPr>
        <w:tabs>
          <w:tab w:val="left" w:pos="0"/>
        </w:tabs>
        <w:adjustRightInd w:val="0"/>
        <w:ind w:left="0" w:firstLine="0"/>
        <w:rPr>
          <w:szCs w:val="20"/>
        </w:rPr>
      </w:pPr>
      <w:r w:rsidRPr="00A21800">
        <w:rPr>
          <w:szCs w:val="20"/>
        </w:rPr>
        <w:t>Al respecto, estas omisiones revisten tal importancia para la averiguación de la verdad jurí</w:t>
      </w:r>
      <w:r>
        <w:rPr>
          <w:szCs w:val="20"/>
        </w:rPr>
        <w:t>dica puesto que normalmente son</w:t>
      </w:r>
      <w:r w:rsidRPr="00A21800">
        <w:rPr>
          <w:szCs w:val="20"/>
        </w:rPr>
        <w:t xml:space="preserve"> idóneas, y en todo caso insustituibles, para esclarecer la suerte de la víctima e identificar a los responsables de su desaparición</w:t>
      </w:r>
      <w:r w:rsidRPr="00A21800">
        <w:rPr>
          <w:rStyle w:val="FootnoteReference"/>
          <w:sz w:val="20"/>
          <w:szCs w:val="20"/>
        </w:rPr>
        <w:footnoteReference w:id="286"/>
      </w:r>
      <w:r w:rsidRPr="00A21800">
        <w:rPr>
          <w:szCs w:val="20"/>
        </w:rPr>
        <w:t>, que “la omisión en su realización result[ó] contraria a pautas objetivas”, pudiendo aún catalogarse tal omisión como “irrazonable de modo manifiesto”</w:t>
      </w:r>
      <w:r w:rsidRPr="00A21800">
        <w:rPr>
          <w:rStyle w:val="FootnoteReference"/>
          <w:sz w:val="20"/>
          <w:szCs w:val="20"/>
        </w:rPr>
        <w:footnoteReference w:id="287"/>
      </w:r>
      <w:r w:rsidRPr="00A21800">
        <w:rPr>
          <w:szCs w:val="20"/>
        </w:rPr>
        <w:t>.</w:t>
      </w:r>
      <w:r>
        <w:rPr>
          <w:szCs w:val="20"/>
        </w:rPr>
        <w:t xml:space="preserve"> Además, al analizar dichas diligencias, debe tenerse en cuenta que para la época de los hechos, como fue identificado previamente existía una práctica de desapariciones forzadas de personas</w:t>
      </w:r>
      <w:r w:rsidR="0083051C">
        <w:rPr>
          <w:szCs w:val="20"/>
        </w:rPr>
        <w:t xml:space="preserve"> (</w:t>
      </w:r>
      <w:r w:rsidR="0083051C">
        <w:rPr>
          <w:i/>
          <w:szCs w:val="20"/>
        </w:rPr>
        <w:t>supra</w:t>
      </w:r>
      <w:r w:rsidR="0083051C">
        <w:rPr>
          <w:szCs w:val="20"/>
        </w:rPr>
        <w:t xml:space="preserve"> párr. 49 y 50)</w:t>
      </w:r>
      <w:r>
        <w:rPr>
          <w:szCs w:val="20"/>
        </w:rPr>
        <w:t>, lo cual a su vez era un método utilizado en la lucha contra-sub</w:t>
      </w:r>
      <w:r w:rsidR="00603D8C">
        <w:rPr>
          <w:szCs w:val="20"/>
        </w:rPr>
        <w:t>v</w:t>
      </w:r>
      <w:r>
        <w:rPr>
          <w:szCs w:val="20"/>
        </w:rPr>
        <w:t xml:space="preserve">ersiva, que se vio favorecida por la situación generalizada de impunidad por la ausencia de garantías judiciales e ineficacia de las instituciones judiciales para afrontar las violaciones sistemáticas de derechos humanos. </w:t>
      </w:r>
    </w:p>
    <w:p w:rsidR="00881DB6" w:rsidRDefault="00881DB6" w:rsidP="00881DB6">
      <w:pPr>
        <w:pStyle w:val="ListParagraph"/>
        <w:ind w:left="0" w:right="-144"/>
        <w:rPr>
          <w:szCs w:val="20"/>
        </w:rPr>
      </w:pPr>
    </w:p>
    <w:p w:rsidR="00881DB6" w:rsidRDefault="00881DB6" w:rsidP="00881DB6">
      <w:pPr>
        <w:pStyle w:val="ListParagraph"/>
        <w:widowControl w:val="0"/>
        <w:numPr>
          <w:ilvl w:val="0"/>
          <w:numId w:val="1"/>
        </w:numPr>
        <w:tabs>
          <w:tab w:val="left" w:pos="0"/>
        </w:tabs>
        <w:adjustRightInd w:val="0"/>
        <w:ind w:left="0" w:firstLine="0"/>
        <w:rPr>
          <w:szCs w:val="20"/>
        </w:rPr>
      </w:pPr>
      <w:r>
        <w:rPr>
          <w:szCs w:val="20"/>
        </w:rPr>
        <w:t>En ese contexto se enmarcaron las desapariciones de las cinco presuntas víctimas.</w:t>
      </w:r>
    </w:p>
    <w:p w:rsidR="00881DB6" w:rsidRDefault="00881DB6" w:rsidP="00881DB6">
      <w:pPr>
        <w:pStyle w:val="ListParagraph"/>
        <w:ind w:left="0" w:right="-144"/>
        <w:rPr>
          <w:szCs w:val="20"/>
        </w:rPr>
      </w:pPr>
    </w:p>
    <w:p w:rsidR="00881DB6" w:rsidRPr="000F7525" w:rsidRDefault="00881DB6" w:rsidP="00881DB6">
      <w:pPr>
        <w:pStyle w:val="ListParagraph"/>
        <w:widowControl w:val="0"/>
        <w:numPr>
          <w:ilvl w:val="0"/>
          <w:numId w:val="1"/>
        </w:numPr>
        <w:tabs>
          <w:tab w:val="left" w:pos="0"/>
        </w:tabs>
        <w:adjustRightInd w:val="0"/>
        <w:ind w:left="0" w:firstLine="0"/>
        <w:rPr>
          <w:szCs w:val="20"/>
        </w:rPr>
      </w:pPr>
      <w:r w:rsidRPr="000F7525">
        <w:rPr>
          <w:szCs w:val="20"/>
        </w:rPr>
        <w:t>En razón de lo anterior, la Corte considera que el Estado no cumplió con su obligación de inici</w:t>
      </w:r>
      <w:r w:rsidR="000F7525" w:rsidRPr="000F7525">
        <w:rPr>
          <w:szCs w:val="20"/>
        </w:rPr>
        <w:t xml:space="preserve">ar de oficio y llevar a cabo </w:t>
      </w:r>
      <w:r w:rsidR="003B266D" w:rsidRPr="000F7525">
        <w:rPr>
          <w:szCs w:val="20"/>
        </w:rPr>
        <w:t xml:space="preserve">con la debida diligencia </w:t>
      </w:r>
      <w:r w:rsidR="000F7525" w:rsidRPr="000F7525">
        <w:rPr>
          <w:szCs w:val="20"/>
        </w:rPr>
        <w:t>las investigaciones</w:t>
      </w:r>
      <w:r w:rsidRPr="000F7525">
        <w:rPr>
          <w:szCs w:val="20"/>
        </w:rPr>
        <w:t xml:space="preserve"> por la desaparición forzada de Santiago Antezana Cueto</w:t>
      </w:r>
      <w:r w:rsidR="001B0ACA" w:rsidRPr="000F7525">
        <w:rPr>
          <w:szCs w:val="20"/>
        </w:rPr>
        <w:t>,</w:t>
      </w:r>
      <w:r w:rsidRPr="000F7525">
        <w:rPr>
          <w:szCs w:val="20"/>
        </w:rPr>
        <w:t xml:space="preserve"> Wilfredo Terrones Silva, Teresa Díaz Aparicio, Néstor Rojas Medina</w:t>
      </w:r>
      <w:r w:rsidR="00BF431E" w:rsidRPr="000F7525">
        <w:rPr>
          <w:szCs w:val="20"/>
        </w:rPr>
        <w:t>,</w:t>
      </w:r>
      <w:r w:rsidRPr="000F7525">
        <w:rPr>
          <w:szCs w:val="20"/>
        </w:rPr>
        <w:t xml:space="preserve"> y Cory Clodolia Tenicela Tello.  </w:t>
      </w:r>
    </w:p>
    <w:p w:rsidR="00881DB6" w:rsidRPr="00B958E7" w:rsidRDefault="00881DB6" w:rsidP="00881DB6">
      <w:pPr>
        <w:rPr>
          <w:i/>
          <w:szCs w:val="20"/>
        </w:rPr>
      </w:pPr>
    </w:p>
    <w:p w:rsidR="00881DB6" w:rsidRPr="00F31E42" w:rsidRDefault="00881DB6" w:rsidP="00881DB6">
      <w:pPr>
        <w:pStyle w:val="ListParagraph"/>
        <w:outlineLvl w:val="2"/>
        <w:rPr>
          <w:b/>
          <w:i/>
          <w:szCs w:val="20"/>
        </w:rPr>
      </w:pPr>
      <w:bookmarkStart w:id="206" w:name="_Toc527993554"/>
      <w:r>
        <w:rPr>
          <w:b/>
          <w:i/>
          <w:szCs w:val="20"/>
        </w:rPr>
        <w:lastRenderedPageBreak/>
        <w:t>B.3. F</w:t>
      </w:r>
      <w:r w:rsidRPr="00F31E42">
        <w:rPr>
          <w:b/>
          <w:i/>
          <w:szCs w:val="20"/>
        </w:rPr>
        <w:t>alta de diligencia con relación a la búsqueda del paradero de las cinco presuntas víctimas</w:t>
      </w:r>
      <w:bookmarkEnd w:id="206"/>
    </w:p>
    <w:p w:rsidR="00881DB6" w:rsidRPr="00F95D69" w:rsidRDefault="00881DB6" w:rsidP="00881DB6">
      <w:pPr>
        <w:pStyle w:val="ListParagraph"/>
        <w:rPr>
          <w:i/>
          <w:szCs w:val="20"/>
        </w:rPr>
      </w:pPr>
    </w:p>
    <w:p w:rsidR="00881DB6" w:rsidRPr="0049215C" w:rsidRDefault="00881DB6" w:rsidP="00881DB6">
      <w:pPr>
        <w:pStyle w:val="ListParagraph"/>
        <w:widowControl w:val="0"/>
        <w:numPr>
          <w:ilvl w:val="0"/>
          <w:numId w:val="1"/>
        </w:numPr>
        <w:tabs>
          <w:tab w:val="left" w:pos="0"/>
        </w:tabs>
        <w:adjustRightInd w:val="0"/>
        <w:ind w:left="0" w:firstLine="0"/>
        <w:rPr>
          <w:spacing w:val="-2"/>
          <w:szCs w:val="20"/>
          <w:lang w:val="es-ES_tradnl"/>
        </w:rPr>
      </w:pPr>
      <w:r>
        <w:rPr>
          <w:szCs w:val="20"/>
        </w:rPr>
        <w:t xml:space="preserve">La Corte ha establecido que </w:t>
      </w:r>
      <w:r w:rsidRPr="0049215C">
        <w:rPr>
          <w:rFonts w:eastAsia="Batang"/>
          <w:spacing w:val="-2"/>
          <w:szCs w:val="20"/>
        </w:rPr>
        <w:t xml:space="preserve">en casos de presunta desaparición forzada, es imprescindible la </w:t>
      </w:r>
      <w:r w:rsidRPr="0049215C">
        <w:rPr>
          <w:szCs w:val="20"/>
        </w:rPr>
        <w:t>actuación</w:t>
      </w:r>
      <w:r w:rsidRPr="0049215C">
        <w:rPr>
          <w:rFonts w:eastAsia="Batang"/>
          <w:spacing w:val="-2"/>
          <w:szCs w:val="20"/>
        </w:rPr>
        <w:t xml:space="preserve"> pronta e inmediata de las autoridades fiscales y judiciales ordenando medidas oportunas y necesarias dirigidas a la determinación del paradero de la víctima o el lugar donde pueda encontrarse privada de libertad</w:t>
      </w:r>
      <w:r w:rsidRPr="0049215C">
        <w:rPr>
          <w:rFonts w:eastAsia="Batang"/>
          <w:spacing w:val="-2"/>
          <w:vertAlign w:val="superscript"/>
        </w:rPr>
        <w:footnoteReference w:id="288"/>
      </w:r>
      <w:r w:rsidRPr="0049215C">
        <w:rPr>
          <w:rFonts w:eastAsia="Batang"/>
          <w:spacing w:val="-2"/>
          <w:szCs w:val="20"/>
        </w:rPr>
        <w:t xml:space="preserve">. </w:t>
      </w:r>
    </w:p>
    <w:p w:rsidR="00881DB6" w:rsidRDefault="00881DB6" w:rsidP="00881DB6">
      <w:pPr>
        <w:pStyle w:val="ListParagraph"/>
        <w:ind w:left="0" w:right="-144"/>
        <w:rPr>
          <w:spacing w:val="-2"/>
          <w:szCs w:val="20"/>
          <w:lang w:val="es-ES_tradnl"/>
        </w:rPr>
      </w:pPr>
    </w:p>
    <w:p w:rsidR="00881DB6" w:rsidRPr="00257982" w:rsidRDefault="00881DB6" w:rsidP="00881DB6">
      <w:pPr>
        <w:pStyle w:val="ListParagraph"/>
        <w:widowControl w:val="0"/>
        <w:numPr>
          <w:ilvl w:val="0"/>
          <w:numId w:val="1"/>
        </w:numPr>
        <w:tabs>
          <w:tab w:val="left" w:pos="0"/>
        </w:tabs>
        <w:adjustRightInd w:val="0"/>
        <w:ind w:left="0" w:firstLine="0"/>
        <w:rPr>
          <w:spacing w:val="-2"/>
          <w:szCs w:val="20"/>
          <w:lang w:val="es-ES_tradnl"/>
        </w:rPr>
      </w:pPr>
      <w:r>
        <w:rPr>
          <w:rFonts w:cs="Times New Roman"/>
          <w:spacing w:val="-2"/>
          <w:szCs w:val="20"/>
        </w:rPr>
        <w:t>Para que una investigación de una presunta desaparición forzada sea llevada adelante eficazmente y con la debida diligencia, las autoridades encargadas deben utilizar todos los medios necesarios para realizar con prontitud aquellas actuaciones y averiguaciones esenciales y oportunas para esclarecer la suerte de las víctimas</w:t>
      </w:r>
      <w:r>
        <w:rPr>
          <w:rFonts w:cs="Times New Roman"/>
          <w:spacing w:val="-2"/>
          <w:szCs w:val="20"/>
          <w:vertAlign w:val="superscript"/>
        </w:rPr>
        <w:footnoteReference w:id="289"/>
      </w:r>
      <w:r>
        <w:rPr>
          <w:rFonts w:cs="Times New Roman"/>
          <w:spacing w:val="-2"/>
          <w:szCs w:val="20"/>
        </w:rPr>
        <w:t xml:space="preserve">. </w:t>
      </w:r>
      <w:r>
        <w:rPr>
          <w:rFonts w:eastAsia="Times New Roman"/>
          <w:spacing w:val="-2"/>
          <w:szCs w:val="20"/>
        </w:rPr>
        <w:t>En múltiples oportunidades, esta Corte se ha pronunciado sobre la obligación de los Estados de realizar una búsqueda seria, por la vía judicial o administrativa adecuada, en la cual se realicen todos los esfuerzos, de manera sistemática y rigurosa, con los recursos humanos, técnicos y científicos adecuados e idóneos para dar con el paradero de las personas desaparecidas</w:t>
      </w:r>
      <w:r>
        <w:rPr>
          <w:rFonts w:eastAsia="Times New Roman"/>
          <w:spacing w:val="-2"/>
          <w:vertAlign w:val="superscript"/>
        </w:rPr>
        <w:footnoteReference w:id="290"/>
      </w:r>
      <w:r>
        <w:rPr>
          <w:rFonts w:eastAsia="Times New Roman"/>
          <w:spacing w:val="-2"/>
          <w:szCs w:val="20"/>
        </w:rPr>
        <w:t xml:space="preserve">. </w:t>
      </w:r>
      <w:r>
        <w:rPr>
          <w:rFonts w:eastAsia="Times New Roman" w:cs="Verdana"/>
          <w:spacing w:val="-2"/>
          <w:szCs w:val="20"/>
        </w:rPr>
        <w:t xml:space="preserve">Recibir el cuerpo de una persona desaparecida es de suma importancia para sus familiares, ya que les permite sepultarlo de acuerdo a sus creencias, así como cerrar el proceso de duelo que han estado viviendo a lo largo de estos años. Además, </w:t>
      </w:r>
      <w:r>
        <w:rPr>
          <w:rFonts w:cs="Verdana"/>
          <w:spacing w:val="-2"/>
          <w:szCs w:val="20"/>
        </w:rPr>
        <w:t xml:space="preserve">los restos son una prueba de lo sucedido y, junto al </w:t>
      </w:r>
      <w:r>
        <w:rPr>
          <w:rFonts w:eastAsia="Times New Roman" w:cs="Verdana"/>
          <w:spacing w:val="-2"/>
          <w:szCs w:val="20"/>
        </w:rPr>
        <w:t>lugar en el cual sean encontrados, pueden proporcionar información valiosa sobre los autores de las violaciones o la institución a la que pertenecían</w:t>
      </w:r>
      <w:r>
        <w:rPr>
          <w:rFonts w:eastAsia="Times New Roman"/>
          <w:spacing w:val="-2"/>
          <w:szCs w:val="20"/>
          <w:vertAlign w:val="superscript"/>
        </w:rPr>
        <w:footnoteReference w:id="291"/>
      </w:r>
      <w:r>
        <w:rPr>
          <w:rFonts w:eastAsia="Times New Roman" w:cs="Verdana"/>
          <w:spacing w:val="-2"/>
          <w:szCs w:val="20"/>
        </w:rPr>
        <w:t>.</w:t>
      </w:r>
    </w:p>
    <w:p w:rsidR="00881DB6" w:rsidRPr="00257982" w:rsidRDefault="00881DB6" w:rsidP="00881DB6">
      <w:pPr>
        <w:pStyle w:val="ListParagraph"/>
        <w:ind w:left="0" w:right="-144"/>
        <w:rPr>
          <w:spacing w:val="-2"/>
          <w:szCs w:val="20"/>
          <w:lang w:val="es-ES_tradnl"/>
        </w:rPr>
      </w:pPr>
    </w:p>
    <w:p w:rsidR="00881DB6" w:rsidRPr="00AA788E" w:rsidRDefault="00881DB6" w:rsidP="00881DB6">
      <w:pPr>
        <w:pStyle w:val="ListParagraph"/>
        <w:widowControl w:val="0"/>
        <w:numPr>
          <w:ilvl w:val="0"/>
          <w:numId w:val="1"/>
        </w:numPr>
        <w:tabs>
          <w:tab w:val="left" w:pos="0"/>
        </w:tabs>
        <w:adjustRightInd w:val="0"/>
        <w:ind w:left="0" w:firstLine="0"/>
        <w:rPr>
          <w:spacing w:val="-2"/>
          <w:szCs w:val="20"/>
          <w:lang w:val="es-ES_tradnl"/>
        </w:rPr>
      </w:pPr>
      <w:r w:rsidRPr="00AA788E">
        <w:rPr>
          <w:spacing w:val="-2"/>
          <w:szCs w:val="20"/>
          <w:lang w:val="es-ES_tradnl"/>
        </w:rPr>
        <w:t xml:space="preserve">La Corte hace notar que, conforme a la información disponible en el expediente, las labores dirigidas a determinar el paradero de cada una de las presuntas víctimas del presente caso han </w:t>
      </w:r>
      <w:r w:rsidRPr="00AA788E">
        <w:rPr>
          <w:rFonts w:cs="Times New Roman"/>
          <w:spacing w:val="-2"/>
          <w:szCs w:val="20"/>
        </w:rPr>
        <w:t>sido</w:t>
      </w:r>
      <w:r w:rsidRPr="00AA788E">
        <w:rPr>
          <w:spacing w:val="-2"/>
          <w:szCs w:val="20"/>
          <w:lang w:val="es-ES_tradnl"/>
        </w:rPr>
        <w:t xml:space="preserve"> encabezadas principalmente por la Fiscalía, particularmente, consistentes en solicitudes de información a distintas instituciones estatales, tales como la </w:t>
      </w:r>
      <w:r w:rsidRPr="00AA788E">
        <w:t xml:space="preserve">Superintendencia Nacional de Migraciones </w:t>
      </w:r>
      <w:r w:rsidRPr="00AA788E">
        <w:rPr>
          <w:spacing w:val="-2"/>
          <w:szCs w:val="20"/>
          <w:lang w:val="es-ES_tradnl"/>
        </w:rPr>
        <w:t xml:space="preserve"> el Instituto Nacional Penitenciario, la Policía Nacional del Perú  (DINCOTE) y otras comisarías locales. Dichas diligencias fueron realizadas de forma esporádica entre 1992 y 2016, y en muchos de los casos fueron repetidas, en el sentido que la información que se solicitaba ya había sido obtenida en años anteriores. </w:t>
      </w:r>
    </w:p>
    <w:p w:rsidR="00881DB6" w:rsidRPr="00257982" w:rsidRDefault="00881DB6" w:rsidP="00881DB6">
      <w:pPr>
        <w:pStyle w:val="ListParagraph"/>
        <w:rPr>
          <w:spacing w:val="-2"/>
          <w:szCs w:val="20"/>
          <w:lang w:val="es-ES_tradnl"/>
        </w:rPr>
      </w:pPr>
    </w:p>
    <w:p w:rsidR="00881DB6" w:rsidRDefault="00881DB6" w:rsidP="00881DB6">
      <w:pPr>
        <w:pStyle w:val="ListParagraph"/>
        <w:widowControl w:val="0"/>
        <w:numPr>
          <w:ilvl w:val="0"/>
          <w:numId w:val="1"/>
        </w:numPr>
        <w:tabs>
          <w:tab w:val="left" w:pos="0"/>
        </w:tabs>
        <w:adjustRightInd w:val="0"/>
        <w:ind w:left="0" w:firstLine="0"/>
        <w:rPr>
          <w:spacing w:val="-2"/>
          <w:szCs w:val="20"/>
          <w:lang w:val="es-ES_tradnl"/>
        </w:rPr>
      </w:pPr>
      <w:r>
        <w:rPr>
          <w:spacing w:val="-2"/>
          <w:szCs w:val="20"/>
          <w:lang w:val="es-ES_tradnl"/>
        </w:rPr>
        <w:t>Dado lo expuesto, este Tribunal estima que las solicitudes de información realizadas por las Fiscalías</w:t>
      </w:r>
      <w:r w:rsidR="00C2360E">
        <w:rPr>
          <w:spacing w:val="-2"/>
          <w:szCs w:val="20"/>
          <w:lang w:val="es-ES_tradnl"/>
        </w:rPr>
        <w:t>,</w:t>
      </w:r>
      <w:r>
        <w:rPr>
          <w:spacing w:val="-2"/>
          <w:szCs w:val="20"/>
          <w:lang w:val="es-ES_tradnl"/>
        </w:rPr>
        <w:t xml:space="preserve"> correspondientes a otras instituciones estatales con relación al paradero de las cinco personas desaparecidas en el presente caso</w:t>
      </w:r>
      <w:r w:rsidR="00C2360E">
        <w:rPr>
          <w:spacing w:val="-2"/>
          <w:szCs w:val="20"/>
          <w:lang w:val="es-ES_tradnl"/>
        </w:rPr>
        <w:t>,</w:t>
      </w:r>
      <w:r>
        <w:rPr>
          <w:spacing w:val="-2"/>
          <w:szCs w:val="20"/>
          <w:lang w:val="es-ES_tradnl"/>
        </w:rPr>
        <w:t xml:space="preserve"> no constituyen medios suficientes para satisfacer la obligación internacional de los Estados de determinar el paradero de las víctimas presuntamente desaparecidas. Corresponde al Estado adoptar todas las medidas necesarias para que la investigación </w:t>
      </w:r>
      <w:r w:rsidRPr="00745E2F">
        <w:rPr>
          <w:spacing w:val="-2"/>
          <w:szCs w:val="20"/>
          <w:lang w:val="es-ES_tradnl"/>
        </w:rPr>
        <w:t xml:space="preserve">sea eficiente y </w:t>
      </w:r>
      <w:r>
        <w:rPr>
          <w:spacing w:val="-2"/>
          <w:szCs w:val="20"/>
          <w:lang w:val="es-ES_tradnl"/>
        </w:rPr>
        <w:t xml:space="preserve">cumpla con su fin </w:t>
      </w:r>
      <w:r w:rsidRPr="00745E2F">
        <w:rPr>
          <w:spacing w:val="-2"/>
          <w:szCs w:val="20"/>
          <w:lang w:val="es-ES_tradnl"/>
        </w:rPr>
        <w:t xml:space="preserve">de </w:t>
      </w:r>
      <w:r>
        <w:rPr>
          <w:spacing w:val="-2"/>
          <w:szCs w:val="20"/>
          <w:lang w:val="es-ES_tradnl"/>
        </w:rPr>
        <w:t xml:space="preserve">dar con el </w:t>
      </w:r>
      <w:r w:rsidRPr="00745E2F">
        <w:rPr>
          <w:spacing w:val="-2"/>
          <w:szCs w:val="20"/>
          <w:lang w:val="es-ES_tradnl"/>
        </w:rPr>
        <w:t>paradero de la</w:t>
      </w:r>
      <w:r>
        <w:rPr>
          <w:spacing w:val="-2"/>
          <w:szCs w:val="20"/>
          <w:lang w:val="es-ES_tradnl"/>
        </w:rPr>
        <w:t xml:space="preserve"> persona desaparecida o de sus restos.</w:t>
      </w:r>
    </w:p>
    <w:p w:rsidR="00881DB6" w:rsidRPr="002877B8" w:rsidRDefault="00881DB6" w:rsidP="00881DB6">
      <w:pPr>
        <w:pStyle w:val="ListParagraph"/>
        <w:rPr>
          <w:spacing w:val="-2"/>
          <w:szCs w:val="20"/>
          <w:lang w:val="es-ES_tradnl"/>
        </w:rPr>
      </w:pPr>
    </w:p>
    <w:p w:rsidR="00881DB6" w:rsidRDefault="00881DB6" w:rsidP="00881DB6">
      <w:pPr>
        <w:pStyle w:val="ListParagraph"/>
        <w:widowControl w:val="0"/>
        <w:numPr>
          <w:ilvl w:val="0"/>
          <w:numId w:val="1"/>
        </w:numPr>
        <w:tabs>
          <w:tab w:val="left" w:pos="0"/>
        </w:tabs>
        <w:adjustRightInd w:val="0"/>
        <w:ind w:left="0" w:firstLine="0"/>
        <w:rPr>
          <w:spacing w:val="-2"/>
          <w:szCs w:val="20"/>
          <w:lang w:val="es-ES_tradnl"/>
        </w:rPr>
      </w:pPr>
      <w:r>
        <w:rPr>
          <w:spacing w:val="-2"/>
          <w:szCs w:val="20"/>
          <w:lang w:val="es-ES_tradnl"/>
        </w:rPr>
        <w:t>En consecuencia, la Corte considera que el Estado violó sus obligaciones convencionales respecto de la falta de determinación del paradero de las cinco víctimas del presente caso.</w:t>
      </w:r>
    </w:p>
    <w:p w:rsidR="00881DB6" w:rsidRPr="00257982" w:rsidRDefault="00881DB6" w:rsidP="00881DB6">
      <w:pPr>
        <w:pStyle w:val="ListParagraph"/>
        <w:rPr>
          <w:spacing w:val="-2"/>
          <w:szCs w:val="20"/>
          <w:lang w:val="es-ES_tradnl"/>
        </w:rPr>
      </w:pPr>
    </w:p>
    <w:p w:rsidR="00881DB6" w:rsidRPr="00F31E42" w:rsidRDefault="00881DB6" w:rsidP="00881DB6">
      <w:pPr>
        <w:pStyle w:val="ListParagraph"/>
        <w:outlineLvl w:val="2"/>
        <w:rPr>
          <w:b/>
          <w:i/>
          <w:szCs w:val="20"/>
        </w:rPr>
      </w:pPr>
      <w:bookmarkStart w:id="207" w:name="_Toc527993555"/>
      <w:r w:rsidRPr="00F31E42">
        <w:rPr>
          <w:b/>
          <w:i/>
          <w:szCs w:val="20"/>
        </w:rPr>
        <w:lastRenderedPageBreak/>
        <w:t xml:space="preserve">B.4. </w:t>
      </w:r>
      <w:r>
        <w:rPr>
          <w:b/>
          <w:i/>
          <w:szCs w:val="20"/>
        </w:rPr>
        <w:t>F</w:t>
      </w:r>
      <w:r w:rsidRPr="00F31E42">
        <w:rPr>
          <w:b/>
          <w:i/>
          <w:szCs w:val="20"/>
        </w:rPr>
        <w:t>alta de investigación de los hechos de tortura en perjuicio de Santiago Antezana Cueto</w:t>
      </w:r>
      <w:bookmarkEnd w:id="207"/>
    </w:p>
    <w:p w:rsidR="00881DB6" w:rsidRPr="00412057" w:rsidRDefault="00881DB6" w:rsidP="00881DB6">
      <w:pPr>
        <w:pStyle w:val="ListParagraph"/>
        <w:ind w:left="0" w:right="-144"/>
        <w:rPr>
          <w:i/>
          <w:szCs w:val="20"/>
        </w:rPr>
      </w:pPr>
    </w:p>
    <w:p w:rsidR="00881DB6" w:rsidRPr="00750CD0" w:rsidRDefault="00881DB6" w:rsidP="00881DB6">
      <w:pPr>
        <w:pStyle w:val="ListParagraph"/>
        <w:widowControl w:val="0"/>
        <w:numPr>
          <w:ilvl w:val="0"/>
          <w:numId w:val="1"/>
        </w:numPr>
        <w:tabs>
          <w:tab w:val="left" w:pos="0"/>
        </w:tabs>
        <w:adjustRightInd w:val="0"/>
        <w:ind w:left="0" w:firstLine="0"/>
        <w:rPr>
          <w:rFonts w:ascii="Times New Roman" w:eastAsia="Times New Roman" w:hAnsi="Times New Roman"/>
          <w:lang w:val="es-CR" w:eastAsia="es-CR"/>
        </w:rPr>
      </w:pPr>
      <w:r w:rsidRPr="00412057">
        <w:rPr>
          <w:szCs w:val="20"/>
        </w:rPr>
        <w:t>La Corte destaca que de la Convención Interamericana contra la Tortura surgen dos supuestos que accionan el deber estatal de investigar: por un lado,</w:t>
      </w:r>
      <w:r w:rsidR="0083051C">
        <w:rPr>
          <w:szCs w:val="20"/>
        </w:rPr>
        <w:t xml:space="preserve"> cuando se presente denuncia</w:t>
      </w:r>
      <w:r w:rsidRPr="00412057">
        <w:rPr>
          <w:szCs w:val="20"/>
        </w:rPr>
        <w:t xml:space="preserve"> y, por el otro, cuando exista razón fundada para creer que se ha cometido un acto de tortura en el ámbito de la jurisdicción del Estado. En estas situaciones, la decisión de iniciar y adelantar</w:t>
      </w:r>
      <w:r>
        <w:rPr>
          <w:szCs w:val="20"/>
        </w:rPr>
        <w:t xml:space="preserve"> una investigación no recae sobre el Estado, es decir, no es una facultad discrecional. Por el contrario,</w:t>
      </w:r>
      <w:r w:rsidRPr="00412057">
        <w:rPr>
          <w:szCs w:val="20"/>
        </w:rPr>
        <w:t xml:space="preserve"> el deber de investigar constituye una obligación estatal imperativa que deriva del </w:t>
      </w:r>
      <w:r w:rsidRPr="00FE13CF">
        <w:rPr>
          <w:spacing w:val="-2"/>
          <w:szCs w:val="20"/>
          <w:lang w:val="es-ES_tradnl"/>
        </w:rPr>
        <w:t>derecho</w:t>
      </w:r>
      <w:r w:rsidRPr="00412057">
        <w:rPr>
          <w:szCs w:val="20"/>
        </w:rPr>
        <w:t xml:space="preserve"> internacional y no puede desecharse o condicionarse por actos o disposiciones normativas internas de ninguna índole</w:t>
      </w:r>
      <w:r w:rsidRPr="00412057">
        <w:rPr>
          <w:rStyle w:val="FootnoteReference"/>
          <w:sz w:val="20"/>
          <w:szCs w:val="20"/>
        </w:rPr>
        <w:footnoteReference w:id="292"/>
      </w:r>
      <w:r w:rsidRPr="00412057">
        <w:rPr>
          <w:szCs w:val="20"/>
        </w:rPr>
        <w:t>. Se debe añadir que a</w:t>
      </w:r>
      <w:r w:rsidR="00603D8C">
        <w:rPr>
          <w:szCs w:val="20"/>
        </w:rPr>
        <w:t>u</w:t>
      </w:r>
      <w:r w:rsidRPr="00412057">
        <w:rPr>
          <w:szCs w:val="20"/>
        </w:rPr>
        <w:t xml:space="preserve">n cuando los actos de tortura o tratos crueles, inhumanos o degradantes no hayan sido denunciados ante las autoridades competentes por la propia víctima, en todo caso en que existan indicios de su ocurrencia, el Estado deberá iniciar de oficio y de inmediato una investigación imparcial, independiente y minuciosa que permita determinar la naturaleza y el origen de las lesiones advertidas, identificar a los responsables e iniciar su </w:t>
      </w:r>
      <w:r w:rsidRPr="00750CD0">
        <w:rPr>
          <w:szCs w:val="20"/>
        </w:rPr>
        <w:t>procesamiento</w:t>
      </w:r>
      <w:r w:rsidRPr="00750CD0">
        <w:rPr>
          <w:rStyle w:val="FootnoteReference"/>
          <w:sz w:val="20"/>
          <w:szCs w:val="20"/>
        </w:rPr>
        <w:footnoteReference w:id="293"/>
      </w:r>
      <w:r w:rsidRPr="00750CD0">
        <w:rPr>
          <w:szCs w:val="20"/>
        </w:rPr>
        <w:t xml:space="preserve">. </w:t>
      </w:r>
    </w:p>
    <w:p w:rsidR="00881DB6" w:rsidRPr="00750CD0" w:rsidRDefault="00881DB6" w:rsidP="00881DB6">
      <w:pPr>
        <w:pStyle w:val="ListParagraph"/>
        <w:ind w:left="0" w:right="-144"/>
        <w:rPr>
          <w:i/>
          <w:szCs w:val="20"/>
        </w:rPr>
      </w:pPr>
    </w:p>
    <w:p w:rsidR="00881DB6" w:rsidRPr="00750CD0" w:rsidRDefault="00881DB6" w:rsidP="00881DB6">
      <w:pPr>
        <w:pStyle w:val="ListParagraph"/>
        <w:widowControl w:val="0"/>
        <w:numPr>
          <w:ilvl w:val="0"/>
          <w:numId w:val="1"/>
        </w:numPr>
        <w:tabs>
          <w:tab w:val="left" w:pos="0"/>
        </w:tabs>
        <w:adjustRightInd w:val="0"/>
        <w:ind w:left="0" w:firstLine="0"/>
        <w:rPr>
          <w:i/>
          <w:szCs w:val="20"/>
        </w:rPr>
      </w:pPr>
      <w:r w:rsidRPr="00750CD0">
        <w:rPr>
          <w:szCs w:val="20"/>
        </w:rPr>
        <w:t xml:space="preserve">El Estado tiene conocimiento de la tortura </w:t>
      </w:r>
      <w:r w:rsidR="003B266D">
        <w:rPr>
          <w:szCs w:val="20"/>
        </w:rPr>
        <w:t>sufrida</w:t>
      </w:r>
      <w:r w:rsidR="00A0155D">
        <w:rPr>
          <w:szCs w:val="20"/>
        </w:rPr>
        <w:t xml:space="preserve"> por</w:t>
      </w:r>
      <w:r w:rsidRPr="00750CD0">
        <w:rPr>
          <w:szCs w:val="20"/>
        </w:rPr>
        <w:t xml:space="preserve"> Santiago Antezana Cueto desde el año 1986, fecha en la cual dicho hecho fue señalado por Máximo Antezana </w:t>
      </w:r>
      <w:r>
        <w:rPr>
          <w:szCs w:val="20"/>
        </w:rPr>
        <w:t>Espeza</w:t>
      </w:r>
      <w:r w:rsidR="00C2360E">
        <w:rPr>
          <w:szCs w:val="20"/>
        </w:rPr>
        <w:t>,</w:t>
      </w:r>
      <w:r>
        <w:rPr>
          <w:szCs w:val="20"/>
        </w:rPr>
        <w:t xml:space="preserve"> </w:t>
      </w:r>
      <w:r w:rsidR="006D6A0D">
        <w:rPr>
          <w:szCs w:val="20"/>
          <w:lang w:val="es-AR"/>
        </w:rPr>
        <w:t xml:space="preserve">quien era su tío y, a su vez, </w:t>
      </w:r>
      <w:r w:rsidRPr="00750CD0">
        <w:rPr>
          <w:szCs w:val="20"/>
        </w:rPr>
        <w:t>estuvo</w:t>
      </w:r>
      <w:r w:rsidRPr="00750CD0">
        <w:rPr>
          <w:szCs w:val="20"/>
          <w:lang w:val="es-AR"/>
        </w:rPr>
        <w:t xml:space="preserve"> detenido con él al momento de los hechos y fue testigo presencial de lo ocurrido</w:t>
      </w:r>
      <w:r w:rsidRPr="00750CD0">
        <w:rPr>
          <w:rStyle w:val="FootnoteReference"/>
          <w:sz w:val="20"/>
          <w:szCs w:val="20"/>
          <w:lang w:val="es-CR"/>
        </w:rPr>
        <w:footnoteReference w:id="294"/>
      </w:r>
      <w:r w:rsidRPr="00750CD0">
        <w:rPr>
          <w:szCs w:val="20"/>
        </w:rPr>
        <w:t xml:space="preserve"> (</w:t>
      </w:r>
      <w:r w:rsidRPr="00750CD0">
        <w:rPr>
          <w:i/>
          <w:szCs w:val="20"/>
        </w:rPr>
        <w:t>supra</w:t>
      </w:r>
      <w:r w:rsidRPr="00750CD0">
        <w:rPr>
          <w:szCs w:val="20"/>
        </w:rPr>
        <w:t xml:space="preserve"> párr. </w:t>
      </w:r>
      <w:r>
        <w:rPr>
          <w:szCs w:val="20"/>
        </w:rPr>
        <w:t>118</w:t>
      </w:r>
      <w:r w:rsidRPr="00750CD0">
        <w:rPr>
          <w:szCs w:val="20"/>
        </w:rPr>
        <w:t xml:space="preserve">). </w:t>
      </w:r>
    </w:p>
    <w:p w:rsidR="00881DB6" w:rsidRPr="00750CD0" w:rsidRDefault="00881DB6" w:rsidP="00881DB6">
      <w:pPr>
        <w:ind w:right="-144"/>
        <w:rPr>
          <w:i/>
          <w:szCs w:val="20"/>
        </w:rPr>
      </w:pPr>
    </w:p>
    <w:p w:rsidR="00881DB6" w:rsidRPr="00750CD0" w:rsidRDefault="00881DB6" w:rsidP="00881DB6">
      <w:pPr>
        <w:pStyle w:val="ListParagraph"/>
        <w:widowControl w:val="0"/>
        <w:numPr>
          <w:ilvl w:val="0"/>
          <w:numId w:val="1"/>
        </w:numPr>
        <w:tabs>
          <w:tab w:val="left" w:pos="0"/>
        </w:tabs>
        <w:adjustRightInd w:val="0"/>
        <w:ind w:left="0" w:firstLine="0"/>
        <w:rPr>
          <w:sz w:val="16"/>
          <w:szCs w:val="16"/>
        </w:rPr>
      </w:pPr>
      <w:r w:rsidRPr="00750CD0">
        <w:rPr>
          <w:szCs w:val="20"/>
        </w:rPr>
        <w:t xml:space="preserve">Con base en la información disponible, la Corte advierte que el Estado se encontraba obligado a iniciar de inmediato una investigación por los hechos de tortura que habría sufrido Santiago </w:t>
      </w:r>
      <w:r w:rsidRPr="00FE13CF">
        <w:rPr>
          <w:szCs w:val="20"/>
          <w:lang w:val="es-AR"/>
        </w:rPr>
        <w:t>Antezana</w:t>
      </w:r>
      <w:r w:rsidRPr="00750CD0">
        <w:rPr>
          <w:szCs w:val="20"/>
        </w:rPr>
        <w:t xml:space="preserve"> Cueto, en primer lugar, por lo manifestado por Máximo Antezana </w:t>
      </w:r>
      <w:r>
        <w:rPr>
          <w:szCs w:val="20"/>
        </w:rPr>
        <w:t xml:space="preserve">Espeza </w:t>
      </w:r>
      <w:r w:rsidRPr="00750CD0">
        <w:rPr>
          <w:szCs w:val="20"/>
        </w:rPr>
        <w:t xml:space="preserve">en su “solicitud de garantías” a su favor y de su familia, y en segundo lugar, porque los elementos existentes muestran que existía una razón fundada para iniciarla. Pese a que recién el Estado ha informado sobre el inicio de una investigación al respecto, con anterioridad a ello no se desprende del expediente que el Estado haya realizado investigación alguna por hechos de tortura. </w:t>
      </w:r>
    </w:p>
    <w:p w:rsidR="00881DB6" w:rsidRPr="00750CD0" w:rsidRDefault="00881DB6" w:rsidP="00881DB6">
      <w:pPr>
        <w:pStyle w:val="ListParagraph"/>
        <w:ind w:left="0" w:right="-144"/>
        <w:rPr>
          <w:sz w:val="16"/>
          <w:szCs w:val="16"/>
        </w:rPr>
      </w:pPr>
    </w:p>
    <w:p w:rsidR="00881DB6" w:rsidRPr="00B15D4F" w:rsidRDefault="00881DB6" w:rsidP="00881DB6">
      <w:pPr>
        <w:pStyle w:val="ListParagraph"/>
        <w:widowControl w:val="0"/>
        <w:numPr>
          <w:ilvl w:val="0"/>
          <w:numId w:val="1"/>
        </w:numPr>
        <w:tabs>
          <w:tab w:val="left" w:pos="0"/>
        </w:tabs>
        <w:adjustRightInd w:val="0"/>
        <w:ind w:left="0" w:firstLine="0"/>
        <w:rPr>
          <w:szCs w:val="20"/>
        </w:rPr>
      </w:pPr>
      <w:r w:rsidRPr="00B15D4F">
        <w:rPr>
          <w:szCs w:val="20"/>
        </w:rPr>
        <w:t>En consecuencia, la Corte estima que el Estado incumplió con su obligación de investigar los h</w:t>
      </w:r>
      <w:r w:rsidR="008C4E75" w:rsidRPr="00B15D4F">
        <w:rPr>
          <w:szCs w:val="20"/>
        </w:rPr>
        <w:t xml:space="preserve">echos de tortura en </w:t>
      </w:r>
      <w:r w:rsidR="008C4E75" w:rsidRPr="00B15D4F">
        <w:rPr>
          <w:lang w:val="es-ES"/>
        </w:rPr>
        <w:t xml:space="preserve">violación de las garantías judiciales y protección judicial consagrados en los artículos 8.1 y 25.1 de la Convención Americana, en relación con el artículo 1.1 de la Convención, y los artículos </w:t>
      </w:r>
      <w:r w:rsidR="008C4E75" w:rsidRPr="00B15D4F">
        <w:rPr>
          <w:szCs w:val="20"/>
        </w:rPr>
        <w:t>1, 6 y 8 de la CIPST,</w:t>
      </w:r>
      <w:r w:rsidR="008C4E75" w:rsidRPr="00B15D4F">
        <w:rPr>
          <w:lang w:val="es-ES"/>
        </w:rPr>
        <w:t xml:space="preserve"> en perjuicio de Santiago Antezana Cueto</w:t>
      </w:r>
      <w:r w:rsidRPr="00B15D4F">
        <w:rPr>
          <w:szCs w:val="20"/>
        </w:rPr>
        <w:t xml:space="preserve">. </w:t>
      </w:r>
    </w:p>
    <w:p w:rsidR="00881DB6" w:rsidRPr="00203B4A" w:rsidRDefault="00881DB6" w:rsidP="00881DB6">
      <w:pPr>
        <w:pStyle w:val="ListParagraph"/>
        <w:ind w:left="0" w:right="-144"/>
        <w:rPr>
          <w:sz w:val="16"/>
          <w:szCs w:val="16"/>
        </w:rPr>
      </w:pPr>
    </w:p>
    <w:p w:rsidR="00881DB6" w:rsidRPr="00F31E42" w:rsidRDefault="00881DB6" w:rsidP="00881DB6">
      <w:pPr>
        <w:pStyle w:val="ListParagraph"/>
        <w:outlineLvl w:val="2"/>
        <w:rPr>
          <w:b/>
          <w:i/>
          <w:szCs w:val="20"/>
        </w:rPr>
      </w:pPr>
      <w:bookmarkStart w:id="208" w:name="_Toc527993556"/>
      <w:r>
        <w:rPr>
          <w:b/>
          <w:i/>
          <w:szCs w:val="20"/>
        </w:rPr>
        <w:t>B.5. F</w:t>
      </w:r>
      <w:r w:rsidRPr="00F31E42">
        <w:rPr>
          <w:b/>
          <w:i/>
          <w:szCs w:val="20"/>
        </w:rPr>
        <w:t xml:space="preserve">alta de ejecución de la sentencia condenatoria dictada en contra </w:t>
      </w:r>
      <w:r>
        <w:rPr>
          <w:b/>
          <w:i/>
          <w:szCs w:val="20"/>
        </w:rPr>
        <w:t xml:space="preserve">de </w:t>
      </w:r>
      <w:r w:rsidRPr="00F31E42">
        <w:rPr>
          <w:b/>
          <w:i/>
          <w:szCs w:val="20"/>
        </w:rPr>
        <w:t>uno de los responsables de la desaparición forzada de Santiago Antezana Cueto</w:t>
      </w:r>
      <w:bookmarkEnd w:id="208"/>
    </w:p>
    <w:p w:rsidR="00881DB6" w:rsidRDefault="00881DB6" w:rsidP="00881DB6">
      <w:pPr>
        <w:pStyle w:val="ListParagraph"/>
        <w:ind w:left="0" w:right="-144"/>
        <w:rPr>
          <w:rFonts w:eastAsia="Times New Roman" w:cs="Verdana"/>
          <w:spacing w:val="-2"/>
          <w:szCs w:val="20"/>
          <w:lang w:val="es-ES_tradnl" w:eastAsia="es-CR"/>
        </w:rPr>
      </w:pPr>
    </w:p>
    <w:p w:rsidR="00881DB6" w:rsidRPr="00BA0C78" w:rsidRDefault="00881DB6" w:rsidP="00881DB6">
      <w:pPr>
        <w:pStyle w:val="ListParagraph"/>
        <w:widowControl w:val="0"/>
        <w:numPr>
          <w:ilvl w:val="0"/>
          <w:numId w:val="1"/>
        </w:numPr>
        <w:tabs>
          <w:tab w:val="left" w:pos="0"/>
        </w:tabs>
        <w:adjustRightInd w:val="0"/>
        <w:ind w:left="0" w:firstLine="0"/>
        <w:rPr>
          <w:rFonts w:eastAsia="Batang" w:cs="Times New Roman"/>
          <w:spacing w:val="-2"/>
          <w:szCs w:val="20"/>
          <w:lang w:val="es-ES_tradnl" w:eastAsia="es-CR"/>
        </w:rPr>
      </w:pPr>
      <w:r w:rsidRPr="00BA0C78">
        <w:rPr>
          <w:rFonts w:eastAsia="Batang" w:cs="Times New Roman"/>
          <w:spacing w:val="-2"/>
          <w:szCs w:val="20"/>
          <w:lang w:val="es-ES_tradnl" w:eastAsia="es-CR"/>
        </w:rPr>
        <w:lastRenderedPageBreak/>
        <w:t xml:space="preserve">La </w:t>
      </w:r>
      <w:r w:rsidRPr="002B03F5">
        <w:rPr>
          <w:szCs w:val="20"/>
        </w:rPr>
        <w:t>obligación</w:t>
      </w:r>
      <w:r w:rsidRPr="00BA0C78">
        <w:rPr>
          <w:rFonts w:eastAsia="Batang" w:cs="Times New Roman"/>
          <w:spacing w:val="-2"/>
          <w:szCs w:val="20"/>
          <w:lang w:val="es-ES_tradnl" w:eastAsia="es-CR"/>
        </w:rPr>
        <w:t xml:space="preserve"> de investigar abarca la identificación, procesamiento, juicio y, en su caso, la sanción de los responsables, así como el cumplimiento de la eventual sentencia, en los términos en que sea decretada</w:t>
      </w:r>
      <w:r w:rsidRPr="00BA0C78">
        <w:rPr>
          <w:rFonts w:eastAsia="Times New Roman" w:cs="Helvetica"/>
          <w:spacing w:val="-2"/>
          <w:szCs w:val="20"/>
          <w:vertAlign w:val="superscript"/>
          <w:lang w:val="es-ES_tradnl" w:eastAsia="es-CR" w:bidi="en-US"/>
        </w:rPr>
        <w:footnoteReference w:id="295"/>
      </w:r>
      <w:r w:rsidRPr="00BA0C78">
        <w:rPr>
          <w:rFonts w:eastAsia="Times New Roman" w:cs="Helvetica"/>
          <w:spacing w:val="-2"/>
          <w:szCs w:val="20"/>
          <w:lang w:val="es-ES_tradnl" w:eastAsia="es-CR" w:bidi="en-US"/>
        </w:rPr>
        <w:t>.</w:t>
      </w:r>
    </w:p>
    <w:p w:rsidR="00881DB6" w:rsidRPr="00257982" w:rsidRDefault="00881DB6" w:rsidP="00881DB6">
      <w:pPr>
        <w:pStyle w:val="ListParagraph"/>
        <w:rPr>
          <w:rFonts w:eastAsia="Batang" w:cs="Times New Roman"/>
          <w:spacing w:val="-2"/>
          <w:szCs w:val="20"/>
          <w:lang w:val="es-ES_tradnl" w:eastAsia="es-CR"/>
        </w:rPr>
      </w:pPr>
    </w:p>
    <w:p w:rsidR="00881DB6" w:rsidRPr="00257982" w:rsidRDefault="003B266D" w:rsidP="00881DB6">
      <w:pPr>
        <w:pStyle w:val="ListParagraph"/>
        <w:widowControl w:val="0"/>
        <w:numPr>
          <w:ilvl w:val="0"/>
          <w:numId w:val="1"/>
        </w:numPr>
        <w:tabs>
          <w:tab w:val="left" w:pos="0"/>
        </w:tabs>
        <w:adjustRightInd w:val="0"/>
        <w:ind w:left="0" w:firstLine="0"/>
        <w:rPr>
          <w:rFonts w:eastAsia="Batang" w:cs="Times New Roman"/>
          <w:spacing w:val="-2"/>
          <w:szCs w:val="20"/>
          <w:lang w:val="es-ES_tradnl" w:eastAsia="es-CR"/>
        </w:rPr>
      </w:pPr>
      <w:r>
        <w:rPr>
          <w:rFonts w:eastAsia="Batang" w:cs="Times New Roman"/>
          <w:spacing w:val="-2"/>
          <w:szCs w:val="20"/>
          <w:lang w:val="es-ES_tradnl" w:eastAsia="es-CR"/>
        </w:rPr>
        <w:t>L</w:t>
      </w:r>
      <w:r w:rsidR="00881DB6">
        <w:rPr>
          <w:rFonts w:eastAsia="Batang" w:cs="Times New Roman"/>
          <w:spacing w:val="-2"/>
          <w:szCs w:val="20"/>
          <w:lang w:val="es-ES_tradnl" w:eastAsia="es-CR"/>
        </w:rPr>
        <w:t xml:space="preserve">a Corte nota que el 13 de diciembre de 2013 fue la primera oportunidad en la que el Estado dispuso la captura de </w:t>
      </w:r>
      <w:r w:rsidR="00881DB6" w:rsidRPr="00022E90">
        <w:t>José Antonio Esquivel Mora</w:t>
      </w:r>
      <w:r w:rsidR="00881DB6">
        <w:rPr>
          <w:rFonts w:eastAsia="Batang" w:cs="Times New Roman"/>
          <w:spacing w:val="-2"/>
          <w:szCs w:val="20"/>
          <w:lang w:val="es-ES_tradnl" w:eastAsia="es-CR"/>
        </w:rPr>
        <w:t xml:space="preserve"> por la desaparición forzada de Santiago Antezana Cueto, en cumplimiento de la sentencia condenatoria fijada en esa oportunidad (</w:t>
      </w:r>
      <w:r w:rsidR="00881DB6">
        <w:rPr>
          <w:rFonts w:eastAsia="Batang" w:cs="Times New Roman"/>
          <w:i/>
          <w:spacing w:val="-2"/>
          <w:szCs w:val="20"/>
          <w:lang w:val="es-ES_tradnl" w:eastAsia="es-CR"/>
        </w:rPr>
        <w:t>supra</w:t>
      </w:r>
      <w:r w:rsidR="00881DB6">
        <w:rPr>
          <w:rFonts w:eastAsia="Batang" w:cs="Times New Roman"/>
          <w:spacing w:val="-2"/>
          <w:szCs w:val="20"/>
          <w:lang w:val="es-ES_tradnl" w:eastAsia="es-CR"/>
        </w:rPr>
        <w:t xml:space="preserve"> párr. 126). Con posterioridad a ello, las únicas actuaciones que constan en el expediente que se han realizado para proceder a ejecutar dichas órdenes de captura fueron realizadas entre 2015 y 2016, a saber, 1) la renovación de las órdenes de captura de la referida persona sentenciada, y 2) la emisión de oficios ordenando su ubicación y captura dirigidos a </w:t>
      </w:r>
      <w:r w:rsidR="00881DB6" w:rsidRPr="003B2602">
        <w:rPr>
          <w:szCs w:val="20"/>
        </w:rPr>
        <w:t xml:space="preserve">la División de Requisitorias de la Policía Judicial, </w:t>
      </w:r>
      <w:r w:rsidR="00881DB6">
        <w:rPr>
          <w:szCs w:val="20"/>
        </w:rPr>
        <w:t xml:space="preserve">a la </w:t>
      </w:r>
      <w:r w:rsidR="00881DB6" w:rsidRPr="003B2602">
        <w:rPr>
          <w:szCs w:val="20"/>
        </w:rPr>
        <w:t xml:space="preserve">Oficina de </w:t>
      </w:r>
      <w:r w:rsidR="00881DB6">
        <w:rPr>
          <w:szCs w:val="20"/>
        </w:rPr>
        <w:t>R</w:t>
      </w:r>
      <w:r w:rsidR="00881DB6" w:rsidRPr="003B2602">
        <w:rPr>
          <w:szCs w:val="20"/>
        </w:rPr>
        <w:t xml:space="preserve">equisitorias Distrital de Lima y </w:t>
      </w:r>
      <w:r w:rsidR="00881DB6">
        <w:rPr>
          <w:szCs w:val="20"/>
        </w:rPr>
        <w:t xml:space="preserve">a </w:t>
      </w:r>
      <w:r w:rsidR="00881DB6" w:rsidRPr="003B2602">
        <w:rPr>
          <w:szCs w:val="20"/>
        </w:rPr>
        <w:t>la Dirección Ejecutiva de la Oficina Central Nacional INTERPOL- Lima</w:t>
      </w:r>
      <w:r w:rsidR="00881DB6">
        <w:rPr>
          <w:szCs w:val="20"/>
        </w:rPr>
        <w:t xml:space="preserve"> (</w:t>
      </w:r>
      <w:r w:rsidR="00881DB6">
        <w:rPr>
          <w:i/>
          <w:szCs w:val="20"/>
        </w:rPr>
        <w:t>supra</w:t>
      </w:r>
      <w:r w:rsidR="00881DB6">
        <w:t xml:space="preserve"> párr. 127). La Corte estima que las acciones indicadas son insuficientes para considerar que el Estado ha pretendido cumplir diligentemente con la sentencia condenatoria dictada en contra de </w:t>
      </w:r>
      <w:r w:rsidR="00881DB6" w:rsidRPr="00022E90">
        <w:t>José Antonio Esquivel Mora.</w:t>
      </w:r>
      <w:r w:rsidR="00881DB6">
        <w:t xml:space="preserve"> Por el contrario, la Corte destaca que se rechazó una solicitud impulsada por Rosa Carcausto Paco de allanamiento a un determinado inmueble en el que presuntamente se encontraba la persona condenada, dado que no tenía la potestad de solicitarlo en etapa de Ejecución de Sentencia </w:t>
      </w:r>
      <w:r w:rsidR="00881DB6">
        <w:rPr>
          <w:szCs w:val="20"/>
        </w:rPr>
        <w:t>(</w:t>
      </w:r>
      <w:r w:rsidR="00881DB6">
        <w:rPr>
          <w:i/>
          <w:szCs w:val="20"/>
        </w:rPr>
        <w:t>supra</w:t>
      </w:r>
      <w:r w:rsidR="00881DB6">
        <w:t xml:space="preserve"> párr. 127).</w:t>
      </w:r>
    </w:p>
    <w:p w:rsidR="00881DB6" w:rsidRPr="00257982" w:rsidRDefault="00881DB6" w:rsidP="00881DB6">
      <w:pPr>
        <w:pStyle w:val="ListParagraph"/>
        <w:ind w:left="0" w:right="-144"/>
        <w:rPr>
          <w:rFonts w:eastAsia="Batang" w:cs="Times New Roman"/>
          <w:spacing w:val="-2"/>
          <w:szCs w:val="20"/>
          <w:lang w:val="es-ES_tradnl" w:eastAsia="es-CR"/>
        </w:rPr>
      </w:pPr>
    </w:p>
    <w:p w:rsidR="00881DB6" w:rsidRDefault="00881DB6" w:rsidP="0083051C">
      <w:pPr>
        <w:pStyle w:val="ListParagraph"/>
        <w:widowControl w:val="0"/>
        <w:numPr>
          <w:ilvl w:val="0"/>
          <w:numId w:val="1"/>
        </w:numPr>
        <w:tabs>
          <w:tab w:val="left" w:pos="0"/>
        </w:tabs>
        <w:adjustRightInd w:val="0"/>
        <w:ind w:left="0" w:firstLine="0"/>
        <w:rPr>
          <w:rFonts w:eastAsia="Batang" w:cs="Times New Roman"/>
          <w:spacing w:val="-2"/>
          <w:szCs w:val="20"/>
          <w:lang w:val="es-ES_tradnl" w:eastAsia="es-CR"/>
        </w:rPr>
      </w:pPr>
      <w:r>
        <w:rPr>
          <w:rFonts w:eastAsia="Batang" w:cs="Times New Roman"/>
          <w:spacing w:val="-2"/>
          <w:szCs w:val="20"/>
          <w:lang w:val="es-ES_tradnl" w:eastAsia="es-CR"/>
        </w:rPr>
        <w:t xml:space="preserve">La falta de ejecución de la referida Sentencia tiene, además, un efecto negativo sobre el derecho a la </w:t>
      </w:r>
      <w:r w:rsidRPr="002B03F5">
        <w:t>reparación</w:t>
      </w:r>
      <w:r>
        <w:rPr>
          <w:rFonts w:eastAsia="Batang" w:cs="Times New Roman"/>
          <w:spacing w:val="-2"/>
          <w:szCs w:val="20"/>
          <w:lang w:val="es-ES_tradnl" w:eastAsia="es-CR"/>
        </w:rPr>
        <w:t xml:space="preserve"> de los familiares de Santiago Antezana Cueto. </w:t>
      </w:r>
      <w:r w:rsidR="003B266D">
        <w:rPr>
          <w:rFonts w:eastAsia="Batang" w:cs="Times New Roman"/>
          <w:spacing w:val="-2"/>
          <w:szCs w:val="20"/>
          <w:lang w:val="es-ES_tradnl" w:eastAsia="es-CR"/>
        </w:rPr>
        <w:t>L</w:t>
      </w:r>
      <w:r>
        <w:rPr>
          <w:rFonts w:eastAsia="Batang" w:cs="Times New Roman"/>
          <w:spacing w:val="-2"/>
          <w:szCs w:val="20"/>
          <w:lang w:val="es-ES_tradnl" w:eastAsia="es-CR"/>
        </w:rPr>
        <w:t>a indemnización de naturaleza civil acordada en dicha sentencia tampoco ha sido pagada a favor de los familiares de la víctima</w:t>
      </w:r>
      <w:r w:rsidR="0083051C">
        <w:rPr>
          <w:rFonts w:eastAsia="Batang" w:cs="Times New Roman"/>
          <w:spacing w:val="-2"/>
          <w:szCs w:val="20"/>
          <w:lang w:val="es-ES_tradnl" w:eastAsia="es-CR"/>
        </w:rPr>
        <w:t xml:space="preserve"> (</w:t>
      </w:r>
      <w:r w:rsidR="0083051C">
        <w:rPr>
          <w:rFonts w:eastAsia="Batang" w:cs="Times New Roman"/>
          <w:i/>
          <w:spacing w:val="-2"/>
          <w:szCs w:val="20"/>
          <w:lang w:val="es-ES_tradnl" w:eastAsia="es-CR"/>
        </w:rPr>
        <w:t>supra</w:t>
      </w:r>
      <w:r w:rsidR="0083051C">
        <w:rPr>
          <w:rFonts w:eastAsia="Batang" w:cs="Times New Roman"/>
          <w:spacing w:val="-2"/>
          <w:szCs w:val="20"/>
          <w:lang w:val="es-ES_tradnl" w:eastAsia="es-CR"/>
        </w:rPr>
        <w:t xml:space="preserve"> párr. 126)</w:t>
      </w:r>
      <w:r>
        <w:rPr>
          <w:rFonts w:eastAsia="Batang" w:cs="Times New Roman"/>
          <w:spacing w:val="-2"/>
          <w:szCs w:val="20"/>
          <w:lang w:val="es-ES_tradnl" w:eastAsia="es-CR"/>
        </w:rPr>
        <w:t xml:space="preserve">. </w:t>
      </w:r>
      <w:r w:rsidR="003B266D">
        <w:rPr>
          <w:rFonts w:eastAsia="Batang" w:cs="Times New Roman"/>
          <w:spacing w:val="-2"/>
          <w:szCs w:val="20"/>
          <w:lang w:val="es-ES_tradnl" w:eastAsia="es-CR"/>
        </w:rPr>
        <w:t>A</w:t>
      </w:r>
      <w:r>
        <w:rPr>
          <w:rFonts w:eastAsia="Batang" w:cs="Times New Roman"/>
          <w:spacing w:val="-2"/>
          <w:szCs w:val="20"/>
          <w:lang w:val="es-ES_tradnl" w:eastAsia="es-CR"/>
        </w:rPr>
        <w:t xml:space="preserve"> pesar del reconocimiento de la indemnización a favor de los familiares de Santiago Antezana Cueto, dicha reparación les es negada con la falta de ejecución de la misma. </w:t>
      </w:r>
    </w:p>
    <w:p w:rsidR="00B5178B" w:rsidRPr="0083051C" w:rsidRDefault="00B5178B" w:rsidP="00B5178B">
      <w:pPr>
        <w:pStyle w:val="ListParagraph"/>
        <w:widowControl w:val="0"/>
        <w:tabs>
          <w:tab w:val="left" w:pos="0"/>
        </w:tabs>
        <w:adjustRightInd w:val="0"/>
        <w:ind w:left="0"/>
        <w:rPr>
          <w:rFonts w:eastAsia="Batang" w:cs="Times New Roman"/>
          <w:spacing w:val="-2"/>
          <w:szCs w:val="20"/>
          <w:lang w:val="es-ES_tradnl" w:eastAsia="es-CR"/>
        </w:rPr>
      </w:pPr>
    </w:p>
    <w:p w:rsidR="00082FDD" w:rsidRPr="00492FBF" w:rsidRDefault="003B266D" w:rsidP="00082FDD">
      <w:pPr>
        <w:pStyle w:val="ListParagraph"/>
        <w:widowControl w:val="0"/>
        <w:numPr>
          <w:ilvl w:val="0"/>
          <w:numId w:val="1"/>
        </w:numPr>
        <w:tabs>
          <w:tab w:val="left" w:pos="0"/>
        </w:tabs>
        <w:adjustRightInd w:val="0"/>
        <w:ind w:left="0" w:firstLine="0"/>
        <w:rPr>
          <w:rFonts w:eastAsia="Batang" w:cs="Times New Roman"/>
          <w:spacing w:val="-2"/>
          <w:szCs w:val="20"/>
          <w:lang w:val="es-ES_tradnl" w:eastAsia="es-CR"/>
        </w:rPr>
      </w:pPr>
      <w:r>
        <w:rPr>
          <w:rFonts w:eastAsia="Batang" w:cs="Times New Roman"/>
          <w:spacing w:val="-2"/>
          <w:szCs w:val="20"/>
          <w:lang w:val="es-ES_tradnl" w:eastAsia="es-CR"/>
        </w:rPr>
        <w:t>De acuerdo con lo expuesto anteriormente</w:t>
      </w:r>
      <w:r w:rsidR="00881DB6">
        <w:rPr>
          <w:rFonts w:eastAsia="Batang" w:cs="Times New Roman"/>
          <w:spacing w:val="-2"/>
          <w:szCs w:val="20"/>
          <w:lang w:val="es-ES_tradnl" w:eastAsia="es-CR"/>
        </w:rPr>
        <w:t xml:space="preserve">, la Corte considera que el Estado también se encuentra incumpliendo con su obligación de ejecutar la sentencia condenatoria dictada en contra de uno de los responsables de la desaparición forzada de Santiago Antezana Cueto con la debida diligencia.  </w:t>
      </w:r>
    </w:p>
    <w:p w:rsidR="00881DB6" w:rsidRPr="0019099F" w:rsidRDefault="00881DB6" w:rsidP="00881DB6">
      <w:pPr>
        <w:rPr>
          <w:i/>
          <w:szCs w:val="20"/>
        </w:rPr>
      </w:pPr>
    </w:p>
    <w:p w:rsidR="00881DB6" w:rsidRPr="00F31E42" w:rsidRDefault="00881DB6" w:rsidP="00881DB6">
      <w:pPr>
        <w:pStyle w:val="ListParagraph"/>
        <w:outlineLvl w:val="2"/>
        <w:rPr>
          <w:b/>
          <w:i/>
          <w:szCs w:val="20"/>
        </w:rPr>
      </w:pPr>
      <w:bookmarkStart w:id="209" w:name="_Toc527993557"/>
      <w:r w:rsidRPr="00F31E42">
        <w:rPr>
          <w:b/>
          <w:i/>
          <w:szCs w:val="20"/>
        </w:rPr>
        <w:t>B.6. Violación al derecho a conocer la verdad</w:t>
      </w:r>
      <w:bookmarkEnd w:id="209"/>
      <w:r w:rsidRPr="00F31E42">
        <w:rPr>
          <w:b/>
          <w:i/>
          <w:szCs w:val="20"/>
        </w:rPr>
        <w:t xml:space="preserve"> </w:t>
      </w:r>
    </w:p>
    <w:p w:rsidR="00881DB6" w:rsidRPr="00257982" w:rsidRDefault="00881DB6" w:rsidP="00881DB6">
      <w:pPr>
        <w:autoSpaceDE w:val="0"/>
        <w:autoSpaceDN w:val="0"/>
        <w:ind w:right="-86"/>
        <w:contextualSpacing/>
        <w:rPr>
          <w:rFonts w:cs="Verdana"/>
          <w:i/>
          <w:szCs w:val="20"/>
        </w:rPr>
      </w:pPr>
    </w:p>
    <w:p w:rsidR="00881DB6" w:rsidRDefault="00881DB6" w:rsidP="00881DB6">
      <w:pPr>
        <w:pStyle w:val="ListParagraph"/>
        <w:widowControl w:val="0"/>
        <w:numPr>
          <w:ilvl w:val="0"/>
          <w:numId w:val="1"/>
        </w:numPr>
        <w:tabs>
          <w:tab w:val="left" w:pos="0"/>
        </w:tabs>
        <w:adjustRightInd w:val="0"/>
        <w:ind w:left="0" w:firstLine="0"/>
        <w:rPr>
          <w:szCs w:val="20"/>
        </w:rPr>
      </w:pPr>
      <w:r>
        <w:rPr>
          <w:spacing w:val="-2"/>
          <w:szCs w:val="20"/>
          <w:lang w:val="es-ES_tradnl"/>
        </w:rPr>
        <w:t>L</w:t>
      </w:r>
      <w:r>
        <w:rPr>
          <w:rFonts w:cs="Times New Roman"/>
          <w:spacing w:val="-2"/>
          <w:szCs w:val="20"/>
          <w:lang w:val="es-ES_tradnl"/>
        </w:rPr>
        <w:t xml:space="preserve">a Corte </w:t>
      </w:r>
      <w:r>
        <w:rPr>
          <w:spacing w:val="-2"/>
          <w:szCs w:val="20"/>
          <w:lang w:val="es-ES_tradnl"/>
        </w:rPr>
        <w:t xml:space="preserve">reitera </w:t>
      </w:r>
      <w:r>
        <w:rPr>
          <w:rFonts w:cs="Times New Roman"/>
          <w:spacing w:val="-2"/>
          <w:szCs w:val="20"/>
          <w:lang w:val="es-ES_tradnl"/>
        </w:rPr>
        <w:t xml:space="preserve">que toda persona, incluyendo los familiares de las víctimas de graves violaciones a </w:t>
      </w:r>
      <w:r w:rsidRPr="00847681">
        <w:rPr>
          <w:szCs w:val="20"/>
        </w:rPr>
        <w:t>derechos</w:t>
      </w:r>
      <w:r>
        <w:rPr>
          <w:rFonts w:cs="Times New Roman"/>
          <w:spacing w:val="-2"/>
          <w:szCs w:val="20"/>
          <w:lang w:val="es-ES_tradnl"/>
        </w:rPr>
        <w:t xml:space="preserve"> humanos, tiene de acuerdo con los artículos 1.1, 8.1, 25, así como en determinadas circunstancias el artículo 13 de la Convención Americana</w:t>
      </w:r>
      <w:r>
        <w:rPr>
          <w:rFonts w:cs="Times New Roman"/>
          <w:spacing w:val="-2"/>
          <w:szCs w:val="20"/>
          <w:vertAlign w:val="superscript"/>
          <w:lang w:val="es-ES_tradnl"/>
        </w:rPr>
        <w:footnoteReference w:id="296"/>
      </w:r>
      <w:r>
        <w:rPr>
          <w:rFonts w:cs="Times New Roman"/>
          <w:spacing w:val="-2"/>
          <w:szCs w:val="20"/>
          <w:lang w:val="es-ES_tradnl"/>
        </w:rPr>
        <w:t>, el derecho a conocer la verdad.</w:t>
      </w:r>
      <w:r w:rsidRPr="0039517A">
        <w:rPr>
          <w:szCs w:val="20"/>
        </w:rPr>
        <w:t xml:space="preserve"> En </w:t>
      </w:r>
      <w:r w:rsidRPr="002B03F5">
        <w:rPr>
          <w:rFonts w:eastAsia="Batang" w:cs="Times New Roman"/>
          <w:spacing w:val="-2"/>
          <w:szCs w:val="20"/>
          <w:lang w:val="es-ES_tradnl" w:eastAsia="es-CR"/>
        </w:rPr>
        <w:t>consecuencia</w:t>
      </w:r>
      <w:r w:rsidRPr="0039517A">
        <w:rPr>
          <w:szCs w:val="20"/>
        </w:rPr>
        <w:t xml:space="preserve">, los familiares de las víctimas y la sociedad deben ser informados de </w:t>
      </w:r>
      <w:r w:rsidRPr="0039517A">
        <w:rPr>
          <w:snapToGrid w:val="0"/>
          <w:szCs w:val="20"/>
          <w:lang w:eastAsia="es-ES"/>
        </w:rPr>
        <w:t>todo</w:t>
      </w:r>
      <w:r w:rsidRPr="0039517A">
        <w:rPr>
          <w:szCs w:val="20"/>
        </w:rPr>
        <w:t xml:space="preserve"> lo sucedido con relación a dichas violaciones</w:t>
      </w:r>
      <w:r w:rsidRPr="0039517A">
        <w:rPr>
          <w:rStyle w:val="FootnoteReference"/>
          <w:sz w:val="20"/>
          <w:szCs w:val="20"/>
        </w:rPr>
        <w:footnoteReference w:id="297"/>
      </w:r>
      <w:r w:rsidRPr="0039517A">
        <w:rPr>
          <w:szCs w:val="20"/>
        </w:rPr>
        <w:t>. Si bien el derecho a conocer la verdad se ha enmarcado fundamentalmente en el derecho de acceso a la justicia</w:t>
      </w:r>
      <w:r w:rsidRPr="0039517A">
        <w:rPr>
          <w:rStyle w:val="FootnoteReference"/>
          <w:sz w:val="20"/>
          <w:szCs w:val="20"/>
        </w:rPr>
        <w:footnoteReference w:id="298"/>
      </w:r>
      <w:r w:rsidRPr="0039517A">
        <w:rPr>
          <w:szCs w:val="20"/>
        </w:rPr>
        <w:t>, lo cierto es que este derecho a la verdad tiene autonomía ya que aquel tiene una naturaleza amplia y su vulneración puede afectar distintos derechos contenidos en la Convención Americana, dependiendo del contexto y circunstancias particulares del caso</w:t>
      </w:r>
      <w:r w:rsidRPr="0039517A">
        <w:rPr>
          <w:rStyle w:val="FootnoteReference"/>
          <w:sz w:val="20"/>
          <w:szCs w:val="20"/>
        </w:rPr>
        <w:footnoteReference w:id="299"/>
      </w:r>
      <w:r w:rsidRPr="0039517A">
        <w:rPr>
          <w:szCs w:val="20"/>
        </w:rPr>
        <w:t xml:space="preserve">. </w:t>
      </w:r>
      <w:r w:rsidRPr="0039517A">
        <w:rPr>
          <w:szCs w:val="20"/>
        </w:rPr>
        <w:lastRenderedPageBreak/>
        <w:t>Por otra parte, la Corte ha advertido la relevancia del derecho a la verdad respecto de desapariciones forzadas</w:t>
      </w:r>
      <w:r w:rsidRPr="0039517A">
        <w:rPr>
          <w:rStyle w:val="FootnoteReference"/>
          <w:sz w:val="20"/>
          <w:szCs w:val="20"/>
        </w:rPr>
        <w:footnoteReference w:id="300"/>
      </w:r>
      <w:r w:rsidRPr="0039517A">
        <w:rPr>
          <w:szCs w:val="20"/>
        </w:rPr>
        <w:t>. Además, si bien se ha advertido que el derecho a la verdad implica el derecho de los familiares de la víctima a conocer el destino de esta</w:t>
      </w:r>
      <w:r w:rsidRPr="0039517A">
        <w:rPr>
          <w:rStyle w:val="FootnoteReference"/>
          <w:sz w:val="20"/>
          <w:szCs w:val="20"/>
        </w:rPr>
        <w:footnoteReference w:id="301"/>
      </w:r>
      <w:r w:rsidRPr="0039517A">
        <w:rPr>
          <w:szCs w:val="20"/>
        </w:rPr>
        <w:t>, el derecho también abarca otros aspectos, en tanto que se relaciona, de modo general, con el derecho de tales familiares de que el Estado realice las acciones conducentes tendientes</w:t>
      </w:r>
      <w:r>
        <w:rPr>
          <w:szCs w:val="20"/>
        </w:rPr>
        <w:t xml:space="preserve"> a</w:t>
      </w:r>
      <w:r w:rsidRPr="0039517A">
        <w:rPr>
          <w:szCs w:val="20"/>
        </w:rPr>
        <w:t xml:space="preserve"> lograr “el esclarecimiento de los hechos violatorios y las responsabilidades correspondientes”</w:t>
      </w:r>
      <w:r w:rsidRPr="0039517A">
        <w:rPr>
          <w:rStyle w:val="FootnoteReference"/>
          <w:sz w:val="20"/>
          <w:szCs w:val="20"/>
        </w:rPr>
        <w:footnoteReference w:id="302"/>
      </w:r>
      <w:r w:rsidRPr="0039517A">
        <w:rPr>
          <w:szCs w:val="20"/>
        </w:rPr>
        <w:t>.</w:t>
      </w:r>
    </w:p>
    <w:p w:rsidR="00881DB6" w:rsidRPr="00995DF5" w:rsidRDefault="00881DB6" w:rsidP="00881DB6">
      <w:pPr>
        <w:pStyle w:val="ListParagraph"/>
        <w:ind w:left="0" w:right="-144"/>
        <w:rPr>
          <w:szCs w:val="20"/>
        </w:rPr>
      </w:pPr>
      <w:r w:rsidRPr="0039517A">
        <w:rPr>
          <w:szCs w:val="20"/>
        </w:rPr>
        <w:t xml:space="preserve"> </w:t>
      </w:r>
    </w:p>
    <w:p w:rsidR="00881DB6" w:rsidRPr="00794667" w:rsidRDefault="00881DB6" w:rsidP="00881DB6">
      <w:pPr>
        <w:pStyle w:val="ListParagraph"/>
        <w:widowControl w:val="0"/>
        <w:numPr>
          <w:ilvl w:val="0"/>
          <w:numId w:val="1"/>
        </w:numPr>
        <w:tabs>
          <w:tab w:val="left" w:pos="0"/>
        </w:tabs>
        <w:adjustRightInd w:val="0"/>
        <w:ind w:left="0" w:firstLine="0"/>
      </w:pPr>
      <w:r w:rsidRPr="00794667">
        <w:rPr>
          <w:szCs w:val="20"/>
        </w:rPr>
        <w:t>En lo que respecta a la desaparición forzada de Wilfredo Terrones Silva, Teresa Díaz Aparicio, Cory Clodolia Tenicela Tello, Néstor Rojas Medina y Santiago Antezana Cueto, habiendo transcurrido en los casos entre 2</w:t>
      </w:r>
      <w:r w:rsidR="00DE44FA">
        <w:rPr>
          <w:szCs w:val="20"/>
        </w:rPr>
        <w:t>6</w:t>
      </w:r>
      <w:r w:rsidRPr="00794667">
        <w:rPr>
          <w:szCs w:val="20"/>
        </w:rPr>
        <w:t xml:space="preserve"> y 34 años desde</w:t>
      </w:r>
      <w:r>
        <w:rPr>
          <w:szCs w:val="20"/>
        </w:rPr>
        <w:t xml:space="preserve"> que ocurrieron los hechos, sin que se haya esclare</w:t>
      </w:r>
      <w:r w:rsidR="00CC2976">
        <w:rPr>
          <w:szCs w:val="20"/>
        </w:rPr>
        <w:t>cido la totalidad de lo sucedido</w:t>
      </w:r>
      <w:r>
        <w:rPr>
          <w:szCs w:val="20"/>
        </w:rPr>
        <w:t xml:space="preserve"> con cada una de las v</w:t>
      </w:r>
      <w:r w:rsidR="007033FE">
        <w:rPr>
          <w:szCs w:val="20"/>
        </w:rPr>
        <w:t>í</w:t>
      </w:r>
      <w:r>
        <w:rPr>
          <w:szCs w:val="20"/>
        </w:rPr>
        <w:t>ctimas del presente caso, además d</w:t>
      </w:r>
      <w:r w:rsidR="00CC2976">
        <w:rPr>
          <w:szCs w:val="20"/>
        </w:rPr>
        <w:t>e que no se ha logrado identificar, juzgar y, en su caso sancionar</w:t>
      </w:r>
      <w:r>
        <w:rPr>
          <w:szCs w:val="20"/>
        </w:rPr>
        <w:t xml:space="preserve"> a los responsables de la comisión de los hechos que materializaron la desaparición forzada de dichas víctimas. En el caso de Santiago Antezana, s</w:t>
      </w:r>
      <w:r w:rsidRPr="00D64F50">
        <w:rPr>
          <w:szCs w:val="20"/>
        </w:rPr>
        <w:t>i bien se cuent</w:t>
      </w:r>
      <w:r>
        <w:rPr>
          <w:szCs w:val="20"/>
        </w:rPr>
        <w:t>a con una sentencia que determina</w:t>
      </w:r>
      <w:r w:rsidRPr="00D64F50">
        <w:rPr>
          <w:szCs w:val="20"/>
        </w:rPr>
        <w:t xml:space="preserve"> que fue víctima de una desaparición forzada, dicha sentencia no es suficiente para brindar a los familiares in</w:t>
      </w:r>
      <w:r>
        <w:rPr>
          <w:szCs w:val="20"/>
        </w:rPr>
        <w:t>formación acerca de su paradero</w:t>
      </w:r>
      <w:r w:rsidRPr="00D64F50">
        <w:rPr>
          <w:szCs w:val="20"/>
        </w:rPr>
        <w:t xml:space="preserve"> y</w:t>
      </w:r>
      <w:r>
        <w:rPr>
          <w:szCs w:val="20"/>
        </w:rPr>
        <w:t>,</w:t>
      </w:r>
      <w:r w:rsidRPr="00D64F50">
        <w:rPr>
          <w:szCs w:val="20"/>
        </w:rPr>
        <w:t xml:space="preserve"> de ser </w:t>
      </w:r>
      <w:r w:rsidR="00CC2976">
        <w:rPr>
          <w:szCs w:val="20"/>
        </w:rPr>
        <w:t xml:space="preserve">el </w:t>
      </w:r>
      <w:r w:rsidRPr="00D64F50">
        <w:rPr>
          <w:szCs w:val="20"/>
        </w:rPr>
        <w:t>caso</w:t>
      </w:r>
      <w:r>
        <w:rPr>
          <w:szCs w:val="20"/>
        </w:rPr>
        <w:t xml:space="preserve">, de la ubicación de sus restos. </w:t>
      </w:r>
      <w:r w:rsidRPr="00794667">
        <w:rPr>
          <w:szCs w:val="20"/>
        </w:rPr>
        <w:t>En todos los de</w:t>
      </w:r>
      <w:r w:rsidR="003D622F">
        <w:rPr>
          <w:szCs w:val="20"/>
        </w:rPr>
        <w:t>más casos, si bien se han realizado</w:t>
      </w:r>
      <w:r w:rsidRPr="00794667">
        <w:rPr>
          <w:szCs w:val="20"/>
        </w:rPr>
        <w:t xml:space="preserve"> investigaciones por par</w:t>
      </w:r>
      <w:r w:rsidR="003D622F">
        <w:rPr>
          <w:szCs w:val="20"/>
        </w:rPr>
        <w:t xml:space="preserve">te de las autoridades estatales, se nota que en </w:t>
      </w:r>
      <w:r w:rsidRPr="00794667">
        <w:rPr>
          <w:szCs w:val="20"/>
        </w:rPr>
        <w:t xml:space="preserve">las mismas no se ha logrado el esclarecimiento de los hechos </w:t>
      </w:r>
      <w:r w:rsidR="003D622F">
        <w:rPr>
          <w:szCs w:val="20"/>
        </w:rPr>
        <w:t>e identificación de los posibles responsables</w:t>
      </w:r>
      <w:r w:rsidRPr="00794667">
        <w:rPr>
          <w:szCs w:val="20"/>
        </w:rPr>
        <w:t>. Tampoco se evidencia que se hayan realizado diligencias adicion</w:t>
      </w:r>
      <w:r w:rsidR="003D622F">
        <w:rPr>
          <w:szCs w:val="20"/>
        </w:rPr>
        <w:t>ales tendientes a determinar el paradero de cada una de las víctimas</w:t>
      </w:r>
      <w:r w:rsidRPr="00794667">
        <w:rPr>
          <w:szCs w:val="20"/>
        </w:rPr>
        <w:t xml:space="preserve">. En consecuencia, </w:t>
      </w:r>
      <w:r w:rsidRPr="00AA788E">
        <w:rPr>
          <w:szCs w:val="20"/>
        </w:rPr>
        <w:t xml:space="preserve">la Corte estima que </w:t>
      </w:r>
      <w:r w:rsidR="003D622F">
        <w:rPr>
          <w:szCs w:val="20"/>
        </w:rPr>
        <w:t>el Estado violó e</w:t>
      </w:r>
      <w:r w:rsidRPr="00AA788E">
        <w:rPr>
          <w:szCs w:val="20"/>
        </w:rPr>
        <w:t>l derecho a conocer la verdad, en perjuicio de los familiares de</w:t>
      </w:r>
      <w:r w:rsidRPr="00794667">
        <w:rPr>
          <w:szCs w:val="20"/>
        </w:rPr>
        <w:t xml:space="preserve"> Wilfredo Terrones Silva, Teresa Díaz Aparicio, Cory Clodolia Tenicela Tello, Néstor Rojas Medina, y Santiago Antezana Cueto, porque se desconoce su paradero.</w:t>
      </w:r>
      <w:r w:rsidR="007033FE">
        <w:rPr>
          <w:szCs w:val="20"/>
        </w:rPr>
        <w:t xml:space="preserve"> </w:t>
      </w:r>
    </w:p>
    <w:p w:rsidR="00881DB6" w:rsidRPr="00344A22" w:rsidRDefault="00881DB6" w:rsidP="00881DB6"/>
    <w:p w:rsidR="00881DB6" w:rsidRPr="00F31E42" w:rsidRDefault="00881DB6" w:rsidP="00881DB6">
      <w:pPr>
        <w:pStyle w:val="ListParagraph"/>
        <w:outlineLvl w:val="2"/>
        <w:rPr>
          <w:b/>
          <w:i/>
          <w:szCs w:val="20"/>
        </w:rPr>
      </w:pPr>
      <w:bookmarkStart w:id="210" w:name="_Toc527993558"/>
      <w:r w:rsidRPr="00F31E42">
        <w:rPr>
          <w:b/>
          <w:i/>
          <w:szCs w:val="20"/>
        </w:rPr>
        <w:t>B.7. Otros alegatos relacionados con diversos obstáculos relacionados con la investigación</w:t>
      </w:r>
      <w:bookmarkEnd w:id="210"/>
    </w:p>
    <w:p w:rsidR="00881DB6" w:rsidRDefault="00881DB6" w:rsidP="00881DB6">
      <w:pPr>
        <w:pStyle w:val="ListParagraph"/>
        <w:rPr>
          <w:i/>
          <w:szCs w:val="20"/>
        </w:rPr>
      </w:pPr>
    </w:p>
    <w:p w:rsidR="00881DB6" w:rsidRPr="005070BD" w:rsidRDefault="00881DB6" w:rsidP="00881DB6">
      <w:pPr>
        <w:pStyle w:val="ListParagraph"/>
        <w:widowControl w:val="0"/>
        <w:numPr>
          <w:ilvl w:val="0"/>
          <w:numId w:val="1"/>
        </w:numPr>
        <w:tabs>
          <w:tab w:val="left" w:pos="0"/>
        </w:tabs>
        <w:adjustRightInd w:val="0"/>
        <w:ind w:left="0" w:firstLine="0"/>
        <w:rPr>
          <w:rFonts w:cs="Verdana"/>
          <w:lang w:val="es-ES" w:eastAsia="es-MX"/>
        </w:rPr>
      </w:pPr>
      <w:r>
        <w:rPr>
          <w:rFonts w:cs="Verdana"/>
          <w:lang w:eastAsia="es-MX"/>
        </w:rPr>
        <w:t>Por otra parte, e</w:t>
      </w:r>
      <w:r>
        <w:rPr>
          <w:rFonts w:cs="Verdana"/>
          <w:lang w:val="es-ES" w:eastAsia="es-MX"/>
        </w:rPr>
        <w:t>n cuanto al deber de adoptar disposiciones de derecho interno</w:t>
      </w:r>
      <w:r w:rsidR="00C2360E">
        <w:rPr>
          <w:rFonts w:cs="Verdana"/>
          <w:lang w:val="es-ES" w:eastAsia="es-MX"/>
        </w:rPr>
        <w:t>,</w:t>
      </w:r>
      <w:r>
        <w:rPr>
          <w:rFonts w:cs="Verdana"/>
          <w:lang w:val="es-ES" w:eastAsia="es-MX"/>
        </w:rPr>
        <w:t xml:space="preserve"> t</w:t>
      </w:r>
      <w:r w:rsidRPr="00660F6A">
        <w:rPr>
          <w:rFonts w:cs="Verdana"/>
          <w:lang w:val="es-ES" w:eastAsia="es-MX"/>
        </w:rPr>
        <w:t xml:space="preserve">anto la </w:t>
      </w:r>
      <w:r w:rsidRPr="00660F6A">
        <w:rPr>
          <w:rFonts w:cs="Verdana"/>
          <w:b/>
          <w:i/>
          <w:lang w:val="es-ES" w:eastAsia="es-MX"/>
        </w:rPr>
        <w:t>Comisión</w:t>
      </w:r>
      <w:r w:rsidRPr="00660F6A">
        <w:rPr>
          <w:rFonts w:cs="Verdana"/>
          <w:b/>
          <w:lang w:val="es-ES" w:eastAsia="es-MX"/>
        </w:rPr>
        <w:t xml:space="preserve"> </w:t>
      </w:r>
      <w:r w:rsidRPr="00660F6A">
        <w:rPr>
          <w:rFonts w:cs="Verdana"/>
          <w:lang w:val="es-ES" w:eastAsia="es-MX"/>
        </w:rPr>
        <w:t>como los</w:t>
      </w:r>
      <w:r w:rsidRPr="00660F6A">
        <w:rPr>
          <w:rFonts w:cs="Verdana"/>
          <w:b/>
          <w:i/>
          <w:lang w:val="es-ES" w:eastAsia="es-MX"/>
        </w:rPr>
        <w:t xml:space="preserve"> representantes</w:t>
      </w:r>
      <w:r>
        <w:rPr>
          <w:rFonts w:cs="Verdana"/>
          <w:lang w:val="es-ES" w:eastAsia="es-MX"/>
        </w:rPr>
        <w:t xml:space="preserve"> alegaron</w:t>
      </w:r>
      <w:r w:rsidRPr="00660F6A">
        <w:rPr>
          <w:rFonts w:cs="Verdana"/>
          <w:lang w:val="es-ES" w:eastAsia="es-MX"/>
        </w:rPr>
        <w:t xml:space="preserve"> que Perú incumple con su obligación dispuesta en el artículo 2 </w:t>
      </w:r>
      <w:r>
        <w:rPr>
          <w:rFonts w:cs="Verdana"/>
          <w:lang w:val="es-ES" w:eastAsia="es-MX"/>
        </w:rPr>
        <w:t>de la Convención, ya que</w:t>
      </w:r>
      <w:r w:rsidRPr="00660F6A">
        <w:rPr>
          <w:rFonts w:cs="Verdana"/>
          <w:lang w:val="es-ES" w:eastAsia="es-MX"/>
        </w:rPr>
        <w:t xml:space="preserve"> no ha modificado el tipo penal de desaparición forzada previsto </w:t>
      </w:r>
      <w:r w:rsidRPr="00257982">
        <w:rPr>
          <w:lang w:val="es-CR"/>
        </w:rPr>
        <w:t>en</w:t>
      </w:r>
      <w:r w:rsidRPr="00660F6A">
        <w:rPr>
          <w:rFonts w:cs="Verdana"/>
          <w:lang w:val="es-ES" w:eastAsia="es-MX"/>
        </w:rPr>
        <w:t xml:space="preserve"> el artículo 320 del Código Penal</w:t>
      </w:r>
      <w:r>
        <w:rPr>
          <w:rFonts w:cs="Verdana"/>
          <w:lang w:val="es-ES" w:eastAsia="es-MX"/>
        </w:rPr>
        <w:t>,</w:t>
      </w:r>
      <w:r w:rsidRPr="00660F6A">
        <w:rPr>
          <w:rFonts w:cs="Verdana"/>
          <w:lang w:val="es-ES" w:eastAsia="es-MX"/>
        </w:rPr>
        <w:t xml:space="preserve"> a pesar de que en Sentencias </w:t>
      </w:r>
      <w:r>
        <w:rPr>
          <w:rFonts w:cs="Verdana"/>
          <w:lang w:val="es-ES" w:eastAsia="es-MX"/>
        </w:rPr>
        <w:t xml:space="preserve">de la Corte Interamericana </w:t>
      </w:r>
      <w:r w:rsidRPr="00660F6A">
        <w:rPr>
          <w:rFonts w:cs="Verdana"/>
          <w:lang w:val="es-ES" w:eastAsia="es-MX"/>
        </w:rPr>
        <w:t xml:space="preserve">anteriores se había considerado que el mismo era contrario a las obligaciones internacionales del Estado. Los </w:t>
      </w:r>
      <w:r w:rsidRPr="00257982">
        <w:rPr>
          <w:szCs w:val="20"/>
          <w:lang w:val="es-AR"/>
        </w:rPr>
        <w:t>representantes</w:t>
      </w:r>
      <w:r>
        <w:rPr>
          <w:rFonts w:cs="Verdana"/>
          <w:lang w:val="es-ES" w:eastAsia="es-MX"/>
        </w:rPr>
        <w:t>, además, indicaron</w:t>
      </w:r>
      <w:r w:rsidRPr="00660F6A">
        <w:rPr>
          <w:rFonts w:cs="Verdana"/>
          <w:lang w:val="es-ES" w:eastAsia="es-MX"/>
        </w:rPr>
        <w:t xml:space="preserve"> que la </w:t>
      </w:r>
      <w:r w:rsidRPr="002B03F5">
        <w:rPr>
          <w:szCs w:val="20"/>
        </w:rPr>
        <w:t>Aprobación</w:t>
      </w:r>
      <w:r w:rsidRPr="00660F6A">
        <w:rPr>
          <w:rFonts w:cs="Verdana"/>
          <w:lang w:val="es-ES" w:eastAsia="es-MX"/>
        </w:rPr>
        <w:t xml:space="preserve"> del Acuerdo Plenario No 9-2009/CJ-116 de la Corte Suprema de Justicia </w:t>
      </w:r>
      <w:r w:rsidR="00082FDD">
        <w:rPr>
          <w:rFonts w:cs="Verdana"/>
          <w:lang w:val="es-ES" w:eastAsia="es-MX"/>
        </w:rPr>
        <w:t>de 13 de</w:t>
      </w:r>
      <w:r w:rsidR="00492FBF">
        <w:rPr>
          <w:rFonts w:cs="Verdana"/>
          <w:lang w:val="es-ES" w:eastAsia="es-MX"/>
        </w:rPr>
        <w:t xml:space="preserve"> noviembre de 2009 </w:t>
      </w:r>
      <w:r w:rsidRPr="00660F6A">
        <w:rPr>
          <w:rFonts w:cs="Verdana"/>
          <w:lang w:val="es-ES" w:eastAsia="es-MX"/>
        </w:rPr>
        <w:t>“agrava los problemas ocasionados por la incompatibilidad del tipo penal de desaparición forzada con los estándares internacionales”.</w:t>
      </w:r>
      <w:r w:rsidRPr="00660F6A">
        <w:rPr>
          <w:rFonts w:cs="Verdana"/>
          <w:b/>
          <w:lang w:val="es-ES" w:eastAsia="es-MX"/>
        </w:rPr>
        <w:t xml:space="preserve"> </w:t>
      </w:r>
      <w:r w:rsidRPr="00660F6A">
        <w:rPr>
          <w:rFonts w:cs="Verdana"/>
          <w:lang w:val="es-ES" w:eastAsia="es-MX"/>
        </w:rPr>
        <w:t>El</w:t>
      </w:r>
      <w:r w:rsidRPr="00682ECE">
        <w:rPr>
          <w:rFonts w:cs="Verdana"/>
          <w:lang w:val="es-ES" w:eastAsia="es-MX"/>
        </w:rPr>
        <w:t xml:space="preserve"> </w:t>
      </w:r>
      <w:r w:rsidRPr="00257FFC">
        <w:rPr>
          <w:rFonts w:cs="Verdana"/>
          <w:b/>
          <w:i/>
          <w:lang w:val="es-ES" w:eastAsia="es-MX"/>
        </w:rPr>
        <w:t>Estado</w:t>
      </w:r>
      <w:r w:rsidRPr="00E8710A">
        <w:rPr>
          <w:rFonts w:cs="Verdana"/>
          <w:lang w:val="es-ES" w:eastAsia="es-MX"/>
        </w:rPr>
        <w:t>,</w:t>
      </w:r>
      <w:r w:rsidRPr="00660F6A">
        <w:rPr>
          <w:rFonts w:cs="Verdana"/>
          <w:b/>
          <w:lang w:val="es-ES" w:eastAsia="es-MX"/>
        </w:rPr>
        <w:t xml:space="preserve"> </w:t>
      </w:r>
      <w:r w:rsidRPr="00660F6A">
        <w:rPr>
          <w:rFonts w:cs="Verdana"/>
          <w:lang w:val="es-ES" w:eastAsia="es-MX"/>
        </w:rPr>
        <w:t>por su parte, indicó que modificó el artículo 320 del Código Penal mediante ley publicada el 10 de enero de 2017 en el Diario Oficial, y que la nueva tipificación es conforme a las normas del derecho internacional de los derechos h</w:t>
      </w:r>
      <w:r>
        <w:rPr>
          <w:rFonts w:cs="Verdana"/>
          <w:lang w:val="es-ES" w:eastAsia="es-MX"/>
        </w:rPr>
        <w:t>umanos aplicables. Además, señal</w:t>
      </w:r>
      <w:r w:rsidRPr="00660F6A">
        <w:rPr>
          <w:rFonts w:cs="Verdana"/>
          <w:lang w:val="es-ES" w:eastAsia="es-MX"/>
        </w:rPr>
        <w:t>ó que el referido Acuerdo Plenario No 9-2009/CJ-116 no fue aplicado a ninguno de los casos en concreto</w:t>
      </w:r>
      <w:r>
        <w:rPr>
          <w:rFonts w:cs="Verdana"/>
          <w:lang w:val="es-ES" w:eastAsia="es-MX"/>
        </w:rPr>
        <w:t>.</w:t>
      </w:r>
      <w:r w:rsidRPr="00660F6A">
        <w:rPr>
          <w:rFonts w:cs="Verdana"/>
          <w:lang w:val="es-ES" w:eastAsia="es-MX"/>
        </w:rPr>
        <w:t xml:space="preserve"> </w:t>
      </w:r>
    </w:p>
    <w:p w:rsidR="00881DB6" w:rsidRPr="00B958E7" w:rsidRDefault="00881DB6" w:rsidP="00881DB6">
      <w:pPr>
        <w:pStyle w:val="ListParagraph"/>
        <w:ind w:left="0"/>
        <w:rPr>
          <w:rFonts w:cs="Verdana"/>
          <w:lang w:val="es-ES" w:eastAsia="es-MX"/>
        </w:rPr>
      </w:pPr>
      <w:r w:rsidRPr="00660F6A">
        <w:rPr>
          <w:rFonts w:cs="Verdana"/>
          <w:b/>
          <w:lang w:val="es-ES" w:eastAsia="es-MX"/>
        </w:rPr>
        <w:t xml:space="preserve"> </w:t>
      </w:r>
    </w:p>
    <w:p w:rsidR="00082FDD" w:rsidRDefault="00881DB6" w:rsidP="00881DB6">
      <w:pPr>
        <w:pStyle w:val="ListParagraph"/>
        <w:widowControl w:val="0"/>
        <w:numPr>
          <w:ilvl w:val="0"/>
          <w:numId w:val="1"/>
        </w:numPr>
        <w:tabs>
          <w:tab w:val="left" w:pos="0"/>
        </w:tabs>
        <w:adjustRightInd w:val="0"/>
        <w:ind w:left="0" w:firstLine="0"/>
        <w:rPr>
          <w:rFonts w:cs="Verdana"/>
          <w:lang w:val="es-ES" w:eastAsia="es-MX"/>
        </w:rPr>
      </w:pPr>
      <w:r>
        <w:rPr>
          <w:rFonts w:cs="Verdana"/>
          <w:lang w:val="es-ES" w:eastAsia="es-MX"/>
        </w:rPr>
        <w:t>En lo que respecta a la incompatibilidad del delito de desaparición forzada previsto en el artículo 320</w:t>
      </w:r>
      <w:r w:rsidRPr="00682ECE">
        <w:rPr>
          <w:rStyle w:val="FootnoteReference"/>
          <w:sz w:val="20"/>
          <w:szCs w:val="20"/>
          <w:lang w:val="es-ES"/>
        </w:rPr>
        <w:footnoteReference w:id="303"/>
      </w:r>
      <w:r w:rsidRPr="00682ECE">
        <w:rPr>
          <w:rFonts w:cs="Verdana"/>
          <w:szCs w:val="20"/>
          <w:lang w:val="es-ES" w:eastAsia="es-MX"/>
        </w:rPr>
        <w:t xml:space="preserve"> </w:t>
      </w:r>
      <w:r>
        <w:rPr>
          <w:rFonts w:cs="Verdana"/>
          <w:lang w:val="es-ES" w:eastAsia="es-MX"/>
        </w:rPr>
        <w:t xml:space="preserve">del </w:t>
      </w:r>
      <w:r w:rsidRPr="00257982">
        <w:rPr>
          <w:szCs w:val="20"/>
          <w:lang w:val="es-AR"/>
        </w:rPr>
        <w:t>Código</w:t>
      </w:r>
      <w:r>
        <w:rPr>
          <w:rFonts w:cs="Verdana"/>
          <w:lang w:val="es-ES" w:eastAsia="es-MX"/>
        </w:rPr>
        <w:t xml:space="preserve"> Penal del Perú con las normas de la Convención Americana y la </w:t>
      </w:r>
      <w:r>
        <w:rPr>
          <w:rFonts w:cs="Verdana"/>
          <w:lang w:val="es-ES" w:eastAsia="es-MX"/>
        </w:rPr>
        <w:lastRenderedPageBreak/>
        <w:t xml:space="preserve">Convención </w:t>
      </w:r>
      <w:r w:rsidRPr="002B03F5">
        <w:rPr>
          <w:rFonts w:cs="Verdana"/>
          <w:lang w:eastAsia="es-MX"/>
        </w:rPr>
        <w:t>Interamericana</w:t>
      </w:r>
      <w:r>
        <w:rPr>
          <w:rFonts w:cs="Verdana"/>
          <w:lang w:val="es-ES" w:eastAsia="es-MX"/>
        </w:rPr>
        <w:t xml:space="preserve"> sobre Desaparición Forzada de Personas, la Corte nota que en el caso </w:t>
      </w:r>
      <w:r>
        <w:rPr>
          <w:rFonts w:cs="Verdana"/>
          <w:i/>
          <w:lang w:val="es-ES" w:eastAsia="es-MX"/>
        </w:rPr>
        <w:t>Gómez Palomino</w:t>
      </w:r>
      <w:r w:rsidRPr="00C506A1">
        <w:rPr>
          <w:rFonts w:cs="Verdana"/>
          <w:vertAlign w:val="superscript"/>
          <w:lang w:val="es-ES"/>
        </w:rPr>
        <w:footnoteReference w:id="304"/>
      </w:r>
      <w:r>
        <w:rPr>
          <w:rFonts w:cs="Verdana"/>
          <w:lang w:val="es-ES" w:eastAsia="es-MX"/>
        </w:rPr>
        <w:t xml:space="preserve"> determinó que el tipo penal consagrado en dicha norma </w:t>
      </w:r>
      <w:r w:rsidRPr="00C506A1">
        <w:rPr>
          <w:rFonts w:cs="Verdana"/>
          <w:lang w:val="es-ES"/>
        </w:rPr>
        <w:t>“no permite al Estado cumplir a cabalidad sus obligaciones internacionales”</w:t>
      </w:r>
      <w:r>
        <w:rPr>
          <w:rFonts w:cs="Verdana"/>
          <w:lang w:val="es-ES" w:eastAsia="es-MX"/>
        </w:rPr>
        <w:t xml:space="preserve">. En lo que respecta a la compatibilidad del Acuerdo Plenario No. 9-2009/CJ-116 </w:t>
      </w:r>
      <w:r w:rsidRPr="00C506A1">
        <w:rPr>
          <w:lang w:val="es-ES"/>
        </w:rPr>
        <w:t>de la Corte Suprema de Justicia de la República del Perú de 13 de noviembre de 2009</w:t>
      </w:r>
      <w:r w:rsidRPr="0040182E">
        <w:rPr>
          <w:rStyle w:val="FootnoteReference"/>
          <w:sz w:val="20"/>
          <w:szCs w:val="20"/>
          <w:lang w:val="es-ES"/>
        </w:rPr>
        <w:footnoteReference w:id="305"/>
      </w:r>
      <w:r>
        <w:rPr>
          <w:rFonts w:cs="Verdana"/>
          <w:lang w:val="es-ES" w:eastAsia="es-MX"/>
        </w:rPr>
        <w:t xml:space="preserve"> con dichas normas del derecho internacional de los derechos humanos, en la etapa de supervisión de cumplimiento del caso </w:t>
      </w:r>
      <w:r>
        <w:rPr>
          <w:rFonts w:cs="Verdana"/>
          <w:i/>
          <w:lang w:val="es-ES" w:eastAsia="es-MX"/>
        </w:rPr>
        <w:t xml:space="preserve">Gómez Palomino, </w:t>
      </w:r>
      <w:r w:rsidRPr="00257FFC">
        <w:rPr>
          <w:rFonts w:cs="Verdana"/>
          <w:lang w:val="es-ES" w:eastAsia="es-MX"/>
        </w:rPr>
        <w:t>este Tribunal similarmente</w:t>
      </w:r>
      <w:r>
        <w:rPr>
          <w:rFonts w:cs="Verdana"/>
          <w:lang w:val="es-ES" w:eastAsia="es-MX"/>
        </w:rPr>
        <w:t xml:space="preserve"> también </w:t>
      </w:r>
      <w:r>
        <w:rPr>
          <w:rFonts w:cs="Verdana"/>
          <w:lang w:val="es-ES"/>
        </w:rPr>
        <w:t>estableció</w:t>
      </w:r>
      <w:r w:rsidRPr="00C506A1">
        <w:rPr>
          <w:rFonts w:cs="Verdana"/>
          <w:lang w:val="es-ES"/>
        </w:rPr>
        <w:t xml:space="preserve"> que dicho acuerdo no satisface la obligación de reformar la legislación penal interna</w:t>
      </w:r>
      <w:r w:rsidRPr="00C506A1">
        <w:rPr>
          <w:rFonts w:cs="Verdana"/>
          <w:vertAlign w:val="superscript"/>
          <w:lang w:val="es-ES"/>
        </w:rPr>
        <w:footnoteReference w:id="306"/>
      </w:r>
      <w:r>
        <w:rPr>
          <w:rFonts w:cs="Verdana"/>
          <w:lang w:val="es-ES"/>
        </w:rPr>
        <w:t>.</w:t>
      </w:r>
    </w:p>
    <w:p w:rsidR="00881DB6" w:rsidRPr="00FD6009" w:rsidRDefault="00881DB6" w:rsidP="00082FDD">
      <w:pPr>
        <w:pStyle w:val="ListParagraph"/>
        <w:widowControl w:val="0"/>
        <w:tabs>
          <w:tab w:val="left" w:pos="0"/>
        </w:tabs>
        <w:adjustRightInd w:val="0"/>
        <w:ind w:left="0"/>
        <w:rPr>
          <w:rFonts w:cs="Verdana"/>
          <w:lang w:val="es-ES" w:eastAsia="es-MX"/>
        </w:rPr>
      </w:pPr>
      <w:r w:rsidRPr="00FD6009">
        <w:rPr>
          <w:rFonts w:cs="Verdana"/>
          <w:lang w:val="es-ES"/>
        </w:rPr>
        <w:tab/>
      </w:r>
    </w:p>
    <w:p w:rsidR="00881DB6" w:rsidRPr="009F79E8" w:rsidRDefault="00881DB6" w:rsidP="00881DB6">
      <w:pPr>
        <w:pStyle w:val="ListParagraph"/>
        <w:widowControl w:val="0"/>
        <w:numPr>
          <w:ilvl w:val="0"/>
          <w:numId w:val="1"/>
        </w:numPr>
        <w:tabs>
          <w:tab w:val="left" w:pos="0"/>
        </w:tabs>
        <w:adjustRightInd w:val="0"/>
        <w:ind w:left="0" w:firstLine="0"/>
        <w:rPr>
          <w:rFonts w:cs="Verdana"/>
          <w:lang w:val="es-ES" w:eastAsia="es-MX"/>
        </w:rPr>
      </w:pPr>
      <w:r>
        <w:rPr>
          <w:rFonts w:cs="Verdana"/>
          <w:lang w:val="es-ES" w:eastAsia="es-MX"/>
        </w:rPr>
        <w:t xml:space="preserve">La Corte nota que ni los representantes ni la Comisión precisaron si la referida tipificación penal o el mencionado Acuerdo de la Corte Suprema de Justicia tuvieron alguna incidencia en las </w:t>
      </w:r>
      <w:r w:rsidRPr="00257982">
        <w:rPr>
          <w:szCs w:val="20"/>
          <w:lang w:val="es-AR"/>
        </w:rPr>
        <w:t>investigaciones</w:t>
      </w:r>
      <w:r>
        <w:rPr>
          <w:rFonts w:cs="Verdana"/>
          <w:lang w:val="es-ES" w:eastAsia="es-MX"/>
        </w:rPr>
        <w:t xml:space="preserve"> que ha sido llevadas a cabo por las desapariciones de Wilfredo Terrones Silva, Teresa Díaz Aparicio, Cory Clodolia Tenicela Tello y Néstor Rojas Medina, o en la investigación y proceso judicial llevados a cabo por la desaparición forzada y  de Santiago Antezana Cueto. Al contrario, los alegatos planteados al respecto fueron presentados de forma genérica. Por ello, en el presente caso, a la Corte no le corresponde emitir un pronunciamiento ni realizar un análisis sobre la conformidad </w:t>
      </w:r>
      <w:r w:rsidRPr="00562D02">
        <w:rPr>
          <w:rFonts w:cs="Verdana"/>
          <w:lang w:val="es-ES" w:eastAsia="es-MX"/>
        </w:rPr>
        <w:t>con la Convención Americana de las normas antedichas, puesto que la competencia contenciosa de la Corte no tiene por objeto la revisión de normas nacionales en abstracto</w:t>
      </w:r>
      <w:r w:rsidRPr="00562D02">
        <w:rPr>
          <w:rStyle w:val="FootnoteReference"/>
          <w:sz w:val="20"/>
          <w:szCs w:val="20"/>
          <w:lang w:val="es-ES" w:eastAsia="es-MX"/>
        </w:rPr>
        <w:footnoteReference w:id="307"/>
      </w:r>
      <w:r w:rsidRPr="00562D02">
        <w:rPr>
          <w:rFonts w:cs="Verdana"/>
          <w:lang w:val="es-ES" w:eastAsia="es-MX"/>
        </w:rPr>
        <w:t>.</w:t>
      </w:r>
      <w:r>
        <w:rPr>
          <w:rFonts w:cs="Verdana"/>
          <w:lang w:val="es-ES" w:eastAsia="es-MX"/>
        </w:rPr>
        <w:t xml:space="preserve"> </w:t>
      </w:r>
    </w:p>
    <w:p w:rsidR="00881DB6" w:rsidRPr="00682ECE" w:rsidRDefault="00881DB6" w:rsidP="00881DB6">
      <w:pPr>
        <w:rPr>
          <w:i/>
          <w:szCs w:val="20"/>
        </w:rPr>
      </w:pPr>
    </w:p>
    <w:p w:rsidR="00881DB6" w:rsidRPr="00F31E42" w:rsidRDefault="00881DB6" w:rsidP="00881DB6">
      <w:pPr>
        <w:pStyle w:val="Heading3"/>
        <w:spacing w:before="0"/>
        <w:ind w:firstLine="720"/>
        <w:rPr>
          <w:i/>
          <w:szCs w:val="20"/>
        </w:rPr>
      </w:pPr>
      <w:bookmarkStart w:id="211" w:name="_Toc399131813"/>
      <w:bookmarkStart w:id="212" w:name="_Toc527993559"/>
      <w:r w:rsidRPr="00F31E42">
        <w:rPr>
          <w:i/>
          <w:szCs w:val="20"/>
        </w:rPr>
        <w:t>B.8. Conclusión</w:t>
      </w:r>
      <w:bookmarkEnd w:id="211"/>
      <w:bookmarkEnd w:id="212"/>
      <w:r w:rsidRPr="00F31E42">
        <w:rPr>
          <w:i/>
          <w:szCs w:val="20"/>
        </w:rPr>
        <w:t xml:space="preserve"> </w:t>
      </w:r>
    </w:p>
    <w:p w:rsidR="00881DB6" w:rsidRPr="00257982" w:rsidRDefault="00881DB6" w:rsidP="00881DB6"/>
    <w:p w:rsidR="00881DB6" w:rsidRPr="00203B4A" w:rsidRDefault="00881DB6" w:rsidP="00881DB6">
      <w:pPr>
        <w:pStyle w:val="ListParagraph"/>
        <w:widowControl w:val="0"/>
        <w:numPr>
          <w:ilvl w:val="0"/>
          <w:numId w:val="1"/>
        </w:numPr>
        <w:tabs>
          <w:tab w:val="left" w:pos="0"/>
        </w:tabs>
        <w:adjustRightInd w:val="0"/>
        <w:ind w:left="0" w:firstLine="0"/>
        <w:rPr>
          <w:lang w:val="es-ES"/>
        </w:rPr>
      </w:pPr>
      <w:r>
        <w:rPr>
          <w:lang w:val="es-ES"/>
        </w:rPr>
        <w:t xml:space="preserve">En razón de que se </w:t>
      </w:r>
      <w:r w:rsidRPr="00203B4A">
        <w:rPr>
          <w:lang w:val="es-ES"/>
        </w:rPr>
        <w:t xml:space="preserve">determinó que las investigaciones llevadas a cabo por las </w:t>
      </w:r>
      <w:r w:rsidRPr="002B03F5">
        <w:rPr>
          <w:rFonts w:cs="Verdana"/>
          <w:lang w:val="es-ES" w:eastAsia="es-MX"/>
        </w:rPr>
        <w:t>desapariciones</w:t>
      </w:r>
      <w:r w:rsidRPr="00203B4A">
        <w:rPr>
          <w:lang w:val="es-ES"/>
        </w:rPr>
        <w:t xml:space="preserve"> forzadas de Wilfredo Terrones</w:t>
      </w:r>
      <w:r>
        <w:rPr>
          <w:lang w:val="es-ES"/>
        </w:rPr>
        <w:t xml:space="preserve"> Silva</w:t>
      </w:r>
      <w:r w:rsidRPr="00203B4A">
        <w:rPr>
          <w:lang w:val="es-ES"/>
        </w:rPr>
        <w:t xml:space="preserve">, Teresa Díaz </w:t>
      </w:r>
      <w:r>
        <w:rPr>
          <w:lang w:val="es-ES"/>
        </w:rPr>
        <w:t xml:space="preserve">Aparicio, Néstor Rojas Medina, </w:t>
      </w:r>
      <w:r w:rsidRPr="00203B4A">
        <w:rPr>
          <w:lang w:val="es-ES"/>
        </w:rPr>
        <w:t xml:space="preserve">Cory Clodolia Tenicela Tello, </w:t>
      </w:r>
      <w:r>
        <w:rPr>
          <w:lang w:val="es-ES"/>
        </w:rPr>
        <w:t xml:space="preserve">y </w:t>
      </w:r>
      <w:r w:rsidRPr="00203B4A">
        <w:rPr>
          <w:lang w:val="es-ES"/>
        </w:rPr>
        <w:t>Santiago Antezana Cueto no fueron iniciadas de oficio, ni fueron llevadas a cabo con la debida diligencia para identificar</w:t>
      </w:r>
      <w:r>
        <w:rPr>
          <w:lang w:val="es-ES"/>
        </w:rPr>
        <w:t xml:space="preserve">, procesar y, en su caso, sancionar </w:t>
      </w:r>
      <w:r w:rsidRPr="00203B4A">
        <w:rPr>
          <w:lang w:val="es-ES"/>
        </w:rPr>
        <w:t xml:space="preserve">a </w:t>
      </w:r>
      <w:r>
        <w:rPr>
          <w:lang w:val="es-ES"/>
        </w:rPr>
        <w:t xml:space="preserve">todos </w:t>
      </w:r>
      <w:r w:rsidRPr="00203B4A">
        <w:rPr>
          <w:lang w:val="es-ES"/>
        </w:rPr>
        <w:t>los responsables de dichos hechos ni para determinar el paradero de las referidas personas,</w:t>
      </w:r>
      <w:r>
        <w:rPr>
          <w:lang w:val="es-ES"/>
        </w:rPr>
        <w:t xml:space="preserve"> y tampoco </w:t>
      </w:r>
      <w:r w:rsidRPr="00203B4A">
        <w:rPr>
          <w:lang w:val="es-ES"/>
        </w:rPr>
        <w:t xml:space="preserve">el Estado fue diligente en la ejecución de la sentencia penal dictada en contra de una de las personas responsables de la desaparición forzada de Santiago Antezana Cueto, la Corte estima que el </w:t>
      </w:r>
      <w:r>
        <w:rPr>
          <w:lang w:val="es-ES"/>
        </w:rPr>
        <w:t xml:space="preserve">Estado es responsable por la violación de las garantías judiciales y protección judicial consagrados </w:t>
      </w:r>
      <w:r w:rsidRPr="00203B4A">
        <w:rPr>
          <w:lang w:val="es-ES"/>
        </w:rPr>
        <w:t>en los artículos 8.1 y 25.1 de la Convención Americana, en relac</w:t>
      </w:r>
      <w:r>
        <w:rPr>
          <w:lang w:val="es-ES"/>
        </w:rPr>
        <w:t>ión con el artículo 1.1 de dicha Convención</w:t>
      </w:r>
      <w:r w:rsidRPr="00203B4A">
        <w:rPr>
          <w:lang w:val="es-ES"/>
        </w:rPr>
        <w:t xml:space="preserve">, y del artículo I.b) de la CIDFP, en perjuicio </w:t>
      </w:r>
      <w:r w:rsidRPr="008146AF">
        <w:rPr>
          <w:szCs w:val="20"/>
        </w:rPr>
        <w:t>de Wilfredo Terrones Silva y su familiar</w:t>
      </w:r>
      <w:r>
        <w:rPr>
          <w:szCs w:val="20"/>
        </w:rPr>
        <w:t>:</w:t>
      </w:r>
      <w:r w:rsidRPr="008146AF">
        <w:rPr>
          <w:szCs w:val="20"/>
        </w:rPr>
        <w:t xml:space="preserve"> Guillermina Frida Landázuri Gómez (esposa); de Teresa Díaz Aparicio y sus familiares</w:t>
      </w:r>
      <w:r>
        <w:rPr>
          <w:szCs w:val="20"/>
        </w:rPr>
        <w:t>:</w:t>
      </w:r>
      <w:r w:rsidRPr="008146AF">
        <w:rPr>
          <w:szCs w:val="20"/>
        </w:rPr>
        <w:t xml:space="preserve"> Graciela Aparicio Pastor (madre)</w:t>
      </w:r>
      <w:r w:rsidR="007033FE">
        <w:rPr>
          <w:szCs w:val="20"/>
        </w:rPr>
        <w:t xml:space="preserve"> y</w:t>
      </w:r>
      <w:r w:rsidRPr="008146AF">
        <w:rPr>
          <w:szCs w:val="20"/>
        </w:rPr>
        <w:t xml:space="preserve"> Fed</w:t>
      </w:r>
      <w:r>
        <w:rPr>
          <w:szCs w:val="20"/>
        </w:rPr>
        <w:t xml:space="preserve">erico Díaz Aparicio (hermano), </w:t>
      </w:r>
      <w:r w:rsidR="007033FE">
        <w:rPr>
          <w:szCs w:val="20"/>
        </w:rPr>
        <w:t xml:space="preserve">los dos </w:t>
      </w:r>
      <w:r w:rsidRPr="008146AF">
        <w:rPr>
          <w:szCs w:val="20"/>
        </w:rPr>
        <w:t>fallecidos; de Santiago Antezana Cueto y sus familiares</w:t>
      </w:r>
      <w:r>
        <w:rPr>
          <w:szCs w:val="20"/>
        </w:rPr>
        <w:t>:</w:t>
      </w:r>
      <w:r w:rsidRPr="008146AF">
        <w:rPr>
          <w:szCs w:val="20"/>
        </w:rPr>
        <w:t xml:space="preserve"> Rosa Carcausto Paco (conviviente);</w:t>
      </w:r>
      <w:r>
        <w:rPr>
          <w:szCs w:val="20"/>
        </w:rPr>
        <w:t xml:space="preserve"> Ermilio Antezana Cueto (hermano)</w:t>
      </w:r>
      <w:r w:rsidRPr="008146AF">
        <w:rPr>
          <w:szCs w:val="20"/>
        </w:rPr>
        <w:t xml:space="preserve"> y Ofelia Antezana Torre (prima)</w:t>
      </w:r>
      <w:r>
        <w:rPr>
          <w:szCs w:val="20"/>
        </w:rPr>
        <w:t>;</w:t>
      </w:r>
      <w:r w:rsidRPr="008146AF">
        <w:rPr>
          <w:szCs w:val="20"/>
        </w:rPr>
        <w:t xml:space="preserve"> de Néstor Rojas Medina y sus familiares</w:t>
      </w:r>
      <w:r>
        <w:rPr>
          <w:szCs w:val="20"/>
        </w:rPr>
        <w:t>:</w:t>
      </w:r>
      <w:r w:rsidRPr="008146AF">
        <w:rPr>
          <w:szCs w:val="20"/>
        </w:rPr>
        <w:t xml:space="preserve"> Marcelina Medina Negrón (madre)</w:t>
      </w:r>
      <w:r>
        <w:rPr>
          <w:szCs w:val="20"/>
        </w:rPr>
        <w:t xml:space="preserve"> y </w:t>
      </w:r>
      <w:r w:rsidRPr="006D7B22">
        <w:rPr>
          <w:szCs w:val="20"/>
        </w:rPr>
        <w:t>Tania Collantes Medina</w:t>
      </w:r>
      <w:r w:rsidR="00082FDD">
        <w:rPr>
          <w:szCs w:val="20"/>
        </w:rPr>
        <w:t xml:space="preserve"> (hermana)</w:t>
      </w:r>
      <w:r>
        <w:rPr>
          <w:szCs w:val="20"/>
        </w:rPr>
        <w:t>,</w:t>
      </w:r>
      <w:r w:rsidRPr="006D7B22">
        <w:rPr>
          <w:szCs w:val="20"/>
        </w:rPr>
        <w:t xml:space="preserve"> y de Cory Clodolia Tenicela Tello: Amadea Felipa Tello de Tenic</w:t>
      </w:r>
      <w:r>
        <w:rPr>
          <w:szCs w:val="20"/>
        </w:rPr>
        <w:t>ela</w:t>
      </w:r>
      <w:r w:rsidRPr="00BA6F86">
        <w:rPr>
          <w:szCs w:val="20"/>
        </w:rPr>
        <w:t xml:space="preserve"> </w:t>
      </w:r>
      <w:r w:rsidRPr="009F79E8">
        <w:rPr>
          <w:szCs w:val="20"/>
        </w:rPr>
        <w:t xml:space="preserve"> (madre). </w:t>
      </w:r>
    </w:p>
    <w:p w:rsidR="00881DB6" w:rsidRPr="00203B4A" w:rsidRDefault="00881DB6" w:rsidP="00881DB6">
      <w:pPr>
        <w:pStyle w:val="ListParagraph"/>
        <w:ind w:left="0" w:right="-144"/>
        <w:rPr>
          <w:lang w:val="es-ES"/>
        </w:rPr>
      </w:pPr>
    </w:p>
    <w:p w:rsidR="00881DB6" w:rsidRPr="00995DF5" w:rsidRDefault="00881DB6" w:rsidP="00881DB6">
      <w:pPr>
        <w:pStyle w:val="ListParagraph"/>
        <w:widowControl w:val="0"/>
        <w:numPr>
          <w:ilvl w:val="0"/>
          <w:numId w:val="1"/>
        </w:numPr>
        <w:tabs>
          <w:tab w:val="left" w:pos="0"/>
        </w:tabs>
        <w:adjustRightInd w:val="0"/>
        <w:ind w:left="0" w:firstLine="0"/>
        <w:rPr>
          <w:lang w:val="es-ES"/>
        </w:rPr>
      </w:pPr>
      <w:r>
        <w:rPr>
          <w:lang w:val="es-ES"/>
        </w:rPr>
        <w:t>Además</w:t>
      </w:r>
      <w:r w:rsidRPr="00787CB0">
        <w:rPr>
          <w:lang w:val="es-ES"/>
        </w:rPr>
        <w:t>, la Corte considera que el Estado es responsable po</w:t>
      </w:r>
      <w:r>
        <w:rPr>
          <w:lang w:val="es-ES"/>
        </w:rPr>
        <w:t xml:space="preserve">r la violación de las garantías judiciales y protección judicial consagrados en los artículos </w:t>
      </w:r>
      <w:r w:rsidRPr="008146AF">
        <w:rPr>
          <w:lang w:val="es-ES"/>
        </w:rPr>
        <w:t>8.1 y 25.1 de</w:t>
      </w:r>
      <w:r w:rsidRPr="00787CB0">
        <w:rPr>
          <w:lang w:val="es-ES"/>
        </w:rPr>
        <w:t xml:space="preserve"> la Convención Americana</w:t>
      </w:r>
      <w:r>
        <w:rPr>
          <w:lang w:val="es-ES"/>
        </w:rPr>
        <w:t>,</w:t>
      </w:r>
      <w:r w:rsidRPr="00787CB0">
        <w:rPr>
          <w:lang w:val="es-ES"/>
        </w:rPr>
        <w:t xml:space="preserve"> en relació</w:t>
      </w:r>
      <w:r w:rsidRPr="008C4E75">
        <w:rPr>
          <w:lang w:val="es-ES"/>
        </w:rPr>
        <w:t xml:space="preserve">n con el artículo 1.1 de la Convención, al igual que de los artículos </w:t>
      </w:r>
      <w:r w:rsidRPr="008C4E75">
        <w:rPr>
          <w:szCs w:val="20"/>
        </w:rPr>
        <w:t>1, 6 y 8 de la CIPST, en</w:t>
      </w:r>
      <w:r w:rsidRPr="008146AF">
        <w:rPr>
          <w:szCs w:val="20"/>
        </w:rPr>
        <w:t xml:space="preserve"> perjuicio</w:t>
      </w:r>
      <w:r>
        <w:rPr>
          <w:szCs w:val="20"/>
        </w:rPr>
        <w:t xml:space="preserve"> de</w:t>
      </w:r>
      <w:r w:rsidRPr="008146AF">
        <w:rPr>
          <w:szCs w:val="20"/>
        </w:rPr>
        <w:t xml:space="preserve"> Rosa Carcausto </w:t>
      </w:r>
      <w:r>
        <w:rPr>
          <w:szCs w:val="20"/>
        </w:rPr>
        <w:t>Paco, Ermilio Antezana Cueto</w:t>
      </w:r>
      <w:r w:rsidRPr="0049215C">
        <w:rPr>
          <w:szCs w:val="20"/>
        </w:rPr>
        <w:t xml:space="preserve"> y Ofelia</w:t>
      </w:r>
      <w:r>
        <w:rPr>
          <w:szCs w:val="20"/>
        </w:rPr>
        <w:t xml:space="preserve"> Antezana Torre</w:t>
      </w:r>
      <w:r w:rsidRPr="008146AF">
        <w:rPr>
          <w:szCs w:val="20"/>
        </w:rPr>
        <w:t>,</w:t>
      </w:r>
      <w:r w:rsidRPr="00787CB0">
        <w:rPr>
          <w:szCs w:val="20"/>
        </w:rPr>
        <w:t xml:space="preserve"> por la falta de investigación de los alegados hechos de tortura que habrían sido de conocimiento del Estado desde 1986</w:t>
      </w:r>
      <w:r>
        <w:rPr>
          <w:szCs w:val="20"/>
        </w:rPr>
        <w:t>.</w:t>
      </w:r>
    </w:p>
    <w:p w:rsidR="00881DB6" w:rsidRPr="0034285E" w:rsidRDefault="00881DB6" w:rsidP="00881DB6">
      <w:pPr>
        <w:pStyle w:val="ListParagraph"/>
        <w:ind w:left="0" w:right="-144"/>
        <w:rPr>
          <w:lang w:val="es-ES"/>
        </w:rPr>
      </w:pPr>
    </w:p>
    <w:p w:rsidR="00C2360E" w:rsidRPr="00B5178B" w:rsidRDefault="00881DB6" w:rsidP="00B5178B">
      <w:pPr>
        <w:pStyle w:val="ListParagraph"/>
        <w:widowControl w:val="0"/>
        <w:numPr>
          <w:ilvl w:val="0"/>
          <w:numId w:val="1"/>
        </w:numPr>
        <w:tabs>
          <w:tab w:val="left" w:pos="0"/>
        </w:tabs>
        <w:adjustRightInd w:val="0"/>
        <w:spacing w:after="200" w:line="276" w:lineRule="auto"/>
        <w:ind w:left="0" w:firstLine="0"/>
        <w:jc w:val="left"/>
        <w:rPr>
          <w:rFonts w:eastAsiaTheme="majorEastAsia" w:cstheme="majorBidi"/>
          <w:b/>
          <w:bCs/>
          <w:szCs w:val="20"/>
        </w:rPr>
      </w:pPr>
      <w:r w:rsidRPr="00B5178B">
        <w:rPr>
          <w:szCs w:val="20"/>
        </w:rPr>
        <w:t xml:space="preserve">Por último, la Corte estima que el Estado es responsable de la violación al derecho a conocer la </w:t>
      </w:r>
      <w:r w:rsidRPr="00B5178B">
        <w:rPr>
          <w:lang w:val="es-ES"/>
        </w:rPr>
        <w:t>verdad</w:t>
      </w:r>
      <w:r w:rsidRPr="00B5178B">
        <w:rPr>
          <w:szCs w:val="20"/>
        </w:rPr>
        <w:t>, en perjuicio de los familiares de Wilfredo Terrones Silva: Guillermina Frida Landázuri Gómez; de Teresa Díaz Aparicio: Graciela Aparicio Pastor</w:t>
      </w:r>
      <w:r w:rsidR="007033FE" w:rsidRPr="00B5178B">
        <w:rPr>
          <w:szCs w:val="20"/>
        </w:rPr>
        <w:t xml:space="preserve"> y</w:t>
      </w:r>
      <w:r w:rsidRPr="00B5178B">
        <w:rPr>
          <w:szCs w:val="20"/>
        </w:rPr>
        <w:t xml:space="preserve"> Federico Díaz Aparicio, </w:t>
      </w:r>
      <w:r w:rsidR="007033FE" w:rsidRPr="00B5178B">
        <w:rPr>
          <w:szCs w:val="20"/>
        </w:rPr>
        <w:t>los dos</w:t>
      </w:r>
      <w:r w:rsidRPr="00B5178B">
        <w:rPr>
          <w:szCs w:val="20"/>
        </w:rPr>
        <w:t xml:space="preserve"> fallecidos; de Néstor Rojas Medina: Marcelina Medina Negrón y Tania Collantes Medina; de Cory Clodolia Tenicela Tello: Amadea Felipa Tello de Tenicela y de Santiago Antezana Cueto: Rosa Carcausto Paco, Ermilio Antezana Cueto y Ofelia Antezana Torre, dado que a la fecha se desconoce su paradero.</w:t>
      </w:r>
      <w:r w:rsidR="00B5178B" w:rsidRPr="00B5178B">
        <w:rPr>
          <w:szCs w:val="20"/>
        </w:rPr>
        <w:t xml:space="preserve"> </w:t>
      </w:r>
      <w:bookmarkStart w:id="213" w:name="_Toc521932516"/>
      <w:bookmarkStart w:id="214" w:name="_Toc522543511"/>
      <w:bookmarkStart w:id="215" w:name="_Toc523934924"/>
      <w:bookmarkStart w:id="216" w:name="_Toc525218286"/>
      <w:bookmarkStart w:id="217" w:name="_Toc525225535"/>
      <w:bookmarkStart w:id="218" w:name="_Toc399131814"/>
      <w:bookmarkStart w:id="219" w:name="_Toc525293069"/>
      <w:bookmarkStart w:id="220" w:name="_Toc525723209"/>
      <w:bookmarkStart w:id="221" w:name="_Toc527993560"/>
      <w:bookmarkEnd w:id="139"/>
    </w:p>
    <w:p w:rsidR="00D64F50" w:rsidRPr="00FC66A0" w:rsidRDefault="00D64F50" w:rsidP="006922EE">
      <w:pPr>
        <w:pStyle w:val="Heading1"/>
        <w:spacing w:before="0"/>
        <w:ind w:left="3600" w:firstLine="720"/>
        <w:rPr>
          <w:sz w:val="20"/>
          <w:szCs w:val="20"/>
        </w:rPr>
      </w:pPr>
      <w:r w:rsidRPr="00FC66A0">
        <w:rPr>
          <w:sz w:val="20"/>
          <w:szCs w:val="20"/>
        </w:rPr>
        <w:t>VIII.</w:t>
      </w:r>
      <w:r>
        <w:rPr>
          <w:sz w:val="20"/>
          <w:szCs w:val="20"/>
        </w:rPr>
        <w:t>3</w:t>
      </w:r>
      <w:r w:rsidRPr="00FC66A0">
        <w:rPr>
          <w:sz w:val="20"/>
          <w:szCs w:val="20"/>
        </w:rPr>
        <w:t>.</w:t>
      </w:r>
      <w:bookmarkEnd w:id="213"/>
      <w:bookmarkEnd w:id="214"/>
      <w:bookmarkEnd w:id="215"/>
      <w:bookmarkEnd w:id="216"/>
      <w:bookmarkEnd w:id="217"/>
      <w:bookmarkEnd w:id="218"/>
      <w:bookmarkEnd w:id="219"/>
      <w:bookmarkEnd w:id="220"/>
      <w:bookmarkEnd w:id="221"/>
    </w:p>
    <w:p w:rsidR="00BD3440" w:rsidRDefault="00660F6A" w:rsidP="00257982">
      <w:pPr>
        <w:pStyle w:val="Heading1"/>
        <w:spacing w:before="0"/>
        <w:jc w:val="center"/>
        <w:rPr>
          <w:sz w:val="20"/>
          <w:szCs w:val="20"/>
        </w:rPr>
      </w:pPr>
      <w:bookmarkStart w:id="222" w:name="_Toc527993561"/>
      <w:r w:rsidRPr="00257982">
        <w:rPr>
          <w:sz w:val="20"/>
          <w:szCs w:val="20"/>
        </w:rPr>
        <w:t>D</w:t>
      </w:r>
      <w:r w:rsidR="00BD3440">
        <w:rPr>
          <w:sz w:val="20"/>
          <w:szCs w:val="20"/>
        </w:rPr>
        <w:t>ERECHO A LA INTEGRIDAD PERSONAL</w:t>
      </w:r>
      <w:bookmarkEnd w:id="222"/>
      <w:r w:rsidR="00BD3440">
        <w:rPr>
          <w:sz w:val="20"/>
          <w:szCs w:val="20"/>
        </w:rPr>
        <w:t xml:space="preserve"> </w:t>
      </w:r>
    </w:p>
    <w:p w:rsidR="004E6789" w:rsidRDefault="00BD3440" w:rsidP="00257982">
      <w:pPr>
        <w:pStyle w:val="Heading1"/>
        <w:spacing w:before="0"/>
        <w:jc w:val="center"/>
        <w:rPr>
          <w:sz w:val="20"/>
          <w:szCs w:val="20"/>
        </w:rPr>
      </w:pPr>
      <w:bookmarkStart w:id="223" w:name="_Toc521932518"/>
      <w:bookmarkStart w:id="224" w:name="_Toc522543513"/>
      <w:bookmarkStart w:id="225" w:name="_Toc523934926"/>
      <w:bookmarkStart w:id="226" w:name="_Toc399131816"/>
      <w:bookmarkStart w:id="227" w:name="_Toc527993562"/>
      <w:r>
        <w:rPr>
          <w:sz w:val="20"/>
          <w:szCs w:val="20"/>
        </w:rPr>
        <w:t>(A</w:t>
      </w:r>
      <w:r w:rsidR="00660F6A" w:rsidRPr="00257982">
        <w:rPr>
          <w:sz w:val="20"/>
          <w:szCs w:val="20"/>
        </w:rPr>
        <w:t>rtículo 5.1, con relación al 1.1 de la Convención Americana),</w:t>
      </w:r>
      <w:bookmarkEnd w:id="223"/>
      <w:bookmarkEnd w:id="224"/>
      <w:bookmarkEnd w:id="225"/>
      <w:bookmarkEnd w:id="226"/>
      <w:bookmarkEnd w:id="227"/>
    </w:p>
    <w:p w:rsidR="00660F6A" w:rsidRPr="00257982" w:rsidRDefault="00660F6A" w:rsidP="00257982">
      <w:pPr>
        <w:pStyle w:val="Heading1"/>
        <w:spacing w:before="0"/>
        <w:jc w:val="center"/>
        <w:rPr>
          <w:sz w:val="20"/>
          <w:szCs w:val="20"/>
        </w:rPr>
      </w:pPr>
      <w:bookmarkStart w:id="228" w:name="_Toc521932519"/>
      <w:bookmarkStart w:id="229" w:name="_Toc522543514"/>
      <w:bookmarkStart w:id="230" w:name="_Toc523934927"/>
      <w:bookmarkStart w:id="231" w:name="_Toc399131817"/>
      <w:bookmarkStart w:id="232" w:name="_Toc527993563"/>
      <w:r w:rsidRPr="00257982">
        <w:rPr>
          <w:sz w:val="20"/>
          <w:szCs w:val="20"/>
        </w:rPr>
        <w:t>en perjuicio de los familiares de las personas desaparecidas</w:t>
      </w:r>
      <w:bookmarkEnd w:id="228"/>
      <w:bookmarkEnd w:id="229"/>
      <w:bookmarkEnd w:id="230"/>
      <w:bookmarkEnd w:id="231"/>
      <w:bookmarkEnd w:id="232"/>
    </w:p>
    <w:p w:rsidR="00F31E42" w:rsidRDefault="00F31E42" w:rsidP="00F31E42">
      <w:pPr>
        <w:tabs>
          <w:tab w:val="left" w:pos="567"/>
        </w:tabs>
        <w:autoSpaceDE w:val="0"/>
        <w:autoSpaceDN w:val="0"/>
        <w:adjustRightInd w:val="0"/>
        <w:outlineLvl w:val="1"/>
        <w:rPr>
          <w:b/>
          <w:szCs w:val="20"/>
        </w:rPr>
      </w:pPr>
      <w:bookmarkStart w:id="233" w:name="_Toc521932520"/>
      <w:bookmarkStart w:id="234" w:name="_Toc522543515"/>
      <w:bookmarkStart w:id="235" w:name="_Toc523934928"/>
    </w:p>
    <w:p w:rsidR="006771A1" w:rsidRPr="00F31E42" w:rsidRDefault="006771A1" w:rsidP="00F31E42">
      <w:pPr>
        <w:pStyle w:val="ListParagraph"/>
        <w:numPr>
          <w:ilvl w:val="0"/>
          <w:numId w:val="29"/>
        </w:numPr>
        <w:tabs>
          <w:tab w:val="left" w:pos="567"/>
        </w:tabs>
        <w:autoSpaceDE w:val="0"/>
        <w:autoSpaceDN w:val="0"/>
        <w:adjustRightInd w:val="0"/>
        <w:outlineLvl w:val="1"/>
        <w:rPr>
          <w:b/>
          <w:szCs w:val="20"/>
        </w:rPr>
      </w:pPr>
      <w:bookmarkStart w:id="236" w:name="_Toc527993564"/>
      <w:r w:rsidRPr="00F31E42">
        <w:rPr>
          <w:b/>
          <w:szCs w:val="20"/>
        </w:rPr>
        <w:t>Argumentos de las partes y de la Comisión</w:t>
      </w:r>
      <w:bookmarkEnd w:id="233"/>
      <w:bookmarkEnd w:id="234"/>
      <w:bookmarkEnd w:id="235"/>
      <w:bookmarkEnd w:id="236"/>
    </w:p>
    <w:p w:rsidR="006771A1" w:rsidRPr="006771A1" w:rsidRDefault="006771A1" w:rsidP="00257982">
      <w:pPr>
        <w:rPr>
          <w:b/>
          <w:szCs w:val="20"/>
        </w:rPr>
      </w:pPr>
    </w:p>
    <w:p w:rsidR="00E26128" w:rsidRPr="00AE420C" w:rsidRDefault="00E26128" w:rsidP="00E26128">
      <w:pPr>
        <w:pStyle w:val="ListParagraph"/>
        <w:widowControl w:val="0"/>
        <w:numPr>
          <w:ilvl w:val="0"/>
          <w:numId w:val="1"/>
        </w:numPr>
        <w:tabs>
          <w:tab w:val="left" w:pos="0"/>
        </w:tabs>
        <w:adjustRightInd w:val="0"/>
        <w:ind w:left="0" w:firstLine="0"/>
        <w:rPr>
          <w:rFonts w:eastAsiaTheme="minorHAnsi" w:cs="Arial"/>
          <w:color w:val="0F0F0F"/>
          <w:szCs w:val="20"/>
          <w:lang w:val="es-CR"/>
        </w:rPr>
      </w:pPr>
      <w:r w:rsidRPr="00AE420C">
        <w:rPr>
          <w:szCs w:val="20"/>
          <w:lang w:val="es-AR"/>
        </w:rPr>
        <w:t xml:space="preserve">La </w:t>
      </w:r>
      <w:r w:rsidRPr="00AE420C">
        <w:rPr>
          <w:b/>
          <w:szCs w:val="20"/>
          <w:lang w:val="es-AR"/>
        </w:rPr>
        <w:t>Comisión</w:t>
      </w:r>
      <w:r w:rsidRPr="00AE420C">
        <w:rPr>
          <w:szCs w:val="20"/>
          <w:lang w:val="es-AR"/>
        </w:rPr>
        <w:t xml:space="preserve"> consideró que </w:t>
      </w:r>
      <w:r>
        <w:rPr>
          <w:szCs w:val="20"/>
          <w:lang w:val="es-AR"/>
        </w:rPr>
        <w:t>el</w:t>
      </w:r>
      <w:r w:rsidRPr="00AE420C">
        <w:rPr>
          <w:szCs w:val="20"/>
          <w:lang w:val="es-AR"/>
        </w:rPr>
        <w:t xml:space="preserve"> Estado tiene la obligación de garantizar el derecho a la integridad personal de los familiares, también por la vía de investigaciones efectivas para dar con el paradero de su ser querido e identificar y sancionar a los responsables. Afirmó que la ausencia de </w:t>
      </w:r>
      <w:r w:rsidRPr="00AF1D92">
        <w:rPr>
          <w:szCs w:val="20"/>
        </w:rPr>
        <w:t>recursos</w:t>
      </w:r>
      <w:r w:rsidRPr="00AE420C">
        <w:rPr>
          <w:szCs w:val="20"/>
          <w:lang w:val="es-AR"/>
        </w:rPr>
        <w:t xml:space="preserve"> efectivos causa sufrimiento y angustia adicionales para las víctimas y sus familiares, por la naturaleza de los hechos del caso, la situación de impunidad y los efectos necesarios en el núcleo familiar de las víctimas. Adujo que el Estado violó el derecho a la integridad personal consagrado en el artículo 5.1 de la Convención Americana, en relación con las obligaciones establecidas en el artículo 1.1 del mismo instrumento, en perjuicio de los familiares de Wilfredo Terrones Silva, Teresa Díaz Aparicio, Santiago Antezana Cueto, Néstor Rojas Medina y Cory Clodolia Tenicela Tello.</w:t>
      </w:r>
      <w:r w:rsidRPr="00AE420C">
        <w:rPr>
          <w:szCs w:val="20"/>
          <w:lang w:val="es-CR"/>
        </w:rPr>
        <w:t xml:space="preserve">  </w:t>
      </w:r>
    </w:p>
    <w:p w:rsidR="00E26128" w:rsidRPr="00AE420C" w:rsidRDefault="00E26128" w:rsidP="00E26128">
      <w:pPr>
        <w:pStyle w:val="ListParagraph"/>
        <w:ind w:left="0" w:right="-144"/>
        <w:rPr>
          <w:rFonts w:eastAsiaTheme="minorHAnsi" w:cs="Arial"/>
          <w:color w:val="0F0F0F"/>
          <w:szCs w:val="20"/>
          <w:lang w:val="es-CR"/>
        </w:rPr>
      </w:pPr>
    </w:p>
    <w:p w:rsidR="00E26128" w:rsidRPr="00AE420C" w:rsidRDefault="00E26128" w:rsidP="00E26128">
      <w:pPr>
        <w:pStyle w:val="ListParagraph"/>
        <w:widowControl w:val="0"/>
        <w:numPr>
          <w:ilvl w:val="0"/>
          <w:numId w:val="1"/>
        </w:numPr>
        <w:tabs>
          <w:tab w:val="left" w:pos="0"/>
        </w:tabs>
        <w:adjustRightInd w:val="0"/>
        <w:ind w:left="0" w:firstLine="0"/>
        <w:rPr>
          <w:rFonts w:eastAsiaTheme="minorHAnsi" w:cs="Arial"/>
          <w:color w:val="0F0F0F"/>
          <w:szCs w:val="20"/>
          <w:lang w:val="es-CR"/>
        </w:rPr>
      </w:pPr>
      <w:r>
        <w:rPr>
          <w:szCs w:val="20"/>
          <w:lang w:val="es-CR"/>
        </w:rPr>
        <w:t>L</w:t>
      </w:r>
      <w:r w:rsidRPr="00AE420C">
        <w:rPr>
          <w:szCs w:val="20"/>
          <w:lang w:val="es-AR"/>
        </w:rPr>
        <w:t xml:space="preserve">os </w:t>
      </w:r>
      <w:r w:rsidRPr="00AE420C">
        <w:rPr>
          <w:b/>
          <w:szCs w:val="20"/>
          <w:lang w:val="es-AR"/>
        </w:rPr>
        <w:t>representantes</w:t>
      </w:r>
      <w:r w:rsidRPr="00AE420C">
        <w:rPr>
          <w:szCs w:val="20"/>
          <w:lang w:val="es-AR"/>
        </w:rPr>
        <w:t xml:space="preserve"> </w:t>
      </w:r>
      <w:r w:rsidRPr="00AE420C">
        <w:rPr>
          <w:szCs w:val="20"/>
          <w:lang w:val="es-CR"/>
        </w:rPr>
        <w:t xml:space="preserve">manifestaron </w:t>
      </w:r>
      <w:r>
        <w:rPr>
          <w:szCs w:val="20"/>
          <w:lang w:val="es-CR"/>
        </w:rPr>
        <w:t xml:space="preserve">que </w:t>
      </w:r>
      <w:r w:rsidRPr="00AE420C">
        <w:rPr>
          <w:szCs w:val="20"/>
          <w:lang w:val="es-CR"/>
        </w:rPr>
        <w:t xml:space="preserve">no se necesita prueba para demostrar las graves </w:t>
      </w:r>
      <w:r w:rsidRPr="00AF1D92">
        <w:rPr>
          <w:szCs w:val="20"/>
          <w:lang w:val="es-AR"/>
        </w:rPr>
        <w:t>afectaciones</w:t>
      </w:r>
      <w:r w:rsidRPr="00AE420C">
        <w:rPr>
          <w:szCs w:val="20"/>
          <w:lang w:val="es-CR"/>
        </w:rPr>
        <w:t xml:space="preserve"> a la integridad psíquica y emocional de los familiares de las presuntas víctimas, pues es una consecuencia directa del fenómeno de la desaparición forzada. En particular</w:t>
      </w:r>
      <w:r>
        <w:rPr>
          <w:szCs w:val="20"/>
          <w:lang w:val="es-CR"/>
        </w:rPr>
        <w:t>,</w:t>
      </w:r>
      <w:r w:rsidRPr="00AE420C">
        <w:rPr>
          <w:szCs w:val="20"/>
          <w:lang w:val="es-CR"/>
        </w:rPr>
        <w:t xml:space="preserve"> alegaron:</w:t>
      </w:r>
    </w:p>
    <w:p w:rsidR="00E26128" w:rsidRPr="00AE420C" w:rsidRDefault="00E26128" w:rsidP="00E26128">
      <w:pPr>
        <w:pStyle w:val="ListParagraph"/>
        <w:ind w:left="0" w:right="-144"/>
        <w:rPr>
          <w:rFonts w:eastAsiaTheme="minorHAnsi" w:cs="Arial"/>
          <w:color w:val="0F0F0F"/>
          <w:szCs w:val="20"/>
          <w:lang w:val="es-CR"/>
        </w:rPr>
      </w:pPr>
    </w:p>
    <w:p w:rsidR="00E26128" w:rsidRDefault="00E26128" w:rsidP="00E26128">
      <w:pPr>
        <w:ind w:left="720"/>
        <w:rPr>
          <w:szCs w:val="20"/>
          <w:lang w:val="es-AR"/>
        </w:rPr>
      </w:pPr>
      <w:r>
        <w:rPr>
          <w:szCs w:val="20"/>
          <w:lang w:val="es-CR"/>
        </w:rPr>
        <w:t>a.</w:t>
      </w:r>
      <w:r>
        <w:rPr>
          <w:szCs w:val="20"/>
          <w:lang w:val="es-CR"/>
        </w:rPr>
        <w:tab/>
      </w:r>
      <w:r>
        <w:rPr>
          <w:szCs w:val="20"/>
          <w:lang w:val="es-AR"/>
        </w:rPr>
        <w:t xml:space="preserve">respecto a Wilfredo Terrones Silva, </w:t>
      </w:r>
      <w:r w:rsidRPr="006B54DE">
        <w:rPr>
          <w:szCs w:val="20"/>
          <w:lang w:val="es-AR"/>
        </w:rPr>
        <w:t>que a pesar de haber realizado diferentes gestiones par</w:t>
      </w:r>
      <w:r>
        <w:rPr>
          <w:szCs w:val="20"/>
          <w:lang w:val="es-AR"/>
        </w:rPr>
        <w:t>a conocer su paradero no se ha tenido el resultado esperado. Concluyeron que el Estado vulneró e</w:t>
      </w:r>
      <w:r w:rsidRPr="006B54DE">
        <w:rPr>
          <w:szCs w:val="20"/>
          <w:lang w:val="es-AR"/>
        </w:rPr>
        <w:t>l derecho a la integridad psíqui</w:t>
      </w:r>
      <w:r>
        <w:rPr>
          <w:szCs w:val="20"/>
          <w:lang w:val="es-AR"/>
        </w:rPr>
        <w:t xml:space="preserve">ca y moral de sus familiares como </w:t>
      </w:r>
      <w:r w:rsidRPr="006B54DE">
        <w:rPr>
          <w:szCs w:val="20"/>
          <w:lang w:val="es-AR"/>
        </w:rPr>
        <w:t>resultado directo de su desaparición, de la incertidumbre que han vivido y siguen viviendo respec</w:t>
      </w:r>
      <w:r>
        <w:rPr>
          <w:szCs w:val="20"/>
          <w:lang w:val="es-AR"/>
        </w:rPr>
        <w:t>to a lo ocurrido con la presunta víctima;</w:t>
      </w:r>
    </w:p>
    <w:p w:rsidR="00E26128" w:rsidRDefault="00E26128" w:rsidP="00E26128">
      <w:pPr>
        <w:ind w:left="720"/>
        <w:rPr>
          <w:szCs w:val="20"/>
          <w:lang w:val="es-AR"/>
        </w:rPr>
      </w:pPr>
      <w:r>
        <w:rPr>
          <w:szCs w:val="20"/>
          <w:lang w:val="es-AR"/>
        </w:rPr>
        <w:t>b.</w:t>
      </w:r>
      <w:r>
        <w:rPr>
          <w:szCs w:val="20"/>
          <w:lang w:val="es-AR"/>
        </w:rPr>
        <w:tab/>
        <w:t xml:space="preserve">respecto a </w:t>
      </w:r>
      <w:r w:rsidRPr="006B54DE">
        <w:rPr>
          <w:szCs w:val="20"/>
          <w:lang w:val="es-AR"/>
        </w:rPr>
        <w:t xml:space="preserve">Teresa Díaz Aparicio, </w:t>
      </w:r>
      <w:r>
        <w:rPr>
          <w:szCs w:val="20"/>
          <w:lang w:val="es-AR"/>
        </w:rPr>
        <w:t>que</w:t>
      </w:r>
      <w:r w:rsidRPr="006B54DE">
        <w:rPr>
          <w:szCs w:val="20"/>
          <w:lang w:val="es-AR"/>
        </w:rPr>
        <w:t xml:space="preserve"> Graciela Aparicio Pastor y Federico Díaz Aparicio, madre y herma</w:t>
      </w:r>
      <w:r>
        <w:rPr>
          <w:szCs w:val="20"/>
          <w:lang w:val="es-AR"/>
        </w:rPr>
        <w:t>no de la víctima, realizaron</w:t>
      </w:r>
      <w:r w:rsidRPr="006B54DE">
        <w:rPr>
          <w:szCs w:val="20"/>
          <w:lang w:val="es-AR"/>
        </w:rPr>
        <w:t xml:space="preserve"> las acciones respectivas frente a</w:t>
      </w:r>
      <w:r>
        <w:rPr>
          <w:szCs w:val="20"/>
          <w:lang w:val="es-AR"/>
        </w:rPr>
        <w:t xml:space="preserve"> su</w:t>
      </w:r>
      <w:r w:rsidRPr="006B54DE">
        <w:rPr>
          <w:szCs w:val="20"/>
          <w:lang w:val="es-AR"/>
        </w:rPr>
        <w:t xml:space="preserve"> presunta desaparición. </w:t>
      </w:r>
      <w:r>
        <w:rPr>
          <w:szCs w:val="20"/>
          <w:lang w:val="es-AR"/>
        </w:rPr>
        <w:t>Señalaron que su</w:t>
      </w:r>
      <w:r w:rsidRPr="006B54DE">
        <w:rPr>
          <w:szCs w:val="20"/>
          <w:lang w:val="es-AR"/>
        </w:rPr>
        <w:t xml:space="preserve"> paradero sigue siendo desconocido hasta la fecha. </w:t>
      </w:r>
      <w:r>
        <w:rPr>
          <w:szCs w:val="20"/>
          <w:lang w:val="es-AR"/>
        </w:rPr>
        <w:t xml:space="preserve">Afirmaron que </w:t>
      </w:r>
      <w:r w:rsidRPr="006B54DE">
        <w:rPr>
          <w:szCs w:val="20"/>
          <w:lang w:val="es-AR"/>
        </w:rPr>
        <w:t>la vulneración del derecho a la in</w:t>
      </w:r>
      <w:r>
        <w:rPr>
          <w:szCs w:val="20"/>
          <w:lang w:val="es-AR"/>
        </w:rPr>
        <w:t xml:space="preserve">tegridad psíquica y moral de sus familiares </w:t>
      </w:r>
      <w:r w:rsidRPr="006B54DE">
        <w:rPr>
          <w:szCs w:val="20"/>
          <w:lang w:val="es-AR"/>
        </w:rPr>
        <w:t xml:space="preserve">es resultado directo de </w:t>
      </w:r>
      <w:r>
        <w:rPr>
          <w:szCs w:val="20"/>
          <w:lang w:val="es-AR"/>
        </w:rPr>
        <w:t>la</w:t>
      </w:r>
      <w:r w:rsidRPr="006B54DE">
        <w:rPr>
          <w:szCs w:val="20"/>
          <w:lang w:val="es-AR"/>
        </w:rPr>
        <w:t xml:space="preserve"> desaparición forzada que habría sufrido, y la incertidumbre y la impunidad que conlleva 25 años</w:t>
      </w:r>
      <w:r>
        <w:rPr>
          <w:szCs w:val="20"/>
          <w:lang w:val="es-AR"/>
        </w:rPr>
        <w:t xml:space="preserve"> sin tener respuesta del Estado;</w:t>
      </w:r>
    </w:p>
    <w:p w:rsidR="00E26128" w:rsidRDefault="00E26128" w:rsidP="00E26128">
      <w:pPr>
        <w:ind w:left="720"/>
        <w:rPr>
          <w:szCs w:val="20"/>
          <w:lang w:val="es-AR"/>
        </w:rPr>
      </w:pPr>
      <w:r>
        <w:rPr>
          <w:szCs w:val="20"/>
          <w:lang w:val="es-AR"/>
        </w:rPr>
        <w:t>c.</w:t>
      </w:r>
      <w:r>
        <w:rPr>
          <w:szCs w:val="20"/>
          <w:lang w:val="es-AR"/>
        </w:rPr>
        <w:tab/>
        <w:t xml:space="preserve">respecto a </w:t>
      </w:r>
      <w:r w:rsidRPr="005C3DCB">
        <w:rPr>
          <w:szCs w:val="20"/>
          <w:lang w:val="es-AR"/>
        </w:rPr>
        <w:t xml:space="preserve">Cory Clodolia Tenicela Tello, que sus familiares directos fueron los más perjudicados por su ausencia, concretamente señalaron a su </w:t>
      </w:r>
      <w:r w:rsidRPr="00E51E59">
        <w:rPr>
          <w:szCs w:val="20"/>
          <w:lang w:val="es-AR"/>
        </w:rPr>
        <w:t xml:space="preserve">madre Amadea </w:t>
      </w:r>
      <w:r w:rsidRPr="00E51E59">
        <w:rPr>
          <w:szCs w:val="20"/>
          <w:lang w:val="es-AR"/>
        </w:rPr>
        <w:lastRenderedPageBreak/>
        <w:t xml:space="preserve">Tello Barrera y a su hermana, Norma Tenicela Tello, quienes emprendieron su búsqueda desde el día de su desaparición, sin resultados. También hicieron referencia a su hermano mayor Zenobio Washington Tenicela Tello y su sobrina, Yorka Silvia Jara Tenicela, todos ellos afirmaron los representantes </w:t>
      </w:r>
      <w:r w:rsidRPr="00AE420C">
        <w:rPr>
          <w:szCs w:val="20"/>
          <w:lang w:val="es-AR"/>
        </w:rPr>
        <w:t>continúan sintiendo el dolor de la pérdida de su ser querido</w:t>
      </w:r>
      <w:r w:rsidRPr="005C3DCB">
        <w:rPr>
          <w:szCs w:val="20"/>
          <w:lang w:val="es-AR"/>
        </w:rPr>
        <w:t>;</w:t>
      </w:r>
    </w:p>
    <w:p w:rsidR="00E26128" w:rsidRDefault="00E26128" w:rsidP="00E26128">
      <w:pPr>
        <w:ind w:left="720"/>
        <w:rPr>
          <w:szCs w:val="20"/>
          <w:lang w:val="es-AR"/>
        </w:rPr>
      </w:pPr>
      <w:r>
        <w:rPr>
          <w:szCs w:val="20"/>
          <w:lang w:val="es-AR"/>
        </w:rPr>
        <w:t>d.</w:t>
      </w:r>
      <w:r>
        <w:rPr>
          <w:szCs w:val="20"/>
          <w:lang w:val="es-AR"/>
        </w:rPr>
        <w:tab/>
        <w:t xml:space="preserve">en cuanto a </w:t>
      </w:r>
      <w:r w:rsidRPr="006B54DE">
        <w:rPr>
          <w:szCs w:val="20"/>
          <w:lang w:val="es-AR"/>
        </w:rPr>
        <w:t>Néstor Rojas Medina,</w:t>
      </w:r>
      <w:r>
        <w:rPr>
          <w:szCs w:val="20"/>
          <w:lang w:val="es-AR"/>
        </w:rPr>
        <w:t xml:space="preserve"> que su madre Marcelina Medina Negrón realizó</w:t>
      </w:r>
      <w:r w:rsidRPr="006B54DE">
        <w:rPr>
          <w:szCs w:val="20"/>
          <w:lang w:val="es-AR"/>
        </w:rPr>
        <w:t xml:space="preserve"> las </w:t>
      </w:r>
      <w:r>
        <w:rPr>
          <w:szCs w:val="20"/>
          <w:lang w:val="es-AR"/>
        </w:rPr>
        <w:t>acciones respectivas frente a la</w:t>
      </w:r>
      <w:r w:rsidRPr="006B54DE">
        <w:rPr>
          <w:szCs w:val="20"/>
          <w:lang w:val="es-AR"/>
        </w:rPr>
        <w:t xml:space="preserve"> de</w:t>
      </w:r>
      <w:r>
        <w:rPr>
          <w:szCs w:val="20"/>
          <w:lang w:val="es-AR"/>
        </w:rPr>
        <w:t>tención de su hijo. Adujeron</w:t>
      </w:r>
      <w:r w:rsidRPr="006B54DE">
        <w:rPr>
          <w:szCs w:val="20"/>
          <w:lang w:val="es-AR"/>
        </w:rPr>
        <w:t xml:space="preserve"> que ella ha mantenido una actitud de</w:t>
      </w:r>
      <w:r>
        <w:rPr>
          <w:szCs w:val="20"/>
          <w:lang w:val="es-AR"/>
        </w:rPr>
        <w:t xml:space="preserve"> lucha constante para conocer su</w:t>
      </w:r>
      <w:r w:rsidRPr="006B54DE">
        <w:rPr>
          <w:szCs w:val="20"/>
          <w:lang w:val="es-AR"/>
        </w:rPr>
        <w:t xml:space="preserve"> paradero y obtener la sanción de los responsables de su desapari</w:t>
      </w:r>
      <w:r>
        <w:rPr>
          <w:szCs w:val="20"/>
          <w:lang w:val="es-AR"/>
        </w:rPr>
        <w:t>ción, la cual no ha tenido el</w:t>
      </w:r>
      <w:r w:rsidRPr="006B54DE">
        <w:rPr>
          <w:szCs w:val="20"/>
          <w:lang w:val="es-AR"/>
        </w:rPr>
        <w:t xml:space="preserve"> resultado espe</w:t>
      </w:r>
      <w:r>
        <w:rPr>
          <w:szCs w:val="20"/>
          <w:lang w:val="es-AR"/>
        </w:rPr>
        <w:t>rado. Afirmaron</w:t>
      </w:r>
      <w:r w:rsidRPr="006B54DE">
        <w:rPr>
          <w:szCs w:val="20"/>
          <w:lang w:val="es-AR"/>
        </w:rPr>
        <w:t xml:space="preserve"> que la vulneración del derecho a la in</w:t>
      </w:r>
      <w:r>
        <w:rPr>
          <w:szCs w:val="20"/>
          <w:lang w:val="es-AR"/>
        </w:rPr>
        <w:t>tegridad psíquica y moral de sus</w:t>
      </w:r>
      <w:r w:rsidRPr="006B54DE">
        <w:rPr>
          <w:szCs w:val="20"/>
          <w:lang w:val="es-AR"/>
        </w:rPr>
        <w:t xml:space="preserve"> fa</w:t>
      </w:r>
      <w:r>
        <w:rPr>
          <w:szCs w:val="20"/>
          <w:lang w:val="es-AR"/>
        </w:rPr>
        <w:t xml:space="preserve">miliares </w:t>
      </w:r>
      <w:r w:rsidRPr="006B54DE">
        <w:rPr>
          <w:szCs w:val="20"/>
          <w:lang w:val="es-AR"/>
        </w:rPr>
        <w:t xml:space="preserve">es resultado directo </w:t>
      </w:r>
      <w:r>
        <w:rPr>
          <w:szCs w:val="20"/>
          <w:lang w:val="es-AR"/>
        </w:rPr>
        <w:t>de su desaparición forzada, de l</w:t>
      </w:r>
      <w:r w:rsidRPr="006B54DE">
        <w:rPr>
          <w:szCs w:val="20"/>
          <w:lang w:val="es-AR"/>
        </w:rPr>
        <w:t xml:space="preserve">a incertidumbre que han </w:t>
      </w:r>
      <w:r>
        <w:rPr>
          <w:szCs w:val="20"/>
          <w:lang w:val="es-AR"/>
        </w:rPr>
        <w:t>vivido y que viven respecto a lo que le ocurrió, y</w:t>
      </w:r>
    </w:p>
    <w:p w:rsidR="00E26128" w:rsidRDefault="00E26128" w:rsidP="00E26128">
      <w:pPr>
        <w:ind w:left="720"/>
        <w:rPr>
          <w:szCs w:val="20"/>
          <w:lang w:val="es-AR"/>
        </w:rPr>
      </w:pPr>
      <w:r>
        <w:rPr>
          <w:szCs w:val="20"/>
          <w:lang w:val="es-AR"/>
        </w:rPr>
        <w:t>e.</w:t>
      </w:r>
      <w:r>
        <w:rPr>
          <w:szCs w:val="20"/>
          <w:lang w:val="es-AR"/>
        </w:rPr>
        <w:tab/>
        <w:t>respecto a Santiago Antezana Cueto, que el Estado violó</w:t>
      </w:r>
      <w:r w:rsidRPr="006B54DE">
        <w:rPr>
          <w:szCs w:val="20"/>
          <w:lang w:val="es-AR"/>
        </w:rPr>
        <w:t xml:space="preserve"> la integridad psíquica y moral de Rosa Carcausto Paco, E</w:t>
      </w:r>
      <w:r>
        <w:rPr>
          <w:szCs w:val="20"/>
          <w:lang w:val="es-AR"/>
        </w:rPr>
        <w:t>r</w:t>
      </w:r>
      <w:r w:rsidRPr="006B54DE">
        <w:rPr>
          <w:szCs w:val="20"/>
          <w:lang w:val="es-AR"/>
        </w:rPr>
        <w:t>milio Antezana Cueto, Ofelia Antez</w:t>
      </w:r>
      <w:r>
        <w:rPr>
          <w:szCs w:val="20"/>
          <w:lang w:val="es-AR"/>
        </w:rPr>
        <w:t>ana Torre y Máximo Antezana Espe</w:t>
      </w:r>
      <w:r w:rsidRPr="006B54DE">
        <w:rPr>
          <w:szCs w:val="20"/>
          <w:lang w:val="es-AR"/>
        </w:rPr>
        <w:t>za, en la medida que la desaparición forzada de Santiago Antezana Cueto l</w:t>
      </w:r>
      <w:r>
        <w:rPr>
          <w:szCs w:val="20"/>
          <w:lang w:val="es-AR"/>
        </w:rPr>
        <w:t>es ocasionó</w:t>
      </w:r>
      <w:r w:rsidRPr="006B54DE">
        <w:rPr>
          <w:szCs w:val="20"/>
          <w:lang w:val="es-AR"/>
        </w:rPr>
        <w:t xml:space="preserve"> graves sufrimientos que se vieron intensificados por la negativa del Estado de investigar los hechos y sancionar a los responsables. </w:t>
      </w:r>
      <w:r>
        <w:rPr>
          <w:szCs w:val="20"/>
          <w:lang w:val="es-AR"/>
        </w:rPr>
        <w:t xml:space="preserve">Destacaron </w:t>
      </w:r>
      <w:r w:rsidRPr="006B54DE">
        <w:rPr>
          <w:szCs w:val="20"/>
          <w:lang w:val="es-AR"/>
        </w:rPr>
        <w:t xml:space="preserve">que Rosa Carcausto </w:t>
      </w:r>
      <w:r>
        <w:rPr>
          <w:szCs w:val="20"/>
          <w:lang w:val="es-AR"/>
        </w:rPr>
        <w:t xml:space="preserve">Paco </w:t>
      </w:r>
      <w:r w:rsidRPr="006B54DE">
        <w:rPr>
          <w:szCs w:val="20"/>
          <w:lang w:val="es-AR"/>
        </w:rPr>
        <w:t>tenía planes de matrimonio con Santiago Antezana Cueto, y el proyecto de vida de formar una familia se vio truncado con la desaparición de éste, encontrándose hasta l</w:t>
      </w:r>
      <w:r>
        <w:rPr>
          <w:szCs w:val="20"/>
          <w:lang w:val="es-AR"/>
        </w:rPr>
        <w:t>a</w:t>
      </w:r>
      <w:r w:rsidRPr="006B54DE">
        <w:rPr>
          <w:szCs w:val="20"/>
          <w:lang w:val="es-AR"/>
        </w:rPr>
        <w:t xml:space="preserve"> fecha solte</w:t>
      </w:r>
      <w:r>
        <w:rPr>
          <w:szCs w:val="20"/>
          <w:lang w:val="es-AR"/>
        </w:rPr>
        <w:t>ra al haber dedicado su vida a l</w:t>
      </w:r>
      <w:r w:rsidRPr="006B54DE">
        <w:rPr>
          <w:szCs w:val="20"/>
          <w:lang w:val="es-AR"/>
        </w:rPr>
        <w:t>a búsqueda de justicia. A su vez</w:t>
      </w:r>
      <w:r>
        <w:rPr>
          <w:szCs w:val="20"/>
          <w:lang w:val="es-AR"/>
        </w:rPr>
        <w:t>, señalaron</w:t>
      </w:r>
      <w:r w:rsidRPr="006B54DE">
        <w:rPr>
          <w:szCs w:val="20"/>
          <w:lang w:val="es-AR"/>
        </w:rPr>
        <w:t xml:space="preserve"> que la prima de la víctima, Ofelia Antezana Torre, ha sufrido por la desaparición, habiéndose visto involucrada desde un inicio en la búsqueda de justicia. </w:t>
      </w:r>
      <w:r>
        <w:rPr>
          <w:szCs w:val="20"/>
          <w:lang w:val="es-AR"/>
        </w:rPr>
        <w:t xml:space="preserve">Agregaron </w:t>
      </w:r>
      <w:r w:rsidRPr="006B54DE">
        <w:rPr>
          <w:szCs w:val="20"/>
          <w:lang w:val="es-AR"/>
        </w:rPr>
        <w:t>que Máximo Antezana Espeza</w:t>
      </w:r>
      <w:r>
        <w:rPr>
          <w:szCs w:val="20"/>
          <w:lang w:val="es-AR"/>
        </w:rPr>
        <w:t xml:space="preserve">, tío de la víctima, </w:t>
      </w:r>
      <w:r w:rsidRPr="006B54DE">
        <w:rPr>
          <w:szCs w:val="20"/>
          <w:lang w:val="es-AR"/>
        </w:rPr>
        <w:t xml:space="preserve">tenía un estrecho vínculo con Santiago Antezana Cueto, esto quedó reflejado ya que en el momento que desaparece Santiago esto habría ocurrido cuando salió en </w:t>
      </w:r>
      <w:r>
        <w:rPr>
          <w:szCs w:val="20"/>
          <w:lang w:val="es-AR"/>
        </w:rPr>
        <w:t xml:space="preserve">su </w:t>
      </w:r>
      <w:r w:rsidRPr="006B54DE">
        <w:rPr>
          <w:szCs w:val="20"/>
          <w:lang w:val="es-AR"/>
        </w:rPr>
        <w:t>defensa.</w:t>
      </w:r>
    </w:p>
    <w:p w:rsidR="00E26128" w:rsidRDefault="00E26128" w:rsidP="00E26128">
      <w:pPr>
        <w:ind w:left="720"/>
        <w:rPr>
          <w:szCs w:val="20"/>
          <w:lang w:val="es-AR"/>
        </w:rPr>
      </w:pPr>
    </w:p>
    <w:p w:rsidR="00E26128" w:rsidRPr="00AE420C" w:rsidRDefault="00E26128" w:rsidP="00E26128">
      <w:pPr>
        <w:pStyle w:val="ListParagraph"/>
        <w:widowControl w:val="0"/>
        <w:numPr>
          <w:ilvl w:val="0"/>
          <w:numId w:val="1"/>
        </w:numPr>
        <w:tabs>
          <w:tab w:val="left" w:pos="0"/>
        </w:tabs>
        <w:adjustRightInd w:val="0"/>
        <w:ind w:left="0" w:firstLine="0"/>
        <w:rPr>
          <w:rFonts w:eastAsiaTheme="minorHAnsi" w:cs="Arial"/>
          <w:color w:val="0F0F0F"/>
          <w:szCs w:val="20"/>
          <w:lang w:val="es-CR"/>
        </w:rPr>
      </w:pPr>
      <w:r>
        <w:rPr>
          <w:szCs w:val="20"/>
          <w:lang w:val="es-AR"/>
        </w:rPr>
        <w:t>El</w:t>
      </w:r>
      <w:r w:rsidRPr="00AE420C">
        <w:rPr>
          <w:szCs w:val="20"/>
          <w:lang w:val="es-AR"/>
        </w:rPr>
        <w:t xml:space="preserve"> </w:t>
      </w:r>
      <w:r w:rsidRPr="00FB5F35">
        <w:rPr>
          <w:b/>
          <w:szCs w:val="20"/>
          <w:lang w:val="es-AR"/>
        </w:rPr>
        <w:t>Estado</w:t>
      </w:r>
      <w:r w:rsidRPr="006B54DE">
        <w:rPr>
          <w:szCs w:val="20"/>
          <w:lang w:val="es-AR"/>
        </w:rPr>
        <w:t xml:space="preserve"> </w:t>
      </w:r>
      <w:r>
        <w:rPr>
          <w:szCs w:val="20"/>
          <w:lang w:val="es-AR"/>
        </w:rPr>
        <w:t>alegó que</w:t>
      </w:r>
      <w:r w:rsidRPr="006B54DE">
        <w:rPr>
          <w:szCs w:val="20"/>
          <w:lang w:val="es-AR"/>
        </w:rPr>
        <w:t xml:space="preserve"> en el caso de los familiares de Wilfredo Terrones</w:t>
      </w:r>
      <w:r>
        <w:rPr>
          <w:szCs w:val="20"/>
          <w:lang w:val="es-AR"/>
        </w:rPr>
        <w:t xml:space="preserve"> Silva, Teresa Díaz Aparicio, Né</w:t>
      </w:r>
      <w:r w:rsidRPr="006B54DE">
        <w:rPr>
          <w:szCs w:val="20"/>
          <w:lang w:val="es-AR"/>
        </w:rPr>
        <w:t xml:space="preserve">stor Rojas Medina y Cory Clodolia Tenicela Tello es probable que </w:t>
      </w:r>
      <w:r>
        <w:rPr>
          <w:szCs w:val="20"/>
          <w:lang w:val="es-AR"/>
        </w:rPr>
        <w:t xml:space="preserve">la afectación que sufren </w:t>
      </w:r>
      <w:r w:rsidRPr="006B54DE">
        <w:rPr>
          <w:szCs w:val="20"/>
          <w:lang w:val="es-AR"/>
        </w:rPr>
        <w:t xml:space="preserve">sea similar a </w:t>
      </w:r>
      <w:r>
        <w:rPr>
          <w:szCs w:val="20"/>
          <w:lang w:val="es-AR"/>
        </w:rPr>
        <w:t xml:space="preserve">la </w:t>
      </w:r>
      <w:r w:rsidRPr="006B54DE">
        <w:rPr>
          <w:szCs w:val="20"/>
          <w:lang w:val="es-AR"/>
        </w:rPr>
        <w:t>de los familiares de víctimas de desaparición fo</w:t>
      </w:r>
      <w:r>
        <w:rPr>
          <w:szCs w:val="20"/>
          <w:lang w:val="es-AR"/>
        </w:rPr>
        <w:t>rzada, algo que no existe en el presente caso. Argumentó</w:t>
      </w:r>
      <w:r w:rsidRPr="006B54DE">
        <w:rPr>
          <w:szCs w:val="20"/>
          <w:lang w:val="es-AR"/>
        </w:rPr>
        <w:t xml:space="preserve"> que al no haberse acreditado la responsabilidad internacional del Estado por la supuesta desaparición forzada, </w:t>
      </w:r>
      <w:r>
        <w:rPr>
          <w:szCs w:val="20"/>
          <w:lang w:val="es-AR"/>
        </w:rPr>
        <w:t xml:space="preserve">Perú no se encontraría </w:t>
      </w:r>
      <w:r w:rsidRPr="00AF1D92">
        <w:rPr>
          <w:szCs w:val="20"/>
          <w:lang w:val="es-CR"/>
        </w:rPr>
        <w:t>según</w:t>
      </w:r>
      <w:r>
        <w:rPr>
          <w:szCs w:val="20"/>
          <w:lang w:val="es-AR"/>
        </w:rPr>
        <w:t xml:space="preserve"> el d</w:t>
      </w:r>
      <w:r w:rsidRPr="006B54DE">
        <w:rPr>
          <w:szCs w:val="20"/>
          <w:lang w:val="es-AR"/>
        </w:rPr>
        <w:t xml:space="preserve">erecho </w:t>
      </w:r>
      <w:r>
        <w:rPr>
          <w:szCs w:val="20"/>
          <w:lang w:val="es-AR"/>
        </w:rPr>
        <w:t>i</w:t>
      </w:r>
      <w:r w:rsidRPr="006B54DE">
        <w:rPr>
          <w:szCs w:val="20"/>
          <w:lang w:val="es-AR"/>
        </w:rPr>
        <w:t>nternacional obligado a reparar</w:t>
      </w:r>
      <w:r>
        <w:rPr>
          <w:szCs w:val="20"/>
          <w:lang w:val="es-AR"/>
        </w:rPr>
        <w:t>los</w:t>
      </w:r>
      <w:r w:rsidRPr="006B54DE">
        <w:rPr>
          <w:szCs w:val="20"/>
          <w:lang w:val="es-AR"/>
        </w:rPr>
        <w:t>.</w:t>
      </w:r>
      <w:r>
        <w:rPr>
          <w:szCs w:val="20"/>
          <w:lang w:val="es-AR"/>
        </w:rPr>
        <w:t xml:space="preserve"> </w:t>
      </w:r>
      <w:r w:rsidRPr="006B54DE">
        <w:rPr>
          <w:szCs w:val="20"/>
          <w:lang w:val="es-AR"/>
        </w:rPr>
        <w:t>En el cuanto a los familiares de Santiago Ant</w:t>
      </w:r>
      <w:r>
        <w:rPr>
          <w:szCs w:val="20"/>
          <w:lang w:val="es-AR"/>
        </w:rPr>
        <w:t>ezana Cueto, el Estado consideró</w:t>
      </w:r>
      <w:r w:rsidRPr="006B54DE">
        <w:rPr>
          <w:szCs w:val="20"/>
          <w:lang w:val="es-AR"/>
        </w:rPr>
        <w:t xml:space="preserve"> que ya han sido reparados tanto por la emisión de una sentencia que sanciona al responsable de la desaparición forzada, como mediante una indemnización económica. </w:t>
      </w:r>
      <w:r w:rsidRPr="00AE420C">
        <w:rPr>
          <w:szCs w:val="20"/>
          <w:lang w:val="es-CR"/>
        </w:rPr>
        <w:t xml:space="preserve"> </w:t>
      </w:r>
    </w:p>
    <w:p w:rsidR="00E26128" w:rsidRPr="00E518F1" w:rsidRDefault="00E26128" w:rsidP="00E26128">
      <w:pPr>
        <w:rPr>
          <w:b/>
          <w:sz w:val="16"/>
          <w:szCs w:val="16"/>
          <w:lang w:val="es-CR"/>
        </w:rPr>
      </w:pPr>
    </w:p>
    <w:p w:rsidR="00E26128" w:rsidRPr="00335BB0" w:rsidRDefault="00E26128" w:rsidP="00E26128">
      <w:pPr>
        <w:pStyle w:val="ListParagraph"/>
        <w:numPr>
          <w:ilvl w:val="0"/>
          <w:numId w:val="29"/>
        </w:numPr>
        <w:outlineLvl w:val="1"/>
        <w:rPr>
          <w:b/>
          <w:szCs w:val="20"/>
          <w:lang w:val="es-AR"/>
        </w:rPr>
      </w:pPr>
      <w:bookmarkStart w:id="237" w:name="_Toc527993565"/>
      <w:r w:rsidRPr="00335BB0">
        <w:rPr>
          <w:b/>
          <w:szCs w:val="20"/>
          <w:lang w:val="es-AR"/>
        </w:rPr>
        <w:t>Consideraciones de la Corte</w:t>
      </w:r>
      <w:bookmarkEnd w:id="237"/>
    </w:p>
    <w:p w:rsidR="00E26128" w:rsidRPr="001A7B56" w:rsidRDefault="00E26128" w:rsidP="00E26128">
      <w:pPr>
        <w:ind w:firstLine="720"/>
        <w:rPr>
          <w:b/>
          <w:i/>
          <w:szCs w:val="20"/>
          <w:lang w:val="es-AR"/>
        </w:rPr>
      </w:pPr>
    </w:p>
    <w:p w:rsidR="00E26128" w:rsidRPr="007F4D57" w:rsidRDefault="00E26128" w:rsidP="00E26128">
      <w:pPr>
        <w:pStyle w:val="ListParagraph"/>
        <w:widowControl w:val="0"/>
        <w:numPr>
          <w:ilvl w:val="0"/>
          <w:numId w:val="1"/>
        </w:numPr>
        <w:tabs>
          <w:tab w:val="left" w:pos="0"/>
        </w:tabs>
        <w:adjustRightInd w:val="0"/>
        <w:ind w:left="0" w:firstLine="0"/>
        <w:rPr>
          <w:rFonts w:eastAsiaTheme="minorHAnsi" w:cs="Arial"/>
          <w:color w:val="0F0F0F"/>
          <w:szCs w:val="20"/>
          <w:lang w:val="es-CR"/>
        </w:rPr>
      </w:pPr>
      <w:r w:rsidRPr="007F4D57">
        <w:rPr>
          <w:szCs w:val="20"/>
          <w:lang w:val="es-AR"/>
        </w:rPr>
        <w:t xml:space="preserve">Este Tribunal ha considerado que, en casos que involucran la desaparición forzada de personas, es posible entender que la violación del derecho a la integridad psíquica y moral de los familiares de la víctima es una consecuencia directa de ese fenómeno, que les causa un severo sufrimiento por el hecho mismo, que se acrecienta, entre otros factores, por la constante negativa de las autoridades estatales de proporcionar información acerca del paradero de la víctima o de realizar una investigación eficaz para lograr el esclarecimiento de lo sucedido. Estas afectaciones hacen presumir un daño a la integridad psíquica y moral de los familiares. En casos anteriores, la Corte ha establecido que dicha presunción se establece </w:t>
      </w:r>
      <w:r w:rsidRPr="007F4D57">
        <w:rPr>
          <w:i/>
          <w:szCs w:val="20"/>
          <w:lang w:val="es-AR"/>
        </w:rPr>
        <w:t>juris tantum</w:t>
      </w:r>
      <w:r w:rsidRPr="007F4D57">
        <w:rPr>
          <w:szCs w:val="20"/>
          <w:lang w:val="es-AR"/>
        </w:rPr>
        <w:t xml:space="preserve"> respecto de madres y padres, hijas e hijos, cónyuges, compañeros y compañeras permanentes, hermanos y hermanas siempre que corresponda a las circunstancias particulares del caso</w:t>
      </w:r>
      <w:r w:rsidRPr="00814725">
        <w:rPr>
          <w:rStyle w:val="FootnoteReference"/>
          <w:sz w:val="20"/>
          <w:szCs w:val="20"/>
          <w:lang w:val="es-AR"/>
        </w:rPr>
        <w:footnoteReference w:id="308"/>
      </w:r>
      <w:r w:rsidRPr="00DD250B">
        <w:rPr>
          <w:szCs w:val="20"/>
          <w:lang w:val="es-AR"/>
        </w:rPr>
        <w:t>.</w:t>
      </w:r>
    </w:p>
    <w:p w:rsidR="00E26128" w:rsidRPr="007F4D57" w:rsidRDefault="00E26128" w:rsidP="00E26128">
      <w:pPr>
        <w:pStyle w:val="ListParagraph"/>
        <w:ind w:left="0" w:right="-144"/>
        <w:rPr>
          <w:rFonts w:eastAsiaTheme="minorHAnsi" w:cs="Arial"/>
          <w:color w:val="0F0F0F"/>
          <w:szCs w:val="20"/>
          <w:lang w:val="es-CR"/>
        </w:rPr>
      </w:pPr>
    </w:p>
    <w:p w:rsidR="00E26128" w:rsidRPr="0049215C" w:rsidRDefault="00E26128" w:rsidP="00E26128">
      <w:pPr>
        <w:pStyle w:val="ListParagraph"/>
        <w:widowControl w:val="0"/>
        <w:numPr>
          <w:ilvl w:val="0"/>
          <w:numId w:val="1"/>
        </w:numPr>
        <w:tabs>
          <w:tab w:val="left" w:pos="0"/>
        </w:tabs>
        <w:adjustRightInd w:val="0"/>
        <w:ind w:left="0" w:firstLine="0"/>
        <w:rPr>
          <w:rFonts w:eastAsiaTheme="minorHAnsi" w:cs="Arial"/>
          <w:color w:val="0F0F0F"/>
          <w:szCs w:val="20"/>
          <w:lang w:val="es-CR"/>
        </w:rPr>
      </w:pPr>
      <w:r w:rsidRPr="0049215C">
        <w:rPr>
          <w:szCs w:val="20"/>
          <w:lang w:val="es-AR"/>
        </w:rPr>
        <w:t>En cuanto a los familiares de Santiago Antezana Cueto, la Corte toma en cuenta los peritajes realizados por Yovana Pérez Clara a</w:t>
      </w:r>
      <w:r>
        <w:rPr>
          <w:szCs w:val="20"/>
          <w:lang w:val="es-AR"/>
        </w:rPr>
        <w:t xml:space="preserve"> sus familiares</w:t>
      </w:r>
      <w:r w:rsidRPr="003D622F">
        <w:rPr>
          <w:rStyle w:val="FootnoteReference"/>
          <w:sz w:val="20"/>
          <w:szCs w:val="20"/>
          <w:lang w:val="es-AR"/>
        </w:rPr>
        <w:footnoteReference w:id="309"/>
      </w:r>
      <w:r w:rsidRPr="0049215C">
        <w:rPr>
          <w:szCs w:val="20"/>
          <w:lang w:val="es-AR"/>
        </w:rPr>
        <w:t xml:space="preserve">, dicha perita hizo referencia a las afectaciones psicológicas causadas por </w:t>
      </w:r>
      <w:r>
        <w:rPr>
          <w:szCs w:val="20"/>
          <w:lang w:val="es-AR"/>
        </w:rPr>
        <w:t xml:space="preserve">su </w:t>
      </w:r>
      <w:r w:rsidRPr="0049215C">
        <w:rPr>
          <w:szCs w:val="20"/>
          <w:lang w:val="es-AR"/>
        </w:rPr>
        <w:t>desaparición forzada</w:t>
      </w:r>
      <w:r>
        <w:rPr>
          <w:szCs w:val="20"/>
          <w:lang w:val="es-AR"/>
        </w:rPr>
        <w:t>,</w:t>
      </w:r>
      <w:r w:rsidRPr="0049215C">
        <w:rPr>
          <w:szCs w:val="20"/>
          <w:lang w:val="es-AR"/>
        </w:rPr>
        <w:t xml:space="preserve"> en Rosa Carcausto Paco</w:t>
      </w:r>
      <w:r>
        <w:rPr>
          <w:szCs w:val="20"/>
          <w:lang w:val="es-AR"/>
        </w:rPr>
        <w:t xml:space="preserve"> y Ermilio Antezana Cueto</w:t>
      </w:r>
      <w:r w:rsidRPr="0049215C">
        <w:rPr>
          <w:szCs w:val="20"/>
          <w:lang w:val="es-AR"/>
        </w:rPr>
        <w:t xml:space="preserve">. </w:t>
      </w:r>
    </w:p>
    <w:p w:rsidR="00E26128" w:rsidRPr="0049215C" w:rsidRDefault="00E26128" w:rsidP="00E26128">
      <w:pPr>
        <w:pStyle w:val="ListParagraph"/>
        <w:ind w:left="0" w:right="-144"/>
        <w:rPr>
          <w:rFonts w:eastAsiaTheme="minorHAnsi" w:cs="Arial"/>
          <w:color w:val="0F0F0F"/>
          <w:szCs w:val="20"/>
          <w:lang w:val="es-CR"/>
        </w:rPr>
      </w:pPr>
    </w:p>
    <w:p w:rsidR="00E26128" w:rsidRPr="007F4D57" w:rsidRDefault="00E26128" w:rsidP="00E26128">
      <w:pPr>
        <w:pStyle w:val="ListParagraph"/>
        <w:widowControl w:val="0"/>
        <w:numPr>
          <w:ilvl w:val="0"/>
          <w:numId w:val="1"/>
        </w:numPr>
        <w:tabs>
          <w:tab w:val="left" w:pos="0"/>
        </w:tabs>
        <w:adjustRightInd w:val="0"/>
        <w:ind w:left="0" w:firstLine="0"/>
        <w:rPr>
          <w:rFonts w:eastAsiaTheme="minorHAnsi" w:cs="Arial"/>
          <w:color w:val="0F0F0F"/>
          <w:szCs w:val="20"/>
          <w:lang w:val="es-CR"/>
        </w:rPr>
      </w:pPr>
      <w:r w:rsidRPr="007F4D57">
        <w:rPr>
          <w:szCs w:val="20"/>
          <w:lang w:val="es-AR"/>
        </w:rPr>
        <w:t>En cuanto a Ofelia Antezana Torre, en tanto que es prima y no familiar directa del señor Santiago Antezana</w:t>
      </w:r>
      <w:r>
        <w:rPr>
          <w:szCs w:val="20"/>
          <w:lang w:val="es-AR"/>
        </w:rPr>
        <w:t xml:space="preserve"> Cueto</w:t>
      </w:r>
      <w:r w:rsidRPr="007F4D57">
        <w:rPr>
          <w:szCs w:val="20"/>
          <w:lang w:val="es-AR"/>
        </w:rPr>
        <w:t xml:space="preserve">, no aplica la presunción </w:t>
      </w:r>
      <w:r w:rsidRPr="007F4D57">
        <w:rPr>
          <w:i/>
          <w:szCs w:val="20"/>
          <w:lang w:val="es-AR"/>
        </w:rPr>
        <w:t>iuris tantum</w:t>
      </w:r>
      <w:r w:rsidRPr="007F4D57">
        <w:rPr>
          <w:szCs w:val="20"/>
          <w:lang w:val="es-AR"/>
        </w:rPr>
        <w:t xml:space="preserve"> sobre la violación a la integridad personal. En razón de lo cual se debe probar su afectación. Al respecto, la Comisión no ha alegado afectaciones específicas sufridas por </w:t>
      </w:r>
      <w:r w:rsidRPr="0037282F">
        <w:rPr>
          <w:szCs w:val="20"/>
          <w:lang w:val="es-AR"/>
        </w:rPr>
        <w:t xml:space="preserve">ella. Los representantes alegaron que “ha sufrido por la desaparición, habiéndose visto involucrada desde un inicio en la búsqueda de justicia”. En ese sentido, se constata que en su declaración rendida mediante affidávit </w:t>
      </w:r>
      <w:r w:rsidR="007033FE">
        <w:rPr>
          <w:szCs w:val="20"/>
          <w:lang w:val="es-AR"/>
        </w:rPr>
        <w:t>manifest</w:t>
      </w:r>
      <w:r w:rsidRPr="0037282F">
        <w:rPr>
          <w:szCs w:val="20"/>
          <w:lang w:val="es-AR"/>
        </w:rPr>
        <w:t>ó</w:t>
      </w:r>
      <w:r w:rsidRPr="0037282F">
        <w:rPr>
          <w:rStyle w:val="FootnoteReference"/>
          <w:sz w:val="20"/>
          <w:szCs w:val="20"/>
          <w:lang w:val="es-AR"/>
        </w:rPr>
        <w:footnoteReference w:id="310"/>
      </w:r>
      <w:r w:rsidRPr="0037282F">
        <w:rPr>
          <w:szCs w:val="20"/>
          <w:lang w:val="es-AR"/>
        </w:rPr>
        <w:t>:</w:t>
      </w:r>
      <w:r w:rsidRPr="007F4D57">
        <w:rPr>
          <w:szCs w:val="20"/>
          <w:lang w:val="es-AR"/>
        </w:rPr>
        <w:t xml:space="preserve"> </w:t>
      </w:r>
    </w:p>
    <w:p w:rsidR="00E26128" w:rsidRDefault="00E26128" w:rsidP="00E26128">
      <w:pPr>
        <w:rPr>
          <w:szCs w:val="20"/>
          <w:lang w:val="es-AR"/>
        </w:rPr>
      </w:pPr>
    </w:p>
    <w:p w:rsidR="00E26128" w:rsidRPr="00E51E59" w:rsidRDefault="00E26128" w:rsidP="00E26128">
      <w:pPr>
        <w:ind w:left="720" w:right="720"/>
        <w:rPr>
          <w:sz w:val="16"/>
          <w:szCs w:val="16"/>
          <w:lang w:val="es-AR"/>
        </w:rPr>
      </w:pPr>
      <w:r w:rsidRPr="00E51E59">
        <w:rPr>
          <w:sz w:val="16"/>
          <w:szCs w:val="16"/>
          <w:lang w:val="es-AR"/>
        </w:rPr>
        <w:t>durante años impulsamos la búsqueda de nuestros familiares y también los de otras personas. Juntos uníamos fuerzas para denunciar las desapariciones y exigir que se investiguen nuestras denuncias. Descuide mucho a mi familia, a mi esposo e hijos por encontrar justicia, estaba indignada por todo lo sucedido. Siento que sin querer</w:t>
      </w:r>
      <w:r>
        <w:rPr>
          <w:sz w:val="16"/>
          <w:szCs w:val="16"/>
          <w:lang w:val="es-AR"/>
        </w:rPr>
        <w:t xml:space="preserve"> esto</w:t>
      </w:r>
      <w:r w:rsidRPr="00E51E59">
        <w:rPr>
          <w:sz w:val="16"/>
          <w:szCs w:val="16"/>
          <w:lang w:val="es-AR"/>
        </w:rPr>
        <w:t xml:space="preserve"> ha afectado a mis hijos y les he transmitido mi pena y nerviosismo. Yo estaba muy triste y como se dice </w:t>
      </w:r>
      <w:r>
        <w:rPr>
          <w:sz w:val="16"/>
          <w:szCs w:val="16"/>
          <w:lang w:val="es-AR"/>
        </w:rPr>
        <w:t>“</w:t>
      </w:r>
      <w:r w:rsidRPr="00E51E59">
        <w:rPr>
          <w:sz w:val="16"/>
          <w:szCs w:val="16"/>
          <w:lang w:val="es-AR"/>
        </w:rPr>
        <w:t>llevaba mi calvario por dentro</w:t>
      </w:r>
      <w:r>
        <w:rPr>
          <w:sz w:val="16"/>
          <w:szCs w:val="16"/>
          <w:lang w:val="es-AR"/>
        </w:rPr>
        <w:t>”</w:t>
      </w:r>
      <w:r w:rsidRPr="00E51E59">
        <w:rPr>
          <w:sz w:val="16"/>
          <w:szCs w:val="16"/>
          <w:lang w:val="es-AR"/>
        </w:rPr>
        <w:t xml:space="preserve"> frente a la mayoría de las personas, pero frente a mis hijos lloraba. Me imaginaba lo que había sufrido mi papá, mi primo y mi tío dentro del Cuartel y me afectaba mucho. También me afectó muchísimo que me acusaran de terrorista por buscar justicia, me perseguían y es horrible que te acusen de algo así, vivía con miedo y pensaba que en algún momento me iban a detener o desaparecer, tenía mucho temor de que algo me fuera a pasar.</w:t>
      </w:r>
    </w:p>
    <w:p w:rsidR="00E26128" w:rsidRDefault="00E26128" w:rsidP="00E26128">
      <w:pPr>
        <w:rPr>
          <w:szCs w:val="20"/>
          <w:lang w:val="es-AR"/>
        </w:rPr>
      </w:pPr>
    </w:p>
    <w:p w:rsidR="00E26128" w:rsidRPr="00B958E7" w:rsidRDefault="00E26128" w:rsidP="00E26128">
      <w:pPr>
        <w:pStyle w:val="ListParagraph"/>
        <w:widowControl w:val="0"/>
        <w:numPr>
          <w:ilvl w:val="0"/>
          <w:numId w:val="1"/>
        </w:numPr>
        <w:tabs>
          <w:tab w:val="left" w:pos="0"/>
        </w:tabs>
        <w:adjustRightInd w:val="0"/>
        <w:ind w:left="0" w:firstLine="0"/>
        <w:rPr>
          <w:rFonts w:eastAsiaTheme="minorHAnsi" w:cs="Arial"/>
          <w:color w:val="0F0F0F"/>
          <w:szCs w:val="20"/>
          <w:lang w:val="es-CR"/>
        </w:rPr>
      </w:pPr>
      <w:r w:rsidRPr="007F4D57">
        <w:rPr>
          <w:szCs w:val="20"/>
          <w:lang w:val="es-AR"/>
        </w:rPr>
        <w:t>Asimismo, en el peritaje rendido por Yovana Pérez Clara</w:t>
      </w:r>
      <w:r w:rsidRPr="0037282F">
        <w:rPr>
          <w:rStyle w:val="FootnoteReference"/>
          <w:sz w:val="20"/>
          <w:szCs w:val="20"/>
          <w:lang w:val="es-AR"/>
        </w:rPr>
        <w:footnoteReference w:id="311"/>
      </w:r>
      <w:r w:rsidRPr="000A423A">
        <w:rPr>
          <w:szCs w:val="20"/>
          <w:lang w:val="es-AR"/>
        </w:rPr>
        <w:t xml:space="preserve"> </w:t>
      </w:r>
      <w:r w:rsidRPr="007F4D57">
        <w:rPr>
          <w:szCs w:val="20"/>
          <w:lang w:val="es-AR"/>
        </w:rPr>
        <w:t>se indica que “en los meses y años posteriores a la ocurrencia del evento violento, la entrevistada experimentó una serie de padecimientos de naturaleza ansiosa depresiva que cursaban con intensidad oscilante entre los niveles moderado y grave. Destacaba el ánimo depresivo, las pesadillas y enuresis nocturna, el resentimiento y sobre todo al abandono absoluto del vínculo familiar inmediato para buscar a sus parientes ausentes. Con el paso del tiempo estos padecimie</w:t>
      </w:r>
      <w:r>
        <w:rPr>
          <w:szCs w:val="20"/>
          <w:lang w:val="es-AR"/>
        </w:rPr>
        <w:t>ntos se hicieron más tolerables”.</w:t>
      </w:r>
      <w:r>
        <w:rPr>
          <w:rFonts w:eastAsiaTheme="minorHAnsi" w:cs="Arial"/>
          <w:color w:val="0F0F0F"/>
          <w:szCs w:val="20"/>
          <w:lang w:val="es-AR"/>
        </w:rPr>
        <w:t xml:space="preserve"> </w:t>
      </w:r>
      <w:r w:rsidRPr="00B958E7">
        <w:rPr>
          <w:szCs w:val="20"/>
          <w:lang w:val="es-AR"/>
        </w:rPr>
        <w:t xml:space="preserve">Dado lo anterior, esta Corte considera que la señora Antezana Torre ha sufrido afectaciones a su integridad personal tal como lo señaló la perita. </w:t>
      </w:r>
    </w:p>
    <w:p w:rsidR="00E26128" w:rsidRPr="007F4D57" w:rsidRDefault="00E26128" w:rsidP="00E26128">
      <w:pPr>
        <w:pStyle w:val="ListParagraph"/>
        <w:ind w:left="0" w:right="-144"/>
        <w:rPr>
          <w:rFonts w:eastAsiaTheme="minorHAnsi" w:cs="Arial"/>
          <w:color w:val="0F0F0F"/>
          <w:szCs w:val="20"/>
          <w:lang w:val="es-CR"/>
        </w:rPr>
      </w:pPr>
    </w:p>
    <w:p w:rsidR="00E26128" w:rsidRPr="00C56C2C" w:rsidRDefault="00E26128" w:rsidP="00E26128">
      <w:pPr>
        <w:pStyle w:val="ListParagraph"/>
        <w:widowControl w:val="0"/>
        <w:numPr>
          <w:ilvl w:val="0"/>
          <w:numId w:val="1"/>
        </w:numPr>
        <w:tabs>
          <w:tab w:val="left" w:pos="0"/>
        </w:tabs>
        <w:adjustRightInd w:val="0"/>
        <w:ind w:left="0" w:firstLine="0"/>
        <w:rPr>
          <w:rFonts w:eastAsiaTheme="minorHAnsi" w:cs="Arial"/>
          <w:color w:val="0F0F0F"/>
          <w:szCs w:val="20"/>
          <w:lang w:val="es-CR"/>
        </w:rPr>
      </w:pPr>
      <w:r>
        <w:rPr>
          <w:szCs w:val="20"/>
          <w:lang w:val="es-AR"/>
        </w:rPr>
        <w:t>De igual manera</w:t>
      </w:r>
      <w:r w:rsidRPr="007F4D57">
        <w:rPr>
          <w:szCs w:val="20"/>
          <w:lang w:val="es-AR"/>
        </w:rPr>
        <w:t xml:space="preserve"> la Comisión </w:t>
      </w:r>
      <w:r>
        <w:rPr>
          <w:szCs w:val="20"/>
          <w:lang w:val="es-AR"/>
        </w:rPr>
        <w:t>y</w:t>
      </w:r>
      <w:r w:rsidRPr="007F4D57">
        <w:rPr>
          <w:szCs w:val="20"/>
          <w:lang w:val="es-AR"/>
        </w:rPr>
        <w:t xml:space="preserve"> los representantes alegaron </w:t>
      </w:r>
      <w:r>
        <w:rPr>
          <w:szCs w:val="20"/>
          <w:lang w:val="es-AR"/>
        </w:rPr>
        <w:t xml:space="preserve">que </w:t>
      </w:r>
      <w:r w:rsidRPr="007F4D57">
        <w:rPr>
          <w:szCs w:val="20"/>
          <w:lang w:val="es-AR"/>
        </w:rPr>
        <w:t>Máximo Antezana Espeza, tío de Santiago Antezana Cueto</w:t>
      </w:r>
      <w:r w:rsidR="00C2360E">
        <w:rPr>
          <w:szCs w:val="20"/>
          <w:lang w:val="es-AR"/>
        </w:rPr>
        <w:t>,</w:t>
      </w:r>
      <w:r w:rsidRPr="007F4D57">
        <w:rPr>
          <w:szCs w:val="20"/>
          <w:lang w:val="es-AR"/>
        </w:rPr>
        <w:t xml:space="preserve"> tenía un vínculo estrecho con él, precisamente porque al momento que lo detuvieron fue porque</w:t>
      </w:r>
      <w:r>
        <w:rPr>
          <w:szCs w:val="20"/>
          <w:lang w:val="es-AR"/>
        </w:rPr>
        <w:t xml:space="preserve"> salió en defensa de su</w:t>
      </w:r>
      <w:r w:rsidRPr="007F4D57">
        <w:rPr>
          <w:szCs w:val="20"/>
          <w:lang w:val="es-AR"/>
        </w:rPr>
        <w:t xml:space="preserve"> tío. Sin embargo, no han alega</w:t>
      </w:r>
      <w:r>
        <w:rPr>
          <w:szCs w:val="20"/>
          <w:lang w:val="es-AR"/>
        </w:rPr>
        <w:t>do afectaciones específicas al respecto</w:t>
      </w:r>
      <w:r w:rsidRPr="007F4D57">
        <w:rPr>
          <w:szCs w:val="20"/>
          <w:lang w:val="es-AR"/>
        </w:rPr>
        <w:t xml:space="preserve">. En tanto que no aplica para él la presunción </w:t>
      </w:r>
      <w:r w:rsidRPr="007F4D57">
        <w:rPr>
          <w:i/>
          <w:szCs w:val="20"/>
          <w:lang w:val="es-AR"/>
        </w:rPr>
        <w:t>iuris tantum</w:t>
      </w:r>
      <w:r w:rsidRPr="007F4D57">
        <w:rPr>
          <w:szCs w:val="20"/>
          <w:lang w:val="es-AR"/>
        </w:rPr>
        <w:t xml:space="preserve"> sobre la violación a la integridad personal, </w:t>
      </w:r>
      <w:r w:rsidRPr="007F4D57">
        <w:rPr>
          <w:rFonts w:cs="Verdana"/>
          <w:szCs w:val="20"/>
          <w:lang w:val="es-CR"/>
        </w:rPr>
        <w:t>la Corte estima que en el presente caso no fue probada la alegada violación del artículo 5 de la Convención Americana</w:t>
      </w:r>
      <w:r>
        <w:rPr>
          <w:szCs w:val="20"/>
          <w:lang w:val="es-CR"/>
        </w:rPr>
        <w:t>.</w:t>
      </w:r>
    </w:p>
    <w:p w:rsidR="00E26128" w:rsidRPr="00C56C2C" w:rsidRDefault="00E26128" w:rsidP="00E26128">
      <w:pPr>
        <w:pStyle w:val="ListParagraph"/>
        <w:rPr>
          <w:rFonts w:eastAsiaTheme="minorHAnsi" w:cs="Arial"/>
          <w:color w:val="0F0F0F"/>
          <w:szCs w:val="20"/>
          <w:lang w:val="es-CR"/>
        </w:rPr>
      </w:pPr>
    </w:p>
    <w:p w:rsidR="00E26128" w:rsidRPr="00794667" w:rsidRDefault="00E26128" w:rsidP="00E26128">
      <w:pPr>
        <w:pStyle w:val="ListParagraph"/>
        <w:widowControl w:val="0"/>
        <w:numPr>
          <w:ilvl w:val="0"/>
          <w:numId w:val="1"/>
        </w:numPr>
        <w:tabs>
          <w:tab w:val="left" w:pos="0"/>
        </w:tabs>
        <w:adjustRightInd w:val="0"/>
        <w:ind w:left="0" w:firstLine="0"/>
        <w:rPr>
          <w:rFonts w:eastAsiaTheme="minorHAnsi" w:cs="Arial"/>
          <w:color w:val="0F0F0F"/>
          <w:szCs w:val="20"/>
          <w:lang w:val="es-CR"/>
        </w:rPr>
      </w:pPr>
      <w:r w:rsidRPr="00794667">
        <w:rPr>
          <w:rFonts w:eastAsiaTheme="minorHAnsi" w:cs="Arial"/>
          <w:color w:val="0F0F0F"/>
          <w:szCs w:val="20"/>
          <w:lang w:val="es-CR"/>
        </w:rPr>
        <w:t xml:space="preserve">En relación </w:t>
      </w:r>
      <w:r w:rsidR="00C2360E">
        <w:rPr>
          <w:rFonts w:eastAsiaTheme="minorHAnsi" w:cs="Arial"/>
          <w:color w:val="0F0F0F"/>
          <w:szCs w:val="20"/>
          <w:lang w:val="es-CR"/>
        </w:rPr>
        <w:t>con</w:t>
      </w:r>
      <w:r w:rsidRPr="00794667">
        <w:rPr>
          <w:rFonts w:eastAsiaTheme="minorHAnsi" w:cs="Arial"/>
          <w:color w:val="0F0F0F"/>
          <w:szCs w:val="20"/>
          <w:lang w:val="es-CR"/>
        </w:rPr>
        <w:t xml:space="preserve"> los familiares de Wilfredo Terrones Silva y Cory Clodolia Tenicela Tello corresponde aplicar la presunción </w:t>
      </w:r>
      <w:r w:rsidRPr="00794667">
        <w:rPr>
          <w:rFonts w:eastAsiaTheme="minorHAnsi" w:cs="Arial"/>
          <w:i/>
          <w:color w:val="0F0F0F"/>
          <w:szCs w:val="20"/>
          <w:lang w:val="es-CR"/>
        </w:rPr>
        <w:t>iuris tantum</w:t>
      </w:r>
      <w:r w:rsidRPr="00794667">
        <w:rPr>
          <w:rFonts w:eastAsiaTheme="minorHAnsi" w:cs="Arial"/>
          <w:color w:val="0F0F0F"/>
          <w:szCs w:val="20"/>
          <w:lang w:val="es-CR"/>
        </w:rPr>
        <w:t xml:space="preserve"> sobre la violación a la integridad personal con respecto a sus familiares. En el caso del señor Terrones Silva se aplica para su esposa </w:t>
      </w:r>
      <w:r w:rsidRPr="00794667">
        <w:rPr>
          <w:szCs w:val="20"/>
          <w:lang w:val="es-ES_tradnl"/>
        </w:rPr>
        <w:t xml:space="preserve">Guillermina Frida Landázuri de Terrones. </w:t>
      </w:r>
      <w:r w:rsidRPr="00794667">
        <w:rPr>
          <w:szCs w:val="20"/>
          <w:lang w:val="es-AR"/>
        </w:rPr>
        <w:t>D</w:t>
      </w:r>
      <w:r>
        <w:rPr>
          <w:szCs w:val="20"/>
          <w:lang w:val="es-AR"/>
        </w:rPr>
        <w:t>e igual modo, en el caso de la señora Tenicela Tello</w:t>
      </w:r>
      <w:r w:rsidRPr="00794667">
        <w:rPr>
          <w:szCs w:val="20"/>
          <w:lang w:val="es-AR"/>
        </w:rPr>
        <w:t xml:space="preserve"> también se aplica dicha presunción para su madre Am</w:t>
      </w:r>
      <w:r>
        <w:rPr>
          <w:szCs w:val="20"/>
          <w:lang w:val="es-AR"/>
        </w:rPr>
        <w:t>adea Tello Barrera, su hermana,</w:t>
      </w:r>
      <w:r w:rsidRPr="00794667">
        <w:rPr>
          <w:szCs w:val="20"/>
          <w:lang w:val="es-AR"/>
        </w:rPr>
        <w:t xml:space="preserve"> Norma Tenicela Tello, y su hermano Zenobio Washington Tenicela</w:t>
      </w:r>
      <w:r w:rsidR="003D622F">
        <w:rPr>
          <w:szCs w:val="20"/>
          <w:lang w:val="es-AR"/>
        </w:rPr>
        <w:t xml:space="preserve"> Tello</w:t>
      </w:r>
      <w:r w:rsidRPr="00794667">
        <w:rPr>
          <w:szCs w:val="20"/>
          <w:lang w:val="es-AR"/>
        </w:rPr>
        <w:t xml:space="preserve">. </w:t>
      </w:r>
      <w:r w:rsidRPr="00794667">
        <w:t xml:space="preserve">Por el contrario, respecto </w:t>
      </w:r>
      <w:r w:rsidRPr="00794667">
        <w:rPr>
          <w:szCs w:val="20"/>
          <w:lang w:val="es-AR"/>
        </w:rPr>
        <w:t>a su sobrina, Yorka Silvia Jara Tenicela</w:t>
      </w:r>
      <w:r w:rsidRPr="00794667">
        <w:t xml:space="preserve">, la Corte advierte que no consta en el </w:t>
      </w:r>
      <w:r w:rsidRPr="00794667">
        <w:lastRenderedPageBreak/>
        <w:t>expediente evidencia del alegado sufrimiento generado por la desaparición de su tía. Al no tratarse de una familiar directa de la víctima desaparecida, se requiere demostrar el sufrimiento causado por su desaparición forzada. Por tanto, la Corte no estima acreditada la violación del derecho a la integridad personal en su perjuicio.</w:t>
      </w:r>
    </w:p>
    <w:p w:rsidR="00E26128" w:rsidRPr="00794667" w:rsidRDefault="00E26128" w:rsidP="00E26128">
      <w:pPr>
        <w:pStyle w:val="ListParagraph"/>
        <w:widowControl w:val="0"/>
        <w:tabs>
          <w:tab w:val="left" w:pos="0"/>
        </w:tabs>
        <w:adjustRightInd w:val="0"/>
        <w:ind w:left="0"/>
        <w:rPr>
          <w:rFonts w:eastAsiaTheme="minorHAnsi" w:cs="Arial"/>
          <w:color w:val="0F0F0F"/>
          <w:szCs w:val="20"/>
          <w:lang w:val="es-CR"/>
        </w:rPr>
      </w:pPr>
    </w:p>
    <w:p w:rsidR="00E26128" w:rsidRPr="00794667" w:rsidRDefault="00E26128" w:rsidP="00E26128">
      <w:pPr>
        <w:pStyle w:val="ListParagraph"/>
        <w:widowControl w:val="0"/>
        <w:numPr>
          <w:ilvl w:val="0"/>
          <w:numId w:val="1"/>
        </w:numPr>
        <w:tabs>
          <w:tab w:val="left" w:pos="0"/>
        </w:tabs>
        <w:adjustRightInd w:val="0"/>
        <w:ind w:left="0" w:firstLine="0"/>
        <w:rPr>
          <w:rFonts w:eastAsiaTheme="minorHAnsi" w:cs="Arial"/>
          <w:color w:val="0F0F0F"/>
          <w:szCs w:val="20"/>
          <w:lang w:val="es-CR"/>
        </w:rPr>
      </w:pPr>
      <w:r w:rsidRPr="00794667">
        <w:rPr>
          <w:rFonts w:eastAsiaTheme="minorHAnsi" w:cs="Arial"/>
          <w:color w:val="0F0F0F"/>
          <w:szCs w:val="20"/>
          <w:lang w:val="es-CR"/>
        </w:rPr>
        <w:t xml:space="preserve">Respecto a los familiares de Teresa Díaz Aparicio la Corte constata que corresponde </w:t>
      </w:r>
      <w:r w:rsidRPr="00794667">
        <w:rPr>
          <w:szCs w:val="20"/>
          <w:lang w:val="es-AR"/>
        </w:rPr>
        <w:t xml:space="preserve">aplicar también </w:t>
      </w:r>
      <w:r w:rsidRPr="00794667">
        <w:rPr>
          <w:rFonts w:eastAsiaTheme="minorHAnsi" w:cs="Arial"/>
          <w:color w:val="0F0F0F"/>
          <w:szCs w:val="20"/>
          <w:lang w:val="es-CR"/>
        </w:rPr>
        <w:t xml:space="preserve">la presunción </w:t>
      </w:r>
      <w:r w:rsidRPr="00794667">
        <w:rPr>
          <w:rFonts w:eastAsiaTheme="minorHAnsi" w:cs="Arial"/>
          <w:i/>
          <w:color w:val="0F0F0F"/>
          <w:szCs w:val="20"/>
          <w:lang w:val="es-CR"/>
        </w:rPr>
        <w:t>iuris tantum</w:t>
      </w:r>
      <w:r w:rsidRPr="00794667">
        <w:rPr>
          <w:szCs w:val="20"/>
          <w:lang w:val="es-AR"/>
        </w:rPr>
        <w:t xml:space="preserve"> </w:t>
      </w:r>
      <w:r w:rsidRPr="00794667">
        <w:rPr>
          <w:rFonts w:eastAsiaTheme="minorHAnsi" w:cs="Arial"/>
          <w:color w:val="0F0F0F"/>
          <w:szCs w:val="20"/>
          <w:lang w:val="es-CR"/>
        </w:rPr>
        <w:t xml:space="preserve">tanto para su madre </w:t>
      </w:r>
      <w:r w:rsidRPr="00794667">
        <w:rPr>
          <w:szCs w:val="20"/>
          <w:lang w:val="es-AR"/>
        </w:rPr>
        <w:t>Graciela Aparicio Pastor, como para sus hermanos Roberto Levi Aparicio y Federico Díaz Aparicio, por el sufrimiento causado por la desaparición forzada de su familiar</w:t>
      </w:r>
      <w:r w:rsidRPr="0037282F">
        <w:rPr>
          <w:rStyle w:val="FootnoteReference"/>
          <w:sz w:val="20"/>
          <w:szCs w:val="20"/>
          <w:lang w:val="es-AR"/>
        </w:rPr>
        <w:footnoteReference w:id="312"/>
      </w:r>
      <w:r w:rsidRPr="00794667">
        <w:rPr>
          <w:rFonts w:eastAsiaTheme="minorHAnsi" w:cs="Arial"/>
          <w:color w:val="0F0F0F"/>
          <w:szCs w:val="20"/>
          <w:lang w:val="es-CR"/>
        </w:rPr>
        <w:t>.</w:t>
      </w:r>
    </w:p>
    <w:p w:rsidR="00E26128" w:rsidRPr="00794667" w:rsidRDefault="00E26128" w:rsidP="00E26128">
      <w:pPr>
        <w:pStyle w:val="ListParagraph"/>
        <w:widowControl w:val="0"/>
        <w:tabs>
          <w:tab w:val="left" w:pos="0"/>
        </w:tabs>
        <w:adjustRightInd w:val="0"/>
        <w:ind w:left="0"/>
        <w:rPr>
          <w:rFonts w:eastAsiaTheme="minorHAnsi" w:cs="Arial"/>
          <w:color w:val="0F0F0F"/>
          <w:szCs w:val="20"/>
          <w:lang w:val="es-CR"/>
        </w:rPr>
      </w:pPr>
    </w:p>
    <w:p w:rsidR="00E26128" w:rsidRDefault="00E26128" w:rsidP="00E26128">
      <w:pPr>
        <w:pStyle w:val="ListParagraph"/>
        <w:widowControl w:val="0"/>
        <w:numPr>
          <w:ilvl w:val="0"/>
          <w:numId w:val="1"/>
        </w:numPr>
        <w:tabs>
          <w:tab w:val="left" w:pos="0"/>
        </w:tabs>
        <w:adjustRightInd w:val="0"/>
        <w:ind w:left="0" w:firstLine="0"/>
        <w:rPr>
          <w:rFonts w:eastAsiaTheme="minorHAnsi" w:cs="Arial"/>
          <w:color w:val="0F0F0F"/>
          <w:szCs w:val="20"/>
          <w:lang w:val="es-CR"/>
        </w:rPr>
      </w:pPr>
      <w:r w:rsidRPr="00794667">
        <w:rPr>
          <w:rFonts w:eastAsiaTheme="minorHAnsi" w:cs="Arial"/>
          <w:color w:val="0F0F0F"/>
          <w:szCs w:val="20"/>
          <w:lang w:val="es-CR"/>
        </w:rPr>
        <w:t>En lo que se refiere a Nést</w:t>
      </w:r>
      <w:r>
        <w:rPr>
          <w:rFonts w:eastAsiaTheme="minorHAnsi" w:cs="Arial"/>
          <w:color w:val="0F0F0F"/>
          <w:szCs w:val="20"/>
          <w:lang w:val="es-CR"/>
        </w:rPr>
        <w:t>or Rojas Medina, la Corte not</w:t>
      </w:r>
      <w:r w:rsidRPr="00794667">
        <w:rPr>
          <w:rFonts w:eastAsiaTheme="minorHAnsi" w:cs="Arial"/>
          <w:color w:val="0F0F0F"/>
          <w:szCs w:val="20"/>
          <w:lang w:val="es-CR"/>
        </w:rPr>
        <w:t>a que corresponde aplicar la presunción</w:t>
      </w:r>
      <w:r w:rsidRPr="00794667">
        <w:rPr>
          <w:rFonts w:eastAsiaTheme="minorHAnsi" w:cs="Arial"/>
          <w:i/>
          <w:color w:val="0F0F0F"/>
          <w:szCs w:val="20"/>
          <w:lang w:val="es-CR"/>
        </w:rPr>
        <w:t xml:space="preserve"> iuris tantum </w:t>
      </w:r>
      <w:r w:rsidRPr="00794667">
        <w:rPr>
          <w:rFonts w:eastAsiaTheme="minorHAnsi" w:cs="Arial"/>
          <w:color w:val="0F0F0F"/>
          <w:szCs w:val="20"/>
          <w:lang w:val="es-CR"/>
        </w:rPr>
        <w:t>para su madre</w:t>
      </w:r>
      <w:r w:rsidRPr="00794667">
        <w:rPr>
          <w:rFonts w:eastAsiaTheme="minorHAnsi" w:cs="Arial"/>
          <w:i/>
          <w:color w:val="0F0F0F"/>
          <w:szCs w:val="20"/>
          <w:lang w:val="es-CR"/>
        </w:rPr>
        <w:t xml:space="preserve"> </w:t>
      </w:r>
      <w:r w:rsidRPr="00794667">
        <w:rPr>
          <w:rFonts w:eastAsiaTheme="minorHAnsi" w:cs="Arial"/>
          <w:color w:val="0F0F0F"/>
          <w:szCs w:val="20"/>
          <w:lang w:val="es-CR"/>
        </w:rPr>
        <w:t>Marcelina Medina Negrón y su hermana Tania Collantes Medina sobre la violación de la integridad personal por ser familiares directos de una víctima de desaparición forzada.  El sufrimiento de dichas personas se ve constatado con los peritajes de Carlos Jibaja Zarate y Carmen Wurst de Land</w:t>
      </w:r>
      <w:r w:rsidR="00603D8C">
        <w:rPr>
          <w:rFonts w:eastAsiaTheme="minorHAnsi" w:cs="Arial"/>
          <w:color w:val="0F0F0F"/>
          <w:szCs w:val="20"/>
          <w:lang w:val="es-CR"/>
        </w:rPr>
        <w:t>á</w:t>
      </w:r>
      <w:r w:rsidRPr="00794667">
        <w:rPr>
          <w:rFonts w:eastAsiaTheme="minorHAnsi" w:cs="Arial"/>
          <w:color w:val="0F0F0F"/>
          <w:szCs w:val="20"/>
          <w:lang w:val="es-CR"/>
        </w:rPr>
        <w:t xml:space="preserve">zuri, en los cuales se hace referencia a las afectaciones psicológicas causadas por la desaparición forzada de Néstor Rojas Medina. </w:t>
      </w:r>
    </w:p>
    <w:p w:rsidR="00E26128" w:rsidRPr="0037282F" w:rsidRDefault="00E26128" w:rsidP="00E26128">
      <w:pPr>
        <w:pStyle w:val="ListParagraph"/>
        <w:rPr>
          <w:rFonts w:eastAsiaTheme="minorHAnsi" w:cs="Arial"/>
          <w:color w:val="0F0F0F"/>
          <w:szCs w:val="20"/>
          <w:lang w:val="es-CR"/>
        </w:rPr>
      </w:pPr>
    </w:p>
    <w:p w:rsidR="00E26128" w:rsidRPr="0037282F" w:rsidRDefault="00E26128" w:rsidP="00E26128">
      <w:pPr>
        <w:pStyle w:val="ListParagraph"/>
        <w:widowControl w:val="0"/>
        <w:numPr>
          <w:ilvl w:val="0"/>
          <w:numId w:val="1"/>
        </w:numPr>
        <w:tabs>
          <w:tab w:val="left" w:pos="0"/>
        </w:tabs>
        <w:adjustRightInd w:val="0"/>
        <w:ind w:left="0" w:firstLine="0"/>
        <w:rPr>
          <w:rFonts w:eastAsiaTheme="minorHAnsi" w:cs="Arial"/>
          <w:color w:val="0F0F0F"/>
          <w:szCs w:val="20"/>
          <w:lang w:val="es-CR"/>
        </w:rPr>
      </w:pPr>
      <w:r w:rsidRPr="0037282F">
        <w:rPr>
          <w:szCs w:val="20"/>
          <w:lang w:val="es-AR"/>
        </w:rPr>
        <w:t>Con base en las consideraciones anteriores, este Tribunal concluye que el Perú violó el derecho a la integridad personal reconocido en el artículo 5.1 de la Convención Americana, en relación con el artículo 1.1 del mismo instrumento, en perjuicio de Rosa Carcausto Paco, Ermilio Antezana Cueto, Ofelia Antezana Torre,</w:t>
      </w:r>
      <w:r w:rsidRPr="0037282F">
        <w:rPr>
          <w:szCs w:val="20"/>
          <w:lang w:val="es-ES_tradnl"/>
        </w:rPr>
        <w:t xml:space="preserve"> Guillermina Frida Landázuri de Terrones,</w:t>
      </w:r>
      <w:r w:rsidRPr="0037282F">
        <w:rPr>
          <w:szCs w:val="20"/>
          <w:lang w:val="es-AR"/>
        </w:rPr>
        <w:t xml:space="preserve"> Graciela Aparicio Pastor, </w:t>
      </w:r>
      <w:r w:rsidR="00702A37">
        <w:rPr>
          <w:szCs w:val="20"/>
          <w:lang w:val="es-AR"/>
        </w:rPr>
        <w:t>Roberto Levi</w:t>
      </w:r>
      <w:r w:rsidRPr="00FD6009">
        <w:rPr>
          <w:szCs w:val="20"/>
          <w:lang w:val="es-AR"/>
        </w:rPr>
        <w:t xml:space="preserve"> Aparicio y Federico Díaz Aparicio, Amadea </w:t>
      </w:r>
      <w:r w:rsidR="007033FE">
        <w:rPr>
          <w:szCs w:val="20"/>
          <w:lang w:val="es-AR"/>
        </w:rPr>
        <w:t xml:space="preserve">Felipa </w:t>
      </w:r>
      <w:r w:rsidRPr="00FD6009">
        <w:rPr>
          <w:szCs w:val="20"/>
          <w:lang w:val="es-AR"/>
        </w:rPr>
        <w:t xml:space="preserve">Tello </w:t>
      </w:r>
      <w:r w:rsidR="007033FE">
        <w:rPr>
          <w:szCs w:val="20"/>
          <w:lang w:val="es-AR"/>
        </w:rPr>
        <w:t>de Tenicela</w:t>
      </w:r>
      <w:r w:rsidRPr="00FD6009">
        <w:rPr>
          <w:szCs w:val="20"/>
          <w:lang w:val="es-AR"/>
        </w:rPr>
        <w:t>, Norma Tenicela Tello, Zenobio Washington Tenicela</w:t>
      </w:r>
      <w:r w:rsidR="00DB3A90">
        <w:rPr>
          <w:szCs w:val="20"/>
          <w:lang w:val="es-AR"/>
        </w:rPr>
        <w:t xml:space="preserve"> Tello</w:t>
      </w:r>
      <w:r w:rsidRPr="00FD6009">
        <w:rPr>
          <w:szCs w:val="20"/>
          <w:lang w:val="es-AR"/>
        </w:rPr>
        <w:t>,</w:t>
      </w:r>
      <w:r w:rsidRPr="0037282F">
        <w:rPr>
          <w:rFonts w:eastAsiaTheme="minorHAnsi" w:cs="Arial"/>
          <w:color w:val="0F0F0F"/>
          <w:szCs w:val="20"/>
          <w:lang w:val="es-CR"/>
        </w:rPr>
        <w:t xml:space="preserve"> Marcelina Medina Negrón,</w:t>
      </w:r>
      <w:r>
        <w:rPr>
          <w:rFonts w:eastAsiaTheme="minorHAnsi" w:cs="Arial"/>
          <w:color w:val="0F0F0F"/>
          <w:szCs w:val="20"/>
          <w:lang w:val="es-CR"/>
        </w:rPr>
        <w:t xml:space="preserve"> y</w:t>
      </w:r>
      <w:r w:rsidRPr="0037282F">
        <w:rPr>
          <w:rFonts w:eastAsiaTheme="minorHAnsi" w:cs="Arial"/>
          <w:color w:val="0F0F0F"/>
          <w:szCs w:val="20"/>
          <w:lang w:val="es-CR"/>
        </w:rPr>
        <w:t xml:space="preserve"> Tania Collantes Medina</w:t>
      </w:r>
      <w:r w:rsidRPr="0037282F">
        <w:rPr>
          <w:szCs w:val="20"/>
          <w:lang w:val="es-AR"/>
        </w:rPr>
        <w:t>.</w:t>
      </w:r>
    </w:p>
    <w:p w:rsidR="00660F6A" w:rsidRPr="002D07B9" w:rsidRDefault="00660F6A" w:rsidP="00660F6A">
      <w:pPr>
        <w:rPr>
          <w:lang w:val="es-CR"/>
        </w:rPr>
      </w:pPr>
    </w:p>
    <w:p w:rsidR="00D64F50" w:rsidRPr="00915678" w:rsidRDefault="00D64F50" w:rsidP="00D64F50">
      <w:pPr>
        <w:pStyle w:val="Heading1"/>
        <w:spacing w:before="0"/>
        <w:jc w:val="center"/>
        <w:rPr>
          <w:sz w:val="20"/>
          <w:szCs w:val="20"/>
          <w:lang w:val="es-CR"/>
        </w:rPr>
      </w:pPr>
      <w:bookmarkStart w:id="238" w:name="_Toc513818371"/>
      <w:bookmarkStart w:id="239" w:name="_Toc521932523"/>
      <w:bookmarkStart w:id="240" w:name="_Toc522543516"/>
      <w:bookmarkStart w:id="241" w:name="_Toc523934929"/>
      <w:bookmarkStart w:id="242" w:name="_Toc525218293"/>
      <w:bookmarkStart w:id="243" w:name="_Toc525225542"/>
      <w:bookmarkStart w:id="244" w:name="_Toc399131818"/>
      <w:bookmarkStart w:id="245" w:name="_Toc525293076"/>
      <w:bookmarkStart w:id="246" w:name="_Toc525723215"/>
      <w:bookmarkStart w:id="247" w:name="_Toc527993566"/>
      <w:r>
        <w:rPr>
          <w:sz w:val="20"/>
          <w:szCs w:val="20"/>
          <w:lang w:val="es-CR"/>
        </w:rPr>
        <w:t>IX</w:t>
      </w:r>
      <w:bookmarkEnd w:id="238"/>
      <w:bookmarkEnd w:id="239"/>
      <w:bookmarkEnd w:id="240"/>
      <w:bookmarkEnd w:id="241"/>
      <w:bookmarkEnd w:id="242"/>
      <w:bookmarkEnd w:id="243"/>
      <w:bookmarkEnd w:id="244"/>
      <w:bookmarkEnd w:id="245"/>
      <w:bookmarkEnd w:id="246"/>
      <w:bookmarkEnd w:id="247"/>
    </w:p>
    <w:p w:rsidR="00D64F50" w:rsidRPr="00915678" w:rsidRDefault="00D64F50" w:rsidP="00D64F50">
      <w:pPr>
        <w:pStyle w:val="Heading1"/>
        <w:spacing w:before="0"/>
        <w:jc w:val="center"/>
        <w:rPr>
          <w:spacing w:val="-2"/>
          <w:sz w:val="20"/>
          <w:szCs w:val="20"/>
          <w:lang w:val="es-CR"/>
        </w:rPr>
      </w:pPr>
      <w:bookmarkStart w:id="248" w:name="_Toc440636831"/>
      <w:bookmarkStart w:id="249" w:name="_Toc446096951"/>
      <w:bookmarkStart w:id="250" w:name="_Toc469654595"/>
      <w:bookmarkStart w:id="251" w:name="_Toc471739248"/>
      <w:bookmarkStart w:id="252" w:name="_Toc513818372"/>
      <w:bookmarkStart w:id="253" w:name="_Toc527993567"/>
      <w:r w:rsidRPr="00915678">
        <w:rPr>
          <w:spacing w:val="-2"/>
          <w:sz w:val="20"/>
          <w:szCs w:val="20"/>
          <w:lang w:val="es-CR"/>
        </w:rPr>
        <w:t>REPARACIONES</w:t>
      </w:r>
      <w:bookmarkEnd w:id="248"/>
      <w:bookmarkEnd w:id="249"/>
      <w:bookmarkEnd w:id="250"/>
      <w:bookmarkEnd w:id="251"/>
      <w:bookmarkEnd w:id="252"/>
      <w:bookmarkEnd w:id="253"/>
    </w:p>
    <w:p w:rsidR="00D64F50" w:rsidRPr="00915678" w:rsidRDefault="00D64F50" w:rsidP="00D64F50">
      <w:pPr>
        <w:pStyle w:val="Heading1"/>
        <w:spacing w:before="0"/>
        <w:jc w:val="center"/>
        <w:rPr>
          <w:spacing w:val="-2"/>
          <w:sz w:val="20"/>
          <w:szCs w:val="20"/>
        </w:rPr>
      </w:pPr>
      <w:bookmarkStart w:id="254" w:name="_Toc513818373"/>
      <w:bookmarkStart w:id="255" w:name="_Toc521932525"/>
      <w:bookmarkStart w:id="256" w:name="_Toc522543518"/>
      <w:bookmarkStart w:id="257" w:name="_Toc523934931"/>
      <w:bookmarkStart w:id="258" w:name="_Toc399131820"/>
      <w:bookmarkStart w:id="259" w:name="_Toc527993568"/>
      <w:r w:rsidRPr="00915678">
        <w:rPr>
          <w:spacing w:val="-2"/>
          <w:sz w:val="20"/>
          <w:szCs w:val="20"/>
        </w:rPr>
        <w:t>(Aplicación del artículo 63.1 de la Convención Americana)</w:t>
      </w:r>
      <w:bookmarkEnd w:id="254"/>
      <w:bookmarkEnd w:id="255"/>
      <w:bookmarkEnd w:id="256"/>
      <w:bookmarkEnd w:id="257"/>
      <w:bookmarkEnd w:id="258"/>
      <w:bookmarkEnd w:id="259"/>
    </w:p>
    <w:p w:rsidR="00D64F50" w:rsidRDefault="00D64F50" w:rsidP="00D64F50">
      <w:pPr>
        <w:ind w:right="-4"/>
        <w:rPr>
          <w:i/>
          <w:lang w:bidi="en-US"/>
        </w:rPr>
      </w:pPr>
    </w:p>
    <w:p w:rsidR="0060330C" w:rsidRDefault="0060330C" w:rsidP="0060330C">
      <w:pPr>
        <w:pStyle w:val="ListParagraph"/>
        <w:widowControl w:val="0"/>
        <w:numPr>
          <w:ilvl w:val="0"/>
          <w:numId w:val="1"/>
        </w:numPr>
        <w:tabs>
          <w:tab w:val="left" w:pos="0"/>
        </w:tabs>
        <w:adjustRightInd w:val="0"/>
        <w:ind w:left="0" w:firstLine="0"/>
        <w:rPr>
          <w:i/>
          <w:lang w:bidi="en-US"/>
        </w:rPr>
      </w:pPr>
      <w:r>
        <w:rPr>
          <w:lang w:bidi="en-US"/>
        </w:rPr>
        <w:t xml:space="preserve">Con </w:t>
      </w:r>
      <w:r w:rsidRPr="00257982">
        <w:rPr>
          <w:rFonts w:cs="Verdana"/>
          <w:lang w:val="es-ES" w:eastAsia="es-MX"/>
        </w:rPr>
        <w:t>base</w:t>
      </w:r>
      <w:r>
        <w:rPr>
          <w:lang w:bidi="en-US"/>
        </w:rPr>
        <w:t xml:space="preserve"> en lo dispuesto en el artículo 63.1 de la Convención, la Corte ha </w:t>
      </w:r>
      <w:r w:rsidRPr="005B3FB9">
        <w:rPr>
          <w:spacing w:val="-2"/>
          <w:lang w:val="es-ES"/>
        </w:rPr>
        <w:t>indicado</w:t>
      </w:r>
      <w:r>
        <w:rPr>
          <w:lang w:bidi="en-US"/>
        </w:rPr>
        <w:t xml:space="preserve"> que toda </w:t>
      </w:r>
      <w:r>
        <w:t>violación</w:t>
      </w:r>
      <w:r>
        <w:rPr>
          <w:lang w:bidi="en-US"/>
        </w:rPr>
        <w:t xml:space="preserve"> de una obligación internacional que haya producido daño comporta el deber de repararlo adecuadamente y que esa disposición “recoge una norma consuetudinaria que constituye uno de los principios fundamentales del Derecho Internacional contemporáneo sobre responsabilidad de un Estado”</w:t>
      </w:r>
      <w:r w:rsidRPr="00814725">
        <w:rPr>
          <w:rStyle w:val="FootnoteReference"/>
          <w:sz w:val="20"/>
          <w:szCs w:val="20"/>
          <w:lang w:bidi="en-US"/>
        </w:rPr>
        <w:footnoteReference w:id="313"/>
      </w:r>
      <w:r w:rsidRPr="003C44F3">
        <w:rPr>
          <w:szCs w:val="20"/>
          <w:lang w:bidi="en-US"/>
        </w:rPr>
        <w:t>.</w:t>
      </w:r>
      <w:r>
        <w:rPr>
          <w:lang w:bidi="en-US"/>
        </w:rPr>
        <w:t xml:space="preserve"> </w:t>
      </w:r>
    </w:p>
    <w:p w:rsidR="0060330C" w:rsidRDefault="0060330C" w:rsidP="0060330C">
      <w:pPr>
        <w:pStyle w:val="Estilo1"/>
        <w:tabs>
          <w:tab w:val="left" w:pos="709"/>
        </w:tabs>
        <w:spacing w:after="0"/>
        <w:ind w:left="0" w:right="0" w:firstLine="0"/>
        <w:rPr>
          <w:i w:val="0"/>
          <w:lang w:bidi="en-US"/>
        </w:rPr>
      </w:pPr>
    </w:p>
    <w:p w:rsidR="0060330C" w:rsidRPr="001277F6" w:rsidRDefault="0060330C" w:rsidP="0060330C">
      <w:pPr>
        <w:pStyle w:val="ListParagraph"/>
        <w:widowControl w:val="0"/>
        <w:numPr>
          <w:ilvl w:val="0"/>
          <w:numId w:val="1"/>
        </w:numPr>
        <w:tabs>
          <w:tab w:val="left" w:pos="0"/>
        </w:tabs>
        <w:adjustRightInd w:val="0"/>
        <w:ind w:left="0" w:firstLine="0"/>
        <w:rPr>
          <w:lang w:val="es-CR"/>
        </w:rPr>
      </w:pPr>
      <w:r w:rsidRPr="001277F6">
        <w:rPr>
          <w:bCs/>
          <w:lang w:val="es-CR"/>
        </w:rPr>
        <w:t xml:space="preserve">La </w:t>
      </w:r>
      <w:r w:rsidRPr="001277F6">
        <w:rPr>
          <w:lang w:val="es-CR" w:eastAsia="es-ES"/>
        </w:rPr>
        <w:t>reparación</w:t>
      </w:r>
      <w:r w:rsidRPr="001277F6">
        <w:rPr>
          <w:bCs/>
          <w:lang w:val="es-CR"/>
        </w:rPr>
        <w:t xml:space="preserve"> del daño ocasionado por la infracción de una obligación internacional requiere, </w:t>
      </w:r>
      <w:r w:rsidRPr="00AF1D92">
        <w:rPr>
          <w:lang w:bidi="en-US"/>
        </w:rPr>
        <w:t>siempre</w:t>
      </w:r>
      <w:r w:rsidRPr="001277F6">
        <w:rPr>
          <w:bCs/>
          <w:lang w:val="es-CR"/>
        </w:rPr>
        <w:t xml:space="preserve"> que sea posible, la plena restitución (</w:t>
      </w:r>
      <w:r w:rsidRPr="001277F6">
        <w:rPr>
          <w:bCs/>
          <w:i/>
          <w:lang w:val="es-CR"/>
        </w:rPr>
        <w:t>restitutio in integrum</w:t>
      </w:r>
      <w:r w:rsidRPr="001277F6">
        <w:rPr>
          <w:bCs/>
          <w:lang w:val="es-CR"/>
        </w:rPr>
        <w:t xml:space="preserve">), que consiste en el </w:t>
      </w:r>
      <w:r w:rsidRPr="00257982">
        <w:rPr>
          <w:rFonts w:cs="Verdana"/>
          <w:lang w:val="es-ES" w:eastAsia="es-MX"/>
        </w:rPr>
        <w:t>restablecimiento</w:t>
      </w:r>
      <w:r w:rsidRPr="001277F6">
        <w:rPr>
          <w:bCs/>
          <w:lang w:val="es-CR"/>
        </w:rPr>
        <w:t xml:space="preserve"> de la situación anterior. De no ser esto factible, como ocurre en la mayoría de los casos de violaciones a derechos humanos, el Tribunal determinará medidas para garantizar los derechos conculcados y reparar las consecuencias que las infracciones produjeron</w:t>
      </w:r>
      <w:r w:rsidRPr="001277F6">
        <w:rPr>
          <w:vertAlign w:val="superscript"/>
          <w:lang w:val="es-CR"/>
        </w:rPr>
        <w:footnoteReference w:id="314"/>
      </w:r>
      <w:r w:rsidRPr="001277F6">
        <w:rPr>
          <w:bCs/>
          <w:lang w:val="es-CR"/>
        </w:rPr>
        <w:t xml:space="preserve">. Por lo tanto, </w:t>
      </w:r>
      <w:r w:rsidRPr="001277F6">
        <w:rPr>
          <w:lang w:val="es-CR"/>
        </w:rPr>
        <w:t>la Corte ha considerado la necesidad de otorgar diversas medidas de reparación, a fin de resarcir los daños de manera integral por lo que, además de las compensaciones pecuniarias, las medidas de restitución, rehabilitación, satisfacción y garantías de no repetición tienen especial relevancia por los daños ocasionados</w:t>
      </w:r>
      <w:r w:rsidRPr="001277F6">
        <w:rPr>
          <w:vertAlign w:val="superscript"/>
          <w:lang w:val="es-CR"/>
        </w:rPr>
        <w:footnoteReference w:id="315"/>
      </w:r>
      <w:r w:rsidRPr="001277F6">
        <w:rPr>
          <w:lang w:val="es-CR"/>
        </w:rPr>
        <w:t>.</w:t>
      </w:r>
    </w:p>
    <w:p w:rsidR="0060330C" w:rsidRPr="001277F6" w:rsidRDefault="0060330C" w:rsidP="0060330C">
      <w:pPr>
        <w:pStyle w:val="Prrafodelista2"/>
        <w:ind w:left="0" w:right="-90"/>
        <w:jc w:val="both"/>
        <w:rPr>
          <w:rFonts w:eastAsia="Calibri"/>
          <w:spacing w:val="-2"/>
          <w:lang w:val="es-CR"/>
        </w:rPr>
      </w:pPr>
    </w:p>
    <w:p w:rsidR="0060330C" w:rsidRPr="001277F6" w:rsidRDefault="0060330C" w:rsidP="0060330C">
      <w:pPr>
        <w:pStyle w:val="ListParagraph"/>
        <w:widowControl w:val="0"/>
        <w:numPr>
          <w:ilvl w:val="0"/>
          <w:numId w:val="1"/>
        </w:numPr>
        <w:tabs>
          <w:tab w:val="left" w:pos="0"/>
        </w:tabs>
        <w:adjustRightInd w:val="0"/>
        <w:ind w:left="0" w:firstLine="0"/>
        <w:rPr>
          <w:spacing w:val="-2"/>
          <w:lang w:val="es-CR"/>
        </w:rPr>
      </w:pPr>
      <w:r w:rsidRPr="001277F6">
        <w:rPr>
          <w:spacing w:val="-2"/>
          <w:lang w:val="es-CR"/>
        </w:rPr>
        <w:t xml:space="preserve">La Corte ha establecido que las reparaciones deben tener un nexo causal con los hechos del caso, las violaciones declaradas, los daños </w:t>
      </w:r>
      <w:r w:rsidRPr="001277F6">
        <w:rPr>
          <w:lang w:val="es-CR"/>
        </w:rPr>
        <w:t>acreditados</w:t>
      </w:r>
      <w:r w:rsidRPr="001277F6">
        <w:rPr>
          <w:spacing w:val="-2"/>
          <w:lang w:val="es-CR"/>
        </w:rPr>
        <w:t xml:space="preserve">, así como las medidas solicitadas </w:t>
      </w:r>
      <w:r w:rsidRPr="001277F6">
        <w:rPr>
          <w:rFonts w:eastAsia="Batang"/>
          <w:bCs/>
          <w:snapToGrid w:val="0"/>
          <w:color w:val="000000"/>
          <w:kern w:val="32"/>
          <w:lang w:val="es-CR" w:eastAsia="es-ES"/>
        </w:rPr>
        <w:t>para</w:t>
      </w:r>
      <w:r w:rsidRPr="001277F6">
        <w:rPr>
          <w:spacing w:val="-2"/>
          <w:lang w:val="es-CR"/>
        </w:rPr>
        <w:t xml:space="preserve"> reparar los daños </w:t>
      </w:r>
      <w:r w:rsidRPr="001277F6">
        <w:rPr>
          <w:rFonts w:cs="Arial"/>
          <w:spacing w:val="-2"/>
          <w:lang w:val="es-CR"/>
        </w:rPr>
        <w:t>respectivos</w:t>
      </w:r>
      <w:r w:rsidRPr="001277F6">
        <w:rPr>
          <w:spacing w:val="-2"/>
          <w:vertAlign w:val="superscript"/>
          <w:lang w:val="es-CR"/>
        </w:rPr>
        <w:footnoteReference w:id="316"/>
      </w:r>
      <w:r w:rsidRPr="001277F6">
        <w:rPr>
          <w:spacing w:val="-2"/>
          <w:lang w:val="es-CR"/>
        </w:rPr>
        <w:t>.</w:t>
      </w:r>
    </w:p>
    <w:p w:rsidR="0060330C" w:rsidRDefault="0060330C" w:rsidP="0060330C">
      <w:pPr>
        <w:pStyle w:val="ListParagraph"/>
        <w:rPr>
          <w:i/>
          <w:spacing w:val="-2"/>
          <w:lang w:val="es-ES"/>
        </w:rPr>
      </w:pPr>
    </w:p>
    <w:p w:rsidR="0060330C" w:rsidRDefault="0060330C" w:rsidP="0060330C">
      <w:pPr>
        <w:pStyle w:val="ListParagraph"/>
        <w:widowControl w:val="0"/>
        <w:numPr>
          <w:ilvl w:val="0"/>
          <w:numId w:val="1"/>
        </w:numPr>
        <w:tabs>
          <w:tab w:val="left" w:pos="0"/>
        </w:tabs>
        <w:adjustRightInd w:val="0"/>
        <w:ind w:left="0" w:firstLine="0"/>
        <w:rPr>
          <w:i/>
          <w:lang w:bidi="en-US"/>
        </w:rPr>
      </w:pPr>
      <w:r>
        <w:rPr>
          <w:spacing w:val="-2"/>
          <w:lang w:val="es-ES"/>
        </w:rPr>
        <w:t xml:space="preserve">La jurisprudencia internacional y en particular de la Corte, ha establecido reiteradamente </w:t>
      </w:r>
      <w:r w:rsidRPr="00257982">
        <w:rPr>
          <w:rFonts w:cs="Verdana"/>
          <w:lang w:val="es-ES" w:eastAsia="es-MX"/>
        </w:rPr>
        <w:t>que</w:t>
      </w:r>
      <w:r>
        <w:rPr>
          <w:spacing w:val="-2"/>
          <w:lang w:val="es-ES"/>
        </w:rPr>
        <w:t xml:space="preserve"> la sentencia constituye por sí misma una forma de reparación</w:t>
      </w:r>
      <w:r w:rsidRPr="00814725">
        <w:rPr>
          <w:rStyle w:val="FootnoteReference"/>
          <w:spacing w:val="-2"/>
          <w:sz w:val="20"/>
          <w:szCs w:val="20"/>
        </w:rPr>
        <w:footnoteReference w:id="317"/>
      </w:r>
      <w:r w:rsidRPr="00814725">
        <w:rPr>
          <w:spacing w:val="-2"/>
          <w:szCs w:val="20"/>
          <w:lang w:val="es-ES"/>
        </w:rPr>
        <w:t>.</w:t>
      </w:r>
      <w:r>
        <w:rPr>
          <w:spacing w:val="-2"/>
          <w:lang w:val="es-ES"/>
        </w:rPr>
        <w:t xml:space="preserve"> No obstante, </w:t>
      </w:r>
      <w:r w:rsidRPr="00AF1D92">
        <w:rPr>
          <w:spacing w:val="-2"/>
          <w:lang w:val="es-CR"/>
        </w:rPr>
        <w:t>considerando</w:t>
      </w:r>
      <w:r>
        <w:rPr>
          <w:spacing w:val="-2"/>
          <w:lang w:val="es-ES"/>
        </w:rPr>
        <w:t xml:space="preserve"> las circunstancias del presente caso, </w:t>
      </w:r>
      <w:r w:rsidR="003D622F">
        <w:t>de conformidad</w:t>
      </w:r>
      <w:r w:rsidR="00CC2976">
        <w:t xml:space="preserve"> </w:t>
      </w:r>
      <w:r>
        <w:t>con las consideraciones expuestas sobre el fondo y las violaciones a la Convención declaradas en la presente Sentencia, el Tribunal procederá a analizar las pretensiones presentadas por la Comisión y los representantes de la</w:t>
      </w:r>
      <w:r w:rsidR="00AD6E48">
        <w:t>s</w:t>
      </w:r>
      <w:r>
        <w:t xml:space="preserve"> víctima</w:t>
      </w:r>
      <w:r w:rsidR="00AD6E48">
        <w:t>s</w:t>
      </w:r>
      <w:r>
        <w:t xml:space="preserve">, a la luz de los criterios fijados en su jurisprudencia en relación con la naturaleza y alcance de la obligación de reparar, con el objeto de disponer las </w:t>
      </w:r>
      <w:r>
        <w:rPr>
          <w:rFonts w:cs="Times New Roman"/>
          <w:szCs w:val="20"/>
        </w:rPr>
        <w:t>medidas</w:t>
      </w:r>
      <w:r>
        <w:t xml:space="preserve"> dirigidas a reparar los daños ocasionados</w:t>
      </w:r>
      <w:r>
        <w:rPr>
          <w:vertAlign w:val="superscript"/>
        </w:rPr>
        <w:footnoteReference w:id="318"/>
      </w:r>
      <w:r>
        <w:t>.</w:t>
      </w:r>
    </w:p>
    <w:p w:rsidR="0060330C" w:rsidRDefault="0060330C" w:rsidP="0060330C">
      <w:pPr>
        <w:pStyle w:val="Estilo1"/>
        <w:tabs>
          <w:tab w:val="left" w:pos="709"/>
        </w:tabs>
        <w:spacing w:after="0"/>
        <w:ind w:left="0" w:right="0" w:firstLine="0"/>
        <w:rPr>
          <w:i w:val="0"/>
          <w:lang w:bidi="en-US"/>
        </w:rPr>
      </w:pPr>
    </w:p>
    <w:p w:rsidR="0060330C" w:rsidRDefault="0060330C" w:rsidP="0060330C">
      <w:pPr>
        <w:pStyle w:val="Heading2"/>
        <w:keepNext w:val="0"/>
        <w:keepLines w:val="0"/>
        <w:spacing w:before="0"/>
        <w:ind w:right="-144" w:firstLine="720"/>
        <w:rPr>
          <w:spacing w:val="-2"/>
          <w:szCs w:val="20"/>
          <w:lang w:val="es-CR" w:bidi="en-US"/>
        </w:rPr>
      </w:pPr>
      <w:bookmarkStart w:id="260" w:name="_Toc527993569"/>
      <w:r>
        <w:rPr>
          <w:spacing w:val="-2"/>
          <w:szCs w:val="20"/>
          <w:lang w:val="es-CR" w:bidi="en-US"/>
        </w:rPr>
        <w:t xml:space="preserve">A. </w:t>
      </w:r>
      <w:r w:rsidRPr="0072044E">
        <w:rPr>
          <w:spacing w:val="-2"/>
          <w:szCs w:val="20"/>
          <w:lang w:val="es-CR" w:bidi="en-US"/>
        </w:rPr>
        <w:t>Parte Lesionada</w:t>
      </w:r>
      <w:bookmarkEnd w:id="260"/>
    </w:p>
    <w:p w:rsidR="0060330C" w:rsidRPr="005B3FB9" w:rsidRDefault="0060330C" w:rsidP="0060330C">
      <w:pPr>
        <w:rPr>
          <w:lang w:val="es-CR" w:bidi="en-US"/>
        </w:rPr>
      </w:pPr>
    </w:p>
    <w:p w:rsidR="0060330C" w:rsidRPr="006922EE" w:rsidRDefault="0060330C" w:rsidP="0060330C">
      <w:pPr>
        <w:pStyle w:val="ListParagraph"/>
        <w:widowControl w:val="0"/>
        <w:numPr>
          <w:ilvl w:val="0"/>
          <w:numId w:val="1"/>
        </w:numPr>
        <w:tabs>
          <w:tab w:val="left" w:pos="0"/>
        </w:tabs>
        <w:adjustRightInd w:val="0"/>
        <w:ind w:left="0" w:firstLine="0"/>
        <w:rPr>
          <w:i/>
          <w:u w:val="single"/>
          <w:lang w:bidi="en-US"/>
        </w:rPr>
      </w:pPr>
      <w:r w:rsidRPr="005B3FB9">
        <w:t xml:space="preserve">El Tribunal reitera que se considera parte lesionada, en los términos del artículo 63.1 de la </w:t>
      </w:r>
      <w:r w:rsidRPr="00AF1D92">
        <w:t>Convención</w:t>
      </w:r>
      <w:r w:rsidRPr="005B3FB9">
        <w:t xml:space="preserve"> Americana, a quien ha sido declarado víctima de la violación de algún </w:t>
      </w:r>
      <w:r w:rsidRPr="005B3FB9">
        <w:rPr>
          <w:rFonts w:cs="Times New Roman"/>
          <w:szCs w:val="20"/>
        </w:rPr>
        <w:t>derecho</w:t>
      </w:r>
      <w:r w:rsidRPr="005B3FB9">
        <w:t xml:space="preserve"> reconocido en la misma.</w:t>
      </w:r>
      <w:r>
        <w:t xml:space="preserve"> </w:t>
      </w:r>
      <w:r w:rsidRPr="008146AF">
        <w:rPr>
          <w:spacing w:val="-2"/>
          <w:szCs w:val="20"/>
          <w:lang w:val="es-CR"/>
        </w:rPr>
        <w:t xml:space="preserve">Por tanto, esta Corte considera como parte lesionada a </w:t>
      </w:r>
      <w:r w:rsidRPr="00794667">
        <w:rPr>
          <w:szCs w:val="20"/>
          <w:lang w:val="es-CR"/>
        </w:rPr>
        <w:t>Wilfredo Terrones Silva</w:t>
      </w:r>
      <w:r w:rsidR="00C24314" w:rsidRPr="00794667">
        <w:rPr>
          <w:szCs w:val="20"/>
          <w:lang w:val="es-CR"/>
        </w:rPr>
        <w:t xml:space="preserve"> y su familiar</w:t>
      </w:r>
      <w:r w:rsidR="000423CD" w:rsidRPr="00794667">
        <w:rPr>
          <w:szCs w:val="20"/>
          <w:lang w:val="es-CR"/>
        </w:rPr>
        <w:t>:</w:t>
      </w:r>
      <w:r w:rsidRPr="00794667">
        <w:rPr>
          <w:spacing w:val="-2"/>
          <w:szCs w:val="20"/>
          <w:lang w:val="es-CR"/>
        </w:rPr>
        <w:t xml:space="preserve"> </w:t>
      </w:r>
      <w:r w:rsidRPr="00794667">
        <w:rPr>
          <w:szCs w:val="20"/>
        </w:rPr>
        <w:t>Guillermina Frida Landázuri Gómez;</w:t>
      </w:r>
      <w:r w:rsidR="00794667" w:rsidRPr="00794667">
        <w:rPr>
          <w:szCs w:val="20"/>
        </w:rPr>
        <w:t xml:space="preserve"> a</w:t>
      </w:r>
      <w:r w:rsidRPr="00794667">
        <w:rPr>
          <w:szCs w:val="20"/>
        </w:rPr>
        <w:t xml:space="preserve"> </w:t>
      </w:r>
      <w:r w:rsidR="00C24314" w:rsidRPr="00794667">
        <w:rPr>
          <w:szCs w:val="20"/>
        </w:rPr>
        <w:t>Teresa Díaz Aparicio y sus familiares</w:t>
      </w:r>
      <w:r w:rsidR="000423CD" w:rsidRPr="00794667">
        <w:rPr>
          <w:szCs w:val="20"/>
        </w:rPr>
        <w:t>:</w:t>
      </w:r>
      <w:r w:rsidR="00C24314" w:rsidRPr="00794667">
        <w:rPr>
          <w:szCs w:val="20"/>
        </w:rPr>
        <w:t xml:space="preserve"> </w:t>
      </w:r>
      <w:r w:rsidRPr="00794667">
        <w:rPr>
          <w:szCs w:val="20"/>
        </w:rPr>
        <w:t>Graci</w:t>
      </w:r>
      <w:r w:rsidR="000423CD" w:rsidRPr="00794667">
        <w:rPr>
          <w:szCs w:val="20"/>
        </w:rPr>
        <w:t>ela Aparicio Pastor (fallecida),</w:t>
      </w:r>
      <w:r w:rsidRPr="00794667">
        <w:rPr>
          <w:szCs w:val="20"/>
        </w:rPr>
        <w:t xml:space="preserve"> Federico Díaz Aparicio (fallecido) y Roberto Lev</w:t>
      </w:r>
      <w:r w:rsidR="006922EE" w:rsidRPr="00794667">
        <w:rPr>
          <w:szCs w:val="20"/>
        </w:rPr>
        <w:t>i</w:t>
      </w:r>
      <w:r w:rsidRPr="00794667">
        <w:rPr>
          <w:szCs w:val="20"/>
        </w:rPr>
        <w:t xml:space="preserve"> Aparicio</w:t>
      </w:r>
      <w:r w:rsidR="002D07B9" w:rsidRPr="00794667">
        <w:rPr>
          <w:szCs w:val="20"/>
        </w:rPr>
        <w:t xml:space="preserve"> (fallecido)</w:t>
      </w:r>
      <w:r w:rsidRPr="00794667">
        <w:rPr>
          <w:szCs w:val="20"/>
        </w:rPr>
        <w:t xml:space="preserve">; </w:t>
      </w:r>
      <w:r w:rsidR="00794667" w:rsidRPr="00794667">
        <w:rPr>
          <w:szCs w:val="20"/>
        </w:rPr>
        <w:t xml:space="preserve">a </w:t>
      </w:r>
      <w:r w:rsidR="00C24314" w:rsidRPr="00794667">
        <w:rPr>
          <w:szCs w:val="20"/>
          <w:lang w:val="es-CR"/>
        </w:rPr>
        <w:t>Cory Clodolia Tenicela Tello</w:t>
      </w:r>
      <w:r w:rsidR="00C24314" w:rsidRPr="00794667">
        <w:rPr>
          <w:szCs w:val="20"/>
        </w:rPr>
        <w:t xml:space="preserve"> </w:t>
      </w:r>
      <w:r w:rsidR="00C24314" w:rsidRPr="00794667">
        <w:rPr>
          <w:szCs w:val="20"/>
          <w:lang w:val="es-CR"/>
        </w:rPr>
        <w:t>y sus familiares:</w:t>
      </w:r>
      <w:r w:rsidR="007033FE" w:rsidRPr="007033FE">
        <w:rPr>
          <w:szCs w:val="20"/>
          <w:lang w:val="es-AR"/>
        </w:rPr>
        <w:t xml:space="preserve"> </w:t>
      </w:r>
      <w:r w:rsidR="007033FE" w:rsidRPr="00794667">
        <w:rPr>
          <w:szCs w:val="20"/>
          <w:lang w:val="es-AR"/>
        </w:rPr>
        <w:t xml:space="preserve">Amadea </w:t>
      </w:r>
      <w:r w:rsidR="007033FE">
        <w:rPr>
          <w:szCs w:val="20"/>
          <w:lang w:val="es-AR"/>
        </w:rPr>
        <w:t>Felipa Tello de Tenicela</w:t>
      </w:r>
      <w:r w:rsidR="00C24314" w:rsidRPr="00794667">
        <w:rPr>
          <w:szCs w:val="20"/>
          <w:lang w:val="es-AR"/>
        </w:rPr>
        <w:t xml:space="preserve">, </w:t>
      </w:r>
      <w:r w:rsidR="00484681" w:rsidRPr="00794667">
        <w:rPr>
          <w:szCs w:val="20"/>
          <w:lang w:val="es-AR"/>
        </w:rPr>
        <w:t>Norma Tenicela Tello y</w:t>
      </w:r>
      <w:r w:rsidR="00C24314" w:rsidRPr="00794667">
        <w:rPr>
          <w:szCs w:val="20"/>
          <w:lang w:val="es-AR"/>
        </w:rPr>
        <w:t xml:space="preserve"> Zenobio Washington Tenicela</w:t>
      </w:r>
      <w:r w:rsidR="003D622F">
        <w:rPr>
          <w:szCs w:val="20"/>
          <w:lang w:val="es-AR"/>
        </w:rPr>
        <w:t xml:space="preserve"> Tello</w:t>
      </w:r>
      <w:r w:rsidR="00C24314" w:rsidRPr="00794667">
        <w:rPr>
          <w:szCs w:val="20"/>
          <w:lang w:val="es-AR"/>
        </w:rPr>
        <w:t xml:space="preserve">; </w:t>
      </w:r>
      <w:r w:rsidR="00794667" w:rsidRPr="00794667">
        <w:rPr>
          <w:szCs w:val="20"/>
          <w:lang w:val="es-AR"/>
        </w:rPr>
        <w:t xml:space="preserve">a </w:t>
      </w:r>
      <w:r w:rsidR="00C24314" w:rsidRPr="00794667">
        <w:rPr>
          <w:szCs w:val="20"/>
        </w:rPr>
        <w:t>Néstor Rojas Medina y sus familiares</w:t>
      </w:r>
      <w:r w:rsidRPr="00794667">
        <w:rPr>
          <w:szCs w:val="20"/>
        </w:rPr>
        <w:t>: Marcelina Medina N</w:t>
      </w:r>
      <w:r w:rsidR="000423CD" w:rsidRPr="00794667">
        <w:rPr>
          <w:szCs w:val="20"/>
        </w:rPr>
        <w:t>egrón y Tania Collantes Medina</w:t>
      </w:r>
      <w:r w:rsidR="00794667" w:rsidRPr="00794667">
        <w:rPr>
          <w:szCs w:val="20"/>
        </w:rPr>
        <w:t>,</w:t>
      </w:r>
      <w:r w:rsidR="00484681" w:rsidRPr="00794667">
        <w:rPr>
          <w:szCs w:val="20"/>
        </w:rPr>
        <w:t xml:space="preserve"> y </w:t>
      </w:r>
      <w:r w:rsidR="00794667" w:rsidRPr="00794667">
        <w:rPr>
          <w:szCs w:val="20"/>
        </w:rPr>
        <w:t xml:space="preserve">a </w:t>
      </w:r>
      <w:r w:rsidRPr="00794667">
        <w:rPr>
          <w:szCs w:val="20"/>
        </w:rPr>
        <w:t>Santiago Antezana Cueto</w:t>
      </w:r>
      <w:r w:rsidR="00C24314" w:rsidRPr="00794667">
        <w:rPr>
          <w:szCs w:val="20"/>
        </w:rPr>
        <w:t xml:space="preserve"> y sus familiares</w:t>
      </w:r>
      <w:r w:rsidR="000423CD" w:rsidRPr="00794667">
        <w:rPr>
          <w:szCs w:val="20"/>
        </w:rPr>
        <w:t>: Rosa Carcausto Paco, Ermilio Antezana Cueto</w:t>
      </w:r>
      <w:r w:rsidRPr="00794667">
        <w:rPr>
          <w:szCs w:val="20"/>
        </w:rPr>
        <w:t xml:space="preserve"> y Ofelia Antezana Torre</w:t>
      </w:r>
      <w:r w:rsidR="00C24314" w:rsidRPr="00794667">
        <w:rPr>
          <w:szCs w:val="20"/>
          <w:lang w:val="es-CR"/>
        </w:rPr>
        <w:t>.</w:t>
      </w:r>
    </w:p>
    <w:p w:rsidR="0060330C" w:rsidRPr="006922EE" w:rsidRDefault="0060330C" w:rsidP="0060330C">
      <w:pPr>
        <w:pStyle w:val="Estilo1"/>
        <w:tabs>
          <w:tab w:val="left" w:pos="709"/>
        </w:tabs>
        <w:spacing w:after="0"/>
        <w:ind w:left="0" w:right="-4" w:firstLine="0"/>
        <w:rPr>
          <w:i w:val="0"/>
          <w:u w:val="single"/>
          <w:lang w:bidi="en-US"/>
        </w:rPr>
      </w:pPr>
    </w:p>
    <w:p w:rsidR="0060330C" w:rsidRDefault="0060330C" w:rsidP="0060330C">
      <w:pPr>
        <w:pStyle w:val="Heading2"/>
        <w:keepNext w:val="0"/>
        <w:keepLines w:val="0"/>
        <w:spacing w:before="0"/>
        <w:ind w:right="-144" w:firstLine="720"/>
        <w:rPr>
          <w:spacing w:val="-2"/>
          <w:szCs w:val="20"/>
          <w:lang w:bidi="en-US"/>
        </w:rPr>
      </w:pPr>
      <w:bookmarkStart w:id="261" w:name="_Toc527993570"/>
      <w:r>
        <w:rPr>
          <w:spacing w:val="-2"/>
          <w:szCs w:val="20"/>
          <w:lang w:bidi="en-US"/>
        </w:rPr>
        <w:t xml:space="preserve">B. </w:t>
      </w:r>
      <w:r w:rsidRPr="0072044E">
        <w:rPr>
          <w:spacing w:val="-2"/>
          <w:szCs w:val="20"/>
          <w:lang w:bidi="en-US"/>
        </w:rPr>
        <w:t>Obligación de investigar</w:t>
      </w:r>
      <w:bookmarkEnd w:id="261"/>
    </w:p>
    <w:p w:rsidR="0060330C" w:rsidRPr="00335BB0" w:rsidRDefault="0060330C" w:rsidP="0060330C">
      <w:pPr>
        <w:rPr>
          <w:lang w:bidi="en-US"/>
        </w:rPr>
      </w:pPr>
    </w:p>
    <w:p w:rsidR="0060330C" w:rsidRPr="00D61838" w:rsidRDefault="0060330C" w:rsidP="0060330C">
      <w:pPr>
        <w:pStyle w:val="ListParagraph"/>
        <w:widowControl w:val="0"/>
        <w:numPr>
          <w:ilvl w:val="0"/>
          <w:numId w:val="1"/>
        </w:numPr>
        <w:tabs>
          <w:tab w:val="left" w:pos="0"/>
        </w:tabs>
        <w:adjustRightInd w:val="0"/>
        <w:ind w:left="0" w:firstLine="0"/>
        <w:rPr>
          <w:i/>
        </w:rPr>
      </w:pPr>
      <w:r w:rsidRPr="0069067A">
        <w:t xml:space="preserve">La </w:t>
      </w:r>
      <w:r w:rsidRPr="0069067A">
        <w:rPr>
          <w:b/>
        </w:rPr>
        <w:t>Comisión</w:t>
      </w:r>
      <w:r w:rsidRPr="0069067A">
        <w:t xml:space="preserve"> solicitó que se ordene al Estado que se lleven a cabo los procesos correspondientes por el delito de desaparición forzada</w:t>
      </w:r>
      <w:r>
        <w:t>, en perjuicio de Wilfredo Terrones Silva, Teresa Díaz Aparicio, Néstor Rojas Medina y Cory Clodolia Tenicela Tello,</w:t>
      </w:r>
      <w:r w:rsidRPr="0069067A">
        <w:t xml:space="preserve"> y</w:t>
      </w:r>
      <w:r>
        <w:t xml:space="preserve"> de desaparición forzada y</w:t>
      </w:r>
      <w:r w:rsidRPr="0069067A">
        <w:t xml:space="preserve"> tortura, en el caso de Santiago Antezana, de manera imparcial, efectiva y dentro de un plazo razonable, para esclarecer los hechos en forma completa, identificar a todos los responsables e imponer las sanciones correspondientes</w:t>
      </w:r>
      <w:r>
        <w:t xml:space="preserve">. Asimismo, solicitó </w:t>
      </w:r>
      <w:r w:rsidRPr="0069067A">
        <w:t xml:space="preserve">“investigar de manera completa, imparcial y efectiva el </w:t>
      </w:r>
      <w:r w:rsidRPr="00257982">
        <w:rPr>
          <w:rFonts w:cs="Verdana"/>
          <w:lang w:val="es-ES" w:eastAsia="es-MX"/>
        </w:rPr>
        <w:t>paradero</w:t>
      </w:r>
      <w:r w:rsidRPr="0069067A">
        <w:t xml:space="preserve"> Wi</w:t>
      </w:r>
      <w:r>
        <w:t>lfredo Terrones Silva, Teresa Dí</w:t>
      </w:r>
      <w:r w:rsidRPr="0069067A">
        <w:t xml:space="preserve">az Aparicio, Santiago </w:t>
      </w:r>
      <w:r>
        <w:t>Antezana Cueto, Néstor Rojas Medina y Cory Clodoli</w:t>
      </w:r>
      <w:r w:rsidRPr="0069067A">
        <w:t>a Tenicela Tello”.</w:t>
      </w:r>
      <w:r w:rsidR="00323DB5">
        <w:t xml:space="preserve"> </w:t>
      </w:r>
      <w:r w:rsidRPr="0069067A">
        <w:t xml:space="preserve">Agregó que el Estado debe adoptar las medidas necesarias, de ser el caso, para identificar y entregar a los </w:t>
      </w:r>
      <w:r>
        <w:t>familiares sus restos mortales.</w:t>
      </w:r>
    </w:p>
    <w:p w:rsidR="0060330C" w:rsidRPr="0069067A" w:rsidRDefault="0060330C" w:rsidP="0060330C">
      <w:pPr>
        <w:pStyle w:val="Estilo1"/>
        <w:tabs>
          <w:tab w:val="left" w:pos="709"/>
        </w:tabs>
        <w:spacing w:after="0"/>
        <w:ind w:left="0" w:right="0" w:firstLine="0"/>
        <w:rPr>
          <w:i w:val="0"/>
        </w:rPr>
      </w:pPr>
    </w:p>
    <w:p w:rsidR="0060330C" w:rsidRPr="0060330C" w:rsidRDefault="0060330C" w:rsidP="0060330C">
      <w:pPr>
        <w:pStyle w:val="ListParagraph"/>
        <w:widowControl w:val="0"/>
        <w:numPr>
          <w:ilvl w:val="0"/>
          <w:numId w:val="1"/>
        </w:numPr>
        <w:tabs>
          <w:tab w:val="left" w:pos="0"/>
        </w:tabs>
        <w:adjustRightInd w:val="0"/>
        <w:ind w:left="0" w:firstLine="0"/>
        <w:rPr>
          <w:i/>
          <w:lang w:bidi="en-US"/>
        </w:rPr>
      </w:pPr>
      <w:r>
        <w:rPr>
          <w:lang w:bidi="en-US"/>
        </w:rPr>
        <w:t xml:space="preserve">Los </w:t>
      </w:r>
      <w:r>
        <w:rPr>
          <w:b/>
          <w:lang w:bidi="en-US"/>
        </w:rPr>
        <w:t>representantes</w:t>
      </w:r>
      <w:r>
        <w:rPr>
          <w:lang w:bidi="en-US"/>
        </w:rPr>
        <w:t xml:space="preserve"> reiteraron la solicitud de la Comisión </w:t>
      </w:r>
      <w:r w:rsidRPr="0069067A">
        <w:rPr>
          <w:szCs w:val="20"/>
          <w:lang w:val="es-CR" w:bidi="en-US"/>
        </w:rPr>
        <w:t>y también solicitaron  que se garantice el cumplimiento de las sentencias judiciales a nivel interno.</w:t>
      </w:r>
      <w:r w:rsidRPr="00D61838">
        <w:rPr>
          <w:sz w:val="16"/>
          <w:szCs w:val="16"/>
          <w:lang w:val="es-CR" w:eastAsia="es-CO"/>
        </w:rPr>
        <w:t xml:space="preserve"> </w:t>
      </w:r>
      <w:r w:rsidRPr="0069067A">
        <w:rPr>
          <w:szCs w:val="20"/>
          <w:lang w:val="es-CR" w:eastAsia="es-CO"/>
        </w:rPr>
        <w:t xml:space="preserve">Además, pidieron </w:t>
      </w:r>
      <w:r w:rsidRPr="0069067A">
        <w:rPr>
          <w:szCs w:val="20"/>
          <w:lang w:val="es-CR"/>
        </w:rPr>
        <w:t>que se ordene al Estado asegurar que los órganos del sistema de justicia involucrados en el caso cuenten con los recursos humanos y materiales necesarios para desempeñar sus tareas de manera adecuada, independiente e imparcial.</w:t>
      </w:r>
    </w:p>
    <w:p w:rsidR="0060330C" w:rsidRPr="005B3FB9" w:rsidRDefault="0060330C" w:rsidP="0060330C">
      <w:pPr>
        <w:pStyle w:val="Estilo1"/>
        <w:tabs>
          <w:tab w:val="left" w:pos="709"/>
        </w:tabs>
        <w:spacing w:after="0"/>
        <w:ind w:left="0" w:right="-4" w:firstLine="0"/>
        <w:rPr>
          <w:i w:val="0"/>
          <w:lang w:bidi="en-US"/>
        </w:rPr>
      </w:pPr>
    </w:p>
    <w:p w:rsidR="0060330C" w:rsidRDefault="0060330C" w:rsidP="0060330C">
      <w:pPr>
        <w:pStyle w:val="ListParagraph"/>
        <w:widowControl w:val="0"/>
        <w:numPr>
          <w:ilvl w:val="0"/>
          <w:numId w:val="1"/>
        </w:numPr>
        <w:tabs>
          <w:tab w:val="left" w:pos="0"/>
        </w:tabs>
        <w:adjustRightInd w:val="0"/>
        <w:ind w:left="0" w:firstLine="0"/>
        <w:rPr>
          <w:szCs w:val="20"/>
          <w:lang w:val="es-CR"/>
        </w:rPr>
      </w:pPr>
      <w:r w:rsidRPr="0072044E">
        <w:rPr>
          <w:szCs w:val="20"/>
          <w:lang w:val="es-CR"/>
        </w:rPr>
        <w:t xml:space="preserve">El </w:t>
      </w:r>
      <w:r w:rsidRPr="0072044E">
        <w:rPr>
          <w:b/>
          <w:szCs w:val="20"/>
          <w:lang w:val="es-CR"/>
        </w:rPr>
        <w:t>Estado</w:t>
      </w:r>
      <w:r w:rsidRPr="0072044E">
        <w:rPr>
          <w:szCs w:val="20"/>
          <w:lang w:val="es-CR"/>
        </w:rPr>
        <w:t xml:space="preserve"> </w:t>
      </w:r>
      <w:r w:rsidRPr="00A2096B">
        <w:rPr>
          <w:szCs w:val="20"/>
          <w:lang w:val="es-CR"/>
        </w:rPr>
        <w:t>adujo que actualmente existen investigacio</w:t>
      </w:r>
      <w:r>
        <w:rPr>
          <w:szCs w:val="20"/>
          <w:lang w:val="es-CR"/>
        </w:rPr>
        <w:t>nes respecto a los cinco casos,</w:t>
      </w:r>
      <w:r w:rsidRPr="00A2096B">
        <w:rPr>
          <w:szCs w:val="20"/>
          <w:lang w:val="es-CR"/>
        </w:rPr>
        <w:t xml:space="preserve"> </w:t>
      </w:r>
      <w:r w:rsidRPr="00A2096B">
        <w:rPr>
          <w:szCs w:val="20"/>
          <w:lang w:val="es-CR"/>
        </w:rPr>
        <w:lastRenderedPageBreak/>
        <w:t>con diferentes resultados en materia de investigación, juzgamiento y sanción de los responsables de las viol</w:t>
      </w:r>
      <w:r>
        <w:rPr>
          <w:szCs w:val="20"/>
          <w:lang w:val="es-CR"/>
        </w:rPr>
        <w:t>aciones de derechos humanos. R</w:t>
      </w:r>
      <w:r w:rsidRPr="00A2096B">
        <w:rPr>
          <w:szCs w:val="20"/>
          <w:lang w:val="es-CR"/>
        </w:rPr>
        <w:t xml:space="preserve">eiteró su voluntad e intención de continuar con la debida celeridad de la investigación penal que se viene realizando en sede nacional (respecto de los procesos penales que no han concluido). Concluyó que “mediante las </w:t>
      </w:r>
      <w:r w:rsidRPr="00AF1D92">
        <w:rPr>
          <w:lang w:bidi="en-US"/>
        </w:rPr>
        <w:t>investigaciones</w:t>
      </w:r>
      <w:r w:rsidRPr="00A2096B">
        <w:rPr>
          <w:szCs w:val="20"/>
          <w:lang w:val="es-CR"/>
        </w:rPr>
        <w:t xml:space="preserve"> en trámite y con la implementación de la Ley No</w:t>
      </w:r>
      <w:r>
        <w:rPr>
          <w:szCs w:val="20"/>
          <w:lang w:val="es-CR"/>
        </w:rPr>
        <w:t>.</w:t>
      </w:r>
      <w:r w:rsidRPr="00A2096B">
        <w:rPr>
          <w:szCs w:val="20"/>
          <w:lang w:val="es-CR"/>
        </w:rPr>
        <w:t xml:space="preserve"> 30470 denominada ‘Ley de Búsqueda de Personas Desaparecidas durante el período de violencia 1980-2000’ se espera poder cumplir con esta recomendación”.</w:t>
      </w:r>
      <w:r w:rsidRPr="00A2096B">
        <w:rPr>
          <w:b/>
          <w:szCs w:val="20"/>
          <w:lang w:val="es-CR"/>
        </w:rPr>
        <w:t xml:space="preserve">  </w:t>
      </w:r>
    </w:p>
    <w:p w:rsidR="0060330C" w:rsidRPr="00D61838" w:rsidRDefault="0060330C" w:rsidP="0060330C">
      <w:pPr>
        <w:pStyle w:val="Estilo1"/>
        <w:tabs>
          <w:tab w:val="left" w:pos="709"/>
        </w:tabs>
        <w:spacing w:after="0"/>
        <w:ind w:left="0" w:right="0" w:firstLine="0"/>
        <w:rPr>
          <w:szCs w:val="20"/>
          <w:lang w:val="es-CR"/>
        </w:rPr>
      </w:pPr>
    </w:p>
    <w:p w:rsidR="0060330C" w:rsidRDefault="0060330C" w:rsidP="0060330C">
      <w:pPr>
        <w:pStyle w:val="ListParagraph"/>
        <w:widowControl w:val="0"/>
        <w:numPr>
          <w:ilvl w:val="0"/>
          <w:numId w:val="1"/>
        </w:numPr>
        <w:tabs>
          <w:tab w:val="left" w:pos="0"/>
        </w:tabs>
        <w:adjustRightInd w:val="0"/>
        <w:ind w:left="0" w:firstLine="0"/>
        <w:rPr>
          <w:i/>
          <w:szCs w:val="20"/>
          <w:lang w:val="es-CR"/>
        </w:rPr>
      </w:pPr>
      <w:r w:rsidRPr="00BE1F21">
        <w:rPr>
          <w:szCs w:val="20"/>
          <w:lang w:val="es-CR"/>
        </w:rPr>
        <w:t xml:space="preserve">La </w:t>
      </w:r>
      <w:r w:rsidRPr="00BE1F21">
        <w:rPr>
          <w:b/>
          <w:szCs w:val="20"/>
          <w:lang w:val="es-CR"/>
        </w:rPr>
        <w:t>Corte</w:t>
      </w:r>
      <w:r w:rsidRPr="00BE1F21">
        <w:rPr>
          <w:szCs w:val="20"/>
          <w:lang w:val="es-CR"/>
        </w:rPr>
        <w:t xml:space="preserve"> declaró en la presente Sentencia, </w:t>
      </w:r>
      <w:r w:rsidRPr="009700F8">
        <w:rPr>
          <w:i/>
          <w:szCs w:val="20"/>
          <w:lang w:val="es-CR"/>
        </w:rPr>
        <w:t>inter alia</w:t>
      </w:r>
      <w:r w:rsidRPr="00BE1F21">
        <w:rPr>
          <w:szCs w:val="20"/>
          <w:lang w:val="es-CR"/>
        </w:rPr>
        <w:t xml:space="preserve">, que </w:t>
      </w:r>
      <w:r w:rsidRPr="00DA4365">
        <w:rPr>
          <w:szCs w:val="20"/>
          <w:lang w:val="es-CR"/>
        </w:rPr>
        <w:t xml:space="preserve">las investigaciones llevadas a </w:t>
      </w:r>
      <w:r w:rsidRPr="00BE1F21">
        <w:rPr>
          <w:szCs w:val="20"/>
          <w:lang w:val="es-CR"/>
        </w:rPr>
        <w:t>cabo</w:t>
      </w:r>
      <w:r w:rsidRPr="00DA4365">
        <w:rPr>
          <w:szCs w:val="20"/>
          <w:lang w:val="es-CR"/>
        </w:rPr>
        <w:t xml:space="preserve"> no fueron diligentes ni efectivas, ni el Estado respetó la garantía del plazo razonable, p</w:t>
      </w:r>
      <w:r w:rsidRPr="00BE1F21">
        <w:rPr>
          <w:szCs w:val="20"/>
          <w:lang w:val="es-CR"/>
        </w:rPr>
        <w:t>ara</w:t>
      </w:r>
      <w:r w:rsidRPr="00DA4365">
        <w:rPr>
          <w:szCs w:val="20"/>
          <w:lang w:val="es-CR"/>
        </w:rPr>
        <w:t xml:space="preserve"> establecer lo ocurrido, identificar, procesar y, en su caso, sancionar a los responsables de los hechos ocurridos a </w:t>
      </w:r>
      <w:r w:rsidRPr="00BE1F21">
        <w:rPr>
          <w:szCs w:val="20"/>
          <w:lang w:val="es-CR"/>
        </w:rPr>
        <w:t>Wilfredo Terrones Silva, Teresa Díaz</w:t>
      </w:r>
      <w:r>
        <w:rPr>
          <w:szCs w:val="20"/>
          <w:lang w:val="es-CR"/>
        </w:rPr>
        <w:t xml:space="preserve"> </w:t>
      </w:r>
      <w:r w:rsidRPr="006922EE">
        <w:rPr>
          <w:szCs w:val="20"/>
          <w:lang w:val="es-CR"/>
        </w:rPr>
        <w:t>Aparicio,</w:t>
      </w:r>
      <w:r w:rsidR="00FD6009">
        <w:rPr>
          <w:szCs w:val="20"/>
          <w:lang w:val="es-CR"/>
        </w:rPr>
        <w:t xml:space="preserve"> </w:t>
      </w:r>
      <w:r w:rsidRPr="006922EE">
        <w:rPr>
          <w:szCs w:val="20"/>
          <w:lang w:val="es-CR"/>
        </w:rPr>
        <w:t>Néstor Rojas Medina, Cory Clodolia Tenicela Tello y</w:t>
      </w:r>
      <w:r w:rsidRPr="00BE1F21">
        <w:rPr>
          <w:szCs w:val="20"/>
          <w:lang w:val="es-CR"/>
        </w:rPr>
        <w:t xml:space="preserve"> Santiago Antezana Cueto</w:t>
      </w:r>
      <w:r w:rsidRPr="00DA4365">
        <w:rPr>
          <w:szCs w:val="20"/>
          <w:lang w:val="es-CR"/>
        </w:rPr>
        <w:t>, y tampoco para determinar</w:t>
      </w:r>
      <w:r>
        <w:rPr>
          <w:szCs w:val="20"/>
          <w:lang w:val="es-CR"/>
        </w:rPr>
        <w:t xml:space="preserve"> su </w:t>
      </w:r>
      <w:r w:rsidRPr="006225EB">
        <w:rPr>
          <w:lang w:bidi="en-US"/>
        </w:rPr>
        <w:t>paradero</w:t>
      </w:r>
      <w:r w:rsidRPr="00BE1F21">
        <w:rPr>
          <w:szCs w:val="20"/>
          <w:lang w:val="es-CR"/>
        </w:rPr>
        <w:t xml:space="preserve">. </w:t>
      </w:r>
    </w:p>
    <w:p w:rsidR="0060330C" w:rsidRPr="00BE1F21" w:rsidRDefault="0060330C" w:rsidP="0060330C">
      <w:pPr>
        <w:pStyle w:val="Estilo1"/>
        <w:tabs>
          <w:tab w:val="left" w:pos="709"/>
        </w:tabs>
        <w:spacing w:after="0"/>
        <w:ind w:left="0" w:right="0" w:firstLine="0"/>
        <w:rPr>
          <w:i w:val="0"/>
          <w:szCs w:val="20"/>
          <w:lang w:val="es-CR"/>
        </w:rPr>
      </w:pPr>
    </w:p>
    <w:p w:rsidR="0060330C" w:rsidRPr="00C84214" w:rsidRDefault="0060330C" w:rsidP="0060330C">
      <w:pPr>
        <w:pStyle w:val="ListParagraph"/>
        <w:widowControl w:val="0"/>
        <w:numPr>
          <w:ilvl w:val="0"/>
          <w:numId w:val="1"/>
        </w:numPr>
        <w:tabs>
          <w:tab w:val="left" w:pos="0"/>
        </w:tabs>
        <w:adjustRightInd w:val="0"/>
        <w:ind w:left="0" w:firstLine="0"/>
        <w:rPr>
          <w:rFonts w:cs="Times New Roman"/>
          <w:szCs w:val="20"/>
          <w:lang w:val="es-CR"/>
        </w:rPr>
      </w:pPr>
      <w:r w:rsidRPr="00AF0EE2">
        <w:rPr>
          <w:szCs w:val="20"/>
          <w:lang w:val="es-CR"/>
        </w:rPr>
        <w:t>Teniendo en cuenta que a</w:t>
      </w:r>
      <w:r w:rsidRPr="00DA4365">
        <w:rPr>
          <w:rFonts w:cs="Times New Roman"/>
          <w:szCs w:val="20"/>
          <w:lang w:val="es-CR"/>
        </w:rPr>
        <w:t>ctualmente se encuentra</w:t>
      </w:r>
      <w:r w:rsidRPr="00AF0EE2">
        <w:rPr>
          <w:szCs w:val="20"/>
          <w:lang w:val="es-CR"/>
        </w:rPr>
        <w:t>n</w:t>
      </w:r>
      <w:r w:rsidRPr="00DA4365">
        <w:rPr>
          <w:rFonts w:cs="Times New Roman"/>
          <w:szCs w:val="20"/>
          <w:lang w:val="es-CR"/>
        </w:rPr>
        <w:t xml:space="preserve"> abiertos los proceso</w:t>
      </w:r>
      <w:r w:rsidRPr="00AF0EE2">
        <w:rPr>
          <w:szCs w:val="20"/>
          <w:lang w:val="es-CR"/>
        </w:rPr>
        <w:t>s</w:t>
      </w:r>
      <w:r w:rsidRPr="00DA4365">
        <w:rPr>
          <w:rFonts w:cs="Times New Roman"/>
          <w:szCs w:val="20"/>
          <w:lang w:val="es-CR"/>
        </w:rPr>
        <w:t xml:space="preserve"> penal</w:t>
      </w:r>
      <w:r w:rsidRPr="00AF0EE2">
        <w:rPr>
          <w:szCs w:val="20"/>
          <w:lang w:val="es-CR"/>
        </w:rPr>
        <w:t xml:space="preserve">es, cuyo fin es investigar los hechos relacionados con las desapariciones forzadas de Wilfredo Terrones Silva, Teresa Aparicio Díaz, Néstor Rojas Medina y Cory Clodolia Tenicela Tello, </w:t>
      </w:r>
      <w:r w:rsidRPr="00AF0EE2">
        <w:rPr>
          <w:szCs w:val="20"/>
        </w:rPr>
        <w:t xml:space="preserve">la Corte dispone que </w:t>
      </w:r>
      <w:r w:rsidR="00661D24" w:rsidRPr="00AF0EE2">
        <w:rPr>
          <w:szCs w:val="20"/>
        </w:rPr>
        <w:t xml:space="preserve">el Estado debe </w:t>
      </w:r>
      <w:r w:rsidR="00661D24" w:rsidRPr="00AF0EE2">
        <w:rPr>
          <w:szCs w:val="20"/>
          <w:lang w:val="es-CR"/>
        </w:rPr>
        <w:t>continuar con</w:t>
      </w:r>
      <w:r w:rsidR="00661D24" w:rsidRPr="00AF0EE2">
        <w:rPr>
          <w:szCs w:val="20"/>
        </w:rPr>
        <w:t xml:space="preserve"> las investigaciones que sean necesarias para identificar, juzgar y, en su caso, sancionar a los responsables de las </w:t>
      </w:r>
      <w:r w:rsidR="00661D24" w:rsidRPr="006225EB">
        <w:rPr>
          <w:szCs w:val="20"/>
          <w:lang w:val="es-CR"/>
        </w:rPr>
        <w:t>desapariciones</w:t>
      </w:r>
      <w:r w:rsidR="00661D24" w:rsidRPr="00AF0EE2">
        <w:rPr>
          <w:szCs w:val="20"/>
        </w:rPr>
        <w:t xml:space="preserve"> forzadas de la personas antes nombradas. Dicha obligación debe ser cumplida de acuerdo a los estándares establecidos por la jurisprudencia de esta Corte</w:t>
      </w:r>
      <w:r w:rsidR="00661D24" w:rsidRPr="00082FDD">
        <w:rPr>
          <w:rStyle w:val="FootnoteReference"/>
          <w:sz w:val="20"/>
          <w:szCs w:val="20"/>
        </w:rPr>
        <w:footnoteReference w:id="319"/>
      </w:r>
      <w:r w:rsidR="00661D24" w:rsidRPr="00AF0EE2">
        <w:rPr>
          <w:szCs w:val="20"/>
        </w:rPr>
        <w:t xml:space="preserve"> y en un plazo razonable.</w:t>
      </w:r>
    </w:p>
    <w:p w:rsidR="0060330C" w:rsidRPr="00AF0EE2" w:rsidRDefault="0060330C" w:rsidP="0060330C">
      <w:pPr>
        <w:pStyle w:val="ListParagraph"/>
        <w:widowControl w:val="0"/>
        <w:tabs>
          <w:tab w:val="left" w:pos="0"/>
        </w:tabs>
        <w:adjustRightInd w:val="0"/>
        <w:ind w:left="0"/>
        <w:rPr>
          <w:rFonts w:cs="Times New Roman"/>
          <w:szCs w:val="20"/>
          <w:lang w:val="es-CR"/>
        </w:rPr>
      </w:pPr>
    </w:p>
    <w:p w:rsidR="0060330C" w:rsidRPr="00825164" w:rsidRDefault="0060330C" w:rsidP="0060330C">
      <w:pPr>
        <w:pStyle w:val="ListParagraph"/>
        <w:widowControl w:val="0"/>
        <w:numPr>
          <w:ilvl w:val="0"/>
          <w:numId w:val="1"/>
        </w:numPr>
        <w:tabs>
          <w:tab w:val="left" w:pos="0"/>
        </w:tabs>
        <w:adjustRightInd w:val="0"/>
        <w:ind w:left="0" w:firstLine="0"/>
        <w:rPr>
          <w:i/>
          <w:szCs w:val="20"/>
          <w:lang w:val="es-CR"/>
        </w:rPr>
      </w:pPr>
      <w:r w:rsidRPr="00AF0EE2">
        <w:rPr>
          <w:szCs w:val="20"/>
          <w:lang w:val="es-CR"/>
        </w:rPr>
        <w:t xml:space="preserve">En lo que respecta a la investigación y proceso penal efectuado por la desaparición forzada sufrida por </w:t>
      </w:r>
      <w:r w:rsidRPr="00AF0EE2">
        <w:rPr>
          <w:szCs w:val="20"/>
          <w:lang w:val="es-ES"/>
        </w:rPr>
        <w:t>Santiago</w:t>
      </w:r>
      <w:r w:rsidRPr="00AF0EE2">
        <w:rPr>
          <w:szCs w:val="20"/>
          <w:lang w:val="es-CR"/>
        </w:rPr>
        <w:t xml:space="preserve"> Antezana Cueto, la Corte reitera </w:t>
      </w:r>
      <w:r w:rsidRPr="00AF0EE2">
        <w:rPr>
          <w:rFonts w:cs="Verdana"/>
          <w:lang w:val="es-ES" w:eastAsia="es-MX"/>
        </w:rPr>
        <w:t>que</w:t>
      </w:r>
      <w:r w:rsidRPr="00AF0EE2">
        <w:rPr>
          <w:szCs w:val="20"/>
          <w:lang w:val="es-CR"/>
        </w:rPr>
        <w:t xml:space="preserve"> si bien fue dictada una sentencia condenatoria en contra de </w:t>
      </w:r>
      <w:r w:rsidRPr="00A36A3D">
        <w:rPr>
          <w:szCs w:val="20"/>
        </w:rPr>
        <w:t>José Antonio Esquivel Mora</w:t>
      </w:r>
      <w:r w:rsidRPr="00AF0EE2">
        <w:rPr>
          <w:szCs w:val="20"/>
          <w:lang w:val="es-CR"/>
        </w:rPr>
        <w:t xml:space="preserve"> por el delito de desaparición forzada el 12 de diciembre de 2013, aún se encuentra pendiente la ejecución, dado que el responsable a la fecha se encuentra prófugo de la justicia. En lo que concierne a la ejecución de dicha sentencia, la Corte ordena al Estado que, con la debida diligencia, adopte las medidas necesarias para dar cumplimiento a la referida sentencia. Aunado a ello, dado que la Corte también determinó la violación a los artículos 8.1 y 25.1 de la Convención por: 1) la falta de una investigación diligente de otros posibles responsables de la desaparición forzada de Santiago Antezana, y por 2) la falta de una investigación diligente por </w:t>
      </w:r>
      <w:r>
        <w:rPr>
          <w:szCs w:val="20"/>
          <w:lang w:val="es-CR"/>
        </w:rPr>
        <w:t>la tortura sufrida</w:t>
      </w:r>
      <w:r w:rsidRPr="00AF0EE2">
        <w:rPr>
          <w:szCs w:val="20"/>
          <w:lang w:val="es-CR"/>
        </w:rPr>
        <w:t xml:space="preserve"> por la víctima, la Corte requiere al Estado que realice todas las diligencias necesarias con el fin de </w:t>
      </w:r>
      <w:r w:rsidRPr="00AF0EE2">
        <w:rPr>
          <w:rFonts w:cs="Verdana"/>
          <w:szCs w:val="20"/>
          <w:lang w:val="es-ES"/>
        </w:rPr>
        <w:t xml:space="preserve">identificar, juzgar y, en su caso, sancionar a todos los responsables de dichos hechos perpetrados, en perjuicio de Santiago Antezana Cueto. </w:t>
      </w:r>
    </w:p>
    <w:p w:rsidR="0060330C" w:rsidRPr="00825164" w:rsidRDefault="0060330C" w:rsidP="0060330C">
      <w:pPr>
        <w:pStyle w:val="ListParagraph"/>
        <w:widowControl w:val="0"/>
        <w:tabs>
          <w:tab w:val="left" w:pos="0"/>
        </w:tabs>
        <w:adjustRightInd w:val="0"/>
        <w:rPr>
          <w:i/>
          <w:szCs w:val="20"/>
          <w:lang w:val="es-CR"/>
        </w:rPr>
      </w:pPr>
    </w:p>
    <w:p w:rsidR="0060330C" w:rsidRPr="00AF0EE2" w:rsidRDefault="0060330C" w:rsidP="0060330C">
      <w:pPr>
        <w:pStyle w:val="ListParagraph"/>
        <w:widowControl w:val="0"/>
        <w:numPr>
          <w:ilvl w:val="0"/>
          <w:numId w:val="1"/>
        </w:numPr>
        <w:tabs>
          <w:tab w:val="left" w:pos="0"/>
        </w:tabs>
        <w:adjustRightInd w:val="0"/>
        <w:ind w:left="0" w:firstLine="0"/>
        <w:rPr>
          <w:i/>
          <w:szCs w:val="20"/>
          <w:lang w:val="es-CR"/>
        </w:rPr>
      </w:pPr>
      <w:r w:rsidRPr="00AF0EE2">
        <w:rPr>
          <w:szCs w:val="20"/>
          <w:lang w:val="es-CR"/>
        </w:rPr>
        <w:t>Conforme a su jurisprudencia constante, la Corte reitera que el Estado debe asegurar el pleno acceso y capacidad de actuar de las víctimas o sus familiares en todas las etapas de la investigación y el juzgamiento de los responsables. Dicha participación deberá tener como finalidad el acceso a la justicia y el conocimiento de la verdad de lo ocurrido. Adicionalmente, los resultados de los procesos correspondientes deberán ser publicados para que la sociedad peruana conozca los hechos objeto del presente caso, así como a sus responsables</w:t>
      </w:r>
      <w:r w:rsidRPr="00AF0EE2">
        <w:rPr>
          <w:szCs w:val="20"/>
          <w:vertAlign w:val="superscript"/>
          <w:lang w:val="es-CR"/>
        </w:rPr>
        <w:footnoteReference w:id="320"/>
      </w:r>
      <w:r w:rsidRPr="00AF0EE2">
        <w:rPr>
          <w:szCs w:val="20"/>
          <w:lang w:val="es-CR"/>
        </w:rPr>
        <w:t>.</w:t>
      </w:r>
    </w:p>
    <w:p w:rsidR="0060330C" w:rsidRPr="00AF0EE2" w:rsidRDefault="0060330C" w:rsidP="0060330C">
      <w:pPr>
        <w:pStyle w:val="Estilo1"/>
        <w:tabs>
          <w:tab w:val="left" w:pos="709"/>
        </w:tabs>
        <w:spacing w:after="0"/>
        <w:ind w:left="0" w:right="0" w:firstLine="0"/>
        <w:rPr>
          <w:i w:val="0"/>
          <w:szCs w:val="20"/>
          <w:lang w:val="es-CR"/>
        </w:rPr>
      </w:pPr>
    </w:p>
    <w:p w:rsidR="0060330C" w:rsidRPr="00C84214" w:rsidRDefault="0060330C" w:rsidP="0060330C">
      <w:pPr>
        <w:pStyle w:val="ListParagraph"/>
        <w:widowControl w:val="0"/>
        <w:numPr>
          <w:ilvl w:val="0"/>
          <w:numId w:val="1"/>
        </w:numPr>
        <w:tabs>
          <w:tab w:val="left" w:pos="0"/>
        </w:tabs>
        <w:adjustRightInd w:val="0"/>
        <w:ind w:left="0" w:firstLine="0"/>
        <w:rPr>
          <w:szCs w:val="20"/>
          <w:lang w:val="es-ES" w:eastAsia="x-none"/>
        </w:rPr>
      </w:pPr>
      <w:r w:rsidRPr="00AF0EE2">
        <w:rPr>
          <w:szCs w:val="20"/>
          <w:lang w:val="es-CR"/>
        </w:rPr>
        <w:t xml:space="preserve">Por otra parte, </w:t>
      </w:r>
      <w:r w:rsidR="007033FE">
        <w:rPr>
          <w:szCs w:val="20"/>
          <w:lang w:val="es-CR"/>
        </w:rPr>
        <w:t xml:space="preserve">aún se desconoce </w:t>
      </w:r>
      <w:r w:rsidRPr="00AF0EE2">
        <w:rPr>
          <w:rFonts w:cs="Verdana"/>
          <w:lang w:val="es-ES"/>
        </w:rPr>
        <w:t xml:space="preserve">el paradero de </w:t>
      </w:r>
      <w:r w:rsidRPr="00AF0EE2">
        <w:t xml:space="preserve">Santiago Antezana Cueto, Wilfredo </w:t>
      </w:r>
      <w:r w:rsidRPr="00AF0EE2">
        <w:lastRenderedPageBreak/>
        <w:t xml:space="preserve">Terrones Silva, Teresa Díaz </w:t>
      </w:r>
      <w:r w:rsidRPr="006225EB">
        <w:rPr>
          <w:szCs w:val="20"/>
          <w:lang w:val="es-CR"/>
        </w:rPr>
        <w:t>Aparicio</w:t>
      </w:r>
      <w:r w:rsidRPr="00AF0EE2">
        <w:t>, Néstor Rojas Medina y Cory Clodolia Tenicela Tello,</w:t>
      </w:r>
      <w:r w:rsidRPr="00AF0EE2">
        <w:rPr>
          <w:rFonts w:cs="Verdana"/>
          <w:lang w:val="es-ES"/>
        </w:rPr>
        <w:t xml:space="preserve"> y el Estado no ha realizado a la fecha todas las medidas tendientes a determinar su paradero.</w:t>
      </w:r>
      <w:r>
        <w:rPr>
          <w:szCs w:val="20"/>
          <w:lang w:val="es-ES" w:eastAsia="x-none"/>
        </w:rPr>
        <w:t xml:space="preserve"> </w:t>
      </w:r>
      <w:r w:rsidRPr="00C84214">
        <w:rPr>
          <w:lang w:val="es-ES"/>
        </w:rPr>
        <w:t xml:space="preserve">En </w:t>
      </w:r>
      <w:r w:rsidRPr="00C84214">
        <w:rPr>
          <w:rFonts w:cs="Verdana"/>
          <w:lang w:val="es-ES"/>
        </w:rPr>
        <w:t>consecuencia</w:t>
      </w:r>
      <w:r w:rsidRPr="00C84214">
        <w:rPr>
          <w:lang w:val="es-ES"/>
        </w:rPr>
        <w:t xml:space="preserve">, es necesario que el Estado </w:t>
      </w:r>
      <w:r w:rsidRPr="00C84214">
        <w:rPr>
          <w:bCs/>
        </w:rPr>
        <w:t xml:space="preserve">extreme los esfuerzos de </w:t>
      </w:r>
      <w:r w:rsidRPr="00C84214">
        <w:rPr>
          <w:lang w:val="es-ES"/>
        </w:rPr>
        <w:t xml:space="preserve">búsqueda </w:t>
      </w:r>
      <w:r w:rsidRPr="00C84214">
        <w:rPr>
          <w:rFonts w:cs="Verdana"/>
          <w:lang w:val="es-ES"/>
        </w:rPr>
        <w:t>exhaustiva</w:t>
      </w:r>
      <w:r w:rsidRPr="00C84214">
        <w:rPr>
          <w:lang w:val="es-ES"/>
        </w:rPr>
        <w:t xml:space="preserve"> por </w:t>
      </w:r>
      <w:r w:rsidRPr="00C84214">
        <w:rPr>
          <w:rFonts w:cs="Verdana"/>
          <w:lang w:val="es-ES" w:eastAsia="es-MX"/>
        </w:rPr>
        <w:t>la</w:t>
      </w:r>
      <w:r w:rsidRPr="00C84214">
        <w:rPr>
          <w:lang w:val="es-ES"/>
        </w:rPr>
        <w:t xml:space="preserve"> vía judicial y/o administrativa adecuada, para determinar </w:t>
      </w:r>
      <w:r w:rsidR="007033FE">
        <w:rPr>
          <w:lang w:val="es-ES"/>
        </w:rPr>
        <w:t>el</w:t>
      </w:r>
      <w:r w:rsidRPr="00C84214">
        <w:rPr>
          <w:lang w:val="es-ES"/>
        </w:rPr>
        <w:t xml:space="preserve"> paradero</w:t>
      </w:r>
      <w:r w:rsidR="007033FE">
        <w:rPr>
          <w:lang w:val="es-ES"/>
        </w:rPr>
        <w:t xml:space="preserve"> de cada uno de ellos</w:t>
      </w:r>
      <w:r w:rsidRPr="00C84214">
        <w:rPr>
          <w:lang w:val="es-ES"/>
        </w:rPr>
        <w:t xml:space="preserve">, la cual deberá realizarse de manera sistemática y rigurosa, contar con los recursos humanos, técnicos y científicos adecuados e idóneos. Las referidas diligencias deberán ser informadas a sus familiares y en lo posible procurar su presencia. </w:t>
      </w:r>
    </w:p>
    <w:p w:rsidR="0060330C" w:rsidRPr="00513090" w:rsidRDefault="0060330C" w:rsidP="0060330C">
      <w:pPr>
        <w:pStyle w:val="ListParagraph"/>
        <w:widowControl w:val="0"/>
        <w:tabs>
          <w:tab w:val="left" w:pos="0"/>
        </w:tabs>
        <w:adjustRightInd w:val="0"/>
        <w:ind w:left="0"/>
        <w:rPr>
          <w:szCs w:val="20"/>
          <w:lang w:val="es-ES" w:eastAsia="x-none"/>
        </w:rPr>
      </w:pPr>
    </w:p>
    <w:p w:rsidR="0060330C" w:rsidRPr="00AF0EE2" w:rsidRDefault="0060330C" w:rsidP="0060330C">
      <w:pPr>
        <w:pStyle w:val="ListParagraph"/>
        <w:widowControl w:val="0"/>
        <w:numPr>
          <w:ilvl w:val="0"/>
          <w:numId w:val="1"/>
        </w:numPr>
        <w:tabs>
          <w:tab w:val="left" w:pos="0"/>
        </w:tabs>
        <w:adjustRightInd w:val="0"/>
        <w:ind w:left="0" w:firstLine="0"/>
        <w:rPr>
          <w:b/>
          <w:i/>
          <w:szCs w:val="20"/>
          <w:lang w:val="es-ES"/>
        </w:rPr>
      </w:pPr>
      <w:r w:rsidRPr="00AF0EE2">
        <w:rPr>
          <w:lang w:val="es-ES"/>
        </w:rPr>
        <w:t xml:space="preserve">En </w:t>
      </w:r>
      <w:r w:rsidRPr="00AF0EE2">
        <w:rPr>
          <w:rFonts w:cs="Verdana"/>
          <w:lang w:val="es-ES"/>
        </w:rPr>
        <w:t>caso</w:t>
      </w:r>
      <w:r w:rsidRPr="00AF0EE2">
        <w:rPr>
          <w:lang w:val="es-ES"/>
        </w:rPr>
        <w:t xml:space="preserve"> de que luego de las diligencias realizadas por el Estado, las víctimas se encontraren fallecidas, los restos mortales </w:t>
      </w:r>
      <w:r w:rsidRPr="00AF0EE2">
        <w:rPr>
          <w:rFonts w:cs="Verdana"/>
          <w:lang w:val="es-ES"/>
        </w:rPr>
        <w:t xml:space="preserve">deben ser entregados a sus </w:t>
      </w:r>
      <w:r w:rsidRPr="00AF0EE2">
        <w:rPr>
          <w:lang w:val="es-ES"/>
        </w:rPr>
        <w:t>familiares</w:t>
      </w:r>
      <w:r w:rsidRPr="00AF0EE2">
        <w:rPr>
          <w:rFonts w:cs="Verdana"/>
          <w:lang w:val="es-ES"/>
        </w:rPr>
        <w:t xml:space="preserve">, previa comprobación de identidad, a la mayor brevedad posible y sin costo alguno para ellos. </w:t>
      </w:r>
      <w:r w:rsidRPr="00AF0EE2">
        <w:rPr>
          <w:lang w:val="es-ES"/>
        </w:rPr>
        <w:t>Además, el Estado deberá cubrir los gastos fúnebres, en su caso, de común acuerdo con sus familiares</w:t>
      </w:r>
      <w:r w:rsidRPr="00AF0EE2">
        <w:rPr>
          <w:vertAlign w:val="superscript"/>
          <w:lang w:val="es-ES"/>
        </w:rPr>
        <w:footnoteReference w:id="321"/>
      </w:r>
      <w:r w:rsidRPr="00AF0EE2">
        <w:rPr>
          <w:lang w:val="es-ES"/>
        </w:rPr>
        <w:t>.</w:t>
      </w:r>
    </w:p>
    <w:p w:rsidR="0060330C" w:rsidRDefault="0060330C" w:rsidP="0060330C">
      <w:pPr>
        <w:pStyle w:val="Estilo1"/>
        <w:tabs>
          <w:tab w:val="left" w:pos="709"/>
        </w:tabs>
        <w:spacing w:after="0"/>
        <w:ind w:left="0" w:right="-4" w:firstLine="0"/>
        <w:rPr>
          <w:b/>
          <w:i w:val="0"/>
          <w:szCs w:val="20"/>
          <w:lang w:val="es-ES"/>
        </w:rPr>
      </w:pPr>
    </w:p>
    <w:p w:rsidR="0060330C" w:rsidRPr="001B01DD" w:rsidRDefault="0060330C" w:rsidP="0060330C">
      <w:pPr>
        <w:pStyle w:val="Heading2"/>
        <w:keepNext w:val="0"/>
        <w:keepLines w:val="0"/>
        <w:spacing w:before="0"/>
        <w:ind w:right="-144" w:firstLine="720"/>
        <w:rPr>
          <w:spacing w:val="-2"/>
          <w:szCs w:val="20"/>
          <w:lang w:val="es-CR" w:bidi="en-US"/>
        </w:rPr>
      </w:pPr>
      <w:bookmarkStart w:id="262" w:name="_Toc527993571"/>
      <w:r>
        <w:rPr>
          <w:spacing w:val="-2"/>
          <w:szCs w:val="20"/>
          <w:lang w:val="es-CR" w:bidi="en-US"/>
        </w:rPr>
        <w:t xml:space="preserve">C. </w:t>
      </w:r>
      <w:r w:rsidRPr="001B01DD">
        <w:rPr>
          <w:spacing w:val="-2"/>
          <w:szCs w:val="20"/>
          <w:lang w:val="es-CR" w:bidi="en-US"/>
        </w:rPr>
        <w:t>Medidas de rehabilitación</w:t>
      </w:r>
      <w:bookmarkEnd w:id="262"/>
    </w:p>
    <w:p w:rsidR="0060330C" w:rsidRPr="00D75A6E" w:rsidRDefault="0060330C" w:rsidP="0060330C">
      <w:pPr>
        <w:pStyle w:val="Estilo1"/>
        <w:tabs>
          <w:tab w:val="left" w:pos="709"/>
        </w:tabs>
        <w:spacing w:after="0"/>
        <w:ind w:left="0" w:right="-4" w:firstLine="0"/>
        <w:rPr>
          <w:b/>
          <w:i w:val="0"/>
          <w:szCs w:val="20"/>
          <w:lang w:val="es-ES"/>
        </w:rPr>
      </w:pPr>
    </w:p>
    <w:p w:rsidR="0060330C" w:rsidRPr="00BA656F" w:rsidRDefault="0060330C" w:rsidP="0060330C">
      <w:pPr>
        <w:pStyle w:val="ListParagraph"/>
        <w:widowControl w:val="0"/>
        <w:numPr>
          <w:ilvl w:val="0"/>
          <w:numId w:val="1"/>
        </w:numPr>
        <w:tabs>
          <w:tab w:val="left" w:pos="0"/>
        </w:tabs>
        <w:adjustRightInd w:val="0"/>
        <w:ind w:left="0" w:firstLine="0"/>
        <w:rPr>
          <w:i/>
          <w:szCs w:val="20"/>
          <w:lang w:val="es-CR" w:eastAsia="es-CO"/>
        </w:rPr>
      </w:pPr>
      <w:r w:rsidRPr="00EF6A20">
        <w:rPr>
          <w:rFonts w:cs="Arial"/>
          <w:szCs w:val="20"/>
          <w:lang w:val="es-CR" w:eastAsia="es-CO"/>
        </w:rPr>
        <w:t xml:space="preserve">La </w:t>
      </w:r>
      <w:r w:rsidRPr="00EF6A20">
        <w:rPr>
          <w:rFonts w:cs="Arial"/>
          <w:b/>
          <w:szCs w:val="20"/>
          <w:lang w:val="es-CR" w:eastAsia="es-CO"/>
        </w:rPr>
        <w:t>Comisión</w:t>
      </w:r>
      <w:r w:rsidRPr="00EF6A20">
        <w:rPr>
          <w:rFonts w:cs="Arial"/>
          <w:szCs w:val="20"/>
          <w:lang w:val="es-CR" w:eastAsia="es-CO"/>
        </w:rPr>
        <w:t xml:space="preserve"> solicitó “la implementación de un programa adecuado de atención a los familiares de </w:t>
      </w:r>
      <w:r w:rsidRPr="00EF6A20">
        <w:t xml:space="preserve">Wilfredo </w:t>
      </w:r>
      <w:r w:rsidRPr="00EF6A20">
        <w:rPr>
          <w:szCs w:val="20"/>
          <w:lang w:val="es-ES"/>
        </w:rPr>
        <w:t>Terrones</w:t>
      </w:r>
      <w:r w:rsidRPr="00EF6A20">
        <w:t xml:space="preserve"> Silva, Teresa Díaz Aparicio, Santiago Antezana Cueto, Néstor Rojas Medina y Cory Clodol</w:t>
      </w:r>
      <w:r>
        <w:t>i</w:t>
      </w:r>
      <w:r w:rsidRPr="00EF6A20">
        <w:t>a Tenicela, en consulta con ellos y conforme a sus necesidades específicas”</w:t>
      </w:r>
      <w:r w:rsidR="00890754">
        <w:t>.</w:t>
      </w:r>
      <w:r>
        <w:rPr>
          <w:b/>
          <w:sz w:val="16"/>
          <w:szCs w:val="16"/>
        </w:rPr>
        <w:t xml:space="preserve"> </w:t>
      </w:r>
    </w:p>
    <w:p w:rsidR="0060330C" w:rsidRPr="00BA656F" w:rsidRDefault="0060330C" w:rsidP="0060330C">
      <w:pPr>
        <w:pStyle w:val="Estilo1"/>
        <w:tabs>
          <w:tab w:val="left" w:pos="709"/>
        </w:tabs>
        <w:spacing w:after="0"/>
        <w:ind w:left="0" w:right="-4" w:firstLine="0"/>
        <w:rPr>
          <w:i w:val="0"/>
          <w:szCs w:val="20"/>
          <w:lang w:val="es-CR" w:eastAsia="es-CO"/>
        </w:rPr>
      </w:pPr>
    </w:p>
    <w:p w:rsidR="0060330C" w:rsidRDefault="0060330C" w:rsidP="0060330C">
      <w:pPr>
        <w:pStyle w:val="ListParagraph"/>
        <w:widowControl w:val="0"/>
        <w:numPr>
          <w:ilvl w:val="0"/>
          <w:numId w:val="1"/>
        </w:numPr>
        <w:tabs>
          <w:tab w:val="left" w:pos="0"/>
        </w:tabs>
        <w:adjustRightInd w:val="0"/>
        <w:ind w:left="0" w:firstLine="0"/>
        <w:rPr>
          <w:i/>
          <w:szCs w:val="20"/>
          <w:lang w:val="es-CR" w:eastAsia="es-CO"/>
        </w:rPr>
      </w:pPr>
      <w:r w:rsidRPr="008124F7">
        <w:rPr>
          <w:szCs w:val="20"/>
          <w:lang w:val="es-CR" w:eastAsia="es-CO"/>
        </w:rPr>
        <w:t xml:space="preserve">Los </w:t>
      </w:r>
      <w:r w:rsidRPr="008124F7">
        <w:rPr>
          <w:b/>
          <w:szCs w:val="20"/>
          <w:lang w:val="es-CR" w:eastAsia="es-CO"/>
        </w:rPr>
        <w:t>representantes</w:t>
      </w:r>
      <w:r w:rsidRPr="008124F7">
        <w:rPr>
          <w:szCs w:val="20"/>
          <w:lang w:val="es-CR" w:eastAsia="es-CO"/>
        </w:rPr>
        <w:t xml:space="preserve"> solicitaron que se ordene al Estado garantizar un tratamiento médico y </w:t>
      </w:r>
      <w:r w:rsidRPr="00EF6A20">
        <w:rPr>
          <w:rFonts w:cs="Arial"/>
          <w:szCs w:val="20"/>
          <w:lang w:val="es-CR" w:eastAsia="es-CO"/>
        </w:rPr>
        <w:t>psicológico</w:t>
      </w:r>
      <w:r w:rsidRPr="008124F7">
        <w:rPr>
          <w:szCs w:val="20"/>
          <w:lang w:val="es-CR" w:eastAsia="es-CO"/>
        </w:rPr>
        <w:t xml:space="preserve">, gratuito y permanente, a favor de los familiares de las víctimas, dado el sufrimiento que habrían padecido debido a las alegadas desapariciones forzadas de </w:t>
      </w:r>
      <w:r w:rsidRPr="008124F7">
        <w:rPr>
          <w:rFonts w:cs="Times New Roman"/>
          <w:szCs w:val="20"/>
          <w:lang w:val="es-CR"/>
        </w:rPr>
        <w:t>Wilfredo Terron</w:t>
      </w:r>
      <w:r>
        <w:rPr>
          <w:rFonts w:cs="Times New Roman"/>
          <w:szCs w:val="20"/>
          <w:lang w:val="es-CR"/>
        </w:rPr>
        <w:t xml:space="preserve">es Silva, </w:t>
      </w:r>
      <w:r w:rsidRPr="00257982">
        <w:rPr>
          <w:rFonts w:cs="Verdana"/>
          <w:lang w:val="es-ES" w:eastAsia="es-MX"/>
        </w:rPr>
        <w:t>Néstor</w:t>
      </w:r>
      <w:r w:rsidRPr="008124F7">
        <w:rPr>
          <w:rFonts w:cs="Times New Roman"/>
          <w:szCs w:val="20"/>
          <w:lang w:val="es-CR"/>
        </w:rPr>
        <w:t xml:space="preserve"> Rojas Medina y Santiago Antezana Cueto</w:t>
      </w:r>
      <w:r w:rsidRPr="008124F7">
        <w:rPr>
          <w:szCs w:val="20"/>
          <w:lang w:val="es-CR" w:eastAsia="es-CO"/>
        </w:rPr>
        <w:t>. Agregaron que las prestaciones deben ser suministradas por profesionales competentes, tras la determinación de las necesidades médicas de cada víctima, incluyendo la provisión de los medicamentos que sean requeridos, asegurada la debida participación de las víctimas en el proceso. Además, solicitaron que los gastos generados conjuntamente a la provisión del tratamiento, tales como el costo de transporte, entre otras necesidades que puedan presentarse, sean a cargo el Estado.</w:t>
      </w:r>
      <w:r w:rsidR="007033FE">
        <w:rPr>
          <w:szCs w:val="20"/>
          <w:lang w:val="es-CR" w:eastAsia="es-CO"/>
        </w:rPr>
        <w:t xml:space="preserve"> Agregaron que a la fecha la señora Díaz Aparicio no cuenta con algún familiar sobreviviente.</w:t>
      </w:r>
      <w:r>
        <w:rPr>
          <w:szCs w:val="20"/>
          <w:lang w:val="es-CR" w:eastAsia="es-CO"/>
        </w:rPr>
        <w:t xml:space="preserve">  </w:t>
      </w:r>
    </w:p>
    <w:p w:rsidR="0060330C" w:rsidRPr="008124F7" w:rsidRDefault="0060330C" w:rsidP="0060330C">
      <w:pPr>
        <w:pStyle w:val="Estilo1"/>
        <w:tabs>
          <w:tab w:val="left" w:pos="709"/>
        </w:tabs>
        <w:spacing w:after="0"/>
        <w:ind w:left="0" w:right="-4" w:firstLine="0"/>
        <w:rPr>
          <w:i w:val="0"/>
          <w:szCs w:val="20"/>
          <w:lang w:val="es-CR" w:eastAsia="es-CO"/>
        </w:rPr>
      </w:pPr>
    </w:p>
    <w:p w:rsidR="0060330C" w:rsidRPr="001277F6" w:rsidRDefault="0060330C" w:rsidP="0060330C">
      <w:pPr>
        <w:pStyle w:val="ListParagraph"/>
        <w:widowControl w:val="0"/>
        <w:numPr>
          <w:ilvl w:val="0"/>
          <w:numId w:val="1"/>
        </w:numPr>
        <w:tabs>
          <w:tab w:val="left" w:pos="0"/>
        </w:tabs>
        <w:adjustRightInd w:val="0"/>
        <w:ind w:left="0" w:firstLine="0"/>
        <w:rPr>
          <w:rFonts w:cs="Arial"/>
          <w:i/>
          <w:szCs w:val="20"/>
          <w:lang w:val="es-CR" w:eastAsia="es-CO"/>
        </w:rPr>
      </w:pPr>
      <w:r w:rsidRPr="008124F7">
        <w:rPr>
          <w:rFonts w:cs="Arial"/>
          <w:szCs w:val="20"/>
          <w:lang w:val="es-CR" w:eastAsia="es-CO"/>
        </w:rPr>
        <w:t xml:space="preserve">El </w:t>
      </w:r>
      <w:r w:rsidRPr="008124F7">
        <w:rPr>
          <w:rFonts w:cs="Arial"/>
          <w:b/>
          <w:szCs w:val="20"/>
          <w:lang w:val="es-CR" w:eastAsia="es-CO"/>
        </w:rPr>
        <w:t>Estado</w:t>
      </w:r>
      <w:r w:rsidRPr="008124F7">
        <w:rPr>
          <w:rFonts w:cs="Arial"/>
          <w:szCs w:val="20"/>
          <w:lang w:val="es-CR" w:eastAsia="es-CO"/>
        </w:rPr>
        <w:t xml:space="preserve"> señaló que los representantes</w:t>
      </w:r>
      <w:r>
        <w:rPr>
          <w:rFonts w:cs="Arial"/>
          <w:szCs w:val="20"/>
          <w:lang w:val="es-CR" w:eastAsia="es-CO"/>
        </w:rPr>
        <w:t xml:space="preserve"> </w:t>
      </w:r>
      <w:r w:rsidRPr="00257982">
        <w:rPr>
          <w:rFonts w:cs="Arial"/>
          <w:szCs w:val="20"/>
          <w:lang w:val="es-CR" w:eastAsia="es-CO"/>
        </w:rPr>
        <w:t>no</w:t>
      </w:r>
      <w:r w:rsidRPr="008124F7">
        <w:rPr>
          <w:rFonts w:cs="Arial"/>
          <w:szCs w:val="20"/>
          <w:lang w:val="es-CR" w:eastAsia="es-CO"/>
        </w:rPr>
        <w:t xml:space="preserve"> han solicitado </w:t>
      </w:r>
      <w:r>
        <w:rPr>
          <w:rFonts w:cs="Arial"/>
          <w:szCs w:val="20"/>
          <w:lang w:val="es-CR" w:eastAsia="es-CO"/>
        </w:rPr>
        <w:t>“</w:t>
      </w:r>
      <w:r w:rsidRPr="008124F7">
        <w:rPr>
          <w:rFonts w:cs="Arial"/>
          <w:szCs w:val="20"/>
          <w:lang w:val="es-CR" w:eastAsia="es-CO"/>
        </w:rPr>
        <w:t xml:space="preserve">la referida pretensión en favor de los familiares de la </w:t>
      </w:r>
      <w:r w:rsidRPr="001277F6">
        <w:rPr>
          <w:rFonts w:cs="Arial"/>
          <w:szCs w:val="20"/>
          <w:lang w:val="es-CR" w:eastAsia="es-CO"/>
        </w:rPr>
        <w:t>señora Cory Clodolia Tenicela Tello y Teresa Díaz Aparicio</w:t>
      </w:r>
      <w:r>
        <w:rPr>
          <w:rFonts w:cs="Arial"/>
          <w:szCs w:val="20"/>
          <w:lang w:val="es-CR" w:eastAsia="es-CO"/>
        </w:rPr>
        <w:t>”</w:t>
      </w:r>
      <w:r w:rsidRPr="001277F6">
        <w:rPr>
          <w:rFonts w:cs="Arial"/>
          <w:szCs w:val="20"/>
          <w:lang w:val="es-CR" w:eastAsia="es-CO"/>
        </w:rPr>
        <w:t>,</w:t>
      </w:r>
      <w:r w:rsidRPr="008124F7">
        <w:rPr>
          <w:rFonts w:cs="Arial"/>
          <w:szCs w:val="20"/>
          <w:lang w:val="es-CR" w:eastAsia="es-CO"/>
        </w:rPr>
        <w:t xml:space="preserve"> y que, por tanto, </w:t>
      </w:r>
      <w:r>
        <w:rPr>
          <w:rFonts w:cs="Arial"/>
          <w:szCs w:val="20"/>
          <w:lang w:val="es-CR" w:eastAsia="es-CO"/>
        </w:rPr>
        <w:t>“</w:t>
      </w:r>
      <w:r w:rsidRPr="008124F7">
        <w:rPr>
          <w:rFonts w:cs="Arial"/>
          <w:szCs w:val="20"/>
          <w:lang w:val="es-CR" w:eastAsia="es-CO"/>
        </w:rPr>
        <w:t xml:space="preserve">hay una </w:t>
      </w:r>
      <w:r w:rsidRPr="00EF6A20">
        <w:rPr>
          <w:szCs w:val="20"/>
          <w:lang w:val="es-CR" w:eastAsia="es-CO"/>
        </w:rPr>
        <w:t>renuncia</w:t>
      </w:r>
      <w:r w:rsidRPr="008124F7">
        <w:rPr>
          <w:rFonts w:cs="Arial"/>
          <w:szCs w:val="20"/>
          <w:lang w:val="es-CR" w:eastAsia="es-CO"/>
        </w:rPr>
        <w:t xml:space="preserve"> a dicha pretensión</w:t>
      </w:r>
      <w:r>
        <w:rPr>
          <w:rFonts w:cs="Arial"/>
          <w:szCs w:val="20"/>
          <w:lang w:val="es-CR" w:eastAsia="es-CO"/>
        </w:rPr>
        <w:t>”</w:t>
      </w:r>
      <w:r w:rsidRPr="008124F7">
        <w:rPr>
          <w:rFonts w:cs="Arial"/>
          <w:szCs w:val="20"/>
          <w:lang w:val="es-CR" w:eastAsia="es-CO"/>
        </w:rPr>
        <w:t xml:space="preserve">. El Estado agregó que la presente medida de satisfacción podría ser eventualmente cumplida en el Sistema Integral de Salud (SIS), que tiene como </w:t>
      </w:r>
      <w:r w:rsidRPr="00257982">
        <w:rPr>
          <w:rFonts w:cs="Verdana"/>
          <w:lang w:val="es-ES" w:eastAsia="es-MX"/>
        </w:rPr>
        <w:t>finalidad</w:t>
      </w:r>
      <w:r w:rsidRPr="008124F7">
        <w:rPr>
          <w:rFonts w:cs="Arial"/>
          <w:szCs w:val="20"/>
          <w:lang w:val="es-CR" w:eastAsia="es-CO"/>
        </w:rPr>
        <w:t xml:space="preserve"> proteger la salud de los peruanos que no cuentan con un seguro de salud. Afirmó que puesto que la señora Marcelina Medina Negrón y el señor Leopold</w:t>
      </w:r>
      <w:r w:rsidR="008E6948">
        <w:rPr>
          <w:rFonts w:cs="Arial"/>
          <w:szCs w:val="20"/>
          <w:lang w:val="es-CR" w:eastAsia="es-CO"/>
        </w:rPr>
        <w:t>o</w:t>
      </w:r>
      <w:r w:rsidRPr="008124F7">
        <w:rPr>
          <w:rFonts w:cs="Arial"/>
          <w:szCs w:val="20"/>
          <w:lang w:val="es-CR" w:eastAsia="es-CO"/>
        </w:rPr>
        <w:t xml:space="preserve"> Rojas Manuyarna, padres del señor Néstor Rojas Medina cuentan con inscripción vigente en el referido Seguro Integral de Salud, no sería necesario ordenar la presente medida de satisfacción en favor de ellos, de ser considerados como víctimas.</w:t>
      </w:r>
    </w:p>
    <w:p w:rsidR="0060330C" w:rsidRPr="008124F7" w:rsidRDefault="0060330C" w:rsidP="0060330C">
      <w:pPr>
        <w:pStyle w:val="Estilo1"/>
        <w:tabs>
          <w:tab w:val="left" w:pos="709"/>
        </w:tabs>
        <w:spacing w:after="0"/>
        <w:ind w:left="0" w:right="0" w:firstLine="0"/>
        <w:rPr>
          <w:rFonts w:cs="Arial"/>
          <w:i w:val="0"/>
          <w:szCs w:val="20"/>
          <w:lang w:val="es-CR" w:eastAsia="es-CO"/>
        </w:rPr>
      </w:pPr>
    </w:p>
    <w:p w:rsidR="0060330C" w:rsidRPr="003D622F" w:rsidRDefault="00C2360E" w:rsidP="0060330C">
      <w:pPr>
        <w:pStyle w:val="ListParagraph"/>
        <w:widowControl w:val="0"/>
        <w:numPr>
          <w:ilvl w:val="0"/>
          <w:numId w:val="1"/>
        </w:numPr>
        <w:tabs>
          <w:tab w:val="left" w:pos="0"/>
          <w:tab w:val="left" w:pos="709"/>
        </w:tabs>
        <w:adjustRightInd w:val="0"/>
        <w:ind w:left="0" w:right="-4" w:firstLine="0"/>
        <w:rPr>
          <w:szCs w:val="20"/>
          <w:lang w:val="es-CR" w:eastAsia="es-CO"/>
        </w:rPr>
      </w:pPr>
      <w:r w:rsidRPr="003D622F">
        <w:rPr>
          <w:szCs w:val="20"/>
          <w:lang w:val="es-CR" w:eastAsia="es-CO"/>
        </w:rPr>
        <w:t>E</w:t>
      </w:r>
      <w:r w:rsidR="0060330C" w:rsidRPr="003D622F">
        <w:rPr>
          <w:szCs w:val="20"/>
          <w:lang w:val="es-CR" w:eastAsia="es-CO"/>
        </w:rPr>
        <w:t>n otras oportunidades</w:t>
      </w:r>
      <w:r w:rsidRPr="003D622F">
        <w:rPr>
          <w:szCs w:val="20"/>
          <w:lang w:val="es-CR" w:eastAsia="es-CO"/>
        </w:rPr>
        <w:t>, la Corte</w:t>
      </w:r>
      <w:r w:rsidR="0060330C" w:rsidRPr="003D622F">
        <w:rPr>
          <w:szCs w:val="20"/>
          <w:lang w:val="es-CR" w:eastAsia="es-CO"/>
        </w:rPr>
        <w:t xml:space="preserve"> ha considerado preciso disponer una medida de reparación que brinde una atención adecuada a los padecimientos psicológicos sufridos por las víctimas de las violaciones establecidas en la Sentencia</w:t>
      </w:r>
      <w:r w:rsidR="0060330C" w:rsidRPr="00794667">
        <w:rPr>
          <w:rStyle w:val="FootnoteReference"/>
          <w:sz w:val="20"/>
          <w:szCs w:val="20"/>
          <w:lang w:val="es-CR" w:eastAsia="es-CO"/>
        </w:rPr>
        <w:footnoteReference w:id="322"/>
      </w:r>
      <w:r w:rsidR="0060330C" w:rsidRPr="003D622F">
        <w:rPr>
          <w:szCs w:val="20"/>
          <w:lang w:val="es-CR" w:eastAsia="es-CO"/>
        </w:rPr>
        <w:t xml:space="preserve">. Considerando la posible afectación psicológica </w:t>
      </w:r>
      <w:r w:rsidR="0060330C" w:rsidRPr="003D622F">
        <w:rPr>
          <w:rFonts w:cs="Arial"/>
          <w:szCs w:val="20"/>
          <w:lang w:val="es-CR" w:eastAsia="es-CO"/>
        </w:rPr>
        <w:t>causada</w:t>
      </w:r>
      <w:r w:rsidR="0060330C" w:rsidRPr="003D622F">
        <w:rPr>
          <w:szCs w:val="20"/>
          <w:lang w:val="es-CR" w:eastAsia="es-CO"/>
        </w:rPr>
        <w:t xml:space="preserve"> por la desaparición forzada de Wilfredo Terrones Silva, Teresa Díaz Aparicio, Néstor Rojas Medina, Cory Clodolia Tenicela Tello y Santiago Ant</w:t>
      </w:r>
      <w:r w:rsidR="0040650D" w:rsidRPr="003D622F">
        <w:rPr>
          <w:szCs w:val="20"/>
          <w:lang w:val="es-CR" w:eastAsia="es-CO"/>
        </w:rPr>
        <w:t>ezana</w:t>
      </w:r>
      <w:r w:rsidR="00082A01" w:rsidRPr="003D622F">
        <w:rPr>
          <w:szCs w:val="20"/>
          <w:lang w:val="es-CR" w:eastAsia="es-CO"/>
        </w:rPr>
        <w:t xml:space="preserve"> Cueto</w:t>
      </w:r>
      <w:r w:rsidR="0060330C" w:rsidRPr="003D622F">
        <w:rPr>
          <w:szCs w:val="20"/>
          <w:lang w:val="es-CR" w:eastAsia="es-CO"/>
        </w:rPr>
        <w:t xml:space="preserve">, </w:t>
      </w:r>
      <w:r w:rsidR="0060330C" w:rsidRPr="003D622F">
        <w:rPr>
          <w:szCs w:val="20"/>
          <w:lang w:val="es-CR" w:eastAsia="es-CO"/>
        </w:rPr>
        <w:lastRenderedPageBreak/>
        <w:t xml:space="preserve">en perjuicio de sus familiares, </w:t>
      </w:r>
      <w:r w:rsidR="0060330C" w:rsidRPr="003D622F">
        <w:rPr>
          <w:szCs w:val="20"/>
          <w:lang w:val="es-CR"/>
        </w:rPr>
        <w:t xml:space="preserve">la Corte ordena al Estado brindar gratuitamente, sin cargo alguno, el tratamiento psicológico adecuado y prioritario que requieran </w:t>
      </w:r>
      <w:r w:rsidR="0060330C" w:rsidRPr="003D622F">
        <w:rPr>
          <w:szCs w:val="20"/>
        </w:rPr>
        <w:t>Guillermina Frida Landázuri Gómez</w:t>
      </w:r>
      <w:r w:rsidR="00CE16DA" w:rsidRPr="00CC2976">
        <w:rPr>
          <w:szCs w:val="20"/>
        </w:rPr>
        <w:t>,</w:t>
      </w:r>
      <w:r w:rsidR="0060330C" w:rsidRPr="00CC2976">
        <w:rPr>
          <w:szCs w:val="20"/>
        </w:rPr>
        <w:t xml:space="preserve"> </w:t>
      </w:r>
      <w:r w:rsidR="00E10B3E" w:rsidRPr="00CC2976">
        <w:rPr>
          <w:szCs w:val="20"/>
          <w:lang w:val="es-AR"/>
        </w:rPr>
        <w:t xml:space="preserve">Amadea </w:t>
      </w:r>
      <w:r w:rsidR="008849C4" w:rsidRPr="00CC2976">
        <w:rPr>
          <w:szCs w:val="20"/>
          <w:lang w:val="es-AR"/>
        </w:rPr>
        <w:t xml:space="preserve">Felipa </w:t>
      </w:r>
      <w:r w:rsidR="00E10B3E" w:rsidRPr="00CC2976">
        <w:rPr>
          <w:szCs w:val="20"/>
          <w:lang w:val="es-AR"/>
        </w:rPr>
        <w:t xml:space="preserve">Tello </w:t>
      </w:r>
      <w:r w:rsidR="008849C4" w:rsidRPr="00CC2976">
        <w:rPr>
          <w:szCs w:val="20"/>
          <w:lang w:val="es-AR"/>
        </w:rPr>
        <w:t>de Tenicela</w:t>
      </w:r>
      <w:r w:rsidR="00E10B3E" w:rsidRPr="00CC2976">
        <w:rPr>
          <w:szCs w:val="20"/>
          <w:lang w:val="es-AR"/>
        </w:rPr>
        <w:t>,</w:t>
      </w:r>
      <w:r w:rsidR="00226240" w:rsidRPr="00CC2976">
        <w:rPr>
          <w:szCs w:val="20"/>
          <w:lang w:val="es-AR"/>
        </w:rPr>
        <w:t xml:space="preserve"> Norma Tenicela Tello,</w:t>
      </w:r>
      <w:r w:rsidR="00E10B3E" w:rsidRPr="00CC2976">
        <w:rPr>
          <w:szCs w:val="20"/>
          <w:lang w:val="es-AR"/>
        </w:rPr>
        <w:t xml:space="preserve"> Zenobio Washington Tenicela</w:t>
      </w:r>
      <w:r w:rsidR="00CE16DA" w:rsidRPr="00CC2976">
        <w:rPr>
          <w:szCs w:val="20"/>
          <w:lang w:val="es-AR"/>
        </w:rPr>
        <w:t>,</w:t>
      </w:r>
      <w:r w:rsidR="00E10B3E" w:rsidRPr="003D622F">
        <w:rPr>
          <w:szCs w:val="20"/>
          <w:lang w:val="es-CR"/>
        </w:rPr>
        <w:t xml:space="preserve"> </w:t>
      </w:r>
      <w:r w:rsidR="0060330C" w:rsidRPr="003D622F">
        <w:rPr>
          <w:szCs w:val="20"/>
        </w:rPr>
        <w:t xml:space="preserve">Marcelina Medina </w:t>
      </w:r>
      <w:r w:rsidR="00E10B3E" w:rsidRPr="003D622F">
        <w:rPr>
          <w:szCs w:val="20"/>
        </w:rPr>
        <w:t>Negrón</w:t>
      </w:r>
      <w:r w:rsidR="00CE16DA" w:rsidRPr="003D622F">
        <w:rPr>
          <w:szCs w:val="20"/>
        </w:rPr>
        <w:t xml:space="preserve">, </w:t>
      </w:r>
      <w:r w:rsidR="00E10B3E" w:rsidRPr="003D622F">
        <w:rPr>
          <w:szCs w:val="20"/>
        </w:rPr>
        <w:t xml:space="preserve">Tania Collantes Medina, </w:t>
      </w:r>
      <w:r w:rsidR="0060330C" w:rsidRPr="003D622F">
        <w:rPr>
          <w:szCs w:val="20"/>
        </w:rPr>
        <w:t>Rosa Carcausto Paco</w:t>
      </w:r>
      <w:r w:rsidR="008849C4" w:rsidRPr="003D622F">
        <w:rPr>
          <w:szCs w:val="20"/>
        </w:rPr>
        <w:t>,</w:t>
      </w:r>
      <w:r w:rsidR="0060330C" w:rsidRPr="003D622F">
        <w:rPr>
          <w:szCs w:val="20"/>
        </w:rPr>
        <w:t xml:space="preserve"> Ermilio Antezana Cueto, y Ofelia Antezana Torre</w:t>
      </w:r>
      <w:r w:rsidR="0060330C" w:rsidRPr="003D622F">
        <w:rPr>
          <w:szCs w:val="20"/>
          <w:lang w:val="es-CR"/>
        </w:rPr>
        <w:t>, y previa manifestación de voluntad, la que debe ser dada dentro del plazo de seis meses contado a partir de la notificación de esta Sentencia, y por el tiempo que sea necesario para atender las afecciones derivadas de las violaciones declaradas en la presente Sentencia. En tanto resulte adecuado a lo ordenado, el Estado podrá otorgar dicho tratamiento a través de los servicios nacionales de salud, inclusive por medio del Sistema Integral de Salud (SIS). Las víctimas indicadas deberán tener acceso inmediato y prioritario a las prestaciones de salud, independientemente de los plazos que la legislación interna haya contemplado para ello, evitando obstáculos de cualquier índole</w:t>
      </w:r>
      <w:r w:rsidR="0060330C" w:rsidRPr="00794667">
        <w:rPr>
          <w:rStyle w:val="FootnoteReference"/>
          <w:sz w:val="20"/>
          <w:szCs w:val="20"/>
          <w:lang w:val="es-CR"/>
        </w:rPr>
        <w:footnoteReference w:id="323"/>
      </w:r>
      <w:r w:rsidR="0060330C" w:rsidRPr="003D622F">
        <w:rPr>
          <w:szCs w:val="20"/>
          <w:lang w:val="es-CR"/>
        </w:rPr>
        <w:t>. Respecto de los familiares de Teresa Díaz</w:t>
      </w:r>
      <w:r w:rsidR="00E10B3E" w:rsidRPr="003D622F">
        <w:rPr>
          <w:szCs w:val="20"/>
          <w:lang w:val="es-CR"/>
        </w:rPr>
        <w:t xml:space="preserve"> Aparicio</w:t>
      </w:r>
      <w:r w:rsidR="0060330C" w:rsidRPr="003D622F">
        <w:rPr>
          <w:szCs w:val="20"/>
          <w:lang w:val="es-CR"/>
        </w:rPr>
        <w:t>, los representantes informaron que todos se encuentran fallecidos, por lo que no procede ordenar medida de rehabilitación alguna.</w:t>
      </w:r>
      <w:r w:rsidR="00AA788E" w:rsidRPr="003D622F">
        <w:rPr>
          <w:szCs w:val="20"/>
          <w:lang w:val="es-CR"/>
        </w:rPr>
        <w:t xml:space="preserve"> </w:t>
      </w:r>
    </w:p>
    <w:p w:rsidR="003D622F" w:rsidRPr="003D622F" w:rsidRDefault="003D622F" w:rsidP="003D622F">
      <w:pPr>
        <w:pStyle w:val="ListParagraph"/>
        <w:widowControl w:val="0"/>
        <w:tabs>
          <w:tab w:val="left" w:pos="0"/>
          <w:tab w:val="left" w:pos="709"/>
        </w:tabs>
        <w:adjustRightInd w:val="0"/>
        <w:ind w:left="0" w:right="-4"/>
        <w:rPr>
          <w:szCs w:val="20"/>
          <w:lang w:val="es-CR" w:eastAsia="es-CO"/>
        </w:rPr>
      </w:pPr>
    </w:p>
    <w:p w:rsidR="0060330C" w:rsidRDefault="0060330C" w:rsidP="0060330C">
      <w:pPr>
        <w:pStyle w:val="Heading2"/>
        <w:keepNext w:val="0"/>
        <w:keepLines w:val="0"/>
        <w:spacing w:before="0"/>
        <w:ind w:left="720" w:right="-144"/>
        <w:rPr>
          <w:spacing w:val="-2"/>
          <w:szCs w:val="20"/>
          <w:lang w:val="es-CR" w:bidi="en-US"/>
        </w:rPr>
      </w:pPr>
      <w:bookmarkStart w:id="263" w:name="_Toc527993572"/>
      <w:r>
        <w:rPr>
          <w:spacing w:val="-2"/>
          <w:szCs w:val="20"/>
          <w:lang w:val="es-CR" w:bidi="en-US"/>
        </w:rPr>
        <w:t xml:space="preserve">D. </w:t>
      </w:r>
      <w:r w:rsidRPr="0072044E">
        <w:rPr>
          <w:spacing w:val="-2"/>
          <w:szCs w:val="20"/>
          <w:lang w:val="es-CR" w:bidi="en-US"/>
        </w:rPr>
        <w:t>Medidas de satisfacción</w:t>
      </w:r>
      <w:bookmarkEnd w:id="263"/>
    </w:p>
    <w:p w:rsidR="0060330C" w:rsidRPr="00BA656F" w:rsidRDefault="0060330C" w:rsidP="0060330C">
      <w:pPr>
        <w:rPr>
          <w:lang w:val="es-CR" w:bidi="en-US"/>
        </w:rPr>
      </w:pPr>
    </w:p>
    <w:p w:rsidR="0060330C" w:rsidRPr="00351D31" w:rsidRDefault="0060330C" w:rsidP="0060330C">
      <w:pPr>
        <w:pStyle w:val="ListParagraph"/>
        <w:widowControl w:val="0"/>
        <w:numPr>
          <w:ilvl w:val="0"/>
          <w:numId w:val="1"/>
        </w:numPr>
        <w:tabs>
          <w:tab w:val="left" w:pos="0"/>
        </w:tabs>
        <w:adjustRightInd w:val="0"/>
        <w:ind w:left="0" w:firstLine="0"/>
        <w:rPr>
          <w:szCs w:val="20"/>
          <w:lang w:val="es-CR"/>
        </w:rPr>
      </w:pPr>
      <w:r w:rsidRPr="006E3056">
        <w:rPr>
          <w:szCs w:val="20"/>
          <w:lang w:val="es-CR"/>
        </w:rPr>
        <w:t xml:space="preserve">La </w:t>
      </w:r>
      <w:r w:rsidRPr="006E3056">
        <w:rPr>
          <w:b/>
          <w:szCs w:val="20"/>
          <w:lang w:val="es-CR"/>
        </w:rPr>
        <w:t>Comisión</w:t>
      </w:r>
      <w:r w:rsidRPr="006E3056">
        <w:rPr>
          <w:szCs w:val="20"/>
          <w:lang w:val="es-CR"/>
        </w:rPr>
        <w:t xml:space="preserve"> solicitó que el Estado reconozca adecuada y públicamente las violaciones </w:t>
      </w:r>
      <w:r w:rsidRPr="006E3056">
        <w:rPr>
          <w:lang w:val="es-CR"/>
        </w:rPr>
        <w:t>declaradas</w:t>
      </w:r>
      <w:r w:rsidRPr="006E3056">
        <w:rPr>
          <w:szCs w:val="20"/>
          <w:lang w:val="es-CR"/>
        </w:rPr>
        <w:t xml:space="preserve"> en ese caso. Los </w:t>
      </w:r>
      <w:r w:rsidRPr="006E3056">
        <w:rPr>
          <w:b/>
          <w:szCs w:val="20"/>
          <w:lang w:val="es-CR"/>
        </w:rPr>
        <w:t>representantes</w:t>
      </w:r>
      <w:r w:rsidRPr="006E3056">
        <w:rPr>
          <w:szCs w:val="20"/>
          <w:lang w:val="es-CR"/>
        </w:rPr>
        <w:t xml:space="preserve"> solicitaron a la Corte que ordene al Estado publicar en el plazo de seis meses posteriores a la fecha de notificación de la sentencia, en el Diario Oficial</w:t>
      </w:r>
      <w:r>
        <w:rPr>
          <w:szCs w:val="20"/>
          <w:lang w:val="es-CR"/>
        </w:rPr>
        <w:t xml:space="preserve"> y en un diario de circulación nacional</w:t>
      </w:r>
      <w:r w:rsidRPr="006E3056">
        <w:rPr>
          <w:szCs w:val="20"/>
          <w:lang w:val="es-CR"/>
        </w:rPr>
        <w:t xml:space="preserve"> las secciones de contexto y hechos probados, así como la parte resolutiva de la sentencia</w:t>
      </w:r>
      <w:r>
        <w:rPr>
          <w:szCs w:val="20"/>
          <w:lang w:val="es-CR"/>
        </w:rPr>
        <w:t>.</w:t>
      </w:r>
      <w:r w:rsidRPr="006E3056">
        <w:rPr>
          <w:szCs w:val="20"/>
        </w:rPr>
        <w:t xml:space="preserve"> </w:t>
      </w:r>
      <w:r w:rsidRPr="006E3056">
        <w:rPr>
          <w:szCs w:val="20"/>
          <w:lang w:val="es-CR"/>
        </w:rPr>
        <w:t xml:space="preserve">Asimismo, requirieron que la publicación también esté disponible en el sitio </w:t>
      </w:r>
      <w:r w:rsidRPr="00FF5058">
        <w:rPr>
          <w:i/>
          <w:szCs w:val="20"/>
          <w:lang w:val="es-CR"/>
        </w:rPr>
        <w:t>web</w:t>
      </w:r>
      <w:r>
        <w:rPr>
          <w:szCs w:val="20"/>
          <w:lang w:val="es-CR"/>
        </w:rPr>
        <w:t xml:space="preserve"> oficial </w:t>
      </w:r>
      <w:r w:rsidRPr="006E3056">
        <w:rPr>
          <w:szCs w:val="20"/>
          <w:lang w:val="es-CR"/>
        </w:rPr>
        <w:t>del Ministerio de Justicia y Derechos Humanos, Ministerio Público, Poder Judicial, Fuerzas Armadas y Policía Nacional del Perú</w:t>
      </w:r>
      <w:r>
        <w:rPr>
          <w:szCs w:val="20"/>
          <w:lang w:val="es-CR"/>
        </w:rPr>
        <w:t>, “no más de tres enlaces desde la página principal y mantenido hasta el momento en que se cumpla integralmente la sentencia”</w:t>
      </w:r>
      <w:r w:rsidRPr="006E3056">
        <w:rPr>
          <w:szCs w:val="20"/>
          <w:lang w:val="es-CR"/>
        </w:rPr>
        <w:t xml:space="preserve">. </w:t>
      </w:r>
      <w:r w:rsidRPr="00CE60DA">
        <w:rPr>
          <w:szCs w:val="20"/>
          <w:lang w:val="es-CR"/>
        </w:rPr>
        <w:t xml:space="preserve">Además, solicitaron que se realice un </w:t>
      </w:r>
      <w:r>
        <w:rPr>
          <w:szCs w:val="20"/>
          <w:lang w:val="es-CR"/>
        </w:rPr>
        <w:t>“</w:t>
      </w:r>
      <w:r w:rsidRPr="00CE60DA">
        <w:rPr>
          <w:szCs w:val="20"/>
          <w:lang w:val="es-CR"/>
        </w:rPr>
        <w:t xml:space="preserve">acto </w:t>
      </w:r>
      <w:r>
        <w:rPr>
          <w:szCs w:val="20"/>
          <w:lang w:val="es-CR"/>
        </w:rPr>
        <w:t>de disculpas públicas”</w:t>
      </w:r>
      <w:r w:rsidRPr="00CE60DA">
        <w:rPr>
          <w:szCs w:val="20"/>
          <w:lang w:val="es-CR"/>
        </w:rPr>
        <w:t xml:space="preserve"> por las más altas autoridades del Estado, dignificando la memoria de las víctimas.</w:t>
      </w:r>
      <w:r>
        <w:rPr>
          <w:szCs w:val="20"/>
          <w:lang w:val="es-CR"/>
        </w:rPr>
        <w:t xml:space="preserve"> </w:t>
      </w:r>
      <w:r w:rsidRPr="00794667">
        <w:rPr>
          <w:szCs w:val="20"/>
          <w:lang w:val="es-CR"/>
        </w:rPr>
        <w:t xml:space="preserve">También solicitaron </w:t>
      </w:r>
      <w:r w:rsidRPr="00794667">
        <w:t>que el Estado coloque una placa en el lugar de la Memoria, la Tolerancia y la Inclusión Social con el nombre de las víctimas, previa consulta con sus familiares</w:t>
      </w:r>
      <w:r w:rsidRPr="00794667">
        <w:rPr>
          <w:szCs w:val="20"/>
          <w:lang w:val="es-CR"/>
        </w:rPr>
        <w:t xml:space="preserve"> y que se coloque una placa en la Universidad Nacional Mayor de San Marcos en homenaje de Teresa Díaz Aparicio. El </w:t>
      </w:r>
      <w:r w:rsidRPr="00E8710A">
        <w:rPr>
          <w:b/>
          <w:szCs w:val="20"/>
          <w:lang w:val="es-CR"/>
        </w:rPr>
        <w:t>Estado</w:t>
      </w:r>
      <w:r w:rsidRPr="00CE60DA">
        <w:rPr>
          <w:szCs w:val="20"/>
          <w:lang w:val="es-CR"/>
        </w:rPr>
        <w:t xml:space="preserve"> consideró suficiente la publicación de la sentencia en un portal web de alguna entidad </w:t>
      </w:r>
      <w:r w:rsidRPr="00CE60DA">
        <w:rPr>
          <w:lang w:val="es-CR"/>
        </w:rPr>
        <w:t>estatal</w:t>
      </w:r>
      <w:r w:rsidRPr="00CE60DA">
        <w:rPr>
          <w:szCs w:val="20"/>
          <w:lang w:val="es-CR"/>
        </w:rPr>
        <w:t>, como el del Ministerio de Justicia y Derechos Humanos.</w:t>
      </w:r>
      <w:r w:rsidRPr="00CE60DA">
        <w:rPr>
          <w:b/>
          <w:szCs w:val="20"/>
          <w:lang w:val="es-CR"/>
        </w:rPr>
        <w:t xml:space="preserve"> </w:t>
      </w:r>
      <w:r w:rsidRPr="00CE60DA">
        <w:rPr>
          <w:szCs w:val="20"/>
          <w:lang w:val="es-CR"/>
        </w:rPr>
        <w:t>Además, solicitó que la Corte no ordene ningún acto público</w:t>
      </w:r>
      <w:r w:rsidR="008849C4">
        <w:rPr>
          <w:szCs w:val="20"/>
          <w:lang w:val="es-CR"/>
        </w:rPr>
        <w:t>, ni ordene la colocación de alguna placa</w:t>
      </w:r>
      <w:r>
        <w:rPr>
          <w:szCs w:val="20"/>
          <w:lang w:val="es-CR"/>
        </w:rPr>
        <w:t>.</w:t>
      </w:r>
    </w:p>
    <w:p w:rsidR="0060330C" w:rsidRPr="00CE60DA" w:rsidRDefault="0060330C" w:rsidP="0060330C">
      <w:pPr>
        <w:pStyle w:val="Estilo1"/>
        <w:tabs>
          <w:tab w:val="left" w:pos="709"/>
        </w:tabs>
        <w:spacing w:after="0"/>
        <w:ind w:left="0" w:right="0" w:firstLine="0"/>
        <w:rPr>
          <w:szCs w:val="20"/>
          <w:lang w:val="es-CR"/>
        </w:rPr>
      </w:pPr>
    </w:p>
    <w:p w:rsidR="0060330C" w:rsidRDefault="0060330C" w:rsidP="0060330C">
      <w:pPr>
        <w:pStyle w:val="ListParagraph"/>
        <w:widowControl w:val="0"/>
        <w:numPr>
          <w:ilvl w:val="0"/>
          <w:numId w:val="1"/>
        </w:numPr>
        <w:tabs>
          <w:tab w:val="left" w:pos="0"/>
        </w:tabs>
        <w:adjustRightInd w:val="0"/>
        <w:ind w:left="0" w:firstLine="0"/>
        <w:rPr>
          <w:szCs w:val="20"/>
          <w:lang w:val="es-CR"/>
        </w:rPr>
      </w:pPr>
      <w:r w:rsidRPr="00CE60DA">
        <w:rPr>
          <w:szCs w:val="20"/>
          <w:lang w:val="es-CR"/>
        </w:rPr>
        <w:t xml:space="preserve">La </w:t>
      </w:r>
      <w:r w:rsidRPr="00CE60DA">
        <w:rPr>
          <w:b/>
          <w:szCs w:val="20"/>
          <w:lang w:val="es-CR"/>
        </w:rPr>
        <w:t>Corte</w:t>
      </w:r>
      <w:r w:rsidRPr="00CE60DA">
        <w:rPr>
          <w:szCs w:val="20"/>
          <w:lang w:val="es-CR"/>
        </w:rPr>
        <w:t xml:space="preserve"> dispone, como lo ha hecho en otros casos</w:t>
      </w:r>
      <w:r w:rsidRPr="00351D31">
        <w:rPr>
          <w:vertAlign w:val="superscript"/>
          <w:lang w:val="es-ES"/>
        </w:rPr>
        <w:footnoteReference w:id="324"/>
      </w:r>
      <w:r w:rsidRPr="00CE60DA">
        <w:rPr>
          <w:szCs w:val="20"/>
          <w:lang w:val="es-CR"/>
        </w:rPr>
        <w:t xml:space="preserve">, </w:t>
      </w:r>
      <w:r w:rsidRPr="00CE60DA">
        <w:rPr>
          <w:rFonts w:cs="Verdana"/>
          <w:lang w:val="es-ES"/>
        </w:rPr>
        <w:t xml:space="preserve">que el Estado debe publicar, en el plazo de seis meses, contado a partir de la notificación de la presente Sentencia: a) el resumen </w:t>
      </w:r>
      <w:r w:rsidRPr="00F24E37">
        <w:rPr>
          <w:szCs w:val="20"/>
          <w:lang w:val="es-CR"/>
        </w:rPr>
        <w:t>oficial</w:t>
      </w:r>
      <w:r w:rsidRPr="00CE60DA">
        <w:rPr>
          <w:rFonts w:cs="Verdana"/>
          <w:lang w:val="es-ES"/>
        </w:rPr>
        <w:t xml:space="preserve"> de la presente Sentencia elaborado por la Corte, por una sola vez, en el Diario Oficial; b) el </w:t>
      </w:r>
      <w:r w:rsidRPr="00F24E37">
        <w:rPr>
          <w:szCs w:val="20"/>
          <w:lang w:val="es-CR"/>
        </w:rPr>
        <w:t>resumen</w:t>
      </w:r>
      <w:r w:rsidRPr="00CE60DA">
        <w:rPr>
          <w:rFonts w:cs="Verdana"/>
          <w:lang w:val="es-ES"/>
        </w:rPr>
        <w:t xml:space="preserve"> oficial de la presente Sentencia elaborado por la Corte, por una sola vez, en un diario de amplia circulación nacional, y c) la presente Sentencia en su integridad, </w:t>
      </w:r>
      <w:r w:rsidRPr="00CE60DA">
        <w:rPr>
          <w:rFonts w:cs="Verdana"/>
          <w:lang w:val="es-ES" w:eastAsia="es-MX"/>
        </w:rPr>
        <w:t>disponible</w:t>
      </w:r>
      <w:r w:rsidRPr="00CE60DA">
        <w:rPr>
          <w:rFonts w:cs="Verdana"/>
          <w:lang w:val="es-ES"/>
        </w:rPr>
        <w:t xml:space="preserve"> por un período de un año, en un sitio w</w:t>
      </w:r>
      <w:r>
        <w:rPr>
          <w:rFonts w:cs="Verdana"/>
          <w:lang w:val="es-ES"/>
        </w:rPr>
        <w:t>eb oficial</w:t>
      </w:r>
      <w:r w:rsidRPr="00CE60DA">
        <w:rPr>
          <w:szCs w:val="20"/>
          <w:lang w:val="es-CR"/>
        </w:rPr>
        <w:t xml:space="preserve">. El Estado deberá informar de forma inmediata a este Tribunal una vez que proceda a realizar cada una de las publicaciones dispuestas, independientemente del plazo de un año para presentar su primer informe dispuesto en el punto resolutivo </w:t>
      </w:r>
      <w:r w:rsidR="008C58E8" w:rsidRPr="00B37DA7">
        <w:rPr>
          <w:szCs w:val="20"/>
          <w:lang w:val="es-CR"/>
        </w:rPr>
        <w:t>19</w:t>
      </w:r>
      <w:r w:rsidRPr="00CE60DA">
        <w:rPr>
          <w:szCs w:val="20"/>
          <w:lang w:val="es-CR"/>
        </w:rPr>
        <w:t xml:space="preserve"> de la presente Sentencia. </w:t>
      </w:r>
    </w:p>
    <w:p w:rsidR="0060330C" w:rsidRPr="00F24E37" w:rsidRDefault="0060330C" w:rsidP="0060330C">
      <w:pPr>
        <w:pStyle w:val="ListParagraph"/>
        <w:widowControl w:val="0"/>
        <w:tabs>
          <w:tab w:val="left" w:pos="0"/>
        </w:tabs>
        <w:adjustRightInd w:val="0"/>
        <w:ind w:left="0"/>
        <w:rPr>
          <w:szCs w:val="20"/>
          <w:lang w:val="es-CR"/>
        </w:rPr>
      </w:pPr>
    </w:p>
    <w:p w:rsidR="0060330C" w:rsidRPr="00612741" w:rsidRDefault="0060330C" w:rsidP="0060330C">
      <w:pPr>
        <w:pStyle w:val="ListParagraph"/>
        <w:widowControl w:val="0"/>
        <w:numPr>
          <w:ilvl w:val="0"/>
          <w:numId w:val="1"/>
        </w:numPr>
        <w:tabs>
          <w:tab w:val="left" w:pos="0"/>
        </w:tabs>
        <w:adjustRightInd w:val="0"/>
        <w:ind w:left="0" w:firstLine="0"/>
        <w:rPr>
          <w:i/>
          <w:szCs w:val="20"/>
          <w:lang w:val="es-CR"/>
        </w:rPr>
      </w:pPr>
      <w:r>
        <w:rPr>
          <w:szCs w:val="20"/>
          <w:lang w:val="es-CR"/>
        </w:rPr>
        <w:lastRenderedPageBreak/>
        <w:t xml:space="preserve">Por </w:t>
      </w:r>
      <w:r w:rsidRPr="00257982">
        <w:rPr>
          <w:rFonts w:cs="Verdana"/>
          <w:lang w:val="es-ES" w:eastAsia="es-MX"/>
        </w:rPr>
        <w:t>otra</w:t>
      </w:r>
      <w:r>
        <w:rPr>
          <w:szCs w:val="20"/>
          <w:lang w:val="es-CR"/>
        </w:rPr>
        <w:t xml:space="preserve"> parte, c</w:t>
      </w:r>
      <w:r w:rsidRPr="00CE60DA">
        <w:rPr>
          <w:szCs w:val="20"/>
          <w:lang w:val="es-CR"/>
        </w:rPr>
        <w:t>omo lo ha hecho en otros casos</w:t>
      </w:r>
      <w:r>
        <w:rPr>
          <w:rFonts w:cs="Verdana"/>
          <w:vertAlign w:val="superscript"/>
          <w:lang w:val="es-ES"/>
        </w:rPr>
        <w:footnoteReference w:id="325"/>
      </w:r>
      <w:r>
        <w:rPr>
          <w:rFonts w:ascii="Times New Roman" w:hAnsi="Times New Roman"/>
        </w:rPr>
        <w:t xml:space="preserve"> </w:t>
      </w:r>
      <w:r w:rsidRPr="00CE60DA">
        <w:rPr>
          <w:szCs w:val="20"/>
          <w:lang w:val="es-CR"/>
        </w:rPr>
        <w:t xml:space="preserve">, el Tribunal estima necesario, con el fin de </w:t>
      </w:r>
      <w:r w:rsidRPr="00794667">
        <w:rPr>
          <w:szCs w:val="20"/>
          <w:lang w:val="es-CR"/>
        </w:rPr>
        <w:t xml:space="preserve">reparar el daño causado a Wilfredo Terrones Silva, Teresa Díaz Aparicio, </w:t>
      </w:r>
      <w:r w:rsidR="00E10B3E" w:rsidRPr="00794667">
        <w:rPr>
          <w:szCs w:val="20"/>
          <w:lang w:val="es-CR"/>
        </w:rPr>
        <w:t>Cory Clodolia Tenicela Tello, Néstor Rojas Medina,</w:t>
      </w:r>
      <w:r w:rsidRPr="00794667">
        <w:rPr>
          <w:szCs w:val="20"/>
          <w:lang w:val="es-CR"/>
        </w:rPr>
        <w:t xml:space="preserve"> y Santiago Antezana Cueto y sus familiares y de evitar que hechos como los de ese caso en particular se repitan, disponer que el Estado realice un acto público de reconocimiento de responsabilidad internacional con relación a la desaparición forzada de las víctimas. En dicho acto se deberá hacer referencia a las violaciones de derechos humanos declaradas en la presente Sentencia en su perjuicio. Asimismo, deberá llevarse a cabo mediante una ceremonia pública en presencia de altos funcionarios del Estado y los familiares de las víctimas. El Estado deberá acordar con los familiares de las víctimas o sus</w:t>
      </w:r>
      <w:r w:rsidRPr="00CE60DA">
        <w:rPr>
          <w:szCs w:val="20"/>
          <w:lang w:val="es-CR"/>
        </w:rPr>
        <w:t xml:space="preserve"> representantes la modalidad de cumplimento del acto público de reconocimiento, así como las particularidades que se requieran, tales como el lugar y la fecha para su realización. Para ello, el Estado cuenta con el plazo de un año, contado a partir de la notificación de la presente </w:t>
      </w:r>
      <w:r w:rsidRPr="00FD6009">
        <w:rPr>
          <w:szCs w:val="20"/>
          <w:lang w:val="es-CR"/>
        </w:rPr>
        <w:t>Sentencia</w:t>
      </w:r>
      <w:r w:rsidRPr="00FD6009">
        <w:rPr>
          <w:rStyle w:val="FootnoteReference"/>
          <w:sz w:val="20"/>
          <w:szCs w:val="20"/>
          <w:lang w:val="es-CR"/>
        </w:rPr>
        <w:footnoteReference w:id="326"/>
      </w:r>
      <w:r w:rsidRPr="00FD6009">
        <w:rPr>
          <w:szCs w:val="20"/>
          <w:lang w:val="es-CR"/>
        </w:rPr>
        <w:t>.</w:t>
      </w:r>
    </w:p>
    <w:p w:rsidR="0060330C" w:rsidRPr="00612741" w:rsidRDefault="0060330C" w:rsidP="0060330C">
      <w:pPr>
        <w:pStyle w:val="ListParagraph"/>
        <w:widowControl w:val="0"/>
        <w:tabs>
          <w:tab w:val="left" w:pos="0"/>
        </w:tabs>
        <w:adjustRightInd w:val="0"/>
        <w:ind w:left="0"/>
        <w:rPr>
          <w:i/>
          <w:szCs w:val="20"/>
          <w:lang w:val="es-CR"/>
        </w:rPr>
      </w:pPr>
    </w:p>
    <w:p w:rsidR="0060330C" w:rsidRPr="00794667" w:rsidRDefault="0060330C" w:rsidP="0060330C">
      <w:pPr>
        <w:pStyle w:val="ListParagraph"/>
        <w:widowControl w:val="0"/>
        <w:numPr>
          <w:ilvl w:val="0"/>
          <w:numId w:val="1"/>
        </w:numPr>
        <w:tabs>
          <w:tab w:val="left" w:pos="0"/>
        </w:tabs>
        <w:adjustRightInd w:val="0"/>
        <w:ind w:left="0" w:firstLine="0"/>
        <w:rPr>
          <w:szCs w:val="20"/>
          <w:lang w:val="es-CR"/>
        </w:rPr>
      </w:pPr>
      <w:r w:rsidRPr="0060330C">
        <w:rPr>
          <w:b/>
          <w:szCs w:val="20"/>
          <w:lang w:val="es-CR"/>
        </w:rPr>
        <w:t xml:space="preserve"> </w:t>
      </w:r>
      <w:r w:rsidRPr="00794667">
        <w:rPr>
          <w:szCs w:val="20"/>
          <w:lang w:val="es-CR"/>
        </w:rPr>
        <w:t xml:space="preserve">Por otra parte, respecto a la solicitud de que se coloque una placa en la Universidad Nacional de San Marcos en homenaje de Teresa Díaz Aparicio, dado que se determinó la responsabilidad internacional del Estado por su desaparición forzada y al no contar con familiares o beneficiarios que puedan acceder a una indemnización, este Tribunal considera pertinente ordenar al Estado la </w:t>
      </w:r>
      <w:r w:rsidR="007E0D4E" w:rsidRPr="00794667">
        <w:rPr>
          <w:szCs w:val="20"/>
          <w:lang w:val="es-CR"/>
        </w:rPr>
        <w:t>coloca</w:t>
      </w:r>
      <w:r w:rsidRPr="00794667">
        <w:rPr>
          <w:szCs w:val="20"/>
          <w:lang w:val="es-CR"/>
        </w:rPr>
        <w:t>ción de una placa en la que aparezca el reconocimiento de que</w:t>
      </w:r>
      <w:r w:rsidR="002D07B9" w:rsidRPr="00794667">
        <w:rPr>
          <w:szCs w:val="20"/>
          <w:lang w:val="es-CR"/>
        </w:rPr>
        <w:t xml:space="preserve"> Teresa Dí</w:t>
      </w:r>
      <w:r w:rsidR="007E0D4E" w:rsidRPr="00794667">
        <w:rPr>
          <w:szCs w:val="20"/>
          <w:lang w:val="es-CR"/>
        </w:rPr>
        <w:t>az Aparicio</w:t>
      </w:r>
      <w:r w:rsidRPr="00794667">
        <w:rPr>
          <w:szCs w:val="20"/>
          <w:lang w:val="es-CR"/>
        </w:rPr>
        <w:t xml:space="preserve"> fue desaparecida forzosamente por agentes estatales. Esta placa deberá ser colocada en la </w:t>
      </w:r>
      <w:r w:rsidRPr="00FD6009">
        <w:rPr>
          <w:szCs w:val="20"/>
          <w:lang w:val="es-CR"/>
        </w:rPr>
        <w:t>Universidad Nacional Mayor de San Marcos</w:t>
      </w:r>
      <w:r w:rsidRPr="00794667">
        <w:rPr>
          <w:szCs w:val="20"/>
          <w:lang w:val="es-CR"/>
        </w:rPr>
        <w:t xml:space="preserve"> en Homenaje de Teresa Díaz Aparicio. El contenido de dicha placa debe ser previamente acordado con sus representantes. Para la elaboración y develación de la placa, el Estado cuenta con el plazo de un año, contado a partir de la notificación de la presente Sentencia.  </w:t>
      </w:r>
    </w:p>
    <w:p w:rsidR="00A40F6F" w:rsidRDefault="00A40F6F" w:rsidP="00971F67">
      <w:pPr>
        <w:pStyle w:val="Heading2"/>
        <w:keepNext w:val="0"/>
        <w:keepLines w:val="0"/>
        <w:spacing w:before="0"/>
        <w:ind w:right="-144"/>
        <w:rPr>
          <w:spacing w:val="-2"/>
          <w:szCs w:val="20"/>
          <w:lang w:bidi="en-US"/>
        </w:rPr>
      </w:pPr>
    </w:p>
    <w:p w:rsidR="0060330C" w:rsidRDefault="0060330C" w:rsidP="0060330C">
      <w:pPr>
        <w:pStyle w:val="Heading2"/>
        <w:keepNext w:val="0"/>
        <w:keepLines w:val="0"/>
        <w:spacing w:before="0"/>
        <w:ind w:right="-144" w:firstLine="720"/>
        <w:rPr>
          <w:spacing w:val="-2"/>
          <w:szCs w:val="20"/>
          <w:lang w:bidi="en-US"/>
        </w:rPr>
      </w:pPr>
      <w:bookmarkStart w:id="264" w:name="_Toc527993573"/>
      <w:r>
        <w:rPr>
          <w:spacing w:val="-2"/>
          <w:szCs w:val="20"/>
          <w:lang w:bidi="en-US"/>
        </w:rPr>
        <w:t>E. Otras medidas solicitada</w:t>
      </w:r>
      <w:r w:rsidR="00323DB5">
        <w:rPr>
          <w:spacing w:val="-2"/>
          <w:szCs w:val="20"/>
          <w:lang w:bidi="en-US"/>
        </w:rPr>
        <w:t>s</w:t>
      </w:r>
      <w:bookmarkEnd w:id="264"/>
    </w:p>
    <w:p w:rsidR="0060330C" w:rsidRPr="003F642B" w:rsidRDefault="0060330C" w:rsidP="0060330C">
      <w:pPr>
        <w:rPr>
          <w:lang w:bidi="en-US"/>
        </w:rPr>
      </w:pPr>
    </w:p>
    <w:p w:rsidR="0060330C" w:rsidRPr="00713865" w:rsidRDefault="0060330C" w:rsidP="0060330C">
      <w:pPr>
        <w:pStyle w:val="ListParagraph"/>
        <w:widowControl w:val="0"/>
        <w:numPr>
          <w:ilvl w:val="0"/>
          <w:numId w:val="1"/>
        </w:numPr>
        <w:tabs>
          <w:tab w:val="left" w:pos="0"/>
        </w:tabs>
        <w:adjustRightInd w:val="0"/>
        <w:ind w:left="0" w:firstLine="0"/>
        <w:rPr>
          <w:i/>
          <w:szCs w:val="20"/>
          <w:lang w:val="es-CR"/>
        </w:rPr>
      </w:pPr>
      <w:r w:rsidRPr="00CE60DA">
        <w:rPr>
          <w:rFonts w:cs="Verdana"/>
          <w:szCs w:val="20"/>
          <w:lang w:val="es-CR"/>
        </w:rPr>
        <w:t xml:space="preserve">La </w:t>
      </w:r>
      <w:r w:rsidRPr="007549F4">
        <w:rPr>
          <w:rFonts w:cs="Verdana"/>
          <w:b/>
          <w:szCs w:val="20"/>
          <w:lang w:val="es-CR"/>
        </w:rPr>
        <w:t>Comisión</w:t>
      </w:r>
      <w:r w:rsidRPr="00CE60DA">
        <w:rPr>
          <w:rFonts w:cs="Verdana"/>
          <w:szCs w:val="20"/>
          <w:lang w:val="es-CR"/>
        </w:rPr>
        <w:t xml:space="preserve"> solicitó a la Corte que ordene al Estado adoptar las medidas </w:t>
      </w:r>
      <w:r w:rsidRPr="00CE60DA">
        <w:rPr>
          <w:szCs w:val="20"/>
          <w:lang w:val="es-CR"/>
        </w:rPr>
        <w:t>para</w:t>
      </w:r>
      <w:r w:rsidRPr="00CE60DA">
        <w:rPr>
          <w:rFonts w:cs="Verdana"/>
          <w:szCs w:val="20"/>
          <w:lang w:val="es-CR"/>
        </w:rPr>
        <w:t xml:space="preserve"> evitar la repetición de estos hechos. En específico, disponer medidas necesarias para el </w:t>
      </w:r>
      <w:r w:rsidRPr="00257982">
        <w:rPr>
          <w:rFonts w:cs="Verdana"/>
          <w:lang w:val="es-ES" w:eastAsia="es-MX"/>
        </w:rPr>
        <w:t>fortalecimiento</w:t>
      </w:r>
      <w:r w:rsidRPr="00CE60DA">
        <w:rPr>
          <w:rFonts w:cs="Verdana"/>
          <w:szCs w:val="20"/>
          <w:lang w:val="es-CR"/>
        </w:rPr>
        <w:t xml:space="preserve"> </w:t>
      </w:r>
      <w:r w:rsidRPr="00CE60DA">
        <w:rPr>
          <w:szCs w:val="20"/>
          <w:lang w:val="es-CR"/>
        </w:rPr>
        <w:t>de</w:t>
      </w:r>
      <w:r w:rsidRPr="00CE60DA">
        <w:rPr>
          <w:rFonts w:cs="Verdana"/>
          <w:szCs w:val="20"/>
          <w:lang w:val="es-CR"/>
        </w:rPr>
        <w:t xml:space="preserve"> la capacidad institucional para investigar casos de desaparición forzada en el marco del conflicto armado interno, a fin de asegurar que las mismas sean investigadas con la </w:t>
      </w:r>
      <w:r w:rsidRPr="00EF6A20">
        <w:rPr>
          <w:szCs w:val="20"/>
          <w:lang w:val="es-CR"/>
        </w:rPr>
        <w:t>debida</w:t>
      </w:r>
      <w:r w:rsidRPr="00CE60DA">
        <w:rPr>
          <w:rFonts w:cs="Verdana"/>
          <w:szCs w:val="20"/>
          <w:lang w:val="es-CR"/>
        </w:rPr>
        <w:t xml:space="preserve"> diligencia.</w:t>
      </w:r>
      <w:r>
        <w:rPr>
          <w:rFonts w:cs="Verdana"/>
          <w:b/>
          <w:szCs w:val="20"/>
          <w:lang w:val="es-CR"/>
        </w:rPr>
        <w:t xml:space="preserve"> </w:t>
      </w:r>
      <w:r w:rsidRPr="005838C7">
        <w:rPr>
          <w:rFonts w:cs="Verdana"/>
          <w:szCs w:val="20"/>
          <w:lang w:val="es-CR"/>
        </w:rPr>
        <w:t>Igualmente</w:t>
      </w:r>
      <w:r>
        <w:rPr>
          <w:rFonts w:cs="Verdana"/>
          <w:szCs w:val="20"/>
          <w:lang w:val="es-CR"/>
        </w:rPr>
        <w:t>, recomendó reformar la legislación penal a fin de que la tipificación del delito de desaparición forzada se ajuste a los estándares interamericanos.</w:t>
      </w:r>
    </w:p>
    <w:p w:rsidR="0060330C" w:rsidRPr="005838C7" w:rsidRDefault="0060330C" w:rsidP="0060330C">
      <w:pPr>
        <w:rPr>
          <w:i/>
          <w:szCs w:val="20"/>
          <w:lang w:val="es-CR"/>
        </w:rPr>
      </w:pPr>
    </w:p>
    <w:p w:rsidR="0060330C" w:rsidRPr="00D21C95" w:rsidRDefault="0060330C" w:rsidP="0060330C">
      <w:pPr>
        <w:pStyle w:val="ListParagraph"/>
        <w:widowControl w:val="0"/>
        <w:numPr>
          <w:ilvl w:val="0"/>
          <w:numId w:val="1"/>
        </w:numPr>
        <w:tabs>
          <w:tab w:val="left" w:pos="0"/>
        </w:tabs>
        <w:adjustRightInd w:val="0"/>
        <w:ind w:left="0" w:firstLine="0"/>
        <w:rPr>
          <w:rFonts w:ascii="Corbel" w:hAnsi="Corbel" w:cs="Corbel"/>
          <w:i/>
          <w:sz w:val="24"/>
          <w:lang w:val="es-CR"/>
        </w:rPr>
      </w:pPr>
      <w:r w:rsidRPr="005838C7">
        <w:rPr>
          <w:szCs w:val="20"/>
          <w:lang w:val="es-CR"/>
        </w:rPr>
        <w:t xml:space="preserve">Los </w:t>
      </w:r>
      <w:r w:rsidRPr="005838C7">
        <w:rPr>
          <w:b/>
          <w:szCs w:val="20"/>
          <w:lang w:val="es-CR"/>
        </w:rPr>
        <w:t>representantes</w:t>
      </w:r>
      <w:r w:rsidRPr="005838C7">
        <w:rPr>
          <w:szCs w:val="20"/>
          <w:lang w:val="es-CR"/>
        </w:rPr>
        <w:t xml:space="preserve"> </w:t>
      </w:r>
      <w:r>
        <w:rPr>
          <w:szCs w:val="20"/>
          <w:lang w:val="es-CR"/>
        </w:rPr>
        <w:t xml:space="preserve">solicitaron, como medidas de no repetición, “adecuar a los estándares </w:t>
      </w:r>
      <w:r w:rsidRPr="00257982">
        <w:rPr>
          <w:rFonts w:cs="Verdana"/>
          <w:lang w:val="es-ES" w:eastAsia="es-MX"/>
        </w:rPr>
        <w:t>internacionales</w:t>
      </w:r>
      <w:r>
        <w:rPr>
          <w:szCs w:val="20"/>
          <w:lang w:val="es-CR"/>
        </w:rPr>
        <w:t xml:space="preserve"> el tipo penal de desaparición forzada”; adecuar </w:t>
      </w:r>
      <w:r w:rsidRPr="005838C7">
        <w:rPr>
          <w:szCs w:val="20"/>
          <w:lang w:val="es-CR"/>
        </w:rPr>
        <w:t xml:space="preserve">los manuales de instrucción y la doctrina del Ejército a los estándares internacionales referidos a la detención y </w:t>
      </w:r>
      <w:r w:rsidRPr="00EF6A20">
        <w:rPr>
          <w:rFonts w:cs="Verdana"/>
          <w:lang w:val="es-ES" w:eastAsia="es-MX"/>
        </w:rPr>
        <w:t>custodia</w:t>
      </w:r>
      <w:r w:rsidRPr="005838C7">
        <w:rPr>
          <w:szCs w:val="20"/>
          <w:lang w:val="es-CR"/>
        </w:rPr>
        <w:t xml:space="preserve"> de personas durant</w:t>
      </w:r>
      <w:r>
        <w:rPr>
          <w:szCs w:val="20"/>
          <w:lang w:val="es-CR"/>
        </w:rPr>
        <w:t>e operaciones contrasubversivas,</w:t>
      </w:r>
      <w:r w:rsidRPr="005838C7">
        <w:rPr>
          <w:b/>
          <w:szCs w:val="20"/>
          <w:lang w:val="es-CR"/>
        </w:rPr>
        <w:t xml:space="preserve"> </w:t>
      </w:r>
      <w:r>
        <w:rPr>
          <w:szCs w:val="20"/>
          <w:lang w:val="es-CR"/>
        </w:rPr>
        <w:t>y</w:t>
      </w:r>
      <w:r w:rsidRPr="005838C7">
        <w:rPr>
          <w:szCs w:val="20"/>
          <w:lang w:val="es-CR"/>
        </w:rPr>
        <w:t xml:space="preserve"> la implementación en la evaluación y ratificación de magistrados, criterios referidos a su desempeño en el manejo y aplicación de estándares internacionales en la investigación de graves violaciones de derechos humanos.</w:t>
      </w:r>
      <w:r w:rsidRPr="005838C7">
        <w:rPr>
          <w:b/>
          <w:szCs w:val="20"/>
          <w:lang w:val="es-CR"/>
        </w:rPr>
        <w:t xml:space="preserve"> </w:t>
      </w:r>
      <w:r>
        <w:rPr>
          <w:szCs w:val="20"/>
          <w:lang w:val="es-CR"/>
        </w:rPr>
        <w:t>Adicionalmente</w:t>
      </w:r>
      <w:r w:rsidRPr="005838C7">
        <w:rPr>
          <w:szCs w:val="20"/>
          <w:lang w:val="es-CR"/>
        </w:rPr>
        <w:t>, los representantes solicitaron la regularización de la situación jurídica de las víctimas y la implementación de mecanismos legales existentes para los casos de desaparición forzada en el país</w:t>
      </w:r>
      <w:r>
        <w:rPr>
          <w:szCs w:val="20"/>
          <w:lang w:val="es-CR"/>
        </w:rPr>
        <w:t xml:space="preserve">, al igual que se otorguen becas de estudio a favor del hijo de Wilfredo Terrones Silva, pero que “según la decisión de los hijos de la víctima, podría ser trasladada a sus hijos, es decir los nietos de la misma, debido al considerable tiempo transcurrido desde su desaparición”. </w:t>
      </w:r>
      <w:r w:rsidRPr="00794667">
        <w:rPr>
          <w:szCs w:val="20"/>
          <w:lang w:val="es-CR"/>
        </w:rPr>
        <w:t>Asimismo, pidieron que las personas que participen en las investigaciones cuenten con las debidas garantías de seguridad y que, finalmente, el Estado sancione la conducta de los servidores públicos relacionados a las irregularidades procesales e investigativas identificadas</w:t>
      </w:r>
      <w:r w:rsidR="00160F69">
        <w:rPr>
          <w:szCs w:val="20"/>
          <w:lang w:val="es-CR"/>
        </w:rPr>
        <w:t>.</w:t>
      </w:r>
    </w:p>
    <w:p w:rsidR="0060330C" w:rsidRPr="005838C7" w:rsidRDefault="0060330C" w:rsidP="0060330C">
      <w:pPr>
        <w:pStyle w:val="Estilo1"/>
        <w:tabs>
          <w:tab w:val="left" w:pos="709"/>
        </w:tabs>
        <w:spacing w:after="0"/>
        <w:ind w:left="0" w:right="0" w:firstLine="0"/>
        <w:rPr>
          <w:rFonts w:ascii="Corbel" w:hAnsi="Corbel" w:cs="Corbel"/>
          <w:i w:val="0"/>
          <w:sz w:val="24"/>
          <w:lang w:val="es-CR"/>
        </w:rPr>
      </w:pPr>
    </w:p>
    <w:p w:rsidR="0060330C" w:rsidRDefault="0060330C" w:rsidP="0060330C">
      <w:pPr>
        <w:pStyle w:val="ListParagraph"/>
        <w:widowControl w:val="0"/>
        <w:numPr>
          <w:ilvl w:val="0"/>
          <w:numId w:val="1"/>
        </w:numPr>
        <w:tabs>
          <w:tab w:val="left" w:pos="0"/>
        </w:tabs>
        <w:adjustRightInd w:val="0"/>
        <w:ind w:left="0" w:firstLine="0"/>
        <w:rPr>
          <w:i/>
        </w:rPr>
      </w:pPr>
      <w:r>
        <w:rPr>
          <w:lang w:val="es-CR"/>
        </w:rPr>
        <w:t>E</w:t>
      </w:r>
      <w:r w:rsidRPr="00C04F73">
        <w:rPr>
          <w:lang w:val="es-CR"/>
        </w:rPr>
        <w:t xml:space="preserve">l </w:t>
      </w:r>
      <w:r w:rsidRPr="00BB33D7">
        <w:rPr>
          <w:b/>
          <w:lang w:val="es-CR"/>
        </w:rPr>
        <w:t>Estado</w:t>
      </w:r>
      <w:r w:rsidRPr="00C04F73">
        <w:rPr>
          <w:lang w:val="es-CR"/>
        </w:rPr>
        <w:t xml:space="preserve"> adujo</w:t>
      </w:r>
      <w:r>
        <w:rPr>
          <w:lang w:val="es-CR"/>
        </w:rPr>
        <w:t>, respecto a las medidas de no repetición,</w:t>
      </w:r>
      <w:r w:rsidRPr="00C04F73">
        <w:rPr>
          <w:lang w:val="es-CR"/>
        </w:rPr>
        <w:t xml:space="preserve"> que ni la Comisión ni los representantes han sustentado si hay una relación entre la presunta responsabilidad penal de los presuntos autores de la desaparición a nivel interno con la redacción del tipo penal. Además, que el tipo penal ha sido modificado el 7 de enero de 2017 mediante Decreto No. 1351, y que se encuentra vigente.</w:t>
      </w:r>
      <w:r w:rsidRPr="00C04F73">
        <w:rPr>
          <w:b/>
          <w:bCs/>
          <w:lang w:val="es-CR"/>
        </w:rPr>
        <w:t xml:space="preserve"> </w:t>
      </w:r>
      <w:r w:rsidRPr="00C04F73">
        <w:rPr>
          <w:lang w:val="es-CR"/>
        </w:rPr>
        <w:t xml:space="preserve">Agregó que viene dando </w:t>
      </w:r>
      <w:r>
        <w:rPr>
          <w:szCs w:val="20"/>
          <w:lang w:val="es-CR"/>
        </w:rPr>
        <w:t xml:space="preserve"> </w:t>
      </w:r>
      <w:r w:rsidRPr="00C04F73">
        <w:rPr>
          <w:szCs w:val="20"/>
          <w:lang w:val="es-CR"/>
        </w:rPr>
        <w:t>cumpli</w:t>
      </w:r>
      <w:r>
        <w:rPr>
          <w:szCs w:val="20"/>
          <w:lang w:val="es-CR"/>
        </w:rPr>
        <w:t>mi</w:t>
      </w:r>
      <w:r w:rsidRPr="00C04F73">
        <w:rPr>
          <w:szCs w:val="20"/>
          <w:lang w:val="es-CR"/>
        </w:rPr>
        <w:t>ento</w:t>
      </w:r>
      <w:r w:rsidRPr="00C04F73">
        <w:rPr>
          <w:lang w:val="es-CR"/>
        </w:rPr>
        <w:t xml:space="preserve"> con sus obligaciones internacionales, implementando cursos de programas de instrucción </w:t>
      </w:r>
      <w:r>
        <w:rPr>
          <w:lang w:val="es-CR"/>
        </w:rPr>
        <w:t xml:space="preserve">y </w:t>
      </w:r>
      <w:r w:rsidRPr="00C04F73">
        <w:rPr>
          <w:lang w:val="es-CR"/>
        </w:rPr>
        <w:t>educación en derechos humanos y derecho internacional humanitario dentro de las Fuerzas Armadas.</w:t>
      </w:r>
      <w:r w:rsidRPr="00C04F73">
        <w:rPr>
          <w:b/>
          <w:bCs/>
          <w:lang w:val="es-CR"/>
        </w:rPr>
        <w:t xml:space="preserve"> </w:t>
      </w:r>
      <w:r w:rsidRPr="00C04F73">
        <w:rPr>
          <w:lang w:val="es-CR"/>
        </w:rPr>
        <w:t>Asimismo, señaló que la evaluación en el proceso de ratificación de Jueces y Fiscales comprende la revisión de la actuación, calidad, conducta e idoneidad de cada uno de los magistrados y de acuerdo a la especialidad que pertenecen. Consideró que la modificación solicitada sólo podría materializarse para los magistrados que conozcan procesos con graves violaciones de los derechos humanos.</w:t>
      </w:r>
      <w:r w:rsidRPr="00D21C95">
        <w:rPr>
          <w:b/>
          <w:bCs/>
          <w:sz w:val="16"/>
          <w:szCs w:val="16"/>
          <w:lang w:val="es-CR"/>
        </w:rPr>
        <w:t xml:space="preserve"> </w:t>
      </w:r>
      <w:r w:rsidRPr="00C04F73">
        <w:rPr>
          <w:lang w:val="es-CR"/>
        </w:rPr>
        <w:t>Finalmente, el Estado señaló que los interesados tienen la posibilidad de presentar una demanda de declaración de muerte presunta ante la autoridad competente.</w:t>
      </w:r>
      <w:r w:rsidRPr="00C04F73">
        <w:t xml:space="preserve"> </w:t>
      </w:r>
    </w:p>
    <w:p w:rsidR="0060330C" w:rsidRPr="00C04F73" w:rsidRDefault="0060330C" w:rsidP="0060330C">
      <w:pPr>
        <w:pStyle w:val="Estilo1"/>
        <w:tabs>
          <w:tab w:val="left" w:pos="709"/>
        </w:tabs>
        <w:spacing w:after="0"/>
        <w:ind w:left="0" w:right="0" w:firstLine="0"/>
        <w:rPr>
          <w:i w:val="0"/>
        </w:rPr>
      </w:pPr>
    </w:p>
    <w:p w:rsidR="0060330C" w:rsidRDefault="0060330C" w:rsidP="0060330C">
      <w:pPr>
        <w:pStyle w:val="ListParagraph"/>
        <w:widowControl w:val="0"/>
        <w:numPr>
          <w:ilvl w:val="0"/>
          <w:numId w:val="1"/>
        </w:numPr>
        <w:tabs>
          <w:tab w:val="left" w:pos="0"/>
        </w:tabs>
        <w:adjustRightInd w:val="0"/>
        <w:ind w:left="0" w:firstLine="0"/>
        <w:rPr>
          <w:i/>
          <w:lang w:val="es-CR"/>
        </w:rPr>
      </w:pPr>
      <w:r>
        <w:rPr>
          <w:lang w:val="es-CR"/>
        </w:rPr>
        <w:t>Por otra parte, el Estado indicó que en caso que</w:t>
      </w:r>
      <w:r w:rsidRPr="00C04F73">
        <w:rPr>
          <w:lang w:val="es-CR"/>
        </w:rPr>
        <w:t xml:space="preserve"> la Corte determine su responsabilidad, convocará a los sectores y entidades correspondientes, a efectos de evaluar la posibilidad de que la beca solicitada pueda ser </w:t>
      </w:r>
      <w:r w:rsidRPr="00C04F73">
        <w:rPr>
          <w:szCs w:val="20"/>
          <w:lang w:val="es-CR"/>
        </w:rPr>
        <w:t>efectivamente</w:t>
      </w:r>
      <w:r w:rsidRPr="00C04F73">
        <w:rPr>
          <w:lang w:val="es-CR"/>
        </w:rPr>
        <w:t xml:space="preserve"> entregada a favor del hijo del señor Wilfredo Terrones Silva. Respecto a la solicitud de los representantes de trasladar la mencionada reparación a los nietos del señor Terrones Silva, el Estado consideró que las reparaciones de este tipo son de carácter individual y respecto a los beneficiarios plenamente identificados y, por lo tanto, no podrían ser traslados a otras personas.</w:t>
      </w:r>
    </w:p>
    <w:p w:rsidR="0060330C" w:rsidRDefault="0060330C" w:rsidP="0060330C">
      <w:pPr>
        <w:pStyle w:val="ListParagraph"/>
        <w:ind w:left="0"/>
        <w:rPr>
          <w:lang w:val="es-CR"/>
        </w:rPr>
      </w:pPr>
    </w:p>
    <w:p w:rsidR="0060330C" w:rsidRDefault="0060330C" w:rsidP="0060330C">
      <w:pPr>
        <w:pStyle w:val="ListParagraph"/>
        <w:widowControl w:val="0"/>
        <w:numPr>
          <w:ilvl w:val="0"/>
          <w:numId w:val="1"/>
        </w:numPr>
        <w:tabs>
          <w:tab w:val="left" w:pos="0"/>
        </w:tabs>
        <w:adjustRightInd w:val="0"/>
        <w:ind w:left="0" w:firstLine="0"/>
        <w:rPr>
          <w:i/>
          <w:lang w:val="es-CR"/>
        </w:rPr>
      </w:pPr>
      <w:r>
        <w:rPr>
          <w:lang w:val="es-CR"/>
        </w:rPr>
        <w:t xml:space="preserve">En lo que respecta a la solicitud de medidas de no repetición relativas a adecuar el tipo penal de </w:t>
      </w:r>
      <w:r w:rsidRPr="00257982">
        <w:rPr>
          <w:rFonts w:cs="Verdana"/>
          <w:lang w:val="es-ES" w:eastAsia="es-MX"/>
        </w:rPr>
        <w:t>desaparición</w:t>
      </w:r>
      <w:r>
        <w:rPr>
          <w:lang w:val="es-CR"/>
        </w:rPr>
        <w:t xml:space="preserve"> forzada, la Corte recuerda que no consideró que existiera una violación al artículo 2 de la Convención Americana por dicha tipificación en el presente caso (</w:t>
      </w:r>
      <w:r w:rsidRPr="00D77E6D">
        <w:rPr>
          <w:i/>
          <w:lang w:val="es-CR"/>
        </w:rPr>
        <w:t>supra</w:t>
      </w:r>
      <w:r>
        <w:rPr>
          <w:lang w:val="es-CR"/>
        </w:rPr>
        <w:t xml:space="preserve"> párr. </w:t>
      </w:r>
      <w:r w:rsidR="009907FD">
        <w:rPr>
          <w:lang w:val="es-CR"/>
        </w:rPr>
        <w:t>219</w:t>
      </w:r>
      <w:r>
        <w:rPr>
          <w:lang w:val="es-CR"/>
        </w:rPr>
        <w:t>), por lo que no procede ordenar su modificación en esta oportunidad</w:t>
      </w:r>
      <w:r w:rsidRPr="00852871">
        <w:rPr>
          <w:rStyle w:val="FootnoteReference"/>
          <w:lang w:val="es-CR"/>
        </w:rPr>
        <w:footnoteReference w:id="327"/>
      </w:r>
      <w:r>
        <w:rPr>
          <w:lang w:val="es-CR"/>
        </w:rPr>
        <w:t>.</w:t>
      </w:r>
    </w:p>
    <w:p w:rsidR="0060330C" w:rsidRDefault="0060330C" w:rsidP="0060330C">
      <w:pPr>
        <w:pStyle w:val="Estilo1"/>
        <w:tabs>
          <w:tab w:val="left" w:pos="709"/>
        </w:tabs>
        <w:spacing w:after="0"/>
        <w:ind w:left="0" w:right="0" w:firstLine="0"/>
        <w:rPr>
          <w:i w:val="0"/>
          <w:lang w:val="es-CR"/>
        </w:rPr>
      </w:pPr>
    </w:p>
    <w:p w:rsidR="0060330C" w:rsidRPr="00BB33D7" w:rsidRDefault="0060330C" w:rsidP="0060330C">
      <w:pPr>
        <w:pStyle w:val="ListParagraph"/>
        <w:widowControl w:val="0"/>
        <w:numPr>
          <w:ilvl w:val="0"/>
          <w:numId w:val="1"/>
        </w:numPr>
        <w:tabs>
          <w:tab w:val="left" w:pos="0"/>
        </w:tabs>
        <w:adjustRightInd w:val="0"/>
        <w:ind w:left="0" w:firstLine="0"/>
        <w:rPr>
          <w:i/>
          <w:lang w:val="es-CR"/>
        </w:rPr>
      </w:pPr>
      <w:r>
        <w:rPr>
          <w:lang w:val="es-CR"/>
        </w:rPr>
        <w:t xml:space="preserve">Finalmente, en lo que respecta a las demás medidas de reparación solicitadas por los representantes y la Comisión indicadas en el presente acápite, y teniendo en cuenta las observaciones presentadas por el Estado, </w:t>
      </w:r>
      <w:r w:rsidRPr="008E3BFF">
        <w:rPr>
          <w:lang w:val="es-ES"/>
        </w:rPr>
        <w:t xml:space="preserve">la Corte considera que la emisión de la presente Sentencia y las reparaciones ordenadas en este capítulo resultan suficientes y adecuadas para </w:t>
      </w:r>
      <w:r w:rsidRPr="00EF6A20">
        <w:rPr>
          <w:lang w:val="es-CR"/>
        </w:rPr>
        <w:t>remediar</w:t>
      </w:r>
      <w:r w:rsidRPr="008E3BFF">
        <w:rPr>
          <w:lang w:val="es-ES"/>
        </w:rPr>
        <w:t xml:space="preserve"> las violaciones sufridas por las víctimas y no estima necesario ordenar dichas medidas</w:t>
      </w:r>
      <w:r>
        <w:rPr>
          <w:lang w:val="es-ES"/>
        </w:rPr>
        <w:t>.</w:t>
      </w:r>
    </w:p>
    <w:p w:rsidR="0060330C" w:rsidRPr="0072044E" w:rsidRDefault="0060330C" w:rsidP="0060330C">
      <w:pPr>
        <w:pStyle w:val="ListParagraph"/>
        <w:ind w:left="0" w:right="-144"/>
        <w:contextualSpacing w:val="0"/>
        <w:rPr>
          <w:color w:val="FF0000"/>
          <w:szCs w:val="20"/>
          <w:lang w:val="es-CR"/>
        </w:rPr>
      </w:pPr>
    </w:p>
    <w:p w:rsidR="0060330C" w:rsidRPr="0072044E" w:rsidRDefault="0060330C" w:rsidP="0060330C">
      <w:pPr>
        <w:pStyle w:val="Heading2"/>
        <w:keepNext w:val="0"/>
        <w:keepLines w:val="0"/>
        <w:spacing w:before="0"/>
        <w:ind w:right="-144" w:firstLine="720"/>
        <w:rPr>
          <w:spacing w:val="-2"/>
          <w:szCs w:val="20"/>
          <w:lang w:bidi="en-US"/>
        </w:rPr>
      </w:pPr>
      <w:bookmarkStart w:id="265" w:name="_Toc527993574"/>
      <w:r>
        <w:rPr>
          <w:spacing w:val="-2"/>
          <w:szCs w:val="20"/>
          <w:lang w:bidi="en-US"/>
        </w:rPr>
        <w:t xml:space="preserve">F. </w:t>
      </w:r>
      <w:r w:rsidRPr="0072044E">
        <w:rPr>
          <w:spacing w:val="-2"/>
          <w:szCs w:val="20"/>
          <w:lang w:bidi="en-US"/>
        </w:rPr>
        <w:t>Indemnizaciones compensatorias</w:t>
      </w:r>
      <w:bookmarkEnd w:id="265"/>
    </w:p>
    <w:p w:rsidR="0060330C" w:rsidRDefault="0060330C" w:rsidP="0060330C">
      <w:pPr>
        <w:pStyle w:val="Heading3"/>
        <w:spacing w:before="0"/>
        <w:rPr>
          <w:szCs w:val="20"/>
          <w:lang w:val="es-CO"/>
        </w:rPr>
      </w:pPr>
    </w:p>
    <w:p w:rsidR="0060330C" w:rsidRPr="00F24E37" w:rsidRDefault="0060330C" w:rsidP="0060330C">
      <w:pPr>
        <w:pStyle w:val="ListParagraph"/>
        <w:widowControl w:val="0"/>
        <w:numPr>
          <w:ilvl w:val="0"/>
          <w:numId w:val="1"/>
        </w:numPr>
        <w:tabs>
          <w:tab w:val="left" w:pos="0"/>
        </w:tabs>
        <w:adjustRightInd w:val="0"/>
        <w:ind w:left="0" w:firstLine="0"/>
        <w:rPr>
          <w:i/>
        </w:rPr>
      </w:pPr>
      <w:r>
        <w:t xml:space="preserve">La </w:t>
      </w:r>
      <w:r>
        <w:rPr>
          <w:b/>
        </w:rPr>
        <w:t>Comisión</w:t>
      </w:r>
      <w:r>
        <w:t xml:space="preserve"> solicitó “[r]</w:t>
      </w:r>
      <w:r w:rsidRPr="00A309FA">
        <w:t>eparar adecuadamente las violaciones de derechos humanos declaradas</w:t>
      </w:r>
      <w:r>
        <w:t xml:space="preserve"> </w:t>
      </w:r>
      <w:r w:rsidRPr="00A309FA">
        <w:t xml:space="preserve">en el </w:t>
      </w:r>
      <w:r w:rsidRPr="00257982">
        <w:rPr>
          <w:rFonts w:cs="Verdana"/>
          <w:lang w:val="es-ES" w:eastAsia="es-MX"/>
        </w:rPr>
        <w:t>presente</w:t>
      </w:r>
      <w:r w:rsidRPr="00A309FA">
        <w:t xml:space="preserve"> informe tanto en el aspecto material como moral, incluyendo una</w:t>
      </w:r>
      <w:r>
        <w:t xml:space="preserve"> justa compensació</w:t>
      </w:r>
      <w:r w:rsidRPr="00A309FA">
        <w:t>n</w:t>
      </w:r>
      <w:r>
        <w:t>”.</w:t>
      </w:r>
    </w:p>
    <w:p w:rsidR="0060330C" w:rsidRDefault="0060330C" w:rsidP="0060330C">
      <w:pPr>
        <w:pStyle w:val="ListParagraph"/>
        <w:widowControl w:val="0"/>
        <w:tabs>
          <w:tab w:val="left" w:pos="0"/>
        </w:tabs>
        <w:adjustRightInd w:val="0"/>
        <w:ind w:left="0"/>
        <w:rPr>
          <w:i/>
        </w:rPr>
      </w:pPr>
    </w:p>
    <w:p w:rsidR="0060330C" w:rsidRPr="0023263F" w:rsidRDefault="0060330C" w:rsidP="0060330C">
      <w:pPr>
        <w:pStyle w:val="ListParagraph"/>
        <w:widowControl w:val="0"/>
        <w:numPr>
          <w:ilvl w:val="0"/>
          <w:numId w:val="1"/>
        </w:numPr>
        <w:tabs>
          <w:tab w:val="left" w:pos="0"/>
        </w:tabs>
        <w:adjustRightInd w:val="0"/>
        <w:ind w:left="0" w:firstLine="0"/>
        <w:rPr>
          <w:i/>
        </w:rPr>
      </w:pPr>
      <w:r w:rsidRPr="00A309FA">
        <w:t xml:space="preserve">Los </w:t>
      </w:r>
      <w:r w:rsidRPr="00B525DE">
        <w:rPr>
          <w:b/>
        </w:rPr>
        <w:t xml:space="preserve">representantes </w:t>
      </w:r>
      <w:r w:rsidRPr="00A309FA">
        <w:t>solicitaron indemnizaciones por daño material y daño mor</w:t>
      </w:r>
      <w:r>
        <w:t>al a favor de los familiares de</w:t>
      </w:r>
      <w:r w:rsidRPr="00A309FA">
        <w:t xml:space="preserve"> Wilfredo Terrones</w:t>
      </w:r>
      <w:r w:rsidR="00E85766">
        <w:t xml:space="preserve"> Silva</w:t>
      </w:r>
      <w:r w:rsidRPr="00A309FA">
        <w:t>, Teresa Díaz Aparicio, Néstor Rojas Medina y</w:t>
      </w:r>
      <w:r>
        <w:t xml:space="preserve"> Santiago Antezana Cueto.</w:t>
      </w:r>
      <w:r w:rsidRPr="00A309FA">
        <w:t xml:space="preserve"> Con respecto al daño material en perjuicio de la conviviente de Santiago Antezana Cueto, se indica que a raíz de la desaparición forzada, Rosa Carcausto </w:t>
      </w:r>
      <w:r>
        <w:t xml:space="preserve">Paco </w:t>
      </w:r>
      <w:r w:rsidRPr="00A309FA">
        <w:t>quedó sin hogar</w:t>
      </w:r>
      <w:r>
        <w:t>, ya que “al estar el inmueble en el cual convivían a nombre de Santiago Antezana [Cueto], éste pas[ó] a propiedad de sus familiares luego de su desaparición forzada”.</w:t>
      </w:r>
      <w:r w:rsidRPr="00787CB0">
        <w:t xml:space="preserve"> </w:t>
      </w:r>
      <w:r>
        <w:t>También indicaron respecto a este último</w:t>
      </w:r>
      <w:r w:rsidRPr="008A0258">
        <w:t xml:space="preserve"> que “su compañera Rosa Carcausto Paco tuvo que viajar a Acobamba para seguir de cerca la desaparición de su conviviente días posteriores a la detención y, ante la negativa de informar sobre su paradero </w:t>
      </w:r>
      <w:r w:rsidRPr="008A0258">
        <w:lastRenderedPageBreak/>
        <w:t>en la base militar, viajó a diversos penales del país para buscarlo”.</w:t>
      </w:r>
    </w:p>
    <w:p w:rsidR="0060330C" w:rsidRDefault="0060330C" w:rsidP="0060330C">
      <w:pPr>
        <w:pStyle w:val="ListParagraph"/>
      </w:pPr>
    </w:p>
    <w:p w:rsidR="0060330C" w:rsidRPr="00257982" w:rsidRDefault="0060330C" w:rsidP="0060330C">
      <w:pPr>
        <w:pStyle w:val="ListParagraph"/>
        <w:widowControl w:val="0"/>
        <w:numPr>
          <w:ilvl w:val="0"/>
          <w:numId w:val="1"/>
        </w:numPr>
        <w:tabs>
          <w:tab w:val="left" w:pos="0"/>
        </w:tabs>
        <w:adjustRightInd w:val="0"/>
        <w:ind w:left="0" w:firstLine="0"/>
        <w:rPr>
          <w:i/>
        </w:rPr>
      </w:pPr>
      <w:r w:rsidRPr="00A309FA">
        <w:t xml:space="preserve">Respecto al lucro cesante de todas las víctimas, </w:t>
      </w:r>
      <w:r>
        <w:t>los representantes fundaron</w:t>
      </w:r>
      <w:r w:rsidR="006E324D">
        <w:t xml:space="preserve"> “el cálculo con</w:t>
      </w:r>
      <w:r w:rsidRPr="00A309FA">
        <w:t xml:space="preserve"> base al salario mínimo en Perú desde el año de su desaparición</w:t>
      </w:r>
      <w:r w:rsidR="001B7EDA">
        <w:t xml:space="preserve"> </w:t>
      </w:r>
      <w:r w:rsidR="001B7EDA">
        <w:rPr>
          <w:szCs w:val="20"/>
        </w:rPr>
        <w:t>[a marzo de 2017]</w:t>
      </w:r>
      <w:r w:rsidRPr="00A309FA">
        <w:t>, actualizando los montos al valor actual”</w:t>
      </w:r>
      <w:r w:rsidRPr="007A65EA">
        <w:rPr>
          <w:rStyle w:val="FootnoteReference"/>
          <w:sz w:val="20"/>
          <w:szCs w:val="20"/>
        </w:rPr>
        <w:footnoteReference w:id="328"/>
      </w:r>
      <w:r w:rsidRPr="00A309FA">
        <w:t>. Finalmente, respecto al daño moral</w:t>
      </w:r>
      <w:r>
        <w:t>, s</w:t>
      </w:r>
      <w:r w:rsidR="005C1E1D">
        <w:t>olicitaron los montos de USD$50,</w:t>
      </w:r>
      <w:r w:rsidRPr="00A309FA">
        <w:t>000</w:t>
      </w:r>
      <w:r>
        <w:t>.00</w:t>
      </w:r>
      <w:r w:rsidRPr="00A309FA">
        <w:t xml:space="preserve"> </w:t>
      </w:r>
      <w:r>
        <w:t xml:space="preserve">(cincuenta mil dólares de los Estados Unidos de América) </w:t>
      </w:r>
      <w:r w:rsidRPr="00A309FA">
        <w:t>a favor de Guillermina Frida Landázuri Gómez, Wilfredo Terrones Landázur</w:t>
      </w:r>
      <w:r>
        <w:t>i, Rosa Carcausto Paco, Ermilio</w:t>
      </w:r>
      <w:r w:rsidRPr="00A309FA">
        <w:t xml:space="preserve"> Antezana Cueto, Marcelina Medina Negrón y Tania Collantes Medina</w:t>
      </w:r>
      <w:r>
        <w:t>,</w:t>
      </w:r>
      <w:r w:rsidRPr="00A309FA">
        <w:t xml:space="preserve"> y US</w:t>
      </w:r>
      <w:r>
        <w:t>D$30,</w:t>
      </w:r>
      <w:r w:rsidRPr="00A309FA">
        <w:t>000</w:t>
      </w:r>
      <w:r>
        <w:t>.00 (treinta mil dólares de los Estados Unidos de América)</w:t>
      </w:r>
      <w:r w:rsidRPr="00A309FA">
        <w:t xml:space="preserve"> </w:t>
      </w:r>
      <w:r w:rsidR="00BB3030">
        <w:t>a favor de Ofelia Antezana Torre y Máximo Antezana Espeza</w:t>
      </w:r>
      <w:r w:rsidRPr="00A309FA">
        <w:t xml:space="preserve">. No </w:t>
      </w:r>
      <w:r>
        <w:t>hicieron</w:t>
      </w:r>
      <w:r w:rsidRPr="00A309FA">
        <w:t xml:space="preserve"> referencia expresa a </w:t>
      </w:r>
      <w:r>
        <w:t>las indemnizaciones solicitada</w:t>
      </w:r>
      <w:r w:rsidRPr="00A309FA">
        <w:t>s a favor de los familiares de Cory</w:t>
      </w:r>
      <w:r>
        <w:t xml:space="preserve"> Clodo</w:t>
      </w:r>
      <w:r w:rsidRPr="00A309FA">
        <w:t>lia</w:t>
      </w:r>
      <w:r>
        <w:t xml:space="preserve"> Tenicela Tello</w:t>
      </w:r>
      <w:r w:rsidRPr="00A309FA">
        <w:t>.</w:t>
      </w:r>
      <w:r w:rsidRPr="00BB3030">
        <w:t xml:space="preserve"> </w:t>
      </w:r>
      <w:r w:rsidRPr="00A309FA">
        <w:t xml:space="preserve">Por otra parte, </w:t>
      </w:r>
      <w:r>
        <w:t xml:space="preserve">indicaron que los montos recibidos por </w:t>
      </w:r>
      <w:r w:rsidRPr="00B525DE">
        <w:rPr>
          <w:lang w:val="es-CR"/>
        </w:rPr>
        <w:t>Rosa Carcausto Paco y Marcelina Medina Negr</w:t>
      </w:r>
      <w:r>
        <w:t xml:space="preserve">ón, al estar inscritos en el Registro Único de Víctimas, no tienden a reparar el proyecto de vida de los familiares de las víctimas, y que dichos montos no cumplen con estándares internacionales. Además, con relación a Santiago Antezana Cueto y la sentencia judicial que otorga determinados montos a favor de sus familiares por la responsabilidad civil, hicieron notar que no han podido ser cobradas por la falta de diligencia de las autoridades judiciales. Con relación a Teresa Díaz Aparicio señalaron que dado que no tiene familiares se </w:t>
      </w:r>
      <w:r w:rsidR="0091731C">
        <w:t>ordene</w:t>
      </w:r>
      <w:r>
        <w:t xml:space="preserve"> las demás reparaciones simbólicas indicadas. </w:t>
      </w:r>
    </w:p>
    <w:p w:rsidR="0060330C" w:rsidRPr="00A309FA" w:rsidRDefault="0060330C" w:rsidP="0060330C">
      <w:pPr>
        <w:pStyle w:val="Estilo1"/>
        <w:tabs>
          <w:tab w:val="left" w:pos="709"/>
        </w:tabs>
        <w:spacing w:after="0"/>
        <w:ind w:left="0" w:right="0" w:firstLine="0"/>
        <w:rPr>
          <w:i w:val="0"/>
        </w:rPr>
      </w:pPr>
    </w:p>
    <w:p w:rsidR="0060330C" w:rsidRDefault="0060330C" w:rsidP="0060330C">
      <w:pPr>
        <w:pStyle w:val="ListParagraph"/>
        <w:widowControl w:val="0"/>
        <w:numPr>
          <w:ilvl w:val="0"/>
          <w:numId w:val="1"/>
        </w:numPr>
        <w:tabs>
          <w:tab w:val="left" w:pos="0"/>
        </w:tabs>
        <w:adjustRightInd w:val="0"/>
        <w:ind w:left="0" w:firstLine="0"/>
        <w:rPr>
          <w:i/>
        </w:rPr>
      </w:pPr>
      <w:r>
        <w:t xml:space="preserve">El </w:t>
      </w:r>
      <w:r>
        <w:rPr>
          <w:b/>
        </w:rPr>
        <w:t>Estado</w:t>
      </w:r>
      <w:r>
        <w:t>, con relación al daño emergente, afirmó que “</w:t>
      </w:r>
      <w:r w:rsidRPr="00A309FA">
        <w:t>en el supuesto de que se determine el pago</w:t>
      </w:r>
      <w:r>
        <w:t xml:space="preserve"> por el gasto de algún monto en atención a las gestiones que hubieren realizado los familiares”, deben estar documentadas. Respecto al lucro cesante, señaló que “</w:t>
      </w:r>
      <w:r w:rsidRPr="00A309FA">
        <w:t>no queda claro como se ha determinado la actividad</w:t>
      </w:r>
      <w:r>
        <w:t xml:space="preserve"> </w:t>
      </w:r>
      <w:r w:rsidRPr="00A309FA">
        <w:t>econ</w:t>
      </w:r>
      <w:r>
        <w:t>ó</w:t>
      </w:r>
      <w:r w:rsidRPr="00A309FA">
        <w:t>mica que realizaba la s</w:t>
      </w:r>
      <w:r>
        <w:t>eñora Tenicela Tello, ni el señ</w:t>
      </w:r>
      <w:r w:rsidRPr="00A309FA">
        <w:t>or Antezana Cueto</w:t>
      </w:r>
      <w:r>
        <w:t>”. Hizo notar que en la jurisprudencia reciente de la Corte, los montos otorgados por daño moral son menores a USD$50,000.00 (cincuenta mil dólares de los Estados Unidos de América). En el caso de los familiares de Santiago Antezana Cuello, indicó que hubo una fijación de pago de reparación civil en la sentencia emitida por la Sala Penal Nacional que condenó al responsable de su desaparición forzada por un monto total de S.150.000.00 (ciento cincuenta mil soles), y que no se demandó al Estado como tercero civilmente responsable para el pago de dichos montos. Además</w:t>
      </w:r>
      <w:r w:rsidR="0091731C">
        <w:t>,</w:t>
      </w:r>
      <w:r>
        <w:t xml:space="preserve"> afirmó que familiares de Santiago Antezana Cueto y Néstor Rojas Medina recibieron montos de indemnización por estar inscritos en el Registro Único de Víctimas.</w:t>
      </w:r>
    </w:p>
    <w:p w:rsidR="0060330C" w:rsidRDefault="0060330C" w:rsidP="0060330C">
      <w:pPr>
        <w:pStyle w:val="Estilo1"/>
        <w:tabs>
          <w:tab w:val="left" w:pos="709"/>
        </w:tabs>
        <w:spacing w:after="0"/>
        <w:ind w:left="0" w:right="0" w:firstLine="0"/>
        <w:rPr>
          <w:i w:val="0"/>
        </w:rPr>
      </w:pPr>
      <w:r>
        <w:rPr>
          <w:i w:val="0"/>
        </w:rPr>
        <w:t xml:space="preserve"> </w:t>
      </w:r>
    </w:p>
    <w:p w:rsidR="007C5FE5" w:rsidRPr="00DF0029" w:rsidRDefault="007C5FE5" w:rsidP="007C5FE5">
      <w:pPr>
        <w:pStyle w:val="ListParagraph"/>
        <w:widowControl w:val="0"/>
        <w:numPr>
          <w:ilvl w:val="0"/>
          <w:numId w:val="1"/>
        </w:numPr>
        <w:tabs>
          <w:tab w:val="left" w:pos="0"/>
        </w:tabs>
        <w:adjustRightInd w:val="0"/>
        <w:ind w:left="0" w:firstLine="0"/>
        <w:rPr>
          <w:rFonts w:ascii="Times New Roman" w:hAnsi="Times New Roman" w:cs="Times New Roman"/>
          <w:i/>
          <w:szCs w:val="20"/>
          <w:lang w:val="es-CR" w:eastAsia="es-CR"/>
        </w:rPr>
      </w:pPr>
      <w:bookmarkStart w:id="266" w:name="_Toc525723227"/>
      <w:r w:rsidRPr="00DF0029">
        <w:rPr>
          <w:spacing w:val="-2"/>
          <w:szCs w:val="20"/>
          <w:lang w:val="es-CR"/>
        </w:rPr>
        <w:t xml:space="preserve">En lo que </w:t>
      </w:r>
      <w:r w:rsidRPr="00DF0029">
        <w:rPr>
          <w:rFonts w:cs="Verdana"/>
          <w:szCs w:val="20"/>
          <w:lang w:val="es-ES" w:eastAsia="es-MX"/>
        </w:rPr>
        <w:t>se</w:t>
      </w:r>
      <w:r w:rsidRPr="00DF0029">
        <w:rPr>
          <w:spacing w:val="-2"/>
          <w:szCs w:val="20"/>
          <w:lang w:val="es-CR"/>
        </w:rPr>
        <w:t xml:space="preserve"> refiere a las medidas de compensación, la Corte ha desarrollado en su </w:t>
      </w:r>
      <w:r w:rsidRPr="00DF0029">
        <w:rPr>
          <w:szCs w:val="20"/>
        </w:rPr>
        <w:t>jurisprudencia</w:t>
      </w:r>
      <w:r w:rsidRPr="00DF0029">
        <w:rPr>
          <w:spacing w:val="-2"/>
          <w:szCs w:val="20"/>
          <w:lang w:val="es-CR"/>
        </w:rPr>
        <w:t xml:space="preserve"> el concepto de daño material y los supuestos en que corresponde indemnizarlo. Este Tribunal ha establecido que el daño material abarca la pérdida o detrimento de los ingresos de las víctimas, los gastos efectuados con motivo de los hechos y las consecuencias de carácter pecuniario que tengan un nexo causal con los hechos del caso</w:t>
      </w:r>
      <w:r w:rsidRPr="00DF0029">
        <w:rPr>
          <w:rStyle w:val="FootnoteReference"/>
          <w:spacing w:val="-2"/>
          <w:sz w:val="20"/>
          <w:szCs w:val="20"/>
        </w:rPr>
        <w:footnoteReference w:id="329"/>
      </w:r>
      <w:r w:rsidRPr="00DF0029">
        <w:rPr>
          <w:spacing w:val="-2"/>
          <w:szCs w:val="20"/>
          <w:lang w:val="es-CR"/>
        </w:rPr>
        <w:t xml:space="preserve">. Por otra parte, la jurisprudencia internacional ha establecido que la sentencia constituye </w:t>
      </w:r>
      <w:r w:rsidRPr="00DF0029">
        <w:rPr>
          <w:i/>
          <w:spacing w:val="-2"/>
          <w:szCs w:val="20"/>
          <w:lang w:val="es-CR"/>
        </w:rPr>
        <w:t xml:space="preserve">per se </w:t>
      </w:r>
      <w:r w:rsidRPr="00DF0029">
        <w:rPr>
          <w:spacing w:val="-2"/>
          <w:szCs w:val="20"/>
          <w:lang w:val="es-CR"/>
        </w:rPr>
        <w:t>una forma de reparación</w:t>
      </w:r>
      <w:r w:rsidRPr="00DF0029">
        <w:rPr>
          <w:rStyle w:val="FootnoteReference"/>
          <w:spacing w:val="-2"/>
          <w:sz w:val="20"/>
          <w:szCs w:val="20"/>
        </w:rPr>
        <w:footnoteReference w:id="330"/>
      </w:r>
      <w:r w:rsidRPr="00DF0029">
        <w:rPr>
          <w:spacing w:val="-2"/>
          <w:szCs w:val="20"/>
          <w:lang w:val="es-CR"/>
        </w:rPr>
        <w:t xml:space="preserve">. No obstante, la Corte ha desarrollado en su jurisprudencia el concepto de daño inmaterial, y ha establecido que éste puede comprender tanto los sufrimientos y las aflicciones causados a la víctima directa y a sus allegados, como el menoscabo de valores muy </w:t>
      </w:r>
      <w:r w:rsidRPr="00DF0029">
        <w:rPr>
          <w:spacing w:val="-2"/>
          <w:szCs w:val="20"/>
          <w:lang w:val="es-CR"/>
        </w:rPr>
        <w:lastRenderedPageBreak/>
        <w:t>significativos para las personas, así como las alteraciones, de carácter no pecuniario, en las condiciones de existencia de la víctima o su familia</w:t>
      </w:r>
      <w:r w:rsidRPr="00DF0029">
        <w:rPr>
          <w:rStyle w:val="FootnoteReference"/>
          <w:spacing w:val="-2"/>
          <w:sz w:val="20"/>
          <w:szCs w:val="20"/>
        </w:rPr>
        <w:footnoteReference w:id="331"/>
      </w:r>
      <w:r w:rsidRPr="00DF0029">
        <w:rPr>
          <w:spacing w:val="-2"/>
          <w:szCs w:val="20"/>
          <w:lang w:val="es-CR"/>
        </w:rPr>
        <w:t>.</w:t>
      </w:r>
      <w:r w:rsidRPr="00DF0029">
        <w:rPr>
          <w:rFonts w:ascii="Times New Roman" w:hAnsi="Times New Roman" w:cs="Times New Roman"/>
          <w:szCs w:val="20"/>
          <w:lang w:val="es-CR" w:eastAsia="es-CR"/>
        </w:rPr>
        <w:t xml:space="preserve"> </w:t>
      </w:r>
    </w:p>
    <w:p w:rsidR="007C5FE5" w:rsidRPr="0099721A" w:rsidRDefault="007C5FE5" w:rsidP="007C5FE5">
      <w:pPr>
        <w:rPr>
          <w:rFonts w:ascii="Times New Roman" w:hAnsi="Times New Roman"/>
          <w:i/>
          <w:sz w:val="24"/>
          <w:lang w:val="es-CR" w:eastAsia="es-CR"/>
        </w:rPr>
      </w:pPr>
    </w:p>
    <w:p w:rsidR="007C5FE5" w:rsidRPr="00DF0029" w:rsidRDefault="007C5FE5" w:rsidP="007C5FE5">
      <w:pPr>
        <w:pStyle w:val="ListParagraph"/>
        <w:widowControl w:val="0"/>
        <w:numPr>
          <w:ilvl w:val="0"/>
          <w:numId w:val="1"/>
        </w:numPr>
        <w:tabs>
          <w:tab w:val="left" w:pos="0"/>
        </w:tabs>
        <w:adjustRightInd w:val="0"/>
        <w:ind w:left="0" w:firstLine="0"/>
        <w:rPr>
          <w:i/>
          <w:szCs w:val="20"/>
        </w:rPr>
      </w:pPr>
      <w:r w:rsidRPr="00DF0029">
        <w:rPr>
          <w:szCs w:val="20"/>
        </w:rPr>
        <w:t xml:space="preserve">En términos generales, en cuanto al daño material, la Corte nota que los representantes no proporcionaron elemento probatorio alguno que permita acreditar el daño emergente </w:t>
      </w:r>
      <w:r w:rsidRPr="00DF0029">
        <w:rPr>
          <w:spacing w:val="-2"/>
          <w:szCs w:val="20"/>
          <w:lang w:val="es-CR"/>
        </w:rPr>
        <w:t>que</w:t>
      </w:r>
      <w:r w:rsidRPr="00DF0029">
        <w:rPr>
          <w:szCs w:val="20"/>
        </w:rPr>
        <w:t xml:space="preserve"> habrían sufrido las víctimas en el presente caso por las violaciones que han sido declaradas en la presente Sentencia. No obstante, este Tribunal considera que se ha de presumir que, como ya lo ha hecho en casos previos</w:t>
      </w:r>
      <w:r w:rsidRPr="00DF0029">
        <w:rPr>
          <w:rStyle w:val="FootnoteReference"/>
          <w:sz w:val="20"/>
          <w:szCs w:val="20"/>
        </w:rPr>
        <w:footnoteReference w:id="332"/>
      </w:r>
      <w:r w:rsidRPr="00DF0029">
        <w:rPr>
          <w:szCs w:val="20"/>
        </w:rPr>
        <w:t xml:space="preserve">, en consideración de los gastos en que incurrieron para su búsqueda. En lo que respecta al lucro cesante por las violaciones </w:t>
      </w:r>
      <w:r w:rsidRPr="00DF0029">
        <w:rPr>
          <w:rFonts w:cs="Verdana"/>
          <w:szCs w:val="20"/>
          <w:lang w:val="es-ES" w:eastAsia="es-MX"/>
        </w:rPr>
        <w:t>sufridas</w:t>
      </w:r>
      <w:r w:rsidRPr="00DF0029">
        <w:rPr>
          <w:szCs w:val="20"/>
        </w:rPr>
        <w:t>, la Corte nota que los alegatos de los representantes se plantearon exclusivamente con relación a la alegada desaparición forzada de las víctimas. Por otra parte, la Corte nota que el Estado, en el marco del Plan Integral de Reparaciones, ya habría procedido a indemnizar a familiares de dos de las cinco víctimas. Teniendo estos elementos en cuenta, la Corte procederá a valorar la procedencia de ordenar al Estado al pago de indemnizaciones por daño material e inmaterial.</w:t>
      </w:r>
    </w:p>
    <w:p w:rsidR="00595AF3" w:rsidRDefault="00595AF3" w:rsidP="00661D24">
      <w:pPr>
        <w:pStyle w:val="Estilo1"/>
        <w:tabs>
          <w:tab w:val="left" w:pos="709"/>
        </w:tabs>
        <w:spacing w:after="0"/>
        <w:ind w:left="0" w:right="0" w:firstLine="0"/>
        <w:rPr>
          <w:color w:val="FF0000"/>
          <w:highlight w:val="yellow"/>
        </w:rPr>
      </w:pPr>
    </w:p>
    <w:p w:rsidR="007C5FE5" w:rsidRPr="000F1310" w:rsidRDefault="00B60DEC" w:rsidP="007C5FE5">
      <w:pPr>
        <w:pStyle w:val="ListParagraph"/>
        <w:widowControl w:val="0"/>
        <w:numPr>
          <w:ilvl w:val="0"/>
          <w:numId w:val="1"/>
        </w:numPr>
        <w:tabs>
          <w:tab w:val="left" w:pos="0"/>
        </w:tabs>
        <w:adjustRightInd w:val="0"/>
        <w:ind w:left="0" w:firstLine="0"/>
        <w:rPr>
          <w:i/>
        </w:rPr>
      </w:pPr>
      <w:r w:rsidRPr="000F1310">
        <w:rPr>
          <w:szCs w:val="20"/>
          <w:lang w:val="es-CR"/>
        </w:rPr>
        <w:t>La Corte</w:t>
      </w:r>
      <w:r w:rsidR="00C2360E">
        <w:rPr>
          <w:szCs w:val="20"/>
          <w:lang w:val="es-CR"/>
        </w:rPr>
        <w:t>,</w:t>
      </w:r>
      <w:r w:rsidRPr="000F1310">
        <w:rPr>
          <w:szCs w:val="20"/>
          <w:lang w:val="es-CR"/>
        </w:rPr>
        <w:t xml:space="preserve"> en consideración de las particularidades del caso y para la adecuada reparación integral de las víctimas</w:t>
      </w:r>
      <w:r w:rsidR="00C2360E">
        <w:rPr>
          <w:szCs w:val="20"/>
          <w:lang w:val="es-CR"/>
        </w:rPr>
        <w:t>,</w:t>
      </w:r>
      <w:r w:rsidRPr="000F1310">
        <w:rPr>
          <w:szCs w:val="20"/>
          <w:lang w:val="es-CR"/>
        </w:rPr>
        <w:t xml:space="preserve"> </w:t>
      </w:r>
      <w:r w:rsidR="000F1310" w:rsidRPr="000F1310">
        <w:rPr>
          <w:szCs w:val="20"/>
          <w:lang w:val="es-CR"/>
        </w:rPr>
        <w:t>nota que, respecto al daño material de las víctimas, los representantes realizaron un cálculo del lucro cesante con respecto a todas las víctimas</w:t>
      </w:r>
      <w:r w:rsidR="000F1310" w:rsidRPr="000F1310">
        <w:rPr>
          <w:szCs w:val="20"/>
        </w:rPr>
        <w:t>, en el cual usaron “como base al salario mínimo en Perú de</w:t>
      </w:r>
      <w:r w:rsidR="001B7EDA">
        <w:rPr>
          <w:szCs w:val="20"/>
        </w:rPr>
        <w:t>sde el año de su desaparición [a marzo de 2017]</w:t>
      </w:r>
      <w:r w:rsidR="000F1310" w:rsidRPr="000F1310">
        <w:rPr>
          <w:szCs w:val="20"/>
        </w:rPr>
        <w:t xml:space="preserve">, actualizando los montos al valor actual”. </w:t>
      </w:r>
      <w:r w:rsidR="000F1310" w:rsidRPr="000F1310">
        <w:rPr>
          <w:szCs w:val="20"/>
          <w:lang w:val="es-CR"/>
        </w:rPr>
        <w:t>No obstante, no tomaron en cuenta todos los elementos requeridos por la jurisprudencia del Tribunal para la realización del mismo, pues no se tiene en cuenta la esperanza de vida de las presuntas víctimas, razón por la cual no resulta procedente el monto solicitado por los representantes y el daño material será calculado de acuerdo a un estimativo razonable.</w:t>
      </w:r>
    </w:p>
    <w:p w:rsidR="007C5FE5" w:rsidRPr="00794667" w:rsidRDefault="007C5FE5" w:rsidP="007C5FE5">
      <w:pPr>
        <w:pStyle w:val="Estilo1"/>
        <w:tabs>
          <w:tab w:val="left" w:pos="709"/>
        </w:tabs>
        <w:spacing w:after="0"/>
        <w:ind w:left="0" w:right="0" w:firstLine="0"/>
        <w:rPr>
          <w:i w:val="0"/>
        </w:rPr>
      </w:pPr>
    </w:p>
    <w:p w:rsidR="007C5FE5" w:rsidRPr="00794667" w:rsidRDefault="007C5FE5" w:rsidP="007C5FE5">
      <w:pPr>
        <w:pStyle w:val="ListParagraph"/>
        <w:widowControl w:val="0"/>
        <w:numPr>
          <w:ilvl w:val="0"/>
          <w:numId w:val="1"/>
        </w:numPr>
        <w:tabs>
          <w:tab w:val="left" w:pos="0"/>
        </w:tabs>
        <w:adjustRightInd w:val="0"/>
        <w:ind w:left="0" w:firstLine="0"/>
        <w:rPr>
          <w:i/>
        </w:rPr>
      </w:pPr>
      <w:r w:rsidRPr="00794667">
        <w:t xml:space="preserve">Con respecto al daño material en perjuicio de Wilfredo Terrones Silva, este Tribunal </w:t>
      </w:r>
      <w:r w:rsidRPr="00D02B40">
        <w:t xml:space="preserve">considera que derivado de su desaparición forzada habría </w:t>
      </w:r>
      <w:r w:rsidR="00D02B40">
        <w:t xml:space="preserve">sufrido una pérdida de ingresos, por lo que </w:t>
      </w:r>
      <w:r w:rsidRPr="00794667">
        <w:t xml:space="preserve">ordena, en equidad, el pago de </w:t>
      </w:r>
      <w:r w:rsidRPr="00794667">
        <w:rPr>
          <w:lang w:val="es-CR"/>
        </w:rPr>
        <w:t>U</w:t>
      </w:r>
      <w:r w:rsidRPr="00794667">
        <w:t xml:space="preserve">SD$15.000,00 (quince mil </w:t>
      </w:r>
      <w:r w:rsidRPr="00794667">
        <w:rPr>
          <w:rFonts w:cs="Verdana"/>
          <w:lang w:val="es-CR"/>
        </w:rPr>
        <w:t xml:space="preserve">dólares </w:t>
      </w:r>
      <w:r w:rsidRPr="00794667">
        <w:rPr>
          <w:lang w:val="es-ES"/>
        </w:rPr>
        <w:t xml:space="preserve">de los Estados Unidos de América) por concepto de daño material. Dicha cantidad deberá </w:t>
      </w:r>
      <w:r>
        <w:rPr>
          <w:lang w:val="es-ES"/>
        </w:rPr>
        <w:t xml:space="preserve">ser </w:t>
      </w:r>
      <w:r w:rsidRPr="00794667">
        <w:rPr>
          <w:lang w:val="es-ES"/>
        </w:rPr>
        <w:t xml:space="preserve">pagada a </w:t>
      </w:r>
      <w:r w:rsidRPr="00794667">
        <w:rPr>
          <w:szCs w:val="20"/>
        </w:rPr>
        <w:t xml:space="preserve">Guillermina Frida Landázuri.  </w:t>
      </w:r>
      <w:r w:rsidRPr="00794667">
        <w:rPr>
          <w:lang w:val="es-ES"/>
        </w:rPr>
        <w:t>Por otra parte, en lo que se refiere al daño inmaterial</w:t>
      </w:r>
      <w:r w:rsidRPr="00794667">
        <w:rPr>
          <w:szCs w:val="20"/>
          <w:lang w:val="es-ES"/>
        </w:rPr>
        <w:t xml:space="preserve"> en el presente caso, este Tribunal en consideración de las circunstancias particulares y las violaciones </w:t>
      </w:r>
      <w:r w:rsidRPr="00794667">
        <w:t xml:space="preserve">a los derechos al reconocimiento de la personalidad jurídica, a la vida, a la integridad personal y libertad personal establecidos en los artículos 3, 4.1, 5.1 y 5.2, y 7 de la Convención Americana, en relación con el artículo I.a) de la Convención Interamericana sobre Desaparición Forzada de Personas, en perjuicio de Wilfredo Terrones Silva, esta Corte estima pertinente fijar, en equidad, la suma de US$100.000.00 (cien mil dólares de los Estados Unidos de América), la cual deberá ser pagada a </w:t>
      </w:r>
      <w:r w:rsidRPr="00794667">
        <w:rPr>
          <w:szCs w:val="20"/>
        </w:rPr>
        <w:t>Guillermina Frida Landázuri</w:t>
      </w:r>
      <w:r w:rsidRPr="00794667">
        <w:t xml:space="preserve">. </w:t>
      </w:r>
    </w:p>
    <w:p w:rsidR="007C5FE5" w:rsidRPr="00794667" w:rsidRDefault="007C5FE5" w:rsidP="007C5FE5">
      <w:pPr>
        <w:pStyle w:val="ListParagraph"/>
        <w:rPr>
          <w:szCs w:val="20"/>
        </w:rPr>
      </w:pPr>
    </w:p>
    <w:p w:rsidR="007C5FE5" w:rsidRPr="00794667" w:rsidRDefault="007C5FE5" w:rsidP="007C5FE5">
      <w:pPr>
        <w:pStyle w:val="ListParagraph"/>
        <w:widowControl w:val="0"/>
        <w:numPr>
          <w:ilvl w:val="0"/>
          <w:numId w:val="1"/>
        </w:numPr>
        <w:tabs>
          <w:tab w:val="left" w:pos="0"/>
        </w:tabs>
        <w:adjustRightInd w:val="0"/>
        <w:ind w:left="0" w:firstLine="0"/>
      </w:pPr>
      <w:r w:rsidRPr="00794667">
        <w:rPr>
          <w:szCs w:val="20"/>
        </w:rPr>
        <w:t>En lo que se refiere a los familiares del señor Terrones Silva, la Corte determinó la violación de los derechos a la integridad personal, garantías judiciales y protección judicial establecido en los artículos</w:t>
      </w:r>
      <w:r w:rsidRPr="00794667">
        <w:t xml:space="preserve"> 5.1, 8.1 y 25.1 de la Convención Americana por la afectación a la integridad personal, </w:t>
      </w:r>
      <w:r w:rsidRPr="00794667">
        <w:rPr>
          <w:lang w:val="es-ES"/>
        </w:rPr>
        <w:t>por</w:t>
      </w:r>
      <w:r w:rsidRPr="00794667">
        <w:t xml:space="preserve"> falta de una investigación diligente y en un plazo razonable sobre la desaparición forzada de Wilfredo Terrones Silva y el derecho a conocer la verdad, así de las obligaciones derivadas del artículo I.b) de la CIDFP, esta Corte estima pertinente fijar, en equidad, la suma de US$50.000.00 (cincuenta mil dólares de los Estados Unidos de América, por concepto de daño inmaterial, a favor de </w:t>
      </w:r>
      <w:r w:rsidRPr="00794667">
        <w:rPr>
          <w:szCs w:val="20"/>
        </w:rPr>
        <w:t>Guillermina Frida Landázuri.</w:t>
      </w:r>
    </w:p>
    <w:p w:rsidR="007C5FE5" w:rsidRDefault="007C5FE5" w:rsidP="007C5FE5">
      <w:pPr>
        <w:pStyle w:val="Estilo1"/>
        <w:tabs>
          <w:tab w:val="left" w:pos="709"/>
        </w:tabs>
        <w:spacing w:after="0"/>
        <w:ind w:left="0" w:right="0" w:firstLine="0"/>
        <w:rPr>
          <w:i w:val="0"/>
        </w:rPr>
      </w:pPr>
    </w:p>
    <w:p w:rsidR="007C5FE5" w:rsidRPr="00794667" w:rsidRDefault="007C5FE5" w:rsidP="007C5FE5">
      <w:pPr>
        <w:pStyle w:val="ListParagraph"/>
        <w:widowControl w:val="0"/>
        <w:numPr>
          <w:ilvl w:val="0"/>
          <w:numId w:val="1"/>
        </w:numPr>
        <w:tabs>
          <w:tab w:val="left" w:pos="0"/>
        </w:tabs>
        <w:adjustRightInd w:val="0"/>
        <w:ind w:left="0" w:firstLine="0"/>
        <w:rPr>
          <w:i/>
        </w:rPr>
      </w:pPr>
      <w:r w:rsidRPr="00794667">
        <w:t xml:space="preserve">Con respecto al daño material en perjuicio de Cory Clodolia Tenicela Tello, este </w:t>
      </w:r>
      <w:r w:rsidRPr="00794667">
        <w:lastRenderedPageBreak/>
        <w:t xml:space="preserve">Tribunal </w:t>
      </w:r>
      <w:r w:rsidRPr="00D02B40">
        <w:t>considera que derivado de su desaparición forzada habría sufrido una pérdida de ingresos</w:t>
      </w:r>
      <w:r w:rsidR="0016585F" w:rsidRPr="00D02B40">
        <w:t>,</w:t>
      </w:r>
      <w:r w:rsidR="00D02B40">
        <w:t xml:space="preserve"> por lo que</w:t>
      </w:r>
      <w:r w:rsidR="00603D8C">
        <w:t xml:space="preserve"> </w:t>
      </w:r>
      <w:r w:rsidRPr="00794667">
        <w:t xml:space="preserve">ordena, en equidad, el pago de </w:t>
      </w:r>
      <w:r w:rsidRPr="00794667">
        <w:rPr>
          <w:lang w:val="es-CR"/>
        </w:rPr>
        <w:t>U</w:t>
      </w:r>
      <w:r w:rsidRPr="00794667">
        <w:t xml:space="preserve">SD$15.000.00 (quince mil </w:t>
      </w:r>
      <w:r w:rsidRPr="00794667">
        <w:rPr>
          <w:rFonts w:cs="Verdana"/>
          <w:lang w:val="es-CR"/>
        </w:rPr>
        <w:t xml:space="preserve">dólares </w:t>
      </w:r>
      <w:r w:rsidRPr="00794667">
        <w:rPr>
          <w:lang w:val="es-ES"/>
        </w:rPr>
        <w:t xml:space="preserve">de los Estados Unidos de América) por concepto de daño material. Dicha cantidad deberá ser pagada a </w:t>
      </w:r>
      <w:r w:rsidRPr="00794667">
        <w:rPr>
          <w:szCs w:val="20"/>
          <w:lang w:val="es-AR"/>
        </w:rPr>
        <w:t xml:space="preserve">Amadea </w:t>
      </w:r>
      <w:r w:rsidR="0091731C">
        <w:rPr>
          <w:szCs w:val="20"/>
          <w:lang w:val="es-AR"/>
        </w:rPr>
        <w:t xml:space="preserve">Felipa </w:t>
      </w:r>
      <w:r w:rsidRPr="00794667">
        <w:rPr>
          <w:szCs w:val="20"/>
          <w:lang w:val="es-AR"/>
        </w:rPr>
        <w:t xml:space="preserve">Tello </w:t>
      </w:r>
      <w:r w:rsidR="0091731C">
        <w:rPr>
          <w:szCs w:val="20"/>
          <w:lang w:val="es-AR"/>
        </w:rPr>
        <w:t>de Tenicela</w:t>
      </w:r>
      <w:r w:rsidRPr="00794667">
        <w:rPr>
          <w:szCs w:val="20"/>
        </w:rPr>
        <w:t xml:space="preserve">. </w:t>
      </w:r>
      <w:r w:rsidRPr="00794667">
        <w:rPr>
          <w:lang w:val="es-ES"/>
        </w:rPr>
        <w:t>Por otra parte, en lo que se refiere al daño inmaterial</w:t>
      </w:r>
      <w:r w:rsidRPr="00794667">
        <w:rPr>
          <w:szCs w:val="20"/>
          <w:lang w:val="es-ES"/>
        </w:rPr>
        <w:t xml:space="preserve"> en el presente caso, este Tribunal en consideración de las circunstancias particulares y las violaciones </w:t>
      </w:r>
      <w:r w:rsidRPr="00794667">
        <w:t xml:space="preserve">a los derechos al reconocimiento de la personalidad jurídica, a la vida, a la integridad personal y libertad personal establecidos en los artículos 3, 4.1, 5.1 y 5.2, y 7 de la Convención Americana, en relación con el artículo I.a) de la Convención Interamericana sobre Desaparición Forzada de Personas, en perjuicio de Cory Clodolia Tenicela Tello, esta Corte estima pertinente fijar, en equidad, la suma de US$100.000.00 (cien mil dólares de los Estados Unidos de América), la cual deberá ser pagada a </w:t>
      </w:r>
      <w:r w:rsidRPr="00794667">
        <w:rPr>
          <w:szCs w:val="20"/>
          <w:lang w:val="es-AR"/>
        </w:rPr>
        <w:t>Amadea</w:t>
      </w:r>
      <w:r w:rsidR="00B15D4F">
        <w:rPr>
          <w:szCs w:val="20"/>
          <w:lang w:val="es-AR"/>
        </w:rPr>
        <w:t xml:space="preserve"> Felipa</w:t>
      </w:r>
      <w:r w:rsidRPr="00794667">
        <w:rPr>
          <w:szCs w:val="20"/>
          <w:lang w:val="es-AR"/>
        </w:rPr>
        <w:t xml:space="preserve"> Tello</w:t>
      </w:r>
      <w:r w:rsidR="00B15D4F">
        <w:rPr>
          <w:szCs w:val="20"/>
          <w:lang w:val="es-AR"/>
        </w:rPr>
        <w:t xml:space="preserve"> de Tenicela</w:t>
      </w:r>
      <w:r w:rsidRPr="00794667">
        <w:t xml:space="preserve">. </w:t>
      </w:r>
    </w:p>
    <w:p w:rsidR="007C5FE5" w:rsidRPr="00794F9E" w:rsidRDefault="007C5FE5" w:rsidP="007C5FE5">
      <w:pPr>
        <w:pStyle w:val="ListParagraph"/>
        <w:rPr>
          <w:szCs w:val="20"/>
        </w:rPr>
      </w:pPr>
    </w:p>
    <w:p w:rsidR="007C5FE5" w:rsidRPr="00E10B3E" w:rsidRDefault="007C5FE5" w:rsidP="007C5FE5">
      <w:pPr>
        <w:pStyle w:val="ListParagraph"/>
        <w:widowControl w:val="0"/>
        <w:numPr>
          <w:ilvl w:val="0"/>
          <w:numId w:val="1"/>
        </w:numPr>
        <w:tabs>
          <w:tab w:val="left" w:pos="0"/>
          <w:tab w:val="left" w:pos="709"/>
        </w:tabs>
        <w:adjustRightInd w:val="0"/>
        <w:ind w:left="0" w:firstLine="0"/>
      </w:pPr>
      <w:r w:rsidRPr="0029699B">
        <w:rPr>
          <w:szCs w:val="20"/>
        </w:rPr>
        <w:t>En lo que se refiere a los familiares de la víctima, la Corte determinó la violación de los derechos a la integridad personal, garantías judiciales y protección judicial establecido en los artículos</w:t>
      </w:r>
      <w:r w:rsidRPr="00794F9E">
        <w:t xml:space="preserve"> 5.1, 8.1 y 25.1 de la Convención Americana por la afectación a la integridad personal, </w:t>
      </w:r>
      <w:r w:rsidRPr="0029699B">
        <w:rPr>
          <w:lang w:val="es-ES"/>
        </w:rPr>
        <w:t>por</w:t>
      </w:r>
      <w:r w:rsidRPr="00794F9E">
        <w:t xml:space="preserve"> falta de una investigación diligente y en un plazo razonable sobre la desaparición forzada</w:t>
      </w:r>
      <w:r>
        <w:t xml:space="preserve"> </w:t>
      </w:r>
      <w:r w:rsidRPr="00794F9E">
        <w:t xml:space="preserve">de </w:t>
      </w:r>
      <w:r>
        <w:t>Cory Clodolia Tenicela Tello</w:t>
      </w:r>
      <w:r w:rsidRPr="00794F9E">
        <w:t xml:space="preserve"> y el derecho a conocer la verdad, así de las obligaciones derivadas del artículo I.b) de la CIDFP, esta Corte estima pertinente fijar, en</w:t>
      </w:r>
      <w:r>
        <w:t xml:space="preserve"> equidad, la suma de US$50.000.00 (cincuenta mil</w:t>
      </w:r>
      <w:r w:rsidRPr="00794F9E">
        <w:t xml:space="preserve"> dólares de los Estados Unidos de América, por concepto de daño inmaterial, a favor de </w:t>
      </w:r>
      <w:r w:rsidRPr="0029699B">
        <w:rPr>
          <w:szCs w:val="20"/>
        </w:rPr>
        <w:t xml:space="preserve">Amadea </w:t>
      </w:r>
      <w:r w:rsidR="0091731C">
        <w:rPr>
          <w:szCs w:val="20"/>
        </w:rPr>
        <w:t xml:space="preserve">Felipa </w:t>
      </w:r>
      <w:r w:rsidRPr="0029699B">
        <w:rPr>
          <w:szCs w:val="20"/>
        </w:rPr>
        <w:t>Tello</w:t>
      </w:r>
      <w:r w:rsidR="0091731C">
        <w:rPr>
          <w:szCs w:val="20"/>
        </w:rPr>
        <w:t xml:space="preserve"> de Tenicela</w:t>
      </w:r>
      <w:r>
        <w:t>; la cantidad de US$25.000.00 (veinticinco mil</w:t>
      </w:r>
      <w:r w:rsidRPr="00794F9E">
        <w:t xml:space="preserve"> dólares de los Estados Unidos de América, por concepto de daño inmaterial, a favor de </w:t>
      </w:r>
      <w:r w:rsidRPr="0029699B">
        <w:rPr>
          <w:szCs w:val="20"/>
        </w:rPr>
        <w:t>Norma Tenicela Tello</w:t>
      </w:r>
      <w:r w:rsidR="00DF0029">
        <w:rPr>
          <w:szCs w:val="20"/>
        </w:rPr>
        <w:t xml:space="preserve">. </w:t>
      </w:r>
      <w:r w:rsidR="00DF0029" w:rsidRPr="00BB3030">
        <w:rPr>
          <w:szCs w:val="20"/>
        </w:rPr>
        <w:t xml:space="preserve">En el caso de Zenobio Washington Tenicela </w:t>
      </w:r>
      <w:r w:rsidR="00B15D4F">
        <w:rPr>
          <w:szCs w:val="20"/>
        </w:rPr>
        <w:t xml:space="preserve">Tello </w:t>
      </w:r>
      <w:r w:rsidR="00DF0029" w:rsidRPr="00BB3030">
        <w:rPr>
          <w:szCs w:val="20"/>
        </w:rPr>
        <w:t xml:space="preserve">este Tribunal determinó la violación del derecho a la integridad personal establecido en el artículo 5.1 de la Convención, por lo que la Corte fija, en equidad, </w:t>
      </w:r>
      <w:r w:rsidRPr="00BB3030">
        <w:t xml:space="preserve">la cantidad de US$10.000.00 </w:t>
      </w:r>
      <w:r w:rsidRPr="00DF0029">
        <w:t xml:space="preserve">(diez mil dólares de los Estados Unidos de América), por concepto de daño inmaterial, a </w:t>
      </w:r>
      <w:r w:rsidR="00DF0029" w:rsidRPr="00DF0029">
        <w:t xml:space="preserve">su </w:t>
      </w:r>
      <w:r w:rsidRPr="00DF0029">
        <w:t>favor</w:t>
      </w:r>
      <w:r w:rsidRPr="00DF0029">
        <w:rPr>
          <w:szCs w:val="20"/>
        </w:rPr>
        <w:t>.</w:t>
      </w:r>
    </w:p>
    <w:p w:rsidR="007C5FE5" w:rsidRDefault="007C5FE5" w:rsidP="007C5FE5">
      <w:pPr>
        <w:rPr>
          <w:i/>
          <w:spacing w:val="-2"/>
          <w:szCs w:val="20"/>
          <w:lang w:val="es-CR"/>
        </w:rPr>
      </w:pPr>
    </w:p>
    <w:p w:rsidR="007C5FE5" w:rsidRPr="00794667" w:rsidRDefault="007C5FE5" w:rsidP="007C5FE5">
      <w:pPr>
        <w:pStyle w:val="ListParagraph"/>
        <w:widowControl w:val="0"/>
        <w:numPr>
          <w:ilvl w:val="0"/>
          <w:numId w:val="1"/>
        </w:numPr>
        <w:tabs>
          <w:tab w:val="left" w:pos="0"/>
        </w:tabs>
        <w:adjustRightInd w:val="0"/>
        <w:ind w:left="0" w:firstLine="0"/>
        <w:rPr>
          <w:i/>
        </w:rPr>
      </w:pPr>
      <w:r w:rsidRPr="00794667">
        <w:t xml:space="preserve">Con respecto al daño material en perjuicio de Néstor Rojas Medina, este Tribunal </w:t>
      </w:r>
      <w:r w:rsidRPr="00D02B40">
        <w:t>considera que derivado de su desaparición forzada habría sufrido una pérdida de ingresos</w:t>
      </w:r>
      <w:r w:rsidR="00D02B40">
        <w:t xml:space="preserve">, por lo que </w:t>
      </w:r>
      <w:r w:rsidRPr="00794667">
        <w:t xml:space="preserve">ordena, en equidad, el pago de </w:t>
      </w:r>
      <w:r w:rsidRPr="00794667">
        <w:rPr>
          <w:lang w:val="es-CR"/>
        </w:rPr>
        <w:t>U</w:t>
      </w:r>
      <w:r w:rsidRPr="00794667">
        <w:t xml:space="preserve">SD$15.000.00 (quince mil </w:t>
      </w:r>
      <w:r w:rsidRPr="00794667">
        <w:rPr>
          <w:rFonts w:cs="Verdana"/>
          <w:lang w:val="es-CR"/>
        </w:rPr>
        <w:t xml:space="preserve">dólares </w:t>
      </w:r>
      <w:r w:rsidRPr="00794667">
        <w:rPr>
          <w:lang w:val="es-ES"/>
        </w:rPr>
        <w:t xml:space="preserve">de los Estados Unidos de América) por concepto de daño material. Dicha cantidad deberá ser pagada a </w:t>
      </w:r>
      <w:r w:rsidRPr="00794667">
        <w:rPr>
          <w:szCs w:val="20"/>
        </w:rPr>
        <w:t>Marcelina Medina Negrón</w:t>
      </w:r>
      <w:r w:rsidR="00B15D4F">
        <w:rPr>
          <w:szCs w:val="20"/>
        </w:rPr>
        <w:t xml:space="preserve"> y Tania Collantes</w:t>
      </w:r>
      <w:r w:rsidR="00C80D54">
        <w:rPr>
          <w:szCs w:val="20"/>
        </w:rPr>
        <w:t xml:space="preserve"> Medina</w:t>
      </w:r>
      <w:r w:rsidR="00B15D4F">
        <w:rPr>
          <w:szCs w:val="20"/>
        </w:rPr>
        <w:t>, por partes iguales</w:t>
      </w:r>
      <w:r w:rsidRPr="00794667">
        <w:rPr>
          <w:szCs w:val="20"/>
        </w:rPr>
        <w:t xml:space="preserve">.  </w:t>
      </w:r>
      <w:r w:rsidRPr="00794667">
        <w:rPr>
          <w:lang w:val="es-ES"/>
        </w:rPr>
        <w:t>Por otra parte, en lo que se refiere al daño inmaterial</w:t>
      </w:r>
      <w:r w:rsidRPr="00794667">
        <w:rPr>
          <w:szCs w:val="20"/>
          <w:lang w:val="es-ES"/>
        </w:rPr>
        <w:t xml:space="preserve"> en el presente caso, este Tribunal en consideración de las circunstancias particulares y las violaciones </w:t>
      </w:r>
      <w:r w:rsidRPr="00794667">
        <w:t>a los derechos al reconocimiento de la personalidad jurídica, a la vida, a la integridad personal y libertad personal establecidos en los artículos 3, 4.1, 5.1 y 5.2, y 7 de la Convención Americana, en relación con el artículo I.a) de la Convención Interamericana sobre Desaparición Forzada de Personas, en perjuicio de Néstor Rojas Medina, esta Corte estima pertinente fijar, en equidad, la suma de US$100.000.00 (cien mil dólares de los Estados Unidos de América</w:t>
      </w:r>
      <w:r w:rsidR="00BB3030">
        <w:t>)</w:t>
      </w:r>
      <w:r w:rsidRPr="00794667">
        <w:t xml:space="preserve">, la cual deberá ser pagada a </w:t>
      </w:r>
      <w:r w:rsidRPr="00794667">
        <w:rPr>
          <w:szCs w:val="20"/>
        </w:rPr>
        <w:t>Marcelina Medina Negrón</w:t>
      </w:r>
      <w:r w:rsidR="00B15D4F">
        <w:rPr>
          <w:szCs w:val="20"/>
        </w:rPr>
        <w:t xml:space="preserve"> y Tania Collantes Medina, por partes iguales</w:t>
      </w:r>
      <w:r w:rsidRPr="00794667">
        <w:t xml:space="preserve">. </w:t>
      </w:r>
      <w:r w:rsidRPr="00794667">
        <w:rPr>
          <w:szCs w:val="20"/>
        </w:rPr>
        <w:t>Cabe señalar que para fijar la indemnización la Corte tomó en cuenta</w:t>
      </w:r>
      <w:r>
        <w:rPr>
          <w:szCs w:val="20"/>
        </w:rPr>
        <w:t xml:space="preserve"> el hecho de</w:t>
      </w:r>
      <w:r w:rsidRPr="00794667">
        <w:rPr>
          <w:szCs w:val="20"/>
        </w:rPr>
        <w:t xml:space="preserve"> que </w:t>
      </w:r>
      <w:r w:rsidRPr="00794667">
        <w:t xml:space="preserve">el Estado ya pagó a Marcelina Medina Negrón el monto de S./5.000 (cinco mil soles), por concepto de reparación por la “desaparición forzada” sufrida por Néstor Rojas Medina. </w:t>
      </w:r>
    </w:p>
    <w:p w:rsidR="007C5FE5" w:rsidRPr="00794667" w:rsidRDefault="007C5FE5" w:rsidP="007C5FE5">
      <w:pPr>
        <w:pStyle w:val="ListParagraph"/>
        <w:rPr>
          <w:szCs w:val="20"/>
        </w:rPr>
      </w:pPr>
    </w:p>
    <w:p w:rsidR="007C5FE5" w:rsidRPr="00794667" w:rsidRDefault="007C5FE5" w:rsidP="007C5FE5">
      <w:pPr>
        <w:pStyle w:val="ListParagraph"/>
        <w:widowControl w:val="0"/>
        <w:numPr>
          <w:ilvl w:val="0"/>
          <w:numId w:val="1"/>
        </w:numPr>
        <w:tabs>
          <w:tab w:val="left" w:pos="0"/>
        </w:tabs>
        <w:adjustRightInd w:val="0"/>
        <w:ind w:left="0" w:firstLine="0"/>
        <w:rPr>
          <w:i/>
        </w:rPr>
      </w:pPr>
      <w:r w:rsidRPr="00794667">
        <w:rPr>
          <w:szCs w:val="20"/>
        </w:rPr>
        <w:t>En lo que se refiere a los familiares de la víctima, la Corte determinó la violación de los derechos a la integridad personal, garantías judiciales y protección judicial establecido en los artículos</w:t>
      </w:r>
      <w:r w:rsidRPr="00794667">
        <w:t xml:space="preserve"> 5.1, 8.1 y 25.1 de la Convención Americana por la afectación a la integridad personal, </w:t>
      </w:r>
      <w:r w:rsidRPr="00794667">
        <w:rPr>
          <w:lang w:val="es-ES"/>
        </w:rPr>
        <w:t>por</w:t>
      </w:r>
      <w:r w:rsidRPr="00794667">
        <w:t xml:space="preserve"> falta de una investigación diligente y en un plazo razonable sobre la desaparición forzada de Néstor Rojas Medina y el derecho a conocer la verdad, así de las obligaciones derivadas del artículo I.b) de la CIDFP, esta Corte estima pertinente fijar, en equidad, la suma de US$50.000.00 (cincuenta mil dólares de los Estados Unidos de América, por concepto de daño inmaterial, a favor de </w:t>
      </w:r>
      <w:r w:rsidRPr="00794667">
        <w:rPr>
          <w:szCs w:val="20"/>
        </w:rPr>
        <w:t>Marcelina Medina Negrón</w:t>
      </w:r>
      <w:r w:rsidR="00BB3030">
        <w:t>, y</w:t>
      </w:r>
      <w:r w:rsidRPr="00794667">
        <w:t xml:space="preserve"> la cantidad de </w:t>
      </w:r>
      <w:r w:rsidRPr="00794667">
        <w:lastRenderedPageBreak/>
        <w:t xml:space="preserve">US$25.000.00 (veinticinco mil dólares de los Estados Unidos de América, por concepto de daño inmaterial, a favor de </w:t>
      </w:r>
      <w:r w:rsidRPr="00794667">
        <w:rPr>
          <w:szCs w:val="20"/>
        </w:rPr>
        <w:t xml:space="preserve">Tania Collantes Medina. </w:t>
      </w:r>
    </w:p>
    <w:p w:rsidR="007C5FE5" w:rsidRPr="00794667" w:rsidRDefault="007C5FE5" w:rsidP="007C5FE5"/>
    <w:p w:rsidR="007C5FE5" w:rsidRPr="00746FD3" w:rsidRDefault="007C5FE5" w:rsidP="007C5FE5">
      <w:pPr>
        <w:pStyle w:val="ListParagraph"/>
        <w:widowControl w:val="0"/>
        <w:numPr>
          <w:ilvl w:val="0"/>
          <w:numId w:val="1"/>
        </w:numPr>
        <w:tabs>
          <w:tab w:val="left" w:pos="0"/>
        </w:tabs>
        <w:adjustRightInd w:val="0"/>
        <w:ind w:left="0" w:firstLine="0"/>
        <w:rPr>
          <w:i/>
        </w:rPr>
      </w:pPr>
      <w:r w:rsidRPr="00794667">
        <w:t xml:space="preserve">Con respecto al daño material en perjuicio de Santiago Antezana Cueto, este Tribunal </w:t>
      </w:r>
      <w:r w:rsidRPr="00D02B40">
        <w:t>considera que</w:t>
      </w:r>
      <w:r w:rsidR="00C2360E">
        <w:t>,</w:t>
      </w:r>
      <w:r w:rsidRPr="00D02B40">
        <w:t xml:space="preserve"> derivado de su desaparición forzada</w:t>
      </w:r>
      <w:r w:rsidR="00C2360E">
        <w:t>,</w:t>
      </w:r>
      <w:r w:rsidRPr="00D02B40">
        <w:t xml:space="preserve"> habría </w:t>
      </w:r>
      <w:r w:rsidR="00D02B40">
        <w:t xml:space="preserve">sufrido una pérdida de ingresos, por lo que </w:t>
      </w:r>
      <w:r w:rsidRPr="00794667">
        <w:t xml:space="preserve">ordena, en equidad, el pago de </w:t>
      </w:r>
      <w:r w:rsidRPr="00794667">
        <w:rPr>
          <w:lang w:val="es-CR"/>
        </w:rPr>
        <w:t>U</w:t>
      </w:r>
      <w:r w:rsidRPr="00794667">
        <w:t xml:space="preserve">SD$15.000.00 (quince mil </w:t>
      </w:r>
      <w:r w:rsidRPr="00794667">
        <w:rPr>
          <w:rFonts w:cs="Verdana"/>
          <w:lang w:val="es-CR"/>
        </w:rPr>
        <w:t xml:space="preserve">dólares </w:t>
      </w:r>
      <w:r w:rsidRPr="00794667">
        <w:rPr>
          <w:lang w:val="es-ES"/>
        </w:rPr>
        <w:t xml:space="preserve">de los Estados Unidos de América) por concepto de daño material. Dicha cantidad deberá </w:t>
      </w:r>
      <w:r>
        <w:rPr>
          <w:lang w:val="es-ES"/>
        </w:rPr>
        <w:t xml:space="preserve">ser </w:t>
      </w:r>
      <w:r w:rsidRPr="00794667">
        <w:rPr>
          <w:lang w:val="es-ES"/>
        </w:rPr>
        <w:t xml:space="preserve">pagada a </w:t>
      </w:r>
      <w:r w:rsidRPr="00794667">
        <w:rPr>
          <w:szCs w:val="20"/>
        </w:rPr>
        <w:t>Rosa Carcausto Paco.</w:t>
      </w:r>
      <w:r w:rsidRPr="00746FD3">
        <w:rPr>
          <w:b/>
          <w:szCs w:val="20"/>
        </w:rPr>
        <w:t xml:space="preserve"> </w:t>
      </w:r>
      <w:r w:rsidRPr="00746FD3">
        <w:rPr>
          <w:lang w:val="es-ES"/>
        </w:rPr>
        <w:t>Por otra parte, en lo que se refiere al daño inmaterial</w:t>
      </w:r>
      <w:r w:rsidRPr="00746FD3">
        <w:rPr>
          <w:szCs w:val="20"/>
          <w:lang w:val="es-ES"/>
        </w:rPr>
        <w:t xml:space="preserve"> en el presente caso, este Tribunal</w:t>
      </w:r>
      <w:r w:rsidR="00C2360E">
        <w:rPr>
          <w:szCs w:val="20"/>
          <w:lang w:val="es-ES"/>
        </w:rPr>
        <w:t>,</w:t>
      </w:r>
      <w:r w:rsidRPr="00746FD3">
        <w:rPr>
          <w:szCs w:val="20"/>
          <w:lang w:val="es-ES"/>
        </w:rPr>
        <w:t xml:space="preserve"> en consideración de las circunstancias particulares y las violaciones </w:t>
      </w:r>
      <w:r w:rsidRPr="00794F9E">
        <w:t>a los derechos al reconocimiento de la personalidad jurídica, a la vida, a la integridad personal y libertad personal establecidos en los artículos 3, 4.1, 5.1 y 5.2, y 7 de la Convención Americana, en relación con el artículo I.a) de la Convención Interamericana sobre Desaparición Forzada de Personas, en perjuicio de Santiago Antezana Cueto, esta Corte estima pertinente fijar, en</w:t>
      </w:r>
      <w:r>
        <w:t xml:space="preserve"> equidad, la suma de US$100.000,00 (cien mil</w:t>
      </w:r>
      <w:r w:rsidRPr="00794F9E">
        <w:t xml:space="preserve"> dólares de los Estados Unidos de América, </w:t>
      </w:r>
      <w:r>
        <w:t xml:space="preserve">la cual deberá ser pagada a </w:t>
      </w:r>
      <w:r w:rsidRPr="00746FD3">
        <w:rPr>
          <w:szCs w:val="20"/>
        </w:rPr>
        <w:t>Rosa Carcausto Paco</w:t>
      </w:r>
      <w:r>
        <w:t xml:space="preserve">. </w:t>
      </w:r>
      <w:r w:rsidRPr="00746FD3">
        <w:rPr>
          <w:szCs w:val="20"/>
        </w:rPr>
        <w:t xml:space="preserve">Cabe señalar que para fijar la indemnización la Corte tomó en cuenta que </w:t>
      </w:r>
      <w:r w:rsidRPr="00794F9E">
        <w:t>el Estado ya pagó a Rosa Carcausto Paco el monto de S./10.000 (diez mil soles), por concepto de reparación por la “desaparición forzada” sufrida por Santiago Antezana Cueto.</w:t>
      </w:r>
    </w:p>
    <w:p w:rsidR="007C5FE5" w:rsidRPr="00794F9E" w:rsidRDefault="007C5FE5" w:rsidP="007C5FE5">
      <w:pPr>
        <w:pStyle w:val="ListParagraph"/>
        <w:rPr>
          <w:szCs w:val="20"/>
        </w:rPr>
      </w:pPr>
    </w:p>
    <w:p w:rsidR="007C5FE5" w:rsidRPr="00E10B3E" w:rsidRDefault="007C5FE5" w:rsidP="007C5FE5">
      <w:pPr>
        <w:pStyle w:val="ListParagraph"/>
        <w:widowControl w:val="0"/>
        <w:numPr>
          <w:ilvl w:val="0"/>
          <w:numId w:val="1"/>
        </w:numPr>
        <w:tabs>
          <w:tab w:val="left" w:pos="0"/>
        </w:tabs>
        <w:adjustRightInd w:val="0"/>
        <w:ind w:left="0" w:firstLine="0"/>
        <w:rPr>
          <w:i/>
        </w:rPr>
      </w:pPr>
      <w:r w:rsidRPr="00794F9E">
        <w:rPr>
          <w:szCs w:val="20"/>
        </w:rPr>
        <w:t>En lo que se refiere a los familiares de la víctima, la Corte determinó la violación de los derechos a la integridad personal, garantías judiciales y protección judicial establecido en los artículos</w:t>
      </w:r>
      <w:r w:rsidRPr="00794F9E">
        <w:t xml:space="preserve"> 5.1, 8.1 y 25.1 de la Convención Americana por la afectación a la integridad personal, </w:t>
      </w:r>
      <w:r w:rsidRPr="00EF6A20">
        <w:rPr>
          <w:lang w:val="es-ES"/>
        </w:rPr>
        <w:t>por</w:t>
      </w:r>
      <w:r w:rsidRPr="00794F9E">
        <w:t xml:space="preserve"> falta de una investigación diligente y en un plazo razonable sobre la desaparición forzada</w:t>
      </w:r>
      <w:r>
        <w:t xml:space="preserve"> y tortura</w:t>
      </w:r>
      <w:r w:rsidRPr="00794F9E">
        <w:t xml:space="preserve"> de Santiago Antezana Cueto y el derecho a conocer la verdad, </w:t>
      </w:r>
      <w:r w:rsidRPr="00BC2EDE">
        <w:t xml:space="preserve">así </w:t>
      </w:r>
      <w:r w:rsidR="00BC2EDE" w:rsidRPr="00BC2EDE">
        <w:t xml:space="preserve">como </w:t>
      </w:r>
      <w:r w:rsidRPr="00BC2EDE">
        <w:t xml:space="preserve">de las obligaciones derivadas de los artículos 1, 6 y 8 de la CIPST y del </w:t>
      </w:r>
      <w:r w:rsidRPr="00794F9E">
        <w:t>artículo I.b) de la CIDFP, esta Corte estima pertinente fijar, en</w:t>
      </w:r>
      <w:r>
        <w:t xml:space="preserve"> equidad, la suma de US$50.000.00 (cincuenta mil</w:t>
      </w:r>
      <w:r w:rsidRPr="00794F9E">
        <w:t xml:space="preserve"> dólares de los Estados Unidos de América, por concepto de daño inmaterial, a favor de </w:t>
      </w:r>
      <w:r w:rsidRPr="00794F9E">
        <w:rPr>
          <w:szCs w:val="20"/>
        </w:rPr>
        <w:t>Rosa Carcausto Paco</w:t>
      </w:r>
      <w:r>
        <w:t>; la cantidad de US$25.000.00 (veinticinco mil</w:t>
      </w:r>
      <w:r w:rsidRPr="00794F9E">
        <w:t xml:space="preserve"> dólares de los Estados Unidos de América, por concepto de daño inmaterial, a favor de </w:t>
      </w:r>
      <w:r w:rsidRPr="00794F9E">
        <w:rPr>
          <w:szCs w:val="20"/>
        </w:rPr>
        <w:t xml:space="preserve">Ermilio Antezana Cueto y </w:t>
      </w:r>
      <w:r>
        <w:t>la cantidad de US$10.000.00 (diez mil</w:t>
      </w:r>
      <w:r w:rsidRPr="00794F9E">
        <w:t xml:space="preserve"> dólares de los Estados Unidos de América</w:t>
      </w:r>
      <w:r>
        <w:t>)</w:t>
      </w:r>
      <w:r w:rsidRPr="00794F9E">
        <w:t xml:space="preserve">, por concepto de daño inmaterial, a favor </w:t>
      </w:r>
      <w:r w:rsidRPr="00794F9E">
        <w:rPr>
          <w:szCs w:val="20"/>
        </w:rPr>
        <w:t xml:space="preserve">Ofelia Antezana Torre. Dadas las violaciones declaradas en esta jurisdicción, para efectos de la determinación de la indemnización, la Corte considera que no son procedentes las alegaciones del Estado en cuanto a que debe tomar en cuenta la </w:t>
      </w:r>
      <w:r w:rsidRPr="00794F9E">
        <w:t xml:space="preserve">reparación civil fijada en la sentencia de la Sala Penal Nacional de 12 de septiembre de 2013, la cual </w:t>
      </w:r>
      <w:r>
        <w:t xml:space="preserve">se encuentra </w:t>
      </w:r>
      <w:r w:rsidRPr="00794F9E">
        <w:t>pendiente de ejecución, en tanto que dicha reparación es de carácter civil que corresponde a la responsabilidad personal de la persona condenada y no tiene vinculación con responsabilidad internacional del Estado determinada en la presente Sentencia.</w:t>
      </w:r>
    </w:p>
    <w:p w:rsidR="007C5FE5" w:rsidRPr="00794F9E" w:rsidRDefault="007C5FE5" w:rsidP="007C5FE5">
      <w:pPr>
        <w:pStyle w:val="ListParagraph"/>
        <w:widowControl w:val="0"/>
        <w:tabs>
          <w:tab w:val="left" w:pos="0"/>
        </w:tabs>
        <w:adjustRightInd w:val="0"/>
        <w:ind w:left="0"/>
        <w:rPr>
          <w:i/>
        </w:rPr>
      </w:pPr>
    </w:p>
    <w:p w:rsidR="007C5FE5" w:rsidRPr="00D77E6D" w:rsidRDefault="007C5FE5" w:rsidP="007C5FE5">
      <w:pPr>
        <w:pStyle w:val="ListParagraph"/>
        <w:widowControl w:val="0"/>
        <w:numPr>
          <w:ilvl w:val="0"/>
          <w:numId w:val="1"/>
        </w:numPr>
        <w:tabs>
          <w:tab w:val="left" w:pos="0"/>
        </w:tabs>
        <w:adjustRightInd w:val="0"/>
        <w:ind w:left="0" w:firstLine="0"/>
        <w:rPr>
          <w:i/>
          <w:sz w:val="18"/>
          <w:szCs w:val="18"/>
        </w:rPr>
      </w:pPr>
      <w:r>
        <w:t>Con respect</w:t>
      </w:r>
      <w:r w:rsidRPr="00794667">
        <w:t xml:space="preserve">o a Teresa Díaz Aparicio, la Corte determinó que fue objeto de una desaparición forzada, lo cual constituye violaciones de los derechos al reconocimiento de la personalidad jurídica, a la vida, a la integridad y libertad personal, a las garantías judiciales y protección judicial </w:t>
      </w:r>
      <w:r w:rsidRPr="00794667">
        <w:rPr>
          <w:rFonts w:cs="Verdana"/>
          <w:lang w:val="es-ES" w:eastAsia="es-MX"/>
        </w:rPr>
        <w:t>establecidas</w:t>
      </w:r>
      <w:r w:rsidRPr="00794667">
        <w:t xml:space="preserve"> en los artículos 3, 4.1, 5.1, 7, 8.1 y 25.1 en relación al artículo 1.1 de la Convención Americana, así como las obligaciones contenidas en el artículo I.a) de la Convención Interamericana sobre Desaparición Forzada de Personas</w:t>
      </w:r>
      <w:r w:rsidR="0091731C">
        <w:t>, en su perjuicio</w:t>
      </w:r>
      <w:r w:rsidRPr="00794667">
        <w:t xml:space="preserve">. </w:t>
      </w:r>
      <w:r>
        <w:t xml:space="preserve">Además, la Corte determinó la violación de los derechos a </w:t>
      </w:r>
      <w:r w:rsidR="00661D24">
        <w:t xml:space="preserve">la integridad personal, </w:t>
      </w:r>
      <w:r>
        <w:t>las garantías judiciales y protección judicial establecido</w:t>
      </w:r>
      <w:r w:rsidRPr="008146AF">
        <w:t xml:space="preserve">s en los artículos </w:t>
      </w:r>
      <w:r w:rsidR="0091731C">
        <w:t xml:space="preserve">5.1, </w:t>
      </w:r>
      <w:r w:rsidRPr="008146AF">
        <w:t xml:space="preserve">8.1 y 25.1 de la Convención Americana, </w:t>
      </w:r>
      <w:r w:rsidR="00661D24">
        <w:t xml:space="preserve">por la afectación a la integridad personal, </w:t>
      </w:r>
      <w:r w:rsidRPr="008146AF">
        <w:t>por falta de una investigación diligente y en un plazo razonable</w:t>
      </w:r>
      <w:r w:rsidRPr="009705F0">
        <w:t>, así como de las obligaciones derivadas del artículo I.b) de la CIDFP,</w:t>
      </w:r>
      <w:r w:rsidRPr="008146AF">
        <w:t xml:space="preserve"> </w:t>
      </w:r>
      <w:r>
        <w:t xml:space="preserve">en su perjuicio de sus familiares, quienes ya fallecieron. Del expediente no se desprende que exista algún otro familiar o beneficiario de alguna indemnización, y teniendo en cuenta la información de los representantes de que todos sus familiares se encuentran fallecidos y a su solicitud al respecto, la Corte no procederá a </w:t>
      </w:r>
      <w:r>
        <w:lastRenderedPageBreak/>
        <w:t xml:space="preserve">ordenar indemnizaciones por daños materiales e inmateriales en este caso. </w:t>
      </w:r>
    </w:p>
    <w:p w:rsidR="00DF0029" w:rsidRDefault="00DF0029" w:rsidP="007C5FE5">
      <w:pPr>
        <w:pStyle w:val="ListParagraph"/>
        <w:widowControl w:val="0"/>
        <w:tabs>
          <w:tab w:val="left" w:pos="0"/>
          <w:tab w:val="left" w:pos="709"/>
        </w:tabs>
        <w:adjustRightInd w:val="0"/>
        <w:ind w:left="0"/>
      </w:pPr>
    </w:p>
    <w:p w:rsidR="007C5FE5" w:rsidRPr="002A5EDD" w:rsidRDefault="007C5FE5" w:rsidP="007C5FE5">
      <w:pPr>
        <w:pStyle w:val="Heading2"/>
        <w:keepNext w:val="0"/>
        <w:keepLines w:val="0"/>
        <w:spacing w:before="0"/>
        <w:ind w:right="-144" w:firstLine="720"/>
        <w:rPr>
          <w:spacing w:val="-2"/>
          <w:szCs w:val="20"/>
          <w:lang w:val="es-CR"/>
        </w:rPr>
      </w:pPr>
      <w:bookmarkStart w:id="267" w:name="_Toc527993575"/>
      <w:r>
        <w:rPr>
          <w:spacing w:val="-2"/>
          <w:szCs w:val="20"/>
          <w:lang w:bidi="en-US"/>
        </w:rPr>
        <w:t xml:space="preserve">H. </w:t>
      </w:r>
      <w:r w:rsidRPr="00B74DFB">
        <w:rPr>
          <w:spacing w:val="-2"/>
          <w:szCs w:val="20"/>
          <w:lang w:bidi="en-US"/>
        </w:rPr>
        <w:t>Costas</w:t>
      </w:r>
      <w:r w:rsidRPr="002A5EDD">
        <w:rPr>
          <w:spacing w:val="-2"/>
          <w:szCs w:val="20"/>
          <w:lang w:val="es-CR"/>
        </w:rPr>
        <w:t xml:space="preserve"> y Gastos</w:t>
      </w:r>
      <w:bookmarkEnd w:id="267"/>
    </w:p>
    <w:p w:rsidR="007C5FE5" w:rsidRDefault="007C5FE5" w:rsidP="007C5FE5"/>
    <w:p w:rsidR="007C5FE5" w:rsidRDefault="007C5FE5" w:rsidP="007C5FE5">
      <w:pPr>
        <w:pStyle w:val="ListParagraph"/>
        <w:widowControl w:val="0"/>
        <w:numPr>
          <w:ilvl w:val="0"/>
          <w:numId w:val="1"/>
        </w:numPr>
        <w:tabs>
          <w:tab w:val="left" w:pos="0"/>
        </w:tabs>
        <w:adjustRightInd w:val="0"/>
        <w:ind w:left="0" w:firstLine="0"/>
      </w:pPr>
      <w:r w:rsidRPr="008A0258">
        <w:t xml:space="preserve">Los </w:t>
      </w:r>
      <w:r w:rsidRPr="008A0258">
        <w:rPr>
          <w:b/>
        </w:rPr>
        <w:t>representantes</w:t>
      </w:r>
      <w:r w:rsidRPr="008A0258">
        <w:t xml:space="preserve"> indicaron, con respecto a los procesos de Wilfredo Terrones</w:t>
      </w:r>
      <w:r w:rsidR="00BB3030">
        <w:t xml:space="preserve"> Silva</w:t>
      </w:r>
      <w:r w:rsidRPr="008A0258">
        <w:t>, Teresa Aparicio Díaz y Néstor Rojas Medina, que APRODEH “no ha cobrado honorarios legales a la familia”, pero que “en la fase inicial de las investigaciones, la familia contrató los servicios de abogados, de lo cual no han conservado los recibos de los gastos incurridos”, por lo que solicitaron que se calculara en equidad el monto correspondiente.</w:t>
      </w:r>
      <w:r>
        <w:t xml:space="preserve"> Señalaron que </w:t>
      </w:r>
      <w:r w:rsidRPr="00A309FA">
        <w:t>“los familiares concurrieron a diversas diligencias sin la asesoría de un abogado, en las posteriores investigaciones y hasta la fecha, los familiares de las mencionadas víctimas han contado con el apoyo legal de APRODEH, sin embargo, han tenido que costear una serie de gastos, propios de los procesos a nive</w:t>
      </w:r>
      <w:r>
        <w:t>l nacional como internacional”.</w:t>
      </w:r>
      <w:r w:rsidRPr="008A0258">
        <w:t xml:space="preserve"> En sus alegatos finales, precisaron que solicitan que se calcule en equidad una cantidad “por concepto de los gastos </w:t>
      </w:r>
      <w:r w:rsidRPr="00257982">
        <w:rPr>
          <w:rFonts w:cs="Verdana"/>
          <w:lang w:val="es-ES" w:eastAsia="es-MX"/>
        </w:rPr>
        <w:t>incurridos</w:t>
      </w:r>
      <w:r w:rsidRPr="008A0258">
        <w:t xml:space="preserve"> por APRODEH”. </w:t>
      </w:r>
      <w:r>
        <w:t xml:space="preserve">Indicaron que Rosa Carcausto Paco </w:t>
      </w:r>
      <w:r w:rsidRPr="008A0258">
        <w:t xml:space="preserve">“al igual </w:t>
      </w:r>
      <w:r>
        <w:t xml:space="preserve">[que] </w:t>
      </w:r>
      <w:r w:rsidRPr="008A0258">
        <w:t xml:space="preserve">Ofelia Antezana Torre y Ermilio Antezana Cueto, durante estos </w:t>
      </w:r>
      <w:r w:rsidR="00661D24">
        <w:t>“</w:t>
      </w:r>
      <w:r w:rsidRPr="008A0258">
        <w:t>33</w:t>
      </w:r>
      <w:r w:rsidR="00661D24">
        <w:t>”</w:t>
      </w:r>
      <w:r w:rsidRPr="008A0258">
        <w:t xml:space="preserve"> años ha</w:t>
      </w:r>
      <w:r>
        <w:t>n</w:t>
      </w:r>
      <w:r w:rsidRPr="008A0258">
        <w:t xml:space="preserve"> tenido que incurrir en diversos gastos por el impulso de las investigaciones y posteriores procesos penales que se iniciaron a propósito de la desapar</w:t>
      </w:r>
      <w:r>
        <w:t>ición de su familiar”. Señalaron</w:t>
      </w:r>
      <w:r w:rsidRPr="008A0258">
        <w:t xml:space="preserve"> que no tenían recibos tampoco de ello, </w:t>
      </w:r>
      <w:r>
        <w:t>por lo que solicitaron en equidad “la suma de USD$5,</w:t>
      </w:r>
      <w:r w:rsidRPr="008A0258">
        <w:t>000</w:t>
      </w:r>
      <w:r>
        <w:t>.00</w:t>
      </w:r>
      <w:r w:rsidRPr="008A0258">
        <w:t xml:space="preserve"> (cinco mil dólares de los Estados Unidos de América) a favor de Rosa Carcausto Paco y US</w:t>
      </w:r>
      <w:r>
        <w:t>D$2,</w:t>
      </w:r>
      <w:r w:rsidRPr="008A0258">
        <w:t>000</w:t>
      </w:r>
      <w:r>
        <w:t>.00</w:t>
      </w:r>
      <w:r w:rsidRPr="008A0258">
        <w:t xml:space="preserve"> (dos mil dólares de los Estados Unidos de América) a favor de Ermilio Antezana Cueto y Ofelia Antezana Torre”. También hicieron notar que, con posterioridad a 2004, COMISEDH apoyó a la familia Antezana y que no ha cobrado ningún tipo de honorarios, pero indicaron que “ha incurrido en diversos gastos propios de los procesos judiciales como la contratación de abogados, gastos de transporte, pasajes y viáticos de los abogados a la ciudad de Ayacucho, entre otros gastos administrativos (teléfono, impresión, fotocopiado, en</w:t>
      </w:r>
      <w:r>
        <w:t>tre otros). Por ello, solicitaron a la</w:t>
      </w:r>
      <w:r w:rsidRPr="008A0258">
        <w:t xml:space="preserve"> Corte </w:t>
      </w:r>
      <w:r>
        <w:t xml:space="preserve">que </w:t>
      </w:r>
      <w:r w:rsidRPr="008A0258">
        <w:t>fije</w:t>
      </w:r>
      <w:r>
        <w:t>,</w:t>
      </w:r>
      <w:r w:rsidRPr="008A0258">
        <w:t xml:space="preserve"> en equidad</w:t>
      </w:r>
      <w:r>
        <w:t>,</w:t>
      </w:r>
      <w:r w:rsidRPr="008A0258">
        <w:t xml:space="preserve"> la suma de US</w:t>
      </w:r>
      <w:r>
        <w:t>D$</w:t>
      </w:r>
      <w:r w:rsidRPr="008A0258">
        <w:t>15,000</w:t>
      </w:r>
      <w:r>
        <w:t>.00</w:t>
      </w:r>
      <w:r w:rsidRPr="008A0258">
        <w:t xml:space="preserve"> (quince mil dólares de los Estados Unidos de América) a favor de los representantes de la</w:t>
      </w:r>
      <w:r>
        <w:t>[s]</w:t>
      </w:r>
      <w:r w:rsidRPr="008A0258">
        <w:t xml:space="preserve"> víctima</w:t>
      </w:r>
      <w:r>
        <w:t>[s]</w:t>
      </w:r>
      <w:r w:rsidRPr="008A0258">
        <w:t xml:space="preserve">”. </w:t>
      </w:r>
    </w:p>
    <w:p w:rsidR="008C5DE3" w:rsidRPr="00846003" w:rsidRDefault="008C5DE3" w:rsidP="008C5DE3">
      <w:pPr>
        <w:pStyle w:val="ListParagraph"/>
        <w:widowControl w:val="0"/>
        <w:tabs>
          <w:tab w:val="left" w:pos="0"/>
        </w:tabs>
        <w:adjustRightInd w:val="0"/>
        <w:ind w:left="0"/>
      </w:pPr>
    </w:p>
    <w:p w:rsidR="007C5FE5" w:rsidRPr="00846003" w:rsidRDefault="007C5FE5" w:rsidP="007C5FE5">
      <w:pPr>
        <w:pStyle w:val="ListParagraph"/>
        <w:widowControl w:val="0"/>
        <w:numPr>
          <w:ilvl w:val="0"/>
          <w:numId w:val="1"/>
        </w:numPr>
        <w:tabs>
          <w:tab w:val="left" w:pos="0"/>
        </w:tabs>
        <w:adjustRightInd w:val="0"/>
        <w:ind w:left="0" w:firstLine="0"/>
      </w:pPr>
      <w:r>
        <w:t xml:space="preserve">El </w:t>
      </w:r>
      <w:r>
        <w:rPr>
          <w:b/>
        </w:rPr>
        <w:t>Estado</w:t>
      </w:r>
      <w:r>
        <w:t xml:space="preserve"> consideró “inaceptable que se alegue dicha pretensión […] sin cumplir con presentar los recibos y demás documentos” que sustentan la misma, y reiteró que “sólo procede el pago de costas y gastos si existen recibos, pasajes o demás documentos que comprueben que el desembolso se realizó con ocasión al presente proceso”. Indicó además que, con </w:t>
      </w:r>
      <w:r w:rsidRPr="00257982">
        <w:rPr>
          <w:rFonts w:cs="Verdana"/>
          <w:lang w:val="es-ES" w:eastAsia="es-MX"/>
        </w:rPr>
        <w:t>relación</w:t>
      </w:r>
      <w:r>
        <w:t xml:space="preserve"> al caso de Cory Clodolia Tenicela Tello, “no se ha solicitado ningún pago de costas y gastos” por lo que “debe entenderse que está renunciando al referido pago”.</w:t>
      </w:r>
    </w:p>
    <w:p w:rsidR="007C5FE5" w:rsidRDefault="007C5FE5" w:rsidP="007C5FE5">
      <w:pPr>
        <w:pStyle w:val="Estilo1"/>
        <w:tabs>
          <w:tab w:val="left" w:pos="709"/>
        </w:tabs>
        <w:spacing w:after="0"/>
        <w:ind w:left="0" w:right="0" w:firstLine="0"/>
      </w:pPr>
    </w:p>
    <w:p w:rsidR="007C5FE5" w:rsidRDefault="007C5FE5" w:rsidP="007C5FE5">
      <w:pPr>
        <w:pStyle w:val="ListParagraph"/>
        <w:widowControl w:val="0"/>
        <w:numPr>
          <w:ilvl w:val="0"/>
          <w:numId w:val="1"/>
        </w:numPr>
        <w:tabs>
          <w:tab w:val="left" w:pos="0"/>
        </w:tabs>
        <w:adjustRightInd w:val="0"/>
        <w:ind w:left="0" w:firstLine="0"/>
        <w:rPr>
          <w:i/>
          <w:lang w:val="es-ES"/>
        </w:rPr>
      </w:pPr>
      <w:r w:rsidRPr="007D65E7">
        <w:rPr>
          <w:lang w:val="es-ES"/>
        </w:rPr>
        <w:t xml:space="preserve">La </w:t>
      </w:r>
      <w:r w:rsidRPr="00257982">
        <w:rPr>
          <w:rFonts w:cs="Verdana"/>
          <w:lang w:val="es-ES" w:eastAsia="es-MX"/>
        </w:rPr>
        <w:t>Corte</w:t>
      </w:r>
      <w:r w:rsidRPr="007D65E7">
        <w:rPr>
          <w:lang w:val="es-ES"/>
        </w:rPr>
        <w:t xml:space="preserve"> reitera que, conforme a su jurisprudencia</w:t>
      </w:r>
      <w:r w:rsidRPr="007D65E7">
        <w:rPr>
          <w:vertAlign w:val="superscript"/>
          <w:lang w:val="es-ES"/>
        </w:rPr>
        <w:footnoteReference w:id="333"/>
      </w:r>
      <w:r w:rsidRPr="007D65E7">
        <w:rPr>
          <w:lang w:val="es-ES"/>
        </w:rPr>
        <w:t xml:space="preserve">, las costas y gastos hacen parte del </w:t>
      </w:r>
      <w:r w:rsidRPr="00EF6A20">
        <w:t>concepto</w:t>
      </w:r>
      <w:r w:rsidRPr="007D65E7">
        <w:rPr>
          <w:lang w:val="es-ES"/>
        </w:rPr>
        <w:t xml:space="preserve"> de reparación, toda vez que la actividad desplegada por las víctimas con el fin de obtener justicia, tanto a nivel nacional como internacional, implica erogaciones que deben ser compensadas cuando la </w:t>
      </w:r>
      <w:r w:rsidRPr="007D65E7">
        <w:t>responsabilidad</w:t>
      </w:r>
      <w:r w:rsidRPr="007D65E7">
        <w:rPr>
          <w:lang w:val="es-ES"/>
        </w:rPr>
        <w:t xml:space="preserve"> internacional del Estado es declarada mediante una sentencia condenatoria. </w:t>
      </w:r>
      <w:r w:rsidRPr="007D65E7">
        <w:rPr>
          <w:rFonts w:cs="Verdana"/>
          <w:lang w:val="es-ES"/>
        </w:rPr>
        <w:t xml:space="preserve">En cuanto al reembolso de las costas y gastos, corresponde al Tribunal apreciar </w:t>
      </w:r>
      <w:r w:rsidRPr="007D65E7">
        <w:rPr>
          <w:lang w:val="es-ES"/>
        </w:rPr>
        <w:t>prudentemente</w:t>
      </w:r>
      <w:r w:rsidRPr="007D65E7">
        <w:rPr>
          <w:rFonts w:cs="Verdana"/>
          <w:lang w:val="es-ES"/>
        </w:rPr>
        <w:t xml:space="preserve"> su alcance, el cual comprende los gastos generados ante las autoridades de la jurisdicción interna, así como los generados en el curso del proceso ante el Sistema Interamericano, teniendo en cuenta las circunstancias del caso concreto y la naturaleza de la jurisdicción internacional de protección de los derechos humanos. Esta apreciación puede ser realizada con base en el principio de equidad y tomando en cuenta los gastos señalados por las partes, siempre que su </w:t>
      </w:r>
      <w:r w:rsidRPr="007D65E7">
        <w:rPr>
          <w:rFonts w:cs="Verdana"/>
          <w:iCs/>
          <w:lang w:val="es-ES"/>
        </w:rPr>
        <w:t xml:space="preserve">quantum </w:t>
      </w:r>
      <w:r w:rsidRPr="007D65E7">
        <w:rPr>
          <w:rFonts w:cs="Verdana"/>
          <w:lang w:val="es-ES"/>
        </w:rPr>
        <w:t>sea razonable</w:t>
      </w:r>
      <w:r w:rsidRPr="007D65E7">
        <w:rPr>
          <w:vertAlign w:val="superscript"/>
          <w:lang w:val="es-ES"/>
        </w:rPr>
        <w:footnoteReference w:id="334"/>
      </w:r>
      <w:r w:rsidRPr="007D65E7">
        <w:rPr>
          <w:lang w:val="es-ES"/>
        </w:rPr>
        <w:t>.</w:t>
      </w:r>
    </w:p>
    <w:p w:rsidR="007C5FE5" w:rsidRPr="007D65E7" w:rsidRDefault="007C5FE5" w:rsidP="007C5FE5">
      <w:pPr>
        <w:pStyle w:val="Estilo1"/>
        <w:tabs>
          <w:tab w:val="left" w:pos="709"/>
        </w:tabs>
        <w:spacing w:after="0"/>
        <w:ind w:left="0" w:right="0" w:firstLine="0"/>
        <w:rPr>
          <w:i w:val="0"/>
          <w:lang w:val="es-ES"/>
        </w:rPr>
      </w:pPr>
    </w:p>
    <w:p w:rsidR="007C5FE5" w:rsidRPr="00D77E6D" w:rsidRDefault="007C5FE5" w:rsidP="007C5FE5">
      <w:pPr>
        <w:pStyle w:val="ListParagraph"/>
        <w:widowControl w:val="0"/>
        <w:numPr>
          <w:ilvl w:val="0"/>
          <w:numId w:val="1"/>
        </w:numPr>
        <w:tabs>
          <w:tab w:val="left" w:pos="0"/>
        </w:tabs>
        <w:adjustRightInd w:val="0"/>
        <w:ind w:left="0" w:firstLine="0"/>
        <w:rPr>
          <w:rFonts w:eastAsia="MS Mincho"/>
          <w:i/>
          <w:szCs w:val="20"/>
          <w:lang w:val="es-ES"/>
        </w:rPr>
      </w:pPr>
      <w:r>
        <w:rPr>
          <w:lang w:val="es-ES"/>
        </w:rPr>
        <w:t>Este</w:t>
      </w:r>
      <w:r w:rsidRPr="007D65E7">
        <w:rPr>
          <w:lang w:val="es-ES"/>
        </w:rPr>
        <w:t xml:space="preserve"> Tribunal ha señalado que “las pretensiones de las víctimas o sus representantes </w:t>
      </w:r>
      <w:r w:rsidRPr="007D65E7">
        <w:rPr>
          <w:lang w:val="es-ES"/>
        </w:rPr>
        <w:lastRenderedPageBreak/>
        <w:t xml:space="preserve">en materia de costas y gastos, y las pruebas que las sustentan, </w:t>
      </w:r>
      <w:r w:rsidRPr="007D65E7">
        <w:t>deben</w:t>
      </w:r>
      <w:r w:rsidRPr="007D65E7">
        <w:rPr>
          <w:lang w:val="es-ES"/>
        </w:rPr>
        <w:t xml:space="preserve"> presentarse a la Corte en el primer momento procesal que se les concede, esto es, en el escrito de solicitudes y argumentos, </w:t>
      </w:r>
      <w:r w:rsidRPr="00257982">
        <w:rPr>
          <w:rFonts w:cs="Verdana"/>
          <w:lang w:val="es-ES" w:eastAsia="es-MX"/>
        </w:rPr>
        <w:t>sin</w:t>
      </w:r>
      <w:r w:rsidRPr="007D65E7">
        <w:rPr>
          <w:lang w:val="es-ES"/>
        </w:rPr>
        <w:t xml:space="preserve"> perjuicio de que tales pretensiones se actualicen en un momento posterior, conforme a las nuevas costas y gastos en que se haya incurrido con ocasión del procedimiento ante esta Corte”</w:t>
      </w:r>
      <w:r w:rsidRPr="007D65E7">
        <w:rPr>
          <w:vertAlign w:val="superscript"/>
          <w:lang w:val="es-ES"/>
        </w:rPr>
        <w:footnoteReference w:id="335"/>
      </w:r>
      <w:r w:rsidRPr="007D65E7">
        <w:rPr>
          <w:lang w:val="es-ES"/>
        </w:rPr>
        <w:t>. Asimismo, la Corte reitera que no es suficiente la remisión de documentos probatorios, sino que se requiere que las partes hagan una argumentación que relacione la prueba con el hecho que se considera representado, y que, al tratarse de alegados desembolsos económicos, se establezcan con claridad los rubros y la justificación de los mismos</w:t>
      </w:r>
      <w:r w:rsidRPr="007D65E7">
        <w:rPr>
          <w:vertAlign w:val="superscript"/>
          <w:lang w:val="es-ES"/>
        </w:rPr>
        <w:footnoteReference w:id="336"/>
      </w:r>
      <w:r w:rsidRPr="007D65E7">
        <w:rPr>
          <w:lang w:val="es-ES"/>
        </w:rPr>
        <w:t>.</w:t>
      </w:r>
    </w:p>
    <w:p w:rsidR="007C5FE5" w:rsidRPr="007D65E7" w:rsidRDefault="007C5FE5" w:rsidP="007C5FE5">
      <w:pPr>
        <w:rPr>
          <w:rFonts w:eastAsia="MS Mincho"/>
          <w:i/>
          <w:szCs w:val="20"/>
          <w:lang w:val="es-ES"/>
        </w:rPr>
      </w:pPr>
    </w:p>
    <w:p w:rsidR="007C5FE5" w:rsidRPr="005070BD" w:rsidRDefault="007C5FE5" w:rsidP="007C5FE5">
      <w:pPr>
        <w:pStyle w:val="ListParagraph"/>
        <w:widowControl w:val="0"/>
        <w:numPr>
          <w:ilvl w:val="0"/>
          <w:numId w:val="1"/>
        </w:numPr>
        <w:tabs>
          <w:tab w:val="left" w:pos="0"/>
        </w:tabs>
        <w:adjustRightInd w:val="0"/>
        <w:ind w:left="0" w:firstLine="0"/>
        <w:rPr>
          <w:rFonts w:eastAsia="MS Mincho"/>
          <w:i/>
          <w:szCs w:val="20"/>
          <w:lang w:val="es-ES"/>
        </w:rPr>
      </w:pPr>
      <w:r>
        <w:rPr>
          <w:lang w:val="es-ES"/>
        </w:rPr>
        <w:t xml:space="preserve">En el presente caso, los representantes no presentaron soporte probatorio alguno sobre las erogaciones que han tenido incurrir en las etapas de los respectivos procesos. Los representantes tan solo hicieron alusión genérica a los motivos por los cuales solicitan el reintegro de costas y gastos en los que los familiares y representantes de </w:t>
      </w:r>
      <w:r w:rsidRPr="008A0258">
        <w:t>Wilfredo Terrones</w:t>
      </w:r>
      <w:r>
        <w:t xml:space="preserve"> Silva</w:t>
      </w:r>
      <w:r w:rsidRPr="008A0258">
        <w:t xml:space="preserve">, Teresa Aparicio </w:t>
      </w:r>
      <w:r>
        <w:t xml:space="preserve">Díaz, </w:t>
      </w:r>
      <w:r w:rsidRPr="008A0258">
        <w:t>Néstor Rojas Medina</w:t>
      </w:r>
      <w:r>
        <w:t xml:space="preserve"> y Santiago Antezana Cueto han incurrido.</w:t>
      </w:r>
      <w:r>
        <w:rPr>
          <w:lang w:val="es-ES"/>
        </w:rPr>
        <w:t xml:space="preserve"> Además, la Corte nota que los representantes no solicitaron el reintegro de costas y gastos con respecto a aquellos incurridos en el caso de Cory Clodolia Tenicela Tello.</w:t>
      </w:r>
    </w:p>
    <w:p w:rsidR="007C5FE5" w:rsidRPr="00D77E6D" w:rsidRDefault="007C5FE5" w:rsidP="007C5FE5">
      <w:pPr>
        <w:rPr>
          <w:rFonts w:eastAsia="MS Mincho"/>
          <w:i/>
          <w:szCs w:val="20"/>
          <w:lang w:val="es-ES"/>
        </w:rPr>
      </w:pPr>
    </w:p>
    <w:p w:rsidR="007C5FE5" w:rsidRPr="00B60DEC" w:rsidRDefault="007C5FE5" w:rsidP="00B60DEC">
      <w:pPr>
        <w:pStyle w:val="ListParagraph"/>
        <w:widowControl w:val="0"/>
        <w:numPr>
          <w:ilvl w:val="0"/>
          <w:numId w:val="1"/>
        </w:numPr>
        <w:tabs>
          <w:tab w:val="left" w:pos="0"/>
        </w:tabs>
        <w:adjustRightInd w:val="0"/>
        <w:ind w:left="0" w:firstLine="0"/>
        <w:rPr>
          <w:i/>
          <w:lang w:val="es-ES"/>
        </w:rPr>
      </w:pPr>
      <w:r w:rsidRPr="00E04348">
        <w:rPr>
          <w:lang w:val="es-ES"/>
        </w:rPr>
        <w:t xml:space="preserve">La Corte considera que es de presumir que las </w:t>
      </w:r>
      <w:r w:rsidRPr="00BC2EDE">
        <w:rPr>
          <w:lang w:val="es-ES"/>
        </w:rPr>
        <w:t>organizaciones</w:t>
      </w:r>
      <w:r w:rsidR="00551DCC" w:rsidRPr="00BC2EDE">
        <w:rPr>
          <w:lang w:val="es-ES"/>
        </w:rPr>
        <w:t xml:space="preserve"> APRODEH y COMISEDH</w:t>
      </w:r>
      <w:r w:rsidR="00BB3030" w:rsidRPr="00BC2EDE">
        <w:rPr>
          <w:lang w:val="es-ES"/>
        </w:rPr>
        <w:t xml:space="preserve"> </w:t>
      </w:r>
      <w:r w:rsidRPr="00BC2EDE">
        <w:rPr>
          <w:lang w:val="es-ES"/>
        </w:rPr>
        <w:t xml:space="preserve">incurrieron en gastos para llevar los trámites de representación de </w:t>
      </w:r>
      <w:r w:rsidR="00551DCC" w:rsidRPr="00BC2EDE">
        <w:rPr>
          <w:lang w:val="es-ES"/>
        </w:rPr>
        <w:t>Wilfredo Terrones Silva, Teresa Díaz Aparicio, Néstor Díaz Rojas, y Santiago Antezana Cueto</w:t>
      </w:r>
      <w:r w:rsidRPr="00BC2EDE">
        <w:rPr>
          <w:lang w:val="es-ES"/>
        </w:rPr>
        <w:t xml:space="preserve"> ante la jurisdicción peruana y ante la Comisión Interamericana de Derechos Humanos.</w:t>
      </w:r>
      <w:r w:rsidR="00551DCC" w:rsidRPr="00BC2EDE">
        <w:rPr>
          <w:lang w:val="es-ES"/>
        </w:rPr>
        <w:t xml:space="preserve"> Similarmente, aunque en la etapa procesal oportuna IDL no requirió reintegro de costas y gastos, la Co</w:t>
      </w:r>
      <w:r w:rsidR="003471EE" w:rsidRPr="00BC2EDE">
        <w:rPr>
          <w:lang w:val="es-ES"/>
        </w:rPr>
        <w:t xml:space="preserve">rte igualmente considera razonable presumir que incurrió en gastos para la representación de Cory Clodolia Tenicela Tello. </w:t>
      </w:r>
      <w:r w:rsidRPr="00E04348">
        <w:rPr>
          <w:lang w:val="es-ES"/>
        </w:rPr>
        <w:t>La Corte considera preciso indicar que dicho monto no incluye los gastos incurridos en el proceso ante esta Corte que fueron cubiertos por el Fondo de Asistencia Legal de Víctimas. La Corte decide fijar, en equidad, la cantidad de US$ 40.000.00 (cuarenta mil dólares de los Estados Unidos de América), a favor de APRODEH, la cantidad de US$25.000.00 (veinticinco mil dólares de los Estados Unidos d</w:t>
      </w:r>
      <w:r w:rsidR="00BB3030">
        <w:rPr>
          <w:lang w:val="es-ES"/>
        </w:rPr>
        <w:t>e América) a favor de COMISEDH,</w:t>
      </w:r>
      <w:r w:rsidRPr="00E04348">
        <w:rPr>
          <w:lang w:val="es-ES"/>
        </w:rPr>
        <w:t xml:space="preserve"> y la cantidad de US$25.000.00 (veinticinco mil dólares de los Estados Unidos de América) a favor de IDL, por concepto de reintegro de costas y gastos por las labores realizadas en el litigio del caso a nivel interno e internacional.</w:t>
      </w:r>
      <w:r w:rsidR="00E04348">
        <w:rPr>
          <w:lang w:val="es-ES"/>
        </w:rPr>
        <w:t xml:space="preserve"> </w:t>
      </w:r>
      <w:r w:rsidRPr="00E04348">
        <w:rPr>
          <w:lang w:val="es-ES"/>
        </w:rPr>
        <w:t xml:space="preserve">La </w:t>
      </w:r>
      <w:r w:rsidRPr="00E04348">
        <w:rPr>
          <w:rFonts w:cs="Verdana"/>
          <w:lang w:val="es-ES"/>
        </w:rPr>
        <w:t>cantidad fijada deberá ser entregada directamente a las organizaciones representantes.</w:t>
      </w:r>
      <w:r w:rsidRPr="00E04348">
        <w:rPr>
          <w:lang w:val="es-ES"/>
        </w:rPr>
        <w:t xml:space="preserve"> Los alegados gastos en los que habrían incurrido los familiares de las víctimas ya fueron valorados bajo el concepto de daño material. </w:t>
      </w:r>
    </w:p>
    <w:p w:rsidR="00B60DEC" w:rsidRPr="00E04348" w:rsidRDefault="00B60DEC" w:rsidP="00B60DEC">
      <w:pPr>
        <w:pStyle w:val="ListParagraph"/>
        <w:widowControl w:val="0"/>
        <w:tabs>
          <w:tab w:val="left" w:pos="0"/>
        </w:tabs>
        <w:adjustRightInd w:val="0"/>
        <w:ind w:left="0"/>
        <w:rPr>
          <w:i/>
          <w:lang w:val="es-ES"/>
        </w:rPr>
      </w:pPr>
    </w:p>
    <w:p w:rsidR="007C5FE5" w:rsidRPr="00846003" w:rsidRDefault="007C5FE5" w:rsidP="007C5FE5">
      <w:pPr>
        <w:pStyle w:val="ListParagraph"/>
        <w:widowControl w:val="0"/>
        <w:numPr>
          <w:ilvl w:val="0"/>
          <w:numId w:val="1"/>
        </w:numPr>
        <w:tabs>
          <w:tab w:val="left" w:pos="0"/>
        </w:tabs>
        <w:adjustRightInd w:val="0"/>
        <w:ind w:left="0" w:firstLine="0"/>
        <w:rPr>
          <w:i/>
          <w:lang w:val="es-ES"/>
        </w:rPr>
      </w:pPr>
      <w:r w:rsidRPr="007D65E7">
        <w:rPr>
          <w:rFonts w:cs="Verdana"/>
          <w:lang w:val="es-ES"/>
        </w:rPr>
        <w:t xml:space="preserve">La Corte considera que, en el procedimiento de supervisión del cumplimiento de la presente </w:t>
      </w:r>
      <w:r w:rsidRPr="00EF6A20">
        <w:rPr>
          <w:lang w:val="es-ES"/>
        </w:rPr>
        <w:t>Sentencia</w:t>
      </w:r>
      <w:r w:rsidRPr="007D65E7">
        <w:rPr>
          <w:rFonts w:cs="Verdana"/>
          <w:lang w:val="es-ES"/>
        </w:rPr>
        <w:t>, podrá disponer que el Estado reembolse a las víctimas o sus representantes los gastos razonables en que incurran en dicha etapa procesal.</w:t>
      </w:r>
    </w:p>
    <w:p w:rsidR="007C5FE5" w:rsidRPr="003171F0" w:rsidRDefault="007C5FE5" w:rsidP="007C5FE5">
      <w:pPr>
        <w:pStyle w:val="Estilo1"/>
        <w:tabs>
          <w:tab w:val="left" w:pos="709"/>
        </w:tabs>
        <w:spacing w:after="0"/>
        <w:ind w:left="0" w:right="-4" w:firstLine="0"/>
        <w:rPr>
          <w:i w:val="0"/>
          <w:lang w:val="es-ES"/>
        </w:rPr>
      </w:pPr>
    </w:p>
    <w:p w:rsidR="007C5FE5" w:rsidRDefault="007C5FE5" w:rsidP="007C5FE5">
      <w:pPr>
        <w:pStyle w:val="Heading2"/>
        <w:keepNext w:val="0"/>
        <w:keepLines w:val="0"/>
        <w:spacing w:before="0"/>
        <w:ind w:right="-144" w:firstLine="720"/>
        <w:rPr>
          <w:spacing w:val="-2"/>
          <w:szCs w:val="20"/>
          <w:lang w:val="es-CR"/>
        </w:rPr>
      </w:pPr>
      <w:bookmarkStart w:id="268" w:name="_Toc527993576"/>
      <w:r>
        <w:rPr>
          <w:spacing w:val="-2"/>
          <w:szCs w:val="20"/>
          <w:lang w:val="es-ES"/>
        </w:rPr>
        <w:t>I.</w:t>
      </w:r>
      <w:r>
        <w:rPr>
          <w:spacing w:val="-2"/>
          <w:szCs w:val="20"/>
          <w:lang w:val="es-CR"/>
        </w:rPr>
        <w:t xml:space="preserve"> Reintegro de los gastos al Fondo de Asistencia Legal de Víctimas</w:t>
      </w:r>
      <w:bookmarkEnd w:id="268"/>
    </w:p>
    <w:p w:rsidR="007C5FE5" w:rsidRDefault="007C5FE5" w:rsidP="007C5FE5">
      <w:pPr>
        <w:rPr>
          <w:lang w:val="es-CR"/>
        </w:rPr>
      </w:pPr>
    </w:p>
    <w:p w:rsidR="007C5FE5" w:rsidRPr="00DA4365" w:rsidRDefault="007C5FE5" w:rsidP="007C5FE5">
      <w:pPr>
        <w:pStyle w:val="ListParagraph"/>
        <w:widowControl w:val="0"/>
        <w:numPr>
          <w:ilvl w:val="0"/>
          <w:numId w:val="1"/>
        </w:numPr>
        <w:tabs>
          <w:tab w:val="left" w:pos="0"/>
        </w:tabs>
        <w:adjustRightInd w:val="0"/>
        <w:ind w:left="0" w:firstLine="0"/>
        <w:rPr>
          <w:rFonts w:cs="Verdana"/>
          <w:i/>
          <w:szCs w:val="20"/>
          <w:lang w:val="es-CR"/>
        </w:rPr>
      </w:pPr>
      <w:r w:rsidRPr="007549F4">
        <w:t xml:space="preserve">En el presente caso, mediante Resolución de 24 de julio de 2017, el Presidente de la Corte otorgó, con </w:t>
      </w:r>
      <w:r w:rsidRPr="007549F4">
        <w:rPr>
          <w:rFonts w:cs="Verdana"/>
          <w:lang w:val="es-ES"/>
        </w:rPr>
        <w:t>cargo</w:t>
      </w:r>
      <w:r w:rsidRPr="007549F4">
        <w:t xml:space="preserve"> al Fondo de Asistencia Legal de Víctimas de la Corte, el apoyo económico necesario para cubrir los gastos de viaje y estadía necesarios para que </w:t>
      </w:r>
      <w:r w:rsidRPr="00DA4365">
        <w:rPr>
          <w:rFonts w:cs="Verdana"/>
          <w:szCs w:val="20"/>
          <w:lang w:val="es-CR"/>
        </w:rPr>
        <w:t xml:space="preserve">Wilfredo </w:t>
      </w:r>
      <w:r w:rsidRPr="00257982">
        <w:rPr>
          <w:rFonts w:cs="Verdana"/>
          <w:lang w:val="es-ES" w:eastAsia="es-MX"/>
        </w:rPr>
        <w:t>Terrones</w:t>
      </w:r>
      <w:r w:rsidRPr="00DA4365">
        <w:rPr>
          <w:rFonts w:cs="Verdana"/>
          <w:szCs w:val="20"/>
          <w:lang w:val="es-CR"/>
        </w:rPr>
        <w:t xml:space="preserve"> Landázuri</w:t>
      </w:r>
      <w:r>
        <w:rPr>
          <w:rFonts w:cs="Verdana"/>
          <w:szCs w:val="20"/>
          <w:lang w:val="es-CR"/>
        </w:rPr>
        <w:t>,</w:t>
      </w:r>
      <w:r w:rsidRPr="00DA4365">
        <w:rPr>
          <w:rFonts w:cs="Verdana"/>
          <w:szCs w:val="20"/>
          <w:lang w:val="es-CR"/>
        </w:rPr>
        <w:t xml:space="preserve"> Rosa Carcausto Paco y Marcelina Medina Negrón</w:t>
      </w:r>
      <w:r w:rsidRPr="007549F4">
        <w:t xml:space="preserve"> pudieran participar en la audiencia pública.</w:t>
      </w:r>
    </w:p>
    <w:p w:rsidR="007C5FE5" w:rsidRPr="00DA4365" w:rsidRDefault="007C5FE5" w:rsidP="007C5FE5">
      <w:pPr>
        <w:pStyle w:val="Estilo1"/>
        <w:tabs>
          <w:tab w:val="left" w:pos="709"/>
        </w:tabs>
        <w:spacing w:after="0"/>
        <w:ind w:left="0" w:right="0" w:firstLine="0"/>
        <w:rPr>
          <w:rFonts w:eastAsia="Calibri" w:cs="Verdana"/>
          <w:i w:val="0"/>
          <w:szCs w:val="20"/>
          <w:lang w:val="es-CR"/>
        </w:rPr>
      </w:pPr>
    </w:p>
    <w:p w:rsidR="007C5FE5" w:rsidRPr="00DA4365" w:rsidRDefault="007C5FE5" w:rsidP="007C5FE5">
      <w:pPr>
        <w:pStyle w:val="ListParagraph"/>
        <w:widowControl w:val="0"/>
        <w:numPr>
          <w:ilvl w:val="0"/>
          <w:numId w:val="1"/>
        </w:numPr>
        <w:tabs>
          <w:tab w:val="left" w:pos="0"/>
        </w:tabs>
        <w:adjustRightInd w:val="0"/>
        <w:ind w:left="0" w:firstLine="0"/>
        <w:rPr>
          <w:rFonts w:cs="Verdana"/>
          <w:i/>
          <w:szCs w:val="20"/>
          <w:lang w:val="es-CR"/>
        </w:rPr>
      </w:pPr>
      <w:r>
        <w:lastRenderedPageBreak/>
        <w:t>El 28 de junio de 2018 fue remitido al Estado un Informe de Erogaciones según lo dispuesto en el artículo 5 del Reglamento de la Corte sobre el funcionamiento del referido Fondo.</w:t>
      </w:r>
    </w:p>
    <w:p w:rsidR="007C5FE5" w:rsidRPr="00DA4365" w:rsidRDefault="007C5FE5" w:rsidP="007C5FE5">
      <w:pPr>
        <w:pStyle w:val="Estilo1"/>
        <w:tabs>
          <w:tab w:val="left" w:pos="709"/>
        </w:tabs>
        <w:spacing w:after="0"/>
        <w:ind w:left="0" w:right="0" w:firstLine="0"/>
        <w:rPr>
          <w:rFonts w:eastAsia="Calibri" w:cs="Verdana"/>
          <w:i w:val="0"/>
          <w:szCs w:val="20"/>
          <w:lang w:val="es-CR"/>
        </w:rPr>
      </w:pPr>
      <w:r>
        <w:rPr>
          <w:i w:val="0"/>
        </w:rPr>
        <w:t xml:space="preserve"> </w:t>
      </w:r>
    </w:p>
    <w:p w:rsidR="007C5FE5" w:rsidRPr="00267F1B" w:rsidRDefault="007C5FE5" w:rsidP="007C5FE5">
      <w:pPr>
        <w:pStyle w:val="ListParagraph"/>
        <w:widowControl w:val="0"/>
        <w:numPr>
          <w:ilvl w:val="0"/>
          <w:numId w:val="1"/>
        </w:numPr>
        <w:tabs>
          <w:tab w:val="left" w:pos="0"/>
        </w:tabs>
        <w:adjustRightInd w:val="0"/>
        <w:ind w:left="0" w:firstLine="0"/>
        <w:rPr>
          <w:i/>
        </w:rPr>
      </w:pPr>
      <w:r w:rsidRPr="004B3D9D">
        <w:t xml:space="preserve">El </w:t>
      </w:r>
      <w:r w:rsidRPr="00257982">
        <w:rPr>
          <w:rFonts w:cs="Verdana"/>
          <w:lang w:val="es-ES" w:eastAsia="es-MX"/>
        </w:rPr>
        <w:t>Estado</w:t>
      </w:r>
      <w:r w:rsidRPr="004B3D9D">
        <w:t xml:space="preserve"> tuvo la oportunidad de presentar sus observaciones sobre las erogaciones realizadas en el </w:t>
      </w:r>
      <w:r w:rsidRPr="004B3D9D">
        <w:rPr>
          <w:rFonts w:cs="Verdana"/>
          <w:lang w:val="es-ES"/>
        </w:rPr>
        <w:t>presente</w:t>
      </w:r>
      <w:r w:rsidRPr="004B3D9D">
        <w:t xml:space="preserve"> caso, las cual</w:t>
      </w:r>
      <w:r>
        <w:t>es ascendieron a la suma de US$</w:t>
      </w:r>
      <w:r w:rsidRPr="004B3D9D">
        <w:t xml:space="preserve">5.095.99 (cinco mil noventa y cinco dólares de los Estados Unidos de América con noventa y nueve centavos). </w:t>
      </w:r>
      <w:r>
        <w:t>Mediante escrito de 9 de julio de 2018, el Estado presentó observaciones relativas a los montos correspondientes a viáticos y gastos terminales, las cuales fueron respondidas mediante nota de la Secretaría de 26 de julio de 2018</w:t>
      </w:r>
      <w:r w:rsidRPr="00D77E6D">
        <w:rPr>
          <w:rStyle w:val="FootnoteReference"/>
        </w:rPr>
        <w:footnoteReference w:id="337"/>
      </w:r>
      <w:r>
        <w:t>.</w:t>
      </w:r>
    </w:p>
    <w:p w:rsidR="007C5FE5" w:rsidRPr="00EA5CD5" w:rsidRDefault="007C5FE5" w:rsidP="007C5FE5">
      <w:pPr>
        <w:rPr>
          <w:i/>
        </w:rPr>
      </w:pPr>
    </w:p>
    <w:p w:rsidR="007C5FE5" w:rsidRPr="00E84C63" w:rsidRDefault="007C5FE5" w:rsidP="007C5FE5">
      <w:pPr>
        <w:pStyle w:val="ListParagraph"/>
        <w:widowControl w:val="0"/>
        <w:numPr>
          <w:ilvl w:val="0"/>
          <w:numId w:val="1"/>
        </w:numPr>
        <w:tabs>
          <w:tab w:val="left" w:pos="0"/>
        </w:tabs>
        <w:adjustRightInd w:val="0"/>
        <w:ind w:left="0" w:firstLine="0"/>
        <w:rPr>
          <w:i/>
          <w:lang w:val="es-CR"/>
        </w:rPr>
      </w:pPr>
      <w:r w:rsidRPr="00E84C63">
        <w:t xml:space="preserve">En razón de las violaciones declaradas en la presente Sentencia y del cumplimiento de los requisitos </w:t>
      </w:r>
      <w:r w:rsidRPr="00E84C63">
        <w:rPr>
          <w:rFonts w:cs="Verdana"/>
          <w:lang w:val="es-ES"/>
        </w:rPr>
        <w:t>para</w:t>
      </w:r>
      <w:r w:rsidRPr="00E84C63">
        <w:t xml:space="preserve"> acogerse al Fondo de Asistencia </w:t>
      </w:r>
      <w:r w:rsidR="00BB3030">
        <w:t xml:space="preserve">Legal de Víctimas </w:t>
      </w:r>
      <w:r w:rsidRPr="00E84C63">
        <w:t xml:space="preserve">de la Corte, este Tribunal ordena al Estado el </w:t>
      </w:r>
      <w:r w:rsidRPr="00257982">
        <w:rPr>
          <w:rFonts w:cs="Verdana"/>
          <w:lang w:val="es-ES" w:eastAsia="es-MX"/>
        </w:rPr>
        <w:t>reintegro</w:t>
      </w:r>
      <w:r w:rsidRPr="00E84C63">
        <w:t xml:space="preserve"> a dicho Fondo de la cantidad de </w:t>
      </w:r>
      <w:r>
        <w:t>USD$</w:t>
      </w:r>
      <w:r w:rsidRPr="004B3D9D">
        <w:t>5.095.99 (cinco mil noventa y cinco dólares de los Estados Unidos de América con noventa y nueve centavos)</w:t>
      </w:r>
      <w:r w:rsidRPr="00E84C63">
        <w:t xml:space="preserve"> por los gastos incurridos. Este monto deberá ser reintegrado en el plazo de seis meses, contados a partir de la notificación de la presente Sentencia.</w:t>
      </w:r>
    </w:p>
    <w:p w:rsidR="007C5FE5" w:rsidRPr="003171F0" w:rsidRDefault="007C5FE5" w:rsidP="007C5FE5">
      <w:pPr>
        <w:rPr>
          <w:lang w:val="es-CR"/>
        </w:rPr>
      </w:pPr>
    </w:p>
    <w:p w:rsidR="007C5FE5" w:rsidRDefault="007C5FE5" w:rsidP="007C5FE5">
      <w:pPr>
        <w:pStyle w:val="Heading2"/>
        <w:keepNext w:val="0"/>
        <w:keepLines w:val="0"/>
        <w:spacing w:before="0"/>
        <w:ind w:right="-144" w:firstLine="720"/>
        <w:rPr>
          <w:spacing w:val="-2"/>
          <w:szCs w:val="20"/>
          <w:lang w:val="es-CR"/>
        </w:rPr>
      </w:pPr>
      <w:bookmarkStart w:id="269" w:name="_Toc527993577"/>
      <w:r>
        <w:rPr>
          <w:spacing w:val="-2"/>
          <w:szCs w:val="20"/>
          <w:lang w:val="es-CR" w:bidi="en-US"/>
        </w:rPr>
        <w:t xml:space="preserve">J. </w:t>
      </w:r>
      <w:r w:rsidRPr="003171F0">
        <w:rPr>
          <w:spacing w:val="-2"/>
          <w:szCs w:val="20"/>
          <w:lang w:val="es-CR" w:bidi="en-US"/>
        </w:rPr>
        <w:t>Modalidad</w:t>
      </w:r>
      <w:r w:rsidRPr="0072044E">
        <w:rPr>
          <w:spacing w:val="-2"/>
          <w:szCs w:val="20"/>
          <w:lang w:val="es-CR"/>
        </w:rPr>
        <w:t xml:space="preserve"> de cumplimiento de los pagos ordenados</w:t>
      </w:r>
      <w:bookmarkEnd w:id="269"/>
    </w:p>
    <w:p w:rsidR="007C5FE5" w:rsidRPr="00846003" w:rsidRDefault="007C5FE5" w:rsidP="007C5FE5">
      <w:pPr>
        <w:rPr>
          <w:lang w:val="es-CR"/>
        </w:rPr>
      </w:pPr>
    </w:p>
    <w:p w:rsidR="007C5FE5" w:rsidRPr="0029699B" w:rsidRDefault="007C5FE5" w:rsidP="007C5FE5">
      <w:pPr>
        <w:pStyle w:val="ListParagraph"/>
        <w:widowControl w:val="0"/>
        <w:numPr>
          <w:ilvl w:val="0"/>
          <w:numId w:val="1"/>
        </w:numPr>
        <w:tabs>
          <w:tab w:val="left" w:pos="0"/>
        </w:tabs>
        <w:adjustRightInd w:val="0"/>
        <w:ind w:left="0" w:firstLine="0"/>
        <w:rPr>
          <w:i/>
          <w:szCs w:val="20"/>
          <w:lang w:val="es-CR"/>
        </w:rPr>
      </w:pPr>
      <w:r w:rsidRPr="003171F0">
        <w:rPr>
          <w:lang w:val="es-CO"/>
        </w:rPr>
        <w:t xml:space="preserve">El </w:t>
      </w:r>
      <w:r w:rsidRPr="00257982">
        <w:rPr>
          <w:rFonts w:cs="Verdana"/>
          <w:lang w:val="es-ES" w:eastAsia="es-MX"/>
        </w:rPr>
        <w:t>Estado</w:t>
      </w:r>
      <w:r w:rsidRPr="003171F0">
        <w:rPr>
          <w:lang w:val="es-CO"/>
        </w:rPr>
        <w:t xml:space="preserve"> deberá efectuar el pago de las indemnizaciones por concepto de daño material e inmaterial y el reintegro de costas y gastos establecidos en la presente Sentencia </w:t>
      </w:r>
      <w:r w:rsidRPr="003171F0">
        <w:rPr>
          <w:rFonts w:cs="Verdana"/>
          <w:lang w:val="es-ES"/>
        </w:rPr>
        <w:t>directamente</w:t>
      </w:r>
      <w:r w:rsidRPr="003171F0">
        <w:rPr>
          <w:lang w:val="es-CO"/>
        </w:rPr>
        <w:t xml:space="preserve"> a las personas indicadas en la misma o, conforme a lo solicitado por los </w:t>
      </w:r>
      <w:r w:rsidRPr="00EF6A20">
        <w:t>representantes</w:t>
      </w:r>
      <w:r w:rsidRPr="003171F0">
        <w:rPr>
          <w:lang w:val="es-CO"/>
        </w:rPr>
        <w:t xml:space="preserve"> a quien estas designen para que su cobro mediante instrumento que sea válido en el ordenamiento jurídico peruano, dentro del plazo de un año, contado a partir de la notificación del presente Fallo. </w:t>
      </w:r>
    </w:p>
    <w:p w:rsidR="007C5FE5" w:rsidRPr="003171F0" w:rsidRDefault="007C5FE5" w:rsidP="007C5FE5">
      <w:pPr>
        <w:pStyle w:val="ListParagraph"/>
        <w:widowControl w:val="0"/>
        <w:tabs>
          <w:tab w:val="left" w:pos="0"/>
        </w:tabs>
        <w:adjustRightInd w:val="0"/>
        <w:ind w:left="0"/>
        <w:rPr>
          <w:i/>
          <w:szCs w:val="20"/>
          <w:lang w:val="es-CR"/>
        </w:rPr>
      </w:pPr>
    </w:p>
    <w:p w:rsidR="007C5FE5" w:rsidRPr="00846003" w:rsidRDefault="007C5FE5" w:rsidP="007C5FE5">
      <w:pPr>
        <w:pStyle w:val="ListParagraph"/>
        <w:widowControl w:val="0"/>
        <w:numPr>
          <w:ilvl w:val="0"/>
          <w:numId w:val="1"/>
        </w:numPr>
        <w:tabs>
          <w:tab w:val="left" w:pos="0"/>
        </w:tabs>
        <w:adjustRightInd w:val="0"/>
        <w:ind w:left="0" w:firstLine="0"/>
        <w:rPr>
          <w:i/>
          <w:szCs w:val="20"/>
          <w:lang w:val="es-CR"/>
        </w:rPr>
      </w:pPr>
      <w:r w:rsidRPr="003171F0">
        <w:rPr>
          <w:szCs w:val="20"/>
          <w:lang w:val="es-CR"/>
        </w:rPr>
        <w:t xml:space="preserve">En caso de los que beneficiarios </w:t>
      </w:r>
      <w:r w:rsidRPr="003171F0">
        <w:rPr>
          <w:rFonts w:cs="Verdana-Italic"/>
          <w:spacing w:val="-2"/>
          <w:szCs w:val="20"/>
          <w:lang w:val="es-CR" w:bidi="en-US"/>
        </w:rPr>
        <w:t xml:space="preserve">hayan fallecido o fallezcan antes de que les sea entregada la </w:t>
      </w:r>
      <w:r w:rsidRPr="003171F0">
        <w:rPr>
          <w:rFonts w:cs="Verdana"/>
          <w:lang w:val="es-ES"/>
        </w:rPr>
        <w:t>indemnización</w:t>
      </w:r>
      <w:r w:rsidRPr="003171F0">
        <w:rPr>
          <w:rFonts w:cs="Verdana-Italic"/>
          <w:spacing w:val="-2"/>
          <w:szCs w:val="20"/>
          <w:lang w:val="es-CR" w:bidi="en-US"/>
        </w:rPr>
        <w:t xml:space="preserve"> respectiva, ésta se efectuará directamente a sus </w:t>
      </w:r>
      <w:r w:rsidRPr="00EF6A20">
        <w:rPr>
          <w:lang w:val="es-CO"/>
        </w:rPr>
        <w:t>derechohabientes</w:t>
      </w:r>
      <w:r w:rsidRPr="003171F0">
        <w:rPr>
          <w:rFonts w:cs="Verdana-Italic"/>
          <w:spacing w:val="-2"/>
          <w:szCs w:val="20"/>
          <w:lang w:val="es-CR" w:bidi="en-US"/>
        </w:rPr>
        <w:t xml:space="preserve">, conforme al derecho interno aplicable, sin perjuicio de lo señalado en el párrafo </w:t>
      </w:r>
      <w:r>
        <w:rPr>
          <w:rFonts w:cs="Verdana-Italic"/>
          <w:spacing w:val="-2"/>
          <w:szCs w:val="20"/>
          <w:lang w:val="es-CR" w:bidi="en-US"/>
        </w:rPr>
        <w:t>293</w:t>
      </w:r>
      <w:r w:rsidRPr="003171F0">
        <w:rPr>
          <w:rFonts w:cs="Verdana-Italic"/>
          <w:spacing w:val="-2"/>
          <w:szCs w:val="20"/>
          <w:lang w:val="es-CR" w:bidi="en-US"/>
        </w:rPr>
        <w:t xml:space="preserve"> de esta Sentencia. </w:t>
      </w:r>
    </w:p>
    <w:p w:rsidR="007C5FE5" w:rsidRPr="003171F0" w:rsidRDefault="007C5FE5" w:rsidP="007C5FE5">
      <w:pPr>
        <w:pStyle w:val="Estilo1"/>
        <w:tabs>
          <w:tab w:val="left" w:pos="709"/>
        </w:tabs>
        <w:spacing w:after="0"/>
        <w:ind w:left="0" w:right="0" w:firstLine="0"/>
        <w:rPr>
          <w:i w:val="0"/>
          <w:szCs w:val="20"/>
          <w:lang w:val="es-CR"/>
        </w:rPr>
      </w:pPr>
    </w:p>
    <w:p w:rsidR="007C5FE5" w:rsidRDefault="007C5FE5" w:rsidP="007C5FE5">
      <w:pPr>
        <w:pStyle w:val="ListParagraph"/>
        <w:widowControl w:val="0"/>
        <w:numPr>
          <w:ilvl w:val="0"/>
          <w:numId w:val="1"/>
        </w:numPr>
        <w:tabs>
          <w:tab w:val="left" w:pos="0"/>
        </w:tabs>
        <w:adjustRightInd w:val="0"/>
        <w:ind w:left="0" w:firstLine="0"/>
        <w:rPr>
          <w:i/>
          <w:szCs w:val="20"/>
          <w:lang w:val="es-CR"/>
        </w:rPr>
      </w:pPr>
      <w:r w:rsidRPr="003171F0">
        <w:rPr>
          <w:szCs w:val="20"/>
          <w:lang w:val="es-CR"/>
        </w:rPr>
        <w:t xml:space="preserve">El Estado debe cumplir sus obligaciones monetarias mediante el pago en dólares de los Estados </w:t>
      </w:r>
      <w:r w:rsidRPr="00257982">
        <w:rPr>
          <w:rFonts w:cs="Verdana"/>
          <w:lang w:val="es-ES" w:eastAsia="es-MX"/>
        </w:rPr>
        <w:t>Unidos</w:t>
      </w:r>
      <w:r w:rsidRPr="003171F0">
        <w:rPr>
          <w:szCs w:val="20"/>
          <w:lang w:val="es-CR"/>
        </w:rPr>
        <w:t xml:space="preserve"> de América</w:t>
      </w:r>
      <w:r w:rsidRPr="003171F0">
        <w:rPr>
          <w:spacing w:val="-2"/>
          <w:szCs w:val="20"/>
          <w:lang w:val="es-CR"/>
        </w:rPr>
        <w:t xml:space="preserve"> o su equivalente en moneda nacional, utilizando para el cálculo respectivo el tipo de cambio que se encuentre vigente en la bolsa de Nueva York, Estados Unidos de América, el día anterior al pago.</w:t>
      </w:r>
    </w:p>
    <w:p w:rsidR="007C5FE5" w:rsidRPr="003171F0" w:rsidRDefault="007C5FE5" w:rsidP="007C5FE5">
      <w:pPr>
        <w:pStyle w:val="Estilo1"/>
        <w:tabs>
          <w:tab w:val="left" w:pos="709"/>
        </w:tabs>
        <w:spacing w:after="0"/>
        <w:ind w:left="0" w:right="0" w:firstLine="0"/>
        <w:rPr>
          <w:i w:val="0"/>
          <w:szCs w:val="20"/>
          <w:lang w:val="es-CR"/>
        </w:rPr>
      </w:pPr>
    </w:p>
    <w:p w:rsidR="007C5FE5" w:rsidRDefault="007C5FE5" w:rsidP="007C5FE5">
      <w:pPr>
        <w:pStyle w:val="ListParagraph"/>
        <w:widowControl w:val="0"/>
        <w:numPr>
          <w:ilvl w:val="0"/>
          <w:numId w:val="1"/>
        </w:numPr>
        <w:tabs>
          <w:tab w:val="left" w:pos="0"/>
        </w:tabs>
        <w:adjustRightInd w:val="0"/>
        <w:ind w:left="0" w:firstLine="0"/>
        <w:rPr>
          <w:i/>
          <w:szCs w:val="20"/>
          <w:lang w:val="es-CR"/>
        </w:rPr>
      </w:pPr>
      <w:r w:rsidRPr="003171F0">
        <w:rPr>
          <w:szCs w:val="20"/>
          <w:lang w:val="es-CR"/>
        </w:rPr>
        <w:t xml:space="preserve">Si por causas atribuibles a los beneficiarios de las indemnizaciones o a sus derechohabientes no fuese posible el pago de las cantidades determinadas dentro del plazo indicado, el Estado consignará dichos montos a su favor en una cuenta o certificado de </w:t>
      </w:r>
      <w:r w:rsidRPr="003171F0">
        <w:rPr>
          <w:szCs w:val="20"/>
          <w:lang w:val="es-CR"/>
        </w:rPr>
        <w:lastRenderedPageBreak/>
        <w:t>depósito en una institución financiera peruana solvente, en dólares estadounidenses, y en las condiciones financieras más favorables que permitan la legislación y la práctica bancaria. Si no se reclama la indemnización correspondiente una vez transcurridos diez años, las cantidades serán devueltas al Estado con los intereses devengados.</w:t>
      </w:r>
    </w:p>
    <w:p w:rsidR="007C5FE5" w:rsidRPr="003171F0" w:rsidRDefault="007C5FE5" w:rsidP="007C5FE5">
      <w:pPr>
        <w:pStyle w:val="Estilo1"/>
        <w:tabs>
          <w:tab w:val="left" w:pos="709"/>
        </w:tabs>
        <w:spacing w:after="0"/>
        <w:ind w:left="0" w:right="0" w:firstLine="0"/>
        <w:rPr>
          <w:i w:val="0"/>
          <w:szCs w:val="20"/>
          <w:lang w:val="es-CR"/>
        </w:rPr>
      </w:pPr>
    </w:p>
    <w:p w:rsidR="007C5FE5" w:rsidRDefault="007C5FE5" w:rsidP="007C5FE5">
      <w:pPr>
        <w:pStyle w:val="ListParagraph"/>
        <w:widowControl w:val="0"/>
        <w:numPr>
          <w:ilvl w:val="0"/>
          <w:numId w:val="1"/>
        </w:numPr>
        <w:tabs>
          <w:tab w:val="left" w:pos="0"/>
        </w:tabs>
        <w:adjustRightInd w:val="0"/>
        <w:ind w:left="0" w:firstLine="0"/>
        <w:rPr>
          <w:i/>
          <w:szCs w:val="20"/>
          <w:lang w:val="es-CR"/>
        </w:rPr>
      </w:pPr>
      <w:r w:rsidRPr="003171F0">
        <w:rPr>
          <w:szCs w:val="20"/>
          <w:lang w:val="es-CR"/>
        </w:rPr>
        <w:t xml:space="preserve">Las </w:t>
      </w:r>
      <w:r w:rsidRPr="00257982">
        <w:rPr>
          <w:rFonts w:cs="Verdana"/>
          <w:lang w:val="es-ES" w:eastAsia="es-MX"/>
        </w:rPr>
        <w:t>cantidades</w:t>
      </w:r>
      <w:r w:rsidRPr="003171F0">
        <w:rPr>
          <w:szCs w:val="20"/>
          <w:lang w:val="es-CR"/>
        </w:rPr>
        <w:t xml:space="preserve"> asignadas en la presente Sentencia como indemnización y como reintegro de costas y gastos deberán ser entregadas a las personas indicadas en forma íntegra, conforme a lo establecido en esta Sentencia, sin reducciones derivadas de eventuales cargas fiscales.</w:t>
      </w:r>
    </w:p>
    <w:p w:rsidR="007C5FE5" w:rsidRPr="003171F0" w:rsidRDefault="007C5FE5" w:rsidP="007C5FE5">
      <w:pPr>
        <w:pStyle w:val="Estilo1"/>
        <w:tabs>
          <w:tab w:val="left" w:pos="709"/>
        </w:tabs>
        <w:spacing w:after="0"/>
        <w:ind w:left="0" w:right="0" w:firstLine="0"/>
        <w:rPr>
          <w:i w:val="0"/>
          <w:szCs w:val="20"/>
          <w:lang w:val="es-CR"/>
        </w:rPr>
      </w:pPr>
    </w:p>
    <w:p w:rsidR="007C5FE5" w:rsidRDefault="007C5FE5" w:rsidP="007C5FE5">
      <w:pPr>
        <w:pStyle w:val="ListParagraph"/>
        <w:widowControl w:val="0"/>
        <w:numPr>
          <w:ilvl w:val="0"/>
          <w:numId w:val="1"/>
        </w:numPr>
        <w:tabs>
          <w:tab w:val="left" w:pos="0"/>
        </w:tabs>
        <w:adjustRightInd w:val="0"/>
        <w:ind w:left="0" w:firstLine="0"/>
        <w:rPr>
          <w:i/>
          <w:szCs w:val="20"/>
          <w:lang w:val="es-CR"/>
        </w:rPr>
      </w:pPr>
      <w:r w:rsidRPr="003171F0">
        <w:rPr>
          <w:szCs w:val="20"/>
          <w:lang w:val="es-CR"/>
        </w:rPr>
        <w:t xml:space="preserve">En caso de </w:t>
      </w:r>
      <w:r w:rsidRPr="00257982">
        <w:rPr>
          <w:rFonts w:cs="Verdana"/>
          <w:lang w:val="es-ES" w:eastAsia="es-MX"/>
        </w:rPr>
        <w:t>que</w:t>
      </w:r>
      <w:r w:rsidRPr="003171F0">
        <w:rPr>
          <w:szCs w:val="20"/>
          <w:lang w:val="es-CR"/>
        </w:rPr>
        <w:t xml:space="preserve"> el Estado incurriera en </w:t>
      </w:r>
      <w:r w:rsidRPr="00BC2EDE">
        <w:rPr>
          <w:szCs w:val="20"/>
          <w:lang w:val="es-CR"/>
        </w:rPr>
        <w:t>mora,</w:t>
      </w:r>
      <w:r w:rsidR="00625F42" w:rsidRPr="00BC2EDE">
        <w:rPr>
          <w:szCs w:val="20"/>
          <w:lang w:val="es-CR"/>
        </w:rPr>
        <w:t xml:space="preserve"> incluyendo en el reintegro de los gastos al Fondo de Asistencia Legal de Víctimas,</w:t>
      </w:r>
      <w:r w:rsidRPr="003171F0">
        <w:rPr>
          <w:szCs w:val="20"/>
          <w:lang w:val="es-CR"/>
        </w:rPr>
        <w:t xml:space="preserve"> deberá pagar un interés sobre la cantidad adeudada correspondiente al interés bancario moratorio en la República del Perú.</w:t>
      </w:r>
    </w:p>
    <w:p w:rsidR="00F024DB" w:rsidRDefault="00F024DB" w:rsidP="00F024DB">
      <w:pPr>
        <w:rPr>
          <w:lang w:val="es-CR"/>
        </w:rPr>
      </w:pPr>
    </w:p>
    <w:p w:rsidR="00BC2EDE" w:rsidRPr="00F024DB" w:rsidRDefault="00BC2EDE" w:rsidP="00F024DB">
      <w:pPr>
        <w:rPr>
          <w:lang w:val="es-CR"/>
        </w:rPr>
      </w:pPr>
    </w:p>
    <w:p w:rsidR="0060330C" w:rsidRPr="00915678" w:rsidRDefault="0060330C" w:rsidP="0060330C">
      <w:pPr>
        <w:pStyle w:val="Heading1"/>
        <w:spacing w:before="0"/>
        <w:jc w:val="center"/>
        <w:rPr>
          <w:sz w:val="20"/>
          <w:szCs w:val="20"/>
          <w:lang w:val="es-CR"/>
        </w:rPr>
      </w:pPr>
      <w:bookmarkStart w:id="270" w:name="_Toc527993578"/>
      <w:r>
        <w:rPr>
          <w:sz w:val="20"/>
          <w:szCs w:val="20"/>
          <w:lang w:val="es-CR"/>
        </w:rPr>
        <w:t>X</w:t>
      </w:r>
      <w:bookmarkEnd w:id="266"/>
      <w:bookmarkEnd w:id="270"/>
    </w:p>
    <w:p w:rsidR="0060330C" w:rsidRPr="00915678" w:rsidRDefault="0060330C" w:rsidP="0060330C">
      <w:pPr>
        <w:pStyle w:val="Heading1"/>
        <w:spacing w:before="0"/>
        <w:jc w:val="center"/>
        <w:rPr>
          <w:spacing w:val="-2"/>
          <w:sz w:val="20"/>
          <w:szCs w:val="20"/>
          <w:lang w:val="es-CR"/>
        </w:rPr>
      </w:pPr>
      <w:bookmarkStart w:id="271" w:name="_Toc527993579"/>
      <w:r>
        <w:rPr>
          <w:spacing w:val="-2"/>
          <w:sz w:val="20"/>
          <w:szCs w:val="20"/>
          <w:lang w:val="es-CR"/>
        </w:rPr>
        <w:t>PUNTOS RESOLUTIVOS</w:t>
      </w:r>
      <w:bookmarkEnd w:id="271"/>
    </w:p>
    <w:p w:rsidR="002D7694" w:rsidRDefault="002D7694" w:rsidP="002D7694">
      <w:pPr>
        <w:rPr>
          <w:i/>
          <w:szCs w:val="20"/>
          <w:lang w:val="es-CR"/>
        </w:rPr>
      </w:pPr>
    </w:p>
    <w:p w:rsidR="002D7694" w:rsidRDefault="002D7694" w:rsidP="002D7694">
      <w:pPr>
        <w:pStyle w:val="ListParagraph"/>
        <w:widowControl w:val="0"/>
        <w:tabs>
          <w:tab w:val="left" w:pos="0"/>
        </w:tabs>
        <w:adjustRightInd w:val="0"/>
        <w:ind w:left="0"/>
        <w:rPr>
          <w:i/>
          <w:szCs w:val="20"/>
          <w:lang w:val="es-CR"/>
        </w:rPr>
      </w:pPr>
      <w:r>
        <w:rPr>
          <w:szCs w:val="20"/>
          <w:lang w:val="es-CR"/>
        </w:rPr>
        <w:t>296.</w:t>
      </w:r>
      <w:r>
        <w:rPr>
          <w:szCs w:val="20"/>
          <w:lang w:val="es-CR"/>
        </w:rPr>
        <w:tab/>
        <w:t>Por tanto,</w:t>
      </w:r>
    </w:p>
    <w:p w:rsidR="002D7694" w:rsidRDefault="002D7694" w:rsidP="002D7694">
      <w:pPr>
        <w:rPr>
          <w:i/>
          <w:szCs w:val="20"/>
          <w:lang w:val="es-CR"/>
        </w:rPr>
      </w:pPr>
    </w:p>
    <w:p w:rsidR="002D7694" w:rsidRDefault="002D7694" w:rsidP="002D7694">
      <w:pPr>
        <w:rPr>
          <w:b/>
          <w:spacing w:val="-2"/>
          <w:szCs w:val="20"/>
          <w:lang w:val="es-CR"/>
        </w:rPr>
      </w:pPr>
      <w:r>
        <w:rPr>
          <w:b/>
          <w:spacing w:val="-2"/>
          <w:szCs w:val="20"/>
          <w:lang w:val="es-CR"/>
        </w:rPr>
        <w:t>LA CORTE</w:t>
      </w:r>
    </w:p>
    <w:p w:rsidR="002D7694" w:rsidRDefault="002D7694" w:rsidP="002D7694">
      <w:pPr>
        <w:rPr>
          <w:szCs w:val="20"/>
          <w:lang w:val="es-CR"/>
        </w:rPr>
      </w:pPr>
    </w:p>
    <w:p w:rsidR="002D7694" w:rsidRDefault="002D7694" w:rsidP="002D7694">
      <w:pPr>
        <w:rPr>
          <w:b/>
          <w:szCs w:val="20"/>
          <w:lang w:val="es-ES"/>
        </w:rPr>
      </w:pPr>
      <w:r>
        <w:rPr>
          <w:b/>
          <w:szCs w:val="20"/>
          <w:lang w:val="es-ES" w:eastAsia="es-ES"/>
        </w:rPr>
        <w:t>DECIDE,</w:t>
      </w:r>
    </w:p>
    <w:p w:rsidR="002D7694" w:rsidRDefault="002D7694" w:rsidP="002D7694">
      <w:pPr>
        <w:rPr>
          <w:szCs w:val="20"/>
          <w:lang w:val="es-ES" w:eastAsia="es-ES"/>
        </w:rPr>
      </w:pPr>
    </w:p>
    <w:p w:rsidR="002D7694" w:rsidRPr="005A04D1" w:rsidRDefault="002D7694" w:rsidP="002D7694">
      <w:pPr>
        <w:rPr>
          <w:szCs w:val="20"/>
          <w:lang w:val="es-ES" w:eastAsia="es-ES"/>
        </w:rPr>
      </w:pPr>
      <w:r w:rsidRPr="005A04D1">
        <w:rPr>
          <w:szCs w:val="20"/>
          <w:lang w:val="es-ES" w:eastAsia="es-ES"/>
        </w:rPr>
        <w:t xml:space="preserve">Por </w:t>
      </w:r>
      <w:r w:rsidRPr="005A04D1">
        <w:rPr>
          <w:rFonts w:eastAsia="Times"/>
          <w:szCs w:val="20"/>
          <w:lang w:eastAsia="es-ES"/>
        </w:rPr>
        <w:t>unanimidad</w:t>
      </w:r>
      <w:r w:rsidRPr="005A04D1">
        <w:rPr>
          <w:szCs w:val="20"/>
          <w:lang w:val="es-ES" w:eastAsia="es-ES"/>
        </w:rPr>
        <w:t>,</w:t>
      </w:r>
    </w:p>
    <w:p w:rsidR="00F024DB" w:rsidRPr="005A04D1" w:rsidRDefault="00F024DB" w:rsidP="002D7694">
      <w:pPr>
        <w:rPr>
          <w:szCs w:val="20"/>
          <w:lang w:val="es-ES"/>
        </w:rPr>
      </w:pPr>
    </w:p>
    <w:p w:rsidR="00FD3E6E" w:rsidRPr="005A04D1" w:rsidRDefault="00FD3E6E" w:rsidP="00FD3E6E">
      <w:pPr>
        <w:numPr>
          <w:ilvl w:val="0"/>
          <w:numId w:val="40"/>
        </w:numPr>
        <w:tabs>
          <w:tab w:val="left" w:pos="720"/>
        </w:tabs>
        <w:ind w:right="-90"/>
        <w:contextualSpacing/>
        <w:rPr>
          <w:szCs w:val="20"/>
          <w:lang w:val="es-ES"/>
        </w:rPr>
      </w:pPr>
      <w:r w:rsidRPr="005A04D1">
        <w:rPr>
          <w:rFonts w:eastAsia="MS Mincho"/>
          <w:szCs w:val="20"/>
          <w:lang w:val="es-ES"/>
        </w:rPr>
        <w:t>Desestimar</w:t>
      </w:r>
      <w:r w:rsidRPr="005A04D1">
        <w:rPr>
          <w:szCs w:val="20"/>
          <w:lang w:val="es-ES"/>
        </w:rPr>
        <w:t xml:space="preserve"> la excepción preliminar interpuesta por el Estado relativa a la falta de agotamiento de los recursos internos, </w:t>
      </w:r>
      <w:r w:rsidRPr="005A04D1">
        <w:rPr>
          <w:szCs w:val="20"/>
          <w:lang w:val="es-CR"/>
        </w:rPr>
        <w:t>en relación con los casos de Wilfredo Terrones Silva, Teresa Díaz Aparicio, Cory Clodolia Tenicela Tello, Néstor Rojas Medina y Santiago Antezana Cueto</w:t>
      </w:r>
      <w:r w:rsidRPr="005A04D1">
        <w:rPr>
          <w:szCs w:val="20"/>
          <w:lang w:val="es-ES"/>
        </w:rPr>
        <w:t>, en los términos de los párrafos 20 a 23 de la presente Sentencia.</w:t>
      </w:r>
    </w:p>
    <w:p w:rsidR="00FD3E6E" w:rsidRDefault="00FD3E6E" w:rsidP="00FD3E6E">
      <w:pPr>
        <w:tabs>
          <w:tab w:val="left" w:pos="720"/>
        </w:tabs>
        <w:ind w:right="-90"/>
        <w:contextualSpacing/>
        <w:rPr>
          <w:szCs w:val="20"/>
          <w:lang w:val="es-ES"/>
        </w:rPr>
      </w:pPr>
    </w:p>
    <w:p w:rsidR="00FD3E6E" w:rsidRDefault="00FD3E6E" w:rsidP="00FD3E6E">
      <w:pPr>
        <w:numPr>
          <w:ilvl w:val="0"/>
          <w:numId w:val="40"/>
        </w:numPr>
        <w:tabs>
          <w:tab w:val="left" w:pos="720"/>
        </w:tabs>
        <w:ind w:right="-90"/>
        <w:contextualSpacing/>
        <w:rPr>
          <w:szCs w:val="20"/>
          <w:lang w:val="es-ES"/>
        </w:rPr>
      </w:pPr>
      <w:r>
        <w:rPr>
          <w:rFonts w:eastAsia="MS Mincho"/>
          <w:szCs w:val="20"/>
          <w:lang w:val="es-ES"/>
        </w:rPr>
        <w:t>Desestimar</w:t>
      </w:r>
      <w:r>
        <w:rPr>
          <w:szCs w:val="20"/>
          <w:lang w:val="es-ES"/>
        </w:rPr>
        <w:t xml:space="preserve"> la excepción preliminar interpuesta por el Estado relativa a la falta de competencia </w:t>
      </w:r>
      <w:r>
        <w:rPr>
          <w:i/>
          <w:szCs w:val="20"/>
          <w:lang w:val="es-ES"/>
        </w:rPr>
        <w:t>ratione temporis</w:t>
      </w:r>
      <w:r>
        <w:rPr>
          <w:szCs w:val="20"/>
          <w:lang w:val="es-ES_tradnl"/>
        </w:rPr>
        <w:t xml:space="preserve"> de la Corte respecto a la Convención Interamericana</w:t>
      </w:r>
      <w:r w:rsidR="003579A2">
        <w:rPr>
          <w:szCs w:val="20"/>
          <w:lang w:val="es-ES_tradnl"/>
        </w:rPr>
        <w:t xml:space="preserve"> sobre Desaparición Forzada de P</w:t>
      </w:r>
      <w:r>
        <w:rPr>
          <w:szCs w:val="20"/>
          <w:lang w:val="es-ES_tradnl"/>
        </w:rPr>
        <w:t xml:space="preserve">ersonas, </w:t>
      </w:r>
      <w:r>
        <w:rPr>
          <w:szCs w:val="20"/>
          <w:lang w:val="es-ES"/>
        </w:rPr>
        <w:t>en los términos de los párrafos 27 a 29 de la presente Sentencia.</w:t>
      </w:r>
    </w:p>
    <w:p w:rsidR="00FD3E6E" w:rsidRDefault="00FD3E6E" w:rsidP="00FD3E6E">
      <w:pPr>
        <w:tabs>
          <w:tab w:val="left" w:pos="720"/>
        </w:tabs>
        <w:ind w:right="-90"/>
        <w:contextualSpacing/>
        <w:rPr>
          <w:szCs w:val="20"/>
          <w:lang w:val="es-ES"/>
        </w:rPr>
      </w:pPr>
    </w:p>
    <w:p w:rsidR="00FD3E6E" w:rsidRDefault="00FD3E6E" w:rsidP="00FD3E6E">
      <w:pPr>
        <w:numPr>
          <w:ilvl w:val="0"/>
          <w:numId w:val="40"/>
        </w:numPr>
        <w:tabs>
          <w:tab w:val="left" w:pos="720"/>
        </w:tabs>
        <w:ind w:right="-90"/>
        <w:contextualSpacing/>
        <w:rPr>
          <w:szCs w:val="20"/>
          <w:lang w:val="es-ES"/>
        </w:rPr>
      </w:pPr>
      <w:r>
        <w:rPr>
          <w:rFonts w:eastAsia="MS Mincho"/>
          <w:szCs w:val="20"/>
          <w:lang w:val="es-ES"/>
        </w:rPr>
        <w:t>Desestimar</w:t>
      </w:r>
      <w:r>
        <w:rPr>
          <w:szCs w:val="20"/>
          <w:lang w:val="es-ES"/>
        </w:rPr>
        <w:t xml:space="preserve"> la excepción preliminar interpuesta por el Estado relativa a la falta de competencia </w:t>
      </w:r>
      <w:r>
        <w:rPr>
          <w:i/>
          <w:szCs w:val="20"/>
          <w:lang w:val="es-ES_tradnl"/>
        </w:rPr>
        <w:t>ratione temporis</w:t>
      </w:r>
      <w:r>
        <w:rPr>
          <w:szCs w:val="20"/>
          <w:lang w:val="es-ES_tradnl"/>
        </w:rPr>
        <w:t xml:space="preserve"> de la Corte respecto a la Convención Interamericana sobre Prevención y Sanción de la Tortura</w:t>
      </w:r>
      <w:r>
        <w:rPr>
          <w:szCs w:val="20"/>
          <w:lang w:val="es-ES"/>
        </w:rPr>
        <w:t xml:space="preserve">, en los términos de los párrafos 33 </w:t>
      </w:r>
      <w:r w:rsidR="00661D24">
        <w:rPr>
          <w:szCs w:val="20"/>
          <w:lang w:val="es-ES"/>
        </w:rPr>
        <w:t>y</w:t>
      </w:r>
      <w:r>
        <w:rPr>
          <w:szCs w:val="20"/>
          <w:lang w:val="es-ES"/>
        </w:rPr>
        <w:t xml:space="preserve"> 34 de la presente Sentencia.</w:t>
      </w:r>
    </w:p>
    <w:p w:rsidR="00FD3E6E" w:rsidRDefault="00FD3E6E" w:rsidP="00FD3E6E">
      <w:pPr>
        <w:rPr>
          <w:b/>
          <w:szCs w:val="20"/>
          <w:lang w:val="es-ES"/>
        </w:rPr>
      </w:pPr>
    </w:p>
    <w:p w:rsidR="00FD3E6E" w:rsidRDefault="00FD3E6E" w:rsidP="00FD3E6E">
      <w:pPr>
        <w:rPr>
          <w:b/>
          <w:spacing w:val="-2"/>
          <w:szCs w:val="20"/>
        </w:rPr>
      </w:pPr>
      <w:r>
        <w:rPr>
          <w:b/>
          <w:spacing w:val="-2"/>
          <w:szCs w:val="20"/>
        </w:rPr>
        <w:t>DECLARA,</w:t>
      </w:r>
    </w:p>
    <w:p w:rsidR="00FD3E6E" w:rsidRDefault="00FD3E6E" w:rsidP="00FD3E6E">
      <w:pPr>
        <w:rPr>
          <w:szCs w:val="20"/>
        </w:rPr>
      </w:pPr>
    </w:p>
    <w:p w:rsidR="00FD3E6E" w:rsidRDefault="00FD3E6E" w:rsidP="00FD3E6E">
      <w:pPr>
        <w:rPr>
          <w:szCs w:val="20"/>
        </w:rPr>
      </w:pPr>
      <w:r>
        <w:rPr>
          <w:szCs w:val="20"/>
        </w:rPr>
        <w:t>Por unanimidad, que:</w:t>
      </w:r>
    </w:p>
    <w:p w:rsidR="00FD3E6E" w:rsidRDefault="00FD3E6E" w:rsidP="00FD3E6E">
      <w:pPr>
        <w:rPr>
          <w:szCs w:val="20"/>
        </w:rPr>
      </w:pPr>
    </w:p>
    <w:p w:rsidR="00FD3E6E" w:rsidRDefault="00FD3E6E" w:rsidP="00FD3E6E">
      <w:pPr>
        <w:pStyle w:val="ListParagraph"/>
        <w:numPr>
          <w:ilvl w:val="0"/>
          <w:numId w:val="40"/>
        </w:numPr>
      </w:pPr>
      <w:r>
        <w:t xml:space="preserve">El Estado es responsable por la violación de los derechos a la libertad personal, integridad personal, vida y al reconocimiento de la personalidad jurídica, establecidos en los artículos 7, 5.1, 5.2, 4.1 y 3 de la Convención Americana sobre Derechos Humanos, en relación con las obligaciones de respetar y garantizar esos derechos, contenidas en el artículo 1.1 de la Convención, así como en relación con el artículo I.a) de la Convención Interamericana sobre Desaparición Forzada de Personas, </w:t>
      </w:r>
      <w:r w:rsidRPr="00DF0029">
        <w:t xml:space="preserve">en perjuicio de </w:t>
      </w:r>
      <w:r w:rsidRPr="00DF0029">
        <w:rPr>
          <w:szCs w:val="20"/>
          <w:lang w:val="es-CR" w:eastAsia="es-CO"/>
        </w:rPr>
        <w:t>Wilfredo Terrones Silva, Teresa Díaz Aparicio, Néstor Rojas Medina, Cory Clodolia Tenicela Tello y</w:t>
      </w:r>
      <w:r w:rsidRPr="00DF0029">
        <w:t xml:space="preserve"> Santiago Antezana Cueto, en los términos de los párrafos</w:t>
      </w:r>
      <w:r>
        <w:t xml:space="preserve"> 140 a 17</w:t>
      </w:r>
      <w:r w:rsidR="00661D24">
        <w:t>5</w:t>
      </w:r>
      <w:r>
        <w:t xml:space="preserve"> de la presente Sentencia.</w:t>
      </w:r>
    </w:p>
    <w:p w:rsidR="00FD3E6E" w:rsidRDefault="00FD3E6E" w:rsidP="00FD3E6E">
      <w:pPr>
        <w:pStyle w:val="ListParagraph"/>
        <w:ind w:left="0"/>
      </w:pPr>
    </w:p>
    <w:p w:rsidR="00FD3E6E" w:rsidRPr="005C5D09" w:rsidRDefault="00FD3E6E" w:rsidP="00C31E92">
      <w:pPr>
        <w:pStyle w:val="ListParagraph"/>
        <w:widowControl w:val="0"/>
        <w:numPr>
          <w:ilvl w:val="0"/>
          <w:numId w:val="40"/>
        </w:numPr>
        <w:autoSpaceDE w:val="0"/>
        <w:autoSpaceDN w:val="0"/>
        <w:adjustRightInd w:val="0"/>
        <w:spacing w:before="120" w:after="120"/>
      </w:pPr>
      <w:r>
        <w:t>El Estado es responsable por la violación a las garantías judiciales y protección judicial, establecidos en los artículos 8.1 y 25.1 de la Convención Americana sobre Derechos Humanos, en relación con las obligaciones de respetar y garantizar esos derechos, contenidas en los artículos 1.1 Convención, así como con relación en el artículo I.b) de la Convención Interamericana sobre D</w:t>
      </w:r>
      <w:r w:rsidR="003579A2">
        <w:t xml:space="preserve">esaparición Forzada de Personas, </w:t>
      </w:r>
      <w:r>
        <w:t>en perjuicio</w:t>
      </w:r>
      <w:r>
        <w:rPr>
          <w:szCs w:val="20"/>
        </w:rPr>
        <w:t xml:space="preserve"> de Wilfredo Terrones Silva y su familiar: Guillermina Frida Landázuri Gómez; de Teresa Díaz Aparicio y sus familiares: Graciela Aparicio Pastor y Federico Díaz Aparicio; de Santiago Antezana Cueto y sus familiares: Rosa Carcausto Paco, Ermilio Antezana Cueto y Ofelia Antezana Torre; de Néstor Rojas Medina y sus familiares: Marcelina Medina Negrón y Tania Collantes Medina</w:t>
      </w:r>
      <w:r>
        <w:t xml:space="preserve">, y de Cory Clodolia Tenicela Tello y </w:t>
      </w:r>
      <w:r w:rsidRPr="00B77589">
        <w:t>su familiar: Amadea Felipa Tello de Tenicela. Todo ello, en los términos de los párrafos 185 a 20</w:t>
      </w:r>
      <w:r w:rsidR="00784917" w:rsidRPr="00B77589">
        <w:t>6</w:t>
      </w:r>
      <w:r w:rsidR="00784917" w:rsidRPr="00B77589">
        <w:rPr>
          <w:szCs w:val="20"/>
        </w:rPr>
        <w:t xml:space="preserve">; </w:t>
      </w:r>
      <w:r w:rsidR="00784917" w:rsidRPr="00B77589">
        <w:t>y 220</w:t>
      </w:r>
      <w:r>
        <w:t xml:space="preserve"> de la presente Sentencia</w:t>
      </w:r>
      <w:r w:rsidRPr="003579A2">
        <w:t>.</w:t>
      </w:r>
      <w:r w:rsidR="00C31E92" w:rsidRPr="003579A2">
        <w:t xml:space="preserve"> Igualmente, el Perú es responsable por la violación a las garantías judiciales y protección judicial, establecidos en los 8.1 y 25.1 de la Convención, en relación con el artículo 1.1 de la misma, por el incumplimiento de su obligación de ejecutar la sentencia condenatoria dictada en contra de uno de los responsables de la desaparición forzada de Santiago Antezana Cueto con la debida diligencia, en los términos de los párrafos 211 a 214 de la Sentencia.</w:t>
      </w:r>
      <w:r w:rsidR="003579A2" w:rsidRPr="003579A2">
        <w:t xml:space="preserve"> </w:t>
      </w:r>
      <w:r w:rsidR="003579A2">
        <w:rPr>
          <w:rFonts w:cs="Arial"/>
          <w:szCs w:val="20"/>
          <w:lang w:val="es-CR"/>
        </w:rPr>
        <w:t>Además, el Estado es responsable de la violación a</w:t>
      </w:r>
      <w:r w:rsidRPr="005C5D09">
        <w:rPr>
          <w:rFonts w:cs="Arial"/>
          <w:szCs w:val="20"/>
          <w:lang w:val="es-CR"/>
        </w:rPr>
        <w:t xml:space="preserve">l derecho a conocer la verdad de los familiares de las víctimas desaparecidas en los términos de los párrafos 215 </w:t>
      </w:r>
      <w:r w:rsidR="00661D24" w:rsidRPr="005C5D09">
        <w:rPr>
          <w:rFonts w:cs="Arial"/>
          <w:szCs w:val="20"/>
          <w:lang w:val="es-CR"/>
        </w:rPr>
        <w:t>y</w:t>
      </w:r>
      <w:r w:rsidRPr="005C5D09">
        <w:rPr>
          <w:rFonts w:cs="Arial"/>
          <w:szCs w:val="20"/>
          <w:lang w:val="es-CR"/>
        </w:rPr>
        <w:t xml:space="preserve"> 216</w:t>
      </w:r>
      <w:r w:rsidR="00661D24" w:rsidRPr="005C5D09">
        <w:rPr>
          <w:rFonts w:cs="Arial"/>
          <w:szCs w:val="20"/>
          <w:lang w:val="es-CR"/>
        </w:rPr>
        <w:t xml:space="preserve"> y 222</w:t>
      </w:r>
      <w:r w:rsidRPr="005C5D09">
        <w:rPr>
          <w:rFonts w:cs="Arial"/>
          <w:szCs w:val="20"/>
          <w:lang w:val="es-CR"/>
        </w:rPr>
        <w:t xml:space="preserve">. </w:t>
      </w:r>
    </w:p>
    <w:p w:rsidR="00FD3E6E" w:rsidRDefault="00FD3E6E" w:rsidP="00FD3E6E">
      <w:pPr>
        <w:pStyle w:val="ListParagraph"/>
        <w:ind w:left="0"/>
      </w:pPr>
    </w:p>
    <w:p w:rsidR="00FD3E6E" w:rsidRDefault="00FD3E6E" w:rsidP="00FD3E6E">
      <w:pPr>
        <w:pStyle w:val="ListParagraph"/>
        <w:numPr>
          <w:ilvl w:val="0"/>
          <w:numId w:val="40"/>
        </w:numPr>
      </w:pPr>
      <w:r>
        <w:t>El</w:t>
      </w:r>
      <w:r>
        <w:rPr>
          <w:lang w:val="es-ES"/>
        </w:rPr>
        <w:t xml:space="preserve"> Estado es responsable por la violación </w:t>
      </w:r>
      <w:r>
        <w:t xml:space="preserve">a las garantías judiciales y protección judicial, establecidos </w:t>
      </w:r>
      <w:r>
        <w:rPr>
          <w:lang w:val="es-ES"/>
        </w:rPr>
        <w:t xml:space="preserve">en los artículos 8.1 y 25.1 de la Convención Americana sobre Derechos Humanos, en relación con el artículo 1.1 de la </w:t>
      </w:r>
      <w:r w:rsidRPr="00BC2EDE">
        <w:rPr>
          <w:lang w:val="es-ES"/>
        </w:rPr>
        <w:t xml:space="preserve">Convención, y los artículos </w:t>
      </w:r>
      <w:r w:rsidRPr="00BC2EDE">
        <w:rPr>
          <w:szCs w:val="20"/>
        </w:rPr>
        <w:t>1, 6 y 8 de la C</w:t>
      </w:r>
      <w:r w:rsidR="003579A2" w:rsidRPr="00BC2EDE">
        <w:rPr>
          <w:szCs w:val="20"/>
        </w:rPr>
        <w:t xml:space="preserve">onvención </w:t>
      </w:r>
      <w:r w:rsidRPr="00BC2EDE">
        <w:rPr>
          <w:szCs w:val="20"/>
        </w:rPr>
        <w:t>I</w:t>
      </w:r>
      <w:r w:rsidR="003579A2" w:rsidRPr="00BC2EDE">
        <w:rPr>
          <w:szCs w:val="20"/>
        </w:rPr>
        <w:t>nteramericana para Prevenir y Sancionar la Tortura</w:t>
      </w:r>
      <w:r>
        <w:rPr>
          <w:szCs w:val="20"/>
        </w:rPr>
        <w:t xml:space="preserve">, en perjuicio de Rosa Carcausto Paco, </w:t>
      </w:r>
      <w:r>
        <w:rPr>
          <w:szCs w:val="20"/>
          <w:lang w:val="es-AR"/>
        </w:rPr>
        <w:t xml:space="preserve">Ermilio Antezana Cueto, y </w:t>
      </w:r>
      <w:r>
        <w:rPr>
          <w:szCs w:val="20"/>
        </w:rPr>
        <w:t>Ofelia Antezana Torre, por la falta de investigación de la tortura de Santiago Antezana Cueto, de conformidad con los párrafos 207 a 2</w:t>
      </w:r>
      <w:r w:rsidR="00661D24">
        <w:rPr>
          <w:szCs w:val="20"/>
        </w:rPr>
        <w:t>10 y 221</w:t>
      </w:r>
      <w:r>
        <w:rPr>
          <w:szCs w:val="20"/>
        </w:rPr>
        <w:t xml:space="preserve"> de la presente Sentencia.</w:t>
      </w:r>
    </w:p>
    <w:p w:rsidR="00FD3E6E" w:rsidRDefault="00FD3E6E" w:rsidP="00FD3E6E">
      <w:pPr>
        <w:pStyle w:val="ListParagraph"/>
      </w:pPr>
    </w:p>
    <w:p w:rsidR="00FD3E6E" w:rsidRPr="00DF0029" w:rsidRDefault="00FD3E6E" w:rsidP="00FD3E6E">
      <w:pPr>
        <w:pStyle w:val="ListParagraph"/>
        <w:numPr>
          <w:ilvl w:val="0"/>
          <w:numId w:val="40"/>
        </w:numPr>
      </w:pPr>
      <w:r>
        <w:t xml:space="preserve">El Estado es responsable por la violación del derecho a la integridad personal reconocido en el artículo 5.1 de la Convención Americana sobre Derechos Humanos, en relación con el artículo 1.1 de la Convención, en perjuicio de </w:t>
      </w:r>
      <w:r w:rsidRPr="00DF0029">
        <w:rPr>
          <w:szCs w:val="20"/>
        </w:rPr>
        <w:t xml:space="preserve">Guillermina Frida Landázuri Gómez, Graciela Aparicio Pastor, Federico Díaz Aparicio, Roberto Levi Aparicio, </w:t>
      </w:r>
      <w:r w:rsidRPr="00DF0029">
        <w:rPr>
          <w:szCs w:val="20"/>
          <w:lang w:val="es-AR"/>
        </w:rPr>
        <w:t xml:space="preserve">Amadea </w:t>
      </w:r>
      <w:r>
        <w:rPr>
          <w:szCs w:val="20"/>
          <w:lang w:val="es-AR"/>
        </w:rPr>
        <w:t>Felipa Tello de Tenicela</w:t>
      </w:r>
      <w:r w:rsidRPr="00DF0029">
        <w:rPr>
          <w:szCs w:val="20"/>
          <w:lang w:val="es-AR"/>
        </w:rPr>
        <w:t xml:space="preserve">, Norma </w:t>
      </w:r>
      <w:r w:rsidR="00DB3A90">
        <w:rPr>
          <w:szCs w:val="20"/>
          <w:lang w:val="es-AR"/>
        </w:rPr>
        <w:t xml:space="preserve">Juana </w:t>
      </w:r>
      <w:r w:rsidRPr="00DF0029">
        <w:rPr>
          <w:szCs w:val="20"/>
          <w:lang w:val="es-AR"/>
        </w:rPr>
        <w:t>Tenicela Tello, Zenobio Washington Tenicela</w:t>
      </w:r>
      <w:r w:rsidR="003579A2">
        <w:rPr>
          <w:szCs w:val="20"/>
          <w:lang w:val="es-AR"/>
        </w:rPr>
        <w:t xml:space="preserve"> Tello</w:t>
      </w:r>
      <w:r w:rsidRPr="00DF0029">
        <w:rPr>
          <w:szCs w:val="20"/>
          <w:lang w:val="es-AR"/>
        </w:rPr>
        <w:t xml:space="preserve">, </w:t>
      </w:r>
      <w:r w:rsidRPr="00DF0029">
        <w:rPr>
          <w:szCs w:val="20"/>
        </w:rPr>
        <w:t>Marcelina Medina Negrón, Tania Collantes Medina, Rosa Carcausto Paco, Ermilio Antezana Cueto y Ofelia Antezana Torre</w:t>
      </w:r>
      <w:r w:rsidRPr="00DF0029">
        <w:rPr>
          <w:szCs w:val="20"/>
          <w:lang w:val="es-CR"/>
        </w:rPr>
        <w:t>,</w:t>
      </w:r>
      <w:r w:rsidRPr="00DF0029">
        <w:t xml:space="preserve"> en los términos de</w:t>
      </w:r>
      <w:r>
        <w:t xml:space="preserve"> </w:t>
      </w:r>
      <w:r w:rsidRPr="00DF0029">
        <w:t>l</w:t>
      </w:r>
      <w:r>
        <w:t>os</w:t>
      </w:r>
      <w:r w:rsidRPr="00DF0029">
        <w:t xml:space="preserve"> párrafo</w:t>
      </w:r>
      <w:r>
        <w:t>s</w:t>
      </w:r>
      <w:r w:rsidRPr="00DF0029">
        <w:t xml:space="preserve"> </w:t>
      </w:r>
      <w:r>
        <w:t>22</w:t>
      </w:r>
      <w:r w:rsidR="00784917">
        <w:t>7</w:t>
      </w:r>
      <w:r>
        <w:t xml:space="preserve"> a 23</w:t>
      </w:r>
      <w:r w:rsidR="00784917">
        <w:t>4</w:t>
      </w:r>
      <w:r w:rsidRPr="00DF0029">
        <w:t xml:space="preserve"> de la presente Sentencia.</w:t>
      </w:r>
    </w:p>
    <w:p w:rsidR="00FD3E6E" w:rsidRPr="00DF0029" w:rsidRDefault="00FD3E6E" w:rsidP="00FD3E6E">
      <w:pPr>
        <w:pStyle w:val="ListParagraph"/>
      </w:pPr>
    </w:p>
    <w:p w:rsidR="00FD3E6E" w:rsidRDefault="00FD3E6E" w:rsidP="00FD3E6E">
      <w:pPr>
        <w:pStyle w:val="ListParagraph"/>
        <w:numPr>
          <w:ilvl w:val="0"/>
          <w:numId w:val="40"/>
        </w:numPr>
      </w:pPr>
      <w:r w:rsidRPr="00DF0029">
        <w:rPr>
          <w:lang w:val="es-CR"/>
        </w:rPr>
        <w:t xml:space="preserve">El Estado no es responsable </w:t>
      </w:r>
      <w:r w:rsidRPr="00DF0029">
        <w:t>de la alegada violación</w:t>
      </w:r>
      <w:r>
        <w:t xml:space="preserve"> al deber de adoptar disposiciones de derecho interno, establecido en el artículo 2 de la Convención Americana sobre Derechos Humanos, en los términos de los párrafos 218 a 219 de la presente Sentencia.</w:t>
      </w:r>
    </w:p>
    <w:p w:rsidR="00FD3E6E" w:rsidRDefault="00FD3E6E" w:rsidP="00FD3E6E"/>
    <w:p w:rsidR="00FD3E6E" w:rsidRDefault="00FD3E6E" w:rsidP="00FD3E6E">
      <w:pPr>
        <w:pStyle w:val="ListParagraph"/>
        <w:ind w:left="0"/>
        <w:rPr>
          <w:b/>
          <w:szCs w:val="20"/>
        </w:rPr>
      </w:pPr>
      <w:r>
        <w:rPr>
          <w:b/>
        </w:rPr>
        <w:t>Y DISPONE:</w:t>
      </w:r>
    </w:p>
    <w:p w:rsidR="00FD3E6E" w:rsidRDefault="00FD3E6E" w:rsidP="00FD3E6E"/>
    <w:p w:rsidR="00FD3E6E" w:rsidRDefault="00FD3E6E" w:rsidP="00FD3E6E">
      <w:r>
        <w:t>Por unaminidad, que:</w:t>
      </w:r>
    </w:p>
    <w:p w:rsidR="00FD3E6E" w:rsidRDefault="00FD3E6E" w:rsidP="00FD3E6E"/>
    <w:p w:rsidR="00FD3E6E" w:rsidRDefault="00FD3E6E" w:rsidP="00FD3E6E">
      <w:pPr>
        <w:pStyle w:val="ListParagraph"/>
        <w:numPr>
          <w:ilvl w:val="0"/>
          <w:numId w:val="40"/>
        </w:numPr>
      </w:pPr>
      <w:r>
        <w:t>Esta Sentencia constituye, per se, una forma de reparación.</w:t>
      </w:r>
    </w:p>
    <w:p w:rsidR="00FD3E6E" w:rsidRDefault="00FD3E6E" w:rsidP="00FD3E6E">
      <w:pPr>
        <w:pStyle w:val="ListParagraph"/>
        <w:ind w:left="0"/>
      </w:pPr>
    </w:p>
    <w:p w:rsidR="00FD3E6E" w:rsidRPr="00DF0029" w:rsidRDefault="00FD3E6E" w:rsidP="00FD3E6E">
      <w:pPr>
        <w:pStyle w:val="ListParagraph"/>
        <w:numPr>
          <w:ilvl w:val="0"/>
          <w:numId w:val="40"/>
        </w:numPr>
      </w:pPr>
      <w:r w:rsidRPr="009D0DCC">
        <w:t xml:space="preserve">El Estado </w:t>
      </w:r>
      <w:r w:rsidR="00661D24" w:rsidRPr="009D0DCC">
        <w:rPr>
          <w:szCs w:val="20"/>
        </w:rPr>
        <w:t xml:space="preserve">debe </w:t>
      </w:r>
      <w:r w:rsidR="00661D24" w:rsidRPr="009D0DCC">
        <w:rPr>
          <w:szCs w:val="20"/>
          <w:lang w:val="es-CR"/>
        </w:rPr>
        <w:t>continuar con</w:t>
      </w:r>
      <w:r w:rsidR="00661D24" w:rsidRPr="009D0DCC">
        <w:rPr>
          <w:szCs w:val="20"/>
        </w:rPr>
        <w:t xml:space="preserve"> las investigaciones que sean necesarias para identificar, juzgar y, en su caso, sancionar a los responsables de las </w:t>
      </w:r>
      <w:r w:rsidR="00661D24" w:rsidRPr="009D0DCC">
        <w:rPr>
          <w:szCs w:val="20"/>
          <w:lang w:val="es-CR"/>
        </w:rPr>
        <w:t>desapariciones</w:t>
      </w:r>
      <w:r w:rsidR="00661D24" w:rsidRPr="009D0DCC">
        <w:rPr>
          <w:szCs w:val="20"/>
        </w:rPr>
        <w:t xml:space="preserve"> forzadas de</w:t>
      </w:r>
      <w:r w:rsidR="00CE16DA" w:rsidRPr="009D0DCC">
        <w:rPr>
          <w:szCs w:val="20"/>
          <w:lang w:val="es-CR" w:eastAsia="es-CO"/>
        </w:rPr>
        <w:t xml:space="preserve"> Wilfredo Terrones Silva, Teresa Díaz Apar</w:t>
      </w:r>
      <w:r w:rsidR="009D0DCC">
        <w:rPr>
          <w:szCs w:val="20"/>
          <w:lang w:val="es-CR" w:eastAsia="es-CO"/>
        </w:rPr>
        <w:t>icio, Néstor Rojas Medina y</w:t>
      </w:r>
      <w:r w:rsidR="00CE16DA" w:rsidRPr="009D0DCC">
        <w:rPr>
          <w:szCs w:val="20"/>
          <w:lang w:val="es-CR" w:eastAsia="es-CO"/>
        </w:rPr>
        <w:t xml:space="preserve"> Cory Clodolia Tenicela Tello</w:t>
      </w:r>
      <w:r w:rsidR="00661D24" w:rsidRPr="009D0DCC">
        <w:rPr>
          <w:szCs w:val="20"/>
        </w:rPr>
        <w:t>. Dicha obligación debe ser cumplida de acuerdo a los estándares establecidos por la jurisprudencia de esta Corte y en un plazo razonable</w:t>
      </w:r>
      <w:r w:rsidRPr="009D0DCC">
        <w:t xml:space="preserve">, de conformidad a lo establecido en los </w:t>
      </w:r>
      <w:r w:rsidRPr="009D0DCC">
        <w:lastRenderedPageBreak/>
        <w:t>párrafos 243</w:t>
      </w:r>
      <w:r w:rsidR="00661D24" w:rsidRPr="009D0DCC">
        <w:t xml:space="preserve">, </w:t>
      </w:r>
      <w:r w:rsidRPr="009D0DCC">
        <w:t xml:space="preserve">244 </w:t>
      </w:r>
      <w:r w:rsidR="00661D24" w:rsidRPr="009D0DCC">
        <w:t xml:space="preserve">y 246 </w:t>
      </w:r>
      <w:r w:rsidRPr="009D0DCC">
        <w:t>de la presente Sentencia</w:t>
      </w:r>
      <w:r w:rsidR="009D0DCC">
        <w:t>. Además, e</w:t>
      </w:r>
      <w:r w:rsidRPr="00DF0029">
        <w:t>l Estado debe realizar todas las diligencias necesarias con el fin de identificar, juzgar y, en su caso, sancionar a los responsables de la desaparición forzada</w:t>
      </w:r>
      <w:r w:rsidR="009D0DCC">
        <w:t>, así</w:t>
      </w:r>
      <w:r w:rsidRPr="00DF0029">
        <w:t xml:space="preserve"> como de la tortura que sufrió Santiago Antezana Cueto, en los términos del párrafo </w:t>
      </w:r>
      <w:r>
        <w:t>245</w:t>
      </w:r>
      <w:r w:rsidR="00BC2EDE">
        <w:t xml:space="preserve"> y 246</w:t>
      </w:r>
      <w:r w:rsidR="009D0DCC">
        <w:t xml:space="preserve"> de la presente Sentencia</w:t>
      </w:r>
      <w:r w:rsidR="009D0DCC" w:rsidRPr="00AF0EE2">
        <w:rPr>
          <w:rFonts w:cs="Verdana"/>
          <w:szCs w:val="20"/>
          <w:lang w:val="es-ES"/>
        </w:rPr>
        <w:t>.</w:t>
      </w:r>
    </w:p>
    <w:p w:rsidR="00FD3E6E" w:rsidRPr="00DF0029" w:rsidRDefault="00FD3E6E" w:rsidP="00FD3E6E">
      <w:pPr>
        <w:pStyle w:val="ListParagraph"/>
      </w:pPr>
    </w:p>
    <w:p w:rsidR="00FD3E6E" w:rsidRPr="00DF0029" w:rsidRDefault="00FD3E6E" w:rsidP="00FD3E6E">
      <w:pPr>
        <w:pStyle w:val="ListParagraph"/>
        <w:numPr>
          <w:ilvl w:val="0"/>
          <w:numId w:val="40"/>
        </w:numPr>
      </w:pPr>
      <w:r w:rsidRPr="00DF0029">
        <w:t xml:space="preserve">El Estado debe adoptar las medidas necesarias para dar cumplimiento a la sentencia dictada por la Sala Penal Nacional el 12 de diciembre de 2013 con respecto a Santiago Antezana Cueto, de conformidad con lo establecido en </w:t>
      </w:r>
      <w:r>
        <w:t>e</w:t>
      </w:r>
      <w:r w:rsidRPr="00DF0029">
        <w:t>l</w:t>
      </w:r>
      <w:r w:rsidR="00CE16DA">
        <w:t xml:space="preserve"> </w:t>
      </w:r>
      <w:r w:rsidRPr="00DF0029">
        <w:t>párrafo</w:t>
      </w:r>
      <w:r w:rsidR="00CE16DA">
        <w:t xml:space="preserve"> </w:t>
      </w:r>
      <w:r>
        <w:t>245</w:t>
      </w:r>
      <w:r w:rsidR="00CE16DA">
        <w:t xml:space="preserve"> </w:t>
      </w:r>
      <w:r w:rsidRPr="00DF0029">
        <w:t>de la presente Sentencia.</w:t>
      </w:r>
    </w:p>
    <w:p w:rsidR="00FD3E6E" w:rsidRPr="00DF0029" w:rsidRDefault="00FD3E6E" w:rsidP="00FD3E6E">
      <w:pPr>
        <w:pStyle w:val="ListParagraph"/>
        <w:ind w:left="0"/>
      </w:pPr>
    </w:p>
    <w:p w:rsidR="00FD3E6E" w:rsidRPr="00DF0029" w:rsidRDefault="00FD3E6E" w:rsidP="00FD3E6E">
      <w:pPr>
        <w:pStyle w:val="ListParagraph"/>
        <w:numPr>
          <w:ilvl w:val="0"/>
          <w:numId w:val="40"/>
        </w:numPr>
      </w:pPr>
      <w:r w:rsidRPr="00DF0029">
        <w:t>El Estado debe</w:t>
      </w:r>
      <w:r w:rsidRPr="00BC2EDE">
        <w:t>, en un plazo razonable,</w:t>
      </w:r>
      <w:r w:rsidRPr="00DF0029">
        <w:t xml:space="preserve"> extremar los esfuerzos de búsqueda exhaustiva por la vía judicial y/o administrativa adecuada, para determinar el paradero de Santiago Antezana Cueto, Wilfredo Terrones Silva, Teresa Díaz Aparicio, Néstor Rojas Medina y Cory Clodolia Tenicela Tello, de conformidad con lo establecido en </w:t>
      </w:r>
      <w:r w:rsidR="00CE16DA">
        <w:t>los</w:t>
      </w:r>
      <w:r w:rsidRPr="00DF0029">
        <w:t xml:space="preserve"> párrafo</w:t>
      </w:r>
      <w:r w:rsidR="00CE16DA">
        <w:t xml:space="preserve">s </w:t>
      </w:r>
      <w:r>
        <w:t xml:space="preserve">247 </w:t>
      </w:r>
      <w:r w:rsidR="00CE16DA">
        <w:t xml:space="preserve">y 248 </w:t>
      </w:r>
      <w:r w:rsidRPr="00DF0029">
        <w:t>de la presente Sentencia.</w:t>
      </w:r>
    </w:p>
    <w:p w:rsidR="00FD3E6E" w:rsidRPr="00DF0029" w:rsidRDefault="00FD3E6E" w:rsidP="00FD3E6E">
      <w:pPr>
        <w:pStyle w:val="ListParagraph"/>
      </w:pPr>
    </w:p>
    <w:p w:rsidR="00FD3E6E" w:rsidRDefault="00FD3E6E" w:rsidP="00FD3E6E">
      <w:pPr>
        <w:pStyle w:val="ListParagraph"/>
        <w:numPr>
          <w:ilvl w:val="0"/>
          <w:numId w:val="40"/>
        </w:numPr>
      </w:pPr>
      <w:r w:rsidRPr="00DF0029">
        <w:t>El Estado debe brindar, de forma inmediata, tratamiento</w:t>
      </w:r>
      <w:r w:rsidRPr="00DF0029">
        <w:rPr>
          <w:szCs w:val="20"/>
          <w:lang w:val="es-CR"/>
        </w:rPr>
        <w:t xml:space="preserve"> psicológico adecuado y prioritario </w:t>
      </w:r>
      <w:r w:rsidRPr="00B37DA7">
        <w:rPr>
          <w:szCs w:val="20"/>
          <w:lang w:val="es-CR"/>
        </w:rPr>
        <w:t>que requieran</w:t>
      </w:r>
      <w:r w:rsidRPr="00DF0029">
        <w:rPr>
          <w:szCs w:val="20"/>
          <w:lang w:val="es-CR"/>
        </w:rPr>
        <w:t xml:space="preserve"> </w:t>
      </w:r>
      <w:r w:rsidRPr="00DF0029">
        <w:rPr>
          <w:szCs w:val="20"/>
        </w:rPr>
        <w:t xml:space="preserve">Guillermina Frida Landázuri Gómez, </w:t>
      </w:r>
      <w:r>
        <w:rPr>
          <w:szCs w:val="20"/>
          <w:lang w:val="es-AR"/>
        </w:rPr>
        <w:t>Amadea Felipa Tello de Tenicela</w:t>
      </w:r>
      <w:r w:rsidRPr="00DF0029">
        <w:rPr>
          <w:szCs w:val="20"/>
          <w:lang w:val="es-AR"/>
        </w:rPr>
        <w:t xml:space="preserve">, Norma </w:t>
      </w:r>
      <w:r w:rsidR="00DB3A90">
        <w:rPr>
          <w:szCs w:val="20"/>
          <w:lang w:val="es-AR"/>
        </w:rPr>
        <w:t xml:space="preserve">Juana </w:t>
      </w:r>
      <w:r w:rsidRPr="00DF0029">
        <w:rPr>
          <w:szCs w:val="20"/>
          <w:lang w:val="es-AR"/>
        </w:rPr>
        <w:t>Tenicela Tello, Zenobio Washington Tenicela</w:t>
      </w:r>
      <w:r w:rsidR="003579A2">
        <w:rPr>
          <w:szCs w:val="20"/>
          <w:lang w:val="es-AR"/>
        </w:rPr>
        <w:t xml:space="preserve"> Tello</w:t>
      </w:r>
      <w:r w:rsidRPr="00DF0029">
        <w:rPr>
          <w:szCs w:val="20"/>
          <w:lang w:val="es-AR"/>
        </w:rPr>
        <w:t xml:space="preserve">, </w:t>
      </w:r>
      <w:r w:rsidRPr="00DF0029">
        <w:rPr>
          <w:szCs w:val="20"/>
        </w:rPr>
        <w:t>Marcelina Medina Negrón, Tania Collantes Medina, Rosa Carcausto Paco, Ermilio Antezana Cueto, y Ofelia Antezana Torre</w:t>
      </w:r>
      <w:r w:rsidRPr="00DF0029">
        <w:rPr>
          <w:szCs w:val="20"/>
          <w:lang w:val="es-CR"/>
        </w:rPr>
        <w:t>,</w:t>
      </w:r>
      <w:r w:rsidRPr="00DF0029">
        <w:t xml:space="preserve"> en los términos del párrafo </w:t>
      </w:r>
      <w:r>
        <w:t>252</w:t>
      </w:r>
      <w:r w:rsidRPr="00DF0029">
        <w:t xml:space="preserve"> de la presente Sentencia.</w:t>
      </w:r>
    </w:p>
    <w:p w:rsidR="00CE16DA" w:rsidRPr="00DF0029" w:rsidRDefault="00CE16DA" w:rsidP="00B37DA7">
      <w:pPr>
        <w:pStyle w:val="ListParagraph"/>
        <w:ind w:left="0"/>
      </w:pPr>
    </w:p>
    <w:p w:rsidR="00FD3E6E" w:rsidRDefault="00FD3E6E" w:rsidP="00FD3E6E">
      <w:pPr>
        <w:pStyle w:val="ListParagraph"/>
        <w:numPr>
          <w:ilvl w:val="0"/>
          <w:numId w:val="40"/>
        </w:numPr>
      </w:pPr>
      <w:r>
        <w:t>El Estado debe realizar las publicaciones indicadas en el párrafo 254 de la presente Sentencia.</w:t>
      </w:r>
    </w:p>
    <w:p w:rsidR="00FD3E6E" w:rsidRDefault="00FD3E6E" w:rsidP="00FD3E6E">
      <w:pPr>
        <w:pStyle w:val="ListParagraph"/>
      </w:pPr>
    </w:p>
    <w:p w:rsidR="00FD3E6E" w:rsidRDefault="00FD3E6E" w:rsidP="00FD3E6E">
      <w:pPr>
        <w:pStyle w:val="ListParagraph"/>
        <w:numPr>
          <w:ilvl w:val="0"/>
          <w:numId w:val="40"/>
        </w:numPr>
      </w:pPr>
      <w:r>
        <w:t xml:space="preserve">El Estado debe realizar un acto público de reconocimiento de responsabilidad internacional con relación a la desaparición forzada de </w:t>
      </w:r>
      <w:r>
        <w:rPr>
          <w:szCs w:val="20"/>
        </w:rPr>
        <w:t>las víctimas</w:t>
      </w:r>
      <w:r>
        <w:t>, en los términos del párrafo 255 de la presente Sentencia.</w:t>
      </w:r>
    </w:p>
    <w:p w:rsidR="00FD3E6E" w:rsidRDefault="00FD3E6E" w:rsidP="00FD3E6E">
      <w:pPr>
        <w:pStyle w:val="ListParagraph"/>
      </w:pPr>
    </w:p>
    <w:p w:rsidR="00FD3E6E" w:rsidRPr="00DF0029" w:rsidRDefault="00FD3E6E" w:rsidP="00FD3E6E">
      <w:pPr>
        <w:pStyle w:val="ListParagraph"/>
        <w:numPr>
          <w:ilvl w:val="0"/>
          <w:numId w:val="40"/>
        </w:numPr>
      </w:pPr>
      <w:r w:rsidRPr="00DF0029">
        <w:rPr>
          <w:szCs w:val="20"/>
          <w:lang w:val="es-CR"/>
        </w:rPr>
        <w:t xml:space="preserve">El Estado debe colocar una placa en homenaje a Teresa Díaz Aparicio y el reconocimiento de que fue desaparecida forzosamente por agentes estatales, en los términos del párrafo </w:t>
      </w:r>
      <w:r>
        <w:rPr>
          <w:szCs w:val="20"/>
          <w:lang w:val="es-CR"/>
        </w:rPr>
        <w:t>256</w:t>
      </w:r>
      <w:r w:rsidRPr="00DF0029">
        <w:rPr>
          <w:szCs w:val="20"/>
          <w:lang w:val="es-CR"/>
        </w:rPr>
        <w:t>.</w:t>
      </w:r>
    </w:p>
    <w:p w:rsidR="00FD3E6E" w:rsidRDefault="00FD3E6E" w:rsidP="00FD3E6E">
      <w:pPr>
        <w:pStyle w:val="ListParagraph"/>
      </w:pPr>
    </w:p>
    <w:p w:rsidR="00FD3E6E" w:rsidRDefault="00FD3E6E" w:rsidP="00FD3E6E">
      <w:pPr>
        <w:pStyle w:val="ListParagraph"/>
        <w:numPr>
          <w:ilvl w:val="0"/>
          <w:numId w:val="40"/>
        </w:numPr>
      </w:pPr>
      <w:r>
        <w:t>El Estado debe pagar las cantidades f</w:t>
      </w:r>
      <w:r w:rsidR="003579A2">
        <w:t>ijadas en los párrafos 270 a 277</w:t>
      </w:r>
      <w:r>
        <w:t xml:space="preserve"> de la presente Sentencia, por concepto de indemnizaciones por daños materiales e inmateriales y por el reintegro de costas y gastos, en los términos del párrafo 284.</w:t>
      </w:r>
    </w:p>
    <w:p w:rsidR="00FD3E6E" w:rsidRDefault="00FD3E6E" w:rsidP="00FD3E6E">
      <w:pPr>
        <w:pStyle w:val="ListParagraph"/>
      </w:pPr>
    </w:p>
    <w:p w:rsidR="00FD3E6E" w:rsidRDefault="00FD3E6E" w:rsidP="00FD3E6E">
      <w:pPr>
        <w:pStyle w:val="ListParagraph"/>
        <w:numPr>
          <w:ilvl w:val="0"/>
          <w:numId w:val="40"/>
        </w:numPr>
      </w:pPr>
      <w:r>
        <w:t>El Estado debe reintegrar al Fondo de Asistencia de la Corte la suma establecida en el párrafo 289, en los términos de dicho párrafo de la presente Sentencia.</w:t>
      </w:r>
    </w:p>
    <w:p w:rsidR="00FD3E6E" w:rsidRDefault="00FD3E6E" w:rsidP="00FD3E6E">
      <w:pPr>
        <w:pStyle w:val="ListParagraph"/>
      </w:pPr>
    </w:p>
    <w:p w:rsidR="00FD3E6E" w:rsidRDefault="00FD3E6E" w:rsidP="00FD3E6E">
      <w:pPr>
        <w:pStyle w:val="ListParagraph"/>
        <w:numPr>
          <w:ilvl w:val="0"/>
          <w:numId w:val="40"/>
        </w:numPr>
      </w:pPr>
      <w:r>
        <w:rPr>
          <w:bCs/>
          <w:szCs w:val="20"/>
          <w:lang w:val="es-ES"/>
        </w:rPr>
        <w:t xml:space="preserve">El Estado debe, dentro del plazo de un año contado a partir de la notificación de esta Sentencia, rendir al Tribunal un informe sobre las medidas adoptadas para cumplir con la misma, sin perjuicio de lo establecido en el párrafo </w:t>
      </w:r>
      <w:r w:rsidR="00595AF3">
        <w:rPr>
          <w:bCs/>
          <w:szCs w:val="20"/>
          <w:lang w:val="es-ES"/>
        </w:rPr>
        <w:t xml:space="preserve">254 </w:t>
      </w:r>
      <w:r>
        <w:rPr>
          <w:bCs/>
          <w:szCs w:val="20"/>
          <w:lang w:val="es-ES"/>
        </w:rPr>
        <w:t>de la presente Sentencia.</w:t>
      </w:r>
    </w:p>
    <w:p w:rsidR="00FD3E6E" w:rsidRDefault="00FD3E6E" w:rsidP="00FD3E6E">
      <w:pPr>
        <w:pStyle w:val="ListParagraph"/>
      </w:pPr>
    </w:p>
    <w:p w:rsidR="00FD3E6E" w:rsidRDefault="00FD3E6E" w:rsidP="00FD3E6E">
      <w:pPr>
        <w:pStyle w:val="ListParagraph"/>
        <w:numPr>
          <w:ilvl w:val="0"/>
          <w:numId w:val="40"/>
        </w:numPr>
      </w:pPr>
      <w:r>
        <w:rPr>
          <w:bCs/>
          <w:szCs w:val="20"/>
          <w:lang w:val="es-ES"/>
        </w:rPr>
        <w:t>La Corte supervisará el cumplimiento íntegro de esta Sentencia, en ejercicio de sus atribuciones y en cumplimiento de sus deberes conforme a la Convención Americana sobre Derechos Humanos, y dará por concluido el presente caso una vez que el Estado haya dado cabal cumplimiento a lo dispuesto en la misma.</w:t>
      </w:r>
    </w:p>
    <w:p w:rsidR="00FD3E6E" w:rsidRDefault="00FD3E6E" w:rsidP="00FD3E6E">
      <w:pPr>
        <w:tabs>
          <w:tab w:val="left" w:pos="720"/>
        </w:tabs>
        <w:ind w:right="-90"/>
        <w:contextualSpacing/>
        <w:rPr>
          <w:b/>
          <w:bCs/>
          <w:szCs w:val="20"/>
          <w:lang w:val="es-ES"/>
        </w:rPr>
      </w:pPr>
    </w:p>
    <w:p w:rsidR="00FD3E6E" w:rsidRPr="00F024DB" w:rsidRDefault="00FD3E6E" w:rsidP="00FD3E6E">
      <w:pPr>
        <w:tabs>
          <w:tab w:val="left" w:pos="720"/>
        </w:tabs>
        <w:ind w:right="-90"/>
        <w:contextualSpacing/>
        <w:rPr>
          <w:bCs/>
          <w:szCs w:val="20"/>
          <w:lang w:val="es-ES"/>
        </w:rPr>
      </w:pPr>
      <w:r w:rsidRPr="00754EB7">
        <w:rPr>
          <w:bCs/>
          <w:szCs w:val="20"/>
          <w:lang w:val="es-ES"/>
        </w:rPr>
        <w:t xml:space="preserve">El Juez Eduardo Vio Grossi hizo conocer a la Corte su voto </w:t>
      </w:r>
      <w:r w:rsidR="002E3045">
        <w:rPr>
          <w:bCs/>
          <w:szCs w:val="20"/>
          <w:lang w:val="es-ES"/>
        </w:rPr>
        <w:t>concurrente</w:t>
      </w:r>
      <w:r w:rsidRPr="00754EB7">
        <w:rPr>
          <w:bCs/>
          <w:szCs w:val="20"/>
          <w:lang w:val="es-ES"/>
        </w:rPr>
        <w:t>, el cual acompaña esta Sentencia.</w:t>
      </w:r>
    </w:p>
    <w:p w:rsidR="00FD3E6E" w:rsidRDefault="00FD3E6E" w:rsidP="00FD3E6E">
      <w:pPr>
        <w:tabs>
          <w:tab w:val="left" w:pos="720"/>
        </w:tabs>
        <w:ind w:right="-90"/>
        <w:contextualSpacing/>
        <w:rPr>
          <w:b/>
          <w:bCs/>
          <w:szCs w:val="20"/>
          <w:lang w:val="es-ES"/>
        </w:rPr>
      </w:pPr>
    </w:p>
    <w:p w:rsidR="00FD3E6E" w:rsidRPr="0040650D" w:rsidRDefault="00FD3E6E" w:rsidP="00FD3E6E">
      <w:pPr>
        <w:tabs>
          <w:tab w:val="left" w:pos="720"/>
        </w:tabs>
        <w:ind w:right="-90"/>
        <w:contextualSpacing/>
        <w:rPr>
          <w:bCs/>
          <w:szCs w:val="20"/>
          <w:lang w:val="es-ES"/>
        </w:rPr>
      </w:pPr>
      <w:r>
        <w:rPr>
          <w:bCs/>
          <w:szCs w:val="20"/>
          <w:lang w:val="es-ES"/>
        </w:rPr>
        <w:t>Redactada en español en San José, Costa Rica, el 26 de septiembre de 2018.</w:t>
      </w:r>
    </w:p>
    <w:p w:rsidR="00E41797" w:rsidRDefault="00E41797" w:rsidP="00E41797">
      <w:pPr>
        <w:rPr>
          <w:lang w:val="es-ES"/>
        </w:rPr>
      </w:pPr>
      <w:r>
        <w:rPr>
          <w:lang w:val="es-ES"/>
        </w:rPr>
        <w:lastRenderedPageBreak/>
        <w:t xml:space="preserve">Corte IDH. Caso </w:t>
      </w:r>
      <w:r>
        <w:rPr>
          <w:i/>
          <w:lang w:val="es-ES"/>
        </w:rPr>
        <w:t>Terrones Silva y otros Vs. Perú</w:t>
      </w:r>
      <w:r>
        <w:rPr>
          <w:lang w:val="es-ES"/>
        </w:rPr>
        <w:t>. Excepciones Preliminares, Fondo, Reparaciones y Costas. Sentencia de 26 de septiembre de 2018.</w:t>
      </w:r>
    </w:p>
    <w:p w:rsidR="00E41797" w:rsidRDefault="00E41797" w:rsidP="00E41797">
      <w:pPr>
        <w:jc w:val="center"/>
        <w:rPr>
          <w:lang w:val="pt-BR"/>
        </w:rPr>
      </w:pPr>
    </w:p>
    <w:p w:rsidR="00E41797" w:rsidRDefault="00E41797" w:rsidP="00E41797">
      <w:pPr>
        <w:jc w:val="center"/>
        <w:rPr>
          <w:lang w:val="pt-BR"/>
        </w:rPr>
      </w:pPr>
    </w:p>
    <w:p w:rsidR="00E41797" w:rsidRDefault="00E41797" w:rsidP="00E41797">
      <w:pPr>
        <w:jc w:val="center"/>
        <w:rPr>
          <w:lang w:val="pt-BR"/>
        </w:rPr>
      </w:pPr>
    </w:p>
    <w:p w:rsidR="00E41797" w:rsidRDefault="00E41797" w:rsidP="00E41797">
      <w:pPr>
        <w:jc w:val="center"/>
        <w:rPr>
          <w:lang w:val="pt-BR"/>
        </w:rPr>
      </w:pPr>
    </w:p>
    <w:p w:rsidR="00E41797" w:rsidRDefault="00E41797" w:rsidP="00E41797">
      <w:pPr>
        <w:jc w:val="center"/>
        <w:rPr>
          <w:lang w:val="pt-BR"/>
        </w:rPr>
      </w:pPr>
    </w:p>
    <w:p w:rsidR="00E41797" w:rsidRPr="0019261A" w:rsidRDefault="00E41797" w:rsidP="00E41797">
      <w:pPr>
        <w:jc w:val="center"/>
        <w:rPr>
          <w:lang w:val="pt-BR"/>
        </w:rPr>
      </w:pPr>
      <w:r w:rsidRPr="0019261A">
        <w:rPr>
          <w:lang w:val="pt-BR"/>
        </w:rPr>
        <w:t>Eduardo Ferrer Mac-Gregor Poisot</w:t>
      </w:r>
    </w:p>
    <w:p w:rsidR="00E41797" w:rsidRDefault="00E41797" w:rsidP="00E41797">
      <w:pPr>
        <w:jc w:val="center"/>
        <w:rPr>
          <w:lang w:val="pt-BR"/>
        </w:rPr>
      </w:pPr>
      <w:r w:rsidRPr="0019261A">
        <w:rPr>
          <w:lang w:val="pt-BR"/>
        </w:rPr>
        <w:t xml:space="preserve">Presidente </w:t>
      </w:r>
    </w:p>
    <w:p w:rsidR="00E41797" w:rsidRPr="0019261A" w:rsidRDefault="00E41797" w:rsidP="00E41797">
      <w:pPr>
        <w:jc w:val="center"/>
        <w:rPr>
          <w:lang w:val="pt-BR"/>
        </w:rPr>
      </w:pPr>
    </w:p>
    <w:p w:rsidR="00E41797" w:rsidRPr="0019261A" w:rsidRDefault="00E41797" w:rsidP="00E41797">
      <w:pPr>
        <w:rPr>
          <w:lang w:val="pt-BR"/>
        </w:rPr>
      </w:pPr>
    </w:p>
    <w:p w:rsidR="00E41797" w:rsidRPr="0019261A" w:rsidRDefault="00E41797" w:rsidP="00E41797">
      <w:pPr>
        <w:rPr>
          <w:lang w:val="pt-BR"/>
        </w:rPr>
      </w:pPr>
    </w:p>
    <w:p w:rsidR="00E41797" w:rsidRPr="0019261A" w:rsidRDefault="00E41797" w:rsidP="00E41797">
      <w:pPr>
        <w:rPr>
          <w:lang w:val="pt-BR"/>
        </w:rPr>
      </w:pPr>
    </w:p>
    <w:p w:rsidR="00E41797" w:rsidRPr="0019261A" w:rsidRDefault="00E41797" w:rsidP="00E41797">
      <w:pPr>
        <w:rPr>
          <w:lang w:val="pt-BR"/>
        </w:rPr>
      </w:pPr>
    </w:p>
    <w:p w:rsidR="00E41797" w:rsidRPr="0019261A" w:rsidRDefault="00E41797" w:rsidP="00E41797">
      <w:pPr>
        <w:rPr>
          <w:lang w:val="pt-BR"/>
        </w:rPr>
      </w:pPr>
      <w:r w:rsidRPr="0019261A">
        <w:rPr>
          <w:lang w:val="pt-BR"/>
        </w:rPr>
        <w:t xml:space="preserve"> Eduardo Vio Grossi</w:t>
      </w:r>
      <w:r w:rsidRPr="0019261A">
        <w:rPr>
          <w:lang w:val="pt-BR"/>
        </w:rPr>
        <w:tab/>
      </w:r>
      <w:r w:rsidRPr="0019261A">
        <w:rPr>
          <w:lang w:val="pt-BR"/>
        </w:rPr>
        <w:tab/>
      </w:r>
      <w:r w:rsidRPr="0019261A">
        <w:rPr>
          <w:lang w:val="pt-BR"/>
        </w:rPr>
        <w:tab/>
      </w:r>
      <w:r w:rsidRPr="0019261A">
        <w:rPr>
          <w:lang w:val="pt-BR"/>
        </w:rPr>
        <w:tab/>
      </w:r>
      <w:r>
        <w:rPr>
          <w:lang w:val="pt-BR"/>
        </w:rPr>
        <w:tab/>
      </w:r>
      <w:r>
        <w:rPr>
          <w:lang w:val="pt-BR"/>
        </w:rPr>
        <w:tab/>
      </w:r>
      <w:r>
        <w:rPr>
          <w:lang w:val="pt-BR"/>
        </w:rPr>
        <w:tab/>
        <w:t xml:space="preserve">    </w:t>
      </w:r>
      <w:r w:rsidRPr="0019261A">
        <w:rPr>
          <w:lang w:val="pt-BR"/>
        </w:rPr>
        <w:t xml:space="preserve">Humberto </w:t>
      </w:r>
      <w:r>
        <w:rPr>
          <w:lang w:val="pt-BR"/>
        </w:rPr>
        <w:t xml:space="preserve">A. </w:t>
      </w:r>
      <w:r w:rsidRPr="0019261A">
        <w:rPr>
          <w:lang w:val="pt-BR"/>
        </w:rPr>
        <w:t>Sierra Porto</w:t>
      </w:r>
      <w:r w:rsidRPr="0019261A">
        <w:rPr>
          <w:lang w:val="pt-BR"/>
        </w:rPr>
        <w:tab/>
      </w:r>
      <w:r w:rsidRPr="0019261A">
        <w:rPr>
          <w:lang w:val="pt-BR"/>
        </w:rPr>
        <w:tab/>
      </w:r>
      <w:r w:rsidRPr="0019261A">
        <w:rPr>
          <w:lang w:val="pt-BR"/>
        </w:rPr>
        <w:tab/>
      </w:r>
    </w:p>
    <w:p w:rsidR="00E41797" w:rsidRPr="0019261A" w:rsidRDefault="00E41797" w:rsidP="00E41797">
      <w:pPr>
        <w:rPr>
          <w:lang w:val="pt-BR"/>
        </w:rPr>
      </w:pPr>
    </w:p>
    <w:p w:rsidR="00E41797" w:rsidRPr="0019261A" w:rsidRDefault="00E41797" w:rsidP="00E41797">
      <w:pPr>
        <w:rPr>
          <w:lang w:val="pt-BR"/>
        </w:rPr>
      </w:pPr>
    </w:p>
    <w:p w:rsidR="00E41797" w:rsidRPr="0019261A" w:rsidRDefault="00E41797" w:rsidP="00E41797">
      <w:pPr>
        <w:rPr>
          <w:lang w:val="pt-BR"/>
        </w:rPr>
      </w:pPr>
    </w:p>
    <w:p w:rsidR="00E41797" w:rsidRPr="0019261A" w:rsidRDefault="00E41797" w:rsidP="00E41797">
      <w:pPr>
        <w:rPr>
          <w:lang w:val="pt-BR"/>
        </w:rPr>
      </w:pPr>
    </w:p>
    <w:p w:rsidR="00E41797" w:rsidRPr="0019261A" w:rsidRDefault="00E41797" w:rsidP="00E41797">
      <w:pPr>
        <w:rPr>
          <w:lang w:val="pt-BR"/>
        </w:rPr>
      </w:pPr>
    </w:p>
    <w:p w:rsidR="00E41797" w:rsidRPr="0019261A" w:rsidRDefault="00E41797" w:rsidP="00E41797">
      <w:pPr>
        <w:rPr>
          <w:lang w:val="pt-BR"/>
        </w:rPr>
      </w:pPr>
      <w:r w:rsidRPr="0019261A">
        <w:rPr>
          <w:lang w:val="pt-BR"/>
        </w:rPr>
        <w:t>Eugenio Raúl Zaffaroni</w:t>
      </w:r>
      <w:r>
        <w:rPr>
          <w:lang w:val="pt-BR"/>
        </w:rPr>
        <w:tab/>
      </w:r>
      <w:r>
        <w:rPr>
          <w:lang w:val="pt-BR"/>
        </w:rPr>
        <w:tab/>
      </w:r>
      <w:r>
        <w:rPr>
          <w:lang w:val="pt-BR"/>
        </w:rPr>
        <w:tab/>
      </w:r>
      <w:r>
        <w:rPr>
          <w:lang w:val="pt-BR"/>
        </w:rPr>
        <w:tab/>
      </w:r>
      <w:r>
        <w:rPr>
          <w:lang w:val="pt-BR"/>
        </w:rPr>
        <w:tab/>
      </w:r>
      <w:r>
        <w:rPr>
          <w:lang w:val="pt-BR"/>
        </w:rPr>
        <w:tab/>
        <w:t xml:space="preserve">   L. Patricio Pazmiño Frei</w:t>
      </w:r>
      <w:r w:rsidRPr="0019261A">
        <w:rPr>
          <w:lang w:val="pt-BR"/>
        </w:rPr>
        <w:t>re</w:t>
      </w:r>
    </w:p>
    <w:p w:rsidR="00E41797" w:rsidRPr="0019261A" w:rsidRDefault="00E41797" w:rsidP="00E41797">
      <w:pPr>
        <w:rPr>
          <w:lang w:val="pt-BR"/>
        </w:rPr>
      </w:pPr>
    </w:p>
    <w:p w:rsidR="00E41797" w:rsidRPr="0019261A" w:rsidRDefault="00E41797" w:rsidP="00E41797">
      <w:pPr>
        <w:rPr>
          <w:lang w:val="pt-BR"/>
        </w:rPr>
      </w:pPr>
    </w:p>
    <w:p w:rsidR="00E41797" w:rsidRPr="0019261A" w:rsidRDefault="00E41797" w:rsidP="00E41797">
      <w:pPr>
        <w:rPr>
          <w:lang w:val="pt-BR"/>
        </w:rPr>
      </w:pPr>
    </w:p>
    <w:p w:rsidR="00E41797" w:rsidRDefault="00E41797" w:rsidP="00E41797">
      <w:pPr>
        <w:rPr>
          <w:lang w:val="pt-BR"/>
        </w:rPr>
      </w:pPr>
    </w:p>
    <w:p w:rsidR="00E41797" w:rsidRDefault="00E41797" w:rsidP="00E41797">
      <w:pPr>
        <w:rPr>
          <w:lang w:val="pt-BR"/>
        </w:rPr>
      </w:pPr>
    </w:p>
    <w:p w:rsidR="00E41797" w:rsidRPr="0019261A" w:rsidRDefault="00E41797" w:rsidP="00E41797">
      <w:pPr>
        <w:rPr>
          <w:lang w:val="pt-BR"/>
        </w:rPr>
      </w:pPr>
    </w:p>
    <w:p w:rsidR="00E41797" w:rsidRPr="0019261A" w:rsidRDefault="00E41797" w:rsidP="00E41797">
      <w:pPr>
        <w:rPr>
          <w:lang w:val="pt-BR"/>
        </w:rPr>
      </w:pPr>
    </w:p>
    <w:p w:rsidR="00E41797" w:rsidRPr="00FC4051" w:rsidRDefault="00E41797" w:rsidP="00E41797">
      <w:pPr>
        <w:jc w:val="center"/>
        <w:rPr>
          <w:lang w:val="pt-BR"/>
        </w:rPr>
      </w:pPr>
      <w:r w:rsidRPr="00FC4051">
        <w:rPr>
          <w:lang w:val="pt-BR"/>
        </w:rPr>
        <w:t>Pablo Saavedra Alessandri</w:t>
      </w:r>
    </w:p>
    <w:p w:rsidR="00E41797" w:rsidRDefault="00E41797" w:rsidP="00E41797">
      <w:pPr>
        <w:jc w:val="center"/>
        <w:rPr>
          <w:lang w:val="pt-BR"/>
        </w:rPr>
      </w:pPr>
      <w:r w:rsidRPr="00FC4051">
        <w:rPr>
          <w:lang w:val="pt-BR"/>
        </w:rPr>
        <w:t>Secret</w:t>
      </w:r>
      <w:r>
        <w:rPr>
          <w:lang w:val="pt-BR"/>
        </w:rPr>
        <w:t>a</w:t>
      </w:r>
      <w:r w:rsidRPr="00FC4051">
        <w:rPr>
          <w:lang w:val="pt-BR"/>
        </w:rPr>
        <w:t>rio</w:t>
      </w:r>
    </w:p>
    <w:p w:rsidR="00E41797" w:rsidRDefault="00E41797" w:rsidP="00E41797">
      <w:pPr>
        <w:jc w:val="center"/>
        <w:rPr>
          <w:lang w:val="pt-BR"/>
        </w:rPr>
      </w:pPr>
    </w:p>
    <w:p w:rsidR="00E41797" w:rsidRDefault="00E41797" w:rsidP="00E41797">
      <w:pPr>
        <w:jc w:val="center"/>
        <w:rPr>
          <w:lang w:val="pt-BR"/>
        </w:rPr>
      </w:pPr>
    </w:p>
    <w:p w:rsidR="00E41797" w:rsidRPr="00FC4051" w:rsidRDefault="00E41797" w:rsidP="00E41797">
      <w:pPr>
        <w:jc w:val="center"/>
        <w:rPr>
          <w:lang w:val="pt-BR"/>
        </w:rPr>
      </w:pPr>
    </w:p>
    <w:p w:rsidR="00E41797" w:rsidRPr="00FC4051" w:rsidRDefault="00E41797" w:rsidP="00E41797">
      <w:pPr>
        <w:pStyle w:val="FootnoteText"/>
        <w:rPr>
          <w:lang w:val="pt-BR"/>
        </w:rPr>
      </w:pPr>
    </w:p>
    <w:p w:rsidR="00E41797" w:rsidRPr="00FC4051" w:rsidRDefault="00E41797" w:rsidP="00E41797">
      <w:pPr>
        <w:pStyle w:val="FootnoteText"/>
        <w:rPr>
          <w:lang w:val="pt-BR"/>
        </w:rPr>
      </w:pPr>
    </w:p>
    <w:p w:rsidR="00E41797" w:rsidRPr="00FC4051" w:rsidRDefault="00E41797" w:rsidP="00E41797">
      <w:pPr>
        <w:rPr>
          <w:lang w:val="pt-BR"/>
        </w:rPr>
      </w:pPr>
      <w:r>
        <w:rPr>
          <w:lang w:val="pt-BR"/>
        </w:rPr>
        <w:t>Comuníquese y ejecútese</w:t>
      </w:r>
      <w:r w:rsidRPr="00FC4051">
        <w:rPr>
          <w:lang w:val="pt-BR"/>
        </w:rPr>
        <w:t>,</w:t>
      </w:r>
    </w:p>
    <w:p w:rsidR="00E41797" w:rsidRPr="00FC4051" w:rsidRDefault="00E41797" w:rsidP="00E41797">
      <w:pPr>
        <w:rPr>
          <w:lang w:val="pt-BR"/>
        </w:rPr>
      </w:pPr>
    </w:p>
    <w:p w:rsidR="00E41797" w:rsidRPr="00FC4051" w:rsidRDefault="00E41797" w:rsidP="00E41797">
      <w:pPr>
        <w:rPr>
          <w:lang w:val="pt-BR"/>
        </w:rPr>
      </w:pPr>
    </w:p>
    <w:p w:rsidR="00E41797" w:rsidRDefault="00E41797" w:rsidP="00E41797">
      <w:pPr>
        <w:jc w:val="right"/>
        <w:rPr>
          <w:lang w:val="pt-BR"/>
        </w:rPr>
      </w:pPr>
    </w:p>
    <w:p w:rsidR="00E41797" w:rsidRPr="00FC4051" w:rsidRDefault="00E41797" w:rsidP="00E41797">
      <w:pPr>
        <w:jc w:val="right"/>
        <w:rPr>
          <w:lang w:val="pt-BR"/>
        </w:rPr>
      </w:pPr>
    </w:p>
    <w:p w:rsidR="00E41797" w:rsidRPr="00FC4051" w:rsidRDefault="00E41797" w:rsidP="00E41797">
      <w:pPr>
        <w:jc w:val="right"/>
        <w:rPr>
          <w:lang w:val="pt-BR"/>
        </w:rPr>
      </w:pPr>
    </w:p>
    <w:p w:rsidR="00E41797" w:rsidRPr="00FC4051" w:rsidRDefault="00E41797" w:rsidP="00E41797">
      <w:pPr>
        <w:jc w:val="center"/>
        <w:rPr>
          <w:lang w:val="pt-BR"/>
        </w:rPr>
      </w:pPr>
      <w:r>
        <w:rPr>
          <w:lang w:val="pt-BR"/>
        </w:rPr>
        <w:t xml:space="preserve">                                                                                   </w:t>
      </w:r>
      <w:r w:rsidRPr="0019261A">
        <w:rPr>
          <w:lang w:val="pt-BR"/>
        </w:rPr>
        <w:t>Eduardo Ferrer Mac-Gregor Poisot</w:t>
      </w:r>
    </w:p>
    <w:p w:rsidR="00E41797" w:rsidRDefault="00E41797" w:rsidP="00E41797">
      <w:pPr>
        <w:ind w:left="6480"/>
        <w:rPr>
          <w:lang w:val="pt-BR"/>
        </w:rPr>
      </w:pPr>
      <w:r>
        <w:rPr>
          <w:lang w:val="pt-BR"/>
        </w:rPr>
        <w:t xml:space="preserve">       </w:t>
      </w:r>
      <w:r w:rsidRPr="0019261A">
        <w:rPr>
          <w:lang w:val="pt-BR"/>
        </w:rPr>
        <w:t xml:space="preserve">Presidente </w:t>
      </w:r>
    </w:p>
    <w:p w:rsidR="00E41797" w:rsidRDefault="00E41797" w:rsidP="00E41797">
      <w:pPr>
        <w:ind w:left="6480"/>
        <w:rPr>
          <w:lang w:val="pt-BR"/>
        </w:rPr>
      </w:pPr>
    </w:p>
    <w:p w:rsidR="00E41797" w:rsidRDefault="00E41797" w:rsidP="00E41797">
      <w:pPr>
        <w:ind w:left="6480"/>
        <w:rPr>
          <w:lang w:val="pt-BR"/>
        </w:rPr>
      </w:pPr>
    </w:p>
    <w:p w:rsidR="00E41797" w:rsidRPr="00FC4051" w:rsidRDefault="00E41797" w:rsidP="00E41797">
      <w:pPr>
        <w:rPr>
          <w:lang w:val="pt-BR"/>
        </w:rPr>
      </w:pPr>
    </w:p>
    <w:p w:rsidR="00E41797" w:rsidRPr="00FC4051" w:rsidRDefault="00E41797" w:rsidP="00E41797">
      <w:pPr>
        <w:rPr>
          <w:lang w:val="pt-BR"/>
        </w:rPr>
      </w:pPr>
    </w:p>
    <w:p w:rsidR="00E41797" w:rsidRPr="00FC4051" w:rsidRDefault="00E41797" w:rsidP="00E41797">
      <w:pPr>
        <w:rPr>
          <w:lang w:val="pt-BR"/>
        </w:rPr>
      </w:pPr>
      <w:r w:rsidRPr="00FC4051">
        <w:rPr>
          <w:lang w:val="pt-BR"/>
        </w:rPr>
        <w:t>Pablo Saavedra Alessandri</w:t>
      </w:r>
    </w:p>
    <w:p w:rsidR="00E41797" w:rsidRDefault="00E41797" w:rsidP="00E41797">
      <w:pPr>
        <w:rPr>
          <w:lang w:val="es-ES"/>
        </w:rPr>
      </w:pPr>
      <w:r w:rsidRPr="00FC4051">
        <w:rPr>
          <w:lang w:val="pt-BR"/>
        </w:rPr>
        <w:tab/>
      </w:r>
      <w:r w:rsidRPr="0019261A">
        <w:rPr>
          <w:lang w:val="es-ES"/>
        </w:rPr>
        <w:t>Secret</w:t>
      </w:r>
      <w:r>
        <w:rPr>
          <w:lang w:val="es-ES"/>
        </w:rPr>
        <w:t>ario</w:t>
      </w:r>
    </w:p>
    <w:p w:rsidR="00C6046C" w:rsidRDefault="00C6046C" w:rsidP="002D7694">
      <w:pPr>
        <w:tabs>
          <w:tab w:val="left" w:pos="720"/>
        </w:tabs>
        <w:ind w:right="-90"/>
        <w:contextualSpacing/>
        <w:rPr>
          <w:szCs w:val="20"/>
          <w:highlight w:val="yellow"/>
          <w:lang w:val="es-ES"/>
        </w:rPr>
      </w:pPr>
    </w:p>
    <w:p w:rsidR="00C6046C" w:rsidRPr="002D7694" w:rsidRDefault="00C6046C" w:rsidP="002D7694">
      <w:pPr>
        <w:tabs>
          <w:tab w:val="left" w:pos="720"/>
        </w:tabs>
        <w:ind w:right="-90"/>
        <w:contextualSpacing/>
        <w:rPr>
          <w:szCs w:val="20"/>
          <w:highlight w:val="yellow"/>
          <w:lang w:val="es-ES"/>
        </w:rPr>
      </w:pPr>
    </w:p>
    <w:sectPr w:rsidR="00C6046C" w:rsidRPr="002D7694" w:rsidSect="008C1AFF">
      <w:headerReference w:type="default" r:id="rId9"/>
      <w:footerReference w:type="default" r:id="rId10"/>
      <w:pgSz w:w="12240" w:h="15840"/>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B13" w:rsidRDefault="003C7B13" w:rsidP="00A36178">
      <w:r>
        <w:separator/>
      </w:r>
    </w:p>
  </w:endnote>
  <w:endnote w:type="continuationSeparator" w:id="0">
    <w:p w:rsidR="003C7B13" w:rsidRDefault="003C7B13" w:rsidP="00A36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Italic">
    <w:altName w:val="Arial Unicode MS"/>
    <w:charset w:val="00"/>
    <w:family w:val="auto"/>
    <w:pitch w:val="variable"/>
    <w:sig w:usb0="00000001" w:usb1="7800205A" w:usb2="14600000" w:usb3="00000000" w:csb0="00000193" w:csb1="00000000"/>
  </w:font>
  <w:font w:name="MS Mincho">
    <w:altName w:val="ＭＳ 明朝"/>
    <w:panose1 w:val="02020609040205080304"/>
    <w:charset w:val="80"/>
    <w:family w:val="modern"/>
    <w:pitch w:val="fixed"/>
    <w:sig w:usb0="E00002FF" w:usb1="6AC7FDFB" w:usb2="00000012" w:usb3="00000000" w:csb0="0002009F" w:csb1="00000000"/>
  </w:font>
  <w:font w:name="Verdana Bold">
    <w:altName w:val="Arial"/>
    <w:panose1 w:val="020B0804030504040204"/>
    <w:charset w:val="00"/>
    <w:family w:val="swiss"/>
    <w:pitch w:val="variable"/>
    <w:sig w:usb0="00000001"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Italic">
    <w:altName w:val="Times New Roman"/>
    <w:panose1 w:val="00000000000000000000"/>
    <w:charset w:val="00"/>
    <w:family w:val="roman"/>
    <w:notTrueType/>
    <w:pitch w:val="default"/>
  </w:font>
  <w:font w:name="NotDefSpecial">
    <w:altName w:val="Arial Unicode MS"/>
    <w:panose1 w:val="00000000000000000000"/>
    <w:charset w:val="80"/>
    <w:family w:val="auto"/>
    <w:notTrueType/>
    <w:pitch w:val="default"/>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American Typewriter">
    <w:charset w:val="00"/>
    <w:family w:val="auto"/>
    <w:pitch w:val="variable"/>
    <w:sig w:usb0="A000006F" w:usb1="00000019" w:usb2="00000000" w:usb3="00000000" w:csb0="00000111" w:csb1="00000000"/>
  </w:font>
  <w:font w:name="MS ????">
    <w:panose1 w:val="00000000000000000000"/>
    <w:charset w:val="80"/>
    <w:family w:val="auto"/>
    <w:notTrueType/>
    <w:pitch w:val="variable"/>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Verdana-Italic">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935" w:rsidRDefault="00B41935" w:rsidP="00890A83">
    <w:pPr>
      <w:pStyle w:val="Footer"/>
      <w:tabs>
        <w:tab w:val="clear" w:pos="4680"/>
        <w:tab w:val="clear" w:pos="9360"/>
        <w:tab w:val="left" w:pos="28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B13" w:rsidRDefault="003C7B13" w:rsidP="00A36178">
      <w:r>
        <w:separator/>
      </w:r>
    </w:p>
  </w:footnote>
  <w:footnote w:type="continuationSeparator" w:id="0">
    <w:p w:rsidR="003C7B13" w:rsidRDefault="003C7B13" w:rsidP="00A36178">
      <w:r>
        <w:continuationSeparator/>
      </w:r>
    </w:p>
  </w:footnote>
  <w:footnote w:id="1">
    <w:p w:rsidR="00B41935" w:rsidRPr="0043341E" w:rsidRDefault="00B41935" w:rsidP="00E7355C">
      <w:pPr>
        <w:pStyle w:val="FootnoteText"/>
        <w:rPr>
          <w:szCs w:val="16"/>
        </w:rPr>
      </w:pPr>
      <w:r w:rsidRPr="0043341E">
        <w:rPr>
          <w:rStyle w:val="FootnoteReference"/>
          <w:lang w:val="es-CR"/>
        </w:rPr>
        <w:t>*</w:t>
      </w:r>
      <w:r w:rsidRPr="0043341E">
        <w:rPr>
          <w:szCs w:val="16"/>
          <w:lang w:val="es-CR"/>
        </w:rPr>
        <w:t xml:space="preserve"> </w:t>
      </w:r>
      <w:r w:rsidRPr="0043341E">
        <w:rPr>
          <w:szCs w:val="16"/>
          <w:lang w:val="es-CR"/>
        </w:rPr>
        <w:tab/>
      </w:r>
      <w:r w:rsidRPr="007452CC">
        <w:rPr>
          <w:rFonts w:cs="Arial"/>
          <w:spacing w:val="-4"/>
          <w:sz w:val="16"/>
          <w:szCs w:val="16"/>
          <w:lang w:val="es-CR"/>
        </w:rPr>
        <w:t xml:space="preserve">La </w:t>
      </w:r>
      <w:r w:rsidRPr="007452CC">
        <w:rPr>
          <w:sz w:val="16"/>
          <w:szCs w:val="16"/>
        </w:rPr>
        <w:t xml:space="preserve">Jueza </w:t>
      </w:r>
      <w:r w:rsidRPr="007452CC">
        <w:rPr>
          <w:rFonts w:cs="Verdana"/>
          <w:spacing w:val="-4"/>
          <w:sz w:val="16"/>
          <w:szCs w:val="16"/>
          <w:lang w:val="es-CR"/>
        </w:rPr>
        <w:t>Elizabeth Odio Benito</w:t>
      </w:r>
      <w:r w:rsidRPr="007452CC">
        <w:rPr>
          <w:sz w:val="16"/>
          <w:szCs w:val="16"/>
        </w:rPr>
        <w:t>, por razones de fuerza mayor aceptadas por el Pleno del Tribunal, no participó en la deliberación y firma de la presente Sentencia.</w:t>
      </w:r>
    </w:p>
  </w:footnote>
  <w:footnote w:id="2">
    <w:p w:rsidR="00B41935" w:rsidRPr="00257982" w:rsidRDefault="00B41935" w:rsidP="003D758A">
      <w:pPr>
        <w:pStyle w:val="FootnoteText"/>
        <w:rPr>
          <w:sz w:val="16"/>
          <w:szCs w:val="16"/>
        </w:rPr>
      </w:pPr>
      <w:r w:rsidRPr="00CC214C">
        <w:rPr>
          <w:rStyle w:val="FootnoteReference"/>
        </w:rPr>
        <w:footnoteRef/>
      </w:r>
      <w:r w:rsidRPr="00257982">
        <w:rPr>
          <w:sz w:val="16"/>
          <w:szCs w:val="16"/>
        </w:rPr>
        <w:t xml:space="preserve"> </w:t>
      </w:r>
      <w:r>
        <w:rPr>
          <w:sz w:val="16"/>
          <w:szCs w:val="16"/>
        </w:rPr>
        <w:tab/>
      </w:r>
      <w:r w:rsidRPr="00CC214C">
        <w:rPr>
          <w:sz w:val="16"/>
          <w:szCs w:val="16"/>
          <w:lang w:val="es-CR"/>
        </w:rPr>
        <w:t xml:space="preserve">Los familiares </w:t>
      </w:r>
      <w:r>
        <w:rPr>
          <w:sz w:val="16"/>
          <w:szCs w:val="16"/>
          <w:lang w:val="es-CR"/>
        </w:rPr>
        <w:t>nombrados por la Comisión son los siguientes: de Wilfredo Terrones Silva</w:t>
      </w:r>
      <w:r w:rsidRPr="00CC214C">
        <w:rPr>
          <w:sz w:val="16"/>
          <w:szCs w:val="16"/>
          <w:lang w:val="es-CR"/>
        </w:rPr>
        <w:t>:</w:t>
      </w:r>
      <w:r w:rsidRPr="00CC214C">
        <w:rPr>
          <w:sz w:val="16"/>
          <w:szCs w:val="16"/>
        </w:rPr>
        <w:t xml:space="preserve"> Guille</w:t>
      </w:r>
      <w:r>
        <w:rPr>
          <w:sz w:val="16"/>
          <w:szCs w:val="16"/>
        </w:rPr>
        <w:t>rmina Frida Landázuri Gómez (</w:t>
      </w:r>
      <w:r w:rsidRPr="00CC214C">
        <w:rPr>
          <w:sz w:val="16"/>
          <w:szCs w:val="16"/>
        </w:rPr>
        <w:t>esposa)</w:t>
      </w:r>
      <w:r>
        <w:rPr>
          <w:sz w:val="16"/>
          <w:szCs w:val="16"/>
        </w:rPr>
        <w:t xml:space="preserve">; </w:t>
      </w:r>
      <w:r w:rsidRPr="00552A48">
        <w:rPr>
          <w:sz w:val="16"/>
          <w:szCs w:val="16"/>
        </w:rPr>
        <w:t>de Teresa Díaz Aparicio: Alberto Díaz Uriarte (padre); Graciela Aparicio Pastor (madre); Federico Díaz Aparicio (hermano)</w:t>
      </w:r>
      <w:r>
        <w:rPr>
          <w:sz w:val="16"/>
          <w:szCs w:val="16"/>
        </w:rPr>
        <w:t>,</w:t>
      </w:r>
      <w:r w:rsidRPr="00552A48">
        <w:rPr>
          <w:sz w:val="16"/>
          <w:szCs w:val="16"/>
        </w:rPr>
        <w:t xml:space="preserve"> y Roberto Levi Aparic</w:t>
      </w:r>
      <w:r>
        <w:rPr>
          <w:sz w:val="16"/>
          <w:szCs w:val="16"/>
        </w:rPr>
        <w:t xml:space="preserve">io (hermano), todos fallecidos; </w:t>
      </w:r>
      <w:r w:rsidRPr="00F10686">
        <w:rPr>
          <w:sz w:val="16"/>
          <w:szCs w:val="16"/>
        </w:rPr>
        <w:t>de Santiago Antezana Cueto: Rosa Carcausto Paco (conviviente);</w:t>
      </w:r>
      <w:r w:rsidRPr="00C678FD">
        <w:rPr>
          <w:sz w:val="16"/>
          <w:szCs w:val="16"/>
        </w:rPr>
        <w:t xml:space="preserve"> </w:t>
      </w:r>
      <w:r w:rsidRPr="00F10686">
        <w:rPr>
          <w:sz w:val="16"/>
          <w:szCs w:val="16"/>
        </w:rPr>
        <w:t>Ermilio Antezana Cueto (hermano</w:t>
      </w:r>
      <w:r>
        <w:rPr>
          <w:sz w:val="16"/>
          <w:szCs w:val="16"/>
        </w:rPr>
        <w:t>);</w:t>
      </w:r>
      <w:r w:rsidRPr="00F10686">
        <w:rPr>
          <w:sz w:val="16"/>
          <w:szCs w:val="16"/>
        </w:rPr>
        <w:t xml:space="preserve"> Máximo Antezana Espeza (tío, fallecido),</w:t>
      </w:r>
      <w:r>
        <w:rPr>
          <w:sz w:val="16"/>
          <w:szCs w:val="16"/>
        </w:rPr>
        <w:t xml:space="preserve"> y Ofelia Antezana Torre (prima);</w:t>
      </w:r>
      <w:r w:rsidRPr="00F10686">
        <w:rPr>
          <w:sz w:val="16"/>
          <w:szCs w:val="16"/>
        </w:rPr>
        <w:t xml:space="preserve"> de Néstor Rojas Medina: Marcelina Medina Negrón (madre);</w:t>
      </w:r>
      <w:r w:rsidRPr="0000173B">
        <w:rPr>
          <w:sz w:val="16"/>
          <w:szCs w:val="16"/>
        </w:rPr>
        <w:t xml:space="preserve"> </w:t>
      </w:r>
      <w:r w:rsidRPr="00C678FD">
        <w:rPr>
          <w:sz w:val="16"/>
          <w:szCs w:val="16"/>
        </w:rPr>
        <w:t>Leopoldo R</w:t>
      </w:r>
      <w:r w:rsidRPr="00153958">
        <w:rPr>
          <w:sz w:val="16"/>
          <w:szCs w:val="16"/>
        </w:rPr>
        <w:t>ojas Manuyama (padre); Abelardo Collantes Quiroz (pareja de la madre); Tania Collantes Medina (hermana); Faustina Collantes Quiroz (tía)</w:t>
      </w:r>
      <w:r>
        <w:rPr>
          <w:sz w:val="16"/>
          <w:szCs w:val="16"/>
        </w:rPr>
        <w:t>, y Luzmi</w:t>
      </w:r>
      <w:r w:rsidRPr="00153958">
        <w:rPr>
          <w:sz w:val="16"/>
          <w:szCs w:val="16"/>
        </w:rPr>
        <w:t>l</w:t>
      </w:r>
      <w:r>
        <w:rPr>
          <w:sz w:val="16"/>
          <w:szCs w:val="16"/>
        </w:rPr>
        <w:t>l</w:t>
      </w:r>
      <w:r w:rsidRPr="00153958">
        <w:rPr>
          <w:sz w:val="16"/>
          <w:szCs w:val="16"/>
        </w:rPr>
        <w:t xml:space="preserve">a Collantes Quiroz (tía), y de Cory Clodolia Tenicela Tello: Amadea Tello </w:t>
      </w:r>
      <w:r>
        <w:rPr>
          <w:sz w:val="16"/>
          <w:szCs w:val="16"/>
        </w:rPr>
        <w:t>Barrera</w:t>
      </w:r>
      <w:r w:rsidRPr="00153958">
        <w:rPr>
          <w:sz w:val="16"/>
          <w:szCs w:val="16"/>
        </w:rPr>
        <w:t xml:space="preserve"> (madre); Norma Juana Tenicela Tello (hermana), Washington Tenicela Tello (hermano)</w:t>
      </w:r>
      <w:r>
        <w:rPr>
          <w:sz w:val="16"/>
          <w:szCs w:val="16"/>
        </w:rPr>
        <w:t>,</w:t>
      </w:r>
      <w:r w:rsidRPr="00153958">
        <w:rPr>
          <w:sz w:val="16"/>
          <w:szCs w:val="16"/>
        </w:rPr>
        <w:t xml:space="preserve"> y Yorka Jara Tenicela (sobrina).</w:t>
      </w:r>
      <w:r w:rsidRPr="00D83377">
        <w:rPr>
          <w:sz w:val="16"/>
          <w:szCs w:val="16"/>
        </w:rPr>
        <w:t xml:space="preserve">  </w:t>
      </w:r>
      <w:r>
        <w:rPr>
          <w:sz w:val="16"/>
          <w:szCs w:val="16"/>
        </w:rPr>
        <w:t>Actualmente la señora Amadea Tello Barrera se identifica como “Amadea Felipa Tello de Tenicela”, para efectos de la presente Sentencia se usará indistintamente su nombre.</w:t>
      </w:r>
    </w:p>
  </w:footnote>
  <w:footnote w:id="3">
    <w:p w:rsidR="00B41935" w:rsidRPr="00166091" w:rsidRDefault="00B41935" w:rsidP="003D758A">
      <w:pPr>
        <w:pStyle w:val="FootnoteText"/>
        <w:ind w:right="-235"/>
        <w:rPr>
          <w:sz w:val="16"/>
          <w:szCs w:val="16"/>
          <w:lang w:val="fr-FR"/>
        </w:rPr>
      </w:pPr>
      <w:r w:rsidRPr="00166091">
        <w:rPr>
          <w:rStyle w:val="FootnoteReference"/>
        </w:rPr>
        <w:footnoteRef/>
      </w:r>
      <w:r w:rsidRPr="00166091">
        <w:rPr>
          <w:sz w:val="16"/>
          <w:szCs w:val="16"/>
        </w:rPr>
        <w:t xml:space="preserve"> </w:t>
      </w:r>
      <w:r w:rsidRPr="00166091">
        <w:rPr>
          <w:sz w:val="16"/>
          <w:szCs w:val="16"/>
        </w:rPr>
        <w:tab/>
        <w:t>CIDH. Informe No. 108/11, Caso 12.82</w:t>
      </w:r>
      <w:r w:rsidRPr="000C1557">
        <w:rPr>
          <w:sz w:val="16"/>
          <w:szCs w:val="16"/>
        </w:rPr>
        <w:t>3, Admisibilidad, Cory Clodolia Tenicela Tello y otros, 22 de julio de 2011</w:t>
      </w:r>
      <w:r>
        <w:rPr>
          <w:sz w:val="16"/>
          <w:szCs w:val="16"/>
        </w:rPr>
        <w:t>, disponible en:</w:t>
      </w:r>
      <w:r w:rsidRPr="000C1557">
        <w:rPr>
          <w:sz w:val="16"/>
          <w:szCs w:val="16"/>
        </w:rPr>
        <w:t xml:space="preserve"> </w:t>
      </w:r>
      <w:hyperlink r:id="rId1" w:history="1">
        <w:r w:rsidRPr="00166091">
          <w:rPr>
            <w:rStyle w:val="Hyperlink"/>
            <w:sz w:val="16"/>
            <w:szCs w:val="16"/>
            <w:lang w:val="fr-FR"/>
          </w:rPr>
          <w:t>https://www.oas.org/es/cidh/decisiones/2011/PEAD422-03ES.doc</w:t>
        </w:r>
      </w:hyperlink>
      <w:r w:rsidRPr="00166091">
        <w:rPr>
          <w:sz w:val="16"/>
          <w:szCs w:val="16"/>
          <w:lang w:val="fr-FR"/>
        </w:rPr>
        <w:t xml:space="preserve">; CIDH. </w:t>
      </w:r>
      <w:r w:rsidRPr="00166091">
        <w:rPr>
          <w:sz w:val="16"/>
          <w:szCs w:val="16"/>
        </w:rPr>
        <w:t>Informe No. 163/11, Caso 11.054, Admisibilidad, Teresa Díaz Aparicio</w:t>
      </w:r>
      <w:r>
        <w:rPr>
          <w:sz w:val="16"/>
          <w:szCs w:val="16"/>
        </w:rPr>
        <w:t xml:space="preserve"> </w:t>
      </w:r>
      <w:r w:rsidRPr="00166091">
        <w:rPr>
          <w:sz w:val="16"/>
          <w:szCs w:val="16"/>
        </w:rPr>
        <w:t>y otros, 2 de noviembre de 2011</w:t>
      </w:r>
      <w:r>
        <w:rPr>
          <w:sz w:val="16"/>
          <w:szCs w:val="16"/>
        </w:rPr>
        <w:t>, disponible en:</w:t>
      </w:r>
      <w:r w:rsidRPr="00166091">
        <w:rPr>
          <w:rFonts w:cs="Arial"/>
          <w:color w:val="006621"/>
          <w:sz w:val="16"/>
          <w:szCs w:val="16"/>
          <w:shd w:val="clear" w:color="auto" w:fill="FFFFFF"/>
        </w:rPr>
        <w:t xml:space="preserve"> </w:t>
      </w:r>
      <w:hyperlink r:id="rId2" w:history="1">
        <w:r w:rsidRPr="00166091">
          <w:rPr>
            <w:rStyle w:val="Hyperlink"/>
            <w:rFonts w:cs="Arial"/>
            <w:sz w:val="16"/>
            <w:szCs w:val="16"/>
            <w:shd w:val="clear" w:color="auto" w:fill="FFFFFF"/>
            <w:lang w:val="fr-FR"/>
          </w:rPr>
          <w:t>https://www.oas.org/es/cidh/decisiones/2011/PEAD11054ES.doc</w:t>
        </w:r>
      </w:hyperlink>
      <w:r w:rsidRPr="00166091">
        <w:rPr>
          <w:sz w:val="16"/>
          <w:szCs w:val="16"/>
          <w:lang w:val="fr-FR"/>
        </w:rPr>
        <w:t xml:space="preserve">; CIDH. </w:t>
      </w:r>
      <w:r w:rsidRPr="00166091">
        <w:rPr>
          <w:sz w:val="16"/>
          <w:szCs w:val="16"/>
        </w:rPr>
        <w:t>Informe No.</w:t>
      </w:r>
      <w:r>
        <w:rPr>
          <w:sz w:val="16"/>
          <w:szCs w:val="16"/>
        </w:rPr>
        <w:t xml:space="preserve"> </w:t>
      </w:r>
      <w:r w:rsidRPr="00166091">
        <w:rPr>
          <w:sz w:val="16"/>
          <w:szCs w:val="16"/>
        </w:rPr>
        <w:t>3/12, Caso 12.224, Admisibilidad, Santiago Antezana Cueto</w:t>
      </w:r>
      <w:r>
        <w:rPr>
          <w:sz w:val="16"/>
          <w:szCs w:val="16"/>
        </w:rPr>
        <w:t xml:space="preserve"> </w:t>
      </w:r>
      <w:r w:rsidRPr="00166091">
        <w:rPr>
          <w:sz w:val="16"/>
          <w:szCs w:val="16"/>
        </w:rPr>
        <w:t>y otros, 27 de enero de 2012</w:t>
      </w:r>
      <w:r>
        <w:rPr>
          <w:sz w:val="16"/>
          <w:szCs w:val="16"/>
        </w:rPr>
        <w:t>, disponible en:</w:t>
      </w:r>
      <w:r w:rsidRPr="00166091">
        <w:rPr>
          <w:sz w:val="16"/>
          <w:szCs w:val="16"/>
        </w:rPr>
        <w:t xml:space="preserve"> </w:t>
      </w:r>
      <w:r w:rsidRPr="00692B48">
        <w:rPr>
          <w:sz w:val="16"/>
          <w:szCs w:val="16"/>
        </w:rPr>
        <w:t>http://www.oas.org/es/cidh/decisiones/2012/PEAD12224ES.doc</w:t>
      </w:r>
      <w:r w:rsidRPr="00166091">
        <w:rPr>
          <w:sz w:val="16"/>
          <w:szCs w:val="16"/>
        </w:rPr>
        <w:t xml:space="preserve">, respectivamente. </w:t>
      </w:r>
      <w:r w:rsidRPr="00166091">
        <w:rPr>
          <w:sz w:val="16"/>
          <w:szCs w:val="16"/>
          <w:lang w:val="es-CR"/>
        </w:rPr>
        <w:t>En dichos Informes la Comisión declaró la admisibilidad de las peticiones por la presunta violación de los derechos establecidos en los artículos 3, 4, 5, 7, 8 y 25 de la Convención Americana, en concordancia con los artículos 1.1 y 2 de la Convención.</w:t>
      </w:r>
    </w:p>
  </w:footnote>
  <w:footnote w:id="4">
    <w:p w:rsidR="00B41935" w:rsidRDefault="00B41935" w:rsidP="003D758A">
      <w:pPr>
        <w:pStyle w:val="ListParagraph"/>
        <w:ind w:right="-144" w:hanging="720"/>
      </w:pPr>
      <w:r>
        <w:rPr>
          <w:rStyle w:val="FootnoteReference"/>
        </w:rPr>
        <w:footnoteRef/>
      </w:r>
      <w:r>
        <w:t xml:space="preserve"> </w:t>
      </w:r>
      <w:r>
        <w:tab/>
      </w:r>
      <w:r w:rsidRPr="003673E2">
        <w:rPr>
          <w:sz w:val="16"/>
          <w:szCs w:val="16"/>
        </w:rPr>
        <w:t>A saber</w:t>
      </w:r>
      <w:r w:rsidRPr="00EF24DA">
        <w:rPr>
          <w:sz w:val="16"/>
          <w:szCs w:val="16"/>
        </w:rPr>
        <w:t>:</w:t>
      </w:r>
    </w:p>
    <w:p w:rsidR="00B41935" w:rsidRPr="00270DF2" w:rsidRDefault="00B41935" w:rsidP="003D758A">
      <w:pPr>
        <w:ind w:right="-144" w:firstLine="720"/>
        <w:rPr>
          <w:rFonts w:eastAsiaTheme="minorHAnsi" w:cs="Arial"/>
          <w:color w:val="0F0F0F"/>
          <w:sz w:val="16"/>
          <w:szCs w:val="16"/>
          <w:lang w:val="es-CR"/>
        </w:rPr>
      </w:pPr>
      <w:r w:rsidRPr="00270DF2">
        <w:rPr>
          <w:rFonts w:eastAsiaTheme="minorHAnsi" w:cs="Arial"/>
          <w:color w:val="0F0F0F"/>
          <w:sz w:val="16"/>
          <w:szCs w:val="16"/>
          <w:lang w:val="es-CR"/>
        </w:rPr>
        <w:t xml:space="preserve">[a)] […] [L]os derechos [al reconocimiento de] la personalidad jurídica, a la vida, a la integridad personal, a la libertad personal, a las garantías judiciales y a la protección judicial [establecidos] en los artículos 3, 4.1, 5.1, 5.2, 7.1, 8.1 y 25.1 de la Convención Americana [de Derechos Humanos][,] en relación con los artículos 1.1 y 2 del mismo instrumento[,] en perjuicio de Wilfredo Terrones Silva, Teresa Díaz Aparicio, Santiago Antezana Cueto, Néstor Rojas Medina y Cory Clodolia Tenicela Tello. </w:t>
      </w:r>
    </w:p>
    <w:p w:rsidR="00B41935" w:rsidRPr="00270DF2" w:rsidRDefault="00B41935" w:rsidP="003D758A">
      <w:pPr>
        <w:ind w:right="-144" w:firstLine="720"/>
        <w:rPr>
          <w:rFonts w:eastAsiaTheme="minorHAnsi" w:cs="Arial"/>
          <w:color w:val="0F0F0F"/>
          <w:sz w:val="16"/>
          <w:szCs w:val="16"/>
          <w:lang w:val="es-CR"/>
        </w:rPr>
      </w:pPr>
      <w:r w:rsidRPr="00270DF2">
        <w:rPr>
          <w:rFonts w:eastAsiaTheme="minorHAnsi" w:cs="Arial"/>
          <w:color w:val="0F0F0F"/>
          <w:sz w:val="16"/>
          <w:szCs w:val="16"/>
          <w:lang w:val="es-CR"/>
        </w:rPr>
        <w:t xml:space="preserve">[b)] […] [L]os artículos I y III de la Convención Interamericana sobre Desaparición Forzada de Personas[,] en perjuicio de las mismas [víctimas.] </w:t>
      </w:r>
    </w:p>
    <w:p w:rsidR="00B41935" w:rsidRPr="00270DF2" w:rsidRDefault="00B41935" w:rsidP="003D758A">
      <w:pPr>
        <w:ind w:right="-144" w:firstLine="720"/>
        <w:rPr>
          <w:rFonts w:eastAsiaTheme="minorHAnsi" w:cs="Arial"/>
          <w:color w:val="0F0F0F"/>
          <w:sz w:val="16"/>
          <w:szCs w:val="16"/>
          <w:lang w:val="es-CR"/>
        </w:rPr>
      </w:pPr>
      <w:r w:rsidRPr="00270DF2">
        <w:rPr>
          <w:rFonts w:eastAsiaTheme="minorHAnsi" w:cs="Arial"/>
          <w:color w:val="0F0F0F"/>
          <w:sz w:val="16"/>
          <w:szCs w:val="16"/>
          <w:lang w:val="es-CR"/>
        </w:rPr>
        <w:t xml:space="preserve">[c)] […] [L]os artículos 1, 6 y 8 de la Convención Interamericana para Prevenir y Sancionar la Tortura [,] en perjuicio de Santiago Antezana Cueto. </w:t>
      </w:r>
    </w:p>
    <w:p w:rsidR="00B41935" w:rsidRPr="00270DF2" w:rsidRDefault="00B41935" w:rsidP="003D758A">
      <w:pPr>
        <w:ind w:right="-144" w:firstLine="720"/>
        <w:rPr>
          <w:rFonts w:eastAsiaTheme="minorHAnsi" w:cs="Arial"/>
          <w:color w:val="0F0F0F"/>
          <w:sz w:val="16"/>
          <w:szCs w:val="16"/>
          <w:lang w:val="es-CR"/>
        </w:rPr>
      </w:pPr>
      <w:r w:rsidRPr="00270DF2">
        <w:rPr>
          <w:rFonts w:eastAsiaTheme="minorHAnsi" w:cs="Arial"/>
          <w:color w:val="0F0F0F"/>
          <w:sz w:val="16"/>
          <w:szCs w:val="16"/>
          <w:lang w:val="es-CR"/>
        </w:rPr>
        <w:t xml:space="preserve">[d)] […] [Los derechos a la integridad personal, las garantías judiciales y protección judicial establecidos en] los artículos 5.1, 8.1 y 25.1 de la Convención […] [,] en relación con [los artículos] 1.1 y 2 del mismo instrumento […] [, en perjuicio de los familiares de Wilfredo Terrones Silva, Teresa Díaz Aparicio, Santiago Antezana Cueto, Néstor Rojas Medina y Cory Clodolia Tenicela Tello]. </w:t>
      </w:r>
    </w:p>
  </w:footnote>
  <w:footnote w:id="5">
    <w:p w:rsidR="00B41935" w:rsidRDefault="00B41935" w:rsidP="003D758A">
      <w:pPr>
        <w:pStyle w:val="FootnoteText"/>
      </w:pPr>
      <w:r>
        <w:rPr>
          <w:rStyle w:val="FootnoteReference"/>
        </w:rPr>
        <w:footnoteRef/>
      </w:r>
      <w:r>
        <w:t xml:space="preserve">  </w:t>
      </w:r>
      <w:r>
        <w:tab/>
      </w:r>
      <w:r w:rsidRPr="00DB1EAD">
        <w:rPr>
          <w:sz w:val="16"/>
          <w:szCs w:val="16"/>
        </w:rPr>
        <w:t>A saber:</w:t>
      </w:r>
      <w:r>
        <w:tab/>
      </w:r>
    </w:p>
    <w:p w:rsidR="00B41935" w:rsidRPr="00270DF2" w:rsidRDefault="00B41935" w:rsidP="00F221F3">
      <w:pPr>
        <w:ind w:right="-144" w:firstLine="720"/>
        <w:rPr>
          <w:rFonts w:eastAsiaTheme="minorHAnsi" w:cs="Arial"/>
          <w:color w:val="0F0F0F"/>
          <w:sz w:val="16"/>
          <w:szCs w:val="16"/>
          <w:lang w:val="es-CR"/>
        </w:rPr>
      </w:pPr>
      <w:r>
        <w:rPr>
          <w:rFonts w:eastAsiaTheme="minorHAnsi" w:cs="Arial"/>
          <w:color w:val="0F0F0F"/>
          <w:sz w:val="16"/>
          <w:szCs w:val="16"/>
        </w:rPr>
        <w:t>1.</w:t>
      </w:r>
      <w:r>
        <w:rPr>
          <w:rFonts w:eastAsiaTheme="minorHAnsi" w:cs="Arial"/>
          <w:color w:val="0F0F0F"/>
          <w:sz w:val="16"/>
          <w:szCs w:val="16"/>
        </w:rPr>
        <w:tab/>
      </w:r>
      <w:r w:rsidRPr="00270DF2">
        <w:rPr>
          <w:rFonts w:eastAsiaTheme="minorHAnsi" w:cs="Arial"/>
          <w:color w:val="0F0F0F"/>
          <w:sz w:val="16"/>
          <w:szCs w:val="16"/>
          <w:lang w:val="es-CR"/>
        </w:rPr>
        <w:t xml:space="preserve">Investigar de manera completa, imparcial y efectiva el paradero de Wilfredo Terrones Silva, Teresa Díaz Aparicio, Santiago Antezana Cueto, Néstor Rojas Medina y Cory Clodolia Tenicela Tello y, de ser el caso, adoptar las medidas necesarias para identificar y entregar a sus familiares, según sus deseos, los restos mortales. </w:t>
      </w:r>
    </w:p>
    <w:p w:rsidR="00B41935" w:rsidRPr="00270DF2" w:rsidRDefault="00B41935" w:rsidP="00F221F3">
      <w:pPr>
        <w:ind w:right="-144" w:firstLine="720"/>
        <w:rPr>
          <w:rFonts w:eastAsiaTheme="minorHAnsi" w:cs="Arial"/>
          <w:color w:val="0F0F0F"/>
          <w:sz w:val="16"/>
          <w:szCs w:val="16"/>
          <w:lang w:val="es-CR"/>
        </w:rPr>
      </w:pPr>
      <w:r>
        <w:rPr>
          <w:rFonts w:eastAsiaTheme="minorHAnsi" w:cs="Arial"/>
          <w:color w:val="0F0F0F"/>
          <w:sz w:val="16"/>
          <w:szCs w:val="16"/>
          <w:lang w:val="es-CR"/>
        </w:rPr>
        <w:t>2.</w:t>
      </w:r>
      <w:r>
        <w:rPr>
          <w:rFonts w:eastAsiaTheme="minorHAnsi" w:cs="Arial"/>
          <w:color w:val="0F0F0F"/>
          <w:sz w:val="16"/>
          <w:szCs w:val="16"/>
          <w:lang w:val="es-CR"/>
        </w:rPr>
        <w:tab/>
      </w:r>
      <w:r w:rsidRPr="00270DF2">
        <w:rPr>
          <w:rFonts w:eastAsiaTheme="minorHAnsi" w:cs="Arial"/>
          <w:color w:val="0F0F0F"/>
          <w:sz w:val="16"/>
          <w:szCs w:val="16"/>
          <w:lang w:val="es-CR"/>
        </w:rPr>
        <w:t>Llevar a cabo los procedimientos internos relacionados con las violaciones a los derechos humanos declaradas en el […] informe y conducir los procesos correspondientes por el delito de desaparición forzada de Wilfredo Terrones Silva, Teresa Díaz Aparicio, Néstor Rojas Medina y Cory Clodolia Tenicela Tello; y por los delitos de tortura y desaparición forzada de Santiago Antezana Cueto; de manera imparcial, efectiva y dentro de un plazo razonable, con el objeto de esclarecer los hechos en forma completa, identificar a todos los responsables e imponer las sanciones que correspondan.</w:t>
      </w:r>
    </w:p>
    <w:p w:rsidR="00B41935" w:rsidRPr="00270DF2" w:rsidRDefault="00B41935" w:rsidP="00F221F3">
      <w:pPr>
        <w:ind w:right="-144" w:firstLine="720"/>
        <w:rPr>
          <w:rFonts w:eastAsiaTheme="minorHAnsi" w:cs="Arial"/>
          <w:color w:val="0F0F0F"/>
          <w:sz w:val="16"/>
          <w:szCs w:val="16"/>
          <w:lang w:val="es-CR"/>
        </w:rPr>
      </w:pPr>
      <w:r>
        <w:rPr>
          <w:rFonts w:eastAsiaTheme="minorHAnsi" w:cs="Arial"/>
          <w:color w:val="0F0F0F"/>
          <w:sz w:val="16"/>
          <w:szCs w:val="16"/>
          <w:lang w:val="es-CR"/>
        </w:rPr>
        <w:t>3.</w:t>
      </w:r>
      <w:r>
        <w:rPr>
          <w:rFonts w:eastAsiaTheme="minorHAnsi" w:cs="Arial"/>
          <w:color w:val="0F0F0F"/>
          <w:sz w:val="16"/>
          <w:szCs w:val="16"/>
          <w:lang w:val="es-CR"/>
        </w:rPr>
        <w:tab/>
      </w:r>
      <w:r w:rsidRPr="00270DF2">
        <w:rPr>
          <w:rFonts w:eastAsiaTheme="minorHAnsi" w:cs="Arial"/>
          <w:color w:val="0F0F0F"/>
          <w:sz w:val="16"/>
          <w:szCs w:val="16"/>
          <w:lang w:val="es-CR"/>
        </w:rPr>
        <w:t xml:space="preserve">Reparar adecuadamente las violaciones de derechos humanos declaradas en el […] informe tanto en el aspecto material como moral, incluyendo una justa compensación, el establecimiento y difusión de la verdad histórica de los hechos y la implementación de un programa adecuado de atención a los familiares de Wilfredo Terrones Silva, Teresa Díaz Aparicio, Santiago Antezana Cueto, Néstor Rojas Medina y Cory Clodolia Tenicela Tello, en consulta con ellos y conforme a sus necesidades específicas. </w:t>
      </w:r>
    </w:p>
    <w:p w:rsidR="00B41935" w:rsidRPr="00270DF2" w:rsidRDefault="00B41935" w:rsidP="00F221F3">
      <w:pPr>
        <w:ind w:right="-144" w:firstLine="720"/>
        <w:rPr>
          <w:rFonts w:eastAsiaTheme="minorHAnsi" w:cs="Arial"/>
          <w:color w:val="0F0F0F"/>
          <w:szCs w:val="20"/>
          <w:lang w:val="es-CR"/>
        </w:rPr>
      </w:pPr>
      <w:r>
        <w:rPr>
          <w:rFonts w:eastAsiaTheme="minorHAnsi" w:cs="Arial"/>
          <w:color w:val="0F0F0F"/>
          <w:sz w:val="16"/>
          <w:szCs w:val="16"/>
          <w:lang w:val="es-CR"/>
        </w:rPr>
        <w:t>4.</w:t>
      </w:r>
      <w:r>
        <w:rPr>
          <w:rFonts w:eastAsiaTheme="minorHAnsi" w:cs="Arial"/>
          <w:color w:val="0F0F0F"/>
          <w:sz w:val="16"/>
          <w:szCs w:val="16"/>
          <w:lang w:val="es-CR"/>
        </w:rPr>
        <w:tab/>
      </w:r>
      <w:r w:rsidRPr="00270DF2">
        <w:rPr>
          <w:rFonts w:eastAsiaTheme="minorHAnsi" w:cs="Arial"/>
          <w:color w:val="0F0F0F"/>
          <w:sz w:val="16"/>
          <w:szCs w:val="16"/>
          <w:lang w:val="es-CR"/>
        </w:rPr>
        <w:t>Adoptar medidas de no repetición necesarias para evitar que en el futuro se produzcan hechos similares. En particular, disponer las medidas necesarias para fortalecer la capacidad institucional para investigar casos de desaparición forzada de personas ocurridas en el marco del conflicto armado interno, a fin de asegurar que las mismas sean investigadas con la debida diligencia, en un plazo razonable y que tome en cuenta el contexto en que tuvieron lugar así como los patrones delictivos y modus operandi específicos que los caracterizaron.</w:t>
      </w:r>
    </w:p>
    <w:p w:rsidR="00B41935" w:rsidRPr="00270DF2" w:rsidRDefault="00B41935" w:rsidP="00F221F3">
      <w:pPr>
        <w:ind w:right="-144" w:firstLine="720"/>
        <w:rPr>
          <w:rFonts w:eastAsiaTheme="minorHAnsi" w:cs="Arial"/>
          <w:color w:val="0F0F0F"/>
          <w:szCs w:val="20"/>
          <w:lang w:val="es-CR"/>
        </w:rPr>
      </w:pPr>
      <w:r>
        <w:rPr>
          <w:rFonts w:eastAsiaTheme="minorHAnsi" w:cs="Arial"/>
          <w:color w:val="0F0F0F"/>
          <w:sz w:val="16"/>
          <w:szCs w:val="16"/>
          <w:lang w:val="es-CR"/>
        </w:rPr>
        <w:t>5.</w:t>
      </w:r>
      <w:r>
        <w:rPr>
          <w:rFonts w:eastAsiaTheme="minorHAnsi" w:cs="Arial"/>
          <w:color w:val="0F0F0F"/>
          <w:sz w:val="16"/>
          <w:szCs w:val="16"/>
          <w:lang w:val="es-CR"/>
        </w:rPr>
        <w:tab/>
      </w:r>
      <w:r w:rsidRPr="00270DF2">
        <w:rPr>
          <w:rFonts w:eastAsiaTheme="minorHAnsi" w:cs="Arial"/>
          <w:color w:val="0F0F0F"/>
          <w:sz w:val="16"/>
          <w:szCs w:val="16"/>
          <w:lang w:val="es-CR"/>
        </w:rPr>
        <w:t>Reconocer públicamente, garantizando mecanismos adecuados de difusión, las violaciones declaradas en el presente caso.</w:t>
      </w:r>
    </w:p>
    <w:p w:rsidR="00B41935" w:rsidRPr="00270DF2" w:rsidRDefault="00B41935" w:rsidP="00F221F3">
      <w:pPr>
        <w:ind w:right="-144" w:firstLine="720"/>
        <w:rPr>
          <w:rFonts w:eastAsiaTheme="minorHAnsi" w:cs="Arial"/>
          <w:color w:val="0F0F0F"/>
          <w:szCs w:val="20"/>
          <w:lang w:val="es-CR"/>
        </w:rPr>
      </w:pPr>
      <w:r>
        <w:rPr>
          <w:rFonts w:eastAsiaTheme="minorHAnsi" w:cs="Arial"/>
          <w:color w:val="0F0F0F"/>
          <w:sz w:val="16"/>
          <w:szCs w:val="16"/>
          <w:lang w:val="es-CR"/>
        </w:rPr>
        <w:t>6.</w:t>
      </w:r>
      <w:r>
        <w:rPr>
          <w:rFonts w:eastAsiaTheme="minorHAnsi" w:cs="Arial"/>
          <w:color w:val="0F0F0F"/>
          <w:sz w:val="16"/>
          <w:szCs w:val="16"/>
          <w:lang w:val="es-CR"/>
        </w:rPr>
        <w:tab/>
      </w:r>
      <w:r w:rsidRPr="00270DF2">
        <w:rPr>
          <w:rFonts w:eastAsiaTheme="minorHAnsi" w:cs="Arial"/>
          <w:color w:val="0F0F0F"/>
          <w:sz w:val="16"/>
          <w:szCs w:val="16"/>
          <w:lang w:val="es-CR"/>
        </w:rPr>
        <w:t>Reformar la legislación penal a fin de que la tipificación del delito de desaparición forzada de personas se ajuste a los estándares interamericanos.</w:t>
      </w:r>
    </w:p>
  </w:footnote>
  <w:footnote w:id="6">
    <w:p w:rsidR="00B41935" w:rsidRPr="00F10686" w:rsidRDefault="00B41935" w:rsidP="003D758A">
      <w:pPr>
        <w:pStyle w:val="FootnoteText"/>
        <w:rPr>
          <w:sz w:val="16"/>
          <w:szCs w:val="16"/>
        </w:rPr>
      </w:pPr>
      <w:r w:rsidRPr="00CC214C">
        <w:rPr>
          <w:rStyle w:val="FootnoteReference"/>
        </w:rPr>
        <w:footnoteRef/>
      </w:r>
      <w:r w:rsidRPr="00CC214C">
        <w:rPr>
          <w:sz w:val="16"/>
          <w:szCs w:val="16"/>
        </w:rPr>
        <w:t xml:space="preserve"> </w:t>
      </w:r>
      <w:r>
        <w:rPr>
          <w:sz w:val="16"/>
          <w:szCs w:val="16"/>
        </w:rPr>
        <w:tab/>
      </w:r>
      <w:r w:rsidRPr="00CC214C">
        <w:rPr>
          <w:sz w:val="16"/>
          <w:szCs w:val="16"/>
          <w:lang w:val="es-CR"/>
        </w:rPr>
        <w:t>Mediante comunicación de 27 de enero d</w:t>
      </w:r>
      <w:r w:rsidRPr="00552A48">
        <w:rPr>
          <w:sz w:val="16"/>
          <w:szCs w:val="16"/>
          <w:lang w:val="es-CR"/>
        </w:rPr>
        <w:t>e 2017 APRODEH, COMISEDH e IDL informaron a este Tribunal que “asum</w:t>
      </w:r>
      <w:r>
        <w:rPr>
          <w:sz w:val="16"/>
          <w:szCs w:val="16"/>
          <w:lang w:val="es-CR"/>
        </w:rPr>
        <w:t>[</w:t>
      </w:r>
      <w:r w:rsidRPr="00552A48">
        <w:rPr>
          <w:sz w:val="16"/>
          <w:szCs w:val="16"/>
          <w:lang w:val="es-CR"/>
        </w:rPr>
        <w:t>ían</w:t>
      </w:r>
      <w:r>
        <w:rPr>
          <w:sz w:val="16"/>
          <w:szCs w:val="16"/>
          <w:lang w:val="es-CR"/>
        </w:rPr>
        <w:t>]</w:t>
      </w:r>
      <w:r w:rsidRPr="00552A48">
        <w:rPr>
          <w:sz w:val="16"/>
          <w:szCs w:val="16"/>
          <w:lang w:val="es-CR"/>
        </w:rPr>
        <w:t xml:space="preserve"> de manera conjunta la representación de las cinco </w:t>
      </w:r>
      <w:r>
        <w:rPr>
          <w:sz w:val="16"/>
          <w:szCs w:val="16"/>
          <w:lang w:val="es-CR"/>
        </w:rPr>
        <w:t xml:space="preserve">[presuntas] </w:t>
      </w:r>
      <w:r w:rsidRPr="00552A48">
        <w:rPr>
          <w:sz w:val="16"/>
          <w:szCs w:val="16"/>
          <w:lang w:val="es-CR"/>
        </w:rPr>
        <w:t>víctimas y sus familiares, quienes comprenden el</w:t>
      </w:r>
      <w:r>
        <w:rPr>
          <w:sz w:val="16"/>
          <w:szCs w:val="16"/>
          <w:lang w:val="es-CR"/>
        </w:rPr>
        <w:t xml:space="preserve"> […]</w:t>
      </w:r>
      <w:r w:rsidRPr="00552A48">
        <w:rPr>
          <w:sz w:val="16"/>
          <w:szCs w:val="16"/>
          <w:lang w:val="es-CR"/>
        </w:rPr>
        <w:t xml:space="preserve"> caso conjunto en calidad de intervinientes comunes, según lo dispuesto por el art. </w:t>
      </w:r>
      <w:r>
        <w:rPr>
          <w:sz w:val="16"/>
          <w:szCs w:val="16"/>
          <w:lang w:val="es-CR"/>
        </w:rPr>
        <w:t>[</w:t>
      </w:r>
      <w:r w:rsidRPr="00552A48">
        <w:rPr>
          <w:sz w:val="16"/>
          <w:szCs w:val="16"/>
          <w:lang w:val="es-CR"/>
        </w:rPr>
        <w:t>25.2</w:t>
      </w:r>
      <w:r>
        <w:rPr>
          <w:sz w:val="16"/>
          <w:szCs w:val="16"/>
          <w:lang w:val="es-CR"/>
        </w:rPr>
        <w:t>]</w:t>
      </w:r>
      <w:r w:rsidRPr="00552A48">
        <w:rPr>
          <w:sz w:val="16"/>
          <w:szCs w:val="16"/>
          <w:lang w:val="es-CR"/>
        </w:rPr>
        <w:t xml:space="preserve"> del Reglamento de la Corte</w:t>
      </w:r>
      <w:r>
        <w:rPr>
          <w:sz w:val="16"/>
          <w:szCs w:val="16"/>
          <w:lang w:val="es-CR"/>
        </w:rPr>
        <w:t>”</w:t>
      </w:r>
      <w:r w:rsidRPr="00552A48">
        <w:rPr>
          <w:sz w:val="16"/>
          <w:szCs w:val="16"/>
          <w:lang w:val="es-CR"/>
        </w:rPr>
        <w:t>.</w:t>
      </w:r>
    </w:p>
  </w:footnote>
  <w:footnote w:id="7">
    <w:p w:rsidR="00B41935" w:rsidRPr="00050CC4" w:rsidRDefault="00B41935">
      <w:pPr>
        <w:pStyle w:val="FootnoteText"/>
      </w:pPr>
      <w:r>
        <w:rPr>
          <w:rStyle w:val="FootnoteReference"/>
        </w:rPr>
        <w:footnoteRef/>
      </w:r>
      <w:r>
        <w:t xml:space="preserve"> </w:t>
      </w:r>
      <w:r>
        <w:tab/>
      </w:r>
      <w:r w:rsidRPr="00B37DA7">
        <w:rPr>
          <w:sz w:val="16"/>
          <w:szCs w:val="16"/>
        </w:rPr>
        <w:t>Mediante comunicación de 20 de marz</w:t>
      </w:r>
      <w:r>
        <w:rPr>
          <w:sz w:val="16"/>
          <w:szCs w:val="16"/>
        </w:rPr>
        <w:t>o de 2017 el Estado designó al señor Iván Arturo Bazán Chacón</w:t>
      </w:r>
      <w:r w:rsidRPr="00B37DA7">
        <w:rPr>
          <w:sz w:val="16"/>
          <w:szCs w:val="16"/>
        </w:rPr>
        <w:t>, Procurador público Adjunto Supranacional, como Agente, a</w:t>
      </w:r>
      <w:r w:rsidRPr="00380FE9">
        <w:rPr>
          <w:sz w:val="16"/>
          <w:szCs w:val="16"/>
          <w:lang w:val="es-CO" w:eastAsia="es-ES"/>
        </w:rPr>
        <w:t xml:space="preserve"> </w:t>
      </w:r>
      <w:r>
        <w:rPr>
          <w:sz w:val="16"/>
          <w:szCs w:val="16"/>
          <w:lang w:val="es-CO" w:eastAsia="es-ES"/>
        </w:rPr>
        <w:t xml:space="preserve">la señora </w:t>
      </w:r>
      <w:r w:rsidRPr="00380FE9">
        <w:rPr>
          <w:sz w:val="16"/>
          <w:szCs w:val="16"/>
          <w:lang w:val="es-CO" w:eastAsia="es-ES"/>
        </w:rPr>
        <w:t>Sofía Janett Donaires Vega, abogada y al señor Sergio Manuel Tamayo Yáñez, abogado, como Agentes Alternos.</w:t>
      </w:r>
    </w:p>
  </w:footnote>
  <w:footnote w:id="8">
    <w:p w:rsidR="00B41935" w:rsidRDefault="00B41935" w:rsidP="003D758A">
      <w:pPr>
        <w:pStyle w:val="FootnoteText"/>
      </w:pPr>
      <w:r>
        <w:rPr>
          <w:rStyle w:val="FootnoteReference"/>
        </w:rPr>
        <w:footnoteRef/>
      </w:r>
      <w:r>
        <w:t xml:space="preserve"> </w:t>
      </w:r>
      <w:r>
        <w:tab/>
      </w:r>
      <w:r w:rsidRPr="004B214A">
        <w:rPr>
          <w:sz w:val="16"/>
          <w:szCs w:val="16"/>
          <w:lang w:val="es-CR" w:eastAsia="es-MX"/>
        </w:rPr>
        <w:t>Resolución de Fondo de Asistencia legal de Víctimas</w:t>
      </w:r>
      <w:r>
        <w:rPr>
          <w:sz w:val="16"/>
          <w:szCs w:val="16"/>
          <w:lang w:val="es-CR" w:eastAsia="es-MX"/>
        </w:rPr>
        <w:t>, disponible en:</w:t>
      </w:r>
      <w:r>
        <w:t xml:space="preserve"> </w:t>
      </w:r>
      <w:hyperlink r:id="rId3" w:history="1">
        <w:r w:rsidRPr="00911533">
          <w:rPr>
            <w:rStyle w:val="Hyperlink"/>
            <w:sz w:val="16"/>
            <w:szCs w:val="16"/>
          </w:rPr>
          <w:t>http://www.corteidh.or.cr/docs/asuntos/terrones_fv_17.pdf</w:t>
        </w:r>
      </w:hyperlink>
    </w:p>
    <w:p w:rsidR="00B41935" w:rsidRPr="00DC45A2" w:rsidRDefault="00B41935" w:rsidP="003D758A">
      <w:pPr>
        <w:pStyle w:val="FootnoteText"/>
      </w:pPr>
    </w:p>
  </w:footnote>
  <w:footnote w:id="9">
    <w:p w:rsidR="00B41935" w:rsidRPr="0092317F" w:rsidRDefault="00B41935" w:rsidP="003D758A">
      <w:pPr>
        <w:pStyle w:val="FootnoteText"/>
        <w:rPr>
          <w:sz w:val="16"/>
          <w:szCs w:val="16"/>
        </w:rPr>
      </w:pPr>
      <w:r>
        <w:rPr>
          <w:rStyle w:val="FootnoteReference"/>
        </w:rPr>
        <w:footnoteRef/>
      </w:r>
      <w:r>
        <w:t xml:space="preserve"> </w:t>
      </w:r>
      <w:r>
        <w:tab/>
      </w:r>
      <w:r w:rsidRPr="004B214A">
        <w:rPr>
          <w:sz w:val="16"/>
          <w:szCs w:val="16"/>
        </w:rPr>
        <w:t>Resolución del Presidente de la Corte de Convocatoria de 20 de febrero de 2018</w:t>
      </w:r>
      <w:r>
        <w:rPr>
          <w:sz w:val="16"/>
          <w:szCs w:val="16"/>
        </w:rPr>
        <w:t>,</w:t>
      </w:r>
      <w:r w:rsidRPr="004B214A">
        <w:rPr>
          <w:sz w:val="16"/>
          <w:szCs w:val="16"/>
        </w:rPr>
        <w:t xml:space="preserve"> </w:t>
      </w:r>
      <w:r>
        <w:rPr>
          <w:sz w:val="16"/>
          <w:szCs w:val="16"/>
        </w:rPr>
        <w:t xml:space="preserve">disponible en: </w:t>
      </w:r>
      <w:hyperlink r:id="rId4" w:history="1">
        <w:r w:rsidRPr="00E46576">
          <w:rPr>
            <w:rStyle w:val="Hyperlink"/>
            <w:sz w:val="16"/>
            <w:szCs w:val="16"/>
          </w:rPr>
          <w:t>http://www.corteidh.or.cr/docs/asuntos/terrones_20_02_18.pdf</w:t>
        </w:r>
      </w:hyperlink>
    </w:p>
  </w:footnote>
  <w:footnote w:id="10">
    <w:p w:rsidR="00B41935" w:rsidRPr="00D83377" w:rsidRDefault="00B41935" w:rsidP="003D758A">
      <w:pPr>
        <w:ind w:right="-235"/>
        <w:rPr>
          <w:sz w:val="16"/>
          <w:szCs w:val="16"/>
          <w:lang w:val="es-CO" w:eastAsia="es-ES"/>
        </w:rPr>
      </w:pPr>
      <w:r w:rsidRPr="00CC214C">
        <w:rPr>
          <w:rStyle w:val="FootnoteReference"/>
          <w:rFonts w:eastAsiaTheme="majorEastAsia"/>
        </w:rPr>
        <w:footnoteRef/>
      </w:r>
      <w:r w:rsidRPr="00CC214C">
        <w:rPr>
          <w:sz w:val="16"/>
          <w:szCs w:val="16"/>
          <w:vertAlign w:val="superscript"/>
        </w:rPr>
        <w:t xml:space="preserve"> </w:t>
      </w:r>
      <w:r>
        <w:rPr>
          <w:sz w:val="16"/>
          <w:szCs w:val="16"/>
          <w:vertAlign w:val="superscript"/>
        </w:rPr>
        <w:tab/>
      </w:r>
      <w:r w:rsidRPr="00552A48">
        <w:rPr>
          <w:sz w:val="16"/>
          <w:szCs w:val="16"/>
        </w:rPr>
        <w:t xml:space="preserve">A esta audiencia comparecieron: a) por la Comisión Interamericana: </w:t>
      </w:r>
      <w:r w:rsidRPr="00552A48">
        <w:rPr>
          <w:sz w:val="16"/>
          <w:szCs w:val="16"/>
          <w:lang w:val="es-CO" w:eastAsia="es-ES"/>
        </w:rPr>
        <w:t>Silvia Serrano Guzmán, abogada</w:t>
      </w:r>
      <w:r w:rsidRPr="00F10686">
        <w:rPr>
          <w:sz w:val="16"/>
          <w:szCs w:val="16"/>
        </w:rPr>
        <w:t xml:space="preserve"> de la Secretaría Ejecutiva de la Comisión; b) por los representante</w:t>
      </w:r>
      <w:r w:rsidRPr="0000173B">
        <w:rPr>
          <w:sz w:val="16"/>
          <w:szCs w:val="16"/>
        </w:rPr>
        <w:t xml:space="preserve">s: </w:t>
      </w:r>
      <w:r w:rsidRPr="003D07CE">
        <w:rPr>
          <w:sz w:val="16"/>
          <w:szCs w:val="16"/>
          <w:lang w:val="es-CO" w:eastAsia="es-ES"/>
        </w:rPr>
        <w:t xml:space="preserve">Christian Henry Huaylinos Camacuari, Coordinador del Área Legal de la Asociación Pro Derechos Humanos; Diana Carvajal Figueroa, Asesora Jurídica voluntaria de Abogados sin Fronteras y Dania </w:t>
      </w:r>
      <w:r w:rsidRPr="00CE6B13">
        <w:rPr>
          <w:sz w:val="16"/>
          <w:szCs w:val="16"/>
          <w:lang w:val="es-CO" w:eastAsia="es-ES"/>
        </w:rPr>
        <w:t>Coz Barón, Coordinadora del Área Legal de la Comisión de Derechos Humanos</w:t>
      </w:r>
      <w:r>
        <w:rPr>
          <w:sz w:val="16"/>
          <w:szCs w:val="16"/>
          <w:lang w:val="es-CO" w:eastAsia="es-ES"/>
        </w:rPr>
        <w:t>,</w:t>
      </w:r>
      <w:r w:rsidRPr="00D83377">
        <w:rPr>
          <w:sz w:val="16"/>
          <w:szCs w:val="16"/>
        </w:rPr>
        <w:t xml:space="preserve"> y c) por el Estado:</w:t>
      </w:r>
      <w:r w:rsidRPr="00D83377">
        <w:rPr>
          <w:sz w:val="16"/>
          <w:szCs w:val="16"/>
          <w:lang w:val="es-ES_tradnl"/>
        </w:rPr>
        <w:t xml:space="preserve"> </w:t>
      </w:r>
      <w:r w:rsidRPr="00D83377">
        <w:rPr>
          <w:sz w:val="16"/>
          <w:szCs w:val="16"/>
          <w:lang w:val="es-CO" w:eastAsia="es-ES"/>
        </w:rPr>
        <w:t>Sofía Janett Donaires Vega, Procuradora Pública Adjunta Especializada Supranacional y Agente Alterna; Sergio Manuel Tamayo Yáñez y Silvana Lucía Gómez Salazar, abogados de la Procuraduría Pública Especializada Supranacional y Agentes Alternos.</w:t>
      </w:r>
    </w:p>
  </w:footnote>
  <w:footnote w:id="11">
    <w:p w:rsidR="00B41935" w:rsidRPr="00B75195" w:rsidRDefault="00B41935" w:rsidP="003D758A">
      <w:pPr>
        <w:pStyle w:val="FootnoteText"/>
      </w:pPr>
      <w:r>
        <w:rPr>
          <w:rStyle w:val="FootnoteReference"/>
        </w:rPr>
        <w:footnoteRef/>
      </w:r>
      <w:r>
        <w:t xml:space="preserve"> </w:t>
      </w:r>
      <w:r>
        <w:tab/>
      </w:r>
      <w:r w:rsidRPr="00B75195">
        <w:rPr>
          <w:sz w:val="16"/>
          <w:szCs w:val="16"/>
          <w:lang w:val="es-CR"/>
        </w:rPr>
        <w:t>Durante la audiencia pública el Estado señaló que existe</w:t>
      </w:r>
      <w:r w:rsidRPr="00B75195">
        <w:rPr>
          <w:color w:val="000000"/>
          <w:sz w:val="16"/>
          <w:szCs w:val="16"/>
        </w:rPr>
        <w:t xml:space="preserve"> “una sentencia firme en sede interna, emitida por la Sala Penal Nacional en diciembre de 2013 y que fuera confirmada por la Corte Suprema de Justicia, en la que se estableció que se produjo la detención, el traslado en ingreso a la base militar de Acobamba, del señor Antezana Cueto, y se produjo su desaparición forzada entre otros asuntos. […]. En ese sentido, en este caso el Estado sost[uvo] que se debe aplicar el principio de subsidiariedad y complementariedad”.</w:t>
      </w:r>
      <w:r>
        <w:rPr>
          <w:color w:val="000000"/>
          <w:sz w:val="16"/>
          <w:szCs w:val="16"/>
        </w:rPr>
        <w:t xml:space="preserve"> </w:t>
      </w:r>
    </w:p>
  </w:footnote>
  <w:footnote w:id="12">
    <w:p w:rsidR="00B41935" w:rsidRPr="00B75195" w:rsidRDefault="00B41935" w:rsidP="003D758A">
      <w:pPr>
        <w:pStyle w:val="FootnoteText"/>
        <w:rPr>
          <w:lang w:val="es-CR"/>
        </w:rPr>
      </w:pPr>
      <w:r>
        <w:rPr>
          <w:rStyle w:val="FootnoteReference"/>
        </w:rPr>
        <w:footnoteRef/>
      </w:r>
      <w:r>
        <w:t xml:space="preserve"> </w:t>
      </w:r>
      <w:r>
        <w:rPr>
          <w:lang w:val="es-CR"/>
        </w:rPr>
        <w:tab/>
      </w:r>
      <w:r>
        <w:rPr>
          <w:sz w:val="16"/>
          <w:szCs w:val="16"/>
          <w:lang w:val="es-CR"/>
        </w:rPr>
        <w:t>Señal</w:t>
      </w:r>
      <w:r w:rsidRPr="009C7EA7">
        <w:rPr>
          <w:sz w:val="16"/>
          <w:szCs w:val="16"/>
          <w:lang w:val="es-CR"/>
        </w:rPr>
        <w:t>ó que en dicha investigación el 10 de octubre de 2016 la Sala Penal Nacional ordenó la remisión de los autos del proceso a la Fiscalía Superior correspondiente. En esa línea el Estado argumentó que queda claro que respecto de dicho caso no se han agotado los recursos internos respectivos.</w:t>
      </w:r>
    </w:p>
  </w:footnote>
  <w:footnote w:id="13">
    <w:p w:rsidR="00B41935" w:rsidRPr="00D83377" w:rsidRDefault="00B41935" w:rsidP="003D758A">
      <w:pPr>
        <w:pStyle w:val="FootnoteText"/>
        <w:rPr>
          <w:sz w:val="16"/>
          <w:szCs w:val="16"/>
          <w:lang w:val="es-ES"/>
        </w:rPr>
      </w:pPr>
      <w:r w:rsidRPr="00CC214C">
        <w:rPr>
          <w:rStyle w:val="FootnoteReference"/>
          <w:lang w:val="es-ES"/>
        </w:rPr>
        <w:footnoteRef/>
      </w:r>
      <w:r w:rsidRPr="00CC214C">
        <w:rPr>
          <w:sz w:val="16"/>
          <w:szCs w:val="16"/>
          <w:lang w:val="pt-BR"/>
        </w:rPr>
        <w:t xml:space="preserve"> </w:t>
      </w:r>
      <w:r>
        <w:rPr>
          <w:sz w:val="16"/>
          <w:szCs w:val="16"/>
          <w:lang w:val="pt-BR"/>
        </w:rPr>
        <w:tab/>
      </w:r>
      <w:r w:rsidRPr="00CC214C">
        <w:rPr>
          <w:i/>
          <w:sz w:val="16"/>
          <w:szCs w:val="16"/>
          <w:lang w:val="pt-BR"/>
        </w:rPr>
        <w:t xml:space="preserve">Cfr. Caso Velásquez Rodríguez Vs. </w:t>
      </w:r>
      <w:r w:rsidRPr="00552A48">
        <w:rPr>
          <w:i/>
          <w:sz w:val="16"/>
          <w:szCs w:val="16"/>
          <w:lang w:val="es-ES"/>
        </w:rPr>
        <w:t>Honduras</w:t>
      </w:r>
      <w:r w:rsidRPr="00552A48">
        <w:rPr>
          <w:sz w:val="16"/>
          <w:szCs w:val="16"/>
          <w:lang w:val="es-ES"/>
        </w:rPr>
        <w:t xml:space="preserve">. </w:t>
      </w:r>
      <w:r w:rsidRPr="00F10686">
        <w:rPr>
          <w:i/>
          <w:sz w:val="16"/>
          <w:szCs w:val="16"/>
        </w:rPr>
        <w:t>Excepciones Preliminares</w:t>
      </w:r>
      <w:r>
        <w:rPr>
          <w:sz w:val="16"/>
          <w:szCs w:val="16"/>
        </w:rPr>
        <w:t>.</w:t>
      </w:r>
      <w:r w:rsidRPr="0000173B">
        <w:rPr>
          <w:sz w:val="16"/>
          <w:szCs w:val="16"/>
        </w:rPr>
        <w:t xml:space="preserve"> </w:t>
      </w:r>
      <w:r w:rsidRPr="00AC07A0">
        <w:rPr>
          <w:rFonts w:eastAsia="Verdana" w:cs="Verdana"/>
          <w:sz w:val="16"/>
          <w:szCs w:val="16"/>
          <w:lang w:val="es-CR"/>
        </w:rPr>
        <w:t xml:space="preserve">Sentencia de </w:t>
      </w:r>
      <w:r>
        <w:rPr>
          <w:rFonts w:eastAsia="Verdana" w:cs="Verdana"/>
          <w:sz w:val="16"/>
          <w:szCs w:val="16"/>
          <w:lang w:val="es-CR"/>
        </w:rPr>
        <w:t>26</w:t>
      </w:r>
      <w:r w:rsidRPr="00AC07A0">
        <w:rPr>
          <w:rFonts w:eastAsia="Verdana" w:cs="Verdana"/>
          <w:sz w:val="16"/>
          <w:szCs w:val="16"/>
          <w:lang w:val="es-CR"/>
        </w:rPr>
        <w:t xml:space="preserve"> de </w:t>
      </w:r>
      <w:r>
        <w:rPr>
          <w:rFonts w:eastAsia="Verdana" w:cs="Verdana"/>
          <w:sz w:val="16"/>
          <w:szCs w:val="16"/>
          <w:lang w:val="es-CR"/>
        </w:rPr>
        <w:t>junio de 1987. Serie C No. 01,</w:t>
      </w:r>
      <w:r w:rsidRPr="00227226">
        <w:rPr>
          <w:sz w:val="16"/>
          <w:szCs w:val="16"/>
        </w:rPr>
        <w:t xml:space="preserve"> párr. 85, y</w:t>
      </w:r>
      <w:r>
        <w:rPr>
          <w:sz w:val="16"/>
          <w:szCs w:val="16"/>
        </w:rPr>
        <w:t xml:space="preserve"> </w:t>
      </w:r>
      <w:r>
        <w:rPr>
          <w:i/>
          <w:sz w:val="16"/>
          <w:szCs w:val="16"/>
        </w:rPr>
        <w:t>Caso Amrhein y otros Vs. Costa Rica.</w:t>
      </w:r>
      <w:r>
        <w:rPr>
          <w:i/>
          <w:sz w:val="16"/>
          <w:szCs w:val="16"/>
          <w:lang w:val="es-ES"/>
        </w:rPr>
        <w:t xml:space="preserve"> </w:t>
      </w:r>
      <w:r>
        <w:rPr>
          <w:rFonts w:eastAsia="Verdana" w:cs="Verdana"/>
          <w:i/>
          <w:sz w:val="16"/>
          <w:szCs w:val="16"/>
          <w:lang w:val="es-CR"/>
        </w:rPr>
        <w:t>Excepcio</w:t>
      </w:r>
      <w:r w:rsidRPr="00AC07A0">
        <w:rPr>
          <w:rFonts w:eastAsia="Verdana" w:cs="Verdana"/>
          <w:i/>
          <w:sz w:val="16"/>
          <w:szCs w:val="16"/>
          <w:lang w:val="es-CR"/>
        </w:rPr>
        <w:t>n</w:t>
      </w:r>
      <w:r>
        <w:rPr>
          <w:rFonts w:eastAsia="Verdana" w:cs="Verdana"/>
          <w:i/>
          <w:sz w:val="16"/>
          <w:szCs w:val="16"/>
          <w:lang w:val="es-CR"/>
        </w:rPr>
        <w:t>es</w:t>
      </w:r>
      <w:r w:rsidRPr="00AC07A0">
        <w:rPr>
          <w:rFonts w:eastAsia="Verdana" w:cs="Verdana"/>
          <w:i/>
          <w:sz w:val="16"/>
          <w:szCs w:val="16"/>
          <w:lang w:val="es-CR"/>
        </w:rPr>
        <w:t xml:space="preserve"> Preliminar</w:t>
      </w:r>
      <w:r>
        <w:rPr>
          <w:rFonts w:eastAsia="Verdana" w:cs="Verdana"/>
          <w:i/>
          <w:sz w:val="16"/>
          <w:szCs w:val="16"/>
          <w:lang w:val="es-CR"/>
        </w:rPr>
        <w:t>es</w:t>
      </w:r>
      <w:r w:rsidRPr="00AC07A0">
        <w:rPr>
          <w:rFonts w:eastAsia="Verdana" w:cs="Verdana"/>
          <w:i/>
          <w:sz w:val="16"/>
          <w:szCs w:val="16"/>
          <w:lang w:val="es-CR"/>
        </w:rPr>
        <w:t>, Fondo, Reparaciones y Costas</w:t>
      </w:r>
      <w:r>
        <w:rPr>
          <w:rFonts w:eastAsia="Verdana" w:cs="Verdana"/>
          <w:i/>
          <w:sz w:val="16"/>
          <w:szCs w:val="16"/>
          <w:lang w:val="es-CR"/>
        </w:rPr>
        <w:t xml:space="preserve">. </w:t>
      </w:r>
      <w:r>
        <w:rPr>
          <w:rFonts w:eastAsia="Verdana" w:cs="Verdana"/>
          <w:sz w:val="16"/>
          <w:szCs w:val="16"/>
          <w:lang w:val="es-CR"/>
        </w:rPr>
        <w:t>Sentencia de 25 de abril de 2018. Serie C No. 354, párr. 39</w:t>
      </w:r>
      <w:r w:rsidRPr="00D83377">
        <w:rPr>
          <w:sz w:val="16"/>
          <w:szCs w:val="16"/>
          <w:lang w:val="es-ES"/>
        </w:rPr>
        <w:t xml:space="preserve">. </w:t>
      </w:r>
    </w:p>
  </w:footnote>
  <w:footnote w:id="14">
    <w:p w:rsidR="00B41935" w:rsidRPr="00AC07A0" w:rsidRDefault="00B41935" w:rsidP="003D758A">
      <w:pPr>
        <w:pStyle w:val="FootnoteText"/>
        <w:tabs>
          <w:tab w:val="left" w:pos="567"/>
          <w:tab w:val="left" w:pos="709"/>
        </w:tabs>
        <w:rPr>
          <w:sz w:val="16"/>
          <w:szCs w:val="16"/>
          <w:lang w:val="es-CR"/>
        </w:rPr>
      </w:pPr>
      <w:r>
        <w:rPr>
          <w:rStyle w:val="FootnoteReference"/>
          <w:lang w:val="es-CR"/>
        </w:rPr>
        <w:footnoteRef/>
      </w:r>
      <w:r w:rsidRPr="00A36A3D">
        <w:rPr>
          <w:sz w:val="16"/>
          <w:szCs w:val="16"/>
          <w:lang w:val="es-CR"/>
        </w:rPr>
        <w:t xml:space="preserve"> </w:t>
      </w:r>
      <w:r w:rsidRPr="00A36A3D">
        <w:rPr>
          <w:sz w:val="16"/>
          <w:szCs w:val="16"/>
          <w:lang w:val="es-CR"/>
        </w:rPr>
        <w:tab/>
        <w:t>S</w:t>
      </w:r>
      <w:r w:rsidRPr="00A36A3D">
        <w:rPr>
          <w:sz w:val="16"/>
          <w:szCs w:val="16"/>
          <w:lang w:val="es-ES"/>
        </w:rPr>
        <w:t xml:space="preserve">i bien </w:t>
      </w:r>
      <w:r w:rsidRPr="00A36A3D">
        <w:rPr>
          <w:sz w:val="16"/>
          <w:szCs w:val="16"/>
          <w:lang w:val="es-CR"/>
        </w:rPr>
        <w:t>la Comisión en todos los casos determinó el retardo injustificado de la investigación en aplicación del artículo 46.2.c) de la Convención Americana (</w:t>
      </w:r>
      <w:r w:rsidRPr="00A36A3D">
        <w:rPr>
          <w:i/>
          <w:sz w:val="16"/>
          <w:szCs w:val="16"/>
          <w:lang w:val="es-CR"/>
        </w:rPr>
        <w:t xml:space="preserve">supra </w:t>
      </w:r>
      <w:r>
        <w:rPr>
          <w:sz w:val="16"/>
          <w:szCs w:val="16"/>
          <w:lang w:val="es-CR"/>
        </w:rPr>
        <w:t>párr</w:t>
      </w:r>
      <w:r w:rsidRPr="00A36A3D">
        <w:rPr>
          <w:sz w:val="16"/>
          <w:szCs w:val="16"/>
          <w:lang w:val="es-CR"/>
        </w:rPr>
        <w:t xml:space="preserve">. </w:t>
      </w:r>
      <w:r>
        <w:rPr>
          <w:sz w:val="16"/>
          <w:szCs w:val="16"/>
          <w:lang w:val="es-CR"/>
        </w:rPr>
        <w:t>18</w:t>
      </w:r>
      <w:r w:rsidRPr="00A36A3D">
        <w:rPr>
          <w:sz w:val="16"/>
          <w:szCs w:val="16"/>
          <w:lang w:val="es-CR"/>
        </w:rPr>
        <w:t>), este Tribunal recuerda que de conformidad con su jurisprudencia “</w:t>
      </w:r>
      <w:r w:rsidRPr="00A36A3D">
        <w:rPr>
          <w:sz w:val="16"/>
          <w:szCs w:val="16"/>
          <w:lang w:val="es-ES"/>
        </w:rPr>
        <w:t xml:space="preserve">para </w:t>
      </w:r>
      <w:r w:rsidRPr="00A36A3D">
        <w:rPr>
          <w:spacing w:val="-2"/>
          <w:sz w:val="16"/>
          <w:szCs w:val="16"/>
        </w:rPr>
        <w:t xml:space="preserve">que una petición o comunicación sea admitida por la Comisión”, debe exigirse “el agotamiento de los recursos para el momento en que se decida sobre la admisibilidad de la petición y no para el momento de la presentación de la misma. </w:t>
      </w:r>
      <w:r w:rsidRPr="00A36A3D">
        <w:rPr>
          <w:rFonts w:eastAsia="Verdana" w:cs="Verdana"/>
          <w:i/>
          <w:sz w:val="16"/>
          <w:szCs w:val="16"/>
          <w:lang w:val="es-CR"/>
        </w:rPr>
        <w:t xml:space="preserve">Cfr. Caso Wong Ho Wing Vs. Perú. Excepción Preliminar, Fondo, Reparaciones y Costas. </w:t>
      </w:r>
      <w:r w:rsidRPr="00A36A3D">
        <w:rPr>
          <w:rFonts w:eastAsia="Verdana" w:cs="Verdana"/>
          <w:sz w:val="16"/>
          <w:szCs w:val="16"/>
          <w:lang w:val="es-CR"/>
        </w:rPr>
        <w:t>Sentencia de 30 de junio de 2015. Serie C No. 297,</w:t>
      </w:r>
      <w:r w:rsidRPr="00A36A3D">
        <w:rPr>
          <w:rFonts w:eastAsia="Verdana" w:cs="Verdana"/>
          <w:i/>
          <w:sz w:val="16"/>
          <w:szCs w:val="16"/>
          <w:lang w:val="es-CR"/>
        </w:rPr>
        <w:t xml:space="preserve"> </w:t>
      </w:r>
      <w:r w:rsidRPr="00A36A3D">
        <w:rPr>
          <w:rFonts w:eastAsia="Verdana" w:cs="Verdana"/>
          <w:sz w:val="16"/>
          <w:szCs w:val="16"/>
          <w:lang w:val="es-CR"/>
        </w:rPr>
        <w:t>párr. 25</w:t>
      </w:r>
      <w:r w:rsidRPr="00A36A3D">
        <w:rPr>
          <w:color w:val="000000" w:themeColor="text1"/>
          <w:sz w:val="16"/>
          <w:szCs w:val="16"/>
          <w:lang w:val="es-CR"/>
        </w:rPr>
        <w:t>, y</w:t>
      </w:r>
      <w:r w:rsidRPr="00A36A3D">
        <w:rPr>
          <w:i/>
          <w:color w:val="000000" w:themeColor="text1"/>
          <w:sz w:val="16"/>
          <w:szCs w:val="16"/>
          <w:lang w:val="es-CR"/>
        </w:rPr>
        <w:t xml:space="preserve"> </w:t>
      </w:r>
      <w:r w:rsidRPr="00227226">
        <w:rPr>
          <w:i/>
          <w:sz w:val="16"/>
          <w:szCs w:val="16"/>
        </w:rPr>
        <w:t xml:space="preserve">Caso </w:t>
      </w:r>
      <w:r>
        <w:rPr>
          <w:i/>
          <w:sz w:val="16"/>
          <w:szCs w:val="16"/>
        </w:rPr>
        <w:t>Amrhein y otros Vs. Costa Rica</w:t>
      </w:r>
      <w:r>
        <w:rPr>
          <w:rFonts w:eastAsia="Verdana" w:cs="Verdana"/>
          <w:sz w:val="16"/>
          <w:szCs w:val="16"/>
          <w:lang w:val="es-CR"/>
        </w:rPr>
        <w:t xml:space="preserve">, </w:t>
      </w:r>
      <w:r w:rsidRPr="0049438A">
        <w:rPr>
          <w:rFonts w:eastAsia="Verdana" w:cs="Verdana"/>
          <w:i/>
          <w:sz w:val="16"/>
          <w:szCs w:val="16"/>
          <w:lang w:val="es-CR"/>
        </w:rPr>
        <w:t>supra</w:t>
      </w:r>
      <w:r>
        <w:rPr>
          <w:rFonts w:eastAsia="Verdana" w:cs="Verdana"/>
          <w:sz w:val="16"/>
          <w:szCs w:val="16"/>
          <w:lang w:val="es-CR"/>
        </w:rPr>
        <w:t>, párr. 41.</w:t>
      </w:r>
    </w:p>
  </w:footnote>
  <w:footnote w:id="15">
    <w:p w:rsidR="00B41935" w:rsidRPr="00A63734" w:rsidRDefault="00B41935" w:rsidP="003D758A">
      <w:pPr>
        <w:pStyle w:val="FootnoteText"/>
      </w:pPr>
      <w:r w:rsidRPr="00A63734">
        <w:rPr>
          <w:rStyle w:val="FootnoteReference"/>
        </w:rPr>
        <w:footnoteRef/>
      </w:r>
      <w:r w:rsidRPr="00A63734">
        <w:t xml:space="preserve"> </w:t>
      </w:r>
      <w:r w:rsidRPr="00A63734">
        <w:tab/>
      </w:r>
      <w:r w:rsidRPr="00A63734">
        <w:rPr>
          <w:rFonts w:cs="Arial"/>
          <w:sz w:val="16"/>
          <w:szCs w:val="16"/>
          <w:lang w:val="es-CR"/>
        </w:rPr>
        <w:t>Comunicación del Estado. Nota No. 7-5-M/421 2</w:t>
      </w:r>
      <w:r>
        <w:rPr>
          <w:rFonts w:cs="Arial"/>
          <w:sz w:val="16"/>
          <w:szCs w:val="16"/>
          <w:lang w:val="es-CR"/>
        </w:rPr>
        <w:t>4</w:t>
      </w:r>
      <w:r w:rsidRPr="00A63734">
        <w:rPr>
          <w:rFonts w:cs="Arial"/>
          <w:sz w:val="16"/>
          <w:szCs w:val="16"/>
          <w:lang w:val="es-CR"/>
        </w:rPr>
        <w:t xml:space="preserve"> de agosto de 1998. Informe Consolidado</w:t>
      </w:r>
      <w:r w:rsidRPr="00A63734">
        <w:rPr>
          <w:sz w:val="16"/>
          <w:szCs w:val="16"/>
          <w:lang w:val="es-ES"/>
        </w:rPr>
        <w:t xml:space="preserve"> (expediente de trámite ante la</w:t>
      </w:r>
      <w:r>
        <w:rPr>
          <w:sz w:val="16"/>
          <w:szCs w:val="16"/>
          <w:lang w:val="es-ES"/>
        </w:rPr>
        <w:t xml:space="preserve"> Comisión</w:t>
      </w:r>
      <w:r w:rsidRPr="00A63734">
        <w:rPr>
          <w:sz w:val="16"/>
          <w:szCs w:val="16"/>
          <w:lang w:val="es-ES"/>
        </w:rPr>
        <w:t>, fs. 963 a 96</w:t>
      </w:r>
      <w:r>
        <w:rPr>
          <w:sz w:val="16"/>
          <w:szCs w:val="16"/>
          <w:lang w:val="es-ES"/>
        </w:rPr>
        <w:t>7</w:t>
      </w:r>
      <w:r w:rsidRPr="00A63734">
        <w:rPr>
          <w:sz w:val="16"/>
          <w:szCs w:val="16"/>
          <w:lang w:val="es-ES"/>
        </w:rPr>
        <w:t>)</w:t>
      </w:r>
      <w:r w:rsidRPr="00A63734">
        <w:rPr>
          <w:sz w:val="16"/>
          <w:lang w:val="es-ES"/>
        </w:rPr>
        <w:t xml:space="preserve">. </w:t>
      </w:r>
    </w:p>
  </w:footnote>
  <w:footnote w:id="16">
    <w:p w:rsidR="00B41935" w:rsidRPr="00A63734" w:rsidRDefault="00B41935" w:rsidP="003D758A">
      <w:pPr>
        <w:pStyle w:val="FootnoteText"/>
        <w:rPr>
          <w:lang w:val="es-DO"/>
        </w:rPr>
      </w:pPr>
      <w:r w:rsidRPr="00A63734">
        <w:rPr>
          <w:rStyle w:val="FootnoteReference"/>
        </w:rPr>
        <w:footnoteRef/>
      </w:r>
      <w:r w:rsidRPr="00A63734">
        <w:tab/>
      </w:r>
      <w:r>
        <w:rPr>
          <w:sz w:val="16"/>
          <w:szCs w:val="16"/>
        </w:rPr>
        <w:t>Comunicación del Estado. Nota No. 7-5-M/314 de 18 de mayo de 2011. Informe No. 212-2011-JUS/PPES, de la Procuraduría Pública Especializada Supranacional de Perú, indicó que: “[e]l Estado peruano continua en sede interna con las investigaciones” (expediente de trámite ante la Comisión, fs. 926 a 938).</w:t>
      </w:r>
      <w:r>
        <w:rPr>
          <w:sz w:val="16"/>
          <w:lang w:val="es-ES"/>
        </w:rPr>
        <w:t xml:space="preserve"> </w:t>
      </w:r>
      <w:r>
        <w:rPr>
          <w:rFonts w:cs="Arial"/>
          <w:sz w:val="16"/>
          <w:szCs w:val="16"/>
          <w:lang w:val="es-CR"/>
        </w:rPr>
        <w:t xml:space="preserve"> </w:t>
      </w:r>
    </w:p>
  </w:footnote>
  <w:footnote w:id="17">
    <w:p w:rsidR="00B41935" w:rsidRPr="00A63734" w:rsidRDefault="00B41935" w:rsidP="003D758A">
      <w:pPr>
        <w:pStyle w:val="FootnoteText"/>
        <w:rPr>
          <w:sz w:val="16"/>
          <w:szCs w:val="16"/>
        </w:rPr>
      </w:pPr>
      <w:r w:rsidRPr="00A63734">
        <w:rPr>
          <w:rStyle w:val="FootnoteReference"/>
        </w:rPr>
        <w:footnoteRef/>
      </w:r>
      <w:r w:rsidRPr="00A63734">
        <w:rPr>
          <w:sz w:val="16"/>
          <w:szCs w:val="16"/>
        </w:rPr>
        <w:t xml:space="preserve"> </w:t>
      </w:r>
      <w:r w:rsidRPr="00A63734">
        <w:rPr>
          <w:sz w:val="16"/>
          <w:szCs w:val="16"/>
        </w:rPr>
        <w:tab/>
      </w:r>
      <w:r w:rsidRPr="00A63734">
        <w:rPr>
          <w:rFonts w:cs="Arial"/>
          <w:sz w:val="16"/>
          <w:szCs w:val="16"/>
          <w:lang w:val="es-CR"/>
        </w:rPr>
        <w:t>Comunicación del Estado.</w:t>
      </w:r>
      <w:r w:rsidRPr="00A63734">
        <w:rPr>
          <w:rFonts w:cs="Helvetica"/>
          <w:sz w:val="16"/>
          <w:szCs w:val="16"/>
        </w:rPr>
        <w:t xml:space="preserve"> Nota No. 7-5-M/510 de 10 de agosto de 2010. Informe No. 240-2010.JUS/PPES </w:t>
      </w:r>
      <w:r w:rsidRPr="006118E8">
        <w:rPr>
          <w:sz w:val="16"/>
          <w:szCs w:val="16"/>
          <w:lang w:val="es-CR"/>
        </w:rPr>
        <w:t xml:space="preserve">(expediente </w:t>
      </w:r>
      <w:r w:rsidRPr="00FC6158">
        <w:rPr>
          <w:sz w:val="16"/>
          <w:szCs w:val="16"/>
          <w:lang w:val="es-CR"/>
        </w:rPr>
        <w:t>de prueba al Informe</w:t>
      </w:r>
      <w:r>
        <w:rPr>
          <w:sz w:val="16"/>
          <w:szCs w:val="16"/>
          <w:lang w:val="es-CR"/>
        </w:rPr>
        <w:t xml:space="preserve"> de Fondo</w:t>
      </w:r>
      <w:r w:rsidRPr="00FC6158">
        <w:rPr>
          <w:sz w:val="16"/>
          <w:szCs w:val="16"/>
          <w:lang w:val="es-CR"/>
        </w:rPr>
        <w:t>, fs. 559 a 571)</w:t>
      </w:r>
      <w:r w:rsidRPr="00FC6158">
        <w:rPr>
          <w:rFonts w:cs="Verdana,Italic"/>
          <w:iCs/>
          <w:sz w:val="16"/>
          <w:szCs w:val="16"/>
          <w:lang w:val="es-CR"/>
        </w:rPr>
        <w:t>.</w:t>
      </w:r>
      <w:r w:rsidRPr="00A63734">
        <w:rPr>
          <w:rFonts w:cs="Verdana,Italic"/>
          <w:iCs/>
          <w:sz w:val="16"/>
          <w:szCs w:val="16"/>
          <w:lang w:val="es-CR"/>
        </w:rPr>
        <w:t xml:space="preserve"> </w:t>
      </w:r>
    </w:p>
  </w:footnote>
  <w:footnote w:id="18">
    <w:p w:rsidR="00B41935" w:rsidRPr="00F67F2E" w:rsidRDefault="00B41935" w:rsidP="003D758A">
      <w:pPr>
        <w:rPr>
          <w:strike/>
          <w:sz w:val="16"/>
          <w:szCs w:val="16"/>
          <w:lang w:val="es-CR"/>
        </w:rPr>
      </w:pPr>
      <w:r w:rsidRPr="00A63734">
        <w:rPr>
          <w:rStyle w:val="FootnoteReference"/>
        </w:rPr>
        <w:footnoteRef/>
      </w:r>
      <w:r w:rsidRPr="00A63734">
        <w:rPr>
          <w:sz w:val="16"/>
          <w:szCs w:val="16"/>
        </w:rPr>
        <w:t xml:space="preserve"> </w:t>
      </w:r>
      <w:r w:rsidRPr="00A63734">
        <w:rPr>
          <w:sz w:val="16"/>
          <w:szCs w:val="16"/>
        </w:rPr>
        <w:tab/>
      </w:r>
      <w:r w:rsidRPr="00A63734">
        <w:rPr>
          <w:rFonts w:cs="Arial"/>
          <w:sz w:val="16"/>
          <w:szCs w:val="16"/>
          <w:lang w:val="es-CR"/>
        </w:rPr>
        <w:t xml:space="preserve">Comunicación del Estado. Nota No. 7-5-M/224 de 12 de mayo de 2005. Informe No. 47-2005-JUS/CNDH-SE/CESAPI del Estado, señaló que: “[l]a denuncia se encuentra actualmente siendo investigada por la Fiscalía Provincial Mixta de Acobamba </w:t>
      </w:r>
      <w:r w:rsidRPr="00A63734">
        <w:rPr>
          <w:sz w:val="16"/>
          <w:szCs w:val="16"/>
          <w:lang w:val="es-CR"/>
        </w:rPr>
        <w:t xml:space="preserve">(expediente </w:t>
      </w:r>
      <w:r>
        <w:rPr>
          <w:sz w:val="16"/>
          <w:szCs w:val="16"/>
          <w:lang w:val="es-CR"/>
        </w:rPr>
        <w:t>trámite ante la Comisión</w:t>
      </w:r>
      <w:r w:rsidRPr="00A63734">
        <w:rPr>
          <w:sz w:val="16"/>
          <w:szCs w:val="16"/>
          <w:lang w:val="es-CR"/>
        </w:rPr>
        <w:t>, fs. 3142 a 3144).</w:t>
      </w:r>
      <w:r w:rsidRPr="00546199">
        <w:rPr>
          <w:color w:val="00B0F0"/>
          <w:sz w:val="16"/>
          <w:szCs w:val="16"/>
          <w:lang w:val="es-CR"/>
        </w:rPr>
        <w:t xml:space="preserve"> </w:t>
      </w:r>
    </w:p>
  </w:footnote>
  <w:footnote w:id="19">
    <w:p w:rsidR="00B41935" w:rsidRPr="00A63734" w:rsidRDefault="00B41935" w:rsidP="003D758A">
      <w:pPr>
        <w:rPr>
          <w:sz w:val="16"/>
          <w:szCs w:val="16"/>
          <w:lang w:val="es-CR"/>
        </w:rPr>
      </w:pPr>
      <w:r w:rsidRPr="00A63734">
        <w:rPr>
          <w:rStyle w:val="FootnoteReference"/>
        </w:rPr>
        <w:footnoteRef/>
      </w:r>
      <w:r w:rsidRPr="00A63734">
        <w:rPr>
          <w:sz w:val="16"/>
          <w:szCs w:val="16"/>
        </w:rPr>
        <w:t xml:space="preserve"> </w:t>
      </w:r>
      <w:r w:rsidRPr="00A63734">
        <w:rPr>
          <w:sz w:val="16"/>
          <w:szCs w:val="16"/>
        </w:rPr>
        <w:tab/>
      </w:r>
      <w:r>
        <w:rPr>
          <w:rFonts w:cs="Arial"/>
          <w:sz w:val="16"/>
          <w:szCs w:val="16"/>
          <w:lang w:val="es-CR"/>
        </w:rPr>
        <w:t xml:space="preserve">Comunicación del Estado de </w:t>
      </w:r>
      <w:r w:rsidRPr="00A63734">
        <w:rPr>
          <w:rFonts w:cs="Arial"/>
          <w:sz w:val="16"/>
          <w:szCs w:val="16"/>
          <w:lang w:val="es-CR"/>
        </w:rPr>
        <w:t xml:space="preserve">7 de </w:t>
      </w:r>
      <w:r>
        <w:rPr>
          <w:rFonts w:cs="Arial"/>
          <w:sz w:val="16"/>
          <w:szCs w:val="16"/>
          <w:lang w:val="es-CR"/>
        </w:rPr>
        <w:t>diciembre</w:t>
      </w:r>
      <w:r w:rsidRPr="00A63734">
        <w:rPr>
          <w:rFonts w:cs="Arial"/>
          <w:sz w:val="16"/>
          <w:szCs w:val="16"/>
          <w:lang w:val="es-CR"/>
        </w:rPr>
        <w:t xml:space="preserve"> de 2004. Informe No. 16-2005-JUS/CNDH-SE/CESAPI del Estado</w:t>
      </w:r>
      <w:r>
        <w:rPr>
          <w:rFonts w:cs="Arial"/>
          <w:sz w:val="16"/>
          <w:szCs w:val="16"/>
          <w:lang w:val="es-CR"/>
        </w:rPr>
        <w:t xml:space="preserve"> del Perú</w:t>
      </w:r>
      <w:r w:rsidRPr="00A63734">
        <w:rPr>
          <w:rFonts w:cs="Arial"/>
          <w:sz w:val="16"/>
          <w:szCs w:val="16"/>
          <w:lang w:val="es-CR"/>
        </w:rPr>
        <w:t>, en el cual se concluye que: “</w:t>
      </w:r>
      <w:r w:rsidRPr="00A63734">
        <w:rPr>
          <w:rFonts w:cs="Arial"/>
          <w:sz w:val="16"/>
          <w:szCs w:val="16"/>
        </w:rPr>
        <w:t xml:space="preserve">se </w:t>
      </w:r>
      <w:r>
        <w:rPr>
          <w:rFonts w:cs="Arial"/>
          <w:sz w:val="16"/>
          <w:szCs w:val="16"/>
        </w:rPr>
        <w:t>[</w:t>
      </w:r>
      <w:r w:rsidRPr="00A63734">
        <w:rPr>
          <w:rFonts w:cs="Arial"/>
          <w:sz w:val="16"/>
          <w:szCs w:val="16"/>
        </w:rPr>
        <w:t>ha</w:t>
      </w:r>
      <w:r>
        <w:rPr>
          <w:rFonts w:cs="Arial"/>
          <w:sz w:val="16"/>
          <w:szCs w:val="16"/>
        </w:rPr>
        <w:t>]</w:t>
      </w:r>
      <w:r w:rsidRPr="00A63734">
        <w:rPr>
          <w:rFonts w:cs="Arial"/>
          <w:sz w:val="16"/>
          <w:szCs w:val="16"/>
        </w:rPr>
        <w:t xml:space="preserve"> dispu</w:t>
      </w:r>
      <w:r>
        <w:rPr>
          <w:rFonts w:cs="Arial"/>
          <w:sz w:val="16"/>
          <w:szCs w:val="16"/>
        </w:rPr>
        <w:t>[</w:t>
      </w:r>
      <w:r w:rsidRPr="00A63734">
        <w:rPr>
          <w:rFonts w:cs="Arial"/>
          <w:sz w:val="16"/>
          <w:szCs w:val="16"/>
        </w:rPr>
        <w:t>esto</w:t>
      </w:r>
      <w:r>
        <w:rPr>
          <w:rFonts w:cs="Arial"/>
          <w:sz w:val="16"/>
          <w:szCs w:val="16"/>
        </w:rPr>
        <w:t>]</w:t>
      </w:r>
      <w:r w:rsidRPr="00A63734">
        <w:rPr>
          <w:rFonts w:cs="Arial"/>
          <w:sz w:val="16"/>
          <w:szCs w:val="16"/>
        </w:rPr>
        <w:t xml:space="preserve"> abrir investigación a nivel policial</w:t>
      </w:r>
      <w:r>
        <w:rPr>
          <w:rFonts w:cs="Arial"/>
          <w:sz w:val="16"/>
          <w:szCs w:val="16"/>
        </w:rPr>
        <w:t xml:space="preserve"> […]</w:t>
      </w:r>
      <w:r w:rsidRPr="00A63734">
        <w:rPr>
          <w:rFonts w:cs="Arial"/>
          <w:sz w:val="16"/>
          <w:szCs w:val="16"/>
        </w:rPr>
        <w:t xml:space="preserve"> bajo la dirección de la Fiscalía Especializada” (expediente de trámite ante la</w:t>
      </w:r>
      <w:r>
        <w:rPr>
          <w:rFonts w:cs="Arial"/>
          <w:sz w:val="16"/>
          <w:szCs w:val="16"/>
        </w:rPr>
        <w:t xml:space="preserve"> Comisión</w:t>
      </w:r>
      <w:r w:rsidRPr="00A63734">
        <w:rPr>
          <w:rFonts w:cs="Arial"/>
          <w:sz w:val="16"/>
          <w:szCs w:val="16"/>
        </w:rPr>
        <w:t>, fs. 2161 a 2162);</w:t>
      </w:r>
      <w:r w:rsidRPr="00A63734">
        <w:rPr>
          <w:rFonts w:cs="Arial"/>
          <w:sz w:val="16"/>
          <w:szCs w:val="16"/>
          <w:lang w:val="es-CR"/>
        </w:rPr>
        <w:t xml:space="preserve"> Comunicación del Estado. Nota No. 7-5-M/111 de 28 de febrero de 2005. Informe No. </w:t>
      </w:r>
      <w:r w:rsidRPr="00A63734">
        <w:rPr>
          <w:rFonts w:cs="Arial"/>
          <w:sz w:val="16"/>
          <w:szCs w:val="16"/>
        </w:rPr>
        <w:t>16-2005-JUS/CNDH-SE/CESAPI, elaborado, a su vez, por la Secretaría Ejecutiva del Consejo Nacional de Derechos Humanos (expediente de</w:t>
      </w:r>
      <w:r>
        <w:rPr>
          <w:rFonts w:cs="Arial"/>
          <w:sz w:val="16"/>
          <w:szCs w:val="16"/>
        </w:rPr>
        <w:t xml:space="preserve"> trámite ante la Comisión</w:t>
      </w:r>
      <w:r w:rsidRPr="00A63734">
        <w:rPr>
          <w:rFonts w:cs="Arial"/>
          <w:sz w:val="16"/>
          <w:szCs w:val="16"/>
        </w:rPr>
        <w:t>, fs. 2156 a 2158)</w:t>
      </w:r>
      <w:r>
        <w:rPr>
          <w:rFonts w:cs="Arial"/>
          <w:sz w:val="16"/>
          <w:szCs w:val="16"/>
        </w:rPr>
        <w:t>;</w:t>
      </w:r>
      <w:r w:rsidRPr="00A63734">
        <w:rPr>
          <w:rFonts w:cs="Arial"/>
          <w:sz w:val="16"/>
          <w:szCs w:val="16"/>
        </w:rPr>
        <w:t xml:space="preserve"> </w:t>
      </w:r>
      <w:r w:rsidRPr="00A63734">
        <w:rPr>
          <w:rFonts w:cs="Arial"/>
          <w:sz w:val="16"/>
          <w:szCs w:val="16"/>
          <w:lang w:val="es-CR"/>
        </w:rPr>
        <w:t>Comunicación del Estado. Nota No. 7-5-M/212 de 12 de mayo de 2005. Informe No. 51-2005-JUS/CNDH-SE/CESAPI del Estado, en la que indicó que: “se ha aperturado investigación a nivel de Despacho Fiscal y se viene recabando declaraciones indagatorias del den</w:t>
      </w:r>
      <w:r>
        <w:rPr>
          <w:rFonts w:cs="Arial"/>
          <w:sz w:val="16"/>
          <w:szCs w:val="16"/>
          <w:lang w:val="es-CR"/>
        </w:rPr>
        <w:t>unciante” (expediente de trámite ante la Comisión</w:t>
      </w:r>
      <w:r w:rsidRPr="00A63734">
        <w:rPr>
          <w:rFonts w:cs="Arial"/>
          <w:sz w:val="16"/>
          <w:szCs w:val="16"/>
          <w:lang w:val="es-CR"/>
        </w:rPr>
        <w:t>, fs. 2121 a 2125);</w:t>
      </w:r>
      <w:r w:rsidRPr="00A63734">
        <w:rPr>
          <w:rFonts w:cs="Arial"/>
          <w:sz w:val="16"/>
          <w:szCs w:val="16"/>
        </w:rPr>
        <w:t xml:space="preserve"> </w:t>
      </w:r>
      <w:r w:rsidRPr="00A63734">
        <w:rPr>
          <w:rFonts w:cs="Arial"/>
          <w:sz w:val="16"/>
          <w:szCs w:val="16"/>
          <w:lang w:val="es-CR"/>
        </w:rPr>
        <w:t>Comunicación del Estado. Nota No. 7-5-M/55 de 2</w:t>
      </w:r>
      <w:r>
        <w:rPr>
          <w:rFonts w:cs="Arial"/>
          <w:sz w:val="16"/>
          <w:szCs w:val="16"/>
          <w:lang w:val="es-CR"/>
        </w:rPr>
        <w:t>6</w:t>
      </w:r>
      <w:r w:rsidRPr="00A63734">
        <w:rPr>
          <w:rFonts w:cs="Arial"/>
          <w:sz w:val="16"/>
          <w:szCs w:val="16"/>
          <w:lang w:val="es-CR"/>
        </w:rPr>
        <w:t xml:space="preserve"> de junio de 2005. Informe 16-2005-JUS/CNDH-SE/CESAPI</w:t>
      </w:r>
      <w:r>
        <w:rPr>
          <w:rFonts w:cs="Arial"/>
          <w:sz w:val="16"/>
          <w:szCs w:val="16"/>
        </w:rPr>
        <w:t xml:space="preserve"> (expediente de trá</w:t>
      </w:r>
      <w:r w:rsidRPr="00A63734">
        <w:rPr>
          <w:rFonts w:cs="Arial"/>
          <w:sz w:val="16"/>
          <w:szCs w:val="16"/>
        </w:rPr>
        <w:t>mite ante la C</w:t>
      </w:r>
      <w:r>
        <w:rPr>
          <w:rFonts w:cs="Arial"/>
          <w:sz w:val="16"/>
          <w:szCs w:val="16"/>
        </w:rPr>
        <w:t>omisión</w:t>
      </w:r>
      <w:r w:rsidRPr="00A63734">
        <w:rPr>
          <w:rFonts w:cs="Arial"/>
          <w:sz w:val="16"/>
          <w:szCs w:val="16"/>
        </w:rPr>
        <w:t>, fs. 2181 a 2183), y</w:t>
      </w:r>
      <w:r w:rsidRPr="00A63734">
        <w:rPr>
          <w:rFonts w:cs="Arial"/>
          <w:sz w:val="16"/>
          <w:szCs w:val="16"/>
          <w:lang w:val="es-CR"/>
        </w:rPr>
        <w:t xml:space="preserve"> Comunicación del Estado. Nota No. 7-5-M/368 de </w:t>
      </w:r>
      <w:r>
        <w:rPr>
          <w:rFonts w:cs="Arial"/>
          <w:sz w:val="16"/>
          <w:szCs w:val="16"/>
          <w:lang w:val="es-CR"/>
        </w:rPr>
        <w:t>13 de junio de 2011</w:t>
      </w:r>
      <w:r w:rsidRPr="00A63734">
        <w:rPr>
          <w:rFonts w:cs="Arial"/>
          <w:sz w:val="16"/>
          <w:szCs w:val="16"/>
          <w:lang w:val="es-CR"/>
        </w:rPr>
        <w:t>. Informe No. 268-2011-JUS/PPES del Estado, en la cual señaló que: “</w:t>
      </w:r>
      <w:r>
        <w:rPr>
          <w:rFonts w:cs="Arial"/>
          <w:sz w:val="16"/>
          <w:szCs w:val="16"/>
          <w:lang w:val="es-CR"/>
        </w:rPr>
        <w:t>[</w:t>
      </w:r>
      <w:r w:rsidRPr="00A63734">
        <w:rPr>
          <w:sz w:val="16"/>
          <w:szCs w:val="16"/>
          <w:lang w:val="es-CR"/>
        </w:rPr>
        <w:t>l</w:t>
      </w:r>
      <w:r>
        <w:rPr>
          <w:sz w:val="16"/>
          <w:szCs w:val="16"/>
          <w:lang w:val="es-CR"/>
        </w:rPr>
        <w:t>]</w:t>
      </w:r>
      <w:r w:rsidRPr="00A63734">
        <w:rPr>
          <w:rFonts w:cs="Arial"/>
          <w:sz w:val="16"/>
          <w:szCs w:val="16"/>
          <w:lang w:val="es-CR"/>
        </w:rPr>
        <w:t xml:space="preserve">as </w:t>
      </w:r>
      <w:r w:rsidRPr="00A63734">
        <w:rPr>
          <w:sz w:val="16"/>
          <w:szCs w:val="16"/>
          <w:lang w:val="es-CR"/>
        </w:rPr>
        <w:t xml:space="preserve">instancias competentes del sistema </w:t>
      </w:r>
      <w:r>
        <w:rPr>
          <w:sz w:val="16"/>
          <w:szCs w:val="16"/>
          <w:lang w:val="es-CR"/>
        </w:rPr>
        <w:t xml:space="preserve">[…] </w:t>
      </w:r>
      <w:r w:rsidRPr="00A63734">
        <w:rPr>
          <w:sz w:val="16"/>
          <w:szCs w:val="16"/>
          <w:lang w:val="es-CR"/>
        </w:rPr>
        <w:t>peruano continúan”</w:t>
      </w:r>
      <w:r w:rsidRPr="00A63734">
        <w:rPr>
          <w:rFonts w:cs="Arial"/>
          <w:sz w:val="16"/>
          <w:szCs w:val="16"/>
          <w:lang w:val="es-CR"/>
        </w:rPr>
        <w:t xml:space="preserve"> (expediente de </w:t>
      </w:r>
      <w:r>
        <w:rPr>
          <w:rFonts w:cs="Arial"/>
          <w:sz w:val="16"/>
          <w:szCs w:val="16"/>
          <w:lang w:val="es-CR"/>
        </w:rPr>
        <w:t>trámite ante la Comisión</w:t>
      </w:r>
      <w:r w:rsidRPr="00A63734">
        <w:rPr>
          <w:rFonts w:cs="Arial"/>
          <w:sz w:val="16"/>
          <w:szCs w:val="16"/>
          <w:lang w:val="es-CR"/>
        </w:rPr>
        <w:t xml:space="preserve">, fs. </w:t>
      </w:r>
      <w:r>
        <w:rPr>
          <w:rFonts w:cs="Arial"/>
          <w:sz w:val="16"/>
          <w:szCs w:val="16"/>
          <w:lang w:val="es-CR"/>
        </w:rPr>
        <w:t xml:space="preserve">2088 a 2095). </w:t>
      </w:r>
      <w:r w:rsidRPr="00A63734">
        <w:rPr>
          <w:rFonts w:cs="Arial"/>
          <w:sz w:val="16"/>
          <w:szCs w:val="16"/>
          <w:lang w:val="es-CR"/>
        </w:rPr>
        <w:t xml:space="preserve"> </w:t>
      </w:r>
    </w:p>
  </w:footnote>
  <w:footnote w:id="20">
    <w:p w:rsidR="00B41935" w:rsidRPr="002E0607" w:rsidRDefault="00B41935" w:rsidP="003D758A">
      <w:pPr>
        <w:rPr>
          <w:color w:val="00B0F0"/>
          <w:sz w:val="16"/>
          <w:szCs w:val="16"/>
          <w:lang w:val="es-CR"/>
        </w:rPr>
      </w:pPr>
      <w:r w:rsidRPr="00A63734">
        <w:rPr>
          <w:rStyle w:val="FootnoteReference"/>
        </w:rPr>
        <w:footnoteRef/>
      </w:r>
      <w:r w:rsidRPr="00A63734">
        <w:rPr>
          <w:sz w:val="16"/>
          <w:szCs w:val="16"/>
        </w:rPr>
        <w:t xml:space="preserve"> </w:t>
      </w:r>
      <w:r w:rsidRPr="00A63734">
        <w:rPr>
          <w:sz w:val="16"/>
          <w:szCs w:val="16"/>
          <w:lang w:val="es-CR"/>
        </w:rPr>
        <w:tab/>
      </w:r>
      <w:r w:rsidRPr="00A63734">
        <w:rPr>
          <w:rFonts w:cs="Arial"/>
          <w:sz w:val="16"/>
          <w:szCs w:val="16"/>
          <w:lang w:val="es-CR"/>
        </w:rPr>
        <w:t>Comunicación del Estado. Nota No. 7-5-M/093 de 17 de febrero 2005</w:t>
      </w:r>
      <w:r>
        <w:rPr>
          <w:rFonts w:cs="Arial"/>
          <w:sz w:val="16"/>
          <w:szCs w:val="16"/>
          <w:lang w:val="es-CR"/>
        </w:rPr>
        <w:t xml:space="preserve"> y</w:t>
      </w:r>
      <w:r w:rsidRPr="00A63734">
        <w:rPr>
          <w:rFonts w:cs="Arial"/>
          <w:sz w:val="16"/>
          <w:szCs w:val="16"/>
          <w:lang w:val="es-CR"/>
        </w:rPr>
        <w:t xml:space="preserve"> Nota No. 7-5.M/039 de 21 de enero de 2005. Informe No. 13-2005-JUS/CNDH-SE/CESAPI del Estado, en el cual se concluye que: “</w:t>
      </w:r>
      <w:r w:rsidRPr="00A63734">
        <w:rPr>
          <w:rFonts w:cs="Arial"/>
          <w:sz w:val="16"/>
          <w:szCs w:val="16"/>
        </w:rPr>
        <w:t>[l]a Fiscalía Especializada,</w:t>
      </w:r>
      <w:r>
        <w:rPr>
          <w:rFonts w:cs="Arial"/>
          <w:sz w:val="16"/>
          <w:szCs w:val="16"/>
        </w:rPr>
        <w:t xml:space="preserve"> […]</w:t>
      </w:r>
      <w:r w:rsidRPr="00A63734">
        <w:rPr>
          <w:rFonts w:cs="Arial"/>
          <w:sz w:val="16"/>
          <w:szCs w:val="16"/>
        </w:rPr>
        <w:t xml:space="preserve"> emiti</w:t>
      </w:r>
      <w:r>
        <w:rPr>
          <w:rFonts w:cs="Arial"/>
          <w:sz w:val="16"/>
          <w:szCs w:val="16"/>
        </w:rPr>
        <w:t>[</w:t>
      </w:r>
      <w:r w:rsidRPr="00A63734">
        <w:rPr>
          <w:rFonts w:cs="Arial"/>
          <w:sz w:val="16"/>
          <w:szCs w:val="16"/>
        </w:rPr>
        <w:t>ó</w:t>
      </w:r>
      <w:r>
        <w:rPr>
          <w:rFonts w:cs="Arial"/>
          <w:sz w:val="16"/>
          <w:szCs w:val="16"/>
        </w:rPr>
        <w:t>]</w:t>
      </w:r>
      <w:r w:rsidRPr="00A63734">
        <w:rPr>
          <w:rFonts w:cs="Arial"/>
          <w:sz w:val="16"/>
          <w:szCs w:val="16"/>
        </w:rPr>
        <w:t xml:space="preserve"> </w:t>
      </w:r>
      <w:r>
        <w:rPr>
          <w:rFonts w:cs="Arial"/>
          <w:sz w:val="16"/>
          <w:szCs w:val="16"/>
        </w:rPr>
        <w:t>[…] [</w:t>
      </w:r>
      <w:r w:rsidRPr="00A63734">
        <w:rPr>
          <w:rFonts w:cs="Arial"/>
          <w:sz w:val="16"/>
          <w:szCs w:val="16"/>
        </w:rPr>
        <w:t>R</w:t>
      </w:r>
      <w:r>
        <w:rPr>
          <w:rFonts w:cs="Arial"/>
          <w:sz w:val="16"/>
          <w:szCs w:val="16"/>
        </w:rPr>
        <w:t>]</w:t>
      </w:r>
      <w:r w:rsidRPr="00A63734">
        <w:rPr>
          <w:rFonts w:cs="Arial"/>
          <w:sz w:val="16"/>
          <w:szCs w:val="16"/>
        </w:rPr>
        <w:t>esolución abriendo investigación preliminar</w:t>
      </w:r>
      <w:r>
        <w:rPr>
          <w:rFonts w:cs="Arial"/>
          <w:sz w:val="16"/>
          <w:szCs w:val="16"/>
        </w:rPr>
        <w:t>[</w:t>
      </w:r>
      <w:r w:rsidRPr="00A63734">
        <w:rPr>
          <w:rFonts w:cs="Arial"/>
          <w:sz w:val="16"/>
          <w:szCs w:val="16"/>
        </w:rPr>
        <w:t>,</w:t>
      </w:r>
      <w:r>
        <w:rPr>
          <w:rFonts w:cs="Arial"/>
          <w:sz w:val="16"/>
          <w:szCs w:val="16"/>
        </w:rPr>
        <w:t>]</w:t>
      </w:r>
      <w:r w:rsidRPr="00A63734">
        <w:rPr>
          <w:rFonts w:cs="Arial"/>
          <w:sz w:val="16"/>
          <w:szCs w:val="16"/>
        </w:rPr>
        <w:t xml:space="preserve"> a nivel de dicho Despacho Fiscal” (expediente de </w:t>
      </w:r>
      <w:r>
        <w:rPr>
          <w:rFonts w:cs="Arial"/>
          <w:sz w:val="16"/>
          <w:szCs w:val="16"/>
        </w:rPr>
        <w:t>trámite ante la Comisión</w:t>
      </w:r>
      <w:r w:rsidRPr="00A63734">
        <w:rPr>
          <w:rFonts w:cs="Arial"/>
          <w:sz w:val="16"/>
          <w:szCs w:val="16"/>
        </w:rPr>
        <w:t xml:space="preserve">, fs. 1736 a 1756); </w:t>
      </w:r>
      <w:r w:rsidRPr="00A63734">
        <w:rPr>
          <w:rFonts w:cs="Arial"/>
          <w:sz w:val="16"/>
          <w:szCs w:val="16"/>
          <w:lang w:val="es-CR"/>
        </w:rPr>
        <w:t>Comunicación del Estado.</w:t>
      </w:r>
      <w:r w:rsidRPr="00A63734">
        <w:rPr>
          <w:rFonts w:cs="Helvetica"/>
          <w:sz w:val="16"/>
          <w:szCs w:val="16"/>
        </w:rPr>
        <w:t xml:space="preserve"> Nota No. 7-5-M/244 de 25 de abril de 2011. Informe No. 165-2011-JUS/PPES, del Estado, en el que se indicó que: “[e]l Estado peruano, a través del Ministerio Público, continua con la tramitación de la presente investigaci</w:t>
      </w:r>
      <w:r>
        <w:rPr>
          <w:rFonts w:cs="Helvetica"/>
          <w:sz w:val="16"/>
          <w:szCs w:val="16"/>
        </w:rPr>
        <w:t>ó</w:t>
      </w:r>
      <w:r w:rsidRPr="00A63734">
        <w:rPr>
          <w:rFonts w:cs="Helvetica"/>
          <w:sz w:val="16"/>
          <w:szCs w:val="16"/>
        </w:rPr>
        <w:t xml:space="preserve">n y ha dispuesto la realización de diversas diligencias” (expediente </w:t>
      </w:r>
      <w:r w:rsidRPr="00FC6158">
        <w:rPr>
          <w:sz w:val="16"/>
          <w:szCs w:val="16"/>
          <w:lang w:val="es-CR"/>
        </w:rPr>
        <w:t>de prueba al Informe</w:t>
      </w:r>
      <w:r>
        <w:rPr>
          <w:sz w:val="16"/>
          <w:szCs w:val="16"/>
          <w:lang w:val="es-CR"/>
        </w:rPr>
        <w:t xml:space="preserve"> de Fondo</w:t>
      </w:r>
      <w:r w:rsidRPr="00A63734">
        <w:rPr>
          <w:rFonts w:cs="Helvetica"/>
          <w:sz w:val="16"/>
          <w:szCs w:val="16"/>
        </w:rPr>
        <w:t>, fs. 509</w:t>
      </w:r>
      <w:r>
        <w:rPr>
          <w:rFonts w:cs="Helvetica"/>
          <w:sz w:val="16"/>
          <w:szCs w:val="16"/>
        </w:rPr>
        <w:t xml:space="preserve"> a </w:t>
      </w:r>
      <w:r w:rsidRPr="00A63734">
        <w:rPr>
          <w:rFonts w:cs="Helvetica"/>
          <w:sz w:val="16"/>
          <w:szCs w:val="16"/>
        </w:rPr>
        <w:t>516);</w:t>
      </w:r>
      <w:r w:rsidRPr="00A63734">
        <w:rPr>
          <w:rFonts w:cs="Arial"/>
          <w:sz w:val="16"/>
          <w:szCs w:val="16"/>
        </w:rPr>
        <w:t xml:space="preserve"> </w:t>
      </w:r>
      <w:r w:rsidRPr="00A63734">
        <w:rPr>
          <w:rFonts w:cs="Arial"/>
          <w:sz w:val="16"/>
          <w:szCs w:val="16"/>
          <w:lang w:val="es-CR"/>
        </w:rPr>
        <w:t xml:space="preserve">Comunicación del Estado. Nota No. 7-5-M/316 de </w:t>
      </w:r>
      <w:r>
        <w:rPr>
          <w:rFonts w:cs="Arial"/>
          <w:sz w:val="16"/>
          <w:szCs w:val="16"/>
          <w:lang w:val="es-CR"/>
        </w:rPr>
        <w:t>18</w:t>
      </w:r>
      <w:r w:rsidRPr="00A63734">
        <w:rPr>
          <w:rFonts w:cs="Arial"/>
          <w:sz w:val="16"/>
          <w:szCs w:val="16"/>
          <w:lang w:val="es-CR"/>
        </w:rPr>
        <w:t xml:space="preserve"> de </w:t>
      </w:r>
      <w:r>
        <w:rPr>
          <w:rFonts w:cs="Arial"/>
          <w:sz w:val="16"/>
          <w:szCs w:val="16"/>
          <w:lang w:val="es-CR"/>
        </w:rPr>
        <w:t>mayo</w:t>
      </w:r>
      <w:r w:rsidRPr="00A63734">
        <w:rPr>
          <w:rFonts w:cs="Arial"/>
          <w:sz w:val="16"/>
          <w:szCs w:val="16"/>
          <w:lang w:val="es-CR"/>
        </w:rPr>
        <w:t xml:space="preserve"> de 2011. Informe No. 211-2011-JUS/PPES del Estado de Perú, concluye que: “El Estado peruano continúa en sede interna con las investigaciones, diligencias y gestiones para el mejor esclarecimiento de los hechos denunciados</w:t>
      </w:r>
      <w:r w:rsidRPr="00A63734">
        <w:rPr>
          <w:sz w:val="16"/>
          <w:szCs w:val="16"/>
          <w:lang w:val="es-CR"/>
        </w:rPr>
        <w:t xml:space="preserve">” (expediente de </w:t>
      </w:r>
      <w:r>
        <w:rPr>
          <w:sz w:val="16"/>
          <w:szCs w:val="16"/>
          <w:lang w:val="es-CR"/>
        </w:rPr>
        <w:t>trámite ante la Comisión</w:t>
      </w:r>
      <w:r w:rsidRPr="00A63734">
        <w:rPr>
          <w:sz w:val="16"/>
          <w:szCs w:val="16"/>
          <w:lang w:val="es-CR"/>
        </w:rPr>
        <w:t>, fs.1675 a 1686)</w:t>
      </w:r>
      <w:r>
        <w:rPr>
          <w:sz w:val="16"/>
          <w:szCs w:val="16"/>
          <w:lang w:val="es-CR"/>
        </w:rPr>
        <w:t xml:space="preserve">, y </w:t>
      </w:r>
      <w:r w:rsidRPr="00A63734">
        <w:rPr>
          <w:rFonts w:cs="Arial"/>
          <w:sz w:val="16"/>
          <w:szCs w:val="16"/>
          <w:lang w:val="es-CR"/>
        </w:rPr>
        <w:t>Comunicación del Estado. Nota No. 7-5</w:t>
      </w:r>
      <w:r>
        <w:rPr>
          <w:rFonts w:cs="Arial"/>
          <w:sz w:val="16"/>
          <w:szCs w:val="16"/>
          <w:lang w:val="es-CR"/>
        </w:rPr>
        <w:t>-</w:t>
      </w:r>
      <w:r w:rsidRPr="00A63734">
        <w:rPr>
          <w:rFonts w:cs="Arial"/>
          <w:sz w:val="16"/>
          <w:szCs w:val="16"/>
          <w:lang w:val="es-CR"/>
        </w:rPr>
        <w:t>M/600 de 31 de agosto de 2011. Informe No. 45</w:t>
      </w:r>
      <w:r>
        <w:rPr>
          <w:rFonts w:cs="Arial"/>
          <w:sz w:val="16"/>
          <w:szCs w:val="16"/>
          <w:lang w:val="es-CR"/>
        </w:rPr>
        <w:t>0</w:t>
      </w:r>
      <w:r w:rsidRPr="00A63734">
        <w:rPr>
          <w:rFonts w:cs="Arial"/>
          <w:sz w:val="16"/>
          <w:szCs w:val="16"/>
          <w:lang w:val="es-CR"/>
        </w:rPr>
        <w:t>-2011-JUS/PPES del Estado</w:t>
      </w:r>
      <w:r>
        <w:rPr>
          <w:rFonts w:cs="Arial"/>
          <w:sz w:val="16"/>
          <w:szCs w:val="16"/>
          <w:lang w:val="es-CR"/>
        </w:rPr>
        <w:t xml:space="preserve"> de Perú</w:t>
      </w:r>
      <w:r w:rsidRPr="00A63734">
        <w:rPr>
          <w:rFonts w:cs="Arial"/>
          <w:sz w:val="16"/>
          <w:szCs w:val="16"/>
          <w:lang w:val="es-CR"/>
        </w:rPr>
        <w:t>, en el cual se señaló que: “[</w:t>
      </w:r>
      <w:r w:rsidRPr="00A63734">
        <w:rPr>
          <w:rFonts w:cs="Arial"/>
          <w:sz w:val="16"/>
          <w:szCs w:val="16"/>
        </w:rPr>
        <w:t>e]l Estado demuestra el cumplimiento de sus obligaciones internacionales de invest</w:t>
      </w:r>
      <w:r>
        <w:rPr>
          <w:rFonts w:cs="Arial"/>
          <w:sz w:val="16"/>
          <w:szCs w:val="16"/>
        </w:rPr>
        <w:t>igar” (expediente de trámite ante la Comisión</w:t>
      </w:r>
      <w:r w:rsidRPr="00A63734">
        <w:rPr>
          <w:rFonts w:cs="Arial"/>
          <w:sz w:val="16"/>
          <w:szCs w:val="16"/>
        </w:rPr>
        <w:t>, fs. 1639 a 1657).</w:t>
      </w:r>
    </w:p>
  </w:footnote>
  <w:footnote w:id="21">
    <w:p w:rsidR="00B41935" w:rsidRPr="00503DEB" w:rsidRDefault="00B41935" w:rsidP="003D758A">
      <w:pPr>
        <w:pStyle w:val="FootnoteText"/>
      </w:pPr>
      <w:r>
        <w:rPr>
          <w:rStyle w:val="FootnoteReference"/>
        </w:rPr>
        <w:footnoteRef/>
      </w:r>
      <w:r>
        <w:t xml:space="preserve"> </w:t>
      </w:r>
      <w:r>
        <w:tab/>
      </w:r>
      <w:r w:rsidRPr="00553515">
        <w:rPr>
          <w:sz w:val="16"/>
          <w:szCs w:val="16"/>
        </w:rPr>
        <w:t>La Corte ha establecido “pautas claras para analizar una excepción preliminar basada en un presunto incumplimiento del requisito de agotamiento de los recursos internos. Primero, ha interpretado la excepción como una defensa disponible para el Estado, y como tal, puede renunciar a ella, ya sea expresa o tácitamente. Segundo, esta excepción debe presentarse oportunamente con el propósito de que el Estado pueda ejercer su derecho a la defensa. Tercero, la Corte ha afirmado que el Estado que presenta esta excepción debe especificar los recursos internos que aún no se han agotado y demostrar que estos recursos son aplicables y efectivos”.</w:t>
      </w:r>
      <w:r w:rsidRPr="00997E14">
        <w:rPr>
          <w:rFonts w:eastAsiaTheme="minorHAnsi" w:cstheme="minorBidi"/>
          <w:i/>
          <w:szCs w:val="16"/>
          <w:lang w:val="pt-BR"/>
        </w:rPr>
        <w:t xml:space="preserve"> </w:t>
      </w:r>
      <w:r w:rsidRPr="00997E14">
        <w:rPr>
          <w:i/>
          <w:sz w:val="16"/>
          <w:szCs w:val="16"/>
          <w:lang w:val="pt-BR"/>
        </w:rPr>
        <w:t>Cfr. Caso Velásquez Rodríguez Vs. Honduras</w:t>
      </w:r>
      <w:r>
        <w:rPr>
          <w:sz w:val="16"/>
          <w:szCs w:val="16"/>
          <w:lang w:val="pt-BR"/>
        </w:rPr>
        <w:t xml:space="preserve">. </w:t>
      </w:r>
      <w:r w:rsidRPr="00005206">
        <w:rPr>
          <w:i/>
          <w:sz w:val="16"/>
          <w:szCs w:val="16"/>
          <w:lang w:val="pt-BR"/>
        </w:rPr>
        <w:t>Excepciones Preliminares</w:t>
      </w:r>
      <w:r>
        <w:rPr>
          <w:sz w:val="16"/>
          <w:szCs w:val="16"/>
          <w:lang w:val="pt-BR"/>
        </w:rPr>
        <w:t xml:space="preserve">, </w:t>
      </w:r>
      <w:r w:rsidRPr="0049438A">
        <w:rPr>
          <w:i/>
          <w:sz w:val="16"/>
          <w:szCs w:val="16"/>
          <w:lang w:val="pt-BR"/>
        </w:rPr>
        <w:t>supra</w:t>
      </w:r>
      <w:r w:rsidRPr="00997E14">
        <w:rPr>
          <w:sz w:val="16"/>
          <w:szCs w:val="16"/>
          <w:lang w:val="pt-BR"/>
        </w:rPr>
        <w:t>, párr. 88</w:t>
      </w:r>
      <w:r>
        <w:rPr>
          <w:sz w:val="16"/>
          <w:szCs w:val="16"/>
          <w:lang w:val="pt-BR"/>
        </w:rPr>
        <w:t>, y</w:t>
      </w:r>
      <w:r w:rsidRPr="00553515">
        <w:rPr>
          <w:bCs/>
          <w:i/>
          <w:sz w:val="16"/>
          <w:szCs w:val="16"/>
        </w:rPr>
        <w:t xml:space="preserve"> Caso Herzog y otros Vs. Brasil</w:t>
      </w:r>
      <w:r w:rsidRPr="00553515">
        <w:rPr>
          <w:bCs/>
          <w:sz w:val="16"/>
          <w:szCs w:val="16"/>
        </w:rPr>
        <w:t xml:space="preserve">. </w:t>
      </w:r>
      <w:r w:rsidRPr="00F57003">
        <w:rPr>
          <w:bCs/>
          <w:i/>
          <w:sz w:val="16"/>
          <w:szCs w:val="16"/>
        </w:rPr>
        <w:t>Excepciones Preliminares, Fondo, Reparaciones y Costas</w:t>
      </w:r>
      <w:r w:rsidRPr="00553515">
        <w:rPr>
          <w:bCs/>
          <w:sz w:val="16"/>
          <w:szCs w:val="16"/>
        </w:rPr>
        <w:t>. Sentencia de 15 de ma</w:t>
      </w:r>
      <w:r>
        <w:rPr>
          <w:bCs/>
          <w:sz w:val="16"/>
          <w:szCs w:val="16"/>
        </w:rPr>
        <w:t>rzo de 2018. Serie C No</w:t>
      </w:r>
      <w:r w:rsidRPr="00AB37AF">
        <w:rPr>
          <w:bCs/>
          <w:sz w:val="16"/>
          <w:szCs w:val="16"/>
        </w:rPr>
        <w:t>. 353, párr. 49. Además, “</w:t>
      </w:r>
      <w:r w:rsidRPr="00AB37AF">
        <w:rPr>
          <w:sz w:val="16"/>
          <w:szCs w:val="16"/>
        </w:rPr>
        <w:t>[c]onstatando, en ese mismo sentido, que “no corresponde ni a la Corte ni a la Co</w:t>
      </w:r>
      <w:r w:rsidRPr="00C44222">
        <w:rPr>
          <w:sz w:val="16"/>
          <w:szCs w:val="16"/>
        </w:rPr>
        <w:t xml:space="preserve">misión identificar </w:t>
      </w:r>
      <w:r w:rsidRPr="00C44222">
        <w:rPr>
          <w:i/>
          <w:sz w:val="16"/>
          <w:szCs w:val="16"/>
        </w:rPr>
        <w:t>ex officio</w:t>
      </w:r>
      <w:r w:rsidRPr="00C44222">
        <w:rPr>
          <w:sz w:val="16"/>
          <w:szCs w:val="16"/>
        </w:rPr>
        <w:t xml:space="preserve"> cuáles son los recursos internos pendientes de agotamiento. Por ello, no compete a los órganos internacionales subsanar la falta de precisión de los alegatos del Estado”.</w:t>
      </w:r>
      <w:r w:rsidRPr="00997E14">
        <w:rPr>
          <w:rFonts w:eastAsia="Times New Roman" w:cs="Times New Roman"/>
          <w:i/>
          <w:spacing w:val="-4"/>
          <w:szCs w:val="16"/>
          <w:lang w:val="es-CR" w:eastAsia="es-CR"/>
        </w:rPr>
        <w:t xml:space="preserve"> </w:t>
      </w:r>
      <w:r w:rsidRPr="00997E14">
        <w:rPr>
          <w:i/>
          <w:sz w:val="16"/>
          <w:szCs w:val="16"/>
          <w:lang w:val="es-CR"/>
        </w:rPr>
        <w:t>Cfr. Caso Reverón Trujillo Vs. Venezuela. Excepción Preliminar, Fondo, Reparaciones y Costas</w:t>
      </w:r>
      <w:r w:rsidRPr="00997E14">
        <w:rPr>
          <w:sz w:val="16"/>
          <w:szCs w:val="16"/>
          <w:lang w:val="es-CR"/>
        </w:rPr>
        <w:t>. Sentencia de 30 de junio de 2009. Serie C No. 197, párr. 23</w:t>
      </w:r>
      <w:r>
        <w:rPr>
          <w:bCs/>
          <w:sz w:val="16"/>
          <w:szCs w:val="16"/>
        </w:rPr>
        <w:t>, y</w:t>
      </w:r>
      <w:r w:rsidRPr="00C44222">
        <w:rPr>
          <w:bCs/>
          <w:sz w:val="16"/>
          <w:szCs w:val="16"/>
        </w:rPr>
        <w:t xml:space="preserve"> </w:t>
      </w:r>
      <w:r w:rsidRPr="00C44222">
        <w:rPr>
          <w:bCs/>
          <w:i/>
          <w:sz w:val="16"/>
          <w:szCs w:val="16"/>
        </w:rPr>
        <w:t xml:space="preserve">Caso Amrhein y otros </w:t>
      </w:r>
      <w:r>
        <w:rPr>
          <w:bCs/>
          <w:i/>
          <w:sz w:val="16"/>
          <w:szCs w:val="16"/>
        </w:rPr>
        <w:t>V</w:t>
      </w:r>
      <w:r w:rsidRPr="00C44222">
        <w:rPr>
          <w:bCs/>
          <w:i/>
          <w:sz w:val="16"/>
          <w:szCs w:val="16"/>
        </w:rPr>
        <w:t>s. Costa Rica</w:t>
      </w:r>
      <w:r w:rsidRPr="00C44222">
        <w:rPr>
          <w:bCs/>
          <w:sz w:val="16"/>
          <w:szCs w:val="16"/>
        </w:rPr>
        <w:t xml:space="preserve">, </w:t>
      </w:r>
      <w:r w:rsidRPr="0049438A">
        <w:rPr>
          <w:bCs/>
          <w:i/>
          <w:sz w:val="16"/>
          <w:szCs w:val="16"/>
        </w:rPr>
        <w:t>supra</w:t>
      </w:r>
      <w:r>
        <w:rPr>
          <w:bCs/>
          <w:sz w:val="16"/>
          <w:szCs w:val="16"/>
        </w:rPr>
        <w:t xml:space="preserve">, </w:t>
      </w:r>
      <w:r w:rsidRPr="00C44222">
        <w:rPr>
          <w:bCs/>
          <w:sz w:val="16"/>
          <w:szCs w:val="16"/>
        </w:rPr>
        <w:t>párr. 39.</w:t>
      </w:r>
    </w:p>
  </w:footnote>
  <w:footnote w:id="22">
    <w:p w:rsidR="00B41935" w:rsidRPr="00552A48" w:rsidRDefault="00B41935" w:rsidP="00E1727B">
      <w:pPr>
        <w:pStyle w:val="align-justify"/>
        <w:spacing w:before="0" w:beforeAutospacing="0" w:after="0" w:afterAutospacing="0"/>
        <w:contextualSpacing/>
        <w:jc w:val="both"/>
        <w:rPr>
          <w:rFonts w:ascii="Verdana" w:hAnsi="Verdana" w:cs="Tahoma"/>
          <w:color w:val="000000"/>
          <w:sz w:val="16"/>
          <w:szCs w:val="16"/>
          <w:lang w:val="es-ES"/>
        </w:rPr>
      </w:pPr>
      <w:r w:rsidRPr="00CC214C">
        <w:rPr>
          <w:rStyle w:val="FootnoteReference"/>
          <w:rFonts w:eastAsiaTheme="majorEastAsia"/>
        </w:rPr>
        <w:footnoteRef/>
      </w:r>
      <w:r>
        <w:rPr>
          <w:rFonts w:ascii="Verdana" w:hAnsi="Verdana"/>
          <w:sz w:val="16"/>
          <w:szCs w:val="16"/>
        </w:rPr>
        <w:t xml:space="preserve"> </w:t>
      </w:r>
      <w:r>
        <w:rPr>
          <w:rFonts w:ascii="Verdana" w:hAnsi="Verdana"/>
          <w:sz w:val="16"/>
          <w:szCs w:val="16"/>
        </w:rPr>
        <w:tab/>
        <w:t>Este</w:t>
      </w:r>
      <w:r w:rsidRPr="00CC214C">
        <w:rPr>
          <w:rFonts w:ascii="Verdana" w:hAnsi="Verdana"/>
          <w:sz w:val="16"/>
          <w:szCs w:val="16"/>
        </w:rPr>
        <w:t xml:space="preserve"> artículo establece: </w:t>
      </w:r>
      <w:r>
        <w:rPr>
          <w:rFonts w:ascii="Verdana" w:hAnsi="Verdana"/>
          <w:sz w:val="16"/>
          <w:szCs w:val="16"/>
        </w:rPr>
        <w:t>“</w:t>
      </w:r>
      <w:r>
        <w:rPr>
          <w:rFonts w:ascii="Verdana" w:hAnsi="Verdana" w:cs="Tahoma"/>
          <w:color w:val="000000"/>
          <w:sz w:val="16"/>
          <w:szCs w:val="16"/>
          <w:lang w:val="es-ES"/>
        </w:rPr>
        <w:t>[l]</w:t>
      </w:r>
      <w:r w:rsidRPr="00552A48">
        <w:rPr>
          <w:rFonts w:ascii="Verdana" w:hAnsi="Verdana" w:cs="Tahoma"/>
          <w:color w:val="000000"/>
          <w:sz w:val="16"/>
          <w:szCs w:val="16"/>
          <w:lang w:val="es-ES"/>
        </w:rPr>
        <w:t>a presente Convención entrará en vigor para los Estados ratificantes el trigésimo día a partir de la fecha en que se haya depositado el segundo instrumento de ratificación.</w:t>
      </w:r>
    </w:p>
    <w:p w:rsidR="00B41935" w:rsidRPr="003D07CE" w:rsidRDefault="00B41935" w:rsidP="00E1727B">
      <w:pPr>
        <w:pStyle w:val="align-justify"/>
        <w:spacing w:before="0" w:beforeAutospacing="0" w:after="0" w:afterAutospacing="0"/>
        <w:contextualSpacing/>
        <w:jc w:val="both"/>
        <w:rPr>
          <w:rFonts w:ascii="Verdana" w:hAnsi="Verdana" w:cs="Tahoma"/>
          <w:color w:val="000000"/>
          <w:sz w:val="16"/>
          <w:szCs w:val="16"/>
        </w:rPr>
      </w:pPr>
      <w:r w:rsidRPr="00F10686">
        <w:rPr>
          <w:rFonts w:ascii="Verdana" w:hAnsi="Verdana" w:cs="Tahoma"/>
          <w:color w:val="000000"/>
          <w:sz w:val="16"/>
          <w:szCs w:val="16"/>
          <w:lang w:val="es-ES"/>
        </w:rPr>
        <w:t>Para cada Estado que ratifique la Convención o adhiera a ella después de haber sido depositado el segundo instrumento de ratificación, la Convención entrará en vigor el trigésimo día a partir de la fecha</w:t>
      </w:r>
      <w:r w:rsidRPr="0000173B">
        <w:rPr>
          <w:rFonts w:ascii="Verdana" w:hAnsi="Verdana" w:cs="Tahoma"/>
          <w:color w:val="000000"/>
          <w:sz w:val="16"/>
          <w:szCs w:val="16"/>
          <w:lang w:val="es-ES"/>
        </w:rPr>
        <w:t xml:space="preserve"> en que tal Estado haya depositado su instrumento de ratificación o adhesión.</w:t>
      </w:r>
      <w:r>
        <w:rPr>
          <w:rFonts w:ascii="Verdana" w:hAnsi="Verdana" w:cs="Tahoma"/>
          <w:color w:val="000000"/>
          <w:sz w:val="16"/>
          <w:szCs w:val="16"/>
          <w:lang w:val="es-ES"/>
        </w:rPr>
        <w:t>”</w:t>
      </w:r>
    </w:p>
  </w:footnote>
  <w:footnote w:id="23">
    <w:p w:rsidR="00B41935" w:rsidRPr="003013D0" w:rsidRDefault="00B41935" w:rsidP="00E1727B">
      <w:pPr>
        <w:pStyle w:val="FootnoteText"/>
        <w:tabs>
          <w:tab w:val="left" w:pos="426"/>
        </w:tabs>
        <w:rPr>
          <w:sz w:val="16"/>
          <w:szCs w:val="16"/>
        </w:rPr>
      </w:pPr>
      <w:r w:rsidRPr="003013D0">
        <w:rPr>
          <w:rStyle w:val="FootnoteReference"/>
        </w:rPr>
        <w:footnoteRef/>
      </w:r>
      <w:r w:rsidRPr="003013D0">
        <w:rPr>
          <w:sz w:val="16"/>
          <w:szCs w:val="16"/>
          <w:lang w:val="es-CR"/>
        </w:rPr>
        <w:t xml:space="preserve"> </w:t>
      </w:r>
      <w:r w:rsidRPr="003013D0">
        <w:rPr>
          <w:sz w:val="16"/>
          <w:szCs w:val="16"/>
        </w:rPr>
        <w:tab/>
      </w:r>
      <w:r w:rsidRPr="003013D0">
        <w:rPr>
          <w:i/>
          <w:sz w:val="16"/>
          <w:szCs w:val="16"/>
        </w:rPr>
        <w:t>Cfr. Caso Osorio Rivera y Familiares Vs. Perú. Excepciones Preliminares, Fondo, Reparaciones y Costas.</w:t>
      </w:r>
      <w:r w:rsidRPr="003013D0">
        <w:rPr>
          <w:sz w:val="16"/>
          <w:szCs w:val="16"/>
        </w:rPr>
        <w:t xml:space="preserve"> Sentencia de 26 de noviembre d</w:t>
      </w:r>
      <w:r>
        <w:rPr>
          <w:sz w:val="16"/>
          <w:szCs w:val="16"/>
        </w:rPr>
        <w:t>e 2013. Serie C No. 274, párr. 3</w:t>
      </w:r>
      <w:r w:rsidRPr="003013D0">
        <w:rPr>
          <w:sz w:val="16"/>
          <w:szCs w:val="16"/>
        </w:rPr>
        <w:t>3, y</w:t>
      </w:r>
      <w:r w:rsidRPr="003013D0">
        <w:rPr>
          <w:i/>
          <w:sz w:val="16"/>
          <w:szCs w:val="16"/>
        </w:rPr>
        <w:t xml:space="preserve"> </w:t>
      </w:r>
      <w:r w:rsidRPr="00450C72">
        <w:rPr>
          <w:i/>
          <w:sz w:val="16"/>
          <w:szCs w:val="16"/>
        </w:rPr>
        <w:t>Caso Tenorio Roca y otros Vs. Perú, Excepciones Preliminares, Fondo, Reparaciones y Costas.</w:t>
      </w:r>
      <w:r w:rsidRPr="00450C72">
        <w:rPr>
          <w:sz w:val="16"/>
          <w:szCs w:val="16"/>
        </w:rPr>
        <w:t xml:space="preserve"> Sentencia de 22 de junio de 2016. Serie C No. 314, párr,</w:t>
      </w:r>
      <w:r w:rsidRPr="00450C72">
        <w:rPr>
          <w:i/>
          <w:sz w:val="16"/>
          <w:szCs w:val="16"/>
        </w:rPr>
        <w:t xml:space="preserve"> </w:t>
      </w:r>
      <w:r w:rsidRPr="00450C72">
        <w:rPr>
          <w:sz w:val="16"/>
          <w:szCs w:val="16"/>
        </w:rPr>
        <w:t>párr. 31.</w:t>
      </w:r>
    </w:p>
  </w:footnote>
  <w:footnote w:id="24">
    <w:p w:rsidR="00B41935" w:rsidRPr="003013D0" w:rsidRDefault="00B41935" w:rsidP="00E1727B">
      <w:pPr>
        <w:pStyle w:val="FootnoteText"/>
        <w:tabs>
          <w:tab w:val="left" w:pos="426"/>
        </w:tabs>
        <w:rPr>
          <w:sz w:val="16"/>
          <w:szCs w:val="16"/>
        </w:rPr>
      </w:pPr>
      <w:r w:rsidRPr="003013D0">
        <w:rPr>
          <w:rStyle w:val="FootnoteReference"/>
        </w:rPr>
        <w:footnoteRef/>
      </w:r>
      <w:r w:rsidRPr="003013D0">
        <w:rPr>
          <w:sz w:val="16"/>
          <w:szCs w:val="16"/>
        </w:rPr>
        <w:t xml:space="preserve"> </w:t>
      </w:r>
      <w:r w:rsidRPr="003013D0">
        <w:rPr>
          <w:sz w:val="16"/>
          <w:szCs w:val="16"/>
        </w:rPr>
        <w:tab/>
      </w:r>
      <w:r w:rsidRPr="003013D0">
        <w:rPr>
          <w:i/>
          <w:sz w:val="16"/>
          <w:szCs w:val="16"/>
        </w:rPr>
        <w:t>Cfr.</w:t>
      </w:r>
      <w:r w:rsidRPr="003013D0">
        <w:rPr>
          <w:sz w:val="16"/>
          <w:szCs w:val="16"/>
        </w:rPr>
        <w:t xml:space="preserve"> </w:t>
      </w:r>
      <w:r w:rsidRPr="003013D0">
        <w:rPr>
          <w:i/>
          <w:sz w:val="16"/>
          <w:szCs w:val="16"/>
        </w:rPr>
        <w:t>Caso Hermanas Serrano Cruz Vs. El Salvador. Excepciones Preliminares.</w:t>
      </w:r>
      <w:r w:rsidRPr="003013D0">
        <w:rPr>
          <w:sz w:val="16"/>
          <w:szCs w:val="16"/>
        </w:rPr>
        <w:t xml:space="preserve"> Sentencia de 23 de noviembre de 2004. Serie C No. 118, párrs. 65 y 66, y </w:t>
      </w:r>
      <w:r w:rsidRPr="005A7B1F">
        <w:rPr>
          <w:i/>
          <w:sz w:val="16"/>
          <w:szCs w:val="16"/>
        </w:rPr>
        <w:t>Caso Munárriz Escobar y otros Vs. Perú. Excepción Preliminar, Fondo, Reparaciones y Costas</w:t>
      </w:r>
      <w:r w:rsidRPr="00595B3D">
        <w:rPr>
          <w:sz w:val="16"/>
          <w:szCs w:val="16"/>
        </w:rPr>
        <w:t>. Sentencia de 20 de agosto de 2018. Serie C No. 355</w:t>
      </w:r>
      <w:r>
        <w:rPr>
          <w:sz w:val="16"/>
          <w:szCs w:val="16"/>
        </w:rPr>
        <w:t xml:space="preserve">, párr. 19. </w:t>
      </w:r>
    </w:p>
  </w:footnote>
  <w:footnote w:id="25">
    <w:p w:rsidR="00B41935" w:rsidRPr="00810E28" w:rsidRDefault="00B41935" w:rsidP="00E1727B">
      <w:pPr>
        <w:pStyle w:val="FootnoteText"/>
        <w:tabs>
          <w:tab w:val="left" w:pos="426"/>
        </w:tabs>
        <w:rPr>
          <w:szCs w:val="16"/>
          <w:lang w:val="es-CL"/>
        </w:rPr>
      </w:pPr>
      <w:r w:rsidRPr="003013D0">
        <w:rPr>
          <w:rStyle w:val="FootnoteReference"/>
        </w:rPr>
        <w:footnoteRef/>
      </w:r>
      <w:r w:rsidRPr="003013D0">
        <w:rPr>
          <w:sz w:val="16"/>
          <w:szCs w:val="16"/>
        </w:rPr>
        <w:t xml:space="preserve"> </w:t>
      </w:r>
      <w:r w:rsidRPr="003013D0">
        <w:rPr>
          <w:sz w:val="16"/>
          <w:szCs w:val="16"/>
        </w:rPr>
        <w:tab/>
      </w:r>
      <w:r w:rsidRPr="003013D0">
        <w:rPr>
          <w:i/>
          <w:sz w:val="16"/>
          <w:szCs w:val="16"/>
        </w:rPr>
        <w:t xml:space="preserve">Cfr. </w:t>
      </w:r>
      <w:r w:rsidRPr="000F61AE">
        <w:rPr>
          <w:i/>
          <w:sz w:val="16"/>
          <w:szCs w:val="16"/>
        </w:rPr>
        <w:t xml:space="preserve">Caso Radilla Pacheco Vs. </w:t>
      </w:r>
      <w:r>
        <w:rPr>
          <w:i/>
          <w:sz w:val="16"/>
          <w:szCs w:val="16"/>
        </w:rPr>
        <w:t>Estados Unidos Me</w:t>
      </w:r>
      <w:r w:rsidRPr="0093575C">
        <w:rPr>
          <w:i/>
          <w:sz w:val="16"/>
          <w:szCs w:val="16"/>
        </w:rPr>
        <w:t>xic</w:t>
      </w:r>
      <w:r>
        <w:rPr>
          <w:i/>
          <w:sz w:val="16"/>
          <w:szCs w:val="16"/>
        </w:rPr>
        <w:t>anos</w:t>
      </w:r>
      <w:r w:rsidRPr="000F61AE">
        <w:rPr>
          <w:i/>
          <w:sz w:val="16"/>
          <w:szCs w:val="16"/>
        </w:rPr>
        <w:t>. Excepciones Preliminares, Fondo, Reparaciones y Costas</w:t>
      </w:r>
      <w:r w:rsidRPr="000F61AE">
        <w:rPr>
          <w:sz w:val="16"/>
          <w:szCs w:val="16"/>
        </w:rPr>
        <w:t>. Sentencia de 23 de noviembre de 2009. Serie C No. 209, párr. 24,</w:t>
      </w:r>
      <w:r>
        <w:rPr>
          <w:sz w:val="16"/>
          <w:szCs w:val="16"/>
        </w:rPr>
        <w:t xml:space="preserve"> y </w:t>
      </w:r>
      <w:r w:rsidRPr="005A7B1F">
        <w:rPr>
          <w:i/>
          <w:sz w:val="16"/>
          <w:szCs w:val="16"/>
        </w:rPr>
        <w:t>Caso Munárriz Escobar y otros Vs</w:t>
      </w:r>
      <w:r w:rsidRPr="00595B3D">
        <w:rPr>
          <w:sz w:val="16"/>
          <w:szCs w:val="16"/>
        </w:rPr>
        <w:t xml:space="preserve">. </w:t>
      </w:r>
      <w:r w:rsidRPr="005A7B1F">
        <w:rPr>
          <w:i/>
          <w:sz w:val="16"/>
          <w:szCs w:val="16"/>
        </w:rPr>
        <w:t>Perú</w:t>
      </w:r>
      <w:r>
        <w:rPr>
          <w:i/>
          <w:sz w:val="16"/>
          <w:szCs w:val="16"/>
        </w:rPr>
        <w:t xml:space="preserve">, </w:t>
      </w:r>
      <w:r w:rsidRPr="00264368">
        <w:rPr>
          <w:i/>
          <w:sz w:val="16"/>
          <w:szCs w:val="16"/>
        </w:rPr>
        <w:t>supra</w:t>
      </w:r>
      <w:r w:rsidRPr="00264368">
        <w:rPr>
          <w:sz w:val="16"/>
          <w:szCs w:val="16"/>
        </w:rPr>
        <w:t>,</w:t>
      </w:r>
      <w:r>
        <w:rPr>
          <w:sz w:val="16"/>
          <w:szCs w:val="16"/>
        </w:rPr>
        <w:t xml:space="preserve"> párr. 19. </w:t>
      </w:r>
    </w:p>
  </w:footnote>
  <w:footnote w:id="26">
    <w:p w:rsidR="00B41935" w:rsidRPr="003D07CE" w:rsidRDefault="00B41935" w:rsidP="00E1727B">
      <w:pPr>
        <w:pStyle w:val="FootnoteText"/>
        <w:contextualSpacing/>
        <w:rPr>
          <w:sz w:val="16"/>
          <w:szCs w:val="16"/>
          <w:lang w:val="es-CR"/>
        </w:rPr>
      </w:pPr>
      <w:r w:rsidRPr="00CC214C">
        <w:rPr>
          <w:rStyle w:val="FootnoteReference"/>
        </w:rPr>
        <w:footnoteRef/>
      </w:r>
      <w:r w:rsidRPr="00CC214C">
        <w:rPr>
          <w:sz w:val="16"/>
          <w:szCs w:val="16"/>
        </w:rPr>
        <w:t xml:space="preserve"> </w:t>
      </w:r>
      <w:r w:rsidRPr="00CC214C">
        <w:rPr>
          <w:sz w:val="16"/>
          <w:szCs w:val="16"/>
          <w:lang w:val="es-CR"/>
        </w:rPr>
        <w:tab/>
      </w:r>
      <w:r w:rsidRPr="00552A48">
        <w:rPr>
          <w:sz w:val="16"/>
          <w:szCs w:val="16"/>
        </w:rPr>
        <w:t xml:space="preserve">Instrumento de ratificación de la </w:t>
      </w:r>
      <w:r w:rsidRPr="00552A48">
        <w:rPr>
          <w:sz w:val="16"/>
          <w:szCs w:val="16"/>
          <w:lang w:val="es-CR"/>
        </w:rPr>
        <w:t>Convención Interamericana para Prevenir y Sancionar la Tortura</w:t>
      </w:r>
      <w:r w:rsidRPr="00F10686">
        <w:rPr>
          <w:sz w:val="16"/>
          <w:szCs w:val="16"/>
        </w:rPr>
        <w:t xml:space="preserve"> por parte de Perú. Disponib</w:t>
      </w:r>
      <w:r w:rsidRPr="0000173B">
        <w:rPr>
          <w:sz w:val="16"/>
          <w:szCs w:val="16"/>
        </w:rPr>
        <w:t xml:space="preserve">le en: </w:t>
      </w:r>
      <w:hyperlink r:id="rId5" w:history="1">
        <w:r w:rsidRPr="006C1F02">
          <w:rPr>
            <w:rStyle w:val="Hyperlink"/>
            <w:sz w:val="16"/>
            <w:szCs w:val="16"/>
            <w:lang w:val="es-CR"/>
          </w:rPr>
          <w:t>http://www.oas.org/juridico/spanish/firmas/a-51.html</w:t>
        </w:r>
      </w:hyperlink>
      <w:r>
        <w:rPr>
          <w:sz w:val="16"/>
          <w:szCs w:val="16"/>
          <w:lang w:val="es-CR"/>
        </w:rPr>
        <w:t xml:space="preserve"> </w:t>
      </w:r>
    </w:p>
  </w:footnote>
  <w:footnote w:id="27">
    <w:p w:rsidR="00B41935" w:rsidRPr="00C129D9" w:rsidRDefault="00B41935" w:rsidP="00E1727B">
      <w:pPr>
        <w:pStyle w:val="FootnoteText"/>
        <w:contextualSpacing/>
        <w:rPr>
          <w:sz w:val="16"/>
          <w:szCs w:val="16"/>
          <w:lang w:val="es-CR"/>
        </w:rPr>
      </w:pPr>
      <w:r w:rsidRPr="00CC214C">
        <w:rPr>
          <w:rStyle w:val="FootnoteReference"/>
        </w:rPr>
        <w:footnoteRef/>
      </w:r>
      <w:r w:rsidRPr="00CC214C">
        <w:rPr>
          <w:sz w:val="16"/>
          <w:szCs w:val="16"/>
        </w:rPr>
        <w:t xml:space="preserve"> </w:t>
      </w:r>
      <w:r w:rsidRPr="00CC214C">
        <w:rPr>
          <w:sz w:val="16"/>
          <w:szCs w:val="16"/>
        </w:rPr>
        <w:tab/>
      </w:r>
      <w:r w:rsidRPr="00C129D9">
        <w:rPr>
          <w:i/>
          <w:sz w:val="16"/>
          <w:szCs w:val="16"/>
        </w:rPr>
        <w:t xml:space="preserve">Caso Tibi Vs. Ecuador. </w:t>
      </w:r>
      <w:r w:rsidRPr="00DE46E6">
        <w:rPr>
          <w:i/>
          <w:sz w:val="16"/>
          <w:szCs w:val="16"/>
        </w:rPr>
        <w:t>Excepciones Preliminares, Fondo, Reparaciones y Costas.</w:t>
      </w:r>
      <w:r>
        <w:rPr>
          <w:i/>
          <w:sz w:val="16"/>
          <w:szCs w:val="16"/>
        </w:rPr>
        <w:t xml:space="preserve"> </w:t>
      </w:r>
      <w:r w:rsidRPr="00C129D9">
        <w:rPr>
          <w:sz w:val="16"/>
          <w:szCs w:val="16"/>
        </w:rPr>
        <w:t xml:space="preserve">Sentencia de 7 de septiembre de 2004. Serie C No. 114, párr. 61, y </w:t>
      </w:r>
      <w:r w:rsidRPr="00C129D9">
        <w:rPr>
          <w:rStyle w:val="Strong"/>
          <w:b w:val="0"/>
          <w:i/>
          <w:color w:val="000000"/>
          <w:sz w:val="16"/>
          <w:szCs w:val="16"/>
          <w:shd w:val="clear" w:color="auto" w:fill="FFFFFF"/>
        </w:rPr>
        <w:t>Caso Herrera Espinoza y otros Vs. Ecuador. Excepciones Preliminares, Fondo, Reparaciones y Costas.</w:t>
      </w:r>
      <w:r w:rsidRPr="00C129D9">
        <w:rPr>
          <w:rStyle w:val="Strong"/>
          <w:b w:val="0"/>
          <w:color w:val="000000"/>
          <w:sz w:val="16"/>
          <w:szCs w:val="16"/>
          <w:shd w:val="clear" w:color="auto" w:fill="FFFFFF"/>
        </w:rPr>
        <w:t xml:space="preserve"> Sentencia de 1 de septiembre de 2016. Serie C No. 316, párr. 17</w:t>
      </w:r>
      <w:r w:rsidRPr="00C129D9">
        <w:rPr>
          <w:sz w:val="16"/>
          <w:szCs w:val="16"/>
        </w:rPr>
        <w:t>.</w:t>
      </w:r>
    </w:p>
  </w:footnote>
  <w:footnote w:id="28">
    <w:p w:rsidR="00B41935" w:rsidRPr="00D83377" w:rsidRDefault="00B41935" w:rsidP="00E1727B">
      <w:pPr>
        <w:pStyle w:val="FootnoteText"/>
        <w:contextualSpacing/>
        <w:rPr>
          <w:sz w:val="16"/>
          <w:szCs w:val="16"/>
        </w:rPr>
      </w:pPr>
      <w:r w:rsidRPr="00C129D9">
        <w:rPr>
          <w:rStyle w:val="FootnoteReference"/>
        </w:rPr>
        <w:footnoteRef/>
      </w:r>
      <w:r w:rsidRPr="00C129D9">
        <w:rPr>
          <w:i/>
          <w:sz w:val="16"/>
          <w:szCs w:val="16"/>
        </w:rPr>
        <w:t xml:space="preserve"> </w:t>
      </w:r>
      <w:r w:rsidRPr="00C129D9">
        <w:rPr>
          <w:i/>
          <w:sz w:val="16"/>
          <w:szCs w:val="16"/>
        </w:rPr>
        <w:tab/>
        <w:t xml:space="preserve">Cfr. Caso de los Hermanos Gómez Paquiyauri Vs. Perú. Fondo, Reparaciones y Costas. </w:t>
      </w:r>
      <w:r w:rsidRPr="00C129D9">
        <w:rPr>
          <w:sz w:val="16"/>
          <w:szCs w:val="16"/>
        </w:rPr>
        <w:t>Sentencia de 8 de julio de 2004. Serie C No. 110, párr. 196, y</w:t>
      </w:r>
      <w:r w:rsidRPr="00C129D9">
        <w:rPr>
          <w:i/>
          <w:iCs/>
          <w:spacing w:val="-4"/>
          <w:sz w:val="16"/>
          <w:szCs w:val="16"/>
        </w:rPr>
        <w:t xml:space="preserve"> </w:t>
      </w:r>
      <w:r w:rsidRPr="00C129D9">
        <w:rPr>
          <w:rStyle w:val="Strong"/>
          <w:b w:val="0"/>
          <w:i/>
          <w:color w:val="000000"/>
          <w:sz w:val="16"/>
          <w:szCs w:val="16"/>
          <w:shd w:val="clear" w:color="auto" w:fill="FFFFFF"/>
        </w:rPr>
        <w:t>Caso Herrera Espinoza y otros Vs. Ecuador</w:t>
      </w:r>
      <w:r>
        <w:rPr>
          <w:rStyle w:val="Strong"/>
          <w:b w:val="0"/>
          <w:i/>
          <w:color w:val="000000"/>
          <w:sz w:val="16"/>
          <w:szCs w:val="16"/>
          <w:shd w:val="clear" w:color="auto" w:fill="FFFFFF"/>
        </w:rPr>
        <w:t>, supra</w:t>
      </w:r>
      <w:r w:rsidRPr="00C129D9">
        <w:rPr>
          <w:rStyle w:val="Strong"/>
          <w:b w:val="0"/>
          <w:color w:val="000000"/>
          <w:sz w:val="16"/>
          <w:szCs w:val="16"/>
          <w:shd w:val="clear" w:color="auto" w:fill="FFFFFF"/>
        </w:rPr>
        <w:t>, párr. 18</w:t>
      </w:r>
      <w:r w:rsidRPr="00C129D9">
        <w:rPr>
          <w:sz w:val="16"/>
          <w:szCs w:val="16"/>
        </w:rPr>
        <w:t>.</w:t>
      </w:r>
    </w:p>
  </w:footnote>
  <w:footnote w:id="29">
    <w:p w:rsidR="00B41935" w:rsidRPr="00E1727B" w:rsidRDefault="00B41935" w:rsidP="00E1727B">
      <w:pPr>
        <w:pStyle w:val="ListParagraph"/>
        <w:widowControl w:val="0"/>
        <w:tabs>
          <w:tab w:val="left" w:pos="0"/>
        </w:tabs>
        <w:adjustRightInd w:val="0"/>
        <w:ind w:left="0"/>
        <w:rPr>
          <w:rFonts w:eastAsia="Batang" w:cs="Times"/>
          <w:spacing w:val="-2"/>
          <w:lang w:val="es-ES"/>
        </w:rPr>
      </w:pPr>
      <w:r w:rsidRPr="00CC214C">
        <w:rPr>
          <w:rStyle w:val="FootnoteReference"/>
        </w:rPr>
        <w:footnoteRef/>
      </w:r>
      <w:r w:rsidRPr="00CC214C">
        <w:rPr>
          <w:sz w:val="16"/>
          <w:szCs w:val="16"/>
        </w:rPr>
        <w:t xml:space="preserve"> </w:t>
      </w:r>
      <w:r w:rsidRPr="00CC214C">
        <w:rPr>
          <w:sz w:val="16"/>
          <w:szCs w:val="16"/>
        </w:rPr>
        <w:tab/>
      </w:r>
      <w:r w:rsidRPr="00CC214C">
        <w:rPr>
          <w:sz w:val="16"/>
          <w:szCs w:val="16"/>
          <w:lang w:val="es-CR"/>
        </w:rPr>
        <w:t>El Estado señaló que los representantes de las presun</w:t>
      </w:r>
      <w:r w:rsidRPr="00552A48">
        <w:rPr>
          <w:sz w:val="16"/>
          <w:szCs w:val="16"/>
          <w:lang w:val="es-CR"/>
        </w:rPr>
        <w:t xml:space="preserve">tas víctimas hicieron referencia a que “[e]l </w:t>
      </w:r>
      <w:r>
        <w:rPr>
          <w:sz w:val="16"/>
          <w:szCs w:val="16"/>
          <w:lang w:val="es-CR"/>
        </w:rPr>
        <w:t>I</w:t>
      </w:r>
      <w:r w:rsidRPr="00552A48">
        <w:rPr>
          <w:sz w:val="16"/>
          <w:szCs w:val="16"/>
          <w:lang w:val="es-CR"/>
        </w:rPr>
        <w:t xml:space="preserve">nforme de </w:t>
      </w:r>
      <w:r>
        <w:rPr>
          <w:sz w:val="16"/>
          <w:szCs w:val="16"/>
          <w:lang w:val="es-CR"/>
        </w:rPr>
        <w:t>C</w:t>
      </w:r>
      <w:r w:rsidRPr="00552A48">
        <w:rPr>
          <w:sz w:val="16"/>
          <w:szCs w:val="16"/>
          <w:lang w:val="es-CR"/>
        </w:rPr>
        <w:t xml:space="preserve">onsultas de RENIEC para el señor Abelardo Collantes Quiroz contiene una indicación de su fallecimiento”. </w:t>
      </w:r>
      <w:r>
        <w:rPr>
          <w:rFonts w:eastAsia="Batang" w:cs="Times"/>
          <w:spacing w:val="-2"/>
          <w:sz w:val="16"/>
          <w:szCs w:val="16"/>
          <w:lang w:val="es-ES"/>
        </w:rPr>
        <w:t>(</w:t>
      </w:r>
      <w:r w:rsidRPr="005A7B1F">
        <w:rPr>
          <w:rFonts w:eastAsia="Batang" w:cs="Times"/>
          <w:spacing w:val="-2"/>
          <w:sz w:val="16"/>
          <w:szCs w:val="16"/>
          <w:lang w:val="es-ES"/>
        </w:rPr>
        <w:t>expediente de fondo, ESAP, f. 432</w:t>
      </w:r>
      <w:r>
        <w:rPr>
          <w:rFonts w:eastAsia="Batang" w:cs="Times"/>
          <w:spacing w:val="-2"/>
          <w:sz w:val="16"/>
          <w:szCs w:val="16"/>
          <w:lang w:val="es-ES"/>
        </w:rPr>
        <w:t>).</w:t>
      </w:r>
    </w:p>
  </w:footnote>
  <w:footnote w:id="30">
    <w:p w:rsidR="00B41935" w:rsidRPr="00552A48" w:rsidRDefault="00B41935" w:rsidP="00E1727B">
      <w:pPr>
        <w:pStyle w:val="FootnoteText"/>
        <w:rPr>
          <w:sz w:val="16"/>
          <w:szCs w:val="16"/>
          <w:lang w:val="es-CR"/>
        </w:rPr>
      </w:pPr>
      <w:r w:rsidRPr="00CC214C">
        <w:rPr>
          <w:rStyle w:val="FootnoteReference"/>
        </w:rPr>
        <w:footnoteRef/>
      </w:r>
      <w:r w:rsidRPr="00CC214C">
        <w:rPr>
          <w:sz w:val="16"/>
          <w:szCs w:val="16"/>
        </w:rPr>
        <w:t xml:space="preserve"> </w:t>
      </w:r>
      <w:r w:rsidRPr="00CC214C">
        <w:rPr>
          <w:sz w:val="16"/>
          <w:szCs w:val="16"/>
        </w:rPr>
        <w:tab/>
        <w:t>A saber: Cleofeta Torre Areche y sus hijos Ofelia, Juan, Rudy, Nelly y Te</w:t>
      </w:r>
      <w:r>
        <w:rPr>
          <w:sz w:val="16"/>
          <w:szCs w:val="16"/>
        </w:rPr>
        <w:t>ó</w:t>
      </w:r>
      <w:r w:rsidRPr="00CC214C">
        <w:rPr>
          <w:sz w:val="16"/>
          <w:szCs w:val="16"/>
        </w:rPr>
        <w:t>fila (fallecida), todos de a</w:t>
      </w:r>
      <w:r>
        <w:rPr>
          <w:sz w:val="16"/>
          <w:szCs w:val="16"/>
        </w:rPr>
        <w:t>pellidos Antezana Torre.</w:t>
      </w:r>
    </w:p>
  </w:footnote>
  <w:footnote w:id="31">
    <w:p w:rsidR="00B41935" w:rsidRPr="00563483" w:rsidRDefault="00B41935" w:rsidP="00E1727B">
      <w:pPr>
        <w:pStyle w:val="FootnoteText"/>
        <w:rPr>
          <w:sz w:val="16"/>
          <w:szCs w:val="16"/>
          <w:lang w:val="es-ES_tradnl"/>
        </w:rPr>
      </w:pPr>
      <w:r w:rsidRPr="00563483">
        <w:rPr>
          <w:rStyle w:val="FootnoteReference"/>
        </w:rPr>
        <w:footnoteRef/>
      </w:r>
      <w:r w:rsidRPr="00563483">
        <w:rPr>
          <w:sz w:val="16"/>
          <w:szCs w:val="16"/>
        </w:rPr>
        <w:t xml:space="preserve"> </w:t>
      </w:r>
      <w:r>
        <w:rPr>
          <w:sz w:val="16"/>
          <w:szCs w:val="16"/>
        </w:rPr>
        <w:tab/>
      </w:r>
      <w:r w:rsidRPr="00563483">
        <w:rPr>
          <w:sz w:val="16"/>
          <w:szCs w:val="16"/>
          <w:lang w:val="es-ES_tradnl"/>
        </w:rPr>
        <w:t>El artículo 35.1 del Reglamento de la Corte dispone que el caso le será sometido mediante la presentación del Informe de Fondo, que deberá contener “la identificación de las presuntas víctimas”. Corresponde pues a la Comisión identificar con precisión y en la debida oportunidad procesal a las presuntas ví</w:t>
      </w:r>
      <w:r>
        <w:rPr>
          <w:sz w:val="16"/>
          <w:szCs w:val="16"/>
          <w:lang w:val="es-ES_tradnl"/>
        </w:rPr>
        <w:t>ctimas en un caso ante la Corte</w:t>
      </w:r>
      <w:r w:rsidRPr="00563483">
        <w:rPr>
          <w:sz w:val="16"/>
          <w:szCs w:val="16"/>
          <w:lang w:val="es-ES_tradnl"/>
        </w:rPr>
        <w:t>, de modo que después del Informe de Fondo no es posible añadir nuevas presuntas víctimas, salvo en las circunstancias excepcionales contempladas en el artículo 35.2 del Reglamento de la Corte. Por lo tanto, en aplicación del artículo 35, cuyo contenido es inequívoco, es jurisprudencia constante de esta Corte que las presuntas víctimas deben estar señaladas en el Informe de Fondo previsto en el artículo 50 de la Convención.</w:t>
      </w:r>
      <w:r>
        <w:rPr>
          <w:sz w:val="16"/>
          <w:szCs w:val="16"/>
          <w:lang w:val="es-ES_tradnl"/>
        </w:rPr>
        <w:t xml:space="preserve"> </w:t>
      </w:r>
      <w:r w:rsidRPr="00B37DA7">
        <w:rPr>
          <w:i/>
          <w:sz w:val="16"/>
          <w:szCs w:val="16"/>
        </w:rPr>
        <w:t>Cfr</w:t>
      </w:r>
      <w:r w:rsidRPr="00D5543F">
        <w:rPr>
          <w:sz w:val="16"/>
          <w:szCs w:val="16"/>
        </w:rPr>
        <w:t xml:space="preserve">. </w:t>
      </w:r>
      <w:r w:rsidRPr="00FF20D9">
        <w:rPr>
          <w:i/>
          <w:sz w:val="16"/>
          <w:szCs w:val="16"/>
        </w:rPr>
        <w:t>Caso de las Masacres de Ituango Vs. Colombia. Excepción Preliminar, Fondo, Reparaciones y Costas</w:t>
      </w:r>
      <w:r w:rsidRPr="00D5543F">
        <w:rPr>
          <w:sz w:val="16"/>
          <w:szCs w:val="16"/>
        </w:rPr>
        <w:t xml:space="preserve">. Sentencia de 1 de julio de 2006. Serie C No. 148, párr. 98, y </w:t>
      </w:r>
      <w:r w:rsidRPr="00FF20D9">
        <w:rPr>
          <w:i/>
          <w:sz w:val="16"/>
          <w:szCs w:val="16"/>
        </w:rPr>
        <w:t>Caso V.R.P., V.P.C. y otros Vs. Nicaragua</w:t>
      </w:r>
      <w:r>
        <w:rPr>
          <w:rStyle w:val="Strong"/>
          <w:b w:val="0"/>
          <w:i/>
          <w:color w:val="000000"/>
          <w:sz w:val="16"/>
          <w:szCs w:val="16"/>
          <w:shd w:val="clear" w:color="auto" w:fill="FFFFFF"/>
        </w:rPr>
        <w:t xml:space="preserve">. </w:t>
      </w:r>
      <w:r w:rsidRPr="00100473">
        <w:rPr>
          <w:rStyle w:val="Strong"/>
          <w:b w:val="0"/>
          <w:i/>
          <w:color w:val="000000"/>
          <w:sz w:val="16"/>
          <w:szCs w:val="16"/>
          <w:shd w:val="clear" w:color="auto" w:fill="FFFFFF"/>
        </w:rPr>
        <w:t xml:space="preserve">Excepciones Preliminares, Fondo, Reparaciones y Costas. </w:t>
      </w:r>
      <w:r w:rsidRPr="00871ABC">
        <w:rPr>
          <w:rStyle w:val="Strong"/>
          <w:b w:val="0"/>
          <w:color w:val="000000"/>
          <w:sz w:val="16"/>
          <w:szCs w:val="16"/>
          <w:shd w:val="clear" w:color="auto" w:fill="FFFFFF"/>
        </w:rPr>
        <w:t>Sentencia de 8 de marzo de 2018. Serie C No. 350</w:t>
      </w:r>
      <w:r>
        <w:rPr>
          <w:sz w:val="16"/>
          <w:szCs w:val="16"/>
        </w:rPr>
        <w:t xml:space="preserve">, párr. 47. </w:t>
      </w:r>
    </w:p>
  </w:footnote>
  <w:footnote w:id="32">
    <w:p w:rsidR="00B41935" w:rsidRPr="00D83377" w:rsidRDefault="00B41935" w:rsidP="003D758A">
      <w:pPr>
        <w:tabs>
          <w:tab w:val="left" w:pos="567"/>
        </w:tabs>
        <w:autoSpaceDE w:val="0"/>
        <w:autoSpaceDN w:val="0"/>
        <w:rPr>
          <w:i/>
          <w:sz w:val="16"/>
          <w:szCs w:val="16"/>
          <w:lang w:val="es-ES"/>
        </w:rPr>
      </w:pPr>
      <w:r w:rsidRPr="00CC214C">
        <w:rPr>
          <w:rStyle w:val="FootnoteReference"/>
        </w:rPr>
        <w:footnoteRef/>
      </w:r>
      <w:r w:rsidRPr="00CC214C">
        <w:rPr>
          <w:sz w:val="16"/>
          <w:szCs w:val="16"/>
          <w:lang w:val="es-ES"/>
        </w:rPr>
        <w:tab/>
      </w:r>
      <w:r w:rsidRPr="00CC214C">
        <w:rPr>
          <w:i/>
          <w:sz w:val="16"/>
          <w:szCs w:val="16"/>
          <w:lang w:val="es-ES"/>
        </w:rPr>
        <w:t>Cfr. Caso Velásquez Rodríguez Vs. Honduras.</w:t>
      </w:r>
      <w:r>
        <w:rPr>
          <w:i/>
          <w:sz w:val="16"/>
          <w:szCs w:val="16"/>
          <w:lang w:val="es-ES"/>
        </w:rPr>
        <w:t xml:space="preserve"> </w:t>
      </w:r>
      <w:r w:rsidRPr="00D35BC1">
        <w:rPr>
          <w:i/>
          <w:sz w:val="16"/>
          <w:szCs w:val="16"/>
          <w:lang w:val="es-ES"/>
        </w:rPr>
        <w:t xml:space="preserve">Fondo. </w:t>
      </w:r>
      <w:r w:rsidRPr="0049438A">
        <w:rPr>
          <w:sz w:val="16"/>
          <w:szCs w:val="16"/>
          <w:lang w:val="es-ES"/>
        </w:rPr>
        <w:t>Sentencia de 29 de julio de 1988. Serie C No. 4</w:t>
      </w:r>
      <w:r w:rsidRPr="00CC214C">
        <w:rPr>
          <w:i/>
          <w:sz w:val="16"/>
          <w:szCs w:val="16"/>
          <w:lang w:val="es-ES"/>
        </w:rPr>
        <w:t>,</w:t>
      </w:r>
      <w:r w:rsidRPr="00552A48">
        <w:rPr>
          <w:sz w:val="16"/>
          <w:szCs w:val="16"/>
          <w:lang w:val="es-ES"/>
        </w:rPr>
        <w:t xml:space="preserve"> párr. 140, </w:t>
      </w:r>
      <w:r w:rsidRPr="00E1727B">
        <w:rPr>
          <w:sz w:val="16"/>
          <w:szCs w:val="16"/>
          <w:lang w:val="es-ES"/>
        </w:rPr>
        <w:t xml:space="preserve">y </w:t>
      </w:r>
      <w:r w:rsidRPr="00E1727B">
        <w:rPr>
          <w:bCs/>
          <w:i/>
          <w:sz w:val="16"/>
          <w:szCs w:val="16"/>
        </w:rPr>
        <w:t xml:space="preserve">Caso </w:t>
      </w:r>
      <w:r w:rsidRPr="00E1727B">
        <w:rPr>
          <w:i/>
          <w:sz w:val="16"/>
          <w:szCs w:val="16"/>
          <w:lang w:val="es-ES"/>
        </w:rPr>
        <w:t>V.R.P., V.P.C.</w:t>
      </w:r>
      <w:r w:rsidRPr="00E1727B">
        <w:rPr>
          <w:bCs/>
          <w:i/>
          <w:sz w:val="16"/>
          <w:szCs w:val="16"/>
        </w:rPr>
        <w:t xml:space="preserve"> y otros Vs. Nicaragua</w:t>
      </w:r>
      <w:r>
        <w:rPr>
          <w:rStyle w:val="Strong"/>
          <w:b w:val="0"/>
          <w:i/>
          <w:color w:val="000000"/>
          <w:sz w:val="16"/>
          <w:szCs w:val="16"/>
          <w:shd w:val="clear" w:color="auto" w:fill="FFFFFF"/>
        </w:rPr>
        <w:t>, supra</w:t>
      </w:r>
      <w:r w:rsidRPr="00E1727B">
        <w:rPr>
          <w:sz w:val="16"/>
          <w:szCs w:val="16"/>
        </w:rPr>
        <w:t>, párr. 59</w:t>
      </w:r>
      <w:r w:rsidRPr="00E1727B">
        <w:rPr>
          <w:sz w:val="16"/>
          <w:szCs w:val="16"/>
          <w:lang w:val="es-ES"/>
        </w:rPr>
        <w:t>.</w:t>
      </w:r>
    </w:p>
  </w:footnote>
  <w:footnote w:id="33">
    <w:p w:rsidR="00B41935" w:rsidRPr="00DB1EAD" w:rsidRDefault="00B41935" w:rsidP="003D758A">
      <w:pPr>
        <w:pStyle w:val="ListParagraph"/>
        <w:ind w:left="0" w:right="-144"/>
        <w:rPr>
          <w:sz w:val="16"/>
          <w:szCs w:val="16"/>
        </w:rPr>
      </w:pPr>
      <w:r w:rsidRPr="00184422">
        <w:rPr>
          <w:rStyle w:val="FootnoteReference"/>
        </w:rPr>
        <w:footnoteRef/>
      </w:r>
      <w:r w:rsidRPr="00AF0EE2">
        <w:rPr>
          <w:sz w:val="16"/>
          <w:szCs w:val="16"/>
        </w:rPr>
        <w:t xml:space="preserve"> </w:t>
      </w:r>
      <w:r>
        <w:rPr>
          <w:sz w:val="16"/>
          <w:szCs w:val="16"/>
        </w:rPr>
        <w:tab/>
      </w:r>
      <w:r w:rsidRPr="00AF0EE2">
        <w:rPr>
          <w:sz w:val="16"/>
          <w:szCs w:val="16"/>
          <w:lang w:val="es-ES_tradnl"/>
        </w:rPr>
        <w:t>La Corte recibió las declaraciones rendidas ante fedatario público (</w:t>
      </w:r>
      <w:r w:rsidRPr="00AF0EE2">
        <w:rPr>
          <w:i/>
          <w:sz w:val="16"/>
          <w:szCs w:val="16"/>
          <w:lang w:val="es-ES_tradnl"/>
        </w:rPr>
        <w:t>affidávit</w:t>
      </w:r>
      <w:r w:rsidRPr="00AF0EE2">
        <w:rPr>
          <w:sz w:val="16"/>
          <w:szCs w:val="16"/>
          <w:lang w:val="es-ES_tradnl"/>
        </w:rPr>
        <w:t xml:space="preserve">) de </w:t>
      </w:r>
      <w:r w:rsidRPr="00AF0EE2">
        <w:rPr>
          <w:color w:val="000000" w:themeColor="text1"/>
          <w:sz w:val="16"/>
          <w:szCs w:val="16"/>
          <w:lang w:val="es-CR"/>
        </w:rPr>
        <w:t>Ofelia Antezana Torre y Tania Collantes Medina, propuestas por los representantes, y de las testigos</w:t>
      </w:r>
      <w:r w:rsidRPr="00AF0EE2">
        <w:rPr>
          <w:sz w:val="16"/>
          <w:szCs w:val="16"/>
          <w:lang w:val="es-ES_tradnl"/>
        </w:rPr>
        <w:t xml:space="preserve"> Marcelita del Ros</w:t>
      </w:r>
      <w:r>
        <w:rPr>
          <w:sz w:val="16"/>
          <w:szCs w:val="16"/>
          <w:lang w:val="es-ES_tradnl"/>
        </w:rPr>
        <w:t>ario Gutiérrez Vallejos y Marie</w:t>
      </w:r>
      <w:r w:rsidRPr="00AF0EE2">
        <w:rPr>
          <w:sz w:val="16"/>
          <w:szCs w:val="16"/>
          <w:lang w:val="es-ES_tradnl"/>
        </w:rPr>
        <w:t>la Romina Estacio Aguirre, propuestas por el Estado</w:t>
      </w:r>
      <w:r w:rsidRPr="00AF0EE2">
        <w:rPr>
          <w:color w:val="000000" w:themeColor="text1"/>
          <w:sz w:val="16"/>
          <w:szCs w:val="16"/>
          <w:lang w:val="es-CR"/>
        </w:rPr>
        <w:t>; del perito</w:t>
      </w:r>
      <w:r w:rsidRPr="00AF0EE2">
        <w:rPr>
          <w:rFonts w:cs="Arial"/>
          <w:color w:val="141414"/>
          <w:sz w:val="16"/>
          <w:szCs w:val="16"/>
          <w:lang w:val="es-CR" w:eastAsia="es-CR"/>
        </w:rPr>
        <w:t xml:space="preserve"> </w:t>
      </w:r>
      <w:r w:rsidRPr="00AF0EE2">
        <w:rPr>
          <w:sz w:val="16"/>
          <w:szCs w:val="16"/>
        </w:rPr>
        <w:t>Michael Reed Hurtado</w:t>
      </w:r>
      <w:r w:rsidRPr="00AF0EE2">
        <w:rPr>
          <w:sz w:val="16"/>
          <w:szCs w:val="16"/>
          <w:lang w:val="es-ES_tradnl"/>
        </w:rPr>
        <w:t xml:space="preserve">, propuesto por la Comisión; del perito </w:t>
      </w:r>
      <w:r w:rsidRPr="00AF0EE2">
        <w:rPr>
          <w:sz w:val="16"/>
          <w:szCs w:val="16"/>
        </w:rPr>
        <w:t>Carlos Alberto Jibaja</w:t>
      </w:r>
      <w:r>
        <w:rPr>
          <w:sz w:val="16"/>
          <w:szCs w:val="16"/>
        </w:rPr>
        <w:t xml:space="preserve"> Zárate</w:t>
      </w:r>
      <w:r w:rsidRPr="00AF0EE2">
        <w:rPr>
          <w:sz w:val="16"/>
          <w:szCs w:val="16"/>
          <w:lang w:val="es-ES_tradnl"/>
        </w:rPr>
        <w:t xml:space="preserve"> y de la perita </w:t>
      </w:r>
      <w:r w:rsidRPr="00AF0EE2">
        <w:rPr>
          <w:sz w:val="16"/>
          <w:szCs w:val="16"/>
        </w:rPr>
        <w:t>Carmen Wurst Calle de Landázuri, y de la perita Yovana Pérez Clara,</w:t>
      </w:r>
      <w:r w:rsidRPr="00AF0EE2">
        <w:rPr>
          <w:sz w:val="16"/>
          <w:szCs w:val="16"/>
          <w:lang w:val="es-ES_tradnl"/>
        </w:rPr>
        <w:t xml:space="preserve"> propuestos por los representantes. En cuanto a la prueba rendida en la audiencia pública, la Corte reci</w:t>
      </w:r>
      <w:r>
        <w:rPr>
          <w:sz w:val="16"/>
          <w:szCs w:val="16"/>
          <w:lang w:val="es-ES_tradnl"/>
        </w:rPr>
        <w:t>bió las declaraciones de Wilfredo</w:t>
      </w:r>
      <w:r w:rsidRPr="00AF0EE2">
        <w:rPr>
          <w:sz w:val="16"/>
          <w:szCs w:val="16"/>
          <w:lang w:val="es-ES_tradnl"/>
        </w:rPr>
        <w:t xml:space="preserve"> Terrones Landázuri, Rosa Carcausto Paco</w:t>
      </w:r>
      <w:r w:rsidRPr="00AF0EE2">
        <w:rPr>
          <w:color w:val="000000" w:themeColor="text1"/>
          <w:sz w:val="16"/>
          <w:szCs w:val="16"/>
          <w:lang w:val="es-CR"/>
        </w:rPr>
        <w:t xml:space="preserve"> y Marcelina Medina Negrón, propuestas por </w:t>
      </w:r>
      <w:r>
        <w:rPr>
          <w:color w:val="000000" w:themeColor="text1"/>
          <w:sz w:val="16"/>
          <w:szCs w:val="16"/>
          <w:lang w:val="es-CR"/>
        </w:rPr>
        <w:t>los representantes, y del testigo</w:t>
      </w:r>
      <w:r w:rsidRPr="00AF0EE2">
        <w:rPr>
          <w:color w:val="000000" w:themeColor="text1"/>
          <w:sz w:val="16"/>
          <w:szCs w:val="16"/>
          <w:lang w:val="es-CR"/>
        </w:rPr>
        <w:t xml:space="preserve"> Luis Enrique García Westhphalen, propuesto por el Estado. </w:t>
      </w:r>
    </w:p>
  </w:footnote>
  <w:footnote w:id="34">
    <w:p w:rsidR="00B41935" w:rsidRPr="00E45739" w:rsidRDefault="00B41935" w:rsidP="0091221D">
      <w:pPr>
        <w:pStyle w:val="FootnoteText"/>
        <w:tabs>
          <w:tab w:val="left" w:pos="567"/>
        </w:tabs>
        <w:rPr>
          <w:sz w:val="16"/>
          <w:szCs w:val="16"/>
          <w:lang w:val="es-ES"/>
        </w:rPr>
      </w:pPr>
      <w:r w:rsidRPr="00E45739">
        <w:rPr>
          <w:rStyle w:val="FootnoteReference"/>
          <w:lang w:val="es-ES"/>
        </w:rPr>
        <w:footnoteRef/>
      </w:r>
      <w:r w:rsidRPr="00E45739">
        <w:rPr>
          <w:sz w:val="16"/>
          <w:szCs w:val="16"/>
          <w:lang w:val="es-ES"/>
        </w:rPr>
        <w:t xml:space="preserve"> </w:t>
      </w:r>
      <w:r w:rsidRPr="00E45739">
        <w:rPr>
          <w:sz w:val="16"/>
          <w:szCs w:val="16"/>
          <w:lang w:val="es-ES"/>
        </w:rPr>
        <w:tab/>
      </w:r>
      <w:r w:rsidRPr="00E45739">
        <w:rPr>
          <w:i/>
          <w:sz w:val="16"/>
          <w:szCs w:val="16"/>
          <w:lang w:val="es-ES"/>
        </w:rPr>
        <w:t xml:space="preserve">Cfr. Caso De La Cruz Flores Vs. Perú. Fondo, Reparaciones y Costas. </w:t>
      </w:r>
      <w:r w:rsidRPr="00E45739">
        <w:rPr>
          <w:sz w:val="16"/>
          <w:szCs w:val="16"/>
          <w:lang w:val="es-ES"/>
        </w:rPr>
        <w:t xml:space="preserve">Sentencia de 18 de noviembre de 2004. Serie C No. 115; </w:t>
      </w:r>
      <w:r w:rsidRPr="00E45739">
        <w:rPr>
          <w:i/>
          <w:sz w:val="16"/>
          <w:szCs w:val="16"/>
          <w:lang w:val="es-ES"/>
        </w:rPr>
        <w:t xml:space="preserve">Caso Gómez Palomino Vs. Perú. Fondo, Reparaciones y Costas. </w:t>
      </w:r>
      <w:r w:rsidRPr="00E45739">
        <w:rPr>
          <w:sz w:val="16"/>
          <w:szCs w:val="16"/>
          <w:lang w:val="es-ES"/>
        </w:rPr>
        <w:t xml:space="preserve">Sentencia de 22 de noviembre de 2005. Serie C No. 136; </w:t>
      </w:r>
      <w:r w:rsidRPr="00E45739">
        <w:rPr>
          <w:i/>
          <w:sz w:val="16"/>
          <w:szCs w:val="16"/>
          <w:lang w:val="es-CR"/>
        </w:rPr>
        <w:t xml:space="preserve">Caso Baldeón García Vs. Perú. Fondo, Reparaciones y Costas. </w:t>
      </w:r>
      <w:r w:rsidRPr="00E45739">
        <w:rPr>
          <w:sz w:val="16"/>
          <w:szCs w:val="16"/>
          <w:lang w:val="es-CR"/>
        </w:rPr>
        <w:t>Sentencia de 6 de abril de 2006. Serie C No. 147</w:t>
      </w:r>
      <w:r w:rsidRPr="00E45739">
        <w:rPr>
          <w:sz w:val="16"/>
          <w:szCs w:val="16"/>
          <w:lang w:val="es-ES"/>
        </w:rPr>
        <w:t xml:space="preserve">; </w:t>
      </w:r>
      <w:r w:rsidRPr="0051639E">
        <w:rPr>
          <w:rStyle w:val="Strong"/>
          <w:b w:val="0"/>
          <w:i/>
          <w:color w:val="000000"/>
          <w:sz w:val="16"/>
          <w:szCs w:val="16"/>
          <w:shd w:val="clear" w:color="auto" w:fill="FFFFFF"/>
        </w:rPr>
        <w:t xml:space="preserve">Caso del Penal Miguel Castro Castro Vs. Perú. Fondo, Reparaciones y Costas. </w:t>
      </w:r>
      <w:r w:rsidRPr="0051639E">
        <w:rPr>
          <w:rStyle w:val="Strong"/>
          <w:b w:val="0"/>
          <w:color w:val="000000"/>
          <w:sz w:val="16"/>
          <w:szCs w:val="16"/>
          <w:shd w:val="clear" w:color="auto" w:fill="FFFFFF"/>
        </w:rPr>
        <w:t>Sentencia de 25 de nov</w:t>
      </w:r>
      <w:r>
        <w:rPr>
          <w:rStyle w:val="Strong"/>
          <w:b w:val="0"/>
          <w:color w:val="000000"/>
          <w:sz w:val="16"/>
          <w:szCs w:val="16"/>
          <w:shd w:val="clear" w:color="auto" w:fill="FFFFFF"/>
        </w:rPr>
        <w:t>iembre de 2006. Serie C No. 160</w:t>
      </w:r>
      <w:r w:rsidRPr="00E45739">
        <w:rPr>
          <w:sz w:val="16"/>
          <w:szCs w:val="16"/>
          <w:lang w:val="es-ES"/>
        </w:rPr>
        <w:t xml:space="preserve">; </w:t>
      </w:r>
      <w:r w:rsidRPr="00E45739">
        <w:rPr>
          <w:i/>
          <w:sz w:val="16"/>
          <w:szCs w:val="16"/>
          <w:lang w:val="es-ES"/>
        </w:rPr>
        <w:t>Caso La Cantuta Vs. Perú. Fondo, Reparaciones y Costas.</w:t>
      </w:r>
      <w:r w:rsidRPr="00E45739">
        <w:rPr>
          <w:sz w:val="16"/>
          <w:szCs w:val="16"/>
          <w:lang w:val="es-ES"/>
        </w:rPr>
        <w:t xml:space="preserve"> Sentencia de 29 de noviembre de 2006. Serie C No. 162; </w:t>
      </w:r>
      <w:r w:rsidRPr="00E45739">
        <w:rPr>
          <w:i/>
          <w:sz w:val="16"/>
          <w:szCs w:val="16"/>
        </w:rPr>
        <w:t>Caso Cantoral Huamaní y García Santa Cruz Vs. Perú. Excepción Preliminar, Fondo, Reparaciones y Costas.</w:t>
      </w:r>
      <w:r w:rsidRPr="00E45739">
        <w:rPr>
          <w:sz w:val="16"/>
          <w:szCs w:val="16"/>
        </w:rPr>
        <w:t xml:space="preserve"> Sentencia de 10 de julio de 2007. Serie C No. 167</w:t>
      </w:r>
      <w:r w:rsidRPr="00E45739">
        <w:rPr>
          <w:sz w:val="16"/>
          <w:szCs w:val="16"/>
          <w:lang w:val="es-ES"/>
        </w:rPr>
        <w:t xml:space="preserve">; </w:t>
      </w:r>
      <w:r w:rsidRPr="00E45739">
        <w:rPr>
          <w:i/>
          <w:sz w:val="16"/>
          <w:szCs w:val="16"/>
          <w:lang w:val="es-ES"/>
        </w:rPr>
        <w:t>Caso Anzualdo Castro Vs. Perú. Excepción Preliminar, Fondo, Reparaciones y Costas.</w:t>
      </w:r>
      <w:r w:rsidRPr="00E45739">
        <w:rPr>
          <w:sz w:val="16"/>
          <w:szCs w:val="16"/>
          <w:lang w:val="es-ES"/>
        </w:rPr>
        <w:t xml:space="preserve"> Sentencia de 22 de septiembre de 2009. Serie C No. 202</w:t>
      </w:r>
      <w:r w:rsidRPr="00E45739">
        <w:rPr>
          <w:i/>
          <w:sz w:val="16"/>
          <w:szCs w:val="16"/>
          <w:lang w:val="es-ES"/>
        </w:rPr>
        <w:t xml:space="preserve">; </w:t>
      </w:r>
      <w:r w:rsidRPr="00E45739">
        <w:rPr>
          <w:bCs/>
          <w:i/>
          <w:iCs/>
          <w:sz w:val="16"/>
          <w:szCs w:val="16"/>
          <w:lang w:val="es-ES"/>
        </w:rPr>
        <w:t>Caso Osorio Rivera y Familiares Vs. Perú</w:t>
      </w:r>
      <w:r>
        <w:rPr>
          <w:bCs/>
          <w:i/>
          <w:iCs/>
          <w:sz w:val="16"/>
          <w:szCs w:val="16"/>
          <w:lang w:val="es-ES"/>
        </w:rPr>
        <w:t>, supra</w:t>
      </w:r>
      <w:r w:rsidRPr="00E45739">
        <w:rPr>
          <w:bCs/>
          <w:iCs/>
          <w:sz w:val="16"/>
          <w:szCs w:val="16"/>
          <w:lang w:val="es-ES"/>
        </w:rPr>
        <w:t xml:space="preserve">; </w:t>
      </w:r>
      <w:r w:rsidRPr="00E45739">
        <w:rPr>
          <w:rStyle w:val="Strong"/>
          <w:b w:val="0"/>
          <w:i/>
          <w:color w:val="000000"/>
          <w:sz w:val="16"/>
          <w:szCs w:val="16"/>
          <w:shd w:val="clear" w:color="auto" w:fill="FFFFFF"/>
          <w:lang w:val="es-ES"/>
        </w:rPr>
        <w:t>Caso J Vs. Perú. Excepción Preliminar, Fondo, Reparaciones y Costas.</w:t>
      </w:r>
      <w:r w:rsidRPr="00E45739">
        <w:rPr>
          <w:rStyle w:val="Strong"/>
          <w:b w:val="0"/>
          <w:color w:val="000000"/>
          <w:sz w:val="16"/>
          <w:szCs w:val="16"/>
          <w:shd w:val="clear" w:color="auto" w:fill="FFFFFF"/>
          <w:lang w:val="es-ES"/>
        </w:rPr>
        <w:t xml:space="preserve"> Sentencia de 27 de noviembre de 2013. Serie C No. 275; </w:t>
      </w:r>
      <w:r w:rsidRPr="00E45739">
        <w:rPr>
          <w:bCs/>
          <w:i/>
          <w:iCs/>
          <w:sz w:val="16"/>
          <w:szCs w:val="16"/>
          <w:lang w:val="es-ES"/>
        </w:rPr>
        <w:t>Caso Espinoza Gonzáles Vs. Perú. Excepciones Preliminares, Fondo, Reparaciones y Costas.</w:t>
      </w:r>
      <w:r w:rsidRPr="00E45739">
        <w:rPr>
          <w:bCs/>
          <w:iCs/>
          <w:sz w:val="16"/>
          <w:szCs w:val="16"/>
          <w:lang w:val="es-ES"/>
        </w:rPr>
        <w:t xml:space="preserve"> Sentencia de 20 de noviembre de 2014. Serie C No. 289; </w:t>
      </w:r>
      <w:r w:rsidRPr="00E45739">
        <w:rPr>
          <w:bCs/>
          <w:i/>
          <w:iCs/>
          <w:sz w:val="16"/>
          <w:szCs w:val="16"/>
          <w:lang w:val="es-ES"/>
        </w:rPr>
        <w:t>Caso Cruz Sánchez y otros Vs. Perú. Excepciones Preliminares, Fondo, Reparaciones y Costas.</w:t>
      </w:r>
      <w:r w:rsidRPr="00E45739">
        <w:rPr>
          <w:bCs/>
          <w:iCs/>
          <w:sz w:val="16"/>
          <w:szCs w:val="16"/>
          <w:lang w:val="es-ES"/>
        </w:rPr>
        <w:t xml:space="preserve"> Sentencia de 17 de ab</w:t>
      </w:r>
      <w:r>
        <w:rPr>
          <w:bCs/>
          <w:iCs/>
          <w:sz w:val="16"/>
          <w:szCs w:val="16"/>
          <w:lang w:val="es-ES"/>
        </w:rPr>
        <w:t xml:space="preserve">ril de 2015. Serie C No. 292; </w:t>
      </w:r>
      <w:r w:rsidRPr="00E45739">
        <w:rPr>
          <w:bCs/>
          <w:i/>
          <w:iCs/>
          <w:sz w:val="16"/>
          <w:szCs w:val="16"/>
          <w:lang w:val="es-ES"/>
        </w:rPr>
        <w:t xml:space="preserve">Caso Comunidad Campesina de Santa Bárbara Vs. Perú. Excepciones Preliminares, Fondo, Reparaciones y Costas. </w:t>
      </w:r>
      <w:r w:rsidRPr="00E45739">
        <w:rPr>
          <w:bCs/>
          <w:iCs/>
          <w:sz w:val="16"/>
          <w:szCs w:val="16"/>
          <w:lang w:val="es-ES"/>
        </w:rPr>
        <w:t>Sentencia de 01 de septiembre de 2015. Serie C No. 299</w:t>
      </w:r>
      <w:r>
        <w:rPr>
          <w:sz w:val="16"/>
          <w:szCs w:val="16"/>
          <w:lang w:val="es-ES"/>
        </w:rPr>
        <w:t xml:space="preserve">, </w:t>
      </w:r>
      <w:r w:rsidRPr="00FC6158">
        <w:rPr>
          <w:sz w:val="16"/>
          <w:szCs w:val="16"/>
          <w:lang w:val="es-ES"/>
        </w:rPr>
        <w:t xml:space="preserve">y </w:t>
      </w:r>
      <w:r w:rsidRPr="00FC6158">
        <w:rPr>
          <w:i/>
          <w:sz w:val="16"/>
          <w:szCs w:val="16"/>
        </w:rPr>
        <w:t>Caso Tenorio Roca y otros Vs. Perú</w:t>
      </w:r>
      <w:r>
        <w:rPr>
          <w:i/>
          <w:sz w:val="16"/>
          <w:szCs w:val="16"/>
        </w:rPr>
        <w:t xml:space="preserve">, </w:t>
      </w:r>
      <w:r w:rsidRPr="003A5FAB">
        <w:rPr>
          <w:rStyle w:val="Strong"/>
          <w:b w:val="0"/>
          <w:i/>
          <w:color w:val="000000"/>
          <w:sz w:val="16"/>
          <w:szCs w:val="16"/>
          <w:shd w:val="clear" w:color="auto" w:fill="FFFFFF"/>
        </w:rPr>
        <w:t>supra</w:t>
      </w:r>
      <w:r w:rsidRPr="00FC6158">
        <w:rPr>
          <w:sz w:val="16"/>
          <w:szCs w:val="16"/>
        </w:rPr>
        <w:t>.</w:t>
      </w:r>
    </w:p>
  </w:footnote>
  <w:footnote w:id="35">
    <w:p w:rsidR="00B41935" w:rsidRPr="00E45739" w:rsidRDefault="00B41935" w:rsidP="0091221D">
      <w:pPr>
        <w:pStyle w:val="FootnoteText"/>
        <w:tabs>
          <w:tab w:val="left" w:pos="567"/>
        </w:tabs>
        <w:rPr>
          <w:sz w:val="16"/>
          <w:szCs w:val="16"/>
        </w:rPr>
      </w:pPr>
      <w:r w:rsidRPr="00E45739">
        <w:rPr>
          <w:rStyle w:val="FootnoteReference"/>
        </w:rPr>
        <w:footnoteRef/>
      </w:r>
      <w:r w:rsidRPr="00E45739">
        <w:rPr>
          <w:sz w:val="16"/>
          <w:szCs w:val="16"/>
        </w:rPr>
        <w:t xml:space="preserve"> </w:t>
      </w:r>
      <w:r w:rsidRPr="00E45739">
        <w:rPr>
          <w:sz w:val="16"/>
          <w:szCs w:val="16"/>
        </w:rPr>
        <w:tab/>
      </w:r>
      <w:r w:rsidRPr="00FC6158">
        <w:rPr>
          <w:i/>
          <w:sz w:val="16"/>
          <w:szCs w:val="16"/>
        </w:rPr>
        <w:t>Cfr.</w:t>
      </w:r>
      <w:r w:rsidRPr="00FC6158">
        <w:rPr>
          <w:sz w:val="16"/>
          <w:szCs w:val="16"/>
        </w:rPr>
        <w:t xml:space="preserve"> </w:t>
      </w:r>
      <w:r w:rsidRPr="00FC6158">
        <w:rPr>
          <w:rStyle w:val="Strong"/>
          <w:b w:val="0"/>
          <w:i/>
          <w:color w:val="000000"/>
          <w:sz w:val="16"/>
          <w:szCs w:val="16"/>
          <w:shd w:val="clear" w:color="auto" w:fill="FFFFFF"/>
        </w:rPr>
        <w:t>Caso Baldeón García Vs. Perú</w:t>
      </w:r>
      <w:r>
        <w:rPr>
          <w:rStyle w:val="Strong"/>
          <w:b w:val="0"/>
          <w:i/>
          <w:color w:val="000000"/>
          <w:sz w:val="16"/>
          <w:szCs w:val="16"/>
          <w:shd w:val="clear" w:color="auto" w:fill="FFFFFF"/>
        </w:rPr>
        <w:t>, supra</w:t>
      </w:r>
      <w:r w:rsidRPr="00FC6158">
        <w:rPr>
          <w:sz w:val="16"/>
          <w:szCs w:val="16"/>
        </w:rPr>
        <w:t>,</w:t>
      </w:r>
      <w:r>
        <w:rPr>
          <w:sz w:val="16"/>
          <w:szCs w:val="16"/>
        </w:rPr>
        <w:t xml:space="preserve"> </w:t>
      </w:r>
      <w:r w:rsidRPr="00FC6158">
        <w:rPr>
          <w:sz w:val="16"/>
          <w:szCs w:val="16"/>
        </w:rPr>
        <w:t xml:space="preserve">párr. 72.1; </w:t>
      </w:r>
      <w:r w:rsidRPr="00FC6158">
        <w:rPr>
          <w:i/>
          <w:sz w:val="16"/>
          <w:szCs w:val="16"/>
        </w:rPr>
        <w:t>Caso Tenorio Roca y otros Vs. Perú</w:t>
      </w:r>
      <w:r>
        <w:rPr>
          <w:i/>
          <w:sz w:val="16"/>
          <w:szCs w:val="16"/>
        </w:rPr>
        <w:t>, supra</w:t>
      </w:r>
      <w:r w:rsidRPr="00FC6158">
        <w:rPr>
          <w:sz w:val="16"/>
          <w:szCs w:val="16"/>
        </w:rPr>
        <w:t xml:space="preserve">, y </w:t>
      </w:r>
      <w:r w:rsidRPr="00FC6158">
        <w:rPr>
          <w:i/>
          <w:sz w:val="16"/>
          <w:szCs w:val="16"/>
        </w:rPr>
        <w:t xml:space="preserve">Caso </w:t>
      </w:r>
      <w:r w:rsidRPr="00FC6158">
        <w:rPr>
          <w:bCs/>
          <w:i/>
          <w:iCs/>
          <w:sz w:val="16"/>
          <w:szCs w:val="16"/>
          <w:lang w:val="es-ES"/>
        </w:rPr>
        <w:t>Pollo Rivera y otros Vs. Perú. Fondo, Reparaciones y Costas.</w:t>
      </w:r>
      <w:r w:rsidRPr="00FC6158">
        <w:rPr>
          <w:bCs/>
          <w:iCs/>
          <w:sz w:val="16"/>
          <w:szCs w:val="16"/>
          <w:lang w:val="es-ES"/>
        </w:rPr>
        <w:t xml:space="preserve"> Sentencia de 21 de octubre de 2016</w:t>
      </w:r>
      <w:r w:rsidRPr="00FC6158">
        <w:rPr>
          <w:sz w:val="16"/>
          <w:szCs w:val="16"/>
        </w:rPr>
        <w:t>.</w:t>
      </w:r>
    </w:p>
  </w:footnote>
  <w:footnote w:id="36">
    <w:p w:rsidR="00B41935" w:rsidRPr="00E45739" w:rsidRDefault="00B41935" w:rsidP="0091221D">
      <w:pPr>
        <w:pStyle w:val="FootnoteText"/>
        <w:tabs>
          <w:tab w:val="left" w:pos="567"/>
        </w:tabs>
        <w:rPr>
          <w:sz w:val="16"/>
          <w:szCs w:val="16"/>
          <w:lang w:val="es-ES"/>
        </w:rPr>
      </w:pPr>
      <w:r w:rsidRPr="00E45739">
        <w:rPr>
          <w:rStyle w:val="FootnoteReference"/>
          <w:lang w:val="es-ES"/>
        </w:rPr>
        <w:footnoteRef/>
      </w:r>
      <w:r w:rsidRPr="00E45739">
        <w:rPr>
          <w:sz w:val="16"/>
          <w:szCs w:val="16"/>
          <w:lang w:val="es-ES"/>
        </w:rPr>
        <w:t xml:space="preserve"> </w:t>
      </w:r>
      <w:r w:rsidRPr="00E45739">
        <w:rPr>
          <w:sz w:val="16"/>
          <w:szCs w:val="16"/>
          <w:lang w:val="es-ES"/>
        </w:rPr>
        <w:tab/>
      </w:r>
      <w:r w:rsidRPr="00E45739">
        <w:rPr>
          <w:sz w:val="16"/>
          <w:szCs w:val="16"/>
        </w:rPr>
        <w:t xml:space="preserve">Comisión de la Verdad y Reconciliación, </w:t>
      </w:r>
      <w:r w:rsidRPr="00E45739">
        <w:rPr>
          <w:iCs/>
          <w:sz w:val="16"/>
          <w:szCs w:val="16"/>
        </w:rPr>
        <w:t>Informe Final</w:t>
      </w:r>
      <w:r w:rsidRPr="00E45739">
        <w:rPr>
          <w:rFonts w:cs="Arial"/>
          <w:color w:val="000000"/>
          <w:sz w:val="16"/>
          <w:szCs w:val="16"/>
          <w:lang w:val="es-ES"/>
        </w:rPr>
        <w:t>, 2003,</w:t>
      </w:r>
      <w:r w:rsidRPr="00E45739">
        <w:rPr>
          <w:sz w:val="16"/>
          <w:szCs w:val="16"/>
          <w:lang w:val="es-ES"/>
        </w:rPr>
        <w:t xml:space="preserve"> Tomo VI, </w:t>
      </w:r>
      <w:r w:rsidRPr="00E45739">
        <w:rPr>
          <w:i/>
          <w:sz w:val="16"/>
          <w:szCs w:val="16"/>
          <w:lang w:val="es-ES"/>
        </w:rPr>
        <w:t xml:space="preserve">Capítulo </w:t>
      </w:r>
      <w:r w:rsidRPr="00E45739">
        <w:rPr>
          <w:rFonts w:cs="Arial"/>
          <w:i/>
          <w:sz w:val="16"/>
          <w:szCs w:val="16"/>
          <w:lang w:val="es-ES"/>
        </w:rPr>
        <w:t>1.2</w:t>
      </w:r>
      <w:r>
        <w:rPr>
          <w:rFonts w:cs="Arial"/>
          <w:i/>
          <w:sz w:val="16"/>
          <w:szCs w:val="16"/>
          <w:lang w:val="es-ES"/>
        </w:rPr>
        <w:t>.</w:t>
      </w:r>
      <w:r w:rsidRPr="00E45739">
        <w:rPr>
          <w:rFonts w:cs="Arial"/>
          <w:i/>
          <w:sz w:val="16"/>
          <w:szCs w:val="16"/>
          <w:lang w:val="es-ES"/>
        </w:rPr>
        <w:t xml:space="preserve"> Las desapariciones forzadas</w:t>
      </w:r>
      <w:r w:rsidRPr="00D502CE">
        <w:rPr>
          <w:rFonts w:cs="Arial"/>
          <w:sz w:val="16"/>
          <w:szCs w:val="16"/>
          <w:lang w:val="es-ES"/>
        </w:rPr>
        <w:t>, p</w:t>
      </w:r>
      <w:r>
        <w:rPr>
          <w:rFonts w:cs="Arial"/>
          <w:sz w:val="16"/>
          <w:szCs w:val="16"/>
          <w:lang w:val="es-ES"/>
        </w:rPr>
        <w:t>ág. 10</w:t>
      </w:r>
      <w:r w:rsidRPr="00D502CE">
        <w:rPr>
          <w:rFonts w:cs="Arial"/>
          <w:sz w:val="16"/>
          <w:szCs w:val="16"/>
          <w:lang w:val="es-ES"/>
        </w:rPr>
        <w:t>2, disponible e</w:t>
      </w:r>
      <w:r>
        <w:rPr>
          <w:rFonts w:cs="Arial"/>
          <w:sz w:val="16"/>
          <w:szCs w:val="16"/>
          <w:lang w:val="es-ES"/>
        </w:rPr>
        <w:t xml:space="preserve">n: </w:t>
      </w:r>
      <w:r w:rsidRPr="00212DCA">
        <w:rPr>
          <w:rFonts w:cs="Arial"/>
          <w:sz w:val="16"/>
          <w:szCs w:val="16"/>
          <w:lang w:val="es-ES"/>
        </w:rPr>
        <w:t>http://www.cverdad.org.pe/ifinal/</w:t>
      </w:r>
      <w:r w:rsidRPr="00E45739">
        <w:rPr>
          <w:sz w:val="16"/>
          <w:szCs w:val="16"/>
          <w:lang w:val="es-ES"/>
        </w:rPr>
        <w:t xml:space="preserve"> </w:t>
      </w:r>
    </w:p>
  </w:footnote>
  <w:footnote w:id="37">
    <w:p w:rsidR="00B41935" w:rsidRPr="00E45739" w:rsidRDefault="00B41935" w:rsidP="0091221D">
      <w:pPr>
        <w:pStyle w:val="FootnoteText"/>
        <w:tabs>
          <w:tab w:val="left" w:pos="567"/>
        </w:tabs>
        <w:rPr>
          <w:sz w:val="16"/>
          <w:szCs w:val="16"/>
          <w:lang w:val="es-ES"/>
        </w:rPr>
      </w:pPr>
      <w:r w:rsidRPr="00E45739">
        <w:rPr>
          <w:rStyle w:val="FootnoteReference"/>
          <w:lang w:val="es-ES"/>
        </w:rPr>
        <w:footnoteRef/>
      </w:r>
      <w:r w:rsidRPr="00E45739">
        <w:rPr>
          <w:sz w:val="16"/>
          <w:szCs w:val="16"/>
          <w:lang w:val="es-ES"/>
        </w:rPr>
        <w:t xml:space="preserve"> </w:t>
      </w:r>
      <w:r w:rsidRPr="00E45739">
        <w:rPr>
          <w:sz w:val="16"/>
          <w:szCs w:val="16"/>
          <w:lang w:val="es-ES"/>
        </w:rPr>
        <w:tab/>
      </w:r>
      <w:r w:rsidRPr="00E45739">
        <w:rPr>
          <w:sz w:val="16"/>
          <w:szCs w:val="16"/>
        </w:rPr>
        <w:t xml:space="preserve">Comisión de la Verdad y Reconciliación, </w:t>
      </w:r>
      <w:r w:rsidRPr="00E45739">
        <w:rPr>
          <w:iCs/>
          <w:sz w:val="16"/>
          <w:szCs w:val="16"/>
        </w:rPr>
        <w:t>Informe Final</w:t>
      </w:r>
      <w:r w:rsidRPr="00E45739">
        <w:rPr>
          <w:rFonts w:cs="Arial"/>
          <w:color w:val="000000"/>
          <w:sz w:val="16"/>
          <w:szCs w:val="16"/>
          <w:lang w:val="es-ES"/>
        </w:rPr>
        <w:t>, 2003,</w:t>
      </w:r>
      <w:r w:rsidRPr="00050CC4">
        <w:rPr>
          <w:i/>
          <w:sz w:val="16"/>
          <w:szCs w:val="16"/>
          <w:lang w:val="es-ES"/>
        </w:rPr>
        <w:t xml:space="preserve"> </w:t>
      </w:r>
      <w:r w:rsidRPr="008345CA">
        <w:rPr>
          <w:i/>
          <w:sz w:val="16"/>
          <w:szCs w:val="16"/>
          <w:lang w:val="es-ES"/>
        </w:rPr>
        <w:t>supra</w:t>
      </w:r>
      <w:r w:rsidRPr="00D502CE">
        <w:rPr>
          <w:rFonts w:cs="Arial"/>
          <w:sz w:val="16"/>
          <w:szCs w:val="16"/>
          <w:lang w:val="es-ES"/>
        </w:rPr>
        <w:t xml:space="preserve">, pág. </w:t>
      </w:r>
      <w:r>
        <w:rPr>
          <w:rFonts w:cs="Arial"/>
          <w:sz w:val="16"/>
          <w:szCs w:val="16"/>
          <w:lang w:val="es-ES"/>
        </w:rPr>
        <w:t xml:space="preserve">73. </w:t>
      </w:r>
    </w:p>
  </w:footnote>
  <w:footnote w:id="38">
    <w:p w:rsidR="00B41935" w:rsidRPr="000B0EFB" w:rsidRDefault="00B41935" w:rsidP="0091221D">
      <w:pPr>
        <w:pStyle w:val="FootnoteText"/>
        <w:tabs>
          <w:tab w:val="left" w:pos="567"/>
        </w:tabs>
        <w:rPr>
          <w:b/>
          <w:color w:val="FF0000"/>
          <w:sz w:val="16"/>
          <w:szCs w:val="16"/>
          <w:lang w:val="es-ES"/>
        </w:rPr>
      </w:pPr>
      <w:r w:rsidRPr="00E45739">
        <w:rPr>
          <w:rStyle w:val="FootnoteReference"/>
          <w:lang w:val="es-ES"/>
        </w:rPr>
        <w:footnoteRef/>
      </w:r>
      <w:r w:rsidRPr="00E45739">
        <w:rPr>
          <w:i/>
          <w:sz w:val="16"/>
          <w:szCs w:val="16"/>
          <w:lang w:val="es-ES"/>
        </w:rPr>
        <w:t xml:space="preserve"> </w:t>
      </w:r>
      <w:r w:rsidRPr="00E45739">
        <w:rPr>
          <w:i/>
          <w:sz w:val="16"/>
          <w:szCs w:val="16"/>
          <w:lang w:val="es-ES"/>
        </w:rPr>
        <w:tab/>
      </w:r>
      <w:r w:rsidRPr="00E45739">
        <w:rPr>
          <w:sz w:val="16"/>
          <w:szCs w:val="16"/>
        </w:rPr>
        <w:t xml:space="preserve">Comisión de la Verdad y Reconciliación, </w:t>
      </w:r>
      <w:r w:rsidRPr="00E45739">
        <w:rPr>
          <w:iCs/>
          <w:sz w:val="16"/>
          <w:szCs w:val="16"/>
        </w:rPr>
        <w:t>Informe Final</w:t>
      </w:r>
      <w:r w:rsidRPr="00E45739">
        <w:rPr>
          <w:rFonts w:cs="Arial"/>
          <w:color w:val="000000"/>
          <w:sz w:val="16"/>
          <w:szCs w:val="16"/>
          <w:lang w:val="es-ES"/>
        </w:rPr>
        <w:t>, 2003,</w:t>
      </w:r>
      <w:r w:rsidRPr="00E45739">
        <w:rPr>
          <w:sz w:val="16"/>
          <w:szCs w:val="16"/>
          <w:lang w:val="es-ES"/>
        </w:rPr>
        <w:t xml:space="preserve"> </w:t>
      </w:r>
      <w:r w:rsidRPr="008345CA">
        <w:rPr>
          <w:i/>
          <w:sz w:val="16"/>
          <w:szCs w:val="16"/>
          <w:lang w:val="es-ES"/>
        </w:rPr>
        <w:t>supra</w:t>
      </w:r>
      <w:r>
        <w:rPr>
          <w:sz w:val="16"/>
          <w:szCs w:val="16"/>
          <w:lang w:val="es-ES"/>
        </w:rPr>
        <w:t xml:space="preserve">, </w:t>
      </w:r>
      <w:r w:rsidRPr="00D502CE">
        <w:rPr>
          <w:rFonts w:cs="Arial"/>
          <w:sz w:val="16"/>
          <w:szCs w:val="16"/>
          <w:lang w:val="es-ES"/>
        </w:rPr>
        <w:t xml:space="preserve">pág. </w:t>
      </w:r>
      <w:r>
        <w:rPr>
          <w:rFonts w:cs="Arial"/>
          <w:sz w:val="16"/>
          <w:szCs w:val="16"/>
          <w:lang w:val="es-ES"/>
        </w:rPr>
        <w:t xml:space="preserve">75. </w:t>
      </w:r>
      <w:r>
        <w:rPr>
          <w:sz w:val="16"/>
          <w:szCs w:val="16"/>
          <w:lang w:val="es-ES"/>
        </w:rPr>
        <w:t>E</w:t>
      </w:r>
      <w:r w:rsidRPr="00814725">
        <w:rPr>
          <w:sz w:val="16"/>
          <w:szCs w:val="16"/>
          <w:lang w:val="es-ES"/>
        </w:rPr>
        <w:t>n los años 1983 y 1984 se registró el mayor número de casos de desapariciones forzadas durante el conflicto armado reportados a la CVR (40% del total), entre 1988 y 1993 esa práctica fue utilizada en forma sistemática por agentes estatales como un mecanismo de lucha contrasubversiva.</w:t>
      </w:r>
    </w:p>
  </w:footnote>
  <w:footnote w:id="39">
    <w:p w:rsidR="00B41935" w:rsidRPr="00E45739" w:rsidRDefault="00B41935" w:rsidP="0091221D">
      <w:pPr>
        <w:pStyle w:val="FootnoteText"/>
        <w:tabs>
          <w:tab w:val="left" w:pos="567"/>
        </w:tabs>
        <w:rPr>
          <w:sz w:val="16"/>
          <w:szCs w:val="16"/>
          <w:lang w:val="es-ES"/>
        </w:rPr>
      </w:pPr>
      <w:r w:rsidRPr="00E45739">
        <w:rPr>
          <w:rStyle w:val="FootnoteReference"/>
          <w:lang w:val="es-ES"/>
        </w:rPr>
        <w:footnoteRef/>
      </w:r>
      <w:r w:rsidRPr="00E45739">
        <w:rPr>
          <w:sz w:val="16"/>
          <w:szCs w:val="16"/>
          <w:lang w:val="es-ES"/>
        </w:rPr>
        <w:t xml:space="preserve"> </w:t>
      </w:r>
      <w:r w:rsidRPr="00E45739">
        <w:rPr>
          <w:sz w:val="16"/>
          <w:szCs w:val="16"/>
          <w:lang w:val="es-ES"/>
        </w:rPr>
        <w:tab/>
      </w:r>
      <w:r w:rsidRPr="00E45739">
        <w:rPr>
          <w:i/>
          <w:sz w:val="16"/>
          <w:szCs w:val="16"/>
          <w:lang w:val="es-ES"/>
        </w:rPr>
        <w:t xml:space="preserve">Cfr. </w:t>
      </w:r>
      <w:r w:rsidRPr="00B348B5">
        <w:rPr>
          <w:rStyle w:val="Strong"/>
          <w:b w:val="0"/>
          <w:i/>
          <w:color w:val="000000"/>
          <w:sz w:val="16"/>
          <w:szCs w:val="16"/>
          <w:shd w:val="clear" w:color="auto" w:fill="FFFFFF"/>
        </w:rPr>
        <w:t>Caso Osorio Rivera y familiares Vs. Perú</w:t>
      </w:r>
      <w:r>
        <w:rPr>
          <w:rStyle w:val="Strong"/>
          <w:b w:val="0"/>
          <w:color w:val="000000"/>
          <w:sz w:val="16"/>
          <w:szCs w:val="16"/>
          <w:shd w:val="clear" w:color="auto" w:fill="FFFFFF"/>
        </w:rPr>
        <w:t xml:space="preserve">, </w:t>
      </w:r>
      <w:r w:rsidRPr="0049438A">
        <w:rPr>
          <w:rStyle w:val="Strong"/>
          <w:b w:val="0"/>
          <w:i/>
          <w:color w:val="000000"/>
          <w:sz w:val="16"/>
          <w:szCs w:val="16"/>
          <w:shd w:val="clear" w:color="auto" w:fill="FFFFFF"/>
        </w:rPr>
        <w:t>supra</w:t>
      </w:r>
      <w:r>
        <w:rPr>
          <w:rStyle w:val="Strong"/>
          <w:b w:val="0"/>
          <w:color w:val="000000"/>
          <w:sz w:val="16"/>
          <w:szCs w:val="16"/>
          <w:shd w:val="clear" w:color="auto" w:fill="FFFFFF"/>
        </w:rPr>
        <w:t xml:space="preserve">, párr. 54, y </w:t>
      </w:r>
      <w:r w:rsidRPr="00E45739">
        <w:rPr>
          <w:sz w:val="16"/>
          <w:szCs w:val="16"/>
        </w:rPr>
        <w:t xml:space="preserve">Comisión de la Verdad y Reconciliación, </w:t>
      </w:r>
      <w:r w:rsidRPr="00E45739">
        <w:rPr>
          <w:iCs/>
          <w:sz w:val="16"/>
          <w:szCs w:val="16"/>
        </w:rPr>
        <w:t>Informe Final</w:t>
      </w:r>
      <w:r w:rsidRPr="00E45739">
        <w:rPr>
          <w:rFonts w:cs="Arial"/>
          <w:color w:val="000000"/>
          <w:sz w:val="16"/>
          <w:szCs w:val="16"/>
          <w:lang w:val="es-ES"/>
        </w:rPr>
        <w:t>, 2003,</w:t>
      </w:r>
      <w:r w:rsidRPr="00E45739">
        <w:rPr>
          <w:sz w:val="16"/>
          <w:szCs w:val="16"/>
          <w:lang w:val="es-ES"/>
        </w:rPr>
        <w:t xml:space="preserve"> </w:t>
      </w:r>
      <w:r w:rsidRPr="008345CA">
        <w:rPr>
          <w:i/>
          <w:sz w:val="16"/>
          <w:szCs w:val="16"/>
          <w:lang w:val="es-ES"/>
        </w:rPr>
        <w:t>supra</w:t>
      </w:r>
      <w:r>
        <w:rPr>
          <w:sz w:val="16"/>
          <w:szCs w:val="16"/>
          <w:lang w:val="es-ES"/>
        </w:rPr>
        <w:t xml:space="preserve">, </w:t>
      </w:r>
      <w:r w:rsidRPr="00D502CE">
        <w:rPr>
          <w:rFonts w:cs="Arial"/>
          <w:sz w:val="16"/>
          <w:szCs w:val="16"/>
          <w:lang w:val="es-ES"/>
        </w:rPr>
        <w:t xml:space="preserve">pág. </w:t>
      </w:r>
      <w:r>
        <w:rPr>
          <w:rFonts w:cs="Arial"/>
          <w:sz w:val="16"/>
          <w:szCs w:val="16"/>
          <w:lang w:val="es-ES"/>
        </w:rPr>
        <w:t>70</w:t>
      </w:r>
      <w:r>
        <w:rPr>
          <w:sz w:val="16"/>
          <w:szCs w:val="16"/>
          <w:lang w:val="es-ES"/>
        </w:rPr>
        <w:t>.</w:t>
      </w:r>
    </w:p>
  </w:footnote>
  <w:footnote w:id="40">
    <w:p w:rsidR="00B41935" w:rsidRPr="00E45739" w:rsidRDefault="00B41935" w:rsidP="0091221D">
      <w:pPr>
        <w:pStyle w:val="FootnoteText"/>
        <w:tabs>
          <w:tab w:val="left" w:pos="567"/>
        </w:tabs>
        <w:rPr>
          <w:sz w:val="16"/>
          <w:szCs w:val="16"/>
          <w:lang w:val="es-ES"/>
        </w:rPr>
      </w:pPr>
      <w:r w:rsidRPr="00E45739">
        <w:rPr>
          <w:rStyle w:val="FootnoteReference"/>
          <w:lang w:val="es-ES"/>
        </w:rPr>
        <w:footnoteRef/>
      </w:r>
      <w:r w:rsidRPr="00E45739">
        <w:rPr>
          <w:sz w:val="16"/>
          <w:szCs w:val="16"/>
          <w:lang w:val="es-ES"/>
        </w:rPr>
        <w:t xml:space="preserve"> </w:t>
      </w:r>
      <w:r w:rsidRPr="00E45739">
        <w:rPr>
          <w:sz w:val="16"/>
          <w:szCs w:val="16"/>
          <w:lang w:val="es-ES"/>
        </w:rPr>
        <w:tab/>
      </w:r>
      <w:r w:rsidRPr="00E45739">
        <w:rPr>
          <w:sz w:val="16"/>
          <w:szCs w:val="16"/>
        </w:rPr>
        <w:t xml:space="preserve">Comisión de la Verdad y Reconciliación, </w:t>
      </w:r>
      <w:r w:rsidRPr="00E45739">
        <w:rPr>
          <w:iCs/>
          <w:sz w:val="16"/>
          <w:szCs w:val="16"/>
        </w:rPr>
        <w:t>Informe Final</w:t>
      </w:r>
      <w:r w:rsidRPr="00E45739">
        <w:rPr>
          <w:rFonts w:cs="Arial"/>
          <w:color w:val="000000"/>
          <w:sz w:val="16"/>
          <w:szCs w:val="16"/>
          <w:lang w:val="es-ES"/>
        </w:rPr>
        <w:t>, 2003</w:t>
      </w:r>
      <w:r w:rsidRPr="00D502CE">
        <w:rPr>
          <w:rFonts w:cs="Arial"/>
          <w:sz w:val="16"/>
          <w:szCs w:val="16"/>
          <w:lang w:val="es-ES"/>
        </w:rPr>
        <w:t>,</w:t>
      </w:r>
      <w:r>
        <w:rPr>
          <w:rFonts w:cs="Arial"/>
          <w:sz w:val="16"/>
          <w:szCs w:val="16"/>
          <w:lang w:val="es-ES"/>
        </w:rPr>
        <w:t xml:space="preserve"> </w:t>
      </w:r>
      <w:r w:rsidRPr="008345CA">
        <w:rPr>
          <w:i/>
          <w:sz w:val="16"/>
          <w:szCs w:val="16"/>
          <w:lang w:val="es-ES"/>
        </w:rPr>
        <w:t>supra</w:t>
      </w:r>
      <w:r>
        <w:rPr>
          <w:i/>
          <w:sz w:val="16"/>
          <w:szCs w:val="16"/>
          <w:lang w:val="es-ES"/>
        </w:rPr>
        <w:t>,</w:t>
      </w:r>
      <w:r w:rsidRPr="00D502CE">
        <w:rPr>
          <w:rFonts w:cs="Arial"/>
          <w:sz w:val="16"/>
          <w:szCs w:val="16"/>
          <w:lang w:val="es-ES"/>
        </w:rPr>
        <w:t xml:space="preserve"> pág. </w:t>
      </w:r>
      <w:r>
        <w:rPr>
          <w:rFonts w:cs="Arial"/>
          <w:sz w:val="16"/>
          <w:szCs w:val="16"/>
          <w:lang w:val="es-ES"/>
        </w:rPr>
        <w:t>8</w:t>
      </w:r>
      <w:r>
        <w:rPr>
          <w:sz w:val="16"/>
          <w:szCs w:val="16"/>
          <w:lang w:val="es-ES"/>
        </w:rPr>
        <w:t>4.</w:t>
      </w:r>
    </w:p>
  </w:footnote>
  <w:footnote w:id="41">
    <w:p w:rsidR="00B41935" w:rsidRPr="00E45739" w:rsidRDefault="00B41935" w:rsidP="0091221D">
      <w:pPr>
        <w:pStyle w:val="FootnoteText"/>
        <w:tabs>
          <w:tab w:val="left" w:pos="567"/>
        </w:tabs>
        <w:rPr>
          <w:sz w:val="16"/>
          <w:szCs w:val="16"/>
          <w:lang w:val="es-ES"/>
        </w:rPr>
      </w:pPr>
      <w:r w:rsidRPr="00E45739">
        <w:rPr>
          <w:rStyle w:val="FootnoteReference"/>
          <w:lang w:val="es-ES"/>
        </w:rPr>
        <w:footnoteRef/>
      </w:r>
      <w:r w:rsidRPr="00E45739">
        <w:rPr>
          <w:sz w:val="16"/>
          <w:szCs w:val="16"/>
          <w:lang w:val="es-ES"/>
        </w:rPr>
        <w:t xml:space="preserve"> </w:t>
      </w:r>
      <w:r w:rsidRPr="00E45739">
        <w:rPr>
          <w:sz w:val="16"/>
          <w:szCs w:val="16"/>
          <w:lang w:val="es-ES"/>
        </w:rPr>
        <w:tab/>
      </w:r>
      <w:r w:rsidRPr="00E45739">
        <w:rPr>
          <w:sz w:val="16"/>
          <w:szCs w:val="16"/>
        </w:rPr>
        <w:t xml:space="preserve">Comisión de la Verdad y Reconciliación, </w:t>
      </w:r>
      <w:r w:rsidRPr="00E45739">
        <w:rPr>
          <w:iCs/>
          <w:sz w:val="16"/>
          <w:szCs w:val="16"/>
        </w:rPr>
        <w:t>Informe Final</w:t>
      </w:r>
      <w:r w:rsidRPr="00E45739">
        <w:rPr>
          <w:rFonts w:cs="Arial"/>
          <w:color w:val="000000"/>
          <w:sz w:val="16"/>
          <w:szCs w:val="16"/>
          <w:lang w:val="es-ES"/>
        </w:rPr>
        <w:t>, 2003,</w:t>
      </w:r>
      <w:r>
        <w:rPr>
          <w:rFonts w:cs="Arial"/>
          <w:color w:val="000000"/>
          <w:sz w:val="16"/>
          <w:szCs w:val="16"/>
          <w:lang w:val="es-ES"/>
        </w:rPr>
        <w:t xml:space="preserve"> </w:t>
      </w:r>
      <w:r w:rsidRPr="008345CA">
        <w:rPr>
          <w:i/>
          <w:sz w:val="16"/>
          <w:szCs w:val="16"/>
          <w:lang w:val="es-ES"/>
        </w:rPr>
        <w:t>supra</w:t>
      </w:r>
      <w:r>
        <w:rPr>
          <w:i/>
          <w:sz w:val="16"/>
          <w:szCs w:val="16"/>
          <w:lang w:val="es-ES"/>
        </w:rPr>
        <w:t>,</w:t>
      </w:r>
      <w:r w:rsidRPr="00D502CE">
        <w:rPr>
          <w:rFonts w:cs="Arial"/>
          <w:sz w:val="16"/>
          <w:szCs w:val="16"/>
          <w:lang w:val="es-ES"/>
        </w:rPr>
        <w:t xml:space="preserve"> pág. </w:t>
      </w:r>
      <w:r>
        <w:rPr>
          <w:rFonts w:cs="Arial"/>
          <w:sz w:val="16"/>
          <w:szCs w:val="16"/>
          <w:lang w:val="es-ES"/>
        </w:rPr>
        <w:t>84</w:t>
      </w:r>
      <w:r>
        <w:rPr>
          <w:sz w:val="16"/>
          <w:szCs w:val="16"/>
          <w:lang w:val="es-ES"/>
        </w:rPr>
        <w:t>.</w:t>
      </w:r>
    </w:p>
  </w:footnote>
  <w:footnote w:id="42">
    <w:p w:rsidR="00B41935" w:rsidRPr="00E45739" w:rsidRDefault="00B41935" w:rsidP="0091221D">
      <w:pPr>
        <w:pStyle w:val="FootnoteText"/>
        <w:tabs>
          <w:tab w:val="left" w:pos="567"/>
        </w:tabs>
        <w:rPr>
          <w:sz w:val="16"/>
          <w:szCs w:val="16"/>
          <w:lang w:val="es-ES"/>
        </w:rPr>
      </w:pPr>
      <w:r w:rsidRPr="00E45739">
        <w:rPr>
          <w:rStyle w:val="FootnoteReference"/>
          <w:lang w:val="es-ES"/>
        </w:rPr>
        <w:footnoteRef/>
      </w:r>
      <w:r w:rsidRPr="00E45739">
        <w:rPr>
          <w:sz w:val="16"/>
          <w:szCs w:val="16"/>
          <w:lang w:val="es-ES"/>
        </w:rPr>
        <w:t xml:space="preserve"> </w:t>
      </w:r>
      <w:r w:rsidRPr="00E45739">
        <w:rPr>
          <w:sz w:val="16"/>
          <w:szCs w:val="16"/>
          <w:lang w:val="es-ES"/>
        </w:rPr>
        <w:tab/>
      </w:r>
      <w:r w:rsidRPr="00E45739">
        <w:rPr>
          <w:i/>
          <w:sz w:val="16"/>
          <w:szCs w:val="16"/>
          <w:lang w:val="es-ES"/>
        </w:rPr>
        <w:t xml:space="preserve">Cfr. </w:t>
      </w:r>
      <w:r w:rsidRPr="004842EC">
        <w:rPr>
          <w:rStyle w:val="Strong"/>
          <w:b w:val="0"/>
          <w:i/>
          <w:color w:val="000000"/>
          <w:sz w:val="16"/>
          <w:szCs w:val="16"/>
          <w:shd w:val="clear" w:color="auto" w:fill="FFFFFF"/>
        </w:rPr>
        <w:t>Caso La Cantuta Vs. Perú</w:t>
      </w:r>
      <w:r>
        <w:rPr>
          <w:rStyle w:val="Strong"/>
          <w:b w:val="0"/>
          <w:i/>
          <w:color w:val="000000"/>
          <w:sz w:val="16"/>
          <w:szCs w:val="16"/>
          <w:shd w:val="clear" w:color="auto" w:fill="FFFFFF"/>
        </w:rPr>
        <w:t>, supra</w:t>
      </w:r>
      <w:r>
        <w:rPr>
          <w:rStyle w:val="Strong"/>
          <w:b w:val="0"/>
          <w:color w:val="000000"/>
          <w:sz w:val="16"/>
          <w:szCs w:val="16"/>
          <w:shd w:val="clear" w:color="auto" w:fill="FFFFFF"/>
        </w:rPr>
        <w:t xml:space="preserve">, párr. 58. </w:t>
      </w:r>
    </w:p>
  </w:footnote>
  <w:footnote w:id="43">
    <w:p w:rsidR="00B41935" w:rsidRPr="00744FCC" w:rsidRDefault="00B41935" w:rsidP="004E4845">
      <w:pPr>
        <w:pStyle w:val="FootnoteText"/>
        <w:rPr>
          <w:sz w:val="16"/>
          <w:szCs w:val="16"/>
          <w:lang w:val="es-ES"/>
        </w:rPr>
      </w:pPr>
      <w:r>
        <w:rPr>
          <w:rStyle w:val="FootnoteReference"/>
        </w:rPr>
        <w:footnoteRef/>
      </w:r>
      <w:r>
        <w:t xml:space="preserve"> </w:t>
      </w:r>
      <w:r>
        <w:tab/>
      </w:r>
      <w:r w:rsidRPr="00E45739">
        <w:rPr>
          <w:sz w:val="16"/>
          <w:szCs w:val="16"/>
        </w:rPr>
        <w:t xml:space="preserve">Comisión de la Verdad y Reconciliación, </w:t>
      </w:r>
      <w:r w:rsidRPr="00E45739">
        <w:rPr>
          <w:iCs/>
          <w:sz w:val="16"/>
          <w:szCs w:val="16"/>
        </w:rPr>
        <w:t>Informe Final</w:t>
      </w:r>
      <w:r w:rsidRPr="00E45739">
        <w:rPr>
          <w:rFonts w:cs="Arial"/>
          <w:color w:val="000000"/>
          <w:sz w:val="16"/>
          <w:szCs w:val="16"/>
          <w:lang w:val="es-ES"/>
        </w:rPr>
        <w:t>, 2003,</w:t>
      </w:r>
      <w:r>
        <w:rPr>
          <w:sz w:val="16"/>
          <w:szCs w:val="16"/>
          <w:lang w:val="es-ES"/>
        </w:rPr>
        <w:t xml:space="preserve"> Tomo II</w:t>
      </w:r>
      <w:r w:rsidRPr="00E45739">
        <w:rPr>
          <w:sz w:val="16"/>
          <w:szCs w:val="16"/>
          <w:lang w:val="es-ES"/>
        </w:rPr>
        <w:t xml:space="preserve">I, </w:t>
      </w:r>
      <w:r w:rsidRPr="00E45739">
        <w:rPr>
          <w:i/>
          <w:sz w:val="16"/>
          <w:szCs w:val="16"/>
          <w:lang w:val="es-ES"/>
        </w:rPr>
        <w:t xml:space="preserve">Capítulo </w:t>
      </w:r>
      <w:r>
        <w:rPr>
          <w:i/>
          <w:sz w:val="16"/>
          <w:szCs w:val="16"/>
          <w:lang w:val="es-ES"/>
        </w:rPr>
        <w:t>3.1</w:t>
      </w:r>
      <w:r>
        <w:rPr>
          <w:rFonts w:cs="Arial"/>
          <w:i/>
          <w:sz w:val="16"/>
          <w:szCs w:val="16"/>
          <w:lang w:val="es-ES"/>
        </w:rPr>
        <w:t>.</w:t>
      </w:r>
      <w:r w:rsidRPr="00E45739">
        <w:rPr>
          <w:rFonts w:cs="Arial"/>
          <w:i/>
          <w:sz w:val="16"/>
          <w:szCs w:val="16"/>
          <w:lang w:val="es-ES"/>
        </w:rPr>
        <w:t xml:space="preserve"> </w:t>
      </w:r>
      <w:r>
        <w:rPr>
          <w:rFonts w:cs="Arial"/>
          <w:i/>
          <w:sz w:val="16"/>
          <w:szCs w:val="16"/>
          <w:lang w:val="es-ES"/>
        </w:rPr>
        <w:t>El movimiento de derechos humanos</w:t>
      </w:r>
      <w:r w:rsidRPr="00D502CE">
        <w:rPr>
          <w:rFonts w:cs="Arial"/>
          <w:sz w:val="16"/>
          <w:szCs w:val="16"/>
          <w:lang w:val="es-ES"/>
        </w:rPr>
        <w:t>, pág</w:t>
      </w:r>
      <w:r>
        <w:rPr>
          <w:rFonts w:cs="Arial"/>
          <w:sz w:val="16"/>
          <w:szCs w:val="16"/>
          <w:lang w:val="es-ES"/>
        </w:rPr>
        <w:t>s</w:t>
      </w:r>
      <w:r w:rsidRPr="00D502CE">
        <w:rPr>
          <w:rFonts w:cs="Arial"/>
          <w:sz w:val="16"/>
          <w:szCs w:val="16"/>
          <w:lang w:val="es-ES"/>
        </w:rPr>
        <w:t xml:space="preserve">. </w:t>
      </w:r>
      <w:r>
        <w:rPr>
          <w:rFonts w:cs="Arial"/>
          <w:sz w:val="16"/>
          <w:szCs w:val="16"/>
          <w:lang w:val="es-ES"/>
        </w:rPr>
        <w:t>298-299</w:t>
      </w:r>
      <w:r w:rsidRPr="00D502CE">
        <w:rPr>
          <w:rFonts w:cs="Arial"/>
          <w:sz w:val="16"/>
          <w:szCs w:val="16"/>
          <w:lang w:val="es-ES"/>
        </w:rPr>
        <w:t>, disponible e</w:t>
      </w:r>
      <w:r>
        <w:rPr>
          <w:rFonts w:cs="Arial"/>
          <w:sz w:val="16"/>
          <w:szCs w:val="16"/>
          <w:lang w:val="es-ES"/>
        </w:rPr>
        <w:t xml:space="preserve">n: </w:t>
      </w:r>
      <w:r w:rsidRPr="00064B44">
        <w:rPr>
          <w:rFonts w:cs="Arial"/>
          <w:sz w:val="16"/>
          <w:szCs w:val="16"/>
          <w:lang w:val="es-ES"/>
        </w:rPr>
        <w:t>http://www.cverdad.org.pe/ifinal/index.php</w:t>
      </w:r>
    </w:p>
  </w:footnote>
  <w:footnote w:id="44">
    <w:p w:rsidR="00B41935" w:rsidRPr="00744FCC" w:rsidRDefault="00B41935" w:rsidP="00AE5539">
      <w:pPr>
        <w:pStyle w:val="FootnoteText"/>
        <w:rPr>
          <w:sz w:val="16"/>
          <w:szCs w:val="16"/>
        </w:rPr>
      </w:pPr>
      <w:r w:rsidRPr="0092667D">
        <w:rPr>
          <w:rStyle w:val="FootnoteReference"/>
        </w:rPr>
        <w:footnoteRef/>
      </w:r>
      <w:r w:rsidRPr="0092667D">
        <w:rPr>
          <w:sz w:val="16"/>
          <w:szCs w:val="16"/>
        </w:rPr>
        <w:t xml:space="preserve"> </w:t>
      </w:r>
      <w:r w:rsidRPr="0092667D">
        <w:rPr>
          <w:sz w:val="16"/>
          <w:szCs w:val="16"/>
        </w:rPr>
        <w:tab/>
      </w:r>
      <w:r w:rsidRPr="00BD7E2C">
        <w:rPr>
          <w:sz w:val="16"/>
          <w:szCs w:val="16"/>
        </w:rPr>
        <w:t xml:space="preserve">Escrito de Alegatos Finales del Estado del Perú, de 16 de abril de 2017, fs. 1044 a 1045. </w:t>
      </w:r>
    </w:p>
  </w:footnote>
  <w:footnote w:id="45">
    <w:p w:rsidR="00B41935" w:rsidRPr="006E59CD" w:rsidRDefault="00B41935">
      <w:pPr>
        <w:pStyle w:val="FootnoteText"/>
        <w:rPr>
          <w:sz w:val="16"/>
          <w:szCs w:val="16"/>
        </w:rPr>
      </w:pPr>
      <w:r>
        <w:rPr>
          <w:rStyle w:val="FootnoteReference"/>
        </w:rPr>
        <w:footnoteRef/>
      </w:r>
      <w:r>
        <w:t xml:space="preserve"> </w:t>
      </w:r>
      <w:r>
        <w:tab/>
      </w:r>
      <w:r w:rsidRPr="00E45739">
        <w:rPr>
          <w:sz w:val="16"/>
          <w:szCs w:val="16"/>
        </w:rPr>
        <w:t xml:space="preserve">Comisión de la Verdad y Reconciliación, </w:t>
      </w:r>
      <w:r w:rsidRPr="00E45739">
        <w:rPr>
          <w:iCs/>
          <w:sz w:val="16"/>
          <w:szCs w:val="16"/>
        </w:rPr>
        <w:t>Informe Final</w:t>
      </w:r>
      <w:r w:rsidRPr="00E45739">
        <w:rPr>
          <w:rFonts w:cs="Arial"/>
          <w:color w:val="000000"/>
          <w:sz w:val="16"/>
          <w:szCs w:val="16"/>
          <w:lang w:val="es-ES"/>
        </w:rPr>
        <w:t>, 2003,</w:t>
      </w:r>
      <w:r>
        <w:rPr>
          <w:sz w:val="16"/>
          <w:szCs w:val="16"/>
          <w:lang w:val="es-ES"/>
        </w:rPr>
        <w:t xml:space="preserve"> </w:t>
      </w:r>
      <w:r w:rsidRPr="0049438A">
        <w:rPr>
          <w:i/>
          <w:sz w:val="16"/>
          <w:szCs w:val="16"/>
          <w:lang w:val="es-ES"/>
        </w:rPr>
        <w:t>supra</w:t>
      </w:r>
      <w:r>
        <w:rPr>
          <w:sz w:val="16"/>
          <w:szCs w:val="16"/>
          <w:lang w:val="es-ES"/>
        </w:rPr>
        <w:t xml:space="preserve">, </w:t>
      </w:r>
      <w:r w:rsidRPr="00D502CE">
        <w:rPr>
          <w:rFonts w:cs="Arial"/>
          <w:sz w:val="16"/>
          <w:szCs w:val="16"/>
          <w:lang w:val="es-ES"/>
        </w:rPr>
        <w:t xml:space="preserve">pág. </w:t>
      </w:r>
      <w:r>
        <w:rPr>
          <w:rFonts w:cs="Arial"/>
          <w:sz w:val="16"/>
          <w:szCs w:val="16"/>
          <w:lang w:val="es-ES"/>
        </w:rPr>
        <w:t>603.</w:t>
      </w:r>
    </w:p>
  </w:footnote>
  <w:footnote w:id="46">
    <w:p w:rsidR="00B41935" w:rsidRPr="00552A48" w:rsidRDefault="00B41935" w:rsidP="00257982">
      <w:pPr>
        <w:pStyle w:val="FootnoteText"/>
        <w:rPr>
          <w:sz w:val="16"/>
          <w:szCs w:val="16"/>
          <w:lang w:val="es-CR"/>
        </w:rPr>
      </w:pPr>
      <w:r w:rsidRPr="00CC214C">
        <w:rPr>
          <w:rStyle w:val="FootnoteReference"/>
        </w:rPr>
        <w:footnoteRef/>
      </w:r>
      <w:r w:rsidRPr="00CC214C">
        <w:rPr>
          <w:sz w:val="16"/>
          <w:szCs w:val="16"/>
        </w:rPr>
        <w:t xml:space="preserve"> </w:t>
      </w:r>
      <w:r>
        <w:rPr>
          <w:sz w:val="16"/>
          <w:szCs w:val="16"/>
        </w:rPr>
        <w:tab/>
      </w:r>
      <w:r w:rsidRPr="00E45739">
        <w:rPr>
          <w:sz w:val="16"/>
          <w:szCs w:val="16"/>
        </w:rPr>
        <w:t xml:space="preserve">Comisión de la Verdad y Reconciliación, </w:t>
      </w:r>
      <w:r w:rsidRPr="00E45739">
        <w:rPr>
          <w:iCs/>
          <w:sz w:val="16"/>
          <w:szCs w:val="16"/>
        </w:rPr>
        <w:t>Informe Final</w:t>
      </w:r>
      <w:r w:rsidRPr="00E45739">
        <w:rPr>
          <w:rFonts w:cs="Arial"/>
          <w:color w:val="000000"/>
          <w:sz w:val="16"/>
          <w:szCs w:val="16"/>
          <w:lang w:val="es-ES"/>
        </w:rPr>
        <w:t>, 2003</w:t>
      </w:r>
      <w:r>
        <w:rPr>
          <w:rFonts w:cs="Arial"/>
          <w:color w:val="000000"/>
          <w:sz w:val="16"/>
          <w:szCs w:val="16"/>
          <w:lang w:val="es-ES"/>
        </w:rPr>
        <w:t xml:space="preserve">, </w:t>
      </w:r>
      <w:r w:rsidRPr="0049438A">
        <w:rPr>
          <w:rFonts w:cs="Arial"/>
          <w:i/>
          <w:color w:val="000000"/>
          <w:sz w:val="16"/>
          <w:szCs w:val="16"/>
          <w:lang w:val="es-ES"/>
        </w:rPr>
        <w:t>supra,</w:t>
      </w:r>
      <w:r>
        <w:rPr>
          <w:rFonts w:cs="Arial"/>
          <w:color w:val="000000"/>
          <w:sz w:val="16"/>
          <w:szCs w:val="16"/>
          <w:lang w:val="es-ES"/>
        </w:rPr>
        <w:t xml:space="preserve"> </w:t>
      </w:r>
      <w:r w:rsidRPr="00D502CE">
        <w:rPr>
          <w:rFonts w:cs="Arial"/>
          <w:sz w:val="16"/>
          <w:szCs w:val="16"/>
          <w:lang w:val="es-ES"/>
        </w:rPr>
        <w:t>pág</w:t>
      </w:r>
      <w:r>
        <w:rPr>
          <w:rFonts w:cs="Arial"/>
          <w:sz w:val="16"/>
          <w:szCs w:val="16"/>
          <w:lang w:val="es-ES"/>
        </w:rPr>
        <w:t>s</w:t>
      </w:r>
      <w:r w:rsidRPr="00D502CE">
        <w:rPr>
          <w:rFonts w:cs="Arial"/>
          <w:sz w:val="16"/>
          <w:szCs w:val="16"/>
          <w:lang w:val="es-ES"/>
        </w:rPr>
        <w:t xml:space="preserve">. </w:t>
      </w:r>
      <w:r>
        <w:rPr>
          <w:rFonts w:cs="Arial"/>
          <w:sz w:val="16"/>
          <w:szCs w:val="16"/>
          <w:lang w:val="es-ES"/>
        </w:rPr>
        <w:t>633 a 635.</w:t>
      </w:r>
    </w:p>
  </w:footnote>
  <w:footnote w:id="47">
    <w:p w:rsidR="00B41935" w:rsidRPr="001A754F" w:rsidRDefault="00B41935" w:rsidP="00996E94">
      <w:pPr>
        <w:pStyle w:val="FootnoteText"/>
        <w:rPr>
          <w:sz w:val="16"/>
          <w:szCs w:val="16"/>
          <w:lang w:val="es-ES_tradnl"/>
        </w:rPr>
      </w:pPr>
      <w:r w:rsidRPr="00C4265D">
        <w:rPr>
          <w:rStyle w:val="FootnoteReference"/>
        </w:rPr>
        <w:footnoteRef/>
      </w:r>
      <w:r w:rsidRPr="001A754F">
        <w:rPr>
          <w:sz w:val="16"/>
          <w:szCs w:val="16"/>
        </w:rPr>
        <w:t xml:space="preserve"> </w:t>
      </w:r>
      <w:r w:rsidRPr="001A754F">
        <w:rPr>
          <w:sz w:val="16"/>
          <w:szCs w:val="16"/>
          <w:lang w:val="es-ES_tradnl"/>
        </w:rPr>
        <w:tab/>
      </w:r>
      <w:r w:rsidRPr="00E45739">
        <w:rPr>
          <w:sz w:val="16"/>
          <w:szCs w:val="16"/>
        </w:rPr>
        <w:t xml:space="preserve">Comisión de la Verdad y Reconciliación, </w:t>
      </w:r>
      <w:r w:rsidRPr="00E45739">
        <w:rPr>
          <w:iCs/>
          <w:sz w:val="16"/>
          <w:szCs w:val="16"/>
        </w:rPr>
        <w:t>Informe Final</w:t>
      </w:r>
      <w:r w:rsidRPr="00E45739">
        <w:rPr>
          <w:rFonts w:cs="Arial"/>
          <w:color w:val="000000"/>
          <w:sz w:val="16"/>
          <w:szCs w:val="16"/>
          <w:lang w:val="es-ES"/>
        </w:rPr>
        <w:t>, 2003,</w:t>
      </w:r>
      <w:r>
        <w:rPr>
          <w:sz w:val="16"/>
          <w:szCs w:val="16"/>
          <w:lang w:val="es-ES"/>
        </w:rPr>
        <w:t xml:space="preserve"> Tomo V</w:t>
      </w:r>
      <w:r w:rsidRPr="00E45739">
        <w:rPr>
          <w:sz w:val="16"/>
          <w:szCs w:val="16"/>
          <w:lang w:val="es-ES"/>
        </w:rPr>
        <w:t xml:space="preserve">, </w:t>
      </w:r>
      <w:r w:rsidRPr="00E45739">
        <w:rPr>
          <w:i/>
          <w:sz w:val="16"/>
          <w:szCs w:val="16"/>
          <w:lang w:val="es-ES"/>
        </w:rPr>
        <w:t xml:space="preserve">Capítulo </w:t>
      </w:r>
      <w:r>
        <w:rPr>
          <w:i/>
          <w:sz w:val="16"/>
          <w:szCs w:val="16"/>
          <w:lang w:val="es-ES"/>
        </w:rPr>
        <w:t>2.21</w:t>
      </w:r>
      <w:r>
        <w:rPr>
          <w:rFonts w:cs="Arial"/>
          <w:i/>
          <w:sz w:val="16"/>
          <w:szCs w:val="16"/>
          <w:lang w:val="es-ES"/>
        </w:rPr>
        <w:t>.</w:t>
      </w:r>
      <w:r w:rsidRPr="00E45739">
        <w:rPr>
          <w:rFonts w:cs="Arial"/>
          <w:i/>
          <w:sz w:val="16"/>
          <w:szCs w:val="16"/>
          <w:lang w:val="es-ES"/>
        </w:rPr>
        <w:t xml:space="preserve"> </w:t>
      </w:r>
      <w:r>
        <w:rPr>
          <w:rFonts w:cs="Arial"/>
          <w:i/>
          <w:sz w:val="16"/>
          <w:szCs w:val="16"/>
          <w:lang w:val="es-ES"/>
        </w:rPr>
        <w:t>La Universidad Nacional del Centro</w:t>
      </w:r>
      <w:r w:rsidRPr="00D502CE">
        <w:rPr>
          <w:rFonts w:cs="Arial"/>
          <w:sz w:val="16"/>
          <w:szCs w:val="16"/>
          <w:lang w:val="es-ES"/>
        </w:rPr>
        <w:t xml:space="preserve">, pág. </w:t>
      </w:r>
      <w:r>
        <w:rPr>
          <w:rFonts w:cs="Arial"/>
          <w:sz w:val="16"/>
          <w:szCs w:val="16"/>
          <w:lang w:val="es-ES"/>
        </w:rPr>
        <w:t>685</w:t>
      </w:r>
      <w:r w:rsidRPr="00D502CE">
        <w:rPr>
          <w:rFonts w:cs="Arial"/>
          <w:sz w:val="16"/>
          <w:szCs w:val="16"/>
          <w:lang w:val="es-ES"/>
        </w:rPr>
        <w:t>, disponible e</w:t>
      </w:r>
      <w:r>
        <w:rPr>
          <w:rFonts w:cs="Arial"/>
          <w:sz w:val="16"/>
          <w:szCs w:val="16"/>
          <w:lang w:val="es-ES"/>
        </w:rPr>
        <w:t xml:space="preserve">n: </w:t>
      </w:r>
      <w:r w:rsidRPr="00064B44">
        <w:rPr>
          <w:rFonts w:cs="Arial"/>
          <w:sz w:val="16"/>
          <w:szCs w:val="16"/>
          <w:lang w:val="es-ES"/>
        </w:rPr>
        <w:t>http://www.cverdad.org.pe/ifinal/index.php</w:t>
      </w:r>
    </w:p>
  </w:footnote>
  <w:footnote w:id="48">
    <w:p w:rsidR="00B41935" w:rsidRPr="001A754F" w:rsidRDefault="00B41935" w:rsidP="00996E94">
      <w:pPr>
        <w:pStyle w:val="FootnoteText"/>
        <w:rPr>
          <w:lang w:val="es-ES_tradnl"/>
        </w:rPr>
      </w:pPr>
      <w:r w:rsidRPr="00C4265D">
        <w:rPr>
          <w:rStyle w:val="FootnoteReference"/>
        </w:rPr>
        <w:footnoteRef/>
      </w:r>
      <w:r w:rsidRPr="001A754F">
        <w:rPr>
          <w:sz w:val="16"/>
          <w:szCs w:val="16"/>
        </w:rPr>
        <w:t xml:space="preserve"> </w:t>
      </w:r>
      <w:r w:rsidRPr="001A754F">
        <w:rPr>
          <w:sz w:val="16"/>
          <w:szCs w:val="16"/>
        </w:rPr>
        <w:tab/>
      </w:r>
      <w:r w:rsidRPr="00E45739">
        <w:rPr>
          <w:sz w:val="16"/>
          <w:szCs w:val="16"/>
        </w:rPr>
        <w:t xml:space="preserve">Comisión de la Verdad y Reconciliación, </w:t>
      </w:r>
      <w:r w:rsidRPr="00E45739">
        <w:rPr>
          <w:iCs/>
          <w:sz w:val="16"/>
          <w:szCs w:val="16"/>
        </w:rPr>
        <w:t>Informe Final</w:t>
      </w:r>
      <w:r w:rsidRPr="00E45739">
        <w:rPr>
          <w:rFonts w:cs="Arial"/>
          <w:color w:val="000000"/>
          <w:sz w:val="16"/>
          <w:szCs w:val="16"/>
          <w:lang w:val="es-ES"/>
        </w:rPr>
        <w:t>, 2003,</w:t>
      </w:r>
      <w:r>
        <w:rPr>
          <w:sz w:val="16"/>
          <w:szCs w:val="16"/>
          <w:lang w:val="es-ES"/>
        </w:rPr>
        <w:t xml:space="preserve"> </w:t>
      </w:r>
      <w:r w:rsidRPr="008345CA">
        <w:rPr>
          <w:rFonts w:cs="Arial"/>
          <w:i/>
          <w:color w:val="000000"/>
          <w:sz w:val="16"/>
          <w:szCs w:val="16"/>
          <w:lang w:val="es-ES"/>
        </w:rPr>
        <w:t>supra</w:t>
      </w:r>
      <w:r w:rsidRPr="00D502CE">
        <w:rPr>
          <w:rFonts w:cs="Arial"/>
          <w:sz w:val="16"/>
          <w:szCs w:val="16"/>
          <w:lang w:val="es-ES"/>
        </w:rPr>
        <w:t xml:space="preserve">, pág. </w:t>
      </w:r>
      <w:r>
        <w:rPr>
          <w:rFonts w:cs="Arial"/>
          <w:sz w:val="16"/>
          <w:szCs w:val="16"/>
          <w:lang w:val="es-ES"/>
        </w:rPr>
        <w:t>682</w:t>
      </w:r>
      <w:r w:rsidRPr="00D502CE">
        <w:rPr>
          <w:rFonts w:cs="Arial"/>
          <w:sz w:val="16"/>
          <w:szCs w:val="16"/>
          <w:lang w:val="es-ES"/>
        </w:rPr>
        <w:t xml:space="preserve">, </w:t>
      </w:r>
    </w:p>
  </w:footnote>
  <w:footnote w:id="49">
    <w:p w:rsidR="00B41935" w:rsidRPr="00F10686" w:rsidRDefault="00B41935" w:rsidP="00257982">
      <w:pPr>
        <w:pStyle w:val="FootnoteText"/>
        <w:rPr>
          <w:sz w:val="16"/>
          <w:szCs w:val="16"/>
          <w:lang w:val="es-CR"/>
        </w:rPr>
      </w:pPr>
      <w:r w:rsidRPr="00CC214C">
        <w:rPr>
          <w:rStyle w:val="FootnoteReference"/>
        </w:rPr>
        <w:footnoteRef/>
      </w:r>
      <w:r w:rsidRPr="00CC214C">
        <w:rPr>
          <w:sz w:val="16"/>
          <w:szCs w:val="16"/>
        </w:rPr>
        <w:t xml:space="preserve"> </w:t>
      </w:r>
      <w:r>
        <w:rPr>
          <w:sz w:val="16"/>
          <w:szCs w:val="16"/>
        </w:rPr>
        <w:tab/>
      </w:r>
      <w:r w:rsidRPr="00E45739">
        <w:rPr>
          <w:sz w:val="16"/>
          <w:szCs w:val="16"/>
        </w:rPr>
        <w:t xml:space="preserve">Comisión de la Verdad y Reconciliación, </w:t>
      </w:r>
      <w:r w:rsidRPr="00E45739">
        <w:rPr>
          <w:iCs/>
          <w:sz w:val="16"/>
          <w:szCs w:val="16"/>
        </w:rPr>
        <w:t>Informe Final</w:t>
      </w:r>
      <w:r w:rsidRPr="00E45739">
        <w:rPr>
          <w:rFonts w:cs="Arial"/>
          <w:color w:val="000000"/>
          <w:sz w:val="16"/>
          <w:szCs w:val="16"/>
          <w:lang w:val="es-ES"/>
        </w:rPr>
        <w:t>, 2003,</w:t>
      </w:r>
      <w:r>
        <w:rPr>
          <w:sz w:val="16"/>
          <w:szCs w:val="16"/>
          <w:lang w:val="es-ES"/>
        </w:rPr>
        <w:t xml:space="preserve"> </w:t>
      </w:r>
      <w:r w:rsidRPr="008345CA">
        <w:rPr>
          <w:rFonts w:cs="Arial"/>
          <w:i/>
          <w:color w:val="000000"/>
          <w:sz w:val="16"/>
          <w:szCs w:val="16"/>
          <w:lang w:val="es-ES"/>
        </w:rPr>
        <w:t>supra</w:t>
      </w:r>
      <w:r w:rsidRPr="00D502CE">
        <w:rPr>
          <w:rFonts w:cs="Arial"/>
          <w:sz w:val="16"/>
          <w:szCs w:val="16"/>
          <w:lang w:val="es-ES"/>
        </w:rPr>
        <w:t>, pág</w:t>
      </w:r>
      <w:r>
        <w:rPr>
          <w:rFonts w:cs="Arial"/>
          <w:sz w:val="16"/>
          <w:szCs w:val="16"/>
          <w:lang w:val="es-ES"/>
        </w:rPr>
        <w:t>s</w:t>
      </w:r>
      <w:r w:rsidRPr="00D502CE">
        <w:rPr>
          <w:rFonts w:cs="Arial"/>
          <w:sz w:val="16"/>
          <w:szCs w:val="16"/>
          <w:lang w:val="es-ES"/>
        </w:rPr>
        <w:t xml:space="preserve">. </w:t>
      </w:r>
      <w:r>
        <w:rPr>
          <w:rFonts w:cs="Arial"/>
          <w:sz w:val="16"/>
          <w:szCs w:val="16"/>
          <w:lang w:val="es-ES"/>
        </w:rPr>
        <w:t>687 a 688.</w:t>
      </w:r>
      <w:r w:rsidRPr="00D502CE">
        <w:rPr>
          <w:rFonts w:cs="Arial"/>
          <w:sz w:val="16"/>
          <w:szCs w:val="16"/>
          <w:lang w:val="es-ES"/>
        </w:rPr>
        <w:t xml:space="preserve"> </w:t>
      </w:r>
    </w:p>
  </w:footnote>
  <w:footnote w:id="50">
    <w:p w:rsidR="00B41935" w:rsidRPr="00552A48" w:rsidRDefault="00B41935" w:rsidP="00257982">
      <w:pPr>
        <w:pStyle w:val="FootnoteText"/>
        <w:rPr>
          <w:sz w:val="16"/>
          <w:szCs w:val="16"/>
          <w:lang w:val="es-CR"/>
        </w:rPr>
      </w:pPr>
      <w:r w:rsidRPr="00A946A0">
        <w:rPr>
          <w:rStyle w:val="FootnoteReference"/>
        </w:rPr>
        <w:footnoteRef/>
      </w:r>
      <w:r w:rsidRPr="00A946A0">
        <w:rPr>
          <w:sz w:val="16"/>
          <w:szCs w:val="16"/>
        </w:rPr>
        <w:t xml:space="preserve"> </w:t>
      </w:r>
      <w:r w:rsidRPr="00A946A0">
        <w:rPr>
          <w:sz w:val="16"/>
          <w:szCs w:val="16"/>
        </w:rPr>
        <w:tab/>
        <w:t>RENIEC, Informe de Consulta de Wilfredo Terrones Silva (expediente de prueba, anexo 17 al ESAP, f. 4114).</w:t>
      </w:r>
    </w:p>
  </w:footnote>
  <w:footnote w:id="51">
    <w:p w:rsidR="00B41935" w:rsidRPr="00552A48" w:rsidRDefault="00B41935" w:rsidP="00257982">
      <w:pPr>
        <w:pStyle w:val="FootnoteText"/>
        <w:rPr>
          <w:sz w:val="16"/>
          <w:szCs w:val="16"/>
          <w:highlight w:val="yellow"/>
        </w:rPr>
      </w:pPr>
      <w:r w:rsidRPr="00A946A0">
        <w:rPr>
          <w:rStyle w:val="FootnoteReference"/>
        </w:rPr>
        <w:footnoteRef/>
      </w:r>
      <w:r w:rsidRPr="00A946A0">
        <w:rPr>
          <w:sz w:val="16"/>
          <w:szCs w:val="16"/>
        </w:rPr>
        <w:t xml:space="preserve"> </w:t>
      </w:r>
      <w:r w:rsidRPr="00A946A0">
        <w:rPr>
          <w:sz w:val="16"/>
          <w:szCs w:val="16"/>
        </w:rPr>
        <w:tab/>
        <w:t>La Comisión no incluyó a Wilfredo Terrones Landázuri como presunta víctima (</w:t>
      </w:r>
      <w:r w:rsidRPr="00A946A0">
        <w:rPr>
          <w:i/>
          <w:sz w:val="16"/>
          <w:szCs w:val="16"/>
        </w:rPr>
        <w:t>supra</w:t>
      </w:r>
      <w:r w:rsidRPr="00A946A0">
        <w:rPr>
          <w:sz w:val="16"/>
          <w:szCs w:val="16"/>
        </w:rPr>
        <w:t xml:space="preserve"> nota</w:t>
      </w:r>
      <w:r w:rsidR="00145CCA">
        <w:rPr>
          <w:sz w:val="16"/>
          <w:szCs w:val="16"/>
        </w:rPr>
        <w:t xml:space="preserve"> de </w:t>
      </w:r>
      <w:r w:rsidRPr="00A946A0">
        <w:rPr>
          <w:sz w:val="16"/>
          <w:szCs w:val="16"/>
        </w:rPr>
        <w:t xml:space="preserve"> pie de página  1).</w:t>
      </w:r>
    </w:p>
  </w:footnote>
  <w:footnote w:id="52">
    <w:p w:rsidR="00B41935" w:rsidRPr="00552A48" w:rsidRDefault="00B41935" w:rsidP="00257982">
      <w:pPr>
        <w:pStyle w:val="FootnoteText"/>
        <w:rPr>
          <w:sz w:val="16"/>
          <w:szCs w:val="16"/>
          <w:lang w:val="es-CR"/>
        </w:rPr>
      </w:pPr>
      <w:r w:rsidRPr="00CC214C">
        <w:rPr>
          <w:rStyle w:val="FootnoteReference"/>
        </w:rPr>
        <w:footnoteRef/>
      </w:r>
      <w:r w:rsidRPr="00CC214C">
        <w:rPr>
          <w:sz w:val="16"/>
          <w:szCs w:val="16"/>
        </w:rPr>
        <w:t xml:space="preserve"> </w:t>
      </w:r>
      <w:r w:rsidRPr="00CC214C">
        <w:rPr>
          <w:sz w:val="16"/>
          <w:szCs w:val="16"/>
        </w:rPr>
        <w:tab/>
        <w:t>Comunicación de los peticionarios de 15 de agosto de 2011 (expediente de prueba, anexo 1 al Informe de Fondo, fs. 6 a 14</w:t>
      </w:r>
      <w:r>
        <w:rPr>
          <w:sz w:val="16"/>
          <w:szCs w:val="16"/>
        </w:rPr>
        <w:t>)</w:t>
      </w:r>
      <w:r w:rsidRPr="00CC214C">
        <w:rPr>
          <w:sz w:val="16"/>
          <w:szCs w:val="16"/>
        </w:rPr>
        <w:t>.</w:t>
      </w:r>
    </w:p>
  </w:footnote>
  <w:footnote w:id="53">
    <w:p w:rsidR="00B41935" w:rsidRPr="00257982" w:rsidRDefault="00B41935" w:rsidP="00257982">
      <w:pPr>
        <w:pStyle w:val="FootnoteText"/>
        <w:rPr>
          <w:sz w:val="16"/>
          <w:szCs w:val="16"/>
          <w:lang w:val="es-CR"/>
        </w:rPr>
      </w:pPr>
      <w:r w:rsidRPr="00CC214C">
        <w:rPr>
          <w:rStyle w:val="FootnoteReference"/>
        </w:rPr>
        <w:footnoteRef/>
      </w:r>
      <w:r w:rsidRPr="00CC214C">
        <w:rPr>
          <w:sz w:val="16"/>
          <w:szCs w:val="16"/>
        </w:rPr>
        <w:t xml:space="preserve"> </w:t>
      </w:r>
      <w:r w:rsidRPr="00CC214C">
        <w:rPr>
          <w:sz w:val="16"/>
          <w:szCs w:val="16"/>
        </w:rPr>
        <w:tab/>
        <w:t>Declaración indagatoria de Wilfredo Ricardo Terrones Landázuri el 26 de enero de 2018</w:t>
      </w:r>
      <w:r w:rsidRPr="00552A48">
        <w:rPr>
          <w:sz w:val="16"/>
          <w:szCs w:val="16"/>
        </w:rPr>
        <w:t xml:space="preserve"> ante la Segunda Fiscalía Penal Supraprovincial (expediente de prueba, anexo 6 a los alega</w:t>
      </w:r>
      <w:r>
        <w:rPr>
          <w:sz w:val="16"/>
          <w:szCs w:val="16"/>
        </w:rPr>
        <w:t>tos finales del Estado, fs. 5355 a 5358</w:t>
      </w:r>
      <w:r w:rsidRPr="00552A48">
        <w:rPr>
          <w:sz w:val="16"/>
          <w:szCs w:val="16"/>
        </w:rPr>
        <w:t>)</w:t>
      </w:r>
      <w:r>
        <w:rPr>
          <w:sz w:val="16"/>
          <w:szCs w:val="16"/>
        </w:rPr>
        <w:t xml:space="preserve">. </w:t>
      </w:r>
      <w:r w:rsidRPr="00F55D26">
        <w:rPr>
          <w:sz w:val="16"/>
          <w:szCs w:val="16"/>
          <w:lang w:val="es-CR"/>
        </w:rPr>
        <w:t xml:space="preserve">Wilfredo Terrones Landázuri declaró que </w:t>
      </w:r>
      <w:r>
        <w:rPr>
          <w:sz w:val="16"/>
          <w:szCs w:val="16"/>
          <w:lang w:val="es-CR"/>
        </w:rPr>
        <w:t xml:space="preserve">su padre ”patrocinaba a personas procesadas por delitos de terrorismo, incluso era su abogado” </w:t>
      </w:r>
      <w:r w:rsidRPr="00F55D26">
        <w:rPr>
          <w:sz w:val="16"/>
          <w:szCs w:val="16"/>
          <w:lang w:val="es-CR"/>
        </w:rPr>
        <w:t>se enteró de la desaparición de su padre “[a] fines de agosto del año 1992 cuando [se] encontraba interno en el Penal Castro Castro, cuando el delegado del Pabellón de nombre CBT [le] dijo que lo habían desaparecido, que un supuesto colega de [su] padre de nombre JPQ el 26 de agosto del 1992 lo hizo venir inmediatamente al Penal Castro Castro, donde [él se] encontraba recluido, indicándole que había un motín, razón por la que [su] padre alarmado acudió inmediatamente al Penal, y es así que en la puerta del Penal personas no identificadas lo secuestraron porque desde ese día no se supo más de él. Qui[zo] precisar que dicho día no hubo ningún motín ni ningún ti</w:t>
      </w:r>
      <w:r>
        <w:rPr>
          <w:sz w:val="16"/>
          <w:szCs w:val="16"/>
          <w:lang w:val="es-CR"/>
        </w:rPr>
        <w:t xml:space="preserve">po de incidente, simplemente […] </w:t>
      </w:r>
      <w:r w:rsidRPr="00F55D26">
        <w:rPr>
          <w:sz w:val="16"/>
          <w:szCs w:val="16"/>
          <w:lang w:val="es-CR"/>
        </w:rPr>
        <w:t xml:space="preserve">hicieron venir a [su] padre para hacerlo desaparecer. Además [su] madre [le] contó que durante sus averiguaciones en esa época le habían dicho las personas que vendían flores en los alrededores del Penal Castro Castro que habían visto llegar a su padre y cruzar la tranquera de ingreso del Penal, pero no lo vieron </w:t>
      </w:r>
      <w:r w:rsidRPr="004D4F62">
        <w:rPr>
          <w:sz w:val="16"/>
          <w:szCs w:val="16"/>
          <w:lang w:val="es-CR"/>
        </w:rPr>
        <w:t>salir</w:t>
      </w:r>
      <w:r w:rsidRPr="00563397">
        <w:rPr>
          <w:sz w:val="16"/>
          <w:szCs w:val="16"/>
          <w:lang w:val="es-CR"/>
        </w:rPr>
        <w:t>”. En sentido similar declaró ante la Corte en la audiencia pública celebrada en marzo de 2018.</w:t>
      </w:r>
      <w:r>
        <w:rPr>
          <w:sz w:val="16"/>
          <w:szCs w:val="16"/>
          <w:lang w:val="es-CR"/>
        </w:rPr>
        <w:t xml:space="preserve"> </w:t>
      </w:r>
    </w:p>
  </w:footnote>
  <w:footnote w:id="54">
    <w:p w:rsidR="00B41935" w:rsidRPr="00257982" w:rsidRDefault="00B41935" w:rsidP="00257982">
      <w:pPr>
        <w:pStyle w:val="FootnoteText"/>
        <w:rPr>
          <w:sz w:val="16"/>
          <w:szCs w:val="16"/>
        </w:rPr>
      </w:pPr>
      <w:r w:rsidRPr="00CC214C">
        <w:rPr>
          <w:rStyle w:val="FootnoteReference"/>
        </w:rPr>
        <w:footnoteRef/>
      </w:r>
      <w:r w:rsidRPr="00257982">
        <w:rPr>
          <w:sz w:val="16"/>
          <w:szCs w:val="16"/>
        </w:rPr>
        <w:t xml:space="preserve"> </w:t>
      </w:r>
      <w:r w:rsidRPr="00257982">
        <w:rPr>
          <w:sz w:val="16"/>
          <w:szCs w:val="16"/>
        </w:rPr>
        <w:tab/>
      </w:r>
      <w:r w:rsidRPr="00CC214C">
        <w:rPr>
          <w:sz w:val="16"/>
          <w:szCs w:val="16"/>
        </w:rPr>
        <w:t>Nota N° 7-5-M/093 de 19 de marzo de 1993 (expediente de prueba, anexo 3 al Informe de Fondo, fs. 22 y 23).</w:t>
      </w:r>
    </w:p>
  </w:footnote>
  <w:footnote w:id="55">
    <w:p w:rsidR="00B41935" w:rsidRPr="00257982" w:rsidRDefault="00B41935" w:rsidP="00257982">
      <w:pPr>
        <w:pStyle w:val="FootnoteText"/>
        <w:rPr>
          <w:sz w:val="16"/>
          <w:szCs w:val="16"/>
        </w:rPr>
      </w:pPr>
      <w:r w:rsidRPr="00CC214C">
        <w:rPr>
          <w:rStyle w:val="FootnoteReference"/>
        </w:rPr>
        <w:footnoteRef/>
      </w:r>
      <w:r w:rsidRPr="00257982">
        <w:rPr>
          <w:sz w:val="16"/>
          <w:szCs w:val="16"/>
        </w:rPr>
        <w:t xml:space="preserve"> </w:t>
      </w:r>
      <w:r w:rsidRPr="00257982">
        <w:rPr>
          <w:sz w:val="16"/>
          <w:szCs w:val="16"/>
        </w:rPr>
        <w:tab/>
      </w:r>
      <w:r w:rsidRPr="00CC214C">
        <w:rPr>
          <w:sz w:val="16"/>
          <w:szCs w:val="16"/>
        </w:rPr>
        <w:t>Nota N° 7-5-M/125 de 12 de abril de 1993 (expediente de prueba, anexo 4 al Informe de Fondo, fs. 25 y 26).</w:t>
      </w:r>
    </w:p>
  </w:footnote>
  <w:footnote w:id="56">
    <w:p w:rsidR="00B41935" w:rsidRPr="00257982" w:rsidRDefault="00B41935" w:rsidP="00423D76">
      <w:pPr>
        <w:pStyle w:val="FootnoteText"/>
        <w:rPr>
          <w:sz w:val="16"/>
          <w:szCs w:val="16"/>
        </w:rPr>
      </w:pPr>
      <w:r w:rsidRPr="00CC214C">
        <w:rPr>
          <w:rStyle w:val="FootnoteReference"/>
        </w:rPr>
        <w:footnoteRef/>
      </w:r>
      <w:r w:rsidRPr="00257982">
        <w:rPr>
          <w:sz w:val="16"/>
          <w:szCs w:val="16"/>
        </w:rPr>
        <w:t xml:space="preserve"> </w:t>
      </w:r>
      <w:r w:rsidRPr="00257982">
        <w:rPr>
          <w:sz w:val="16"/>
          <w:szCs w:val="16"/>
        </w:rPr>
        <w:tab/>
      </w:r>
      <w:r w:rsidRPr="00050CC4">
        <w:rPr>
          <w:sz w:val="16"/>
          <w:szCs w:val="16"/>
        </w:rPr>
        <w:t xml:space="preserve">Comisión de la Verdad </w:t>
      </w:r>
      <w:r w:rsidRPr="00EE0D82">
        <w:rPr>
          <w:sz w:val="16"/>
          <w:szCs w:val="16"/>
        </w:rPr>
        <w:t xml:space="preserve">y Reconciliación, Informe Final, 2003, </w:t>
      </w:r>
      <w:r w:rsidRPr="00EE0D82">
        <w:rPr>
          <w:i/>
          <w:sz w:val="16"/>
          <w:szCs w:val="16"/>
        </w:rPr>
        <w:t>Nómina de Personas Muertas y Desaparecidas Reportadas a la Comisión de la Verdad y Reconciliación 1980-2000</w:t>
      </w:r>
      <w:r w:rsidRPr="00050CC4">
        <w:rPr>
          <w:rFonts w:cs="Arial"/>
          <w:sz w:val="16"/>
          <w:szCs w:val="16"/>
          <w:lang w:val="es-ES"/>
        </w:rPr>
        <w:t xml:space="preserve">, pág. 408, disponible en: </w:t>
      </w:r>
      <w:hyperlink r:id="rId6" w:history="1">
        <w:r w:rsidRPr="00376F96">
          <w:rPr>
            <w:rStyle w:val="Hyperlink"/>
            <w:rFonts w:cs="Arial"/>
            <w:sz w:val="16"/>
            <w:szCs w:val="16"/>
            <w:lang w:val="es-ES"/>
          </w:rPr>
          <w:t>http://www.cverdad.org.pe/ifinal/pdf/Tomo%20-%20ANEXOS/PDFSAnexo4/ListaMuertosyDesaparecidos.pdf</w:t>
        </w:r>
      </w:hyperlink>
      <w:r>
        <w:rPr>
          <w:rFonts w:cs="Arial"/>
          <w:sz w:val="16"/>
          <w:szCs w:val="16"/>
          <w:lang w:val="es-ES"/>
        </w:rPr>
        <w:t xml:space="preserve"> </w:t>
      </w:r>
    </w:p>
  </w:footnote>
  <w:footnote w:id="57">
    <w:p w:rsidR="00B41935" w:rsidRPr="003912B5" w:rsidRDefault="00B41935" w:rsidP="00257982">
      <w:pPr>
        <w:pStyle w:val="FootnoteText"/>
        <w:rPr>
          <w:sz w:val="16"/>
          <w:szCs w:val="16"/>
        </w:rPr>
      </w:pPr>
      <w:r w:rsidRPr="00CC214C">
        <w:rPr>
          <w:rStyle w:val="FootnoteReference"/>
        </w:rPr>
        <w:footnoteRef/>
      </w:r>
      <w:r w:rsidRPr="00257982">
        <w:rPr>
          <w:sz w:val="16"/>
          <w:szCs w:val="16"/>
        </w:rPr>
        <w:t xml:space="preserve"> </w:t>
      </w:r>
      <w:r w:rsidRPr="00257982">
        <w:rPr>
          <w:sz w:val="16"/>
          <w:szCs w:val="16"/>
        </w:rPr>
        <w:tab/>
      </w:r>
      <w:r>
        <w:rPr>
          <w:sz w:val="16"/>
          <w:szCs w:val="16"/>
        </w:rPr>
        <w:t xml:space="preserve">Dichas denuncias no aparecen en la prueba aportada por las partes ni la Comisión. Por su parte, el Estado no controvirtió su existencia. </w:t>
      </w:r>
      <w:r w:rsidRPr="00CC214C">
        <w:rPr>
          <w:sz w:val="16"/>
          <w:szCs w:val="16"/>
        </w:rPr>
        <w:t>Comunicación de los peticio</w:t>
      </w:r>
      <w:r>
        <w:rPr>
          <w:sz w:val="16"/>
          <w:szCs w:val="16"/>
        </w:rPr>
        <w:t>narios del 15 de agosto de 2011, y</w:t>
      </w:r>
      <w:r w:rsidRPr="00CC214C">
        <w:rPr>
          <w:sz w:val="16"/>
          <w:szCs w:val="16"/>
        </w:rPr>
        <w:t xml:space="preserve"> el 28 de agosto de 1992 se envió una carta al Colegio de Lima, del cual formaba parte (expediente de prueba, anexo 1 al Inf</w:t>
      </w:r>
      <w:r>
        <w:rPr>
          <w:sz w:val="16"/>
          <w:szCs w:val="16"/>
        </w:rPr>
        <w:t>orme de Fondo, fs. 6 a 14</w:t>
      </w:r>
      <w:r w:rsidRPr="00CC214C">
        <w:rPr>
          <w:sz w:val="16"/>
          <w:szCs w:val="16"/>
        </w:rPr>
        <w:t>)</w:t>
      </w:r>
      <w:r>
        <w:rPr>
          <w:rFonts w:cs="Arial"/>
          <w:color w:val="222222"/>
          <w:sz w:val="16"/>
          <w:szCs w:val="16"/>
          <w:shd w:val="clear" w:color="auto" w:fill="FFFFFF"/>
          <w:lang w:val="es-CR"/>
        </w:rPr>
        <w:t xml:space="preserve">. </w:t>
      </w:r>
      <w:r w:rsidRPr="00CC214C">
        <w:rPr>
          <w:rFonts w:cs="Arial"/>
          <w:color w:val="222222"/>
          <w:sz w:val="16"/>
          <w:szCs w:val="16"/>
          <w:shd w:val="clear" w:color="auto" w:fill="FFFFFF"/>
          <w:lang w:val="es-CR"/>
        </w:rPr>
        <w:t>El 17 de septiembre de 1992 los representantes presentaron el caso de Wilfredo Terrones Silva ante el Grupo de Trabajo sobre Desapariciones Forzadas o Involuntarias de NN. UU., solicitando a dicho organismo que reali</w:t>
      </w:r>
      <w:r w:rsidRPr="00552A48">
        <w:rPr>
          <w:rFonts w:cs="Arial"/>
          <w:color w:val="222222"/>
          <w:sz w:val="16"/>
          <w:szCs w:val="16"/>
          <w:shd w:val="clear" w:color="auto" w:fill="FFFFFF"/>
          <w:lang w:val="es-CR"/>
        </w:rPr>
        <w:t xml:space="preserve">ce averiguaciones urgentes al gobierno Peruano sobre la </w:t>
      </w:r>
      <w:r w:rsidRPr="00563483">
        <w:rPr>
          <w:rFonts w:cs="Arial"/>
          <w:color w:val="222222"/>
          <w:sz w:val="16"/>
          <w:szCs w:val="16"/>
          <w:shd w:val="clear" w:color="auto" w:fill="FFFFFF"/>
          <w:lang w:val="es-CR"/>
        </w:rPr>
        <w:t>situación de la presunta víctima. En la comunicación</w:t>
      </w:r>
      <w:r w:rsidRPr="00563483">
        <w:rPr>
          <w:sz w:val="16"/>
          <w:szCs w:val="16"/>
        </w:rPr>
        <w:t xml:space="preserve"> señalaron que el señor Terrones Silva “salió de su casa en horas de la mañana a su oficina, habiendo atendido a varias personas. Según el testimonio de una cliente el agraviado la atendió en su oficina a las 3 de la tarde, habiéndolo dejado con otras personas que esperaban ser atendidos”.</w:t>
      </w:r>
      <w:r w:rsidRPr="000D0383">
        <w:rPr>
          <w:sz w:val="16"/>
          <w:szCs w:val="16"/>
        </w:rPr>
        <w:t xml:space="preserve"> </w:t>
      </w:r>
      <w:r w:rsidRPr="00D83377">
        <w:rPr>
          <w:sz w:val="16"/>
          <w:szCs w:val="16"/>
        </w:rPr>
        <w:t>(Comunicación remitida por los peticionarios al Grupo de Trabajo sobre Desapariciones Forzadas o Involuntarias de las Naciones Unidas de 17 de septiembre de 1992 (expedie</w:t>
      </w:r>
      <w:r w:rsidRPr="003912B5">
        <w:rPr>
          <w:sz w:val="16"/>
          <w:szCs w:val="16"/>
        </w:rPr>
        <w:t xml:space="preserve">nte </w:t>
      </w:r>
      <w:r>
        <w:rPr>
          <w:sz w:val="16"/>
          <w:szCs w:val="16"/>
        </w:rPr>
        <w:t>de prueba, anexo 18 al ESAP, fs.</w:t>
      </w:r>
      <w:r w:rsidRPr="003912B5">
        <w:rPr>
          <w:sz w:val="16"/>
          <w:szCs w:val="16"/>
        </w:rPr>
        <w:t xml:space="preserve"> 4117 y 4118).</w:t>
      </w:r>
    </w:p>
  </w:footnote>
  <w:footnote w:id="58">
    <w:p w:rsidR="00B41935" w:rsidRPr="00257982" w:rsidRDefault="00B41935" w:rsidP="00257982">
      <w:pPr>
        <w:pStyle w:val="FootnoteText"/>
        <w:rPr>
          <w:sz w:val="16"/>
          <w:szCs w:val="16"/>
          <w:lang w:val="es-CR"/>
        </w:rPr>
      </w:pPr>
      <w:r w:rsidRPr="00CC214C">
        <w:rPr>
          <w:rStyle w:val="FootnoteReference"/>
        </w:rPr>
        <w:footnoteRef/>
      </w:r>
      <w:r>
        <w:rPr>
          <w:sz w:val="16"/>
          <w:szCs w:val="16"/>
        </w:rPr>
        <w:t xml:space="preserve"> </w:t>
      </w:r>
      <w:r>
        <w:rPr>
          <w:sz w:val="16"/>
          <w:szCs w:val="16"/>
        </w:rPr>
        <w:tab/>
      </w:r>
      <w:r w:rsidRPr="00CC214C">
        <w:rPr>
          <w:sz w:val="16"/>
          <w:szCs w:val="16"/>
        </w:rPr>
        <w:t xml:space="preserve">Parte </w:t>
      </w:r>
      <w:r>
        <w:rPr>
          <w:sz w:val="16"/>
          <w:szCs w:val="16"/>
        </w:rPr>
        <w:t xml:space="preserve">N° </w:t>
      </w:r>
      <w:r w:rsidRPr="00CC214C">
        <w:rPr>
          <w:sz w:val="16"/>
          <w:szCs w:val="16"/>
        </w:rPr>
        <w:t>474- IE-DIDCOF investigaciones efectuadas con relación a la desaparición del Abogado Wilfredo Terrones Silva de 5 de noviembre de 1992 (expediente de pr</w:t>
      </w:r>
      <w:r w:rsidRPr="00552A48">
        <w:rPr>
          <w:sz w:val="16"/>
          <w:szCs w:val="16"/>
        </w:rPr>
        <w:t xml:space="preserve">ueba, al Informe de Fondo, fs. 51 a 52). A su vez en el informe </w:t>
      </w:r>
      <w:r w:rsidRPr="00CC214C">
        <w:rPr>
          <w:sz w:val="16"/>
          <w:szCs w:val="16"/>
        </w:rPr>
        <w:t xml:space="preserve">N° </w:t>
      </w:r>
      <w:r w:rsidRPr="00552A48">
        <w:rPr>
          <w:sz w:val="16"/>
          <w:szCs w:val="16"/>
        </w:rPr>
        <w:t>18- DC-DAU-SIDF, Informe sobre Desaparición del Dr. Wilfredo Terrones Silva de 23 de octubre de 1992 se indicó que “</w:t>
      </w:r>
      <w:r>
        <w:rPr>
          <w:sz w:val="16"/>
          <w:szCs w:val="16"/>
        </w:rPr>
        <w:t>[</w:t>
      </w:r>
      <w:r w:rsidRPr="00552A48">
        <w:rPr>
          <w:sz w:val="16"/>
          <w:szCs w:val="16"/>
        </w:rPr>
        <w:t>r</w:t>
      </w:r>
      <w:r>
        <w:rPr>
          <w:sz w:val="16"/>
          <w:szCs w:val="16"/>
        </w:rPr>
        <w:t>]</w:t>
      </w:r>
      <w:r w:rsidRPr="00552A48">
        <w:rPr>
          <w:sz w:val="16"/>
          <w:szCs w:val="16"/>
        </w:rPr>
        <w:t xml:space="preserve">evisados los Libros de Ocurrencias y Denuncia de Calle Común y Reservado […] que lleva en esta </w:t>
      </w:r>
      <w:r>
        <w:rPr>
          <w:sz w:val="16"/>
          <w:szCs w:val="16"/>
        </w:rPr>
        <w:t>[</w:t>
      </w:r>
      <w:r w:rsidRPr="00552A48">
        <w:rPr>
          <w:sz w:val="16"/>
          <w:szCs w:val="16"/>
        </w:rPr>
        <w:t>d</w:t>
      </w:r>
      <w:r>
        <w:rPr>
          <w:sz w:val="16"/>
          <w:szCs w:val="16"/>
        </w:rPr>
        <w:t>]</w:t>
      </w:r>
      <w:r w:rsidRPr="00552A48">
        <w:rPr>
          <w:sz w:val="16"/>
          <w:szCs w:val="16"/>
        </w:rPr>
        <w:t>elegación</w:t>
      </w:r>
      <w:r w:rsidRPr="00F10686">
        <w:rPr>
          <w:sz w:val="16"/>
          <w:szCs w:val="16"/>
        </w:rPr>
        <w:t>, no se ha ubicado ninguna que guarde relación con la persona del Dr. Wilfredo TERRONES SILVA. Asimismo revisado el Libro de Registro de Detenidos del presente año, dicha persona tampoco ha sido detenida en […] Delegación Policial, motivo por el cual no pu</w:t>
      </w:r>
      <w:r w:rsidRPr="0000173B">
        <w:rPr>
          <w:sz w:val="16"/>
          <w:szCs w:val="16"/>
        </w:rPr>
        <w:t>edo proporcionar mayor información sobre el particular.” (expediente de prueba, anexo 6 al Informe de Fondo, f. 53).</w:t>
      </w:r>
    </w:p>
  </w:footnote>
  <w:footnote w:id="59">
    <w:p w:rsidR="00B41935" w:rsidRPr="006E59CD" w:rsidRDefault="00B41935">
      <w:pPr>
        <w:pStyle w:val="FootnoteText"/>
        <w:rPr>
          <w:sz w:val="16"/>
          <w:szCs w:val="16"/>
        </w:rPr>
      </w:pPr>
      <w:r>
        <w:rPr>
          <w:rStyle w:val="FootnoteReference"/>
        </w:rPr>
        <w:footnoteRef/>
      </w:r>
      <w:r>
        <w:t xml:space="preserve"> </w:t>
      </w:r>
      <w:r>
        <w:tab/>
      </w:r>
      <w:r>
        <w:rPr>
          <w:sz w:val="16"/>
          <w:szCs w:val="16"/>
        </w:rPr>
        <w:t xml:space="preserve">Informe </w:t>
      </w:r>
      <w:r w:rsidRPr="00CC214C">
        <w:rPr>
          <w:sz w:val="16"/>
          <w:szCs w:val="16"/>
        </w:rPr>
        <w:t xml:space="preserve">N° </w:t>
      </w:r>
      <w:r>
        <w:rPr>
          <w:sz w:val="16"/>
          <w:szCs w:val="16"/>
        </w:rPr>
        <w:t>33 JDCL-DAU-MC del Estado de 11 de noviembre de 1992 (</w:t>
      </w:r>
      <w:r w:rsidRPr="0000173B">
        <w:rPr>
          <w:sz w:val="16"/>
          <w:szCs w:val="16"/>
        </w:rPr>
        <w:t>expediente de prueba, an</w:t>
      </w:r>
      <w:r>
        <w:rPr>
          <w:sz w:val="16"/>
          <w:szCs w:val="16"/>
        </w:rPr>
        <w:t>exo 6 al Informe de Fondo, f. 54).</w:t>
      </w:r>
    </w:p>
  </w:footnote>
  <w:footnote w:id="60">
    <w:p w:rsidR="00B41935" w:rsidRPr="00257982" w:rsidRDefault="00B41935" w:rsidP="00257982">
      <w:pPr>
        <w:pStyle w:val="FootnoteText"/>
        <w:rPr>
          <w:sz w:val="16"/>
          <w:szCs w:val="16"/>
        </w:rPr>
      </w:pPr>
      <w:r w:rsidRPr="00CC214C">
        <w:rPr>
          <w:rStyle w:val="FootnoteReference"/>
        </w:rPr>
        <w:footnoteRef/>
      </w:r>
      <w:r w:rsidRPr="00257982">
        <w:rPr>
          <w:sz w:val="16"/>
          <w:szCs w:val="16"/>
        </w:rPr>
        <w:t xml:space="preserve"> </w:t>
      </w:r>
      <w:r w:rsidRPr="00257982">
        <w:rPr>
          <w:sz w:val="16"/>
          <w:szCs w:val="16"/>
        </w:rPr>
        <w:tab/>
      </w:r>
      <w:r w:rsidRPr="00E45739">
        <w:rPr>
          <w:i/>
          <w:sz w:val="16"/>
          <w:szCs w:val="16"/>
          <w:lang w:val="es-ES"/>
        </w:rPr>
        <w:t xml:space="preserve">Cfr. </w:t>
      </w:r>
      <w:r w:rsidRPr="00CC214C">
        <w:rPr>
          <w:sz w:val="16"/>
          <w:szCs w:val="16"/>
        </w:rPr>
        <w:t>Nota N° 7-5-M/093</w:t>
      </w:r>
      <w:r>
        <w:rPr>
          <w:sz w:val="16"/>
          <w:szCs w:val="16"/>
        </w:rPr>
        <w:t xml:space="preserve"> </w:t>
      </w:r>
      <w:r w:rsidRPr="00CC214C">
        <w:rPr>
          <w:sz w:val="16"/>
          <w:szCs w:val="16"/>
        </w:rPr>
        <w:t>de 19 de marzo de 1993</w:t>
      </w:r>
      <w:r>
        <w:rPr>
          <w:sz w:val="16"/>
          <w:szCs w:val="16"/>
        </w:rPr>
        <w:t xml:space="preserve">, </w:t>
      </w:r>
      <w:r w:rsidRPr="0049438A">
        <w:rPr>
          <w:i/>
          <w:sz w:val="16"/>
          <w:szCs w:val="16"/>
        </w:rPr>
        <w:t>supra</w:t>
      </w:r>
      <w:r w:rsidRPr="00CC214C">
        <w:rPr>
          <w:sz w:val="16"/>
          <w:szCs w:val="16"/>
        </w:rPr>
        <w:t>.</w:t>
      </w:r>
    </w:p>
  </w:footnote>
  <w:footnote w:id="61">
    <w:p w:rsidR="00B41935" w:rsidRPr="0000173B" w:rsidRDefault="00B41935" w:rsidP="00257982">
      <w:pPr>
        <w:pStyle w:val="FootnoteText"/>
        <w:rPr>
          <w:sz w:val="16"/>
          <w:szCs w:val="16"/>
        </w:rPr>
      </w:pPr>
      <w:r w:rsidRPr="00CC214C">
        <w:rPr>
          <w:rStyle w:val="FootnoteReference"/>
        </w:rPr>
        <w:footnoteRef/>
      </w:r>
      <w:r w:rsidRPr="00CC214C">
        <w:rPr>
          <w:sz w:val="16"/>
          <w:szCs w:val="16"/>
          <w:lang w:val="es-CR"/>
        </w:rPr>
        <w:t xml:space="preserve"> </w:t>
      </w:r>
      <w:r w:rsidRPr="00CC214C">
        <w:rPr>
          <w:sz w:val="16"/>
          <w:szCs w:val="16"/>
          <w:lang w:val="es-CR"/>
        </w:rPr>
        <w:tab/>
      </w:r>
      <w:r w:rsidRPr="00E45739">
        <w:rPr>
          <w:i/>
          <w:sz w:val="16"/>
          <w:szCs w:val="16"/>
          <w:lang w:val="es-ES"/>
        </w:rPr>
        <w:t xml:space="preserve">Cfr. </w:t>
      </w:r>
      <w:r w:rsidRPr="00CC214C">
        <w:rPr>
          <w:sz w:val="16"/>
          <w:szCs w:val="16"/>
        </w:rPr>
        <w:t xml:space="preserve">Nota </w:t>
      </w:r>
      <w:r>
        <w:rPr>
          <w:sz w:val="16"/>
          <w:szCs w:val="16"/>
        </w:rPr>
        <w:t>N°</w:t>
      </w:r>
      <w:r w:rsidRPr="00CC214C">
        <w:rPr>
          <w:sz w:val="16"/>
          <w:szCs w:val="16"/>
        </w:rPr>
        <w:t xml:space="preserve"> 7-5-M/668 de 22 de septiembre de 2011 (expediente de prueba, anexo 5 al Informe de F</w:t>
      </w:r>
      <w:r>
        <w:rPr>
          <w:sz w:val="16"/>
          <w:szCs w:val="16"/>
        </w:rPr>
        <w:t>ondo, fs. 28 a 38</w:t>
      </w:r>
      <w:r w:rsidRPr="00CC214C">
        <w:rPr>
          <w:sz w:val="16"/>
          <w:szCs w:val="16"/>
        </w:rPr>
        <w:t>.</w:t>
      </w:r>
      <w:r>
        <w:rPr>
          <w:sz w:val="16"/>
          <w:szCs w:val="16"/>
        </w:rPr>
        <w:t xml:space="preserve"> Refiriéndose, al</w:t>
      </w:r>
      <w:r w:rsidRPr="00552A48">
        <w:rPr>
          <w:sz w:val="16"/>
          <w:szCs w:val="16"/>
          <w:lang w:val="es-CR"/>
        </w:rPr>
        <w:t xml:space="preserve"> </w:t>
      </w:r>
      <w:r>
        <w:rPr>
          <w:sz w:val="16"/>
          <w:szCs w:val="16"/>
          <w:lang w:val="es-CR"/>
        </w:rPr>
        <w:t>I</w:t>
      </w:r>
      <w:r w:rsidRPr="00552A48">
        <w:rPr>
          <w:sz w:val="16"/>
          <w:szCs w:val="16"/>
          <w:lang w:val="es-CR"/>
        </w:rPr>
        <w:t>nforme N° 1712-05-DIRINCRI-PNP/DIVIPD-BPD.1 de 25 de junio de 2005 emitido por la División de Personas Desaparecidas de la Dirección de Investigación Criminal de la Policía Nacional del Perú de 25 de junio de 2005</w:t>
      </w:r>
      <w:r>
        <w:rPr>
          <w:sz w:val="16"/>
          <w:szCs w:val="16"/>
          <w:lang w:val="es-CR"/>
        </w:rPr>
        <w:t>.</w:t>
      </w:r>
    </w:p>
  </w:footnote>
  <w:footnote w:id="62">
    <w:p w:rsidR="00B41935" w:rsidRPr="00257982" w:rsidRDefault="00B41935" w:rsidP="00257982">
      <w:pPr>
        <w:pStyle w:val="FootnoteText"/>
        <w:rPr>
          <w:sz w:val="16"/>
          <w:szCs w:val="16"/>
          <w:lang w:val="es-CR"/>
        </w:rPr>
      </w:pPr>
      <w:r w:rsidRPr="00CC214C">
        <w:rPr>
          <w:rStyle w:val="FootnoteReference"/>
        </w:rPr>
        <w:footnoteRef/>
      </w:r>
      <w:r w:rsidRPr="00257982">
        <w:rPr>
          <w:sz w:val="16"/>
          <w:szCs w:val="16"/>
        </w:rPr>
        <w:t xml:space="preserve"> </w:t>
      </w:r>
      <w:r w:rsidRPr="00257982">
        <w:rPr>
          <w:sz w:val="16"/>
          <w:szCs w:val="16"/>
        </w:rPr>
        <w:tab/>
      </w:r>
      <w:r w:rsidRPr="00CC214C">
        <w:rPr>
          <w:sz w:val="16"/>
          <w:szCs w:val="16"/>
        </w:rPr>
        <w:t xml:space="preserve">Nota </w:t>
      </w:r>
      <w:r>
        <w:rPr>
          <w:sz w:val="16"/>
          <w:szCs w:val="16"/>
        </w:rPr>
        <w:t>N°</w:t>
      </w:r>
      <w:r w:rsidRPr="00CC214C">
        <w:rPr>
          <w:sz w:val="16"/>
          <w:szCs w:val="16"/>
        </w:rPr>
        <w:t xml:space="preserve"> 7-5-M/668</w:t>
      </w:r>
      <w:r>
        <w:rPr>
          <w:sz w:val="16"/>
          <w:szCs w:val="16"/>
        </w:rPr>
        <w:t xml:space="preserve">, </w:t>
      </w:r>
      <w:r w:rsidRPr="00871ABC">
        <w:rPr>
          <w:i/>
          <w:sz w:val="16"/>
          <w:szCs w:val="16"/>
        </w:rPr>
        <w:t>supra</w:t>
      </w:r>
      <w:r>
        <w:rPr>
          <w:sz w:val="16"/>
          <w:szCs w:val="16"/>
        </w:rPr>
        <w:t>.</w:t>
      </w:r>
      <w:r w:rsidRPr="00CC214C">
        <w:rPr>
          <w:sz w:val="16"/>
          <w:szCs w:val="16"/>
        </w:rPr>
        <w:t xml:space="preserve"> </w:t>
      </w:r>
    </w:p>
  </w:footnote>
  <w:footnote w:id="63">
    <w:p w:rsidR="00B41935" w:rsidRPr="00257982" w:rsidRDefault="00B41935" w:rsidP="00431C19">
      <w:pPr>
        <w:pStyle w:val="FootnoteText"/>
        <w:rPr>
          <w:sz w:val="16"/>
          <w:szCs w:val="16"/>
          <w:lang w:val="es-CR"/>
        </w:rPr>
      </w:pPr>
      <w:r w:rsidRPr="00CC214C">
        <w:rPr>
          <w:rStyle w:val="FootnoteReference"/>
        </w:rPr>
        <w:footnoteRef/>
      </w:r>
      <w:r w:rsidRPr="00257982">
        <w:rPr>
          <w:sz w:val="16"/>
          <w:szCs w:val="16"/>
        </w:rPr>
        <w:t xml:space="preserve"> </w:t>
      </w:r>
      <w:r w:rsidRPr="00257982">
        <w:rPr>
          <w:sz w:val="16"/>
          <w:szCs w:val="16"/>
        </w:rPr>
        <w:tab/>
      </w:r>
      <w:r w:rsidRPr="00C232EE">
        <w:rPr>
          <w:sz w:val="16"/>
          <w:szCs w:val="16"/>
        </w:rPr>
        <w:t>Oficio</w:t>
      </w:r>
      <w:r w:rsidRPr="00CC214C">
        <w:rPr>
          <w:sz w:val="16"/>
          <w:szCs w:val="16"/>
        </w:rPr>
        <w:t xml:space="preserve"> N° 6437-2011-MP-FN-SEGFIN del Ministerio Público de la Fiscalía de la Nación de 31 de mayo de 2011 (expediente de prueba, anexo 6 al Informe de Fondo, fs. 40 a </w:t>
      </w:r>
      <w:r>
        <w:rPr>
          <w:sz w:val="16"/>
          <w:szCs w:val="16"/>
        </w:rPr>
        <w:t>50</w:t>
      </w:r>
      <w:r w:rsidRPr="00CC214C">
        <w:rPr>
          <w:sz w:val="16"/>
          <w:szCs w:val="16"/>
        </w:rPr>
        <w:t>).</w:t>
      </w:r>
      <w:r w:rsidRPr="00431C19">
        <w:rPr>
          <w:sz w:val="16"/>
          <w:szCs w:val="16"/>
        </w:rPr>
        <w:t xml:space="preserve"> </w:t>
      </w:r>
      <w:r>
        <w:rPr>
          <w:sz w:val="16"/>
          <w:szCs w:val="16"/>
        </w:rPr>
        <w:t xml:space="preserve"> E</w:t>
      </w:r>
      <w:r w:rsidRPr="00CC214C">
        <w:rPr>
          <w:sz w:val="16"/>
          <w:szCs w:val="16"/>
        </w:rPr>
        <w:t xml:space="preserve">n </w:t>
      </w:r>
      <w:r>
        <w:rPr>
          <w:sz w:val="16"/>
          <w:szCs w:val="16"/>
        </w:rPr>
        <w:t>el oficio</w:t>
      </w:r>
      <w:r w:rsidRPr="00CC214C">
        <w:rPr>
          <w:sz w:val="16"/>
          <w:szCs w:val="16"/>
        </w:rPr>
        <w:t xml:space="preserve"> se describe la existencia del expediente No. 2004-35 por el delito de terrorismo contra varias personas</w:t>
      </w:r>
      <w:r>
        <w:rPr>
          <w:sz w:val="16"/>
          <w:szCs w:val="16"/>
        </w:rPr>
        <w:t>, entre ellas, Wilfredo T</w:t>
      </w:r>
      <w:r w:rsidRPr="00CC214C">
        <w:rPr>
          <w:sz w:val="16"/>
          <w:szCs w:val="16"/>
        </w:rPr>
        <w:t>errones Silva</w:t>
      </w:r>
      <w:r>
        <w:rPr>
          <w:sz w:val="16"/>
          <w:szCs w:val="16"/>
        </w:rPr>
        <w:t>.</w:t>
      </w:r>
    </w:p>
  </w:footnote>
  <w:footnote w:id="64">
    <w:p w:rsidR="00B41935" w:rsidRPr="00257982" w:rsidRDefault="00B41935" w:rsidP="00257982">
      <w:pPr>
        <w:pStyle w:val="FootnoteText"/>
        <w:rPr>
          <w:sz w:val="16"/>
          <w:szCs w:val="16"/>
        </w:rPr>
      </w:pPr>
      <w:r w:rsidRPr="00CC214C">
        <w:rPr>
          <w:rStyle w:val="FootnoteReference"/>
        </w:rPr>
        <w:footnoteRef/>
      </w:r>
      <w:r w:rsidRPr="00257982">
        <w:rPr>
          <w:sz w:val="16"/>
          <w:szCs w:val="16"/>
        </w:rPr>
        <w:t xml:space="preserve"> </w:t>
      </w:r>
      <w:r w:rsidRPr="00257982">
        <w:rPr>
          <w:sz w:val="16"/>
          <w:szCs w:val="16"/>
        </w:rPr>
        <w:tab/>
      </w:r>
      <w:r>
        <w:rPr>
          <w:sz w:val="16"/>
          <w:szCs w:val="16"/>
        </w:rPr>
        <w:t xml:space="preserve">Perú presentó </w:t>
      </w:r>
      <w:r w:rsidRPr="00CC214C">
        <w:rPr>
          <w:sz w:val="16"/>
          <w:szCs w:val="16"/>
        </w:rPr>
        <w:t>ante la Comisión el Informe 492-2011-JUS/PPES elaborado por la Procuraduría Pública, en el cual hace un recuento</w:t>
      </w:r>
      <w:r w:rsidRPr="00257982">
        <w:rPr>
          <w:sz w:val="16"/>
          <w:szCs w:val="16"/>
        </w:rPr>
        <w:t xml:space="preserve"> de </w:t>
      </w:r>
      <w:r w:rsidRPr="00CC214C">
        <w:rPr>
          <w:sz w:val="16"/>
          <w:szCs w:val="16"/>
        </w:rPr>
        <w:t>las diligencias llevadas a cabo respecto a la presunta desaparición del señor Terrones Silva</w:t>
      </w:r>
      <w:r>
        <w:rPr>
          <w:sz w:val="16"/>
          <w:szCs w:val="16"/>
        </w:rPr>
        <w:t xml:space="preserve">, </w:t>
      </w:r>
      <w:r w:rsidRPr="00E45739">
        <w:rPr>
          <w:i/>
          <w:sz w:val="16"/>
          <w:szCs w:val="16"/>
          <w:lang w:val="es-ES"/>
        </w:rPr>
        <w:t xml:space="preserve">Cfr. </w:t>
      </w:r>
      <w:r w:rsidRPr="00CC214C">
        <w:rPr>
          <w:sz w:val="16"/>
          <w:szCs w:val="16"/>
        </w:rPr>
        <w:t xml:space="preserve">Nota </w:t>
      </w:r>
      <w:r>
        <w:rPr>
          <w:sz w:val="16"/>
          <w:szCs w:val="16"/>
        </w:rPr>
        <w:t>N°</w:t>
      </w:r>
      <w:r w:rsidRPr="00CC214C">
        <w:rPr>
          <w:sz w:val="16"/>
          <w:szCs w:val="16"/>
        </w:rPr>
        <w:t xml:space="preserve"> 7-5-M/668</w:t>
      </w:r>
      <w:r>
        <w:rPr>
          <w:sz w:val="16"/>
          <w:szCs w:val="16"/>
        </w:rPr>
        <w:t xml:space="preserve">, </w:t>
      </w:r>
      <w:r w:rsidRPr="0049438A">
        <w:rPr>
          <w:i/>
          <w:sz w:val="16"/>
          <w:szCs w:val="16"/>
        </w:rPr>
        <w:t>supra</w:t>
      </w:r>
      <w:r>
        <w:rPr>
          <w:sz w:val="16"/>
          <w:szCs w:val="16"/>
        </w:rPr>
        <w:t xml:space="preserve">. </w:t>
      </w:r>
    </w:p>
  </w:footnote>
  <w:footnote w:id="65">
    <w:p w:rsidR="00B41935" w:rsidRPr="00257982" w:rsidRDefault="00B41935" w:rsidP="00257982">
      <w:pPr>
        <w:pStyle w:val="FootnoteText"/>
        <w:rPr>
          <w:sz w:val="16"/>
          <w:szCs w:val="16"/>
        </w:rPr>
      </w:pPr>
      <w:r w:rsidRPr="00CC214C">
        <w:rPr>
          <w:rStyle w:val="FootnoteReference"/>
        </w:rPr>
        <w:footnoteRef/>
      </w:r>
      <w:r w:rsidRPr="00257982">
        <w:rPr>
          <w:sz w:val="16"/>
          <w:szCs w:val="16"/>
        </w:rPr>
        <w:t xml:space="preserve"> </w:t>
      </w:r>
      <w:r w:rsidRPr="00CC214C">
        <w:rPr>
          <w:sz w:val="16"/>
          <w:szCs w:val="16"/>
        </w:rPr>
        <w:tab/>
      </w:r>
      <w:r w:rsidRPr="00E20C7B">
        <w:rPr>
          <w:i/>
          <w:sz w:val="16"/>
          <w:szCs w:val="16"/>
        </w:rPr>
        <w:t>Cfr.</w:t>
      </w:r>
      <w:r>
        <w:rPr>
          <w:sz w:val="16"/>
          <w:szCs w:val="16"/>
        </w:rPr>
        <w:t xml:space="preserve"> </w:t>
      </w:r>
      <w:r w:rsidRPr="00E20C7B">
        <w:rPr>
          <w:sz w:val="16"/>
          <w:szCs w:val="16"/>
          <w:lang w:val="es-CR"/>
        </w:rPr>
        <w:t>Resolución</w:t>
      </w:r>
      <w:r>
        <w:rPr>
          <w:sz w:val="16"/>
          <w:szCs w:val="16"/>
          <w:lang w:val="es-CR"/>
        </w:rPr>
        <w:t xml:space="preserve"> de la </w:t>
      </w:r>
      <w:r w:rsidRPr="00552A48">
        <w:rPr>
          <w:sz w:val="16"/>
          <w:szCs w:val="16"/>
          <w:lang w:val="es-CR"/>
        </w:rPr>
        <w:t>Coordinación de la Fiscalía Superior Penal Nacional y Fiscalías Penales Supraprovinciales del Ministerio Público de 27 de julio de 2016 (expediente de trámite ante la Comisión, fs. 766 a 767).</w:t>
      </w:r>
    </w:p>
  </w:footnote>
  <w:footnote w:id="66">
    <w:p w:rsidR="00B41935" w:rsidRPr="00814725" w:rsidRDefault="00B41935" w:rsidP="00257982">
      <w:pPr>
        <w:pStyle w:val="FootnoteText"/>
        <w:rPr>
          <w:sz w:val="16"/>
          <w:szCs w:val="16"/>
          <w:lang w:val="es-CR"/>
        </w:rPr>
      </w:pPr>
      <w:r w:rsidRPr="00CC214C">
        <w:rPr>
          <w:rStyle w:val="FootnoteReference"/>
        </w:rPr>
        <w:footnoteRef/>
      </w:r>
      <w:r w:rsidRPr="00257982">
        <w:rPr>
          <w:sz w:val="16"/>
          <w:szCs w:val="16"/>
        </w:rPr>
        <w:t xml:space="preserve"> </w:t>
      </w:r>
      <w:r w:rsidRPr="00257982">
        <w:rPr>
          <w:sz w:val="16"/>
          <w:szCs w:val="16"/>
          <w:lang w:val="es-CR"/>
        </w:rPr>
        <w:tab/>
      </w:r>
      <w:r w:rsidRPr="00E20C7B">
        <w:rPr>
          <w:i/>
          <w:sz w:val="16"/>
          <w:szCs w:val="16"/>
        </w:rPr>
        <w:t>Cfr</w:t>
      </w:r>
      <w:r w:rsidRPr="00814725">
        <w:rPr>
          <w:i/>
          <w:sz w:val="16"/>
          <w:szCs w:val="16"/>
        </w:rPr>
        <w:t>.</w:t>
      </w:r>
      <w:r w:rsidRPr="00814725">
        <w:rPr>
          <w:sz w:val="16"/>
          <w:szCs w:val="16"/>
        </w:rPr>
        <w:t xml:space="preserve"> </w:t>
      </w:r>
      <w:r w:rsidRPr="00814725">
        <w:rPr>
          <w:sz w:val="16"/>
          <w:szCs w:val="16"/>
          <w:lang w:val="es-CR"/>
        </w:rPr>
        <w:t>Resolución de la Coordinación de la Fiscalía Superior Penal Nacional y Fiscalías Penales Supraprovinciales del Ministerio Público de 10 de octubre de 2016 (expediente de prueba, anexo 47 a la contestación, fs. 5085 a 5087), y Oficio No. 1433-2016 de la Coordinación de la Fiscalía Superior Penal Nacional y Fiscalías Penales Supraprovinciales del Ministerio Público (expediente de prueba, anexo 48 a la contestación, f. 5089).</w:t>
      </w:r>
    </w:p>
  </w:footnote>
  <w:footnote w:id="67">
    <w:p w:rsidR="00B41935" w:rsidRPr="00257982" w:rsidRDefault="00B41935" w:rsidP="00257982">
      <w:pPr>
        <w:rPr>
          <w:sz w:val="16"/>
          <w:szCs w:val="16"/>
        </w:rPr>
      </w:pPr>
      <w:r w:rsidRPr="00814725">
        <w:rPr>
          <w:rStyle w:val="FootnoteReference"/>
        </w:rPr>
        <w:footnoteRef/>
      </w:r>
      <w:r w:rsidRPr="00814725">
        <w:rPr>
          <w:sz w:val="16"/>
          <w:szCs w:val="16"/>
        </w:rPr>
        <w:t xml:space="preserve"> </w:t>
      </w:r>
      <w:r w:rsidRPr="00814725">
        <w:rPr>
          <w:sz w:val="16"/>
          <w:szCs w:val="16"/>
        </w:rPr>
        <w:tab/>
      </w:r>
      <w:r w:rsidRPr="00814725">
        <w:rPr>
          <w:i/>
          <w:sz w:val="16"/>
          <w:szCs w:val="16"/>
        </w:rPr>
        <w:t>Cfr.</w:t>
      </w:r>
      <w:r w:rsidRPr="00814725">
        <w:rPr>
          <w:sz w:val="16"/>
          <w:szCs w:val="16"/>
        </w:rPr>
        <w:t xml:space="preserve"> </w:t>
      </w:r>
      <w:r>
        <w:rPr>
          <w:sz w:val="16"/>
          <w:szCs w:val="16"/>
          <w:lang w:val="es-CR"/>
        </w:rPr>
        <w:t>Resolución de la Segunda Fiscalía</w:t>
      </w:r>
      <w:r w:rsidRPr="00814725">
        <w:rPr>
          <w:sz w:val="16"/>
          <w:szCs w:val="16"/>
          <w:lang w:val="es-CR"/>
        </w:rPr>
        <w:t xml:space="preserve"> </w:t>
      </w:r>
      <w:r>
        <w:rPr>
          <w:sz w:val="16"/>
          <w:szCs w:val="16"/>
          <w:lang w:val="es-CR"/>
        </w:rPr>
        <w:t xml:space="preserve">Penal Supraprovincial de Lima </w:t>
      </w:r>
      <w:r w:rsidRPr="00814725">
        <w:rPr>
          <w:sz w:val="16"/>
          <w:szCs w:val="16"/>
          <w:lang w:val="es-CR"/>
        </w:rPr>
        <w:t>de 3 de abril de 2017</w:t>
      </w:r>
      <w:r>
        <w:rPr>
          <w:sz w:val="16"/>
          <w:szCs w:val="16"/>
          <w:lang w:val="es-CR"/>
        </w:rPr>
        <w:t xml:space="preserve">, que guarda relación con la carpeta fiscal 22-2016 </w:t>
      </w:r>
      <w:r w:rsidRPr="00814725">
        <w:rPr>
          <w:sz w:val="16"/>
          <w:szCs w:val="16"/>
          <w:lang w:val="es-CR"/>
        </w:rPr>
        <w:t>(expediente de prueba, anexo 1 a la contestación, fs. 4507 a 4510). Además</w:t>
      </w:r>
      <w:r>
        <w:rPr>
          <w:sz w:val="16"/>
          <w:szCs w:val="16"/>
          <w:lang w:val="es-CR"/>
        </w:rPr>
        <w:t>,</w:t>
      </w:r>
      <w:r w:rsidRPr="00552A48">
        <w:rPr>
          <w:sz w:val="16"/>
          <w:szCs w:val="16"/>
          <w:lang w:val="es-CR"/>
        </w:rPr>
        <w:t xml:space="preserve"> </w:t>
      </w:r>
      <w:r w:rsidRPr="00F10686">
        <w:rPr>
          <w:sz w:val="16"/>
          <w:szCs w:val="16"/>
        </w:rPr>
        <w:t>de acuerdo a l</w:t>
      </w:r>
      <w:r>
        <w:rPr>
          <w:sz w:val="16"/>
          <w:szCs w:val="16"/>
        </w:rPr>
        <w:t>a declaración rendida por</w:t>
      </w:r>
      <w:r w:rsidRPr="00F10686">
        <w:rPr>
          <w:sz w:val="16"/>
          <w:szCs w:val="16"/>
        </w:rPr>
        <w:t xml:space="preserve"> Marcelita </w:t>
      </w:r>
      <w:r>
        <w:rPr>
          <w:sz w:val="16"/>
          <w:szCs w:val="16"/>
        </w:rPr>
        <w:t>d</w:t>
      </w:r>
      <w:r w:rsidRPr="00F10686">
        <w:rPr>
          <w:sz w:val="16"/>
          <w:szCs w:val="16"/>
        </w:rPr>
        <w:t>el Rosario Gutiérrez Vallejos</w:t>
      </w:r>
      <w:r>
        <w:rPr>
          <w:sz w:val="16"/>
          <w:szCs w:val="16"/>
        </w:rPr>
        <w:t xml:space="preserve"> mediante </w:t>
      </w:r>
      <w:r w:rsidRPr="00005206">
        <w:rPr>
          <w:i/>
          <w:sz w:val="16"/>
          <w:szCs w:val="16"/>
        </w:rPr>
        <w:t>affidávit</w:t>
      </w:r>
      <w:r w:rsidRPr="00F10686">
        <w:rPr>
          <w:sz w:val="16"/>
          <w:szCs w:val="16"/>
        </w:rPr>
        <w:t xml:space="preserve"> a</w:t>
      </w:r>
      <w:r>
        <w:rPr>
          <w:sz w:val="16"/>
          <w:szCs w:val="16"/>
        </w:rPr>
        <w:t>nte</w:t>
      </w:r>
      <w:r w:rsidRPr="00F10686">
        <w:rPr>
          <w:sz w:val="16"/>
          <w:szCs w:val="16"/>
        </w:rPr>
        <w:t xml:space="preserve"> la Corte, Fiscal Provincial Titular de la Segunda Fiscalía Penal Supraprovincial de Lima, manifestó q</w:t>
      </w:r>
      <w:r w:rsidRPr="0000173B">
        <w:rPr>
          <w:sz w:val="16"/>
          <w:szCs w:val="16"/>
        </w:rPr>
        <w:t>ue la Segunda Fiscalía tiene a su cargo la investigación preliminar por delito de Desaparición Forzada e</w:t>
      </w:r>
      <w:r>
        <w:rPr>
          <w:sz w:val="16"/>
          <w:szCs w:val="16"/>
        </w:rPr>
        <w:t xml:space="preserve">n agravio de Wilfredo Terrones </w:t>
      </w:r>
      <w:r w:rsidRPr="0000173B">
        <w:rPr>
          <w:sz w:val="16"/>
          <w:szCs w:val="16"/>
        </w:rPr>
        <w:t>Silva. Se tomó conocimiento del caso de Wilfredo Terrone</w:t>
      </w:r>
      <w:r>
        <w:rPr>
          <w:sz w:val="16"/>
          <w:szCs w:val="16"/>
        </w:rPr>
        <w:t>s Silva (N°506012802-2016-22-0). S</w:t>
      </w:r>
      <w:r w:rsidRPr="0000173B">
        <w:rPr>
          <w:sz w:val="16"/>
          <w:szCs w:val="16"/>
        </w:rPr>
        <w:t>egún la Fiscala se dispusieron</w:t>
      </w:r>
      <w:r w:rsidRPr="003D07CE">
        <w:rPr>
          <w:sz w:val="16"/>
          <w:szCs w:val="16"/>
        </w:rPr>
        <w:t xml:space="preserve"> una serie de diligencias, entre ellas, la declar</w:t>
      </w:r>
      <w:r>
        <w:rPr>
          <w:sz w:val="16"/>
          <w:szCs w:val="16"/>
        </w:rPr>
        <w:t>ación de Frida Guillermina Landázuri Gómez, Julio Manuel Landázuri Gó</w:t>
      </w:r>
      <w:r w:rsidRPr="003D07CE">
        <w:rPr>
          <w:sz w:val="16"/>
          <w:szCs w:val="16"/>
        </w:rPr>
        <w:t xml:space="preserve">mez, </w:t>
      </w:r>
      <w:r>
        <w:rPr>
          <w:sz w:val="16"/>
          <w:szCs w:val="16"/>
        </w:rPr>
        <w:t>VRA</w:t>
      </w:r>
      <w:r w:rsidRPr="003D07CE">
        <w:rPr>
          <w:sz w:val="16"/>
          <w:szCs w:val="16"/>
        </w:rPr>
        <w:t>,</w:t>
      </w:r>
      <w:r>
        <w:rPr>
          <w:sz w:val="16"/>
          <w:szCs w:val="16"/>
        </w:rPr>
        <w:t xml:space="preserve"> CAC</w:t>
      </w:r>
      <w:r w:rsidRPr="003D07CE">
        <w:rPr>
          <w:sz w:val="16"/>
          <w:szCs w:val="16"/>
        </w:rPr>
        <w:t>, y</w:t>
      </w:r>
      <w:r>
        <w:rPr>
          <w:sz w:val="16"/>
          <w:szCs w:val="16"/>
        </w:rPr>
        <w:t xml:space="preserve"> Wilfredo Ricardo Terrones Landá</w:t>
      </w:r>
      <w:r w:rsidRPr="003D07CE">
        <w:rPr>
          <w:sz w:val="16"/>
          <w:szCs w:val="16"/>
        </w:rPr>
        <w:t>zuri. Se notificó a Frida Guillermin</w:t>
      </w:r>
      <w:r>
        <w:rPr>
          <w:sz w:val="16"/>
          <w:szCs w:val="16"/>
        </w:rPr>
        <w:t>a Landázuri Gó</w:t>
      </w:r>
      <w:r w:rsidRPr="00CE6B13">
        <w:rPr>
          <w:sz w:val="16"/>
          <w:szCs w:val="16"/>
        </w:rPr>
        <w:t>me</w:t>
      </w:r>
      <w:r>
        <w:rPr>
          <w:sz w:val="16"/>
          <w:szCs w:val="16"/>
        </w:rPr>
        <w:t>z y Julio Manuel Landá</w:t>
      </w:r>
      <w:r w:rsidRPr="00CE6B13">
        <w:rPr>
          <w:sz w:val="16"/>
          <w:szCs w:val="16"/>
        </w:rPr>
        <w:t>zuri Gómez en dos oportunidades para rendir su declaración sin resultado positivo, razón por la cual el 30 de mayo de 2017 se entrevistó en el domicilio de los citados a la primera</w:t>
      </w:r>
      <w:r w:rsidRPr="00D83377">
        <w:rPr>
          <w:sz w:val="16"/>
          <w:szCs w:val="16"/>
        </w:rPr>
        <w:t>.</w:t>
      </w:r>
      <w:r>
        <w:rPr>
          <w:sz w:val="16"/>
          <w:szCs w:val="16"/>
        </w:rPr>
        <w:t xml:space="preserve"> </w:t>
      </w:r>
      <w:r w:rsidRPr="009E6C8E">
        <w:rPr>
          <w:sz w:val="16"/>
          <w:szCs w:val="16"/>
        </w:rPr>
        <w:t>Wilfredo Ricardo Terrones</w:t>
      </w:r>
      <w:r w:rsidRPr="00F50046">
        <w:rPr>
          <w:sz w:val="16"/>
          <w:szCs w:val="16"/>
        </w:rPr>
        <w:t xml:space="preserve"> Landázuri fue citado en tres oportunidades, y el 26 enero de 2018 </w:t>
      </w:r>
      <w:r>
        <w:rPr>
          <w:sz w:val="16"/>
          <w:szCs w:val="16"/>
        </w:rPr>
        <w:t xml:space="preserve">declaró. </w:t>
      </w:r>
      <w:r w:rsidRPr="00563483">
        <w:rPr>
          <w:sz w:val="16"/>
          <w:szCs w:val="16"/>
        </w:rPr>
        <w:t>Se</w:t>
      </w:r>
      <w:r w:rsidRPr="00257982">
        <w:rPr>
          <w:sz w:val="16"/>
          <w:szCs w:val="16"/>
        </w:rPr>
        <w:t xml:space="preserve"> ha programado las declaraciones de otros integrantes del denominado Grupo Colina. En el 1 de marzo de 2018</w:t>
      </w:r>
      <w:r>
        <w:rPr>
          <w:sz w:val="16"/>
          <w:szCs w:val="16"/>
        </w:rPr>
        <w:t xml:space="preserve"> HGC</w:t>
      </w:r>
      <w:r w:rsidRPr="00257982">
        <w:rPr>
          <w:sz w:val="16"/>
          <w:szCs w:val="16"/>
        </w:rPr>
        <w:t xml:space="preserve"> señaló no tener conocimiento sobre la desaparición del agraviado. Queda pendiente recabar otras dec</w:t>
      </w:r>
      <w:r>
        <w:rPr>
          <w:sz w:val="16"/>
          <w:szCs w:val="16"/>
        </w:rPr>
        <w:t>laraciones</w:t>
      </w:r>
      <w:r w:rsidRPr="00E179A4">
        <w:rPr>
          <w:sz w:val="16"/>
          <w:szCs w:val="16"/>
        </w:rPr>
        <w:t xml:space="preserve">. </w:t>
      </w:r>
      <w:r w:rsidRPr="00257982">
        <w:rPr>
          <w:sz w:val="16"/>
          <w:szCs w:val="16"/>
        </w:rPr>
        <w:t>Fue recabada información de la morgue y los distintos hospitales a nivel nacional, que no registran información sobre Wilfredo Terrones Silva. Aún no en tanto no se ha determinado  como se produjo su desaparición y donde podrían estar sus restos</w:t>
      </w:r>
      <w:r>
        <w:rPr>
          <w:sz w:val="16"/>
          <w:szCs w:val="16"/>
        </w:rPr>
        <w:t>.</w:t>
      </w:r>
      <w:r w:rsidRPr="00257982">
        <w:rPr>
          <w:sz w:val="16"/>
          <w:szCs w:val="16"/>
        </w:rPr>
        <w:t xml:space="preserve"> </w:t>
      </w:r>
      <w:r w:rsidRPr="001C2C19">
        <w:rPr>
          <w:sz w:val="16"/>
          <w:szCs w:val="16"/>
        </w:rPr>
        <w:t>Se aclara que en la presente Sentencia se señala con iniciales a algunas personas cuya actuación consta en documentos de actuaciones internas y sin que surja que hayan tenido relación con el trámite del caso en el ámbito internacional o intervención alguna ante la Comisión Interamericana o la Corte Interamericana.</w:t>
      </w:r>
      <w:r w:rsidRPr="00661B83">
        <w:rPr>
          <w:sz w:val="16"/>
          <w:szCs w:val="16"/>
        </w:rPr>
        <w:t xml:space="preserve"> </w:t>
      </w:r>
      <w:r w:rsidRPr="00661B83">
        <w:rPr>
          <w:i/>
          <w:sz w:val="16"/>
          <w:szCs w:val="16"/>
        </w:rPr>
        <w:t>Cfr</w:t>
      </w:r>
      <w:r>
        <w:rPr>
          <w:sz w:val="16"/>
          <w:szCs w:val="16"/>
        </w:rPr>
        <w:t xml:space="preserve">. Declaración de </w:t>
      </w:r>
      <w:r w:rsidRPr="00F10686">
        <w:rPr>
          <w:sz w:val="16"/>
          <w:szCs w:val="16"/>
        </w:rPr>
        <w:t xml:space="preserve">Marcelita </w:t>
      </w:r>
      <w:r>
        <w:rPr>
          <w:sz w:val="16"/>
          <w:szCs w:val="16"/>
        </w:rPr>
        <w:t>d</w:t>
      </w:r>
      <w:r w:rsidRPr="00F10686">
        <w:rPr>
          <w:sz w:val="16"/>
          <w:szCs w:val="16"/>
        </w:rPr>
        <w:t>el Rosario Gutiérrez Vallejos</w:t>
      </w:r>
      <w:r>
        <w:rPr>
          <w:sz w:val="16"/>
          <w:szCs w:val="16"/>
        </w:rPr>
        <w:t xml:space="preserve"> rendida mediante </w:t>
      </w:r>
      <w:r w:rsidRPr="00005206">
        <w:rPr>
          <w:i/>
          <w:sz w:val="16"/>
          <w:szCs w:val="16"/>
        </w:rPr>
        <w:t>affidávit</w:t>
      </w:r>
      <w:r w:rsidRPr="00F10686">
        <w:rPr>
          <w:sz w:val="16"/>
          <w:szCs w:val="16"/>
        </w:rPr>
        <w:t xml:space="preserve"> a</w:t>
      </w:r>
      <w:r>
        <w:rPr>
          <w:sz w:val="16"/>
          <w:szCs w:val="16"/>
        </w:rPr>
        <w:t>nte</w:t>
      </w:r>
      <w:r w:rsidRPr="00F10686">
        <w:rPr>
          <w:sz w:val="16"/>
          <w:szCs w:val="16"/>
        </w:rPr>
        <w:t xml:space="preserve"> la Corte</w:t>
      </w:r>
      <w:r>
        <w:rPr>
          <w:sz w:val="16"/>
          <w:szCs w:val="16"/>
        </w:rPr>
        <w:t xml:space="preserve"> el 2 de marzo de 2018 (expediente de fondo, fs. 770 a 798).</w:t>
      </w:r>
    </w:p>
  </w:footnote>
  <w:footnote w:id="68">
    <w:p w:rsidR="00B41935" w:rsidRPr="00257982" w:rsidRDefault="00B41935" w:rsidP="00257982">
      <w:pPr>
        <w:pStyle w:val="FootnoteText"/>
        <w:rPr>
          <w:sz w:val="16"/>
          <w:szCs w:val="16"/>
        </w:rPr>
      </w:pPr>
      <w:r w:rsidRPr="00CC214C">
        <w:rPr>
          <w:rStyle w:val="FootnoteReference"/>
        </w:rPr>
        <w:footnoteRef/>
      </w:r>
      <w:r w:rsidRPr="00257982">
        <w:rPr>
          <w:sz w:val="16"/>
          <w:szCs w:val="16"/>
        </w:rPr>
        <w:t xml:space="preserve"> </w:t>
      </w:r>
      <w:r w:rsidRPr="00257982">
        <w:rPr>
          <w:sz w:val="16"/>
          <w:szCs w:val="16"/>
        </w:rPr>
        <w:tab/>
      </w:r>
      <w:r w:rsidRPr="00CC214C">
        <w:rPr>
          <w:sz w:val="16"/>
          <w:szCs w:val="16"/>
        </w:rPr>
        <w:t>Certificado de nacimiento de T</w:t>
      </w:r>
      <w:r>
        <w:rPr>
          <w:sz w:val="16"/>
          <w:szCs w:val="16"/>
        </w:rPr>
        <w:t>eresa Díaz Aparicio (expediente de trámite ante la Comisión</w:t>
      </w:r>
      <w:r w:rsidRPr="00CC214C">
        <w:rPr>
          <w:sz w:val="16"/>
          <w:szCs w:val="16"/>
        </w:rPr>
        <w:t xml:space="preserve">, fs. 2485 y 2486). </w:t>
      </w:r>
    </w:p>
  </w:footnote>
  <w:footnote w:id="69">
    <w:p w:rsidR="00B41935" w:rsidRPr="007B6F15" w:rsidRDefault="00B41935" w:rsidP="00257982">
      <w:pPr>
        <w:pStyle w:val="FootnoteText"/>
        <w:rPr>
          <w:sz w:val="16"/>
          <w:szCs w:val="16"/>
        </w:rPr>
      </w:pPr>
      <w:r w:rsidRPr="00CC214C">
        <w:rPr>
          <w:rStyle w:val="FootnoteReference"/>
        </w:rPr>
        <w:footnoteRef/>
      </w:r>
      <w:r w:rsidRPr="00257982">
        <w:rPr>
          <w:sz w:val="16"/>
          <w:szCs w:val="16"/>
        </w:rPr>
        <w:t xml:space="preserve"> </w:t>
      </w:r>
      <w:r w:rsidRPr="00257982">
        <w:rPr>
          <w:sz w:val="16"/>
          <w:szCs w:val="16"/>
        </w:rPr>
        <w:tab/>
      </w:r>
      <w:r w:rsidRPr="007B6F15">
        <w:rPr>
          <w:sz w:val="16"/>
          <w:szCs w:val="16"/>
        </w:rPr>
        <w:t>Certificado de Defunción de Graciela Aparicio Pastor, falleció el 5 de noviembre de 1997 (expediente de trámite ante la Comisión, f. 2200).</w:t>
      </w:r>
    </w:p>
  </w:footnote>
  <w:footnote w:id="70">
    <w:p w:rsidR="00B41935" w:rsidRPr="00257982" w:rsidRDefault="00B41935" w:rsidP="00257982">
      <w:pPr>
        <w:pStyle w:val="FootnoteText"/>
        <w:rPr>
          <w:sz w:val="16"/>
          <w:szCs w:val="16"/>
        </w:rPr>
      </w:pPr>
      <w:r w:rsidRPr="007B6F15">
        <w:rPr>
          <w:rStyle w:val="FootnoteReference"/>
        </w:rPr>
        <w:footnoteRef/>
      </w:r>
      <w:r w:rsidRPr="007B6F15">
        <w:rPr>
          <w:sz w:val="16"/>
          <w:szCs w:val="16"/>
        </w:rPr>
        <w:t xml:space="preserve"> </w:t>
      </w:r>
      <w:r w:rsidRPr="007B6F15">
        <w:rPr>
          <w:sz w:val="16"/>
          <w:szCs w:val="16"/>
        </w:rPr>
        <w:tab/>
        <w:t>Certificado de Defunción de Roberto Levi Aparicio, falleció el 21 de octubre de 2001 (expediente de trámite ante la Comisión, f. 2202). Los representantes el 27 de enero de 2017 informaron a la Corte Interamericana sobre</w:t>
      </w:r>
      <w:r w:rsidRPr="00820094">
        <w:rPr>
          <w:sz w:val="16"/>
          <w:szCs w:val="16"/>
        </w:rPr>
        <w:t xml:space="preserve"> el fallecimiento de Federico Díaz Aparicio ocurrido el 12 de abril del 2</w:t>
      </w:r>
      <w:r>
        <w:rPr>
          <w:sz w:val="16"/>
          <w:szCs w:val="16"/>
        </w:rPr>
        <w:t>014 (expediente escrito de alegatos finales de los r</w:t>
      </w:r>
      <w:r w:rsidRPr="00820094">
        <w:rPr>
          <w:sz w:val="16"/>
          <w:szCs w:val="16"/>
        </w:rPr>
        <w:t>epresentantes, f</w:t>
      </w:r>
      <w:r>
        <w:rPr>
          <w:sz w:val="16"/>
          <w:szCs w:val="16"/>
        </w:rPr>
        <w:t>s</w:t>
      </w:r>
      <w:r w:rsidRPr="00820094">
        <w:rPr>
          <w:sz w:val="16"/>
          <w:szCs w:val="16"/>
        </w:rPr>
        <w:t>. 105, 189, y 207).</w:t>
      </w:r>
    </w:p>
  </w:footnote>
  <w:footnote w:id="71">
    <w:p w:rsidR="00B41935" w:rsidRPr="00CC214C" w:rsidRDefault="00B41935" w:rsidP="00257982">
      <w:pPr>
        <w:pStyle w:val="FootnoteText"/>
        <w:rPr>
          <w:sz w:val="16"/>
          <w:szCs w:val="16"/>
        </w:rPr>
      </w:pPr>
      <w:r w:rsidRPr="00CC214C">
        <w:rPr>
          <w:rStyle w:val="FootnoteReference"/>
        </w:rPr>
        <w:footnoteRef/>
      </w:r>
      <w:r w:rsidRPr="00257982">
        <w:rPr>
          <w:sz w:val="16"/>
          <w:szCs w:val="16"/>
        </w:rPr>
        <w:t xml:space="preserve"> </w:t>
      </w:r>
      <w:r w:rsidRPr="00257982">
        <w:rPr>
          <w:sz w:val="16"/>
          <w:szCs w:val="16"/>
        </w:rPr>
        <w:tab/>
      </w:r>
      <w:r w:rsidRPr="00CC214C">
        <w:rPr>
          <w:sz w:val="16"/>
          <w:szCs w:val="16"/>
        </w:rPr>
        <w:t>Manifestación de Teresa Díaz Aparicio de 31 de marzo de 1989 (expediente de prueba, anexo 7 al Informe de Fondo, fs. 68 a 80).</w:t>
      </w:r>
    </w:p>
  </w:footnote>
  <w:footnote w:id="72">
    <w:p w:rsidR="00B41935" w:rsidRPr="000D0383" w:rsidRDefault="00B41935" w:rsidP="000D0383">
      <w:pPr>
        <w:autoSpaceDE w:val="0"/>
        <w:autoSpaceDN w:val="0"/>
        <w:adjustRightInd w:val="0"/>
        <w:rPr>
          <w:rFonts w:eastAsiaTheme="minorHAnsi" w:cs="Arial"/>
          <w:sz w:val="16"/>
          <w:szCs w:val="16"/>
          <w:lang w:val="es-CR"/>
        </w:rPr>
      </w:pPr>
      <w:r w:rsidRPr="00CC214C">
        <w:rPr>
          <w:rStyle w:val="FootnoteReference"/>
        </w:rPr>
        <w:footnoteRef/>
      </w:r>
      <w:r w:rsidRPr="00CC214C">
        <w:rPr>
          <w:sz w:val="16"/>
          <w:szCs w:val="16"/>
        </w:rPr>
        <w:t xml:space="preserve"> </w:t>
      </w:r>
      <w:r w:rsidRPr="00CC214C">
        <w:rPr>
          <w:sz w:val="16"/>
          <w:szCs w:val="16"/>
        </w:rPr>
        <w:tab/>
      </w:r>
      <w:r w:rsidRPr="00CC214C">
        <w:rPr>
          <w:rFonts w:eastAsiaTheme="minorHAnsi" w:cs="Arial"/>
          <w:sz w:val="16"/>
          <w:szCs w:val="16"/>
          <w:lang w:val="es-CR"/>
        </w:rPr>
        <w:t>Segunda Fiscalía Penal Supraprovincial, Expediente No. 11-2007, Parte 775-D3-SDIRCOTE de 28 de</w:t>
      </w:r>
      <w:r>
        <w:rPr>
          <w:rFonts w:eastAsiaTheme="minorHAnsi" w:cs="Arial"/>
          <w:sz w:val="16"/>
          <w:szCs w:val="16"/>
          <w:lang w:val="es-CR"/>
        </w:rPr>
        <w:t xml:space="preserve"> </w:t>
      </w:r>
      <w:r w:rsidRPr="00552A48">
        <w:rPr>
          <w:rFonts w:eastAsiaTheme="minorHAnsi" w:cs="Arial"/>
          <w:sz w:val="16"/>
          <w:szCs w:val="16"/>
          <w:lang w:val="es-CR"/>
        </w:rPr>
        <w:t>marzo de 1989 (expediente de prueba, anexo 8 al Informe de Fondo, f. 82).</w:t>
      </w:r>
    </w:p>
  </w:footnote>
  <w:footnote w:id="73">
    <w:p w:rsidR="00B41935" w:rsidRPr="00257982" w:rsidRDefault="00B41935" w:rsidP="000D0383">
      <w:pPr>
        <w:pStyle w:val="FootnoteText"/>
        <w:rPr>
          <w:sz w:val="16"/>
          <w:szCs w:val="16"/>
        </w:rPr>
      </w:pPr>
      <w:r w:rsidRPr="00CC214C">
        <w:rPr>
          <w:rStyle w:val="FootnoteReference"/>
        </w:rPr>
        <w:footnoteRef/>
      </w:r>
      <w:r w:rsidRPr="00257982">
        <w:rPr>
          <w:sz w:val="16"/>
          <w:szCs w:val="16"/>
        </w:rPr>
        <w:t xml:space="preserve"> </w:t>
      </w:r>
      <w:r w:rsidRPr="00257982">
        <w:rPr>
          <w:sz w:val="16"/>
          <w:szCs w:val="16"/>
        </w:rPr>
        <w:tab/>
      </w:r>
      <w:r w:rsidRPr="00E20C7B">
        <w:rPr>
          <w:i/>
          <w:sz w:val="16"/>
          <w:szCs w:val="16"/>
        </w:rPr>
        <w:t>Cfr.</w:t>
      </w:r>
      <w:r>
        <w:rPr>
          <w:sz w:val="16"/>
          <w:szCs w:val="16"/>
        </w:rPr>
        <w:t xml:space="preserve"> </w:t>
      </w:r>
      <w:r w:rsidRPr="00422365">
        <w:rPr>
          <w:sz w:val="16"/>
          <w:szCs w:val="16"/>
        </w:rPr>
        <w:t>Manifestación de</w:t>
      </w:r>
      <w:r w:rsidRPr="00CC214C">
        <w:rPr>
          <w:sz w:val="16"/>
          <w:szCs w:val="16"/>
        </w:rPr>
        <w:t xml:space="preserve"> Teresa Díaz Aparicio de 31 de marzo de 1989</w:t>
      </w:r>
      <w:r>
        <w:rPr>
          <w:sz w:val="16"/>
          <w:szCs w:val="16"/>
        </w:rPr>
        <w:t xml:space="preserve">, </w:t>
      </w:r>
      <w:r w:rsidRPr="00D92DFF">
        <w:rPr>
          <w:i/>
          <w:sz w:val="16"/>
          <w:szCs w:val="16"/>
        </w:rPr>
        <w:t>supra</w:t>
      </w:r>
      <w:r w:rsidRPr="00CC214C">
        <w:rPr>
          <w:sz w:val="16"/>
          <w:szCs w:val="16"/>
        </w:rPr>
        <w:t>.</w:t>
      </w:r>
    </w:p>
  </w:footnote>
  <w:footnote w:id="74">
    <w:p w:rsidR="00B41935" w:rsidRPr="00F10686" w:rsidRDefault="00B41935" w:rsidP="00257982">
      <w:pPr>
        <w:pStyle w:val="FootnoteText"/>
        <w:rPr>
          <w:sz w:val="16"/>
          <w:szCs w:val="16"/>
        </w:rPr>
      </w:pPr>
      <w:r w:rsidRPr="00CC214C">
        <w:rPr>
          <w:rStyle w:val="FootnoteReference"/>
        </w:rPr>
        <w:footnoteRef/>
      </w:r>
      <w:r w:rsidRPr="00CC214C">
        <w:rPr>
          <w:sz w:val="16"/>
          <w:szCs w:val="16"/>
        </w:rPr>
        <w:t xml:space="preserve"> </w:t>
      </w:r>
      <w:r w:rsidRPr="00CC214C">
        <w:rPr>
          <w:sz w:val="16"/>
          <w:szCs w:val="16"/>
        </w:rPr>
        <w:tab/>
      </w:r>
      <w:r w:rsidRPr="00422365">
        <w:rPr>
          <w:sz w:val="16"/>
          <w:szCs w:val="16"/>
        </w:rPr>
        <w:t>Oficio de</w:t>
      </w:r>
      <w:r w:rsidRPr="00552A48">
        <w:rPr>
          <w:sz w:val="16"/>
          <w:szCs w:val="16"/>
        </w:rPr>
        <w:t xml:space="preserve"> la Policía Nacional de Perú de 5 de abril de 1989, Parte No. 888- D3- SDI</w:t>
      </w:r>
      <w:r>
        <w:rPr>
          <w:sz w:val="16"/>
          <w:szCs w:val="16"/>
        </w:rPr>
        <w:t>R</w:t>
      </w:r>
      <w:r w:rsidRPr="00552A48">
        <w:rPr>
          <w:sz w:val="16"/>
          <w:szCs w:val="16"/>
        </w:rPr>
        <w:t>COTE (e</w:t>
      </w:r>
      <w:r w:rsidRPr="00F10686">
        <w:rPr>
          <w:sz w:val="16"/>
          <w:szCs w:val="16"/>
        </w:rPr>
        <w:t>xpediente de prueba, anexo 9 al Informe</w:t>
      </w:r>
      <w:r>
        <w:rPr>
          <w:sz w:val="16"/>
          <w:szCs w:val="16"/>
        </w:rPr>
        <w:t xml:space="preserve"> de Fondo, fs. 84 a 102</w:t>
      </w:r>
      <w:r w:rsidRPr="00F10686">
        <w:rPr>
          <w:sz w:val="16"/>
          <w:szCs w:val="16"/>
        </w:rPr>
        <w:t>).</w:t>
      </w:r>
    </w:p>
  </w:footnote>
  <w:footnote w:id="75">
    <w:p w:rsidR="00B41935" w:rsidRPr="00CC214C" w:rsidRDefault="00B41935" w:rsidP="00257982">
      <w:pPr>
        <w:pStyle w:val="FootnoteText"/>
        <w:rPr>
          <w:sz w:val="16"/>
          <w:szCs w:val="16"/>
        </w:rPr>
      </w:pPr>
      <w:r w:rsidRPr="00CC214C">
        <w:rPr>
          <w:rStyle w:val="FootnoteReference"/>
        </w:rPr>
        <w:footnoteRef/>
      </w:r>
      <w:r w:rsidRPr="00CC214C">
        <w:rPr>
          <w:sz w:val="16"/>
          <w:szCs w:val="16"/>
        </w:rPr>
        <w:t xml:space="preserve"> </w:t>
      </w:r>
      <w:r w:rsidRPr="00CC214C">
        <w:rPr>
          <w:sz w:val="16"/>
          <w:szCs w:val="16"/>
        </w:rPr>
        <w:tab/>
        <w:t>Resolución de la Fiscalía Provisional en lo Penal de Lima de 7 de abril de 1989 (expediente de prueba, anexo 10 al Informe de Fondo, f. 104).</w:t>
      </w:r>
    </w:p>
  </w:footnote>
  <w:footnote w:id="76">
    <w:p w:rsidR="00B41935" w:rsidRPr="00552A48" w:rsidRDefault="00B41935" w:rsidP="00257982">
      <w:pPr>
        <w:pStyle w:val="FootnoteText"/>
        <w:rPr>
          <w:sz w:val="16"/>
          <w:szCs w:val="16"/>
        </w:rPr>
      </w:pPr>
      <w:r w:rsidRPr="00CC214C">
        <w:rPr>
          <w:rStyle w:val="FootnoteReference"/>
        </w:rPr>
        <w:footnoteRef/>
      </w:r>
      <w:r w:rsidRPr="00CC214C">
        <w:rPr>
          <w:sz w:val="16"/>
          <w:szCs w:val="16"/>
        </w:rPr>
        <w:t xml:space="preserve"> </w:t>
      </w:r>
      <w:r w:rsidRPr="00CC214C">
        <w:rPr>
          <w:sz w:val="16"/>
          <w:szCs w:val="16"/>
        </w:rPr>
        <w:tab/>
        <w:t xml:space="preserve">Declaración testimonial </w:t>
      </w:r>
      <w:r>
        <w:rPr>
          <w:sz w:val="16"/>
          <w:szCs w:val="16"/>
        </w:rPr>
        <w:t xml:space="preserve">de </w:t>
      </w:r>
      <w:r w:rsidRPr="00CC214C">
        <w:rPr>
          <w:sz w:val="16"/>
          <w:szCs w:val="16"/>
        </w:rPr>
        <w:t xml:space="preserve">Federico Díaz Aparicio </w:t>
      </w:r>
      <w:r>
        <w:rPr>
          <w:sz w:val="16"/>
          <w:szCs w:val="16"/>
        </w:rPr>
        <w:t xml:space="preserve">rendida ante la Comisión de la Verdad y Reconciliación </w:t>
      </w:r>
      <w:r w:rsidRPr="00CC214C">
        <w:rPr>
          <w:sz w:val="16"/>
          <w:szCs w:val="16"/>
        </w:rPr>
        <w:t>el 31 de julio de 2002 (expediente de prueba, anexo 15 al Informe de Fon</w:t>
      </w:r>
      <w:r w:rsidRPr="00552A48">
        <w:rPr>
          <w:sz w:val="16"/>
          <w:szCs w:val="16"/>
        </w:rPr>
        <w:t>do, fs. 178 a 180).</w:t>
      </w:r>
    </w:p>
  </w:footnote>
  <w:footnote w:id="77">
    <w:p w:rsidR="00B41935" w:rsidRPr="00D83377" w:rsidRDefault="00B41935" w:rsidP="00257982">
      <w:pPr>
        <w:pStyle w:val="FootnoteText"/>
        <w:rPr>
          <w:sz w:val="16"/>
          <w:szCs w:val="16"/>
        </w:rPr>
      </w:pPr>
      <w:r w:rsidRPr="00CC214C">
        <w:rPr>
          <w:rStyle w:val="FootnoteReference"/>
        </w:rPr>
        <w:footnoteRef/>
      </w:r>
      <w:r w:rsidRPr="00257982">
        <w:rPr>
          <w:sz w:val="16"/>
          <w:szCs w:val="16"/>
        </w:rPr>
        <w:t xml:space="preserve"> </w:t>
      </w:r>
      <w:r w:rsidRPr="00257982">
        <w:rPr>
          <w:sz w:val="16"/>
          <w:szCs w:val="16"/>
        </w:rPr>
        <w:tab/>
      </w:r>
      <w:r w:rsidRPr="00CC214C">
        <w:rPr>
          <w:sz w:val="16"/>
          <w:szCs w:val="16"/>
        </w:rPr>
        <w:t>Oficio N° 124-2005-IN/0105 del Ministerio del Interior de 26 de enero de 2005 (expediente de prueba, anexo 7 al Informe de Fondo, fs. 175 y 176).</w:t>
      </w:r>
      <w:r w:rsidRPr="00CC214C">
        <w:rPr>
          <w:sz w:val="16"/>
          <w:szCs w:val="16"/>
          <w:lang w:val="es-CR"/>
        </w:rPr>
        <w:t xml:space="preserve"> Los días 10 de febrero y 14 de octubre de 1993 el Estado informó a la Comisión Interame</w:t>
      </w:r>
      <w:r w:rsidRPr="00552A48">
        <w:rPr>
          <w:sz w:val="16"/>
          <w:szCs w:val="16"/>
          <w:lang w:val="es-CR"/>
        </w:rPr>
        <w:t>ricana que, de información recepcionada de dis</w:t>
      </w:r>
      <w:r>
        <w:rPr>
          <w:sz w:val="16"/>
          <w:szCs w:val="16"/>
          <w:lang w:val="es-CR"/>
        </w:rPr>
        <w:t xml:space="preserve">tintas dependencias del Estado, </w:t>
      </w:r>
      <w:r w:rsidRPr="00552A48">
        <w:rPr>
          <w:sz w:val="16"/>
          <w:szCs w:val="16"/>
          <w:lang w:val="es-CR"/>
        </w:rPr>
        <w:t>Teresa Díaz Aparicio no se encuentra registrada como detenida ni intervenida por las Fuerzas Armadas ni por los diferentes órganos dependientes de la PNP</w:t>
      </w:r>
      <w:r>
        <w:rPr>
          <w:sz w:val="16"/>
          <w:szCs w:val="16"/>
          <w:lang w:val="es-CR"/>
        </w:rPr>
        <w:t xml:space="preserve">, </w:t>
      </w:r>
      <w:r w:rsidRPr="003D07CE">
        <w:rPr>
          <w:sz w:val="16"/>
          <w:szCs w:val="16"/>
        </w:rPr>
        <w:t xml:space="preserve">Nota N° 7-5-M/336 de 14 octubre de 1993 (expediente </w:t>
      </w:r>
      <w:r w:rsidRPr="00CE6B13">
        <w:rPr>
          <w:sz w:val="16"/>
          <w:szCs w:val="16"/>
        </w:rPr>
        <w:t xml:space="preserve">de prueba, anexo 18 al Informe de Fondo, f. 190). Lo cual fue reiterado por el Estado el 3 de marzo de 2005 (expediente </w:t>
      </w:r>
      <w:r w:rsidRPr="007B6F15">
        <w:rPr>
          <w:sz w:val="16"/>
          <w:szCs w:val="16"/>
        </w:rPr>
        <w:t>de trámite ante la Comisión, fs. 2135 a 2136).</w:t>
      </w:r>
    </w:p>
  </w:footnote>
  <w:footnote w:id="78">
    <w:p w:rsidR="00B41935" w:rsidRPr="00257982" w:rsidRDefault="00B41935" w:rsidP="00257982">
      <w:pPr>
        <w:pStyle w:val="FootnoteText"/>
        <w:rPr>
          <w:sz w:val="16"/>
          <w:szCs w:val="16"/>
        </w:rPr>
      </w:pPr>
      <w:r w:rsidRPr="00CC214C">
        <w:rPr>
          <w:rStyle w:val="FootnoteReference"/>
        </w:rPr>
        <w:footnoteRef/>
      </w:r>
      <w:r w:rsidRPr="00257982">
        <w:rPr>
          <w:sz w:val="16"/>
          <w:szCs w:val="16"/>
        </w:rPr>
        <w:t xml:space="preserve"> </w:t>
      </w:r>
      <w:r w:rsidRPr="00257982">
        <w:rPr>
          <w:sz w:val="16"/>
          <w:szCs w:val="16"/>
        </w:rPr>
        <w:tab/>
      </w:r>
      <w:r w:rsidRPr="00EE0D82">
        <w:rPr>
          <w:sz w:val="16"/>
          <w:szCs w:val="16"/>
        </w:rPr>
        <w:t xml:space="preserve">Comisión de la Verdad y Reconciliación, Informe Final, 2003, </w:t>
      </w:r>
      <w:r w:rsidRPr="0049438A">
        <w:rPr>
          <w:i/>
          <w:sz w:val="16"/>
          <w:szCs w:val="16"/>
        </w:rPr>
        <w:t>supra,</w:t>
      </w:r>
      <w:r>
        <w:rPr>
          <w:sz w:val="16"/>
          <w:szCs w:val="16"/>
        </w:rPr>
        <w:t xml:space="preserve"> </w:t>
      </w:r>
      <w:r w:rsidRPr="00EE0D82">
        <w:rPr>
          <w:rFonts w:cs="Arial"/>
          <w:sz w:val="16"/>
          <w:szCs w:val="16"/>
          <w:lang w:val="es-ES"/>
        </w:rPr>
        <w:t>pág. 124</w:t>
      </w:r>
      <w:r>
        <w:rPr>
          <w:rFonts w:cs="Arial"/>
          <w:sz w:val="16"/>
          <w:szCs w:val="16"/>
          <w:lang w:val="es-ES"/>
        </w:rPr>
        <w:t>.</w:t>
      </w:r>
    </w:p>
  </w:footnote>
  <w:footnote w:id="79">
    <w:p w:rsidR="00B41935" w:rsidRPr="00552A48" w:rsidRDefault="00B41935" w:rsidP="00257982">
      <w:pPr>
        <w:pStyle w:val="FootnoteText"/>
        <w:rPr>
          <w:sz w:val="16"/>
          <w:szCs w:val="16"/>
        </w:rPr>
      </w:pPr>
      <w:r w:rsidRPr="00CC214C">
        <w:rPr>
          <w:rStyle w:val="FootnoteReference"/>
        </w:rPr>
        <w:footnoteRef/>
      </w:r>
      <w:r w:rsidRPr="00CC214C">
        <w:rPr>
          <w:sz w:val="16"/>
          <w:szCs w:val="16"/>
        </w:rPr>
        <w:t xml:space="preserve"> </w:t>
      </w:r>
      <w:r w:rsidRPr="00CC214C">
        <w:rPr>
          <w:sz w:val="16"/>
          <w:szCs w:val="16"/>
        </w:rPr>
        <w:tab/>
        <w:t xml:space="preserve">Declaración testimonial </w:t>
      </w:r>
      <w:r>
        <w:rPr>
          <w:sz w:val="16"/>
          <w:szCs w:val="16"/>
        </w:rPr>
        <w:t xml:space="preserve">de </w:t>
      </w:r>
      <w:r w:rsidRPr="00CC214C">
        <w:rPr>
          <w:sz w:val="16"/>
          <w:szCs w:val="16"/>
        </w:rPr>
        <w:t>Federico Díaz Aparicio el 31 de juli</w:t>
      </w:r>
      <w:r w:rsidRPr="00552A48">
        <w:rPr>
          <w:sz w:val="16"/>
          <w:szCs w:val="16"/>
        </w:rPr>
        <w:t>o de 2002</w:t>
      </w:r>
      <w:r>
        <w:rPr>
          <w:sz w:val="16"/>
          <w:szCs w:val="16"/>
        </w:rPr>
        <w:t xml:space="preserve">, </w:t>
      </w:r>
      <w:r w:rsidRPr="00D92DFF">
        <w:rPr>
          <w:i/>
          <w:sz w:val="16"/>
          <w:szCs w:val="16"/>
        </w:rPr>
        <w:t>supra</w:t>
      </w:r>
      <w:r>
        <w:rPr>
          <w:sz w:val="16"/>
          <w:szCs w:val="16"/>
        </w:rPr>
        <w:t>, y</w:t>
      </w:r>
      <w:r w:rsidRPr="00552A48">
        <w:rPr>
          <w:sz w:val="16"/>
          <w:szCs w:val="16"/>
        </w:rPr>
        <w:t xml:space="preserve"> Notificación al Estado de la denuncia por desaparición forzada de Teresa Díaz Aparicio (expediente de prueba, expediente de trá</w:t>
      </w:r>
      <w:r>
        <w:rPr>
          <w:sz w:val="16"/>
          <w:szCs w:val="16"/>
        </w:rPr>
        <w:t>mite ante la Comisión</w:t>
      </w:r>
      <w:r w:rsidRPr="00552A48">
        <w:rPr>
          <w:sz w:val="16"/>
          <w:szCs w:val="16"/>
        </w:rPr>
        <w:t>, fs. 2233 a 2238). E</w:t>
      </w:r>
      <w:r w:rsidRPr="00F10686">
        <w:rPr>
          <w:sz w:val="16"/>
          <w:szCs w:val="16"/>
        </w:rPr>
        <w:t>l 28 de agosto de 1992 Rodolfo Asencio Martel, Federico Díaz Aparicio y la Asociación Pro Derechos Humanos presentaron la petición ante la Comisión por la detención y desaparición.</w:t>
      </w:r>
      <w:r w:rsidRPr="00257982">
        <w:rPr>
          <w:rFonts w:cs="Arial"/>
          <w:color w:val="222222"/>
          <w:sz w:val="16"/>
          <w:szCs w:val="16"/>
          <w:shd w:val="clear" w:color="auto" w:fill="FFFFFF"/>
          <w:lang w:val="es-CR"/>
        </w:rPr>
        <w:t xml:space="preserve"> </w:t>
      </w:r>
      <w:r w:rsidRPr="00CC214C">
        <w:rPr>
          <w:rFonts w:cs="Arial"/>
          <w:color w:val="222222"/>
          <w:sz w:val="16"/>
          <w:szCs w:val="16"/>
          <w:shd w:val="clear" w:color="auto" w:fill="FFFFFF"/>
          <w:lang w:val="es-CR"/>
        </w:rPr>
        <w:t>El 2 de septiembre de 1992 la Comisión notificó al Estado la petición respecto de la presunta desaparición forzada de Teresa Díaz Aparicio</w:t>
      </w:r>
      <w:r w:rsidRPr="00257982">
        <w:rPr>
          <w:color w:val="222222"/>
          <w:sz w:val="16"/>
          <w:szCs w:val="16"/>
          <w:shd w:val="clear" w:color="auto" w:fill="FFFFFF"/>
          <w:lang w:val="es-CR"/>
        </w:rPr>
        <w:t>.</w:t>
      </w:r>
      <w:r w:rsidRPr="00257982">
        <w:rPr>
          <w:rFonts w:cs="Arial"/>
          <w:color w:val="222222"/>
          <w:sz w:val="16"/>
          <w:szCs w:val="16"/>
          <w:shd w:val="clear" w:color="auto" w:fill="FFFFFF"/>
          <w:lang w:val="es-CR"/>
        </w:rPr>
        <w:t xml:space="preserve"> </w:t>
      </w:r>
      <w:r w:rsidRPr="00CC214C">
        <w:rPr>
          <w:rFonts w:cs="Arial"/>
          <w:color w:val="222222"/>
          <w:sz w:val="16"/>
          <w:szCs w:val="16"/>
          <w:shd w:val="clear" w:color="auto" w:fill="FFFFFF"/>
          <w:lang w:val="es-CR"/>
        </w:rPr>
        <w:t xml:space="preserve">En su Informe sobre la situación de los Derechos Humanos en Perú de 12 de marzo de 1993 la Comisión manifestó preocupación por denuncias de desaparición de varias personas entre mayo y agosto de 1992, entre las cuales se encontraba la presunta víctima. </w:t>
      </w:r>
      <w:r w:rsidRPr="00552A48">
        <w:rPr>
          <w:rFonts w:cs="Arial"/>
          <w:i/>
          <w:color w:val="222222"/>
          <w:sz w:val="16"/>
          <w:szCs w:val="16"/>
          <w:shd w:val="clear" w:color="auto" w:fill="FFFFFF"/>
          <w:lang w:val="es-CR"/>
        </w:rPr>
        <w:t>Cfr.</w:t>
      </w:r>
      <w:r w:rsidRPr="00552A48">
        <w:rPr>
          <w:sz w:val="16"/>
          <w:szCs w:val="16"/>
        </w:rPr>
        <w:t xml:space="preserve"> CIDH, Segundo Informe Sobre la Situación de los Derechos Humanos en Perú, 12 marzo 1993, párrafo 90, disponible en: www.cidh.org/countryrep/Peru93sp/iii.htm.</w:t>
      </w:r>
    </w:p>
  </w:footnote>
  <w:footnote w:id="80">
    <w:p w:rsidR="00B41935" w:rsidRPr="00F10686" w:rsidRDefault="00B41935" w:rsidP="00257982">
      <w:pPr>
        <w:pStyle w:val="FootnoteText"/>
        <w:rPr>
          <w:sz w:val="16"/>
          <w:szCs w:val="16"/>
        </w:rPr>
      </w:pPr>
      <w:r w:rsidRPr="00CC214C">
        <w:rPr>
          <w:rStyle w:val="FootnoteReference"/>
        </w:rPr>
        <w:footnoteRef/>
      </w:r>
      <w:r w:rsidRPr="00CC214C">
        <w:rPr>
          <w:sz w:val="16"/>
          <w:szCs w:val="16"/>
        </w:rPr>
        <w:t xml:space="preserve"> </w:t>
      </w:r>
      <w:r w:rsidRPr="00CC214C">
        <w:rPr>
          <w:sz w:val="16"/>
          <w:szCs w:val="16"/>
        </w:rPr>
        <w:tab/>
      </w:r>
      <w:r w:rsidRPr="00E20C7B">
        <w:rPr>
          <w:i/>
          <w:sz w:val="16"/>
          <w:szCs w:val="16"/>
        </w:rPr>
        <w:t>Cfr.</w:t>
      </w:r>
      <w:r>
        <w:rPr>
          <w:sz w:val="16"/>
          <w:szCs w:val="16"/>
        </w:rPr>
        <w:t xml:space="preserve"> Recurso</w:t>
      </w:r>
      <w:r w:rsidRPr="00552A48">
        <w:rPr>
          <w:sz w:val="16"/>
          <w:szCs w:val="16"/>
        </w:rPr>
        <w:t xml:space="preserve"> de hábeas corpus</w:t>
      </w:r>
      <w:r w:rsidRPr="00F10686">
        <w:rPr>
          <w:sz w:val="16"/>
          <w:szCs w:val="16"/>
        </w:rPr>
        <w:t xml:space="preserve"> presentado por Federico Díaz Aparicio el 27 de febrero de 2002 (</w:t>
      </w:r>
      <w:r w:rsidRPr="007B6F15">
        <w:rPr>
          <w:sz w:val="16"/>
          <w:szCs w:val="16"/>
        </w:rPr>
        <w:t xml:space="preserve">expediente </w:t>
      </w:r>
      <w:r>
        <w:rPr>
          <w:sz w:val="16"/>
          <w:szCs w:val="16"/>
        </w:rPr>
        <w:t xml:space="preserve">de </w:t>
      </w:r>
      <w:r w:rsidRPr="007B6F15">
        <w:rPr>
          <w:sz w:val="16"/>
          <w:szCs w:val="16"/>
        </w:rPr>
        <w:t>trámite ante la Comisión</w:t>
      </w:r>
      <w:r w:rsidRPr="00F10686">
        <w:rPr>
          <w:sz w:val="16"/>
          <w:szCs w:val="16"/>
        </w:rPr>
        <w:t>, fs. 2749 a 2752). El hábeas corpus tiene fecha de 25 de febrero de 2002, y consta que fue presentado el 27 de los mismos mes y año.</w:t>
      </w:r>
    </w:p>
  </w:footnote>
  <w:footnote w:id="81">
    <w:p w:rsidR="00B41935" w:rsidRPr="00CC214C" w:rsidRDefault="00B41935" w:rsidP="00257982">
      <w:pPr>
        <w:pStyle w:val="FootnoteText"/>
        <w:rPr>
          <w:sz w:val="16"/>
          <w:szCs w:val="16"/>
        </w:rPr>
      </w:pPr>
      <w:r w:rsidRPr="00CC214C">
        <w:rPr>
          <w:rStyle w:val="FootnoteReference"/>
        </w:rPr>
        <w:footnoteRef/>
      </w:r>
      <w:r w:rsidRPr="00257982">
        <w:rPr>
          <w:sz w:val="16"/>
          <w:szCs w:val="16"/>
        </w:rPr>
        <w:t xml:space="preserve"> </w:t>
      </w:r>
      <w:r w:rsidRPr="00257982">
        <w:rPr>
          <w:sz w:val="16"/>
          <w:szCs w:val="16"/>
        </w:rPr>
        <w:tab/>
      </w:r>
      <w:r w:rsidRPr="00CC214C">
        <w:rPr>
          <w:sz w:val="16"/>
          <w:szCs w:val="16"/>
        </w:rPr>
        <w:t xml:space="preserve"> Resolución N° 1 </w:t>
      </w:r>
      <w:r>
        <w:rPr>
          <w:sz w:val="16"/>
          <w:szCs w:val="16"/>
        </w:rPr>
        <w:t xml:space="preserve">del </w:t>
      </w:r>
      <w:r w:rsidRPr="00CC214C">
        <w:rPr>
          <w:sz w:val="16"/>
          <w:szCs w:val="16"/>
        </w:rPr>
        <w:t>Décimo Juzgado Penal del Lima de 27 de febrero de 2002 (expediente de prueba, anexo 20 al Informe de Fondo, fs. 196 y 197).</w:t>
      </w:r>
    </w:p>
  </w:footnote>
  <w:footnote w:id="82">
    <w:p w:rsidR="00B41935" w:rsidRPr="00F10686" w:rsidRDefault="00B41935" w:rsidP="00257982">
      <w:pPr>
        <w:pStyle w:val="FootnoteText"/>
        <w:rPr>
          <w:sz w:val="16"/>
          <w:szCs w:val="16"/>
        </w:rPr>
      </w:pPr>
      <w:r w:rsidRPr="00CC214C">
        <w:rPr>
          <w:rStyle w:val="FootnoteReference"/>
        </w:rPr>
        <w:footnoteRef/>
      </w:r>
      <w:r w:rsidRPr="00CC214C">
        <w:rPr>
          <w:sz w:val="16"/>
          <w:szCs w:val="16"/>
        </w:rPr>
        <w:t xml:space="preserve"> </w:t>
      </w:r>
      <w:r w:rsidRPr="00CC214C">
        <w:rPr>
          <w:sz w:val="16"/>
          <w:szCs w:val="16"/>
        </w:rPr>
        <w:tab/>
      </w:r>
      <w:r w:rsidRPr="00552A48">
        <w:rPr>
          <w:i/>
          <w:sz w:val="16"/>
          <w:szCs w:val="16"/>
        </w:rPr>
        <w:t>Cfr</w:t>
      </w:r>
      <w:r w:rsidRPr="00552A48">
        <w:rPr>
          <w:sz w:val="16"/>
          <w:szCs w:val="16"/>
        </w:rPr>
        <w:t>. Recurso impugnatorio de Apelación interpuesto por Federico Díaz Aparicio ante el Juzgado 19 P</w:t>
      </w:r>
      <w:r w:rsidRPr="00F10686">
        <w:rPr>
          <w:sz w:val="16"/>
          <w:szCs w:val="16"/>
        </w:rPr>
        <w:t xml:space="preserve">enal de Lima </w:t>
      </w:r>
      <w:r w:rsidRPr="00552A48">
        <w:rPr>
          <w:sz w:val="16"/>
          <w:szCs w:val="16"/>
        </w:rPr>
        <w:t xml:space="preserve">el 6 de marzo de 2002 </w:t>
      </w:r>
      <w:r w:rsidRPr="00F10686">
        <w:rPr>
          <w:sz w:val="16"/>
          <w:szCs w:val="16"/>
        </w:rPr>
        <w:t xml:space="preserve">(expediente de prueba, anexo 21 al Informe de Fondo, fs. 199 y 200). </w:t>
      </w:r>
      <w:r>
        <w:rPr>
          <w:sz w:val="16"/>
          <w:szCs w:val="16"/>
        </w:rPr>
        <w:t xml:space="preserve">El recurso impugnatorio tiene fecha de 6 de marzo de 2002, y consta que fue presentado el 7 de los mismos mes y </w:t>
      </w:r>
      <w:r w:rsidRPr="00F10686">
        <w:rPr>
          <w:sz w:val="16"/>
          <w:szCs w:val="16"/>
        </w:rPr>
        <w:t>año</w:t>
      </w:r>
      <w:r>
        <w:rPr>
          <w:sz w:val="16"/>
          <w:szCs w:val="16"/>
        </w:rPr>
        <w:t>.</w:t>
      </w:r>
    </w:p>
  </w:footnote>
  <w:footnote w:id="83">
    <w:p w:rsidR="00B41935" w:rsidRPr="00F10686" w:rsidRDefault="00B41935" w:rsidP="00257982">
      <w:pPr>
        <w:pStyle w:val="FootnoteText"/>
        <w:rPr>
          <w:sz w:val="16"/>
          <w:szCs w:val="16"/>
        </w:rPr>
      </w:pPr>
      <w:r w:rsidRPr="00CC214C">
        <w:rPr>
          <w:rStyle w:val="FootnoteReference"/>
        </w:rPr>
        <w:footnoteRef/>
      </w:r>
      <w:r w:rsidRPr="00CC214C">
        <w:rPr>
          <w:sz w:val="16"/>
          <w:szCs w:val="16"/>
        </w:rPr>
        <w:t xml:space="preserve"> </w:t>
      </w:r>
      <w:r w:rsidRPr="00CC214C">
        <w:rPr>
          <w:sz w:val="16"/>
          <w:szCs w:val="16"/>
        </w:rPr>
        <w:tab/>
      </w:r>
      <w:r w:rsidRPr="00552A48">
        <w:rPr>
          <w:i/>
          <w:sz w:val="16"/>
          <w:szCs w:val="16"/>
        </w:rPr>
        <w:t>Cfr.</w:t>
      </w:r>
      <w:r w:rsidRPr="00552A48">
        <w:rPr>
          <w:sz w:val="16"/>
          <w:szCs w:val="16"/>
        </w:rPr>
        <w:t xml:space="preserve"> Juzgado Décimo Noveno en lo Penal de Lima, Cédula de N</w:t>
      </w:r>
      <w:r>
        <w:rPr>
          <w:sz w:val="16"/>
          <w:szCs w:val="16"/>
        </w:rPr>
        <w:t>otificación Judicial N° 06-02 há</w:t>
      </w:r>
      <w:r w:rsidRPr="00552A48">
        <w:rPr>
          <w:sz w:val="16"/>
          <w:szCs w:val="16"/>
        </w:rPr>
        <w:t>beas corpus de 8 de marzo de 2002 (expediente de prueba, anexo 22 al Informe de</w:t>
      </w:r>
      <w:r w:rsidRPr="00F10686">
        <w:rPr>
          <w:sz w:val="16"/>
          <w:szCs w:val="16"/>
        </w:rPr>
        <w:t xml:space="preserve"> Fondo, f. 202). </w:t>
      </w:r>
    </w:p>
  </w:footnote>
  <w:footnote w:id="84">
    <w:p w:rsidR="00B41935" w:rsidRPr="00CC214C" w:rsidRDefault="00B41935" w:rsidP="00257982">
      <w:pPr>
        <w:pStyle w:val="FootnoteText"/>
        <w:rPr>
          <w:sz w:val="16"/>
          <w:szCs w:val="16"/>
        </w:rPr>
      </w:pPr>
      <w:r w:rsidRPr="00CC214C">
        <w:rPr>
          <w:rStyle w:val="FootnoteReference"/>
        </w:rPr>
        <w:footnoteRef/>
      </w:r>
      <w:r w:rsidRPr="00CC214C">
        <w:rPr>
          <w:sz w:val="16"/>
          <w:szCs w:val="16"/>
        </w:rPr>
        <w:t xml:space="preserve"> </w:t>
      </w:r>
      <w:r w:rsidRPr="00CC214C">
        <w:rPr>
          <w:sz w:val="16"/>
          <w:szCs w:val="16"/>
        </w:rPr>
        <w:tab/>
        <w:t>Resolución N° 137-“A” Expediente N° 108-02-HC de la Primera Sala Penal de 21 marzo de 2002 (expediente de prueba, anexo 23 al Informe de Fondo, fs. 204 y 205).</w:t>
      </w:r>
    </w:p>
  </w:footnote>
  <w:footnote w:id="85">
    <w:p w:rsidR="00B41935" w:rsidRPr="00552A48" w:rsidRDefault="00B41935" w:rsidP="00257982">
      <w:pPr>
        <w:pStyle w:val="FootnoteText"/>
        <w:rPr>
          <w:sz w:val="16"/>
          <w:szCs w:val="16"/>
        </w:rPr>
      </w:pPr>
      <w:r w:rsidRPr="00CC214C">
        <w:rPr>
          <w:rStyle w:val="FootnoteReference"/>
        </w:rPr>
        <w:footnoteRef/>
      </w:r>
      <w:r w:rsidRPr="00CC214C">
        <w:rPr>
          <w:sz w:val="16"/>
          <w:szCs w:val="16"/>
        </w:rPr>
        <w:t xml:space="preserve"> </w:t>
      </w:r>
      <w:r w:rsidRPr="00CC214C">
        <w:rPr>
          <w:sz w:val="16"/>
          <w:szCs w:val="16"/>
        </w:rPr>
        <w:tab/>
        <w:t>Resolución Judicial del Décimo Noveno</w:t>
      </w:r>
      <w:r w:rsidRPr="00552A48">
        <w:rPr>
          <w:sz w:val="16"/>
          <w:szCs w:val="16"/>
        </w:rPr>
        <w:t xml:space="preserve"> Juzgado en lo Penal de Lima de 3 de mayo de 2002 (expediente de prueba, anexo 24 al Informe de Fondo, fs. 207 y 208).</w:t>
      </w:r>
    </w:p>
  </w:footnote>
  <w:footnote w:id="86">
    <w:p w:rsidR="00B41935" w:rsidRPr="00552A48" w:rsidRDefault="00B41935" w:rsidP="00257982">
      <w:pPr>
        <w:pStyle w:val="FootnoteText"/>
        <w:rPr>
          <w:sz w:val="16"/>
          <w:szCs w:val="16"/>
        </w:rPr>
      </w:pPr>
      <w:r w:rsidRPr="00CC214C">
        <w:rPr>
          <w:rStyle w:val="FootnoteReference"/>
        </w:rPr>
        <w:footnoteRef/>
      </w:r>
      <w:r w:rsidRPr="00CC214C">
        <w:rPr>
          <w:sz w:val="16"/>
          <w:szCs w:val="16"/>
        </w:rPr>
        <w:t xml:space="preserve"> </w:t>
      </w:r>
      <w:r w:rsidRPr="00CC214C">
        <w:rPr>
          <w:sz w:val="16"/>
          <w:szCs w:val="16"/>
        </w:rPr>
        <w:tab/>
        <w:t xml:space="preserve">Recurso </w:t>
      </w:r>
      <w:r>
        <w:rPr>
          <w:sz w:val="16"/>
          <w:szCs w:val="16"/>
        </w:rPr>
        <w:t xml:space="preserve">de </w:t>
      </w:r>
      <w:r w:rsidRPr="00CC214C">
        <w:rPr>
          <w:sz w:val="16"/>
          <w:szCs w:val="16"/>
        </w:rPr>
        <w:t xml:space="preserve">Apelación presentado ante la 1º Sala Penal de Lima el 23 de mayo de 2002 (expediente </w:t>
      </w:r>
      <w:r w:rsidRPr="007B6F15">
        <w:rPr>
          <w:sz w:val="16"/>
          <w:szCs w:val="16"/>
        </w:rPr>
        <w:t>de trámite ante la Comisión, f. 2658).</w:t>
      </w:r>
    </w:p>
  </w:footnote>
  <w:footnote w:id="87">
    <w:p w:rsidR="00B41935" w:rsidRPr="00257982" w:rsidRDefault="00B41935" w:rsidP="00257982">
      <w:pPr>
        <w:pStyle w:val="FootnoteText"/>
        <w:rPr>
          <w:sz w:val="16"/>
          <w:szCs w:val="16"/>
        </w:rPr>
      </w:pPr>
      <w:r w:rsidRPr="00CC214C">
        <w:rPr>
          <w:rStyle w:val="FootnoteReference"/>
        </w:rPr>
        <w:footnoteRef/>
      </w:r>
      <w:r w:rsidRPr="00CC214C">
        <w:rPr>
          <w:sz w:val="16"/>
          <w:szCs w:val="16"/>
        </w:rPr>
        <w:t xml:space="preserve"> </w:t>
      </w:r>
      <w:r w:rsidRPr="00CC214C">
        <w:rPr>
          <w:sz w:val="16"/>
          <w:szCs w:val="16"/>
        </w:rPr>
        <w:tab/>
        <w:t>Resolución 301 “A” de la Sala Primera de la Corte Superior de Justicia de 30 de mayo de 2002 (expediente de prueba, anexo 25 al Informe de Fondo, fs. 210 a 212).</w:t>
      </w:r>
    </w:p>
  </w:footnote>
  <w:footnote w:id="88">
    <w:p w:rsidR="00B41935" w:rsidRPr="00422365" w:rsidRDefault="00B41935" w:rsidP="00257982">
      <w:pPr>
        <w:pStyle w:val="FootnoteText"/>
        <w:rPr>
          <w:sz w:val="16"/>
          <w:szCs w:val="16"/>
          <w:lang w:val="es-CR"/>
        </w:rPr>
      </w:pPr>
      <w:r w:rsidRPr="00CC214C">
        <w:rPr>
          <w:rStyle w:val="FootnoteReference"/>
        </w:rPr>
        <w:footnoteRef/>
      </w:r>
      <w:r w:rsidRPr="00257982">
        <w:rPr>
          <w:sz w:val="16"/>
          <w:szCs w:val="16"/>
        </w:rPr>
        <w:t xml:space="preserve"> </w:t>
      </w:r>
      <w:r w:rsidRPr="00257982">
        <w:rPr>
          <w:sz w:val="16"/>
          <w:szCs w:val="16"/>
        </w:rPr>
        <w:tab/>
      </w:r>
      <w:r w:rsidRPr="00CC214C">
        <w:rPr>
          <w:rFonts w:eastAsiaTheme="minorHAnsi" w:cs="Arial"/>
          <w:sz w:val="16"/>
          <w:szCs w:val="16"/>
          <w:lang w:val="es-CR"/>
        </w:rPr>
        <w:t>En cumplimiento de la resolución de la Fiscalía de la Nación No. 1531-2006-MP-FN dispuso la carga procesal de la Fiscalía Especializada para Desapariciones Forzadas, entonces denominada Quinta Fiscalía P</w:t>
      </w:r>
      <w:r w:rsidRPr="00552A48">
        <w:rPr>
          <w:rFonts w:eastAsiaTheme="minorHAnsi" w:cs="Arial"/>
          <w:sz w:val="16"/>
          <w:szCs w:val="16"/>
          <w:lang w:val="es-CR"/>
        </w:rPr>
        <w:t>enal Supraprovincial entre otras fiscalías. (</w:t>
      </w:r>
      <w:r w:rsidRPr="00E20C7B">
        <w:rPr>
          <w:i/>
          <w:sz w:val="16"/>
          <w:szCs w:val="16"/>
        </w:rPr>
        <w:t>Cfr.</w:t>
      </w:r>
      <w:r>
        <w:rPr>
          <w:sz w:val="16"/>
          <w:szCs w:val="16"/>
        </w:rPr>
        <w:t xml:space="preserve"> </w:t>
      </w:r>
      <w:r w:rsidRPr="00422365">
        <w:rPr>
          <w:rFonts w:eastAsiaTheme="minorHAnsi" w:cs="Arial"/>
          <w:sz w:val="16"/>
          <w:szCs w:val="16"/>
          <w:lang w:val="es-CR"/>
        </w:rPr>
        <w:t>Resolución</w:t>
      </w:r>
      <w:r w:rsidRPr="00552A48">
        <w:rPr>
          <w:rFonts w:eastAsiaTheme="minorHAnsi" w:cs="Arial"/>
          <w:sz w:val="16"/>
          <w:szCs w:val="16"/>
          <w:lang w:val="es-CR"/>
        </w:rPr>
        <w:t xml:space="preserve"> de la Fiscalía Superior Coordinadora de la Fiscalía Superior Penal Nacional y Fiscalías Penales Supraprovinciales de 18 de diciembre de 2006 (expediente </w:t>
      </w:r>
      <w:r>
        <w:rPr>
          <w:rFonts w:eastAsiaTheme="minorHAnsi" w:cs="Arial"/>
          <w:sz w:val="16"/>
          <w:szCs w:val="16"/>
          <w:lang w:val="es-CR"/>
        </w:rPr>
        <w:t xml:space="preserve">de </w:t>
      </w:r>
      <w:r w:rsidRPr="00552A48">
        <w:rPr>
          <w:rFonts w:eastAsiaTheme="minorHAnsi" w:cs="Arial"/>
          <w:sz w:val="16"/>
          <w:szCs w:val="16"/>
          <w:lang w:val="es-CR"/>
        </w:rPr>
        <w:t xml:space="preserve">trámite ante la Comisión, f. 2603). </w:t>
      </w:r>
    </w:p>
  </w:footnote>
  <w:footnote w:id="89">
    <w:p w:rsidR="00B41935" w:rsidRPr="00563483" w:rsidRDefault="00B41935" w:rsidP="00257982">
      <w:pPr>
        <w:autoSpaceDE w:val="0"/>
        <w:autoSpaceDN w:val="0"/>
        <w:adjustRightInd w:val="0"/>
        <w:rPr>
          <w:sz w:val="16"/>
          <w:szCs w:val="16"/>
          <w:lang w:val="es-CR"/>
        </w:rPr>
      </w:pPr>
      <w:r w:rsidRPr="00563483">
        <w:rPr>
          <w:rStyle w:val="FootnoteReference"/>
        </w:rPr>
        <w:footnoteRef/>
      </w:r>
      <w:r w:rsidRPr="00563483">
        <w:rPr>
          <w:sz w:val="16"/>
          <w:szCs w:val="16"/>
        </w:rPr>
        <w:t xml:space="preserve"> </w:t>
      </w:r>
      <w:r w:rsidRPr="00563483">
        <w:rPr>
          <w:sz w:val="16"/>
          <w:szCs w:val="16"/>
        </w:rPr>
        <w:tab/>
      </w:r>
      <w:r w:rsidRPr="00563483">
        <w:rPr>
          <w:rFonts w:eastAsiaTheme="minorHAnsi" w:cs="Arial"/>
          <w:sz w:val="16"/>
          <w:szCs w:val="16"/>
          <w:lang w:val="es-CR"/>
        </w:rPr>
        <w:t xml:space="preserve">Resolución Ingreso N° 522-02 de la Fiscalía Especializada para Desapariciones Forzosas, Ejecuciones Extrajudiciales y Exhumación de Fosas Clandestinas del Ministerio Público de 11 de septiembre de 2002 (expediente de prueba, anexo 26 al Informe de Fondo, fs. 214 a 216). </w:t>
      </w:r>
    </w:p>
  </w:footnote>
  <w:footnote w:id="90">
    <w:p w:rsidR="00B41935" w:rsidRPr="00257982" w:rsidRDefault="00B41935" w:rsidP="00257982">
      <w:pPr>
        <w:pStyle w:val="FootnoteText"/>
        <w:rPr>
          <w:sz w:val="16"/>
          <w:szCs w:val="16"/>
        </w:rPr>
      </w:pPr>
      <w:r w:rsidRPr="00CC214C">
        <w:rPr>
          <w:rStyle w:val="FootnoteReference"/>
        </w:rPr>
        <w:footnoteRef/>
      </w:r>
      <w:r w:rsidRPr="00257982">
        <w:rPr>
          <w:sz w:val="16"/>
          <w:szCs w:val="16"/>
        </w:rPr>
        <w:t xml:space="preserve"> </w:t>
      </w:r>
      <w:r w:rsidRPr="00257982">
        <w:rPr>
          <w:sz w:val="16"/>
          <w:szCs w:val="16"/>
        </w:rPr>
        <w:tab/>
      </w:r>
      <w:r>
        <w:rPr>
          <w:sz w:val="16"/>
          <w:szCs w:val="16"/>
        </w:rPr>
        <w:t xml:space="preserve">Informe N° 51-2005-JUS/CNDH-SE/CESAPI del Estado de Perú de 3 de mayo de 2005, </w:t>
      </w:r>
      <w:r w:rsidRPr="00871ABC">
        <w:rPr>
          <w:i/>
          <w:sz w:val="16"/>
          <w:szCs w:val="16"/>
        </w:rPr>
        <w:t>supra</w:t>
      </w:r>
      <w:r w:rsidRPr="00D55362">
        <w:rPr>
          <w:i/>
          <w:sz w:val="16"/>
          <w:szCs w:val="16"/>
        </w:rPr>
        <w:t>,</w:t>
      </w:r>
      <w:r>
        <w:rPr>
          <w:sz w:val="16"/>
          <w:szCs w:val="16"/>
        </w:rPr>
        <w:t xml:space="preserve"> (</w:t>
      </w:r>
      <w:r w:rsidRPr="007B6F15">
        <w:rPr>
          <w:sz w:val="16"/>
          <w:szCs w:val="16"/>
        </w:rPr>
        <w:t>expediente de trámite ante la Comisión, f. 2123).</w:t>
      </w:r>
      <w:r>
        <w:rPr>
          <w:sz w:val="16"/>
          <w:szCs w:val="16"/>
        </w:rPr>
        <w:t xml:space="preserve"> </w:t>
      </w:r>
    </w:p>
  </w:footnote>
  <w:footnote w:id="91">
    <w:p w:rsidR="00B41935" w:rsidRPr="00257982" w:rsidRDefault="00B41935" w:rsidP="00257982">
      <w:pPr>
        <w:autoSpaceDE w:val="0"/>
        <w:autoSpaceDN w:val="0"/>
        <w:adjustRightInd w:val="0"/>
        <w:rPr>
          <w:sz w:val="16"/>
          <w:szCs w:val="16"/>
          <w:lang w:val="es-CR"/>
        </w:rPr>
      </w:pPr>
      <w:r w:rsidRPr="00CC214C">
        <w:rPr>
          <w:rStyle w:val="FootnoteReference"/>
        </w:rPr>
        <w:footnoteRef/>
      </w:r>
      <w:r w:rsidRPr="00257982">
        <w:rPr>
          <w:sz w:val="16"/>
          <w:szCs w:val="16"/>
        </w:rPr>
        <w:t xml:space="preserve"> </w:t>
      </w:r>
      <w:r w:rsidRPr="00257982">
        <w:rPr>
          <w:sz w:val="16"/>
          <w:szCs w:val="16"/>
        </w:rPr>
        <w:tab/>
      </w:r>
      <w:r w:rsidRPr="00CC214C">
        <w:rPr>
          <w:sz w:val="16"/>
          <w:szCs w:val="16"/>
        </w:rPr>
        <w:t xml:space="preserve">Oficio N° 276-04-DIRINCRI-PNP/DIVNHOM.DEPINHOM.GOP de 7 de abril de 2004 (expediente de prueba, anexo 27 al Informe </w:t>
      </w:r>
      <w:r>
        <w:rPr>
          <w:sz w:val="16"/>
          <w:szCs w:val="16"/>
        </w:rPr>
        <w:t>de Fondo, fs. 218 a 224</w:t>
      </w:r>
      <w:r w:rsidRPr="00CC214C">
        <w:rPr>
          <w:sz w:val="16"/>
          <w:szCs w:val="16"/>
        </w:rPr>
        <w:t>).</w:t>
      </w:r>
      <w:r w:rsidRPr="00257982">
        <w:rPr>
          <w:sz w:val="16"/>
          <w:szCs w:val="16"/>
        </w:rPr>
        <w:t xml:space="preserve"> </w:t>
      </w:r>
      <w:r w:rsidRPr="00F55D26">
        <w:rPr>
          <w:sz w:val="16"/>
          <w:szCs w:val="16"/>
        </w:rPr>
        <w:t>Entre las diligencias están: 1) se recepcionó la declaración de Federico Díaz Aparicio; 2) se recabó documentación del INPE sobre la situación de las personas que fueron detenidas con Teresa Díaz en 1989; 3) se recibió información de la UNMSM sobre Teresa Díaz Aparicio; 4) se recepcionaron 14 protocolos de necropsia de cadáveres NN de sexo femenino, ingresados al Instituto de Medicina legal entre los meses de agosto y diciembre de 1992, y 5) se recepcionó información sobre las autoridades de la Facultad de Ciencias Soci</w:t>
      </w:r>
      <w:r>
        <w:rPr>
          <w:sz w:val="16"/>
          <w:szCs w:val="16"/>
        </w:rPr>
        <w:t>al</w:t>
      </w:r>
      <w:r w:rsidRPr="00F55D26">
        <w:rPr>
          <w:sz w:val="16"/>
          <w:szCs w:val="16"/>
        </w:rPr>
        <w:t>es de la UNMSM, información de la contratación de Teresa Díaz Aparicio y el cese de la misma por abandono de labores.</w:t>
      </w:r>
    </w:p>
  </w:footnote>
  <w:footnote w:id="92">
    <w:p w:rsidR="00B41935" w:rsidRPr="00F10686" w:rsidRDefault="00B41935" w:rsidP="00257982">
      <w:pPr>
        <w:pStyle w:val="FootnoteText"/>
        <w:rPr>
          <w:sz w:val="16"/>
          <w:szCs w:val="16"/>
        </w:rPr>
      </w:pPr>
      <w:r w:rsidRPr="00CC214C">
        <w:rPr>
          <w:rStyle w:val="FootnoteReference"/>
        </w:rPr>
        <w:footnoteRef/>
      </w:r>
      <w:r w:rsidRPr="00257982">
        <w:rPr>
          <w:sz w:val="16"/>
          <w:szCs w:val="16"/>
        </w:rPr>
        <w:t xml:space="preserve"> </w:t>
      </w:r>
      <w:r w:rsidRPr="00CC214C">
        <w:rPr>
          <w:sz w:val="16"/>
          <w:szCs w:val="16"/>
        </w:rPr>
        <w:tab/>
        <w:t xml:space="preserve">Resolución Ingreso No. 552-02 de la </w:t>
      </w:r>
      <w:r w:rsidRPr="00CC214C">
        <w:rPr>
          <w:rFonts w:eastAsiaTheme="minorHAnsi" w:cs="Arial"/>
          <w:sz w:val="16"/>
          <w:szCs w:val="16"/>
          <w:lang w:val="es-CR"/>
        </w:rPr>
        <w:t>Fiscalía Especializada para Desapariciones Forzosas, Ejecuciones Extrajudiciales y Exhumación de Fosas Clande</w:t>
      </w:r>
      <w:r w:rsidRPr="00552A48">
        <w:rPr>
          <w:rFonts w:eastAsiaTheme="minorHAnsi" w:cs="Arial"/>
          <w:sz w:val="16"/>
          <w:szCs w:val="16"/>
          <w:lang w:val="es-CR"/>
        </w:rPr>
        <w:t xml:space="preserve">stinas del Ministerio Público de </w:t>
      </w:r>
      <w:r w:rsidRPr="00552A48">
        <w:rPr>
          <w:sz w:val="16"/>
          <w:szCs w:val="16"/>
        </w:rPr>
        <w:t>10</w:t>
      </w:r>
      <w:r w:rsidRPr="00F10686">
        <w:rPr>
          <w:sz w:val="16"/>
          <w:szCs w:val="16"/>
        </w:rPr>
        <w:t xml:space="preserve"> de enero de 2005 </w:t>
      </w:r>
      <w:r>
        <w:rPr>
          <w:sz w:val="16"/>
          <w:szCs w:val="16"/>
        </w:rPr>
        <w:t>(</w:t>
      </w:r>
      <w:r w:rsidRPr="00F10686">
        <w:rPr>
          <w:sz w:val="16"/>
          <w:szCs w:val="16"/>
        </w:rPr>
        <w:t xml:space="preserve">expediente de prueba, anexo 28 al Informe </w:t>
      </w:r>
      <w:r>
        <w:rPr>
          <w:sz w:val="16"/>
          <w:szCs w:val="16"/>
        </w:rPr>
        <w:t>de Fondo, fs. 226 a 227</w:t>
      </w:r>
      <w:r w:rsidRPr="00F10686">
        <w:rPr>
          <w:sz w:val="16"/>
          <w:szCs w:val="16"/>
        </w:rPr>
        <w:t>).</w:t>
      </w:r>
    </w:p>
  </w:footnote>
  <w:footnote w:id="93">
    <w:p w:rsidR="00B41935" w:rsidRPr="00552A48" w:rsidRDefault="00B41935" w:rsidP="00257982">
      <w:pPr>
        <w:pStyle w:val="FootnoteText"/>
        <w:rPr>
          <w:sz w:val="16"/>
          <w:szCs w:val="16"/>
        </w:rPr>
      </w:pPr>
      <w:r w:rsidRPr="00CC214C">
        <w:rPr>
          <w:rStyle w:val="FootnoteReference"/>
        </w:rPr>
        <w:footnoteRef/>
      </w:r>
      <w:r w:rsidRPr="00CC214C">
        <w:rPr>
          <w:sz w:val="16"/>
          <w:szCs w:val="16"/>
        </w:rPr>
        <w:t xml:space="preserve"> </w:t>
      </w:r>
      <w:r w:rsidRPr="00CC214C">
        <w:rPr>
          <w:sz w:val="16"/>
          <w:szCs w:val="16"/>
        </w:rPr>
        <w:tab/>
        <w:t xml:space="preserve">Declaración indagatoria </w:t>
      </w:r>
      <w:r>
        <w:rPr>
          <w:sz w:val="16"/>
          <w:szCs w:val="16"/>
        </w:rPr>
        <w:t xml:space="preserve">de </w:t>
      </w:r>
      <w:r w:rsidRPr="00CC214C">
        <w:rPr>
          <w:sz w:val="16"/>
          <w:szCs w:val="16"/>
        </w:rPr>
        <w:t xml:space="preserve">Federico Díaz Aparicio </w:t>
      </w:r>
      <w:r>
        <w:rPr>
          <w:sz w:val="16"/>
          <w:szCs w:val="16"/>
        </w:rPr>
        <w:t xml:space="preserve">rendida </w:t>
      </w:r>
      <w:r w:rsidRPr="00CC214C">
        <w:rPr>
          <w:sz w:val="16"/>
          <w:szCs w:val="16"/>
        </w:rPr>
        <w:t>ante la Quinta Fiscalía Supraprovinci</w:t>
      </w:r>
      <w:r w:rsidRPr="00552A48">
        <w:rPr>
          <w:sz w:val="16"/>
          <w:szCs w:val="16"/>
        </w:rPr>
        <w:t xml:space="preserve">al </w:t>
      </w:r>
      <w:r w:rsidRPr="00CC214C">
        <w:rPr>
          <w:sz w:val="16"/>
          <w:szCs w:val="16"/>
        </w:rPr>
        <w:t xml:space="preserve">el 20 de diciembre de 2005 </w:t>
      </w:r>
      <w:r w:rsidRPr="00552A48">
        <w:rPr>
          <w:sz w:val="16"/>
          <w:szCs w:val="16"/>
        </w:rPr>
        <w:t>(expediente de prueba, anexo 17 al Informe de Fondo, fs. 187 y 188).</w:t>
      </w:r>
    </w:p>
  </w:footnote>
  <w:footnote w:id="94">
    <w:p w:rsidR="00B41935" w:rsidRPr="00552A48" w:rsidRDefault="00B41935" w:rsidP="00257982">
      <w:pPr>
        <w:pStyle w:val="FootnoteText"/>
        <w:rPr>
          <w:sz w:val="16"/>
          <w:szCs w:val="16"/>
          <w:lang w:val="es-CR"/>
        </w:rPr>
      </w:pPr>
      <w:r w:rsidRPr="00CC214C">
        <w:rPr>
          <w:rStyle w:val="FootnoteReference"/>
        </w:rPr>
        <w:footnoteRef/>
      </w:r>
      <w:r w:rsidRPr="00CC214C">
        <w:rPr>
          <w:sz w:val="16"/>
          <w:szCs w:val="16"/>
        </w:rPr>
        <w:t xml:space="preserve"> </w:t>
      </w:r>
      <w:r w:rsidRPr="00552A48">
        <w:rPr>
          <w:sz w:val="16"/>
          <w:szCs w:val="16"/>
          <w:lang w:val="es-CR"/>
        </w:rPr>
        <w:tab/>
        <w:t>Auto de la Segunda Fiscalía Penal Supraprovincial de 4 de enero de 2007, Denuncia No. 11-2007 (expediente de trámite ante la Comisión, f. 2604).</w:t>
      </w:r>
    </w:p>
  </w:footnote>
  <w:footnote w:id="95">
    <w:p w:rsidR="00B41935" w:rsidRPr="00257982" w:rsidRDefault="00B41935" w:rsidP="00257982">
      <w:pPr>
        <w:pStyle w:val="FootnoteText"/>
        <w:rPr>
          <w:sz w:val="16"/>
          <w:szCs w:val="16"/>
          <w:lang w:val="es-CR"/>
        </w:rPr>
      </w:pPr>
      <w:r w:rsidRPr="00CC214C">
        <w:rPr>
          <w:rStyle w:val="FootnoteReference"/>
        </w:rPr>
        <w:footnoteRef/>
      </w:r>
      <w:r w:rsidRPr="00CC214C">
        <w:rPr>
          <w:sz w:val="16"/>
          <w:szCs w:val="16"/>
        </w:rPr>
        <w:t xml:space="preserve"> </w:t>
      </w:r>
      <w:r w:rsidRPr="00CC214C">
        <w:rPr>
          <w:sz w:val="16"/>
          <w:szCs w:val="16"/>
        </w:rPr>
        <w:tab/>
        <w:t xml:space="preserve">Resolución </w:t>
      </w:r>
      <w:r w:rsidRPr="00552A48">
        <w:rPr>
          <w:sz w:val="16"/>
          <w:szCs w:val="16"/>
          <w:lang w:val="es-CR"/>
        </w:rPr>
        <w:t xml:space="preserve">de la Segunda Fiscalía Penal Supraprovincial </w:t>
      </w:r>
      <w:r w:rsidRPr="00552A48">
        <w:rPr>
          <w:sz w:val="16"/>
          <w:szCs w:val="16"/>
        </w:rPr>
        <w:t>de 25 de oct</w:t>
      </w:r>
      <w:r w:rsidRPr="00F10686">
        <w:rPr>
          <w:sz w:val="16"/>
          <w:szCs w:val="16"/>
        </w:rPr>
        <w:t xml:space="preserve">ubre de 2007, </w:t>
      </w:r>
      <w:r w:rsidRPr="0000173B">
        <w:rPr>
          <w:sz w:val="16"/>
          <w:szCs w:val="16"/>
          <w:lang w:val="es-CR"/>
        </w:rPr>
        <w:t xml:space="preserve">Denuncia No. 11-2007 </w:t>
      </w:r>
      <w:r w:rsidRPr="003D07CE">
        <w:rPr>
          <w:sz w:val="16"/>
          <w:szCs w:val="16"/>
        </w:rPr>
        <w:t xml:space="preserve"> </w:t>
      </w:r>
      <w:r w:rsidRPr="00CE6B13">
        <w:rPr>
          <w:sz w:val="16"/>
          <w:szCs w:val="16"/>
          <w:lang w:val="es-CR"/>
        </w:rPr>
        <w:t xml:space="preserve">(expediente de trámite ante la Comisión, f. 2605). </w:t>
      </w:r>
    </w:p>
  </w:footnote>
  <w:footnote w:id="96">
    <w:p w:rsidR="00B41935" w:rsidRPr="00257982" w:rsidRDefault="00B41935" w:rsidP="00257982">
      <w:pPr>
        <w:pStyle w:val="FootnoteText"/>
        <w:rPr>
          <w:sz w:val="16"/>
          <w:szCs w:val="16"/>
          <w:lang w:val="es-CR"/>
        </w:rPr>
      </w:pPr>
      <w:r w:rsidRPr="00CC214C">
        <w:rPr>
          <w:rStyle w:val="FootnoteReference"/>
        </w:rPr>
        <w:footnoteRef/>
      </w:r>
      <w:r w:rsidRPr="00CC214C">
        <w:rPr>
          <w:sz w:val="16"/>
          <w:szCs w:val="16"/>
        </w:rPr>
        <w:t xml:space="preserve"> </w:t>
      </w:r>
      <w:r w:rsidRPr="00CC214C">
        <w:rPr>
          <w:sz w:val="16"/>
          <w:szCs w:val="16"/>
        </w:rPr>
        <w:tab/>
      </w:r>
      <w:r w:rsidRPr="00552A48">
        <w:rPr>
          <w:sz w:val="16"/>
          <w:szCs w:val="16"/>
          <w:lang w:val="es-CR"/>
        </w:rPr>
        <w:t>Resolución de la Segunda Fiscalía Penal Supraprovincial de 13 de febrero de 2009 (expediente de prueba, anexo 30 al Info</w:t>
      </w:r>
      <w:r>
        <w:rPr>
          <w:sz w:val="16"/>
          <w:szCs w:val="16"/>
          <w:lang w:val="es-CR"/>
        </w:rPr>
        <w:t>rme de Fondo, fs. 232 a 242</w:t>
      </w:r>
      <w:r w:rsidRPr="00552A48">
        <w:rPr>
          <w:sz w:val="16"/>
          <w:szCs w:val="16"/>
          <w:lang w:val="es-CR"/>
        </w:rPr>
        <w:t>).</w:t>
      </w:r>
    </w:p>
  </w:footnote>
  <w:footnote w:id="97">
    <w:p w:rsidR="00B41935" w:rsidRPr="00CC214C" w:rsidRDefault="00B41935" w:rsidP="00257982">
      <w:pPr>
        <w:pStyle w:val="FootnoteText"/>
        <w:rPr>
          <w:sz w:val="16"/>
          <w:szCs w:val="16"/>
          <w:lang w:val="es-CR"/>
        </w:rPr>
      </w:pPr>
      <w:r w:rsidRPr="00CC214C">
        <w:rPr>
          <w:rStyle w:val="FootnoteReference"/>
        </w:rPr>
        <w:footnoteRef/>
      </w:r>
      <w:r w:rsidRPr="00257982">
        <w:rPr>
          <w:sz w:val="16"/>
          <w:szCs w:val="16"/>
        </w:rPr>
        <w:t xml:space="preserve"> </w:t>
      </w:r>
      <w:r w:rsidRPr="00257982">
        <w:rPr>
          <w:sz w:val="16"/>
          <w:szCs w:val="16"/>
        </w:rPr>
        <w:tab/>
      </w:r>
      <w:r w:rsidRPr="00CC214C">
        <w:rPr>
          <w:sz w:val="16"/>
          <w:szCs w:val="16"/>
          <w:lang w:val="es-CR"/>
        </w:rPr>
        <w:t xml:space="preserve">Resolución de la Segunda Fiscalía Penal Supraprovincial de 8 de agosto de 2012 (expediente de prueba, anexo 31 al Informe de Fondo, fs. 244 y 245). </w:t>
      </w:r>
    </w:p>
  </w:footnote>
  <w:footnote w:id="98">
    <w:p w:rsidR="00B41935" w:rsidRPr="000276E9" w:rsidRDefault="00B41935">
      <w:pPr>
        <w:pStyle w:val="FootnoteText"/>
      </w:pPr>
      <w:r>
        <w:rPr>
          <w:rStyle w:val="FootnoteReference"/>
        </w:rPr>
        <w:footnoteRef/>
      </w:r>
      <w:r>
        <w:t xml:space="preserve"> </w:t>
      </w:r>
      <w:r w:rsidRPr="00324B94">
        <w:rPr>
          <w:sz w:val="16"/>
          <w:szCs w:val="16"/>
        </w:rPr>
        <w:tab/>
      </w:r>
      <w:r w:rsidRPr="00422365">
        <w:rPr>
          <w:rFonts w:cs="Arial"/>
          <w:sz w:val="16"/>
          <w:szCs w:val="16"/>
          <w:lang w:val="es-CR"/>
        </w:rPr>
        <w:t>Oficio del Fiscal Superior Titular Coordinadora de la Fiscalía Penales Supr</w:t>
      </w:r>
      <w:r>
        <w:rPr>
          <w:rFonts w:cs="Arial"/>
          <w:sz w:val="16"/>
          <w:szCs w:val="16"/>
          <w:lang w:val="es-CR"/>
        </w:rPr>
        <w:t>a</w:t>
      </w:r>
      <w:r w:rsidRPr="00422365">
        <w:rPr>
          <w:rFonts w:cs="Arial"/>
          <w:sz w:val="16"/>
          <w:szCs w:val="16"/>
          <w:lang w:val="es-CR"/>
        </w:rPr>
        <w:t>provi</w:t>
      </w:r>
      <w:r>
        <w:rPr>
          <w:rFonts w:cs="Arial"/>
          <w:sz w:val="16"/>
          <w:szCs w:val="16"/>
          <w:lang w:val="es-CR"/>
        </w:rPr>
        <w:t>n</w:t>
      </w:r>
      <w:r w:rsidRPr="00422365">
        <w:rPr>
          <w:rFonts w:cs="Arial"/>
          <w:sz w:val="16"/>
          <w:szCs w:val="16"/>
          <w:lang w:val="es-CR"/>
        </w:rPr>
        <w:t xml:space="preserve">ciales, con la finalidad de remitir la copia de la resolución de 27 de julio de 2016 emitido por el despacho, referente al </w:t>
      </w:r>
      <w:r w:rsidRPr="00422365">
        <w:rPr>
          <w:rFonts w:eastAsiaTheme="minorHAnsi" w:cs="Arial"/>
          <w:sz w:val="16"/>
          <w:szCs w:val="16"/>
          <w:lang w:val="es-DO"/>
        </w:rPr>
        <w:t xml:space="preserve">Oficio </w:t>
      </w:r>
      <w:r w:rsidRPr="00422365">
        <w:rPr>
          <w:rFonts w:eastAsiaTheme="minorHAnsi" w:cs="Times New Roman"/>
          <w:bCs/>
          <w:sz w:val="16"/>
          <w:szCs w:val="16"/>
          <w:lang w:val="es-DO"/>
        </w:rPr>
        <w:t xml:space="preserve">N° </w:t>
      </w:r>
      <w:r w:rsidRPr="00422365">
        <w:rPr>
          <w:rFonts w:eastAsiaTheme="minorHAnsi" w:cs="Arial"/>
          <w:sz w:val="16"/>
          <w:szCs w:val="16"/>
          <w:lang w:val="es-DO"/>
        </w:rPr>
        <w:t>643·2016-JUS/CDJE-PPES</w:t>
      </w:r>
      <w:r w:rsidRPr="00422365">
        <w:rPr>
          <w:rFonts w:cs="Arial"/>
          <w:sz w:val="16"/>
          <w:szCs w:val="16"/>
          <w:lang w:val="es-CR"/>
        </w:rPr>
        <w:t xml:space="preserve"> (expediente</w:t>
      </w:r>
      <w:r>
        <w:rPr>
          <w:rFonts w:cs="Arial"/>
          <w:sz w:val="16"/>
          <w:szCs w:val="16"/>
          <w:lang w:val="es-CR"/>
        </w:rPr>
        <w:t xml:space="preserve"> de trámite ante la Comisión</w:t>
      </w:r>
      <w:r w:rsidRPr="00422365">
        <w:rPr>
          <w:rFonts w:cs="Arial"/>
          <w:sz w:val="16"/>
          <w:szCs w:val="16"/>
          <w:lang w:val="es-CR"/>
        </w:rPr>
        <w:t>, fs. 765 a 767).</w:t>
      </w:r>
    </w:p>
  </w:footnote>
  <w:footnote w:id="99">
    <w:p w:rsidR="00B41935" w:rsidRPr="00257982" w:rsidRDefault="00B41935" w:rsidP="00257982">
      <w:pPr>
        <w:pStyle w:val="FootnoteText"/>
        <w:rPr>
          <w:sz w:val="16"/>
          <w:szCs w:val="16"/>
          <w:lang w:val="es-CR"/>
        </w:rPr>
      </w:pPr>
      <w:r w:rsidRPr="00CC214C">
        <w:rPr>
          <w:rStyle w:val="FootnoteReference"/>
        </w:rPr>
        <w:footnoteRef/>
      </w:r>
      <w:r w:rsidRPr="00257982">
        <w:rPr>
          <w:sz w:val="16"/>
          <w:szCs w:val="16"/>
        </w:rPr>
        <w:t xml:space="preserve"> </w:t>
      </w:r>
      <w:r w:rsidRPr="00257982">
        <w:rPr>
          <w:sz w:val="16"/>
          <w:szCs w:val="16"/>
        </w:rPr>
        <w:tab/>
      </w:r>
      <w:r w:rsidRPr="00E20C7B">
        <w:rPr>
          <w:i/>
          <w:sz w:val="16"/>
          <w:szCs w:val="16"/>
        </w:rPr>
        <w:t>Cfr.</w:t>
      </w:r>
      <w:r>
        <w:rPr>
          <w:sz w:val="16"/>
          <w:szCs w:val="16"/>
        </w:rPr>
        <w:t xml:space="preserve"> </w:t>
      </w:r>
      <w:r w:rsidRPr="00422365">
        <w:rPr>
          <w:sz w:val="16"/>
          <w:szCs w:val="16"/>
          <w:lang w:val="es-CR"/>
        </w:rPr>
        <w:t>Resolución</w:t>
      </w:r>
      <w:r w:rsidRPr="00CC214C">
        <w:rPr>
          <w:sz w:val="16"/>
          <w:szCs w:val="16"/>
          <w:lang w:val="es-CR"/>
        </w:rPr>
        <w:t xml:space="preserve"> de la Coordinación de la Fiscalía Superior Penal Nacional y Fiscalías Penales Supraprovinciales del Ministerio Público</w:t>
      </w:r>
      <w:r>
        <w:rPr>
          <w:sz w:val="16"/>
          <w:szCs w:val="16"/>
          <w:lang w:val="es-CR"/>
        </w:rPr>
        <w:t xml:space="preserve">, </w:t>
      </w:r>
      <w:r>
        <w:rPr>
          <w:i/>
          <w:sz w:val="16"/>
          <w:szCs w:val="16"/>
          <w:lang w:val="es-CR"/>
        </w:rPr>
        <w:t>supra</w:t>
      </w:r>
      <w:r w:rsidRPr="00552A48">
        <w:rPr>
          <w:sz w:val="16"/>
          <w:szCs w:val="16"/>
          <w:lang w:val="es-CR"/>
        </w:rPr>
        <w:t>.</w:t>
      </w:r>
    </w:p>
  </w:footnote>
  <w:footnote w:id="100">
    <w:p w:rsidR="00B41935" w:rsidRPr="00563483" w:rsidRDefault="00B41935" w:rsidP="00257982">
      <w:pPr>
        <w:rPr>
          <w:strike/>
          <w:sz w:val="16"/>
          <w:szCs w:val="16"/>
        </w:rPr>
      </w:pPr>
      <w:r w:rsidRPr="00CC214C">
        <w:rPr>
          <w:rStyle w:val="FootnoteReference"/>
        </w:rPr>
        <w:footnoteRef/>
      </w:r>
      <w:r w:rsidRPr="00257982">
        <w:rPr>
          <w:sz w:val="16"/>
          <w:szCs w:val="16"/>
        </w:rPr>
        <w:t xml:space="preserve"> </w:t>
      </w:r>
      <w:r w:rsidRPr="00257982">
        <w:rPr>
          <w:sz w:val="16"/>
          <w:szCs w:val="16"/>
        </w:rPr>
        <w:tab/>
      </w:r>
      <w:r w:rsidRPr="00E20C7B">
        <w:rPr>
          <w:i/>
          <w:sz w:val="16"/>
          <w:szCs w:val="16"/>
        </w:rPr>
        <w:t>Cfr</w:t>
      </w:r>
      <w:r w:rsidRPr="00422365">
        <w:rPr>
          <w:i/>
          <w:sz w:val="16"/>
          <w:szCs w:val="16"/>
        </w:rPr>
        <w:t>.</w:t>
      </w:r>
      <w:r w:rsidRPr="00422365">
        <w:rPr>
          <w:sz w:val="16"/>
          <w:szCs w:val="16"/>
        </w:rPr>
        <w:t xml:space="preserve"> </w:t>
      </w:r>
      <w:r>
        <w:rPr>
          <w:sz w:val="16"/>
          <w:szCs w:val="16"/>
          <w:lang w:val="es-CR"/>
        </w:rPr>
        <w:t xml:space="preserve">Resolución </w:t>
      </w:r>
      <w:r w:rsidRPr="00814725">
        <w:rPr>
          <w:sz w:val="16"/>
          <w:szCs w:val="16"/>
          <w:lang w:val="es-CR"/>
        </w:rPr>
        <w:t>de 3 de abril de 2017</w:t>
      </w:r>
      <w:r>
        <w:rPr>
          <w:sz w:val="16"/>
          <w:szCs w:val="16"/>
          <w:lang w:val="es-CR"/>
        </w:rPr>
        <w:t xml:space="preserve">, </w:t>
      </w:r>
      <w:r w:rsidRPr="00481DCA">
        <w:rPr>
          <w:i/>
          <w:sz w:val="16"/>
          <w:szCs w:val="16"/>
          <w:lang w:val="es-CR"/>
        </w:rPr>
        <w:t>supra</w:t>
      </w:r>
      <w:r w:rsidRPr="003D07CE">
        <w:rPr>
          <w:sz w:val="16"/>
          <w:szCs w:val="16"/>
          <w:lang w:val="es-CR"/>
        </w:rPr>
        <w:t xml:space="preserve">. Además, </w:t>
      </w:r>
      <w:r>
        <w:rPr>
          <w:sz w:val="16"/>
          <w:szCs w:val="16"/>
          <w:lang w:val="es-CR"/>
        </w:rPr>
        <w:t xml:space="preserve">en </w:t>
      </w:r>
      <w:r w:rsidRPr="00CE6B13">
        <w:rPr>
          <w:sz w:val="16"/>
          <w:szCs w:val="16"/>
        </w:rPr>
        <w:t>l</w:t>
      </w:r>
      <w:r>
        <w:rPr>
          <w:sz w:val="16"/>
          <w:szCs w:val="16"/>
        </w:rPr>
        <w:t xml:space="preserve">a declaración de </w:t>
      </w:r>
      <w:r w:rsidRPr="00CE6B13">
        <w:rPr>
          <w:sz w:val="16"/>
          <w:szCs w:val="16"/>
        </w:rPr>
        <w:t>Marcelita del Rosario Gutiérrez Vallejos, Fiscal Provincial Titular de la Segunda Fiscalía Penal Supraprovincial de Lima</w:t>
      </w:r>
      <w:r>
        <w:rPr>
          <w:sz w:val="16"/>
          <w:szCs w:val="16"/>
        </w:rPr>
        <w:t xml:space="preserve"> rendida mediante affidá</w:t>
      </w:r>
      <w:r w:rsidRPr="00CE6B13">
        <w:rPr>
          <w:sz w:val="16"/>
          <w:szCs w:val="16"/>
        </w:rPr>
        <w:t>vit</w:t>
      </w:r>
      <w:r>
        <w:rPr>
          <w:sz w:val="16"/>
          <w:szCs w:val="16"/>
        </w:rPr>
        <w:t xml:space="preserve"> ante la Corte</w:t>
      </w:r>
      <w:r w:rsidRPr="00CE6B13">
        <w:rPr>
          <w:sz w:val="16"/>
          <w:szCs w:val="16"/>
        </w:rPr>
        <w:t>, manifestó que la Segunda Fiscalía tiene a su cargo la investi</w:t>
      </w:r>
      <w:r w:rsidRPr="00D83377">
        <w:rPr>
          <w:sz w:val="16"/>
          <w:szCs w:val="16"/>
        </w:rPr>
        <w:t xml:space="preserve">gación preliminar por delito de Desaparición Forzada </w:t>
      </w:r>
      <w:r>
        <w:rPr>
          <w:sz w:val="16"/>
          <w:szCs w:val="16"/>
        </w:rPr>
        <w:t>en agravio de Wilfredo Terrones Silva y Teresa Dí</w:t>
      </w:r>
      <w:r w:rsidRPr="00D83377">
        <w:rPr>
          <w:sz w:val="16"/>
          <w:szCs w:val="16"/>
        </w:rPr>
        <w:t xml:space="preserve">az Aparicio. Respecto del caso la desaparición </w:t>
      </w:r>
      <w:r w:rsidRPr="00422365">
        <w:rPr>
          <w:sz w:val="16"/>
          <w:szCs w:val="16"/>
        </w:rPr>
        <w:t>de Teresa Díaz Aparicio</w:t>
      </w:r>
      <w:r w:rsidRPr="00422365">
        <w:rPr>
          <w:b/>
          <w:sz w:val="16"/>
          <w:szCs w:val="16"/>
        </w:rPr>
        <w:t xml:space="preserve"> </w:t>
      </w:r>
      <w:r w:rsidRPr="00422365">
        <w:rPr>
          <w:sz w:val="16"/>
          <w:szCs w:val="16"/>
        </w:rPr>
        <w:t>(</w:t>
      </w:r>
      <w:r w:rsidRPr="00D83377">
        <w:rPr>
          <w:sz w:val="16"/>
          <w:szCs w:val="16"/>
        </w:rPr>
        <w:t>N. 506012802-2007-11-0), hizo un recuento de las diversas diligencias realizadas. Así señaló que la Fiscalía Especializada</w:t>
      </w:r>
      <w:r>
        <w:rPr>
          <w:sz w:val="16"/>
          <w:szCs w:val="16"/>
        </w:rPr>
        <w:t xml:space="preserve"> para Desapariciones Forzadas,</w:t>
      </w:r>
      <w:r w:rsidRPr="00D83377">
        <w:rPr>
          <w:sz w:val="16"/>
          <w:szCs w:val="16"/>
        </w:rPr>
        <w:t xml:space="preserve"> tuvo conocimiento del caso el 11 de septiembre de 2002 y dio inicio a la investigación preliminar por delito de </w:t>
      </w:r>
      <w:r w:rsidRPr="003912B5">
        <w:rPr>
          <w:sz w:val="16"/>
          <w:szCs w:val="16"/>
        </w:rPr>
        <w:t>desaparición</w:t>
      </w:r>
      <w:r>
        <w:rPr>
          <w:sz w:val="16"/>
          <w:szCs w:val="16"/>
        </w:rPr>
        <w:t xml:space="preserve"> forzada en agravio de Teresa Díaz Aparicio. Luego el </w:t>
      </w:r>
      <w:r w:rsidRPr="003912B5">
        <w:rPr>
          <w:sz w:val="16"/>
          <w:szCs w:val="16"/>
        </w:rPr>
        <w:t xml:space="preserve">4 de enero de 2007 pasó a conocimiento de la Segunda Fiscalía Penal Supraprovincial de Lima y aún no se cuentan con conclusiones sobre el destino y paradero de sus restos. </w:t>
      </w:r>
      <w:r w:rsidRPr="00563483">
        <w:rPr>
          <w:sz w:val="16"/>
          <w:szCs w:val="16"/>
        </w:rPr>
        <w:t>Su hermano Federico Díaz Aparicio fue quien habría propiciado el inicio de la investigación, y en declaración rendida por él, refirió que la agraviada habría desaparecido aproximadamente en el mes de agosto de 1992 y que consideraba que la desaparición podría haber estado a cargo de miembros de la Dirección contra el Terrorismo que la detuvieron tres años antes y que, según le había contado su hermana, le hacían seguimiento. El 18 de febrero de 2014 se dispuso el archivo provisional de los actuados sin perjuicio de haberlo impulsado cada cierto tiempo a fin de obtener elementos de juicio que contribuyan con el esclarecimiento de los hechos</w:t>
      </w:r>
      <w:r>
        <w:rPr>
          <w:sz w:val="16"/>
          <w:szCs w:val="16"/>
        </w:rPr>
        <w:t>.</w:t>
      </w:r>
      <w:r w:rsidRPr="00563483">
        <w:rPr>
          <w:sz w:val="16"/>
          <w:szCs w:val="16"/>
        </w:rPr>
        <w:t xml:space="preserve"> </w:t>
      </w:r>
      <w:r w:rsidRPr="002F107D">
        <w:rPr>
          <w:sz w:val="16"/>
          <w:szCs w:val="16"/>
        </w:rPr>
        <w:t>El 31 julio 2017 se ha emitido resolución mediante la cual se programaron una serie de diligencias, tales como la ampliación de la declaración de</w:t>
      </w:r>
      <w:r>
        <w:rPr>
          <w:sz w:val="16"/>
          <w:szCs w:val="16"/>
        </w:rPr>
        <w:t xml:space="preserve"> una testigo L</w:t>
      </w:r>
      <w:r w:rsidRPr="002F107D">
        <w:rPr>
          <w:sz w:val="16"/>
          <w:szCs w:val="16"/>
        </w:rPr>
        <w:t>RR</w:t>
      </w:r>
      <w:r>
        <w:rPr>
          <w:sz w:val="16"/>
          <w:szCs w:val="16"/>
        </w:rPr>
        <w:t>.</w:t>
      </w:r>
      <w:r w:rsidRPr="002F107D">
        <w:rPr>
          <w:sz w:val="16"/>
          <w:szCs w:val="16"/>
        </w:rPr>
        <w:t xml:space="preserve"> Se requirió a la Universidad Nacional Mayor de San Marcos que remita las listas de asistencia de la agraviada, habiendo informado que no cuenta con esa documentació</w:t>
      </w:r>
      <w:r>
        <w:rPr>
          <w:sz w:val="16"/>
          <w:szCs w:val="16"/>
        </w:rPr>
        <w:t xml:space="preserve">n, se ha formulado el Acta de </w:t>
      </w:r>
      <w:r w:rsidRPr="002F107D">
        <w:rPr>
          <w:sz w:val="16"/>
          <w:szCs w:val="16"/>
        </w:rPr>
        <w:t>2 de febrero de 2018, donde se requirió los documentos relacionados con el e</w:t>
      </w:r>
      <w:r>
        <w:rPr>
          <w:sz w:val="16"/>
          <w:szCs w:val="16"/>
        </w:rPr>
        <w:t>scalafón de la docente Teresa Día</w:t>
      </w:r>
      <w:r w:rsidRPr="002F107D">
        <w:rPr>
          <w:sz w:val="16"/>
          <w:szCs w:val="16"/>
        </w:rPr>
        <w:t xml:space="preserve">z Aparicio, sus asistencias de los años 1991-1992 y algún poder que haya otorgado para efectuar el cobro de sus haberes, encontrándose pendiente de recabarlo, así como otros documentos relacionados con la persona que efectuó el cobro de los cheques que fueron recogidos por la testigo </w:t>
      </w:r>
      <w:r>
        <w:rPr>
          <w:sz w:val="16"/>
          <w:szCs w:val="16"/>
        </w:rPr>
        <w:t>LRR</w:t>
      </w:r>
      <w:r w:rsidRPr="00C97CBA">
        <w:rPr>
          <w:sz w:val="16"/>
          <w:szCs w:val="16"/>
        </w:rPr>
        <w:t>.</w:t>
      </w:r>
      <w:r>
        <w:rPr>
          <w:sz w:val="16"/>
          <w:szCs w:val="16"/>
        </w:rPr>
        <w:t xml:space="preserve"> </w:t>
      </w:r>
      <w:r w:rsidRPr="00661B83">
        <w:rPr>
          <w:i/>
          <w:sz w:val="16"/>
          <w:szCs w:val="16"/>
        </w:rPr>
        <w:t>Cfr</w:t>
      </w:r>
      <w:r>
        <w:rPr>
          <w:sz w:val="16"/>
          <w:szCs w:val="16"/>
        </w:rPr>
        <w:t xml:space="preserve">. Declaración de </w:t>
      </w:r>
      <w:r w:rsidRPr="00F10686">
        <w:rPr>
          <w:sz w:val="16"/>
          <w:szCs w:val="16"/>
        </w:rPr>
        <w:t xml:space="preserve">Marcelita </w:t>
      </w:r>
      <w:r>
        <w:rPr>
          <w:sz w:val="16"/>
          <w:szCs w:val="16"/>
        </w:rPr>
        <w:t>d</w:t>
      </w:r>
      <w:r w:rsidRPr="00F10686">
        <w:rPr>
          <w:sz w:val="16"/>
          <w:szCs w:val="16"/>
        </w:rPr>
        <w:t>el Rosario Gutiérrez Vallejos</w:t>
      </w:r>
      <w:r>
        <w:rPr>
          <w:sz w:val="16"/>
          <w:szCs w:val="16"/>
        </w:rPr>
        <w:t xml:space="preserve"> mediante </w:t>
      </w:r>
      <w:r w:rsidRPr="00AE7626">
        <w:rPr>
          <w:i/>
          <w:sz w:val="16"/>
          <w:szCs w:val="16"/>
        </w:rPr>
        <w:t>affidávit</w:t>
      </w:r>
      <w:r>
        <w:rPr>
          <w:sz w:val="16"/>
          <w:szCs w:val="16"/>
        </w:rPr>
        <w:t xml:space="preserve"> el 7 de marzo de 2018, </w:t>
      </w:r>
      <w:r w:rsidRPr="00661B83">
        <w:rPr>
          <w:i/>
          <w:sz w:val="16"/>
          <w:szCs w:val="16"/>
        </w:rPr>
        <w:t>supra</w:t>
      </w:r>
      <w:r>
        <w:rPr>
          <w:sz w:val="16"/>
          <w:szCs w:val="16"/>
        </w:rPr>
        <w:t>.</w:t>
      </w:r>
    </w:p>
  </w:footnote>
  <w:footnote w:id="101">
    <w:p w:rsidR="00B41935" w:rsidRPr="008C6FF0" w:rsidRDefault="00B41935" w:rsidP="00257982">
      <w:pPr>
        <w:pStyle w:val="FootnoteText"/>
        <w:rPr>
          <w:sz w:val="16"/>
          <w:szCs w:val="16"/>
        </w:rPr>
      </w:pPr>
      <w:r w:rsidRPr="00CC214C">
        <w:rPr>
          <w:rStyle w:val="FootnoteReference"/>
        </w:rPr>
        <w:footnoteRef/>
      </w:r>
      <w:r w:rsidRPr="00CC214C">
        <w:rPr>
          <w:sz w:val="16"/>
          <w:szCs w:val="16"/>
        </w:rPr>
        <w:t xml:space="preserve"> </w:t>
      </w:r>
      <w:r w:rsidRPr="00CC214C">
        <w:rPr>
          <w:sz w:val="16"/>
          <w:szCs w:val="16"/>
        </w:rPr>
        <w:tab/>
      </w:r>
      <w:r w:rsidRPr="008C6FF0">
        <w:rPr>
          <w:sz w:val="16"/>
          <w:szCs w:val="16"/>
        </w:rPr>
        <w:t xml:space="preserve">Petición de Norma Juana Tenicela Tello de </w:t>
      </w:r>
      <w:r>
        <w:rPr>
          <w:sz w:val="16"/>
          <w:szCs w:val="16"/>
        </w:rPr>
        <w:t>10 de enero de 2003 ante la Comisión</w:t>
      </w:r>
      <w:r w:rsidRPr="008C6FF0">
        <w:rPr>
          <w:sz w:val="16"/>
          <w:szCs w:val="16"/>
        </w:rPr>
        <w:t>, recibida el 10 de junio de 2003 (expediente de prueba, anexo 59 al Informe de Fondo, fs. 547 a 551).</w:t>
      </w:r>
    </w:p>
  </w:footnote>
  <w:footnote w:id="102">
    <w:p w:rsidR="00B41935" w:rsidRPr="00141E11" w:rsidRDefault="00B41935" w:rsidP="00257982">
      <w:pPr>
        <w:pStyle w:val="FootnoteText"/>
        <w:rPr>
          <w:sz w:val="16"/>
          <w:szCs w:val="16"/>
        </w:rPr>
      </w:pPr>
      <w:r w:rsidRPr="008C6FF0">
        <w:rPr>
          <w:rStyle w:val="FootnoteReference"/>
        </w:rPr>
        <w:footnoteRef/>
      </w:r>
      <w:r w:rsidRPr="008C6FF0">
        <w:rPr>
          <w:sz w:val="16"/>
          <w:szCs w:val="16"/>
        </w:rPr>
        <w:t xml:space="preserve"> </w:t>
      </w:r>
      <w:r w:rsidRPr="008C6FF0">
        <w:rPr>
          <w:sz w:val="16"/>
          <w:szCs w:val="16"/>
          <w:lang w:val="es-CR"/>
        </w:rPr>
        <w:tab/>
      </w:r>
      <w:r w:rsidRPr="00606BD6">
        <w:rPr>
          <w:i/>
          <w:sz w:val="16"/>
          <w:szCs w:val="16"/>
          <w:lang w:val="es-CR"/>
        </w:rPr>
        <w:t>Cfr</w:t>
      </w:r>
      <w:r>
        <w:rPr>
          <w:sz w:val="16"/>
          <w:szCs w:val="16"/>
          <w:lang w:val="es-CR"/>
        </w:rPr>
        <w:t>.</w:t>
      </w:r>
      <w:r>
        <w:rPr>
          <w:sz w:val="16"/>
          <w:szCs w:val="16"/>
        </w:rPr>
        <w:t xml:space="preserve"> </w:t>
      </w:r>
      <w:r>
        <w:rPr>
          <w:sz w:val="16"/>
          <w:szCs w:val="16"/>
          <w:lang w:val="es-CR"/>
        </w:rPr>
        <w:t xml:space="preserve">Dictamen </w:t>
      </w:r>
      <w:r>
        <w:rPr>
          <w:sz w:val="16"/>
          <w:szCs w:val="16"/>
        </w:rPr>
        <w:t>N°</w:t>
      </w:r>
      <w:r>
        <w:rPr>
          <w:sz w:val="16"/>
          <w:szCs w:val="16"/>
          <w:lang w:val="es-CR"/>
        </w:rPr>
        <w:t xml:space="preserve"> 96-2013-1° FSPN-MP-FN de la </w:t>
      </w:r>
      <w:r w:rsidRPr="008C6FF0">
        <w:rPr>
          <w:sz w:val="16"/>
          <w:szCs w:val="16"/>
        </w:rPr>
        <w:t>Primera Fiscalía Superior Penal Nacional</w:t>
      </w:r>
      <w:r>
        <w:rPr>
          <w:sz w:val="16"/>
          <w:szCs w:val="16"/>
          <w:lang w:val="es-CR"/>
        </w:rPr>
        <w:t xml:space="preserve">, Expediente 123-2010 de 3 de septiembre de 2013 (expediente de prueba al Informe de Fondo, anexo 66, fs. 590 a 623). No obstante, cabe señalar que </w:t>
      </w:r>
      <w:r>
        <w:rPr>
          <w:sz w:val="16"/>
          <w:szCs w:val="16"/>
          <w:lang w:val="es-ES"/>
        </w:rPr>
        <w:t>e</w:t>
      </w:r>
      <w:r w:rsidRPr="008C6FF0">
        <w:rPr>
          <w:sz w:val="16"/>
          <w:szCs w:val="16"/>
          <w:lang w:val="es-ES"/>
        </w:rPr>
        <w:t xml:space="preserve">n el </w:t>
      </w:r>
      <w:r w:rsidRPr="00606BD6">
        <w:rPr>
          <w:sz w:val="16"/>
          <w:szCs w:val="16"/>
          <w:lang w:val="es-ES"/>
        </w:rPr>
        <w:t>documento del expediente No. 216-92-DDHH-MP del Ministerio Público, se establece que la fecha de desaparición fue el 1 de octubre de 1992</w:t>
      </w:r>
      <w:r w:rsidRPr="00606BD6">
        <w:rPr>
          <w:b/>
          <w:sz w:val="16"/>
          <w:szCs w:val="16"/>
          <w:lang w:val="es-ES"/>
        </w:rPr>
        <w:t xml:space="preserve">, </w:t>
      </w:r>
      <w:r w:rsidRPr="00606BD6">
        <w:rPr>
          <w:sz w:val="16"/>
          <w:szCs w:val="16"/>
          <w:lang w:val="es-ES"/>
        </w:rPr>
        <w:t xml:space="preserve">y en el registro del Caso No. 15150154 remitido por la Defensoría del Pueblo se establece que la última vez que fue vista la señora </w:t>
      </w:r>
      <w:r>
        <w:rPr>
          <w:sz w:val="16"/>
          <w:szCs w:val="16"/>
          <w:lang w:val="es-ES"/>
        </w:rPr>
        <w:t>Tenicela Tello</w:t>
      </w:r>
      <w:r w:rsidRPr="00606BD6">
        <w:rPr>
          <w:sz w:val="16"/>
          <w:szCs w:val="16"/>
          <w:lang w:val="es-ES"/>
        </w:rPr>
        <w:t xml:space="preserve"> fue el 29 de septiembre de 1993, formalización de la denuncia penal por parte de la Fiscalía Provincial de Junín (</w:t>
      </w:r>
      <w:r w:rsidRPr="00606BD6">
        <w:rPr>
          <w:sz w:val="16"/>
          <w:szCs w:val="16"/>
        </w:rPr>
        <w:t xml:space="preserve">expediente de prueba, anexos </w:t>
      </w:r>
      <w:r w:rsidRPr="00606BD6">
        <w:rPr>
          <w:sz w:val="16"/>
          <w:szCs w:val="16"/>
          <w:lang w:val="es-ES"/>
        </w:rPr>
        <w:t>55 y 56 a la contestación</w:t>
      </w:r>
      <w:r w:rsidRPr="00606BD6">
        <w:rPr>
          <w:sz w:val="16"/>
          <w:szCs w:val="16"/>
        </w:rPr>
        <w:t>, fs. 5111 a 5115</w:t>
      </w:r>
      <w:r w:rsidRPr="00606BD6">
        <w:rPr>
          <w:sz w:val="16"/>
          <w:szCs w:val="16"/>
          <w:lang w:val="es-ES"/>
        </w:rPr>
        <w:t xml:space="preserve">). Además, según la </w:t>
      </w:r>
      <w:r>
        <w:rPr>
          <w:sz w:val="16"/>
          <w:szCs w:val="16"/>
          <w:lang w:val="es-ES"/>
        </w:rPr>
        <w:t xml:space="preserve">CVR </w:t>
      </w:r>
      <w:r w:rsidRPr="00606BD6">
        <w:rPr>
          <w:sz w:val="16"/>
          <w:szCs w:val="16"/>
          <w:lang w:val="es-ES"/>
        </w:rPr>
        <w:t>Cory Clodolia Tenicela Tello fue detenida por miembros del ejército peruano el 29 de septiembre de 1993, basados</w:t>
      </w:r>
      <w:r w:rsidRPr="008C6FF0">
        <w:rPr>
          <w:sz w:val="16"/>
          <w:szCs w:val="16"/>
          <w:lang w:val="es-ES"/>
        </w:rPr>
        <w:t xml:space="preserve"> en dos testimonios que no son iden</w:t>
      </w:r>
      <w:r w:rsidRPr="00141E11">
        <w:rPr>
          <w:sz w:val="16"/>
          <w:szCs w:val="16"/>
          <w:lang w:val="es-ES"/>
        </w:rPr>
        <w:t xml:space="preserve">tificados. Además, según la Comisión de la Verdad, Cory Clodolia Tenicela Tello fue detenida por miembros del ejército peruano el 29 de septiembre de 1992, basados en testimonios que no son identificados. </w:t>
      </w:r>
      <w:r w:rsidRPr="00141E11">
        <w:rPr>
          <w:i/>
          <w:sz w:val="16"/>
          <w:szCs w:val="16"/>
          <w:lang w:val="es-ES"/>
        </w:rPr>
        <w:t>Cfr.</w:t>
      </w:r>
      <w:r w:rsidRPr="00141E11">
        <w:rPr>
          <w:sz w:val="16"/>
          <w:szCs w:val="16"/>
          <w:lang w:val="es-ES"/>
        </w:rPr>
        <w:t xml:space="preserve"> </w:t>
      </w:r>
      <w:r w:rsidRPr="00141E11">
        <w:rPr>
          <w:sz w:val="16"/>
          <w:szCs w:val="16"/>
        </w:rPr>
        <w:t xml:space="preserve">Comisión de la Verdad y Reconciliación, Informe Final, 2003, </w:t>
      </w:r>
      <w:r w:rsidRPr="00141E11">
        <w:rPr>
          <w:i/>
          <w:sz w:val="16"/>
          <w:szCs w:val="16"/>
        </w:rPr>
        <w:t>Casos del departamento de Junín reportados a la CVR</w:t>
      </w:r>
      <w:r w:rsidRPr="00141E11">
        <w:rPr>
          <w:sz w:val="16"/>
          <w:szCs w:val="16"/>
        </w:rPr>
        <w:t xml:space="preserve">, pág. 69, disponible en: </w:t>
      </w:r>
      <w:hyperlink r:id="rId7" w:history="1">
        <w:r w:rsidRPr="00141E11">
          <w:rPr>
            <w:rStyle w:val="Hyperlink"/>
            <w:sz w:val="16"/>
            <w:szCs w:val="16"/>
          </w:rPr>
          <w:t>http://www.cverdad.org.pe/ifinal/pdf/Tomo%20-%20ANEXOS/PDFSAnexo4/JUNIN.pdf</w:t>
        </w:r>
      </w:hyperlink>
      <w:r w:rsidRPr="008C6FF0">
        <w:rPr>
          <w:sz w:val="16"/>
          <w:szCs w:val="16"/>
          <w:lang w:val="es-ES"/>
        </w:rPr>
        <w:t xml:space="preserve"> </w:t>
      </w:r>
    </w:p>
  </w:footnote>
  <w:footnote w:id="103">
    <w:p w:rsidR="00B41935" w:rsidRPr="008C6FF0" w:rsidRDefault="00B41935" w:rsidP="00257982">
      <w:pPr>
        <w:pStyle w:val="FootnoteText"/>
        <w:rPr>
          <w:sz w:val="16"/>
          <w:szCs w:val="16"/>
          <w:lang w:val="es-CR"/>
        </w:rPr>
      </w:pPr>
      <w:r w:rsidRPr="00CC214C">
        <w:rPr>
          <w:rStyle w:val="FootnoteReference"/>
        </w:rPr>
        <w:footnoteRef/>
      </w:r>
      <w:r w:rsidRPr="00257982">
        <w:rPr>
          <w:sz w:val="16"/>
          <w:szCs w:val="16"/>
        </w:rPr>
        <w:t xml:space="preserve"> </w:t>
      </w:r>
      <w:r w:rsidRPr="00257982">
        <w:rPr>
          <w:sz w:val="16"/>
          <w:szCs w:val="16"/>
        </w:rPr>
        <w:tab/>
      </w:r>
      <w:r w:rsidRPr="008C6FF0">
        <w:rPr>
          <w:sz w:val="16"/>
          <w:szCs w:val="16"/>
        </w:rPr>
        <w:t xml:space="preserve">Comunicación del Estado. Nota N° 7-5-M/274 de 18 de junio de 2012. </w:t>
      </w:r>
      <w:r w:rsidRPr="008C6FF0">
        <w:rPr>
          <w:sz w:val="16"/>
          <w:szCs w:val="16"/>
          <w:lang w:val="es-CR"/>
        </w:rPr>
        <w:t xml:space="preserve">Informe </w:t>
      </w:r>
      <w:r w:rsidRPr="008C6FF0">
        <w:rPr>
          <w:rFonts w:eastAsiaTheme="minorHAnsi" w:cs="Arial"/>
          <w:sz w:val="16"/>
          <w:szCs w:val="16"/>
          <w:lang w:val="es-CR"/>
        </w:rPr>
        <w:t>No. 111-2012-JUS/PPES</w:t>
      </w:r>
      <w:r w:rsidRPr="008C6FF0">
        <w:rPr>
          <w:sz w:val="16"/>
          <w:szCs w:val="16"/>
          <w:lang w:val="es-CR"/>
        </w:rPr>
        <w:t xml:space="preserve"> (</w:t>
      </w:r>
      <w:r w:rsidRPr="008C6FF0">
        <w:rPr>
          <w:sz w:val="16"/>
          <w:szCs w:val="16"/>
        </w:rPr>
        <w:t xml:space="preserve">expediente de prueba, </w:t>
      </w:r>
      <w:r w:rsidRPr="008C6FF0">
        <w:rPr>
          <w:sz w:val="16"/>
          <w:szCs w:val="16"/>
          <w:lang w:val="es-CR"/>
        </w:rPr>
        <w:t>anexo 64 al Informe de Fondo, fs. 572 a 579).</w:t>
      </w:r>
    </w:p>
  </w:footnote>
  <w:footnote w:id="104">
    <w:p w:rsidR="00B41935" w:rsidRPr="008C6FF0" w:rsidRDefault="00B41935" w:rsidP="00257982">
      <w:pPr>
        <w:pStyle w:val="FootnoteText"/>
        <w:rPr>
          <w:sz w:val="16"/>
          <w:szCs w:val="16"/>
        </w:rPr>
      </w:pPr>
      <w:r w:rsidRPr="008C6FF0">
        <w:rPr>
          <w:rStyle w:val="FootnoteReference"/>
        </w:rPr>
        <w:footnoteRef/>
      </w:r>
      <w:r w:rsidRPr="008C6FF0">
        <w:rPr>
          <w:sz w:val="16"/>
          <w:szCs w:val="16"/>
        </w:rPr>
        <w:t xml:space="preserve"> </w:t>
      </w:r>
      <w:r w:rsidRPr="008C6FF0">
        <w:rPr>
          <w:sz w:val="16"/>
          <w:szCs w:val="16"/>
        </w:rPr>
        <w:tab/>
      </w:r>
      <w:r w:rsidRPr="00EE0D82">
        <w:rPr>
          <w:sz w:val="16"/>
          <w:szCs w:val="16"/>
        </w:rPr>
        <w:t xml:space="preserve">Comisión de la Verdad y Reconciliación, Informe Final, 2003, </w:t>
      </w:r>
      <w:r w:rsidRPr="0049438A">
        <w:rPr>
          <w:i/>
          <w:sz w:val="16"/>
          <w:szCs w:val="16"/>
        </w:rPr>
        <w:t>supra</w:t>
      </w:r>
      <w:r w:rsidRPr="0049438A">
        <w:rPr>
          <w:sz w:val="16"/>
          <w:szCs w:val="16"/>
        </w:rPr>
        <w:t xml:space="preserve">, </w:t>
      </w:r>
      <w:r w:rsidRPr="00EE0D82">
        <w:rPr>
          <w:rFonts w:cs="Arial"/>
          <w:sz w:val="16"/>
          <w:szCs w:val="16"/>
          <w:lang w:val="es-ES"/>
        </w:rPr>
        <w:t>pág. 407</w:t>
      </w:r>
      <w:r>
        <w:rPr>
          <w:rFonts w:cs="Arial"/>
          <w:sz w:val="16"/>
          <w:szCs w:val="16"/>
          <w:lang w:val="es-ES"/>
        </w:rPr>
        <w:t>.</w:t>
      </w:r>
      <w:r w:rsidRPr="00EE0D82">
        <w:rPr>
          <w:rFonts w:cs="Arial"/>
          <w:sz w:val="16"/>
          <w:szCs w:val="16"/>
          <w:lang w:val="es-ES"/>
        </w:rPr>
        <w:t xml:space="preserve"> </w:t>
      </w:r>
    </w:p>
  </w:footnote>
  <w:footnote w:id="105">
    <w:p w:rsidR="00B41935" w:rsidRPr="008C6FF0" w:rsidRDefault="00B41935" w:rsidP="00257982">
      <w:pPr>
        <w:pStyle w:val="FootnoteText"/>
        <w:rPr>
          <w:sz w:val="16"/>
          <w:szCs w:val="16"/>
        </w:rPr>
      </w:pPr>
      <w:r w:rsidRPr="008C6FF0">
        <w:rPr>
          <w:rStyle w:val="FootnoteReference"/>
        </w:rPr>
        <w:footnoteRef/>
      </w:r>
      <w:r w:rsidRPr="008C6FF0">
        <w:rPr>
          <w:sz w:val="16"/>
          <w:szCs w:val="16"/>
        </w:rPr>
        <w:t xml:space="preserve"> </w:t>
      </w:r>
      <w:r w:rsidRPr="008C6FF0">
        <w:rPr>
          <w:sz w:val="16"/>
          <w:szCs w:val="16"/>
        </w:rPr>
        <w:tab/>
        <w:t xml:space="preserve">Denuncia presentada por Amadea Tello </w:t>
      </w:r>
      <w:r>
        <w:rPr>
          <w:sz w:val="16"/>
          <w:szCs w:val="16"/>
        </w:rPr>
        <w:t>Barrera</w:t>
      </w:r>
      <w:r w:rsidRPr="008C6FF0">
        <w:rPr>
          <w:sz w:val="16"/>
          <w:szCs w:val="16"/>
        </w:rPr>
        <w:t xml:space="preserve"> el 14 de octubre de 1992 ante la Fiscalía Provincial de Junín (expediente de prueba, anexo 60 al Informe de Fondo, fs. 553 y 554).</w:t>
      </w:r>
    </w:p>
  </w:footnote>
  <w:footnote w:id="106">
    <w:p w:rsidR="00B41935" w:rsidRPr="008C6FF0" w:rsidRDefault="00B41935" w:rsidP="00257982">
      <w:pPr>
        <w:pStyle w:val="FootnoteText"/>
        <w:rPr>
          <w:sz w:val="16"/>
          <w:szCs w:val="16"/>
        </w:rPr>
      </w:pPr>
      <w:r w:rsidRPr="008C6FF0">
        <w:rPr>
          <w:rStyle w:val="FootnoteReference"/>
        </w:rPr>
        <w:footnoteRef/>
      </w:r>
      <w:r w:rsidRPr="008C6FF0">
        <w:rPr>
          <w:sz w:val="16"/>
          <w:szCs w:val="16"/>
        </w:rPr>
        <w:t xml:space="preserve"> </w:t>
      </w:r>
      <w:r w:rsidRPr="008C6FF0">
        <w:rPr>
          <w:sz w:val="16"/>
          <w:szCs w:val="16"/>
        </w:rPr>
        <w:tab/>
        <w:t xml:space="preserve">Recurso de hábeas corpus interpuesto por Amadea Tello </w:t>
      </w:r>
      <w:r>
        <w:rPr>
          <w:sz w:val="16"/>
          <w:szCs w:val="16"/>
        </w:rPr>
        <w:t>Barrera</w:t>
      </w:r>
      <w:r w:rsidRPr="008C6FF0">
        <w:rPr>
          <w:sz w:val="16"/>
          <w:szCs w:val="16"/>
        </w:rPr>
        <w:t xml:space="preserve"> el 26 de octubre de 1992 ante el </w:t>
      </w:r>
      <w:r w:rsidRPr="008C6FF0">
        <w:rPr>
          <w:sz w:val="16"/>
          <w:szCs w:val="16"/>
          <w:lang w:val="es-CR"/>
        </w:rPr>
        <w:t>Juzgado Penal de Turno de Huancayo (expediente de prueba, anexo 61 al Informe de Fondo, f. 556).</w:t>
      </w:r>
    </w:p>
  </w:footnote>
  <w:footnote w:id="107">
    <w:p w:rsidR="00B41935" w:rsidRPr="008C6FF0" w:rsidRDefault="00B41935" w:rsidP="00257982">
      <w:pPr>
        <w:pStyle w:val="FootnoteText"/>
        <w:rPr>
          <w:sz w:val="16"/>
          <w:szCs w:val="16"/>
        </w:rPr>
      </w:pPr>
      <w:r w:rsidRPr="008C6FF0">
        <w:rPr>
          <w:rStyle w:val="FootnoteReference"/>
        </w:rPr>
        <w:footnoteRef/>
      </w:r>
      <w:r w:rsidRPr="008C6FF0">
        <w:rPr>
          <w:sz w:val="16"/>
          <w:szCs w:val="16"/>
        </w:rPr>
        <w:t xml:space="preserve"> </w:t>
      </w:r>
      <w:r w:rsidRPr="008C6FF0">
        <w:rPr>
          <w:sz w:val="16"/>
          <w:szCs w:val="16"/>
        </w:rPr>
        <w:tab/>
        <w:t xml:space="preserve">Recurso de hábeas corpus interpuesto por Amadea Tello </w:t>
      </w:r>
      <w:r>
        <w:rPr>
          <w:sz w:val="16"/>
          <w:szCs w:val="16"/>
        </w:rPr>
        <w:t>Barrera</w:t>
      </w:r>
      <w:r w:rsidRPr="008C6FF0">
        <w:rPr>
          <w:sz w:val="16"/>
          <w:szCs w:val="16"/>
        </w:rPr>
        <w:t xml:space="preserve"> el 26 de octubre de 1992 ante el </w:t>
      </w:r>
      <w:r w:rsidRPr="008C6FF0">
        <w:rPr>
          <w:sz w:val="16"/>
          <w:szCs w:val="16"/>
          <w:lang w:val="es-CR"/>
        </w:rPr>
        <w:t>Juzgado Penal de Turno de Huancayo (expediente de prueba, anexo 61 al Informe de Fondo, f. 556).</w:t>
      </w:r>
    </w:p>
  </w:footnote>
  <w:footnote w:id="108">
    <w:p w:rsidR="00B41935" w:rsidRPr="008C6FF0" w:rsidRDefault="00B41935" w:rsidP="00257982">
      <w:pPr>
        <w:pStyle w:val="FootnoteText"/>
        <w:rPr>
          <w:sz w:val="16"/>
          <w:szCs w:val="16"/>
          <w:lang w:val="es-CR"/>
        </w:rPr>
      </w:pPr>
      <w:r w:rsidRPr="008C6FF0">
        <w:rPr>
          <w:rStyle w:val="FootnoteReference"/>
        </w:rPr>
        <w:footnoteRef/>
      </w:r>
      <w:r w:rsidRPr="008C6FF0">
        <w:rPr>
          <w:sz w:val="16"/>
          <w:szCs w:val="16"/>
        </w:rPr>
        <w:t xml:space="preserve"> </w:t>
      </w:r>
      <w:r w:rsidRPr="008C6FF0">
        <w:rPr>
          <w:sz w:val="16"/>
          <w:szCs w:val="16"/>
          <w:lang w:val="es-CR"/>
        </w:rPr>
        <w:tab/>
        <w:t xml:space="preserve">Oficio </w:t>
      </w:r>
      <w:r w:rsidRPr="008C6FF0">
        <w:rPr>
          <w:sz w:val="16"/>
          <w:szCs w:val="16"/>
        </w:rPr>
        <w:t xml:space="preserve">N° </w:t>
      </w:r>
      <w:r w:rsidRPr="008C6FF0">
        <w:rPr>
          <w:sz w:val="16"/>
          <w:szCs w:val="16"/>
          <w:lang w:val="es-CR"/>
        </w:rPr>
        <w:t xml:space="preserve">420 31 DI/K-6/DDHH/30.01.13 </w:t>
      </w:r>
      <w:r w:rsidRPr="008C6FF0">
        <w:rPr>
          <w:rFonts w:eastAsiaTheme="minorHAnsi" w:cs="Times New Roman"/>
          <w:sz w:val="16"/>
          <w:szCs w:val="16"/>
          <w:lang w:val="es-ES"/>
        </w:rPr>
        <w:t>de la 31</w:t>
      </w:r>
      <w:r w:rsidRPr="008C6FF0">
        <w:rPr>
          <w:sz w:val="16"/>
          <w:szCs w:val="16"/>
          <w:lang w:val="es-CR"/>
        </w:rPr>
        <w:t>ª</w:t>
      </w:r>
      <w:r w:rsidRPr="008C6FF0">
        <w:rPr>
          <w:rFonts w:eastAsiaTheme="minorHAnsi" w:cs="Times New Roman"/>
          <w:sz w:val="16"/>
          <w:szCs w:val="16"/>
          <w:lang w:val="es-ES"/>
        </w:rPr>
        <w:t xml:space="preserve"> División de Infantería de la Comandancia General</w:t>
      </w:r>
      <w:r w:rsidRPr="008C6FF0">
        <w:rPr>
          <w:sz w:val="16"/>
          <w:szCs w:val="16"/>
          <w:lang w:val="es-CR"/>
        </w:rPr>
        <w:t xml:space="preserve"> (</w:t>
      </w:r>
      <w:r w:rsidRPr="008C6FF0">
        <w:rPr>
          <w:sz w:val="16"/>
          <w:szCs w:val="16"/>
          <w:lang w:val="es-ES"/>
        </w:rPr>
        <w:t>expediente de prueba,</w:t>
      </w:r>
      <w:r w:rsidRPr="008C6FF0">
        <w:rPr>
          <w:sz w:val="16"/>
          <w:szCs w:val="16"/>
          <w:lang w:val="es-CR"/>
        </w:rPr>
        <w:t xml:space="preserve"> anexo 62 al Informe de Fondo, fs. 557 a 558). </w:t>
      </w:r>
    </w:p>
  </w:footnote>
  <w:footnote w:id="109">
    <w:p w:rsidR="00B41935" w:rsidRPr="008C6FF0" w:rsidRDefault="00B41935" w:rsidP="00257982">
      <w:pPr>
        <w:pStyle w:val="FootnoteText"/>
        <w:rPr>
          <w:sz w:val="16"/>
          <w:szCs w:val="16"/>
          <w:lang w:val="es-CR"/>
        </w:rPr>
      </w:pPr>
      <w:r w:rsidRPr="008C6FF0">
        <w:rPr>
          <w:rStyle w:val="FootnoteReference"/>
        </w:rPr>
        <w:footnoteRef/>
      </w:r>
      <w:r w:rsidRPr="008C6FF0">
        <w:rPr>
          <w:sz w:val="16"/>
          <w:szCs w:val="16"/>
        </w:rPr>
        <w:t xml:space="preserve"> </w:t>
      </w:r>
      <w:r w:rsidRPr="008C6FF0">
        <w:rPr>
          <w:sz w:val="16"/>
          <w:szCs w:val="16"/>
          <w:lang w:val="es-CR"/>
        </w:rPr>
        <w:tab/>
        <w:t>Informe No. 036-VIII-RPNP-ENR-ORPDH</w:t>
      </w:r>
      <w:r w:rsidRPr="008C6FF0">
        <w:rPr>
          <w:sz w:val="16"/>
          <w:szCs w:val="16"/>
          <w:lang w:val="es-ES"/>
        </w:rPr>
        <w:t xml:space="preserve"> de la </w:t>
      </w:r>
      <w:r w:rsidRPr="008C6FF0">
        <w:rPr>
          <w:sz w:val="16"/>
          <w:szCs w:val="16"/>
          <w:lang w:val="es-CR"/>
        </w:rPr>
        <w:t>de la Policía Nacional</w:t>
      </w:r>
      <w:r w:rsidRPr="008C6FF0">
        <w:rPr>
          <w:sz w:val="16"/>
          <w:szCs w:val="16"/>
          <w:lang w:val="es-ES"/>
        </w:rPr>
        <w:t xml:space="preserve"> del Perú (expediente de prueba,</w:t>
      </w:r>
      <w:r w:rsidRPr="008C6FF0">
        <w:rPr>
          <w:sz w:val="16"/>
          <w:szCs w:val="16"/>
          <w:lang w:val="es-CR"/>
        </w:rPr>
        <w:t xml:space="preserve"> anexo 54 a la contestación, fs. 5107 a 5110).</w:t>
      </w:r>
    </w:p>
  </w:footnote>
  <w:footnote w:id="110">
    <w:p w:rsidR="00B41935" w:rsidRPr="008C6FF0" w:rsidRDefault="00B41935" w:rsidP="00257982">
      <w:pPr>
        <w:pStyle w:val="FootnoteText"/>
        <w:rPr>
          <w:sz w:val="16"/>
          <w:szCs w:val="16"/>
          <w:lang w:val="es-CR"/>
        </w:rPr>
      </w:pPr>
      <w:r w:rsidRPr="008C6FF0">
        <w:rPr>
          <w:rStyle w:val="FootnoteReference"/>
        </w:rPr>
        <w:footnoteRef/>
      </w:r>
      <w:r w:rsidRPr="008C6FF0">
        <w:rPr>
          <w:sz w:val="16"/>
          <w:szCs w:val="16"/>
        </w:rPr>
        <w:t xml:space="preserve"> </w:t>
      </w:r>
      <w:r w:rsidRPr="008C6FF0">
        <w:rPr>
          <w:sz w:val="16"/>
          <w:szCs w:val="16"/>
          <w:lang w:val="es-CR"/>
        </w:rPr>
        <w:tab/>
        <w:t xml:space="preserve">Informe </w:t>
      </w:r>
      <w:r>
        <w:rPr>
          <w:sz w:val="16"/>
          <w:szCs w:val="16"/>
        </w:rPr>
        <w:t>N°</w:t>
      </w:r>
      <w:r w:rsidRPr="008C6FF0">
        <w:rPr>
          <w:sz w:val="16"/>
          <w:szCs w:val="16"/>
          <w:lang w:val="es-CR"/>
        </w:rPr>
        <w:t>. 75-93-DGPNP/MMG-DIPAHDH de la Policía Nacional del Perú (</w:t>
      </w:r>
      <w:r w:rsidRPr="008C6FF0">
        <w:rPr>
          <w:sz w:val="16"/>
          <w:szCs w:val="16"/>
          <w:lang w:val="es-ES"/>
        </w:rPr>
        <w:t>expediente de prueba,</w:t>
      </w:r>
      <w:r w:rsidRPr="008C6FF0">
        <w:rPr>
          <w:sz w:val="16"/>
          <w:szCs w:val="16"/>
          <w:lang w:val="es-CR"/>
        </w:rPr>
        <w:t xml:space="preserve"> anexo 53 a la contestación, fs. 5103 a 5106).</w:t>
      </w:r>
    </w:p>
  </w:footnote>
  <w:footnote w:id="111">
    <w:p w:rsidR="00B41935" w:rsidRPr="008C6FF0" w:rsidRDefault="00B41935" w:rsidP="00257982">
      <w:pPr>
        <w:pStyle w:val="FootnoteText"/>
        <w:rPr>
          <w:sz w:val="16"/>
          <w:szCs w:val="16"/>
          <w:lang w:val="es-CR"/>
        </w:rPr>
      </w:pPr>
      <w:r w:rsidRPr="008C6FF0">
        <w:rPr>
          <w:rStyle w:val="FootnoteReference"/>
        </w:rPr>
        <w:footnoteRef/>
      </w:r>
      <w:r w:rsidRPr="008C6FF0">
        <w:rPr>
          <w:sz w:val="16"/>
          <w:szCs w:val="16"/>
        </w:rPr>
        <w:t xml:space="preserve"> </w:t>
      </w:r>
      <w:r w:rsidRPr="008C6FF0">
        <w:rPr>
          <w:sz w:val="16"/>
          <w:szCs w:val="16"/>
          <w:lang w:val="es-CR"/>
        </w:rPr>
        <w:tab/>
        <w:t xml:space="preserve">Informe </w:t>
      </w:r>
      <w:r w:rsidRPr="008C6FF0">
        <w:rPr>
          <w:sz w:val="16"/>
          <w:szCs w:val="16"/>
        </w:rPr>
        <w:t>N°</w:t>
      </w:r>
      <w:r>
        <w:rPr>
          <w:sz w:val="16"/>
          <w:szCs w:val="16"/>
          <w:lang w:val="es-CR"/>
        </w:rPr>
        <w:t xml:space="preserve">. </w:t>
      </w:r>
      <w:r w:rsidRPr="008C6FF0">
        <w:rPr>
          <w:sz w:val="16"/>
          <w:szCs w:val="16"/>
          <w:lang w:val="es-CR"/>
        </w:rPr>
        <w:t>92-93-DGPNP/EMG-DIPANDH de la Policía Nacional del Perú (</w:t>
      </w:r>
      <w:r w:rsidRPr="008C6FF0">
        <w:rPr>
          <w:sz w:val="16"/>
          <w:szCs w:val="16"/>
          <w:lang w:val="es-ES"/>
        </w:rPr>
        <w:t>expediente de prueba,</w:t>
      </w:r>
      <w:r w:rsidRPr="008C6FF0">
        <w:rPr>
          <w:sz w:val="16"/>
          <w:szCs w:val="16"/>
          <w:lang w:val="es-CR"/>
        </w:rPr>
        <w:t xml:space="preserve"> anexo 52 a la contestación, fs. 5099 a 5102).</w:t>
      </w:r>
    </w:p>
  </w:footnote>
  <w:footnote w:id="112">
    <w:p w:rsidR="00B41935" w:rsidRPr="008C6FF0" w:rsidRDefault="00B41935" w:rsidP="00257982">
      <w:pPr>
        <w:pStyle w:val="FootnoteText"/>
        <w:rPr>
          <w:sz w:val="16"/>
          <w:szCs w:val="16"/>
        </w:rPr>
      </w:pPr>
      <w:r w:rsidRPr="008C6FF0">
        <w:rPr>
          <w:rStyle w:val="FootnoteReference"/>
        </w:rPr>
        <w:footnoteRef/>
      </w:r>
      <w:r w:rsidRPr="008C6FF0">
        <w:rPr>
          <w:sz w:val="16"/>
          <w:szCs w:val="16"/>
        </w:rPr>
        <w:t xml:space="preserve"> </w:t>
      </w:r>
      <w:r w:rsidRPr="008C6FF0">
        <w:rPr>
          <w:sz w:val="16"/>
          <w:szCs w:val="16"/>
        </w:rPr>
        <w:tab/>
        <w:t xml:space="preserve">Informe N° 240-2010-JUS/PPES de la Procuraduría Pública </w:t>
      </w:r>
      <w:r>
        <w:rPr>
          <w:sz w:val="16"/>
          <w:szCs w:val="16"/>
        </w:rPr>
        <w:t>Especializada Supranacional de 10</w:t>
      </w:r>
      <w:r w:rsidRPr="008C6FF0">
        <w:rPr>
          <w:sz w:val="16"/>
          <w:szCs w:val="16"/>
        </w:rPr>
        <w:t xml:space="preserve"> de agosto de 2010 (expediente de prueba, anexo 63 al Informe de Fondo, fs. 560 a 571).</w:t>
      </w:r>
      <w:r w:rsidRPr="008C6FF0">
        <w:rPr>
          <w:sz w:val="16"/>
          <w:szCs w:val="16"/>
          <w:lang w:val="es-CR"/>
        </w:rPr>
        <w:t xml:space="preserve"> </w:t>
      </w:r>
      <w:r w:rsidRPr="007B6F15">
        <w:rPr>
          <w:sz w:val="16"/>
          <w:szCs w:val="16"/>
          <w:lang w:val="es-CR"/>
        </w:rPr>
        <w:t>De acuerdo a lo informado por el Estado a la Comisión, el 5 de marzo de 2010 la Fiscalía formalizó denuncia penal contra presuntos autores del delito de secuestro agravado. Con base en ello el Primer Juzgado Penal inició instrucción penal en contra de varias personas.</w:t>
      </w:r>
      <w:r w:rsidRPr="007B6F15">
        <w:rPr>
          <w:b/>
          <w:sz w:val="16"/>
          <w:szCs w:val="16"/>
          <w:lang w:val="es-CR"/>
        </w:rPr>
        <w:t xml:space="preserve"> </w:t>
      </w:r>
      <w:r w:rsidRPr="007B6F15">
        <w:rPr>
          <w:rFonts w:cs="Arial"/>
          <w:color w:val="222222"/>
          <w:sz w:val="16"/>
          <w:szCs w:val="16"/>
          <w:shd w:val="clear" w:color="auto" w:fill="FFFFFF"/>
          <w:lang w:val="es-CR"/>
        </w:rPr>
        <w:t xml:space="preserve">El 28 de mayo de 2010 el Primer Juzgado Penal expidió la Resolución No. 8 a través de la cual se programan una serie de diligencias y por medio de Resolución No. 9 de la misma fecha, el Primer Juzgado Penal de Huancayo declara el </w:t>
      </w:r>
      <w:r w:rsidRPr="00C20E4F">
        <w:rPr>
          <w:rFonts w:cs="Arial"/>
          <w:color w:val="222222"/>
          <w:sz w:val="16"/>
          <w:szCs w:val="16"/>
          <w:shd w:val="clear" w:color="auto" w:fill="FFFFFF"/>
          <w:lang w:val="es-CR"/>
        </w:rPr>
        <w:t>proceso COMPLEJO por</w:t>
      </w:r>
      <w:r w:rsidRPr="007B6F15">
        <w:rPr>
          <w:rFonts w:cs="Arial"/>
          <w:color w:val="222222"/>
          <w:sz w:val="16"/>
          <w:szCs w:val="16"/>
          <w:shd w:val="clear" w:color="auto" w:fill="FFFFFF"/>
          <w:lang w:val="es-CR"/>
        </w:rPr>
        <w:t xml:space="preserve"> la materia la cantidad de medios de prueba por actuar o recabar, por el concurso de hechos, por pluralidad de procesados o agraviados, entre otros.</w:t>
      </w:r>
    </w:p>
  </w:footnote>
  <w:footnote w:id="113">
    <w:p w:rsidR="00B41935" w:rsidRPr="008C6FF0" w:rsidRDefault="00B41935" w:rsidP="00257982">
      <w:pPr>
        <w:pStyle w:val="FootnoteText"/>
        <w:rPr>
          <w:sz w:val="16"/>
          <w:szCs w:val="16"/>
        </w:rPr>
      </w:pPr>
      <w:r w:rsidRPr="008C6FF0">
        <w:rPr>
          <w:rStyle w:val="FootnoteReference"/>
        </w:rPr>
        <w:footnoteRef/>
      </w:r>
      <w:r w:rsidRPr="008C6FF0">
        <w:rPr>
          <w:sz w:val="16"/>
          <w:szCs w:val="16"/>
        </w:rPr>
        <w:t xml:space="preserve"> </w:t>
      </w:r>
      <w:r w:rsidRPr="008C6FF0">
        <w:rPr>
          <w:sz w:val="16"/>
          <w:szCs w:val="16"/>
        </w:rPr>
        <w:tab/>
        <w:t>Dictamen N° 96-2013-1° FSPN-MP-FN de la Primera Fiscalía Superior Penal Nacional de 3 de septiembre de 2013</w:t>
      </w:r>
      <w:r>
        <w:rPr>
          <w:sz w:val="16"/>
          <w:szCs w:val="16"/>
        </w:rPr>
        <w:t xml:space="preserve">, </w:t>
      </w:r>
      <w:r w:rsidRPr="00871ABC">
        <w:rPr>
          <w:i/>
          <w:sz w:val="16"/>
          <w:szCs w:val="16"/>
        </w:rPr>
        <w:t>supra</w:t>
      </w:r>
      <w:r>
        <w:rPr>
          <w:sz w:val="16"/>
          <w:szCs w:val="16"/>
        </w:rPr>
        <w:t>.</w:t>
      </w:r>
    </w:p>
  </w:footnote>
  <w:footnote w:id="114">
    <w:p w:rsidR="00B41935" w:rsidRPr="00C20E4F" w:rsidRDefault="00B41935" w:rsidP="00257982">
      <w:pPr>
        <w:pStyle w:val="FootnoteText"/>
        <w:rPr>
          <w:sz w:val="16"/>
          <w:szCs w:val="16"/>
          <w:lang w:val="es-ES"/>
        </w:rPr>
      </w:pPr>
      <w:r w:rsidRPr="008C6FF0">
        <w:rPr>
          <w:rStyle w:val="FootnoteReference"/>
        </w:rPr>
        <w:footnoteRef/>
      </w:r>
      <w:r w:rsidRPr="008C6FF0">
        <w:rPr>
          <w:sz w:val="16"/>
          <w:szCs w:val="16"/>
        </w:rPr>
        <w:t xml:space="preserve"> </w:t>
      </w:r>
      <w:r w:rsidRPr="008C6FF0">
        <w:rPr>
          <w:sz w:val="16"/>
          <w:szCs w:val="16"/>
          <w:lang w:val="es-CR"/>
        </w:rPr>
        <w:tab/>
      </w:r>
      <w:r w:rsidRPr="008C6FF0">
        <w:rPr>
          <w:sz w:val="16"/>
          <w:szCs w:val="16"/>
          <w:lang w:val="es-ES"/>
        </w:rPr>
        <w:t xml:space="preserve">La Corte nota que con relación a otras de las 32 personas se encuentra también imputado el antiguo Coronel </w:t>
      </w:r>
      <w:r>
        <w:rPr>
          <w:sz w:val="16"/>
          <w:szCs w:val="16"/>
          <w:lang w:val="es-ES"/>
        </w:rPr>
        <w:t xml:space="preserve">MDCH </w:t>
      </w:r>
      <w:r w:rsidRPr="008C6FF0">
        <w:rPr>
          <w:sz w:val="16"/>
          <w:szCs w:val="16"/>
          <w:lang w:val="es-ES"/>
        </w:rPr>
        <w:t xml:space="preserve">en el marco del mismo expediente No. 123-2010-0-5001-JR-PE-01. </w:t>
      </w:r>
      <w:r w:rsidRPr="008C6FF0">
        <w:rPr>
          <w:rFonts w:cs="Arial"/>
          <w:sz w:val="16"/>
          <w:szCs w:val="16"/>
          <w:shd w:val="clear" w:color="auto" w:fill="FFFFFF"/>
          <w:lang w:val="es-CR"/>
        </w:rPr>
        <w:t>Dictamen 24-2014-1FPS-MP/FN de la Primera Fiscalía Penal Supranacional de 25 de julio de 2014</w:t>
      </w:r>
      <w:r>
        <w:rPr>
          <w:rFonts w:cs="Arial"/>
          <w:sz w:val="16"/>
          <w:szCs w:val="16"/>
          <w:shd w:val="clear" w:color="auto" w:fill="FFFFFF"/>
          <w:lang w:val="es-CR"/>
        </w:rPr>
        <w:t xml:space="preserve"> </w:t>
      </w:r>
      <w:r w:rsidRPr="008C6FF0">
        <w:rPr>
          <w:sz w:val="16"/>
          <w:szCs w:val="16"/>
          <w:lang w:val="es-ES"/>
        </w:rPr>
        <w:t>exp</w:t>
      </w:r>
      <w:r>
        <w:rPr>
          <w:sz w:val="16"/>
          <w:szCs w:val="16"/>
          <w:lang w:val="es-ES"/>
        </w:rPr>
        <w:t>ediente</w:t>
      </w:r>
      <w:r w:rsidRPr="008C6FF0">
        <w:rPr>
          <w:sz w:val="16"/>
          <w:szCs w:val="16"/>
          <w:lang w:val="es-ES"/>
        </w:rPr>
        <w:t xml:space="preserve"> N° 123-2010 (expediente de prueba</w:t>
      </w:r>
      <w:r w:rsidRPr="008C6FF0">
        <w:rPr>
          <w:sz w:val="16"/>
          <w:szCs w:val="16"/>
          <w:lang w:val="es-CR"/>
        </w:rPr>
        <w:t>, anexo 2</w:t>
      </w:r>
      <w:r w:rsidRPr="00C20E4F">
        <w:rPr>
          <w:sz w:val="16"/>
          <w:szCs w:val="16"/>
          <w:lang w:val="es-CR"/>
        </w:rPr>
        <w:t>6 a la contestación, fs. 4815 a 4870).</w:t>
      </w:r>
    </w:p>
  </w:footnote>
  <w:footnote w:id="115">
    <w:p w:rsidR="00B41935" w:rsidRPr="008C6FF0" w:rsidRDefault="00B41935" w:rsidP="00257982">
      <w:pPr>
        <w:pStyle w:val="FootnoteText"/>
        <w:rPr>
          <w:sz w:val="16"/>
          <w:szCs w:val="16"/>
          <w:lang w:val="es-CR"/>
        </w:rPr>
      </w:pPr>
      <w:r w:rsidRPr="00C20E4F">
        <w:rPr>
          <w:rStyle w:val="FootnoteReference"/>
        </w:rPr>
        <w:footnoteRef/>
      </w:r>
      <w:r w:rsidRPr="00C20E4F">
        <w:rPr>
          <w:sz w:val="16"/>
          <w:szCs w:val="16"/>
        </w:rPr>
        <w:t xml:space="preserve"> </w:t>
      </w:r>
      <w:r w:rsidRPr="00C20E4F">
        <w:rPr>
          <w:sz w:val="16"/>
          <w:szCs w:val="16"/>
          <w:lang w:val="es-CR"/>
        </w:rPr>
        <w:tab/>
      </w:r>
      <w:r w:rsidRPr="00C20E4F">
        <w:rPr>
          <w:rFonts w:cs="Arial"/>
          <w:sz w:val="16"/>
          <w:szCs w:val="16"/>
          <w:shd w:val="clear" w:color="auto" w:fill="FFFFFF"/>
          <w:lang w:val="es-CR"/>
        </w:rPr>
        <w:t xml:space="preserve">Dictamen </w:t>
      </w:r>
      <w:r w:rsidRPr="00C20E4F">
        <w:rPr>
          <w:sz w:val="16"/>
          <w:szCs w:val="16"/>
        </w:rPr>
        <w:t xml:space="preserve">N° </w:t>
      </w:r>
      <w:r w:rsidRPr="00C20E4F">
        <w:rPr>
          <w:rFonts w:cs="Arial"/>
          <w:sz w:val="16"/>
          <w:szCs w:val="16"/>
          <w:shd w:val="clear" w:color="auto" w:fill="FFFFFF"/>
          <w:lang w:val="es-CR"/>
        </w:rPr>
        <w:t>24-2014-1FPS-MP/FN de la Primera Fiscalía Penal Supranacional de 25 de julio de 2014</w:t>
      </w:r>
      <w:r w:rsidRPr="00C20E4F">
        <w:rPr>
          <w:sz w:val="16"/>
          <w:szCs w:val="16"/>
          <w:lang w:val="es-CR"/>
        </w:rPr>
        <w:t xml:space="preserve">, </w:t>
      </w:r>
      <w:r w:rsidRPr="00C20E4F">
        <w:rPr>
          <w:i/>
          <w:sz w:val="16"/>
          <w:szCs w:val="16"/>
          <w:lang w:val="es-CR"/>
        </w:rPr>
        <w:t>supra.</w:t>
      </w:r>
      <w:r>
        <w:rPr>
          <w:sz w:val="16"/>
          <w:szCs w:val="16"/>
          <w:lang w:val="es-CR"/>
        </w:rPr>
        <w:t xml:space="preserve"> </w:t>
      </w:r>
    </w:p>
  </w:footnote>
  <w:footnote w:id="116">
    <w:p w:rsidR="00B41935" w:rsidRPr="00F10686" w:rsidRDefault="00B41935" w:rsidP="00257982">
      <w:pPr>
        <w:pStyle w:val="FootnoteText"/>
        <w:rPr>
          <w:sz w:val="16"/>
          <w:szCs w:val="16"/>
          <w:lang w:val="es-CR"/>
        </w:rPr>
      </w:pPr>
      <w:r w:rsidRPr="008C6FF0">
        <w:rPr>
          <w:rStyle w:val="FootnoteReference"/>
        </w:rPr>
        <w:footnoteRef/>
      </w:r>
      <w:r w:rsidRPr="008C6FF0">
        <w:rPr>
          <w:sz w:val="16"/>
          <w:szCs w:val="16"/>
        </w:rPr>
        <w:t xml:space="preserve"> </w:t>
      </w:r>
      <w:r w:rsidRPr="008C6FF0">
        <w:rPr>
          <w:sz w:val="16"/>
          <w:szCs w:val="16"/>
          <w:lang w:val="es-CR"/>
        </w:rPr>
        <w:tab/>
        <w:t>Resolución del Primero Juzgado Penal Nacional, expediente</w:t>
      </w:r>
      <w:r w:rsidRPr="00552A48">
        <w:rPr>
          <w:sz w:val="16"/>
          <w:szCs w:val="16"/>
          <w:lang w:val="es-CR"/>
        </w:rPr>
        <w:t xml:space="preserve"> 123-2010 </w:t>
      </w:r>
      <w:r w:rsidRPr="008C6FF0">
        <w:rPr>
          <w:sz w:val="16"/>
          <w:szCs w:val="16"/>
          <w:lang w:val="es-CR"/>
        </w:rPr>
        <w:t xml:space="preserve">de 8 de septiembre de 2014 </w:t>
      </w:r>
      <w:r w:rsidRPr="00552A48">
        <w:rPr>
          <w:sz w:val="16"/>
          <w:szCs w:val="16"/>
          <w:lang w:val="es-CR"/>
        </w:rPr>
        <w:t>(</w:t>
      </w:r>
      <w:r w:rsidRPr="00552A48">
        <w:rPr>
          <w:sz w:val="16"/>
          <w:szCs w:val="16"/>
          <w:lang w:val="es-ES"/>
        </w:rPr>
        <w:t>expediente de prueba,</w:t>
      </w:r>
      <w:r w:rsidRPr="00F10686">
        <w:rPr>
          <w:sz w:val="16"/>
          <w:szCs w:val="16"/>
          <w:lang w:val="es-CR"/>
        </w:rPr>
        <w:t xml:space="preserve"> anexo 28 a la contestación, fs. 4889 a 4894). </w:t>
      </w:r>
    </w:p>
  </w:footnote>
  <w:footnote w:id="117">
    <w:p w:rsidR="00B41935" w:rsidRPr="003D07CE" w:rsidRDefault="00B41935" w:rsidP="00257982">
      <w:pPr>
        <w:pStyle w:val="FootnoteText"/>
        <w:rPr>
          <w:sz w:val="16"/>
          <w:szCs w:val="16"/>
          <w:lang w:val="es-CR"/>
        </w:rPr>
      </w:pPr>
      <w:r w:rsidRPr="00CC214C">
        <w:rPr>
          <w:rStyle w:val="FootnoteReference"/>
        </w:rPr>
        <w:footnoteRef/>
      </w:r>
      <w:r w:rsidRPr="00CC214C">
        <w:rPr>
          <w:sz w:val="16"/>
          <w:szCs w:val="16"/>
        </w:rPr>
        <w:t xml:space="preserve"> </w:t>
      </w:r>
      <w:r w:rsidRPr="00552A48">
        <w:rPr>
          <w:sz w:val="16"/>
          <w:szCs w:val="16"/>
          <w:lang w:val="es-CR"/>
        </w:rPr>
        <w:tab/>
      </w:r>
      <w:r w:rsidRPr="00552A48">
        <w:rPr>
          <w:rFonts w:cs="Arial"/>
          <w:sz w:val="16"/>
          <w:szCs w:val="16"/>
          <w:shd w:val="clear" w:color="auto" w:fill="FFFFFF"/>
          <w:lang w:val="es-CR"/>
        </w:rPr>
        <w:t>Auto de Procesamiento del Tercer Juzgado Penal Nacional</w:t>
      </w:r>
      <w:r w:rsidRPr="00481DCA">
        <w:rPr>
          <w:rFonts w:cs="Arial"/>
          <w:sz w:val="16"/>
          <w:szCs w:val="16"/>
          <w:shd w:val="clear" w:color="auto" w:fill="FFFFFF"/>
          <w:lang w:val="es-CR"/>
        </w:rPr>
        <w:t xml:space="preserve"> </w:t>
      </w:r>
      <w:r>
        <w:rPr>
          <w:rFonts w:cs="Arial"/>
          <w:sz w:val="16"/>
          <w:szCs w:val="16"/>
          <w:shd w:val="clear" w:color="auto" w:fill="FFFFFF"/>
          <w:lang w:val="es-CR"/>
        </w:rPr>
        <w:t>de 20 de octubre de 2014</w:t>
      </w:r>
      <w:r w:rsidRPr="00552A48">
        <w:rPr>
          <w:rFonts w:cs="Arial"/>
          <w:sz w:val="16"/>
          <w:szCs w:val="16"/>
          <w:shd w:val="clear" w:color="auto" w:fill="FFFFFF"/>
          <w:lang w:val="es-CR"/>
        </w:rPr>
        <w:t>, expediente No. 255</w:t>
      </w:r>
      <w:r w:rsidRPr="00F10686">
        <w:rPr>
          <w:rFonts w:cs="Arial"/>
          <w:sz w:val="16"/>
          <w:szCs w:val="16"/>
          <w:shd w:val="clear" w:color="auto" w:fill="FFFFFF"/>
          <w:lang w:val="es-CR"/>
        </w:rPr>
        <w:t>-2014-0 (</w:t>
      </w:r>
      <w:r w:rsidRPr="0000173B">
        <w:rPr>
          <w:sz w:val="16"/>
          <w:szCs w:val="16"/>
          <w:lang w:val="es-ES"/>
        </w:rPr>
        <w:t>expediente de prueba</w:t>
      </w:r>
      <w:r w:rsidRPr="003D07CE">
        <w:rPr>
          <w:sz w:val="16"/>
          <w:szCs w:val="16"/>
          <w:lang w:val="es-CR"/>
        </w:rPr>
        <w:t xml:space="preserve">, anexo 29 a la contestación, fs. 4895 a 4914). </w:t>
      </w:r>
    </w:p>
  </w:footnote>
  <w:footnote w:id="118">
    <w:p w:rsidR="00B41935" w:rsidRPr="0000173B" w:rsidRDefault="00B41935" w:rsidP="00257982">
      <w:pPr>
        <w:pStyle w:val="FootnoteText"/>
        <w:rPr>
          <w:sz w:val="16"/>
          <w:szCs w:val="16"/>
          <w:lang w:val="es-CR"/>
        </w:rPr>
      </w:pPr>
      <w:r w:rsidRPr="00CC214C">
        <w:rPr>
          <w:rStyle w:val="FootnoteReference"/>
        </w:rPr>
        <w:footnoteRef/>
      </w:r>
      <w:r w:rsidRPr="00CC214C">
        <w:rPr>
          <w:sz w:val="16"/>
          <w:szCs w:val="16"/>
        </w:rPr>
        <w:t xml:space="preserve"> </w:t>
      </w:r>
      <w:r w:rsidRPr="00552A48">
        <w:rPr>
          <w:sz w:val="16"/>
          <w:szCs w:val="16"/>
          <w:lang w:val="es-CR"/>
        </w:rPr>
        <w:tab/>
      </w:r>
      <w:r w:rsidRPr="00552A48">
        <w:rPr>
          <w:rFonts w:cs="Arial"/>
          <w:sz w:val="16"/>
          <w:szCs w:val="16"/>
          <w:shd w:val="clear" w:color="auto" w:fill="FFFFFF"/>
          <w:lang w:val="es-CR"/>
        </w:rPr>
        <w:t xml:space="preserve">Dictamen </w:t>
      </w:r>
      <w:r w:rsidRPr="008C6FF0">
        <w:rPr>
          <w:sz w:val="16"/>
          <w:szCs w:val="16"/>
        </w:rPr>
        <w:t xml:space="preserve">N° </w:t>
      </w:r>
      <w:r w:rsidRPr="00552A48">
        <w:rPr>
          <w:rFonts w:cs="Arial"/>
          <w:sz w:val="16"/>
          <w:szCs w:val="16"/>
          <w:shd w:val="clear" w:color="auto" w:fill="FFFFFF"/>
          <w:lang w:val="es-CR"/>
        </w:rPr>
        <w:t>50-2015-1-FSPN-MP-PN de la Primera Fiscalía Superior Penal Nacional</w:t>
      </w:r>
      <w:r w:rsidRPr="00F10686">
        <w:rPr>
          <w:sz w:val="16"/>
          <w:szCs w:val="16"/>
          <w:lang w:val="es-ES"/>
        </w:rPr>
        <w:t xml:space="preserve"> (expediente de prueba</w:t>
      </w:r>
      <w:r w:rsidRPr="0000173B">
        <w:rPr>
          <w:sz w:val="16"/>
          <w:szCs w:val="16"/>
          <w:lang w:val="es-CR"/>
        </w:rPr>
        <w:t>, anexo 30 a la contestación, fs. 4915 a 4940).</w:t>
      </w:r>
    </w:p>
  </w:footnote>
  <w:footnote w:id="119">
    <w:p w:rsidR="00B41935" w:rsidRPr="003D07CE" w:rsidRDefault="00B41935" w:rsidP="00257982">
      <w:pPr>
        <w:pStyle w:val="FootnoteText"/>
        <w:rPr>
          <w:sz w:val="16"/>
          <w:szCs w:val="16"/>
          <w:lang w:val="es-CR"/>
        </w:rPr>
      </w:pPr>
      <w:r w:rsidRPr="00CC214C">
        <w:rPr>
          <w:rStyle w:val="FootnoteReference"/>
        </w:rPr>
        <w:footnoteRef/>
      </w:r>
      <w:r w:rsidRPr="00CC214C">
        <w:rPr>
          <w:sz w:val="16"/>
          <w:szCs w:val="16"/>
        </w:rPr>
        <w:t xml:space="preserve"> </w:t>
      </w:r>
      <w:r w:rsidRPr="00552A48">
        <w:rPr>
          <w:sz w:val="16"/>
          <w:szCs w:val="16"/>
          <w:lang w:val="es-CR"/>
        </w:rPr>
        <w:tab/>
      </w:r>
      <w:r w:rsidRPr="00552A48">
        <w:rPr>
          <w:rFonts w:cs="Arial"/>
          <w:sz w:val="16"/>
          <w:szCs w:val="16"/>
          <w:shd w:val="clear" w:color="auto" w:fill="FFFFFF"/>
          <w:lang w:val="es-CR"/>
        </w:rPr>
        <w:t xml:space="preserve">Dictamen </w:t>
      </w:r>
      <w:r w:rsidRPr="008C6FF0">
        <w:rPr>
          <w:sz w:val="16"/>
          <w:szCs w:val="16"/>
        </w:rPr>
        <w:t xml:space="preserve">N° </w:t>
      </w:r>
      <w:r w:rsidRPr="00552A48">
        <w:rPr>
          <w:rFonts w:cs="Arial"/>
          <w:sz w:val="16"/>
          <w:szCs w:val="16"/>
          <w:shd w:val="clear" w:color="auto" w:fill="FFFFFF"/>
          <w:lang w:val="es-CR"/>
        </w:rPr>
        <w:t>16-2015-1-FPS-MP-FN de la Primera Fiscalía Penal Supranacional</w:t>
      </w:r>
      <w:r w:rsidRPr="00F10686">
        <w:rPr>
          <w:sz w:val="16"/>
          <w:szCs w:val="16"/>
          <w:lang w:val="es-ES"/>
        </w:rPr>
        <w:t xml:space="preserve"> (expediente de prueba</w:t>
      </w:r>
      <w:r w:rsidRPr="0000173B">
        <w:rPr>
          <w:sz w:val="16"/>
          <w:szCs w:val="16"/>
          <w:lang w:val="es-CR"/>
        </w:rPr>
        <w:t>, anexo 32 a la contesta</w:t>
      </w:r>
      <w:r w:rsidRPr="003D07CE">
        <w:rPr>
          <w:sz w:val="16"/>
          <w:szCs w:val="16"/>
          <w:lang w:val="es-CR"/>
        </w:rPr>
        <w:t xml:space="preserve">ción, fs. 4951 a 4968). </w:t>
      </w:r>
    </w:p>
  </w:footnote>
  <w:footnote w:id="120">
    <w:p w:rsidR="00B41935" w:rsidRPr="003D07CE" w:rsidRDefault="00B41935" w:rsidP="00257982">
      <w:pPr>
        <w:pStyle w:val="FootnoteText"/>
        <w:rPr>
          <w:sz w:val="16"/>
          <w:szCs w:val="16"/>
          <w:lang w:val="es-CR"/>
        </w:rPr>
      </w:pPr>
      <w:r w:rsidRPr="00CC214C">
        <w:rPr>
          <w:rStyle w:val="FootnoteReference"/>
        </w:rPr>
        <w:footnoteRef/>
      </w:r>
      <w:r w:rsidRPr="00CC214C">
        <w:rPr>
          <w:sz w:val="16"/>
          <w:szCs w:val="16"/>
        </w:rPr>
        <w:t xml:space="preserve"> </w:t>
      </w:r>
      <w:r w:rsidRPr="00552A48">
        <w:rPr>
          <w:sz w:val="16"/>
          <w:szCs w:val="16"/>
          <w:lang w:val="es-CR"/>
        </w:rPr>
        <w:tab/>
        <w:t xml:space="preserve">Auto Ampliatorio de Procesamiento del </w:t>
      </w:r>
      <w:r w:rsidRPr="00552A48">
        <w:rPr>
          <w:rFonts w:cs="Arial"/>
          <w:sz w:val="16"/>
          <w:szCs w:val="16"/>
          <w:shd w:val="clear" w:color="auto" w:fill="FFFFFF"/>
          <w:lang w:val="es-CR"/>
        </w:rPr>
        <w:t>Primer Juzgado Penal Nacional de Lima</w:t>
      </w:r>
      <w:r w:rsidRPr="00481DCA">
        <w:rPr>
          <w:sz w:val="16"/>
          <w:szCs w:val="16"/>
          <w:lang w:val="es-CR"/>
        </w:rPr>
        <w:t xml:space="preserve"> </w:t>
      </w:r>
      <w:r>
        <w:rPr>
          <w:sz w:val="16"/>
          <w:szCs w:val="16"/>
          <w:lang w:val="es-CR"/>
        </w:rPr>
        <w:t>de 3 de julio de 2005</w:t>
      </w:r>
      <w:r w:rsidRPr="00552A48">
        <w:rPr>
          <w:rFonts w:cs="Arial"/>
          <w:sz w:val="16"/>
          <w:szCs w:val="16"/>
          <w:shd w:val="clear" w:color="auto" w:fill="FFFFFF"/>
          <w:lang w:val="es-CR"/>
        </w:rPr>
        <w:t>, expediente No. 123-2010-0</w:t>
      </w:r>
      <w:r w:rsidRPr="00F10686">
        <w:rPr>
          <w:sz w:val="16"/>
          <w:szCs w:val="16"/>
          <w:lang w:val="es-CR"/>
        </w:rPr>
        <w:t xml:space="preserve"> (</w:t>
      </w:r>
      <w:r w:rsidRPr="0000173B">
        <w:rPr>
          <w:sz w:val="16"/>
          <w:szCs w:val="16"/>
          <w:lang w:val="es-ES"/>
        </w:rPr>
        <w:t>expediente de prueba</w:t>
      </w:r>
      <w:r w:rsidRPr="003D07CE">
        <w:rPr>
          <w:sz w:val="16"/>
          <w:szCs w:val="16"/>
          <w:lang w:val="es-CR"/>
        </w:rPr>
        <w:t xml:space="preserve">, anexo 33 a la contestación, fs. 4969 a 4988). </w:t>
      </w:r>
    </w:p>
  </w:footnote>
  <w:footnote w:id="121">
    <w:p w:rsidR="00B41935" w:rsidRPr="0000173B" w:rsidRDefault="00B41935" w:rsidP="00257982">
      <w:pPr>
        <w:pStyle w:val="FootnoteText"/>
        <w:rPr>
          <w:sz w:val="16"/>
          <w:szCs w:val="16"/>
          <w:lang w:val="es-CR"/>
        </w:rPr>
      </w:pPr>
      <w:r w:rsidRPr="00CC214C">
        <w:rPr>
          <w:rStyle w:val="FootnoteReference"/>
        </w:rPr>
        <w:footnoteRef/>
      </w:r>
      <w:r w:rsidRPr="00CC214C">
        <w:rPr>
          <w:sz w:val="16"/>
          <w:szCs w:val="16"/>
        </w:rPr>
        <w:t xml:space="preserve"> </w:t>
      </w:r>
      <w:r w:rsidRPr="00552A48">
        <w:rPr>
          <w:sz w:val="16"/>
          <w:szCs w:val="16"/>
          <w:lang w:val="es-CR"/>
        </w:rPr>
        <w:tab/>
      </w:r>
      <w:r w:rsidRPr="00552A48">
        <w:rPr>
          <w:rFonts w:cs="Arial"/>
          <w:sz w:val="16"/>
          <w:szCs w:val="16"/>
          <w:shd w:val="clear" w:color="auto" w:fill="FFFFFF"/>
          <w:lang w:val="es-CR"/>
        </w:rPr>
        <w:t>Dictamen No.</w:t>
      </w:r>
      <w:r>
        <w:rPr>
          <w:rFonts w:cs="Arial"/>
          <w:sz w:val="16"/>
          <w:szCs w:val="16"/>
          <w:shd w:val="clear" w:color="auto" w:fill="FFFFFF"/>
          <w:lang w:val="es-CR"/>
        </w:rPr>
        <w:t xml:space="preserve"> </w:t>
      </w:r>
      <w:r w:rsidRPr="00552A48">
        <w:rPr>
          <w:rFonts w:cs="Arial"/>
          <w:sz w:val="16"/>
          <w:szCs w:val="16"/>
          <w:shd w:val="clear" w:color="auto" w:fill="FFFFFF"/>
          <w:lang w:val="es-CR"/>
        </w:rPr>
        <w:t>37-2016-1-FSPN-MP-FN de la Primera Fiscalía Superior Penal Nacional</w:t>
      </w:r>
      <w:r w:rsidRPr="00F10686">
        <w:rPr>
          <w:sz w:val="16"/>
          <w:szCs w:val="16"/>
          <w:lang w:val="es-ES"/>
        </w:rPr>
        <w:t xml:space="preserve"> (expediente de prueba</w:t>
      </w:r>
      <w:r w:rsidRPr="0000173B">
        <w:rPr>
          <w:sz w:val="16"/>
          <w:szCs w:val="16"/>
          <w:lang w:val="es-CR"/>
        </w:rPr>
        <w:t>, anexo 36 a la contestación, fs. 5010 a 5019).</w:t>
      </w:r>
    </w:p>
  </w:footnote>
  <w:footnote w:id="122">
    <w:p w:rsidR="00B41935" w:rsidRPr="00552A48" w:rsidRDefault="00B41935" w:rsidP="00257982">
      <w:pPr>
        <w:pStyle w:val="FootnoteText"/>
        <w:rPr>
          <w:sz w:val="16"/>
          <w:szCs w:val="16"/>
          <w:lang w:val="es-CR"/>
        </w:rPr>
      </w:pPr>
      <w:r w:rsidRPr="00CC214C">
        <w:rPr>
          <w:rStyle w:val="FootnoteReference"/>
        </w:rPr>
        <w:footnoteRef/>
      </w:r>
      <w:r w:rsidRPr="00257982">
        <w:rPr>
          <w:sz w:val="16"/>
          <w:szCs w:val="16"/>
        </w:rPr>
        <w:t xml:space="preserve"> </w:t>
      </w:r>
      <w:r w:rsidRPr="00257982">
        <w:rPr>
          <w:sz w:val="16"/>
          <w:szCs w:val="16"/>
          <w:lang w:val="es-CR"/>
        </w:rPr>
        <w:tab/>
      </w:r>
      <w:r w:rsidRPr="00CC214C">
        <w:rPr>
          <w:sz w:val="16"/>
          <w:szCs w:val="16"/>
          <w:lang w:val="es-CR"/>
        </w:rPr>
        <w:t>Dictamen No. 38-2016-1-FSPN-MP-FN de la Primera Fiscalía Superior Penal Nacional</w:t>
      </w:r>
      <w:r>
        <w:rPr>
          <w:sz w:val="16"/>
          <w:szCs w:val="16"/>
          <w:lang w:val="es-CR"/>
        </w:rPr>
        <w:t xml:space="preserve"> de 21 de abril de 2016 </w:t>
      </w:r>
      <w:r w:rsidRPr="00CC214C">
        <w:rPr>
          <w:sz w:val="16"/>
          <w:szCs w:val="16"/>
          <w:lang w:val="es-CR"/>
        </w:rPr>
        <w:t>(</w:t>
      </w:r>
      <w:r w:rsidRPr="00CC214C">
        <w:rPr>
          <w:sz w:val="16"/>
          <w:szCs w:val="16"/>
          <w:lang w:val="es-ES"/>
        </w:rPr>
        <w:t>expediente de prueba,</w:t>
      </w:r>
      <w:r w:rsidRPr="00552A48">
        <w:rPr>
          <w:sz w:val="16"/>
          <w:szCs w:val="16"/>
          <w:lang w:val="es-CR"/>
        </w:rPr>
        <w:t xml:space="preserve"> anexo</w:t>
      </w:r>
      <w:r>
        <w:rPr>
          <w:sz w:val="16"/>
          <w:szCs w:val="16"/>
          <w:lang w:val="es-CR"/>
        </w:rPr>
        <w:t xml:space="preserve"> 37 a la contestación</w:t>
      </w:r>
      <w:r w:rsidRPr="00552A48">
        <w:rPr>
          <w:sz w:val="16"/>
          <w:szCs w:val="16"/>
          <w:lang w:val="es-CR"/>
        </w:rPr>
        <w:t>, fs. 5020 a 5026).</w:t>
      </w:r>
    </w:p>
  </w:footnote>
  <w:footnote w:id="123">
    <w:p w:rsidR="00B41935" w:rsidRPr="00257982" w:rsidRDefault="00B41935" w:rsidP="00257982">
      <w:pPr>
        <w:pStyle w:val="FootnoteText"/>
        <w:rPr>
          <w:sz w:val="16"/>
          <w:szCs w:val="16"/>
          <w:lang w:val="es-CR"/>
        </w:rPr>
      </w:pPr>
      <w:r w:rsidRPr="00CC214C">
        <w:rPr>
          <w:rStyle w:val="FootnoteReference"/>
        </w:rPr>
        <w:footnoteRef/>
      </w:r>
      <w:r w:rsidRPr="00257982">
        <w:rPr>
          <w:sz w:val="16"/>
          <w:szCs w:val="16"/>
        </w:rPr>
        <w:t xml:space="preserve"> </w:t>
      </w:r>
      <w:r w:rsidRPr="00257982">
        <w:rPr>
          <w:sz w:val="16"/>
          <w:szCs w:val="16"/>
          <w:lang w:val="es-CR"/>
        </w:rPr>
        <w:tab/>
      </w:r>
      <w:r w:rsidRPr="00CC214C">
        <w:rPr>
          <w:rFonts w:eastAsiaTheme="minorHAnsi" w:cs="Times New Roman"/>
          <w:sz w:val="16"/>
          <w:szCs w:val="16"/>
          <w:lang w:val="es-ES"/>
        </w:rPr>
        <w:t>Dictamen No. 03-2016-1-FPS de la Primera Fiscalía Penal Supraprovincial</w:t>
      </w:r>
      <w:r w:rsidRPr="00CC214C">
        <w:rPr>
          <w:sz w:val="16"/>
          <w:szCs w:val="16"/>
          <w:lang w:val="es-ES"/>
        </w:rPr>
        <w:t xml:space="preserve"> (expediente de prueba</w:t>
      </w:r>
      <w:r w:rsidRPr="00552A48">
        <w:rPr>
          <w:sz w:val="16"/>
          <w:szCs w:val="16"/>
          <w:lang w:val="es-CR"/>
        </w:rPr>
        <w:t>, anexo 39 a la contestación, fs. 5030 a 5044).</w:t>
      </w:r>
    </w:p>
  </w:footnote>
  <w:footnote w:id="124">
    <w:p w:rsidR="00B41935" w:rsidRPr="00C741C7" w:rsidRDefault="00B41935">
      <w:pPr>
        <w:pStyle w:val="FootnoteText"/>
      </w:pPr>
      <w:r>
        <w:rPr>
          <w:rStyle w:val="FootnoteReference"/>
        </w:rPr>
        <w:footnoteRef/>
      </w:r>
      <w:r>
        <w:t xml:space="preserve"> </w:t>
      </w:r>
      <w:r>
        <w:tab/>
      </w:r>
      <w:r w:rsidRPr="00E20C7B">
        <w:rPr>
          <w:i/>
          <w:sz w:val="16"/>
          <w:szCs w:val="16"/>
        </w:rPr>
        <w:t>Cfr.</w:t>
      </w:r>
      <w:r>
        <w:rPr>
          <w:sz w:val="16"/>
          <w:szCs w:val="16"/>
        </w:rPr>
        <w:t xml:space="preserve"> </w:t>
      </w:r>
      <w:r w:rsidRPr="00176A9A">
        <w:rPr>
          <w:sz w:val="16"/>
          <w:szCs w:val="16"/>
        </w:rPr>
        <w:t>Oficio N</w:t>
      </w:r>
      <w:r>
        <w:rPr>
          <w:sz w:val="16"/>
          <w:szCs w:val="16"/>
        </w:rPr>
        <w:t>° 120-2017-1</w:t>
      </w:r>
      <w:r w:rsidRPr="007A2BDB">
        <w:rPr>
          <w:sz w:val="16"/>
          <w:szCs w:val="16"/>
        </w:rPr>
        <w:t xml:space="preserve"> FSPN-MP-FN de la Primera Fiscalía Superior Penal Nacional de 14 de noviembre de 2017 (expediente de prueba, anexo 8 a los alegatos</w:t>
      </w:r>
      <w:r>
        <w:rPr>
          <w:sz w:val="16"/>
          <w:szCs w:val="16"/>
        </w:rPr>
        <w:t xml:space="preserve"> </w:t>
      </w:r>
      <w:r w:rsidRPr="007B6F15">
        <w:rPr>
          <w:sz w:val="16"/>
          <w:szCs w:val="16"/>
        </w:rPr>
        <w:t>finales</w:t>
      </w:r>
      <w:r w:rsidRPr="007A2BDB">
        <w:rPr>
          <w:sz w:val="16"/>
          <w:szCs w:val="16"/>
        </w:rPr>
        <w:t xml:space="preserve"> del Estado, f. 5</w:t>
      </w:r>
      <w:r>
        <w:rPr>
          <w:sz w:val="16"/>
          <w:szCs w:val="16"/>
        </w:rPr>
        <w:t>372</w:t>
      </w:r>
      <w:r w:rsidRPr="007A2BDB">
        <w:rPr>
          <w:sz w:val="16"/>
          <w:szCs w:val="16"/>
        </w:rPr>
        <w:t>).</w:t>
      </w:r>
    </w:p>
  </w:footnote>
  <w:footnote w:id="125">
    <w:p w:rsidR="00B41935" w:rsidRPr="00552A48" w:rsidRDefault="00B41935" w:rsidP="00257982">
      <w:pPr>
        <w:pStyle w:val="FootnoteText"/>
        <w:rPr>
          <w:sz w:val="16"/>
          <w:szCs w:val="16"/>
          <w:lang w:val="es-CR"/>
        </w:rPr>
      </w:pPr>
      <w:r w:rsidRPr="00CC214C">
        <w:rPr>
          <w:rStyle w:val="FootnoteReference"/>
        </w:rPr>
        <w:footnoteRef/>
      </w:r>
      <w:r w:rsidRPr="00257982">
        <w:rPr>
          <w:sz w:val="16"/>
          <w:szCs w:val="16"/>
        </w:rPr>
        <w:t xml:space="preserve"> </w:t>
      </w:r>
      <w:r w:rsidRPr="00257982">
        <w:rPr>
          <w:sz w:val="16"/>
          <w:szCs w:val="16"/>
          <w:lang w:val="es-CR"/>
        </w:rPr>
        <w:tab/>
      </w:r>
      <w:r w:rsidRPr="00CC214C">
        <w:rPr>
          <w:sz w:val="16"/>
          <w:szCs w:val="16"/>
          <w:lang w:val="es-CR"/>
        </w:rPr>
        <w:t xml:space="preserve"> </w:t>
      </w:r>
      <w:r w:rsidRPr="00E9461F">
        <w:rPr>
          <w:sz w:val="16"/>
          <w:szCs w:val="16"/>
          <w:lang w:val="es-CR"/>
        </w:rPr>
        <w:t>Resolución</w:t>
      </w:r>
      <w:r w:rsidRPr="00CC214C">
        <w:rPr>
          <w:sz w:val="16"/>
          <w:szCs w:val="16"/>
          <w:lang w:val="es-CR"/>
        </w:rPr>
        <w:t xml:space="preserve"> de la Coordinación de la Fiscalía Superior Penal Nacional y Fiscalías Penales Supranacionales del Ministerio Público</w:t>
      </w:r>
      <w:r>
        <w:rPr>
          <w:sz w:val="16"/>
          <w:szCs w:val="16"/>
          <w:lang w:val="es-CR"/>
        </w:rPr>
        <w:t xml:space="preserve">, </w:t>
      </w:r>
      <w:r w:rsidRPr="0049438A">
        <w:rPr>
          <w:i/>
          <w:sz w:val="16"/>
          <w:szCs w:val="16"/>
          <w:lang w:val="es-CR"/>
        </w:rPr>
        <w:t>supra</w:t>
      </w:r>
      <w:r>
        <w:rPr>
          <w:sz w:val="16"/>
          <w:szCs w:val="16"/>
          <w:lang w:val="es-CR"/>
        </w:rPr>
        <w:t>.</w:t>
      </w:r>
      <w:r w:rsidRPr="00CC214C">
        <w:rPr>
          <w:sz w:val="16"/>
          <w:szCs w:val="16"/>
          <w:lang w:val="es-CR"/>
        </w:rPr>
        <w:t xml:space="preserve"> </w:t>
      </w:r>
    </w:p>
  </w:footnote>
  <w:footnote w:id="126">
    <w:p w:rsidR="00B41935" w:rsidRPr="00E9461F" w:rsidRDefault="00B41935" w:rsidP="00D776F7">
      <w:pPr>
        <w:pStyle w:val="FootnoteText"/>
      </w:pPr>
      <w:r>
        <w:rPr>
          <w:rStyle w:val="FootnoteReference"/>
        </w:rPr>
        <w:footnoteRef/>
      </w:r>
      <w:r>
        <w:t xml:space="preserve"> </w:t>
      </w:r>
      <w:r>
        <w:tab/>
      </w:r>
      <w:r w:rsidRPr="00E9461F">
        <w:rPr>
          <w:i/>
          <w:sz w:val="16"/>
          <w:szCs w:val="16"/>
        </w:rPr>
        <w:t xml:space="preserve">Cfr. </w:t>
      </w:r>
      <w:r w:rsidRPr="00E9461F">
        <w:rPr>
          <w:sz w:val="16"/>
          <w:szCs w:val="16"/>
          <w:lang w:val="es-CR"/>
        </w:rPr>
        <w:t xml:space="preserve">Resolución de 3 de abril de 2017, </w:t>
      </w:r>
      <w:r w:rsidRPr="00481DCA">
        <w:rPr>
          <w:i/>
          <w:sz w:val="16"/>
          <w:szCs w:val="16"/>
          <w:lang w:val="es-CR"/>
        </w:rPr>
        <w:t>supra.</w:t>
      </w:r>
    </w:p>
  </w:footnote>
  <w:footnote w:id="127">
    <w:p w:rsidR="00B41935" w:rsidRPr="00176A9A" w:rsidRDefault="00B41935" w:rsidP="00257982">
      <w:pPr>
        <w:pStyle w:val="FootnoteText"/>
        <w:rPr>
          <w:sz w:val="16"/>
          <w:szCs w:val="16"/>
        </w:rPr>
      </w:pPr>
      <w:r w:rsidRPr="00CC214C">
        <w:rPr>
          <w:rStyle w:val="FootnoteReference"/>
        </w:rPr>
        <w:footnoteRef/>
      </w:r>
      <w:r w:rsidRPr="00CC214C">
        <w:rPr>
          <w:sz w:val="16"/>
          <w:szCs w:val="16"/>
        </w:rPr>
        <w:t xml:space="preserve"> </w:t>
      </w:r>
      <w:r w:rsidRPr="00CC214C">
        <w:rPr>
          <w:sz w:val="16"/>
          <w:szCs w:val="16"/>
        </w:rPr>
        <w:tab/>
      </w:r>
      <w:r w:rsidRPr="00E20C7B">
        <w:rPr>
          <w:i/>
          <w:sz w:val="16"/>
          <w:szCs w:val="16"/>
        </w:rPr>
        <w:t>Cfr.</w:t>
      </w:r>
      <w:r>
        <w:rPr>
          <w:sz w:val="16"/>
          <w:szCs w:val="16"/>
        </w:rPr>
        <w:t xml:space="preserve"> </w:t>
      </w:r>
      <w:r w:rsidRPr="00176A9A">
        <w:rPr>
          <w:sz w:val="16"/>
          <w:szCs w:val="16"/>
        </w:rPr>
        <w:t>RENIEC, Registro ele</w:t>
      </w:r>
      <w:r>
        <w:rPr>
          <w:sz w:val="16"/>
          <w:szCs w:val="16"/>
        </w:rPr>
        <w:t>ctoral de Néstor Rojas Medina (e</w:t>
      </w:r>
      <w:r w:rsidRPr="00176A9A">
        <w:rPr>
          <w:sz w:val="16"/>
          <w:szCs w:val="16"/>
        </w:rPr>
        <w:t>xpediente de trámite ante la Comisión, f. 1883)</w:t>
      </w:r>
      <w:r>
        <w:rPr>
          <w:sz w:val="16"/>
          <w:szCs w:val="16"/>
        </w:rPr>
        <w:t xml:space="preserve">, y </w:t>
      </w:r>
      <w:r w:rsidRPr="00176A9A">
        <w:rPr>
          <w:sz w:val="16"/>
          <w:szCs w:val="16"/>
        </w:rPr>
        <w:t xml:space="preserve">Defensoría del Pueblo, Constancia de Ausencia por Desaparición Forzada No. 0192 emitida el 6 de septiembre </w:t>
      </w:r>
      <w:r>
        <w:rPr>
          <w:sz w:val="16"/>
          <w:szCs w:val="16"/>
        </w:rPr>
        <w:t>de 2006 (expediente de prueba, a</w:t>
      </w:r>
      <w:r w:rsidRPr="00176A9A">
        <w:rPr>
          <w:sz w:val="16"/>
          <w:szCs w:val="16"/>
        </w:rPr>
        <w:t>nexo 53 al ESAP, f. 4403)</w:t>
      </w:r>
      <w:r>
        <w:rPr>
          <w:sz w:val="16"/>
          <w:szCs w:val="16"/>
        </w:rPr>
        <w:t>.</w:t>
      </w:r>
    </w:p>
  </w:footnote>
  <w:footnote w:id="128">
    <w:p w:rsidR="00B41935" w:rsidRPr="00176A9A" w:rsidRDefault="00B41935" w:rsidP="00257982">
      <w:pPr>
        <w:pStyle w:val="FootnoteText"/>
        <w:rPr>
          <w:sz w:val="16"/>
          <w:szCs w:val="16"/>
          <w:lang w:val="es-CR"/>
        </w:rPr>
      </w:pPr>
      <w:r w:rsidRPr="00176A9A">
        <w:rPr>
          <w:rStyle w:val="FootnoteReference"/>
        </w:rPr>
        <w:footnoteRef/>
      </w:r>
      <w:r w:rsidRPr="00176A9A">
        <w:rPr>
          <w:sz w:val="16"/>
          <w:szCs w:val="16"/>
        </w:rPr>
        <w:t xml:space="preserve"> </w:t>
      </w:r>
      <w:r w:rsidRPr="00176A9A">
        <w:rPr>
          <w:sz w:val="16"/>
          <w:szCs w:val="16"/>
        </w:rPr>
        <w:tab/>
      </w:r>
      <w:r w:rsidRPr="00176A9A">
        <w:rPr>
          <w:i/>
          <w:sz w:val="16"/>
          <w:szCs w:val="16"/>
        </w:rPr>
        <w:t>Cfr.</w:t>
      </w:r>
      <w:r w:rsidRPr="00176A9A">
        <w:rPr>
          <w:sz w:val="16"/>
          <w:szCs w:val="16"/>
        </w:rPr>
        <w:t xml:space="preserve"> </w:t>
      </w:r>
      <w:r w:rsidRPr="00176A9A">
        <w:rPr>
          <w:sz w:val="16"/>
          <w:szCs w:val="16"/>
          <w:lang w:val="es-CR"/>
        </w:rPr>
        <w:t>Comunicación de los peticionarios de 23 de septiembre de 2011 (expediente de prueba, anexo 51 al Informe de Fondo, fs. 428 a 494).</w:t>
      </w:r>
    </w:p>
  </w:footnote>
  <w:footnote w:id="129">
    <w:p w:rsidR="00B41935" w:rsidRPr="003D07CE" w:rsidRDefault="00B41935" w:rsidP="00257982">
      <w:pPr>
        <w:pStyle w:val="FootnoteText"/>
        <w:rPr>
          <w:sz w:val="16"/>
          <w:szCs w:val="16"/>
        </w:rPr>
      </w:pPr>
      <w:r w:rsidRPr="00176A9A">
        <w:rPr>
          <w:rStyle w:val="FootnoteReference"/>
        </w:rPr>
        <w:footnoteRef/>
      </w:r>
      <w:r w:rsidRPr="00176A9A">
        <w:rPr>
          <w:sz w:val="16"/>
          <w:szCs w:val="16"/>
        </w:rPr>
        <w:t xml:space="preserve"> </w:t>
      </w:r>
      <w:r w:rsidRPr="00176A9A">
        <w:rPr>
          <w:sz w:val="16"/>
          <w:szCs w:val="16"/>
        </w:rPr>
        <w:tab/>
      </w:r>
      <w:r w:rsidRPr="007B6F15">
        <w:rPr>
          <w:i/>
          <w:sz w:val="16"/>
          <w:szCs w:val="16"/>
        </w:rPr>
        <w:t>Cfr.</w:t>
      </w:r>
      <w:r w:rsidRPr="007B6F15">
        <w:rPr>
          <w:sz w:val="16"/>
          <w:szCs w:val="16"/>
        </w:rPr>
        <w:t xml:space="preserve"> Declaración rendida por Tania Collantes Medina mediante </w:t>
      </w:r>
      <w:r w:rsidRPr="005530D1">
        <w:rPr>
          <w:i/>
          <w:sz w:val="16"/>
          <w:szCs w:val="16"/>
        </w:rPr>
        <w:t>affidávit</w:t>
      </w:r>
      <w:r w:rsidRPr="007B6F15">
        <w:rPr>
          <w:sz w:val="16"/>
          <w:szCs w:val="16"/>
        </w:rPr>
        <w:t xml:space="preserve"> ante la Corte el 9 de marzo de 2018 (expediente de fondo, f. 841).</w:t>
      </w:r>
    </w:p>
  </w:footnote>
  <w:footnote w:id="130">
    <w:p w:rsidR="00B41935" w:rsidRPr="00BA1720" w:rsidRDefault="00B41935">
      <w:pPr>
        <w:pStyle w:val="FootnoteText"/>
      </w:pPr>
      <w:r>
        <w:rPr>
          <w:rStyle w:val="FootnoteReference"/>
        </w:rPr>
        <w:footnoteRef/>
      </w:r>
      <w:r>
        <w:t xml:space="preserve"> </w:t>
      </w:r>
      <w:r>
        <w:tab/>
      </w:r>
      <w:r w:rsidRPr="00BA1720">
        <w:rPr>
          <w:sz w:val="16"/>
          <w:szCs w:val="16"/>
        </w:rPr>
        <w:t>Respecto a la fecha de su desaparición existen dos fechas posibles que se desprenden de las denuncias, según Marcelina Medina Negrón desapareció el 26 de enero de 1991 y de acuerdo a CSL, el 31 de enero de 1991. (</w:t>
      </w:r>
      <w:r w:rsidRPr="00BA1720">
        <w:rPr>
          <w:i/>
          <w:sz w:val="16"/>
          <w:szCs w:val="16"/>
        </w:rPr>
        <w:t>infra</w:t>
      </w:r>
      <w:r>
        <w:rPr>
          <w:sz w:val="16"/>
          <w:szCs w:val="16"/>
        </w:rPr>
        <w:t xml:space="preserve"> párr</w:t>
      </w:r>
      <w:r w:rsidRPr="00BA1720">
        <w:rPr>
          <w:sz w:val="16"/>
          <w:szCs w:val="16"/>
        </w:rPr>
        <w:t xml:space="preserve">. </w:t>
      </w:r>
      <w:r>
        <w:rPr>
          <w:sz w:val="16"/>
          <w:szCs w:val="16"/>
        </w:rPr>
        <w:t>98</w:t>
      </w:r>
      <w:r w:rsidRPr="00BA1720">
        <w:rPr>
          <w:sz w:val="16"/>
          <w:szCs w:val="16"/>
        </w:rPr>
        <w:t>)</w:t>
      </w:r>
      <w:r>
        <w:rPr>
          <w:sz w:val="16"/>
          <w:szCs w:val="16"/>
        </w:rPr>
        <w:t>.</w:t>
      </w:r>
    </w:p>
  </w:footnote>
  <w:footnote w:id="131">
    <w:p w:rsidR="00B41935" w:rsidRPr="00257982" w:rsidRDefault="00B41935" w:rsidP="00176A9A">
      <w:pPr>
        <w:pStyle w:val="FootnoteText"/>
        <w:rPr>
          <w:sz w:val="16"/>
          <w:szCs w:val="16"/>
          <w:lang w:val="es-CR"/>
        </w:rPr>
      </w:pPr>
      <w:r w:rsidRPr="00BA1720">
        <w:rPr>
          <w:rStyle w:val="FootnoteReference"/>
        </w:rPr>
        <w:footnoteRef/>
      </w:r>
      <w:r w:rsidRPr="00BA1720">
        <w:rPr>
          <w:sz w:val="16"/>
          <w:szCs w:val="16"/>
        </w:rPr>
        <w:t xml:space="preserve"> </w:t>
      </w:r>
      <w:r w:rsidRPr="00BA1720">
        <w:rPr>
          <w:sz w:val="16"/>
          <w:szCs w:val="16"/>
          <w:lang w:val="es-CR"/>
        </w:rPr>
        <w:tab/>
      </w:r>
      <w:r w:rsidRPr="00E20C7B">
        <w:rPr>
          <w:i/>
          <w:sz w:val="16"/>
          <w:szCs w:val="16"/>
        </w:rPr>
        <w:t>Cfr</w:t>
      </w:r>
      <w:r w:rsidRPr="009D1E17">
        <w:rPr>
          <w:i/>
          <w:sz w:val="16"/>
          <w:szCs w:val="16"/>
        </w:rPr>
        <w:t>.</w:t>
      </w:r>
      <w:r w:rsidRPr="009D1E17">
        <w:rPr>
          <w:sz w:val="16"/>
          <w:szCs w:val="16"/>
        </w:rPr>
        <w:t xml:space="preserve"> Denuncia Penal por delitos de secuestro y desaparición forzada interpuesta por Marcelina Medina Negrón ante la Fiscal Provisional de la Fiscalía Especializada para Desapariciones Forzosas, Ejecuciones Extrajudiciales y Exhumación de Fosas Clandes</w:t>
      </w:r>
      <w:r>
        <w:rPr>
          <w:sz w:val="16"/>
          <w:szCs w:val="16"/>
        </w:rPr>
        <w:t>tinas el 20 de agosto de 2003 (e</w:t>
      </w:r>
      <w:r w:rsidRPr="009D1E17">
        <w:rPr>
          <w:sz w:val="16"/>
          <w:szCs w:val="16"/>
        </w:rPr>
        <w:t xml:space="preserve">xpediente de trámite ante la Comisión, f. 1482), y </w:t>
      </w:r>
      <w:r w:rsidRPr="009D1E17">
        <w:rPr>
          <w:sz w:val="16"/>
          <w:szCs w:val="16"/>
          <w:lang w:val="es-CR"/>
        </w:rPr>
        <w:t>Diligencia de declaración indagatoria rendida por Marcelina Medina Negrón el 17 de enero de 2005 ante la Fiscalía Especializada para Desapariciones Forzadas, Ejecuciones Extrajudiciales y Exhumación de Fosas Clandestinas (expediente de trámite ante la Comisión, fs. 1435 a 1438).</w:t>
      </w:r>
    </w:p>
  </w:footnote>
  <w:footnote w:id="132">
    <w:p w:rsidR="00B41935" w:rsidRPr="00CC214C" w:rsidRDefault="00B41935" w:rsidP="00257982">
      <w:pPr>
        <w:pStyle w:val="FootnoteText"/>
        <w:rPr>
          <w:sz w:val="16"/>
          <w:szCs w:val="16"/>
        </w:rPr>
      </w:pPr>
      <w:r w:rsidRPr="00CC214C">
        <w:rPr>
          <w:rStyle w:val="FootnoteReference"/>
        </w:rPr>
        <w:footnoteRef/>
      </w:r>
      <w:r w:rsidRPr="00CC214C">
        <w:rPr>
          <w:sz w:val="16"/>
          <w:szCs w:val="16"/>
        </w:rPr>
        <w:t xml:space="preserve"> </w:t>
      </w:r>
      <w:r w:rsidRPr="00CC214C">
        <w:rPr>
          <w:sz w:val="16"/>
          <w:szCs w:val="16"/>
        </w:rPr>
        <w:tab/>
      </w:r>
      <w:r w:rsidRPr="00F55D26">
        <w:rPr>
          <w:sz w:val="16"/>
          <w:szCs w:val="16"/>
        </w:rPr>
        <w:t xml:space="preserve">Comisión de la Verdad </w:t>
      </w:r>
      <w:r>
        <w:rPr>
          <w:sz w:val="16"/>
          <w:szCs w:val="16"/>
        </w:rPr>
        <w:t>y Reconcil</w:t>
      </w:r>
      <w:r w:rsidRPr="00423D76">
        <w:rPr>
          <w:sz w:val="16"/>
          <w:szCs w:val="16"/>
        </w:rPr>
        <w:t>iación, Informe Final, 2003</w:t>
      </w:r>
      <w:r>
        <w:rPr>
          <w:sz w:val="16"/>
          <w:szCs w:val="16"/>
        </w:rPr>
        <w:t>,</w:t>
      </w:r>
      <w:r w:rsidRPr="00423D76">
        <w:rPr>
          <w:sz w:val="16"/>
          <w:szCs w:val="16"/>
        </w:rPr>
        <w:t xml:space="preserve"> </w:t>
      </w:r>
      <w:r w:rsidRPr="0049438A">
        <w:rPr>
          <w:i/>
          <w:sz w:val="16"/>
          <w:szCs w:val="16"/>
        </w:rPr>
        <w:t>supra</w:t>
      </w:r>
      <w:r>
        <w:rPr>
          <w:sz w:val="16"/>
          <w:szCs w:val="16"/>
        </w:rPr>
        <w:t xml:space="preserve">, </w:t>
      </w:r>
      <w:r w:rsidRPr="00423D76">
        <w:rPr>
          <w:rFonts w:cs="Arial"/>
          <w:sz w:val="16"/>
          <w:szCs w:val="16"/>
          <w:lang w:val="es-ES"/>
        </w:rPr>
        <w:t xml:space="preserve">pág. </w:t>
      </w:r>
      <w:r>
        <w:rPr>
          <w:rFonts w:cs="Arial"/>
          <w:sz w:val="16"/>
          <w:szCs w:val="16"/>
          <w:lang w:val="es-ES"/>
        </w:rPr>
        <w:t>365.</w:t>
      </w:r>
    </w:p>
  </w:footnote>
  <w:footnote w:id="133">
    <w:p w:rsidR="00B41935" w:rsidRPr="00F10686" w:rsidRDefault="00B41935" w:rsidP="009F394A">
      <w:pPr>
        <w:pStyle w:val="FootnoteText"/>
        <w:rPr>
          <w:sz w:val="16"/>
          <w:szCs w:val="16"/>
          <w:lang w:val="es-ES_tradnl"/>
        </w:rPr>
      </w:pPr>
      <w:r w:rsidRPr="00CC214C">
        <w:rPr>
          <w:rStyle w:val="FootnoteReference"/>
        </w:rPr>
        <w:footnoteRef/>
      </w:r>
      <w:r w:rsidRPr="00CC214C">
        <w:rPr>
          <w:sz w:val="16"/>
          <w:szCs w:val="16"/>
        </w:rPr>
        <w:t xml:space="preserve"> </w:t>
      </w:r>
      <w:r w:rsidRPr="00552A48">
        <w:rPr>
          <w:sz w:val="16"/>
          <w:szCs w:val="16"/>
          <w:lang w:val="es-ES_tradnl"/>
        </w:rPr>
        <w:tab/>
      </w:r>
      <w:r w:rsidRPr="00E20C7B">
        <w:rPr>
          <w:i/>
          <w:sz w:val="16"/>
          <w:szCs w:val="16"/>
        </w:rPr>
        <w:t>Cfr.</w:t>
      </w:r>
      <w:r>
        <w:rPr>
          <w:sz w:val="16"/>
          <w:szCs w:val="16"/>
        </w:rPr>
        <w:t xml:space="preserve"> </w:t>
      </w:r>
      <w:r w:rsidRPr="00A852F7">
        <w:rPr>
          <w:sz w:val="16"/>
          <w:szCs w:val="16"/>
          <w:lang w:val="es-ES_tradnl"/>
        </w:rPr>
        <w:t xml:space="preserve">Declaración </w:t>
      </w:r>
      <w:r w:rsidRPr="00F10686">
        <w:rPr>
          <w:sz w:val="16"/>
          <w:szCs w:val="16"/>
          <w:lang w:val="es-ES_tradnl"/>
        </w:rPr>
        <w:t xml:space="preserve">de Marcelina Medina Negrón rendida </w:t>
      </w:r>
      <w:r w:rsidRPr="00A852F7">
        <w:rPr>
          <w:sz w:val="16"/>
          <w:szCs w:val="16"/>
          <w:lang w:val="es-ES_tradnl"/>
        </w:rPr>
        <w:t>ante</w:t>
      </w:r>
      <w:r w:rsidRPr="00F10686">
        <w:rPr>
          <w:sz w:val="16"/>
          <w:szCs w:val="16"/>
          <w:lang w:val="es-ES_tradnl"/>
        </w:rPr>
        <w:t xml:space="preserve"> la Comisión de la Verdad y Reconciliación el 8 de mayo de 2002 (expediente de trámite ante la Comisión, f</w:t>
      </w:r>
      <w:r>
        <w:rPr>
          <w:sz w:val="16"/>
          <w:szCs w:val="16"/>
          <w:lang w:val="es-ES_tradnl"/>
        </w:rPr>
        <w:t>s</w:t>
      </w:r>
      <w:r w:rsidRPr="00F10686">
        <w:rPr>
          <w:sz w:val="16"/>
          <w:szCs w:val="16"/>
          <w:lang w:val="es-ES_tradnl"/>
        </w:rPr>
        <w:t>. 18</w:t>
      </w:r>
      <w:r>
        <w:rPr>
          <w:sz w:val="16"/>
          <w:szCs w:val="16"/>
          <w:lang w:val="es-ES_tradnl"/>
        </w:rPr>
        <w:t>59 a 1864</w:t>
      </w:r>
      <w:r w:rsidRPr="00F10686">
        <w:rPr>
          <w:sz w:val="16"/>
          <w:szCs w:val="16"/>
          <w:lang w:val="es-ES_tradnl"/>
        </w:rPr>
        <w:t>).</w:t>
      </w:r>
    </w:p>
  </w:footnote>
  <w:footnote w:id="134">
    <w:p w:rsidR="00B41935" w:rsidRPr="00257982" w:rsidRDefault="00B41935" w:rsidP="009F394A">
      <w:pPr>
        <w:pStyle w:val="FootnoteText"/>
        <w:rPr>
          <w:sz w:val="16"/>
          <w:szCs w:val="16"/>
          <w:lang w:val="es-AR"/>
        </w:rPr>
      </w:pPr>
      <w:r w:rsidRPr="00CC214C">
        <w:rPr>
          <w:rStyle w:val="FootnoteReference"/>
        </w:rPr>
        <w:footnoteRef/>
      </w:r>
      <w:r w:rsidRPr="00257982">
        <w:rPr>
          <w:sz w:val="16"/>
          <w:szCs w:val="16"/>
        </w:rPr>
        <w:t xml:space="preserve"> </w:t>
      </w:r>
      <w:r w:rsidRPr="00257982">
        <w:rPr>
          <w:sz w:val="16"/>
          <w:szCs w:val="16"/>
        </w:rPr>
        <w:tab/>
      </w:r>
      <w:r w:rsidRPr="00CC214C">
        <w:rPr>
          <w:i/>
          <w:sz w:val="16"/>
          <w:szCs w:val="16"/>
          <w:lang w:val="es-AR"/>
        </w:rPr>
        <w:t>Cfr.</w:t>
      </w:r>
      <w:r w:rsidRPr="00CC214C">
        <w:rPr>
          <w:sz w:val="16"/>
          <w:szCs w:val="16"/>
          <w:lang w:val="es-AR"/>
        </w:rPr>
        <w:t xml:space="preserve"> Denuncia de </w:t>
      </w:r>
      <w:r w:rsidRPr="00F10686">
        <w:rPr>
          <w:sz w:val="16"/>
          <w:szCs w:val="16"/>
          <w:lang w:val="es-AR"/>
        </w:rPr>
        <w:t>CSL</w:t>
      </w:r>
      <w:r>
        <w:rPr>
          <w:sz w:val="16"/>
          <w:szCs w:val="16"/>
          <w:lang w:val="es-AR"/>
        </w:rPr>
        <w:t xml:space="preserve"> ante la Fiscalía de Tocache de</w:t>
      </w:r>
      <w:r w:rsidRPr="00F10686">
        <w:rPr>
          <w:sz w:val="16"/>
          <w:szCs w:val="16"/>
          <w:lang w:val="es-AR"/>
        </w:rPr>
        <w:t xml:space="preserve"> 5 de febrero de 1991 (expediente de prueba, anexo 52 al Informe de Fondo</w:t>
      </w:r>
      <w:r>
        <w:rPr>
          <w:sz w:val="16"/>
          <w:szCs w:val="16"/>
          <w:lang w:val="es-AR"/>
        </w:rPr>
        <w:t>, f</w:t>
      </w:r>
      <w:r w:rsidRPr="00F10686">
        <w:rPr>
          <w:sz w:val="16"/>
          <w:szCs w:val="16"/>
          <w:lang w:val="es-AR"/>
        </w:rPr>
        <w:t>. 496). La señora CSL expresamente se negó a ratificar su denuncia, porque “su conviviente del asociado (sic) Néstor Rojas Me</w:t>
      </w:r>
      <w:r w:rsidRPr="0000173B">
        <w:rPr>
          <w:sz w:val="16"/>
          <w:szCs w:val="16"/>
          <w:lang w:val="es-AR"/>
        </w:rPr>
        <w:t xml:space="preserve">dina, cuyo nombre desconozco </w:t>
      </w:r>
      <w:r>
        <w:rPr>
          <w:sz w:val="16"/>
          <w:szCs w:val="16"/>
          <w:lang w:val="es-AR"/>
        </w:rPr>
        <w:t>[l]e</w:t>
      </w:r>
      <w:r w:rsidRPr="0000173B">
        <w:rPr>
          <w:sz w:val="16"/>
          <w:szCs w:val="16"/>
          <w:lang w:val="es-AR"/>
        </w:rPr>
        <w:t xml:space="preserve"> ha indicado que no haga nada sobre el particular ya que se iba de viaje a la ciudad de Lima y ya no le importaba el destino de su conviviente”. Declaración </w:t>
      </w:r>
      <w:r>
        <w:rPr>
          <w:sz w:val="16"/>
          <w:szCs w:val="16"/>
          <w:lang w:val="es-AR"/>
        </w:rPr>
        <w:t xml:space="preserve">Indagatoria de la señora CSL rendida </w:t>
      </w:r>
      <w:r w:rsidRPr="0000173B">
        <w:rPr>
          <w:sz w:val="16"/>
          <w:szCs w:val="16"/>
          <w:lang w:val="es-AR"/>
        </w:rPr>
        <w:t>ante la Fiscalí</w:t>
      </w:r>
      <w:r w:rsidRPr="003D07CE">
        <w:rPr>
          <w:sz w:val="16"/>
          <w:szCs w:val="16"/>
          <w:lang w:val="es-AR"/>
        </w:rPr>
        <w:t>a Provincial Mi</w:t>
      </w:r>
      <w:r>
        <w:rPr>
          <w:sz w:val="16"/>
          <w:szCs w:val="16"/>
          <w:lang w:val="es-AR"/>
        </w:rPr>
        <w:t>xta de Tocache de</w:t>
      </w:r>
      <w:r w:rsidRPr="0000173B">
        <w:rPr>
          <w:sz w:val="16"/>
          <w:szCs w:val="16"/>
          <w:lang w:val="es-AR"/>
        </w:rPr>
        <w:t xml:space="preserve"> 19 de marzo de 1991 </w:t>
      </w:r>
      <w:r>
        <w:rPr>
          <w:sz w:val="16"/>
          <w:szCs w:val="16"/>
          <w:lang w:val="es-AR"/>
        </w:rPr>
        <w:t>(expediente de t</w:t>
      </w:r>
      <w:r w:rsidRPr="003D07CE">
        <w:rPr>
          <w:sz w:val="16"/>
          <w:szCs w:val="16"/>
          <w:lang w:val="es-AR"/>
        </w:rPr>
        <w:t xml:space="preserve">rámite ante la Comisión, f. 1910). </w:t>
      </w:r>
    </w:p>
  </w:footnote>
  <w:footnote w:id="135">
    <w:p w:rsidR="00B41935" w:rsidRPr="003D07CE" w:rsidRDefault="00B41935" w:rsidP="009F394A">
      <w:pPr>
        <w:pStyle w:val="FootnoteText"/>
        <w:rPr>
          <w:sz w:val="16"/>
          <w:szCs w:val="16"/>
        </w:rPr>
      </w:pPr>
      <w:r w:rsidRPr="00CC214C">
        <w:rPr>
          <w:rStyle w:val="FootnoteReference"/>
        </w:rPr>
        <w:footnoteRef/>
      </w:r>
      <w:r w:rsidRPr="00CC214C">
        <w:rPr>
          <w:sz w:val="16"/>
          <w:szCs w:val="16"/>
        </w:rPr>
        <w:t xml:space="preserve"> </w:t>
      </w:r>
      <w:r w:rsidRPr="00CC214C">
        <w:rPr>
          <w:sz w:val="16"/>
          <w:szCs w:val="16"/>
        </w:rPr>
        <w:tab/>
        <w:t xml:space="preserve">Según la declaración de Marcelina Medina Negrón de 2003, siendo asistida por el Senador </w:t>
      </w:r>
      <w:r>
        <w:rPr>
          <w:sz w:val="16"/>
          <w:szCs w:val="16"/>
        </w:rPr>
        <w:t>JHP</w:t>
      </w:r>
      <w:r w:rsidRPr="00CC214C">
        <w:rPr>
          <w:sz w:val="16"/>
          <w:szCs w:val="16"/>
        </w:rPr>
        <w:t>, ella indicó que éste se com</w:t>
      </w:r>
      <w:r w:rsidRPr="00552A48">
        <w:rPr>
          <w:sz w:val="16"/>
          <w:szCs w:val="16"/>
        </w:rPr>
        <w:t xml:space="preserve">unicó con la Policía Nacional de Tocache, que “había sido puesto a disposición del Comando Militar”. </w:t>
      </w:r>
      <w:r>
        <w:rPr>
          <w:sz w:val="16"/>
          <w:szCs w:val="16"/>
        </w:rPr>
        <w:t xml:space="preserve">Denuncia Penal </w:t>
      </w:r>
      <w:r w:rsidRPr="0000173B">
        <w:rPr>
          <w:sz w:val="16"/>
          <w:szCs w:val="16"/>
        </w:rPr>
        <w:t>por delitos de secuestro y desaparición forzada interpuesta por Marcelina Medina Negrón ante la Fiscal Provisional de la Fiscalía Especializada para Desapariciones Forzo</w:t>
      </w:r>
      <w:r w:rsidRPr="003D07CE">
        <w:rPr>
          <w:sz w:val="16"/>
          <w:szCs w:val="16"/>
        </w:rPr>
        <w:t>sas, Ejecuciones Extrajudiciales y Exhumación de Fosas Clandestinas el 20 de agosto de 2003 (expediente de trámite ante la Comisión, f. 1482).</w:t>
      </w:r>
    </w:p>
  </w:footnote>
  <w:footnote w:id="136">
    <w:p w:rsidR="00B41935" w:rsidRPr="00552A48" w:rsidRDefault="00B41935" w:rsidP="00257982">
      <w:pPr>
        <w:pStyle w:val="FootnoteText"/>
        <w:rPr>
          <w:sz w:val="16"/>
          <w:szCs w:val="16"/>
        </w:rPr>
      </w:pPr>
      <w:r w:rsidRPr="00CC214C">
        <w:rPr>
          <w:rStyle w:val="FootnoteReference"/>
        </w:rPr>
        <w:footnoteRef/>
      </w:r>
      <w:r w:rsidRPr="00CC214C">
        <w:rPr>
          <w:sz w:val="16"/>
          <w:szCs w:val="16"/>
        </w:rPr>
        <w:t xml:space="preserve"> </w:t>
      </w:r>
      <w:r w:rsidRPr="00CC214C">
        <w:rPr>
          <w:sz w:val="16"/>
          <w:szCs w:val="16"/>
        </w:rPr>
        <w:tab/>
        <w:t>Denuncia presentada por Marcelina</w:t>
      </w:r>
      <w:r w:rsidRPr="00552A48">
        <w:rPr>
          <w:sz w:val="16"/>
          <w:szCs w:val="16"/>
        </w:rPr>
        <w:t xml:space="preserve"> Medina Negrón el 8 de marzo de 1991 ante la Fiscalía de la Nación (expediente de prueba, ex</w:t>
      </w:r>
      <w:r>
        <w:rPr>
          <w:sz w:val="16"/>
          <w:szCs w:val="16"/>
        </w:rPr>
        <w:t>pediente de trámite ante la Comisión</w:t>
      </w:r>
      <w:r w:rsidRPr="00552A48">
        <w:rPr>
          <w:sz w:val="16"/>
          <w:szCs w:val="16"/>
        </w:rPr>
        <w:t>, fs. 1932 y 1933).</w:t>
      </w:r>
    </w:p>
  </w:footnote>
  <w:footnote w:id="137">
    <w:p w:rsidR="00B41935" w:rsidRPr="00D83377" w:rsidRDefault="00B41935" w:rsidP="009416CA">
      <w:pPr>
        <w:pStyle w:val="FootnoteText"/>
        <w:rPr>
          <w:sz w:val="16"/>
          <w:szCs w:val="16"/>
        </w:rPr>
      </w:pPr>
      <w:r w:rsidRPr="00CC214C">
        <w:rPr>
          <w:rStyle w:val="FootnoteReference"/>
        </w:rPr>
        <w:footnoteRef/>
      </w:r>
      <w:r w:rsidRPr="00CC214C">
        <w:rPr>
          <w:sz w:val="16"/>
          <w:szCs w:val="16"/>
        </w:rPr>
        <w:t xml:space="preserve"> </w:t>
      </w:r>
      <w:r w:rsidRPr="00CC214C">
        <w:rPr>
          <w:sz w:val="16"/>
          <w:szCs w:val="16"/>
        </w:rPr>
        <w:tab/>
      </w:r>
      <w:r w:rsidRPr="00552A48">
        <w:rPr>
          <w:i/>
          <w:sz w:val="16"/>
          <w:szCs w:val="16"/>
        </w:rPr>
        <w:t xml:space="preserve">Cfr. </w:t>
      </w:r>
      <w:r>
        <w:rPr>
          <w:sz w:val="16"/>
          <w:szCs w:val="16"/>
        </w:rPr>
        <w:t>Denuncia Penal</w:t>
      </w:r>
      <w:r w:rsidRPr="00552A48">
        <w:rPr>
          <w:sz w:val="16"/>
          <w:szCs w:val="16"/>
        </w:rPr>
        <w:t xml:space="preserve"> por delitos de secuestro y desaparición forzada interpuesta por Marcelina Medina Negrón</w:t>
      </w:r>
      <w:r w:rsidRPr="00730B9A">
        <w:rPr>
          <w:i/>
          <w:sz w:val="16"/>
          <w:szCs w:val="16"/>
        </w:rPr>
        <w:t>, supra</w:t>
      </w:r>
      <w:r>
        <w:rPr>
          <w:sz w:val="16"/>
          <w:szCs w:val="16"/>
        </w:rPr>
        <w:t>;</w:t>
      </w:r>
      <w:r w:rsidRPr="0000173B">
        <w:rPr>
          <w:sz w:val="16"/>
          <w:szCs w:val="16"/>
          <w:lang w:val="es-CR"/>
        </w:rPr>
        <w:t xml:space="preserve"> Carta de Marcelina Medina Negrón de 14 de febrero de 1991 dirigi</w:t>
      </w:r>
      <w:r w:rsidRPr="003D07CE">
        <w:rPr>
          <w:sz w:val="16"/>
          <w:szCs w:val="16"/>
          <w:lang w:val="es-CR"/>
        </w:rPr>
        <w:t xml:space="preserve">da al Senador de la República </w:t>
      </w:r>
      <w:r>
        <w:rPr>
          <w:sz w:val="16"/>
          <w:szCs w:val="16"/>
          <w:lang w:val="es-CR"/>
        </w:rPr>
        <w:t xml:space="preserve">JHP </w:t>
      </w:r>
      <w:r w:rsidRPr="003D07CE">
        <w:rPr>
          <w:sz w:val="16"/>
          <w:szCs w:val="16"/>
          <w:lang w:val="es-CR"/>
        </w:rPr>
        <w:t xml:space="preserve">(expediente de trámite ante la Comisión, fs. 1770 y 1771); Diligencia de declaración indagatoria </w:t>
      </w:r>
      <w:r>
        <w:rPr>
          <w:sz w:val="16"/>
          <w:szCs w:val="16"/>
          <w:lang w:val="es-CR"/>
        </w:rPr>
        <w:t xml:space="preserve">de </w:t>
      </w:r>
      <w:r w:rsidRPr="003D07CE">
        <w:rPr>
          <w:sz w:val="16"/>
          <w:szCs w:val="16"/>
          <w:lang w:val="es-CR"/>
        </w:rPr>
        <w:t xml:space="preserve">Marcelina Medina Negrón </w:t>
      </w:r>
      <w:r>
        <w:rPr>
          <w:sz w:val="16"/>
          <w:szCs w:val="16"/>
          <w:lang w:val="es-CR"/>
        </w:rPr>
        <w:t xml:space="preserve">rendida </w:t>
      </w:r>
      <w:r w:rsidRPr="003D07CE">
        <w:rPr>
          <w:sz w:val="16"/>
          <w:szCs w:val="16"/>
          <w:lang w:val="es-CR"/>
        </w:rPr>
        <w:t xml:space="preserve">ante la Fiscalía Especializada para Desapariciones </w:t>
      </w:r>
      <w:r w:rsidRPr="00CE6B13">
        <w:rPr>
          <w:sz w:val="16"/>
          <w:szCs w:val="16"/>
          <w:lang w:val="es-CR"/>
        </w:rPr>
        <w:t xml:space="preserve">Forzadas, Ejecuciones Extrajudiciales y Exhumación de Fosas Clandestinas </w:t>
      </w:r>
      <w:r w:rsidRPr="003D07CE">
        <w:rPr>
          <w:sz w:val="16"/>
          <w:szCs w:val="16"/>
          <w:lang w:val="es-CR"/>
        </w:rPr>
        <w:t xml:space="preserve">el 17 de enero de 2005 </w:t>
      </w:r>
      <w:r w:rsidRPr="00CE6B13">
        <w:rPr>
          <w:sz w:val="16"/>
          <w:szCs w:val="16"/>
          <w:lang w:val="es-CR"/>
        </w:rPr>
        <w:t xml:space="preserve">(expediente de trámite ante la Comisión, fs. 1435 a 1438). En esta declaración indagatoria, Marcelina Medina </w:t>
      </w:r>
      <w:r>
        <w:rPr>
          <w:sz w:val="16"/>
          <w:szCs w:val="16"/>
        </w:rPr>
        <w:t>Negr</w:t>
      </w:r>
      <w:r>
        <w:rPr>
          <w:sz w:val="16"/>
          <w:szCs w:val="16"/>
          <w:lang w:val="es-ES_tradnl"/>
        </w:rPr>
        <w:t>ón</w:t>
      </w:r>
      <w:r w:rsidRPr="00CE6B13">
        <w:rPr>
          <w:sz w:val="16"/>
          <w:szCs w:val="16"/>
          <w:lang w:val="es-CR"/>
        </w:rPr>
        <w:t xml:space="preserve"> indicó que los referidos hechos ocurrieron el 8 de diciembre de 1990, a di</w:t>
      </w:r>
      <w:r w:rsidRPr="00D83377">
        <w:rPr>
          <w:sz w:val="16"/>
          <w:szCs w:val="16"/>
          <w:lang w:val="es-CR"/>
        </w:rPr>
        <w:t>ferencia de en sus demás declaraciones.</w:t>
      </w:r>
    </w:p>
  </w:footnote>
  <w:footnote w:id="138">
    <w:p w:rsidR="00B41935" w:rsidRPr="00257982" w:rsidRDefault="00B41935" w:rsidP="009416CA">
      <w:pPr>
        <w:pStyle w:val="FootnoteText"/>
        <w:rPr>
          <w:sz w:val="16"/>
          <w:szCs w:val="16"/>
        </w:rPr>
      </w:pPr>
      <w:r w:rsidRPr="00CC214C">
        <w:rPr>
          <w:rStyle w:val="FootnoteReference"/>
        </w:rPr>
        <w:footnoteRef/>
      </w:r>
      <w:r>
        <w:rPr>
          <w:sz w:val="16"/>
          <w:szCs w:val="16"/>
        </w:rPr>
        <w:t xml:space="preserve"> </w:t>
      </w:r>
      <w:r>
        <w:rPr>
          <w:sz w:val="16"/>
          <w:szCs w:val="16"/>
        </w:rPr>
        <w:tab/>
        <w:t xml:space="preserve">Al </w:t>
      </w:r>
      <w:r w:rsidRPr="00310772">
        <w:rPr>
          <w:sz w:val="16"/>
          <w:szCs w:val="16"/>
        </w:rPr>
        <w:t>respecto</w:t>
      </w:r>
      <w:r w:rsidRPr="0049438A">
        <w:rPr>
          <w:sz w:val="16"/>
          <w:szCs w:val="16"/>
        </w:rPr>
        <w:t xml:space="preserve">, </w:t>
      </w:r>
      <w:r w:rsidRPr="00310772">
        <w:rPr>
          <w:sz w:val="16"/>
          <w:szCs w:val="16"/>
        </w:rPr>
        <w:t>el</w:t>
      </w:r>
      <w:r w:rsidRPr="00CC214C">
        <w:rPr>
          <w:sz w:val="16"/>
          <w:szCs w:val="16"/>
        </w:rPr>
        <w:t xml:space="preserve"> Senador </w:t>
      </w:r>
      <w:r>
        <w:rPr>
          <w:sz w:val="16"/>
          <w:szCs w:val="16"/>
        </w:rPr>
        <w:t>JHP</w:t>
      </w:r>
      <w:r w:rsidRPr="00CC214C">
        <w:rPr>
          <w:sz w:val="16"/>
          <w:szCs w:val="16"/>
        </w:rPr>
        <w:t>, quien tuvo conocimiento de la desaparición d</w:t>
      </w:r>
      <w:r w:rsidRPr="00552A48">
        <w:rPr>
          <w:sz w:val="16"/>
          <w:szCs w:val="16"/>
        </w:rPr>
        <w:t>e Néstor Rojas</w:t>
      </w:r>
      <w:r>
        <w:rPr>
          <w:sz w:val="16"/>
          <w:szCs w:val="16"/>
        </w:rPr>
        <w:t xml:space="preserve"> Medina</w:t>
      </w:r>
      <w:r w:rsidRPr="00552A48">
        <w:rPr>
          <w:sz w:val="16"/>
          <w:szCs w:val="16"/>
        </w:rPr>
        <w:t>, presentó una solicitud al Senado en la que requirió “que disponga se investigue la detención y posterior desaparición” de Néstor Rojas Medina “por efectivos de la Policía General en la ciudad de Tocache” el 26 de enero de 1991 “siendo puesto a disposición del cuartel militar</w:t>
      </w:r>
      <w:r w:rsidRPr="00F10686">
        <w:rPr>
          <w:sz w:val="16"/>
          <w:szCs w:val="16"/>
        </w:rPr>
        <w:t xml:space="preserve"> de la mencionada ciudad”. En dicha comunicación dirigida al Senado, indicó que se comunicó “telefónicamente con el Jefe de la Comandancia de la Policía General de Tocache quien se identificó como el Comandante ‘Tito’, confirmándo[l]e que el detenido fue p</w:t>
      </w:r>
      <w:r w:rsidRPr="0000173B">
        <w:rPr>
          <w:sz w:val="16"/>
          <w:szCs w:val="16"/>
        </w:rPr>
        <w:t xml:space="preserve">uesto a disposición de las Fuerzas Armadas”. Comunicación del Senador </w:t>
      </w:r>
      <w:r>
        <w:rPr>
          <w:sz w:val="16"/>
          <w:szCs w:val="16"/>
        </w:rPr>
        <w:t xml:space="preserve">JHP </w:t>
      </w:r>
      <w:r w:rsidRPr="0000173B">
        <w:rPr>
          <w:sz w:val="16"/>
          <w:szCs w:val="16"/>
        </w:rPr>
        <w:t>dirigida al Presidente de la Cámara de Senadores d</w:t>
      </w:r>
      <w:r>
        <w:rPr>
          <w:sz w:val="16"/>
          <w:szCs w:val="16"/>
        </w:rPr>
        <w:t>e Perú de 12 de marzo de 1991 (e</w:t>
      </w:r>
      <w:r w:rsidRPr="0000173B">
        <w:rPr>
          <w:sz w:val="16"/>
          <w:szCs w:val="16"/>
        </w:rPr>
        <w:t xml:space="preserve">xpediente de </w:t>
      </w:r>
      <w:r>
        <w:rPr>
          <w:sz w:val="16"/>
          <w:szCs w:val="16"/>
        </w:rPr>
        <w:t>trámite ante la Comisión, f.</w:t>
      </w:r>
      <w:r w:rsidRPr="0000173B">
        <w:rPr>
          <w:sz w:val="16"/>
          <w:szCs w:val="16"/>
        </w:rPr>
        <w:t xml:space="preserve"> 1924). La identidad del Comandante “Tito</w:t>
      </w:r>
      <w:r w:rsidRPr="003D07CE">
        <w:rPr>
          <w:sz w:val="16"/>
          <w:szCs w:val="16"/>
        </w:rPr>
        <w:t xml:space="preserve">” correspondía al señor </w:t>
      </w:r>
      <w:r>
        <w:rPr>
          <w:sz w:val="16"/>
          <w:szCs w:val="16"/>
        </w:rPr>
        <w:t>SDC</w:t>
      </w:r>
      <w:r w:rsidRPr="003D07CE">
        <w:rPr>
          <w:sz w:val="16"/>
          <w:szCs w:val="16"/>
        </w:rPr>
        <w:t>, quien habría indicado que “no se encuentra registrado en el Libro de Detenidos, Libro de Ocurrencias de Calle Común y Reservadas que se lleva en dicha Comisaría” y que “ningún momento ha dialogado ni ha dado i</w:t>
      </w:r>
      <w:r w:rsidRPr="00CE6B13">
        <w:rPr>
          <w:sz w:val="16"/>
          <w:szCs w:val="16"/>
        </w:rPr>
        <w:t xml:space="preserve">nformación al Sr. Senador de la República </w:t>
      </w:r>
      <w:r>
        <w:rPr>
          <w:sz w:val="16"/>
          <w:szCs w:val="16"/>
        </w:rPr>
        <w:t>[JHP]</w:t>
      </w:r>
      <w:r w:rsidRPr="00CE6B13">
        <w:rPr>
          <w:sz w:val="16"/>
          <w:szCs w:val="16"/>
        </w:rPr>
        <w:t xml:space="preserve">”. </w:t>
      </w:r>
      <w:r w:rsidRPr="00D83377">
        <w:rPr>
          <w:i/>
          <w:sz w:val="16"/>
          <w:szCs w:val="16"/>
        </w:rPr>
        <w:t xml:space="preserve">Cfr. </w:t>
      </w:r>
      <w:r w:rsidRPr="00D83377">
        <w:rPr>
          <w:sz w:val="16"/>
          <w:szCs w:val="16"/>
        </w:rPr>
        <w:t>Oficio No. 3156-IN-SG del Ministerio de Interior dirigido al Ministerio Público de 14 de noviembre de 1991 (expediente de</w:t>
      </w:r>
      <w:r>
        <w:rPr>
          <w:sz w:val="16"/>
          <w:szCs w:val="16"/>
        </w:rPr>
        <w:t xml:space="preserve"> trámite ante la Comisión, f.</w:t>
      </w:r>
      <w:r w:rsidRPr="00D83377">
        <w:rPr>
          <w:sz w:val="16"/>
          <w:szCs w:val="16"/>
        </w:rPr>
        <w:t xml:space="preserve"> 1522), y Oficio </w:t>
      </w:r>
      <w:r w:rsidRPr="00176A9A">
        <w:rPr>
          <w:sz w:val="16"/>
          <w:szCs w:val="16"/>
        </w:rPr>
        <w:t>N</w:t>
      </w:r>
      <w:r>
        <w:rPr>
          <w:sz w:val="16"/>
          <w:szCs w:val="16"/>
        </w:rPr>
        <w:t>°</w:t>
      </w:r>
      <w:r w:rsidRPr="00D83377">
        <w:rPr>
          <w:sz w:val="16"/>
          <w:szCs w:val="16"/>
        </w:rPr>
        <w:t xml:space="preserve">. 135-76-CPG-ANTIDROGAS dirigido a la Fiscalía Provincial Mixta de Tocache de 20 de marzo de 1991 (expediente de trámite ante la Comisión, f. 1915). Subsecuentemente, Marcelina Medina </w:t>
      </w:r>
      <w:r>
        <w:rPr>
          <w:sz w:val="16"/>
          <w:szCs w:val="16"/>
        </w:rPr>
        <w:t>Negr</w:t>
      </w:r>
      <w:r>
        <w:rPr>
          <w:sz w:val="16"/>
          <w:szCs w:val="16"/>
          <w:lang w:val="es-ES_tradnl"/>
        </w:rPr>
        <w:t xml:space="preserve">ón </w:t>
      </w:r>
      <w:r w:rsidRPr="00D83377">
        <w:rPr>
          <w:sz w:val="16"/>
          <w:szCs w:val="16"/>
        </w:rPr>
        <w:t xml:space="preserve">indicó que el responsable de la detención habría sido el “Comandante Santos”. </w:t>
      </w:r>
      <w:r w:rsidRPr="00563397">
        <w:rPr>
          <w:i/>
          <w:sz w:val="16"/>
          <w:szCs w:val="16"/>
        </w:rPr>
        <w:t>Cfr</w:t>
      </w:r>
      <w:r w:rsidRPr="008A705C">
        <w:rPr>
          <w:i/>
          <w:sz w:val="16"/>
          <w:szCs w:val="16"/>
        </w:rPr>
        <w:t>.</w:t>
      </w:r>
      <w:r w:rsidRPr="008A705C">
        <w:rPr>
          <w:sz w:val="16"/>
          <w:szCs w:val="16"/>
        </w:rPr>
        <w:t xml:space="preserve"> Declaración </w:t>
      </w:r>
      <w:r>
        <w:rPr>
          <w:sz w:val="16"/>
          <w:szCs w:val="16"/>
        </w:rPr>
        <w:t xml:space="preserve">de </w:t>
      </w:r>
      <w:r w:rsidRPr="008A705C">
        <w:rPr>
          <w:sz w:val="16"/>
          <w:szCs w:val="16"/>
        </w:rPr>
        <w:t xml:space="preserve">Marcelina Medina Negrón </w:t>
      </w:r>
      <w:r>
        <w:rPr>
          <w:sz w:val="16"/>
          <w:szCs w:val="16"/>
        </w:rPr>
        <w:t xml:space="preserve">rendida </w:t>
      </w:r>
      <w:r w:rsidRPr="008A705C">
        <w:rPr>
          <w:sz w:val="16"/>
          <w:szCs w:val="16"/>
        </w:rPr>
        <w:t xml:space="preserve">ante la Corte en </w:t>
      </w:r>
      <w:r>
        <w:rPr>
          <w:sz w:val="16"/>
          <w:szCs w:val="16"/>
        </w:rPr>
        <w:t xml:space="preserve">la </w:t>
      </w:r>
      <w:r w:rsidRPr="008A705C">
        <w:rPr>
          <w:sz w:val="16"/>
          <w:szCs w:val="16"/>
        </w:rPr>
        <w:t>audiencia pública celebrada los días 13 y 14 de marzo de 2018.</w:t>
      </w:r>
    </w:p>
  </w:footnote>
  <w:footnote w:id="139">
    <w:p w:rsidR="00B41935" w:rsidRPr="0000173B" w:rsidRDefault="00B41935" w:rsidP="009F394A">
      <w:pPr>
        <w:pStyle w:val="FootnoteText"/>
        <w:rPr>
          <w:sz w:val="16"/>
          <w:szCs w:val="16"/>
        </w:rPr>
      </w:pPr>
      <w:r w:rsidRPr="00CC214C">
        <w:rPr>
          <w:rStyle w:val="FootnoteReference"/>
        </w:rPr>
        <w:footnoteRef/>
      </w:r>
      <w:r w:rsidRPr="00CC214C">
        <w:rPr>
          <w:sz w:val="16"/>
          <w:szCs w:val="16"/>
          <w:lang w:val="es-CR"/>
        </w:rPr>
        <w:t xml:space="preserve"> </w:t>
      </w:r>
      <w:r w:rsidRPr="00CC214C">
        <w:rPr>
          <w:sz w:val="16"/>
          <w:szCs w:val="16"/>
          <w:lang w:val="es-CR"/>
        </w:rPr>
        <w:tab/>
        <w:t>El Subprefecto de la provincia de Tocache certificó que la Provincia de Tocac</w:t>
      </w:r>
      <w:r>
        <w:rPr>
          <w:sz w:val="16"/>
          <w:szCs w:val="16"/>
          <w:lang w:val="es-CR"/>
        </w:rPr>
        <w:t>h</w:t>
      </w:r>
      <w:r w:rsidRPr="00CC214C">
        <w:rPr>
          <w:sz w:val="16"/>
          <w:szCs w:val="16"/>
          <w:lang w:val="es-CR"/>
        </w:rPr>
        <w:t>e “se [encontraba] en estado de emergencia, por la presencia de</w:t>
      </w:r>
      <w:r>
        <w:rPr>
          <w:sz w:val="16"/>
          <w:szCs w:val="16"/>
          <w:lang w:val="es-CR"/>
        </w:rPr>
        <w:t xml:space="preserve"> Subversivos” y que Marcelina </w:t>
      </w:r>
      <w:r w:rsidRPr="00CC214C">
        <w:rPr>
          <w:sz w:val="16"/>
          <w:szCs w:val="16"/>
          <w:lang w:val="es-CR"/>
        </w:rPr>
        <w:t>Medina</w:t>
      </w:r>
      <w:r w:rsidRPr="00552A48">
        <w:rPr>
          <w:sz w:val="16"/>
          <w:szCs w:val="16"/>
          <w:lang w:val="es-CR"/>
        </w:rPr>
        <w:t xml:space="preserve"> Negrón “sufrió un atentado contra su vida, logrando escapar con vida, por lo que decidió establecer [su residencia] en la ciudad de Lima, en defensa de su integridad física y la de sus hijos”. Certificado del Subprefecto de la provincia de Tocache de 4 de diciembre de 1990 (expediente de t</w:t>
      </w:r>
      <w:r w:rsidRPr="00F10686">
        <w:rPr>
          <w:sz w:val="16"/>
          <w:szCs w:val="16"/>
          <w:lang w:val="es-CR"/>
        </w:rPr>
        <w:t>rámite ante la Comisión, f. 1441).</w:t>
      </w:r>
    </w:p>
  </w:footnote>
  <w:footnote w:id="140">
    <w:p w:rsidR="00B41935" w:rsidRPr="00F10686" w:rsidRDefault="00B41935" w:rsidP="00257982">
      <w:pPr>
        <w:pStyle w:val="FootnoteText"/>
        <w:rPr>
          <w:sz w:val="16"/>
          <w:szCs w:val="16"/>
          <w:lang w:val="es-ES_tradnl"/>
        </w:rPr>
      </w:pPr>
      <w:r w:rsidRPr="00CC214C">
        <w:rPr>
          <w:rStyle w:val="FootnoteReference"/>
        </w:rPr>
        <w:footnoteRef/>
      </w:r>
      <w:r w:rsidRPr="00CC214C">
        <w:rPr>
          <w:sz w:val="16"/>
          <w:szCs w:val="16"/>
        </w:rPr>
        <w:t xml:space="preserve"> </w:t>
      </w:r>
      <w:r w:rsidRPr="00552A48">
        <w:rPr>
          <w:sz w:val="16"/>
          <w:szCs w:val="16"/>
          <w:lang w:val="es-ES_tradnl"/>
        </w:rPr>
        <w:tab/>
      </w:r>
      <w:r w:rsidRPr="009F4F0C">
        <w:rPr>
          <w:i/>
          <w:sz w:val="16"/>
          <w:szCs w:val="16"/>
          <w:lang w:val="es-ES_tradnl"/>
        </w:rPr>
        <w:t xml:space="preserve">Cfr. </w:t>
      </w:r>
      <w:r>
        <w:rPr>
          <w:sz w:val="16"/>
          <w:szCs w:val="16"/>
          <w:lang w:val="es-ES_tradnl"/>
        </w:rPr>
        <w:t>Comunicación</w:t>
      </w:r>
      <w:r w:rsidRPr="009F4F0C">
        <w:rPr>
          <w:sz w:val="16"/>
          <w:szCs w:val="16"/>
          <w:lang w:val="es-ES_tradnl"/>
        </w:rPr>
        <w:t xml:space="preserve"> del Fiscal Provincial de Tocache de 6 de febrero de 1991 (expediente de trámite ante la Comisión, f. 1906).</w:t>
      </w:r>
      <w:r>
        <w:rPr>
          <w:sz w:val="16"/>
          <w:szCs w:val="16"/>
          <w:lang w:val="es-ES_tradnl"/>
        </w:rPr>
        <w:t xml:space="preserve"> </w:t>
      </w:r>
    </w:p>
  </w:footnote>
  <w:footnote w:id="141">
    <w:p w:rsidR="00B41935" w:rsidRPr="0000173B" w:rsidRDefault="00B41935" w:rsidP="00257982">
      <w:pPr>
        <w:pStyle w:val="FootnoteText"/>
        <w:rPr>
          <w:sz w:val="16"/>
          <w:szCs w:val="16"/>
          <w:lang w:val="es-ES_tradnl"/>
        </w:rPr>
      </w:pPr>
      <w:r w:rsidRPr="00CC214C">
        <w:rPr>
          <w:rStyle w:val="FootnoteReference"/>
        </w:rPr>
        <w:footnoteRef/>
      </w:r>
      <w:r w:rsidRPr="00CC214C">
        <w:rPr>
          <w:sz w:val="16"/>
          <w:szCs w:val="16"/>
        </w:rPr>
        <w:t xml:space="preserve"> </w:t>
      </w:r>
      <w:r w:rsidRPr="00552A48">
        <w:rPr>
          <w:sz w:val="16"/>
          <w:szCs w:val="16"/>
          <w:lang w:val="es-ES_tradnl"/>
        </w:rPr>
        <w:tab/>
      </w:r>
      <w:r w:rsidRPr="00552A48">
        <w:rPr>
          <w:i/>
          <w:sz w:val="16"/>
          <w:szCs w:val="16"/>
          <w:lang w:val="es-ES_tradnl"/>
        </w:rPr>
        <w:t xml:space="preserve">Cfr. </w:t>
      </w:r>
      <w:r w:rsidRPr="00F10686">
        <w:rPr>
          <w:sz w:val="16"/>
          <w:szCs w:val="16"/>
          <w:lang w:val="es-ES_tradnl"/>
        </w:rPr>
        <w:t xml:space="preserve">Oficio </w:t>
      </w:r>
      <w:r w:rsidRPr="00176A9A">
        <w:rPr>
          <w:sz w:val="16"/>
          <w:szCs w:val="16"/>
        </w:rPr>
        <w:t>N</w:t>
      </w:r>
      <w:r>
        <w:rPr>
          <w:sz w:val="16"/>
          <w:szCs w:val="16"/>
        </w:rPr>
        <w:t>°</w:t>
      </w:r>
      <w:r w:rsidRPr="00F10686">
        <w:rPr>
          <w:sz w:val="16"/>
          <w:szCs w:val="16"/>
          <w:lang w:val="es-ES_tradnl"/>
        </w:rPr>
        <w:t xml:space="preserve"> 24-91-DFP</w:t>
      </w:r>
      <w:r w:rsidRPr="0000173B">
        <w:rPr>
          <w:sz w:val="16"/>
          <w:szCs w:val="16"/>
          <w:lang w:val="es-ES_tradnl"/>
        </w:rPr>
        <w:t>T-MP del Fiscal Provincial de Tocache de 6 de febrero de 1991 (ex</w:t>
      </w:r>
      <w:r>
        <w:rPr>
          <w:sz w:val="16"/>
          <w:szCs w:val="16"/>
          <w:lang w:val="es-ES_tradnl"/>
        </w:rPr>
        <w:t>pediente de trámite ante la Comisión</w:t>
      </w:r>
      <w:r w:rsidRPr="0000173B">
        <w:rPr>
          <w:sz w:val="16"/>
          <w:szCs w:val="16"/>
          <w:lang w:val="es-ES_tradnl"/>
        </w:rPr>
        <w:t>, f. 1908).</w:t>
      </w:r>
    </w:p>
  </w:footnote>
  <w:footnote w:id="142">
    <w:p w:rsidR="00B41935" w:rsidRPr="00257982" w:rsidRDefault="00B41935" w:rsidP="00257982">
      <w:pPr>
        <w:pStyle w:val="FootnoteText"/>
        <w:rPr>
          <w:sz w:val="16"/>
          <w:szCs w:val="16"/>
          <w:lang w:val="es-ES_tradnl"/>
        </w:rPr>
      </w:pPr>
      <w:r w:rsidRPr="00CC214C">
        <w:rPr>
          <w:rStyle w:val="FootnoteReference"/>
        </w:rPr>
        <w:footnoteRef/>
      </w:r>
      <w:r w:rsidRPr="00257982">
        <w:rPr>
          <w:sz w:val="16"/>
          <w:szCs w:val="16"/>
        </w:rPr>
        <w:t xml:space="preserve"> </w:t>
      </w:r>
      <w:r w:rsidRPr="00257982">
        <w:rPr>
          <w:sz w:val="16"/>
          <w:szCs w:val="16"/>
        </w:rPr>
        <w:tab/>
      </w:r>
      <w:r w:rsidRPr="00CC214C">
        <w:rPr>
          <w:i/>
          <w:sz w:val="16"/>
          <w:szCs w:val="16"/>
          <w:lang w:val="es-ES_tradnl"/>
        </w:rPr>
        <w:t xml:space="preserve">Cfr. </w:t>
      </w:r>
      <w:r w:rsidRPr="00CC214C">
        <w:rPr>
          <w:sz w:val="16"/>
          <w:szCs w:val="16"/>
          <w:lang w:val="es-ES_tradnl"/>
        </w:rPr>
        <w:t xml:space="preserve">Oficio </w:t>
      </w:r>
      <w:r w:rsidRPr="00176A9A">
        <w:rPr>
          <w:sz w:val="16"/>
          <w:szCs w:val="16"/>
        </w:rPr>
        <w:t>N</w:t>
      </w:r>
      <w:r>
        <w:rPr>
          <w:sz w:val="16"/>
          <w:szCs w:val="16"/>
        </w:rPr>
        <w:t xml:space="preserve">° </w:t>
      </w:r>
      <w:r w:rsidRPr="00CC214C">
        <w:rPr>
          <w:sz w:val="16"/>
          <w:szCs w:val="16"/>
          <w:lang w:val="es-ES_tradnl"/>
        </w:rPr>
        <w:t xml:space="preserve">25-91-DFPT-MP del Fiscal Provincial de Tocache </w:t>
      </w:r>
      <w:r>
        <w:rPr>
          <w:sz w:val="16"/>
          <w:szCs w:val="16"/>
          <w:lang w:val="es-ES_tradnl"/>
        </w:rPr>
        <w:t>d</w:t>
      </w:r>
      <w:r w:rsidRPr="00CC214C">
        <w:rPr>
          <w:sz w:val="16"/>
          <w:szCs w:val="16"/>
          <w:lang w:val="es-ES_tradnl"/>
        </w:rPr>
        <w:t>e 6 de febrero de 1991 (expediente de trámite</w:t>
      </w:r>
      <w:r>
        <w:rPr>
          <w:sz w:val="16"/>
          <w:szCs w:val="16"/>
          <w:lang w:val="es-ES_tradnl"/>
        </w:rPr>
        <w:t xml:space="preserve"> ante la Comisión</w:t>
      </w:r>
      <w:r w:rsidRPr="00552A48">
        <w:rPr>
          <w:sz w:val="16"/>
          <w:szCs w:val="16"/>
          <w:lang w:val="es-ES_tradnl"/>
        </w:rPr>
        <w:t>, f. 1909).</w:t>
      </w:r>
    </w:p>
  </w:footnote>
  <w:footnote w:id="143">
    <w:p w:rsidR="00B41935" w:rsidRPr="0000173B" w:rsidRDefault="00B41935" w:rsidP="00257982">
      <w:pPr>
        <w:pStyle w:val="FootnoteText"/>
        <w:rPr>
          <w:sz w:val="16"/>
          <w:szCs w:val="16"/>
          <w:lang w:val="es-ES_tradnl"/>
        </w:rPr>
      </w:pPr>
      <w:r w:rsidRPr="00CC214C">
        <w:rPr>
          <w:rStyle w:val="FootnoteReference"/>
        </w:rPr>
        <w:footnoteRef/>
      </w:r>
      <w:r w:rsidRPr="00CC214C">
        <w:rPr>
          <w:sz w:val="16"/>
          <w:szCs w:val="16"/>
        </w:rPr>
        <w:t xml:space="preserve"> </w:t>
      </w:r>
      <w:r w:rsidRPr="00552A48">
        <w:rPr>
          <w:sz w:val="16"/>
          <w:szCs w:val="16"/>
          <w:lang w:val="es-ES_tradnl"/>
        </w:rPr>
        <w:tab/>
      </w:r>
      <w:r w:rsidRPr="00552A48">
        <w:rPr>
          <w:i/>
          <w:sz w:val="16"/>
          <w:szCs w:val="16"/>
          <w:lang w:val="es-ES_tradnl"/>
        </w:rPr>
        <w:t>Cfr.</w:t>
      </w:r>
      <w:r w:rsidRPr="00F10686">
        <w:rPr>
          <w:sz w:val="16"/>
          <w:szCs w:val="16"/>
          <w:lang w:val="es-ES_tradnl"/>
        </w:rPr>
        <w:t xml:space="preserve"> Of</w:t>
      </w:r>
      <w:r w:rsidRPr="0000173B">
        <w:rPr>
          <w:sz w:val="16"/>
          <w:szCs w:val="16"/>
          <w:lang w:val="es-ES_tradnl"/>
        </w:rPr>
        <w:t xml:space="preserve">icio </w:t>
      </w:r>
      <w:r w:rsidRPr="00176A9A">
        <w:rPr>
          <w:sz w:val="16"/>
          <w:szCs w:val="16"/>
        </w:rPr>
        <w:t>N</w:t>
      </w:r>
      <w:r>
        <w:rPr>
          <w:sz w:val="16"/>
          <w:szCs w:val="16"/>
        </w:rPr>
        <w:t>°</w:t>
      </w:r>
      <w:r w:rsidRPr="0000173B">
        <w:rPr>
          <w:sz w:val="16"/>
          <w:szCs w:val="16"/>
          <w:lang w:val="es-ES_tradnl"/>
        </w:rPr>
        <w:t xml:space="preserve"> 158-76-SFG-AD-CT de la Comisaría de la PNP dirigido al Fiscal Provincial de Tocache de 8 de febrero de 1991 (expediente de trámite ante la Comisión, f. 1907).</w:t>
      </w:r>
    </w:p>
  </w:footnote>
  <w:footnote w:id="144">
    <w:p w:rsidR="00B41935" w:rsidRPr="00552A48" w:rsidRDefault="00B41935" w:rsidP="00257982">
      <w:pPr>
        <w:pStyle w:val="FootnoteText"/>
        <w:rPr>
          <w:sz w:val="16"/>
          <w:szCs w:val="16"/>
          <w:lang w:val="es-ES_tradnl"/>
        </w:rPr>
      </w:pPr>
      <w:r w:rsidRPr="00CC214C">
        <w:rPr>
          <w:rStyle w:val="FootnoteReference"/>
        </w:rPr>
        <w:footnoteRef/>
      </w:r>
      <w:r w:rsidRPr="00CC214C">
        <w:rPr>
          <w:sz w:val="16"/>
          <w:szCs w:val="16"/>
        </w:rPr>
        <w:t xml:space="preserve"> </w:t>
      </w:r>
      <w:r>
        <w:rPr>
          <w:sz w:val="16"/>
          <w:szCs w:val="16"/>
          <w:lang w:val="es-ES_tradnl"/>
        </w:rPr>
        <w:tab/>
      </w:r>
      <w:r w:rsidRPr="00BA1720">
        <w:rPr>
          <w:sz w:val="16"/>
          <w:szCs w:val="16"/>
          <w:lang w:val="es-ES_tradnl"/>
        </w:rPr>
        <w:t xml:space="preserve">Oficio </w:t>
      </w:r>
      <w:r w:rsidRPr="00176A9A">
        <w:rPr>
          <w:sz w:val="16"/>
          <w:szCs w:val="16"/>
        </w:rPr>
        <w:t>N</w:t>
      </w:r>
      <w:r>
        <w:rPr>
          <w:sz w:val="16"/>
          <w:szCs w:val="16"/>
        </w:rPr>
        <w:t>°</w:t>
      </w:r>
      <w:r w:rsidRPr="00BA1720">
        <w:rPr>
          <w:sz w:val="16"/>
          <w:szCs w:val="16"/>
          <w:lang w:val="es-ES_tradnl"/>
        </w:rPr>
        <w:t xml:space="preserve"> 78-91-FRT-MP de la Fiscalía Provincial dirigida al Senador</w:t>
      </w:r>
      <w:r>
        <w:rPr>
          <w:sz w:val="16"/>
          <w:szCs w:val="16"/>
          <w:lang w:val="es-ES_tradnl"/>
        </w:rPr>
        <w:t xml:space="preserve"> JHP</w:t>
      </w:r>
      <w:r w:rsidRPr="00BA1720">
        <w:rPr>
          <w:sz w:val="16"/>
          <w:szCs w:val="16"/>
          <w:lang w:val="es-ES_tradnl"/>
        </w:rPr>
        <w:t xml:space="preserve"> de 8 de marzo de 1991 (expediente de trámite ante la Comisión, f. 1621).</w:t>
      </w:r>
    </w:p>
  </w:footnote>
  <w:footnote w:id="145">
    <w:p w:rsidR="00B41935" w:rsidRPr="00552A48" w:rsidRDefault="00B41935" w:rsidP="00257982">
      <w:pPr>
        <w:pStyle w:val="FootnoteText"/>
        <w:rPr>
          <w:sz w:val="16"/>
          <w:szCs w:val="16"/>
          <w:lang w:val="es-ES_tradnl"/>
        </w:rPr>
      </w:pPr>
      <w:r w:rsidRPr="00CC214C">
        <w:rPr>
          <w:rStyle w:val="FootnoteReference"/>
        </w:rPr>
        <w:footnoteRef/>
      </w:r>
      <w:r w:rsidRPr="00CC214C">
        <w:rPr>
          <w:sz w:val="16"/>
          <w:szCs w:val="16"/>
        </w:rPr>
        <w:t xml:space="preserve"> </w:t>
      </w:r>
      <w:r>
        <w:rPr>
          <w:sz w:val="16"/>
          <w:szCs w:val="16"/>
          <w:lang w:val="es-ES_tradnl"/>
        </w:rPr>
        <w:tab/>
        <w:t xml:space="preserve">Oficio </w:t>
      </w:r>
      <w:r w:rsidRPr="00176A9A">
        <w:rPr>
          <w:sz w:val="16"/>
          <w:szCs w:val="16"/>
        </w:rPr>
        <w:t>N</w:t>
      </w:r>
      <w:r>
        <w:rPr>
          <w:sz w:val="16"/>
          <w:szCs w:val="16"/>
        </w:rPr>
        <w:t>°</w:t>
      </w:r>
      <w:r w:rsidRPr="00552A48">
        <w:rPr>
          <w:sz w:val="16"/>
          <w:szCs w:val="16"/>
          <w:lang w:val="es-ES_tradnl"/>
        </w:rPr>
        <w:t xml:space="preserve"> 77-91-PPRT-MP de 15 de marzo de 1991 del Fiscal Provincial a la Comandancia 76 de Tocache (expediente de trámite ante la Comisión, f. 1913).</w:t>
      </w:r>
    </w:p>
  </w:footnote>
  <w:footnote w:id="146">
    <w:p w:rsidR="00B41935" w:rsidRPr="0000173B" w:rsidRDefault="00B41935" w:rsidP="00257982">
      <w:pPr>
        <w:pStyle w:val="FootnoteText"/>
        <w:rPr>
          <w:sz w:val="16"/>
          <w:szCs w:val="16"/>
          <w:lang w:val="es-ES_tradnl"/>
        </w:rPr>
      </w:pPr>
      <w:r w:rsidRPr="00CC214C">
        <w:rPr>
          <w:rStyle w:val="FootnoteReference"/>
        </w:rPr>
        <w:footnoteRef/>
      </w:r>
      <w:r w:rsidRPr="00CC214C">
        <w:rPr>
          <w:sz w:val="16"/>
          <w:szCs w:val="16"/>
        </w:rPr>
        <w:t xml:space="preserve"> </w:t>
      </w:r>
      <w:r w:rsidRPr="00552A48">
        <w:rPr>
          <w:sz w:val="16"/>
          <w:szCs w:val="16"/>
          <w:lang w:val="es-ES_tradnl"/>
        </w:rPr>
        <w:tab/>
      </w:r>
      <w:r w:rsidRPr="00552A48">
        <w:rPr>
          <w:i/>
          <w:sz w:val="16"/>
          <w:szCs w:val="16"/>
          <w:lang w:val="es-ES_tradnl"/>
        </w:rPr>
        <w:t>Cfr.</w:t>
      </w:r>
      <w:r w:rsidRPr="00F10686">
        <w:rPr>
          <w:sz w:val="16"/>
          <w:szCs w:val="16"/>
          <w:lang w:val="es-ES_tradnl"/>
        </w:rPr>
        <w:t xml:space="preserve"> Oficio </w:t>
      </w:r>
      <w:r w:rsidRPr="00176A9A">
        <w:rPr>
          <w:sz w:val="16"/>
          <w:szCs w:val="16"/>
        </w:rPr>
        <w:t>N</w:t>
      </w:r>
      <w:r>
        <w:rPr>
          <w:sz w:val="16"/>
          <w:szCs w:val="16"/>
        </w:rPr>
        <w:t>°</w:t>
      </w:r>
      <w:r w:rsidRPr="0000173B">
        <w:rPr>
          <w:sz w:val="16"/>
          <w:szCs w:val="16"/>
          <w:lang w:val="es-ES_tradnl"/>
        </w:rPr>
        <w:t xml:space="preserve"> ilegible de la Policía Nacional del Perú de 20 de marzo de 1991 (expediente de trámite ante la Comisión, f. 1916).</w:t>
      </w:r>
    </w:p>
  </w:footnote>
  <w:footnote w:id="147">
    <w:p w:rsidR="00B41935" w:rsidRPr="00D83377" w:rsidRDefault="00B41935" w:rsidP="00257982">
      <w:pPr>
        <w:pStyle w:val="FootnoteText"/>
        <w:rPr>
          <w:sz w:val="16"/>
          <w:szCs w:val="16"/>
          <w:lang w:val="es-ES_tradnl"/>
        </w:rPr>
      </w:pPr>
      <w:r w:rsidRPr="00CC214C">
        <w:rPr>
          <w:rStyle w:val="FootnoteReference"/>
        </w:rPr>
        <w:footnoteRef/>
      </w:r>
      <w:r w:rsidRPr="00CC214C">
        <w:rPr>
          <w:sz w:val="16"/>
          <w:szCs w:val="16"/>
        </w:rPr>
        <w:t xml:space="preserve"> </w:t>
      </w:r>
      <w:r w:rsidRPr="00552A48">
        <w:rPr>
          <w:sz w:val="16"/>
          <w:szCs w:val="16"/>
          <w:lang w:val="es-ES_tradnl"/>
        </w:rPr>
        <w:tab/>
      </w:r>
      <w:r w:rsidRPr="00552A48">
        <w:rPr>
          <w:i/>
          <w:sz w:val="16"/>
          <w:szCs w:val="16"/>
          <w:lang w:val="es-ES_tradnl"/>
        </w:rPr>
        <w:t xml:space="preserve">Cfr. </w:t>
      </w:r>
      <w:r w:rsidRPr="00F10686">
        <w:rPr>
          <w:sz w:val="16"/>
          <w:szCs w:val="16"/>
          <w:lang w:val="es-ES_tradnl"/>
        </w:rPr>
        <w:t xml:space="preserve">Oficio </w:t>
      </w:r>
      <w:r w:rsidRPr="00176A9A">
        <w:rPr>
          <w:sz w:val="16"/>
          <w:szCs w:val="16"/>
        </w:rPr>
        <w:t>N</w:t>
      </w:r>
      <w:r>
        <w:rPr>
          <w:sz w:val="16"/>
          <w:szCs w:val="16"/>
        </w:rPr>
        <w:t>°</w:t>
      </w:r>
      <w:r w:rsidRPr="00F10686">
        <w:rPr>
          <w:sz w:val="16"/>
          <w:szCs w:val="16"/>
          <w:lang w:val="es-ES_tradnl"/>
        </w:rPr>
        <w:t xml:space="preserve"> 1736-SGMD-D- del </w:t>
      </w:r>
      <w:r w:rsidRPr="0000173B">
        <w:rPr>
          <w:rFonts w:cs="Arial"/>
          <w:color w:val="222222"/>
          <w:sz w:val="16"/>
          <w:szCs w:val="16"/>
          <w:shd w:val="clear" w:color="auto" w:fill="FFFFFF"/>
          <w:lang w:val="es-CR"/>
        </w:rPr>
        <w:t xml:space="preserve">General de Aviación de B del Ministerio de Defensa al Senador </w:t>
      </w:r>
      <w:r>
        <w:rPr>
          <w:rFonts w:cs="Arial"/>
          <w:color w:val="222222"/>
          <w:sz w:val="16"/>
          <w:szCs w:val="16"/>
          <w:shd w:val="clear" w:color="auto" w:fill="FFFFFF"/>
          <w:lang w:val="es-CR"/>
        </w:rPr>
        <w:t xml:space="preserve">JHP </w:t>
      </w:r>
      <w:r w:rsidRPr="00F10686">
        <w:rPr>
          <w:sz w:val="16"/>
          <w:szCs w:val="16"/>
          <w:lang w:val="es-ES_tradnl"/>
        </w:rPr>
        <w:t xml:space="preserve">de 1 de abril de 1991 </w:t>
      </w:r>
      <w:r w:rsidRPr="00D83377">
        <w:rPr>
          <w:rFonts w:cs="Arial"/>
          <w:color w:val="222222"/>
          <w:sz w:val="16"/>
          <w:szCs w:val="16"/>
          <w:shd w:val="clear" w:color="auto" w:fill="FFFFFF"/>
          <w:lang w:val="es-CR"/>
        </w:rPr>
        <w:t>(expediente de t</w:t>
      </w:r>
      <w:r>
        <w:rPr>
          <w:rFonts w:cs="Arial"/>
          <w:color w:val="222222"/>
          <w:sz w:val="16"/>
          <w:szCs w:val="16"/>
          <w:shd w:val="clear" w:color="auto" w:fill="FFFFFF"/>
          <w:lang w:val="es-CR"/>
        </w:rPr>
        <w:t>rámite ante la Comisión, f. 1628</w:t>
      </w:r>
      <w:r w:rsidRPr="00D83377">
        <w:rPr>
          <w:rFonts w:cs="Arial"/>
          <w:color w:val="222222"/>
          <w:sz w:val="16"/>
          <w:szCs w:val="16"/>
          <w:shd w:val="clear" w:color="auto" w:fill="FFFFFF"/>
          <w:lang w:val="es-CR"/>
        </w:rPr>
        <w:t>)</w:t>
      </w:r>
      <w:r>
        <w:rPr>
          <w:rFonts w:cs="Arial"/>
          <w:color w:val="222222"/>
          <w:sz w:val="16"/>
          <w:szCs w:val="16"/>
          <w:shd w:val="clear" w:color="auto" w:fill="FFFFFF"/>
          <w:lang w:val="es-CR"/>
        </w:rPr>
        <w:t>,</w:t>
      </w:r>
      <w:r w:rsidRPr="003D07CE">
        <w:rPr>
          <w:rFonts w:cs="Arial"/>
          <w:color w:val="222222"/>
          <w:sz w:val="16"/>
          <w:szCs w:val="16"/>
          <w:shd w:val="clear" w:color="auto" w:fill="FFFFFF"/>
          <w:lang w:val="es-CR"/>
        </w:rPr>
        <w:t xml:space="preserve"> y </w:t>
      </w:r>
      <w:r w:rsidRPr="00CE6B13">
        <w:rPr>
          <w:sz w:val="16"/>
          <w:szCs w:val="16"/>
          <w:lang w:val="es-ES_tradnl"/>
        </w:rPr>
        <w:t xml:space="preserve">Oficio No. 1837 SMGD-D del </w:t>
      </w:r>
      <w:r w:rsidRPr="00D83377">
        <w:rPr>
          <w:rFonts w:cs="Arial"/>
          <w:color w:val="222222"/>
          <w:sz w:val="16"/>
          <w:szCs w:val="16"/>
          <w:shd w:val="clear" w:color="auto" w:fill="FFFFFF"/>
          <w:lang w:val="es-CR"/>
        </w:rPr>
        <w:t xml:space="preserve">General de Aviación de B del Ministerio de Defensa al Fiscal Adjunto Supremo en lo Penal Encargado de la Fiscalía Especial en la Defensoría del Pueblo </w:t>
      </w:r>
      <w:r w:rsidRPr="00CE6B13">
        <w:rPr>
          <w:sz w:val="16"/>
          <w:szCs w:val="16"/>
          <w:lang w:val="es-ES_tradnl"/>
        </w:rPr>
        <w:t>de 5 de abril de 1991</w:t>
      </w:r>
      <w:r w:rsidRPr="00D83377">
        <w:rPr>
          <w:rFonts w:cs="Arial"/>
          <w:color w:val="222222"/>
          <w:sz w:val="16"/>
          <w:szCs w:val="16"/>
          <w:shd w:val="clear" w:color="auto" w:fill="FFFFFF"/>
          <w:lang w:val="es-CR"/>
        </w:rPr>
        <w:t xml:space="preserve"> (expediente de trámite ante la Comisión, f. 1490).</w:t>
      </w:r>
    </w:p>
  </w:footnote>
  <w:footnote w:id="148">
    <w:p w:rsidR="00B41935" w:rsidRPr="00F10686" w:rsidRDefault="00B41935" w:rsidP="00257982">
      <w:pPr>
        <w:pStyle w:val="FootnoteText"/>
        <w:rPr>
          <w:sz w:val="16"/>
          <w:szCs w:val="16"/>
          <w:lang w:val="es-ES_tradnl"/>
        </w:rPr>
      </w:pPr>
      <w:r w:rsidRPr="00CC214C">
        <w:rPr>
          <w:rStyle w:val="FootnoteReference"/>
        </w:rPr>
        <w:footnoteRef/>
      </w:r>
      <w:r w:rsidRPr="00CC214C">
        <w:rPr>
          <w:sz w:val="16"/>
          <w:szCs w:val="16"/>
        </w:rPr>
        <w:t xml:space="preserve"> </w:t>
      </w:r>
      <w:r w:rsidRPr="00552A48">
        <w:rPr>
          <w:sz w:val="16"/>
          <w:szCs w:val="16"/>
          <w:lang w:val="es-ES_tradnl"/>
        </w:rPr>
        <w:tab/>
      </w:r>
      <w:r w:rsidRPr="00552A48">
        <w:rPr>
          <w:i/>
          <w:sz w:val="16"/>
          <w:szCs w:val="16"/>
          <w:lang w:val="es-ES_tradnl"/>
        </w:rPr>
        <w:t xml:space="preserve">Cfr. </w:t>
      </w:r>
      <w:r w:rsidRPr="00F10686">
        <w:rPr>
          <w:sz w:val="16"/>
          <w:szCs w:val="16"/>
          <w:lang w:val="es-ES_tradnl"/>
        </w:rPr>
        <w:t>Oficio SRFC – 118/91 dedel Senado a la Fiscalía Especial de Defensorí</w:t>
      </w:r>
      <w:r>
        <w:rPr>
          <w:sz w:val="16"/>
          <w:szCs w:val="16"/>
          <w:lang w:val="es-ES_tradnl"/>
        </w:rPr>
        <w:t>a del Pueblo y Derechos Humanos</w:t>
      </w:r>
      <w:r w:rsidRPr="00F10686">
        <w:rPr>
          <w:sz w:val="16"/>
          <w:szCs w:val="16"/>
          <w:lang w:val="es-ES_tradnl"/>
        </w:rPr>
        <w:t xml:space="preserve"> 9 de abril de 1991 (expediente de trámite ante la Comisión, f. 1509).</w:t>
      </w:r>
    </w:p>
  </w:footnote>
  <w:footnote w:id="149">
    <w:p w:rsidR="00B41935" w:rsidRPr="00D83377" w:rsidRDefault="00B41935" w:rsidP="00257982">
      <w:pPr>
        <w:pStyle w:val="FootnoteText"/>
        <w:rPr>
          <w:sz w:val="16"/>
          <w:szCs w:val="16"/>
        </w:rPr>
      </w:pPr>
      <w:r w:rsidRPr="00CC214C">
        <w:rPr>
          <w:rStyle w:val="FootnoteReference"/>
        </w:rPr>
        <w:footnoteRef/>
      </w:r>
      <w:r w:rsidRPr="00CC214C">
        <w:rPr>
          <w:sz w:val="16"/>
          <w:szCs w:val="16"/>
        </w:rPr>
        <w:t xml:space="preserve"> </w:t>
      </w:r>
      <w:r w:rsidRPr="00CC214C">
        <w:rPr>
          <w:sz w:val="16"/>
          <w:szCs w:val="16"/>
        </w:rPr>
        <w:tab/>
        <w:t xml:space="preserve">Pedido del Senador </w:t>
      </w:r>
      <w:r>
        <w:rPr>
          <w:sz w:val="16"/>
          <w:szCs w:val="16"/>
        </w:rPr>
        <w:t xml:space="preserve">JHP </w:t>
      </w:r>
      <w:r w:rsidRPr="00CC214C">
        <w:rPr>
          <w:sz w:val="16"/>
          <w:szCs w:val="16"/>
        </w:rPr>
        <w:t xml:space="preserve">a </w:t>
      </w:r>
      <w:r w:rsidRPr="00552A48">
        <w:rPr>
          <w:sz w:val="16"/>
          <w:szCs w:val="16"/>
        </w:rPr>
        <w:t>la Presidencia de la Cámara de Derechos Humanos de 12 de marzo de 1991 (expediente de trá</w:t>
      </w:r>
      <w:r>
        <w:rPr>
          <w:sz w:val="16"/>
          <w:szCs w:val="16"/>
        </w:rPr>
        <w:t>mite ante la Comisión, f. 1515)</w:t>
      </w:r>
      <w:r w:rsidRPr="0000173B">
        <w:rPr>
          <w:sz w:val="16"/>
          <w:szCs w:val="16"/>
        </w:rPr>
        <w:t>.</w:t>
      </w:r>
      <w:r>
        <w:rPr>
          <w:sz w:val="16"/>
          <w:szCs w:val="16"/>
        </w:rPr>
        <w:t xml:space="preserve"> </w:t>
      </w:r>
      <w:r w:rsidRPr="003D07CE">
        <w:rPr>
          <w:i/>
          <w:sz w:val="16"/>
          <w:szCs w:val="16"/>
        </w:rPr>
        <w:t xml:space="preserve">Cfr. </w:t>
      </w:r>
      <w:r w:rsidRPr="00CE6B13">
        <w:rPr>
          <w:sz w:val="16"/>
          <w:szCs w:val="16"/>
        </w:rPr>
        <w:t xml:space="preserve">Oficio No. 3156-IN-SG del Ministerio </w:t>
      </w:r>
      <w:r w:rsidRPr="00D83377">
        <w:rPr>
          <w:sz w:val="16"/>
          <w:szCs w:val="16"/>
        </w:rPr>
        <w:t>de Interior dirigido al Ministerio Públi</w:t>
      </w:r>
      <w:r>
        <w:rPr>
          <w:sz w:val="16"/>
          <w:szCs w:val="16"/>
        </w:rPr>
        <w:t>co de 14 de noviembre de 1991 (e</w:t>
      </w:r>
      <w:r w:rsidRPr="00D83377">
        <w:rPr>
          <w:sz w:val="16"/>
          <w:szCs w:val="16"/>
        </w:rPr>
        <w:t>xpediente de</w:t>
      </w:r>
      <w:r>
        <w:rPr>
          <w:sz w:val="16"/>
          <w:szCs w:val="16"/>
        </w:rPr>
        <w:t xml:space="preserve"> trámite ante la Comisión, f.</w:t>
      </w:r>
      <w:r w:rsidRPr="00D83377">
        <w:rPr>
          <w:sz w:val="16"/>
          <w:szCs w:val="16"/>
        </w:rPr>
        <w:t xml:space="preserve"> 1522), y Oficio </w:t>
      </w:r>
      <w:r w:rsidRPr="00176A9A">
        <w:rPr>
          <w:sz w:val="16"/>
          <w:szCs w:val="16"/>
        </w:rPr>
        <w:t>N</w:t>
      </w:r>
      <w:r>
        <w:rPr>
          <w:sz w:val="16"/>
          <w:szCs w:val="16"/>
        </w:rPr>
        <w:t xml:space="preserve">° </w:t>
      </w:r>
      <w:r w:rsidRPr="00D83377">
        <w:rPr>
          <w:sz w:val="16"/>
          <w:szCs w:val="16"/>
        </w:rPr>
        <w:t>135-76-CPG-ANTIDROGAS dirigido a la Fiscalía Provincial Mixta de Tocache de 20 de marzo de 1991</w:t>
      </w:r>
      <w:r>
        <w:rPr>
          <w:sz w:val="16"/>
          <w:szCs w:val="16"/>
        </w:rPr>
        <w:t xml:space="preserve">, </w:t>
      </w:r>
      <w:r w:rsidRPr="00871ABC">
        <w:rPr>
          <w:i/>
          <w:sz w:val="16"/>
          <w:szCs w:val="16"/>
        </w:rPr>
        <w:t>supra.</w:t>
      </w:r>
    </w:p>
  </w:footnote>
  <w:footnote w:id="150">
    <w:p w:rsidR="00B41935" w:rsidRPr="00552A48" w:rsidRDefault="00B41935" w:rsidP="00257982">
      <w:pPr>
        <w:pStyle w:val="FootnoteText"/>
        <w:rPr>
          <w:sz w:val="16"/>
          <w:szCs w:val="16"/>
          <w:lang w:val="es-ES_tradnl"/>
        </w:rPr>
      </w:pPr>
      <w:r w:rsidRPr="00CC214C">
        <w:rPr>
          <w:rStyle w:val="FootnoteReference"/>
        </w:rPr>
        <w:footnoteRef/>
      </w:r>
      <w:r w:rsidRPr="00CC214C">
        <w:rPr>
          <w:sz w:val="16"/>
          <w:szCs w:val="16"/>
        </w:rPr>
        <w:t xml:space="preserve"> </w:t>
      </w:r>
      <w:r w:rsidRPr="00552A48">
        <w:rPr>
          <w:sz w:val="16"/>
          <w:szCs w:val="16"/>
          <w:lang w:val="es-ES_tradnl"/>
        </w:rPr>
        <w:tab/>
        <w:t>Acta de Inspección Ocular suscrita por Marcelina Medina Negrón ante la Comisaría de Tocache de 13 de abril de 1991 (expediente de trámite ante la Comisió</w:t>
      </w:r>
      <w:r>
        <w:rPr>
          <w:sz w:val="16"/>
          <w:szCs w:val="16"/>
          <w:lang w:val="es-ES_tradnl"/>
        </w:rPr>
        <w:t>n, f.</w:t>
      </w:r>
      <w:r w:rsidRPr="00552A48">
        <w:rPr>
          <w:sz w:val="16"/>
          <w:szCs w:val="16"/>
          <w:lang w:val="es-ES_tradnl"/>
        </w:rPr>
        <w:t xml:space="preserve"> 1626).</w:t>
      </w:r>
    </w:p>
  </w:footnote>
  <w:footnote w:id="151">
    <w:p w:rsidR="00B41935" w:rsidRPr="0000173B" w:rsidRDefault="00B41935" w:rsidP="00D23B4E">
      <w:pPr>
        <w:pStyle w:val="FootnoteText"/>
        <w:rPr>
          <w:sz w:val="16"/>
          <w:szCs w:val="16"/>
          <w:lang w:val="es-ES_tradnl"/>
        </w:rPr>
      </w:pPr>
      <w:r w:rsidRPr="00CC214C">
        <w:rPr>
          <w:rStyle w:val="FootnoteReference"/>
        </w:rPr>
        <w:footnoteRef/>
      </w:r>
      <w:r w:rsidRPr="00CC214C">
        <w:rPr>
          <w:sz w:val="16"/>
          <w:szCs w:val="16"/>
        </w:rPr>
        <w:t xml:space="preserve"> </w:t>
      </w:r>
      <w:r w:rsidRPr="00552A48">
        <w:rPr>
          <w:sz w:val="16"/>
          <w:szCs w:val="16"/>
          <w:lang w:val="es-ES_tradnl"/>
        </w:rPr>
        <w:tab/>
      </w:r>
      <w:r w:rsidRPr="00552A48">
        <w:rPr>
          <w:i/>
          <w:sz w:val="16"/>
          <w:szCs w:val="16"/>
          <w:lang w:val="es-ES_tradnl"/>
        </w:rPr>
        <w:t xml:space="preserve">Cfr. </w:t>
      </w:r>
      <w:r w:rsidRPr="00F10686">
        <w:rPr>
          <w:sz w:val="16"/>
          <w:szCs w:val="16"/>
          <w:lang w:val="es-ES_tradnl"/>
        </w:rPr>
        <w:t xml:space="preserve">Oficio </w:t>
      </w:r>
      <w:r w:rsidRPr="00176A9A">
        <w:rPr>
          <w:sz w:val="16"/>
          <w:szCs w:val="16"/>
        </w:rPr>
        <w:t>N</w:t>
      </w:r>
      <w:r>
        <w:rPr>
          <w:sz w:val="16"/>
          <w:szCs w:val="16"/>
        </w:rPr>
        <w:t>°</w:t>
      </w:r>
      <w:r w:rsidRPr="00F10686">
        <w:rPr>
          <w:sz w:val="16"/>
          <w:szCs w:val="16"/>
          <w:lang w:val="es-ES_tradnl"/>
        </w:rPr>
        <w:t xml:space="preserve"> 074-8-2 de 15 de abril de 1991 emit</w:t>
      </w:r>
      <w:r w:rsidRPr="0000173B">
        <w:rPr>
          <w:sz w:val="16"/>
          <w:szCs w:val="16"/>
          <w:lang w:val="es-ES_tradnl"/>
        </w:rPr>
        <w:t>ido por el Ministerio de Defensa al Fiscal Adjunto Supremo en lo Penal (expediente de trámite ante la Comisión, f. 1536).</w:t>
      </w:r>
    </w:p>
  </w:footnote>
  <w:footnote w:id="152">
    <w:p w:rsidR="00B41935" w:rsidRPr="00552A48" w:rsidRDefault="00B41935" w:rsidP="00D23B4E">
      <w:pPr>
        <w:pStyle w:val="FootnoteText"/>
        <w:rPr>
          <w:sz w:val="16"/>
          <w:szCs w:val="16"/>
          <w:lang w:val="es-ES_tradnl"/>
        </w:rPr>
      </w:pPr>
      <w:r w:rsidRPr="00CC214C">
        <w:rPr>
          <w:rStyle w:val="FootnoteReference"/>
        </w:rPr>
        <w:footnoteRef/>
      </w:r>
      <w:r w:rsidRPr="00CC214C">
        <w:rPr>
          <w:sz w:val="16"/>
          <w:szCs w:val="16"/>
        </w:rPr>
        <w:t xml:space="preserve"> </w:t>
      </w:r>
      <w:r w:rsidRPr="00552A48">
        <w:rPr>
          <w:sz w:val="16"/>
          <w:szCs w:val="16"/>
          <w:lang w:val="es-ES_tradnl"/>
        </w:rPr>
        <w:tab/>
        <w:t>Constancia suscrita por Marcelina Medina Negrón de 17 de abril de 1991 (ex</w:t>
      </w:r>
      <w:r>
        <w:rPr>
          <w:sz w:val="16"/>
          <w:szCs w:val="16"/>
          <w:lang w:val="es-ES_tradnl"/>
        </w:rPr>
        <w:t>pediente de trámite ante la Comisión</w:t>
      </w:r>
      <w:r w:rsidRPr="00552A48">
        <w:rPr>
          <w:sz w:val="16"/>
          <w:szCs w:val="16"/>
          <w:lang w:val="es-ES_tradnl"/>
        </w:rPr>
        <w:t>, f. 1627).</w:t>
      </w:r>
    </w:p>
  </w:footnote>
  <w:footnote w:id="153">
    <w:p w:rsidR="00B41935" w:rsidRPr="00552A48" w:rsidRDefault="00B41935" w:rsidP="00257982">
      <w:pPr>
        <w:pStyle w:val="FootnoteText"/>
        <w:rPr>
          <w:sz w:val="16"/>
          <w:szCs w:val="16"/>
          <w:lang w:val="es-ES_tradnl"/>
        </w:rPr>
      </w:pPr>
      <w:r w:rsidRPr="00CC214C">
        <w:rPr>
          <w:rStyle w:val="FootnoteReference"/>
        </w:rPr>
        <w:footnoteRef/>
      </w:r>
      <w:r w:rsidRPr="00CC214C">
        <w:rPr>
          <w:sz w:val="16"/>
          <w:szCs w:val="16"/>
        </w:rPr>
        <w:t xml:space="preserve"> </w:t>
      </w:r>
      <w:r w:rsidRPr="00552A48">
        <w:rPr>
          <w:sz w:val="16"/>
          <w:szCs w:val="16"/>
          <w:lang w:val="es-ES_tradnl"/>
        </w:rPr>
        <w:tab/>
        <w:t>Documento presentado por Marcelina Medina Negrón a la Presidencia el 16 de marzo de 1991 (expediente de trámite ante la Comisión, f. 1632).</w:t>
      </w:r>
    </w:p>
  </w:footnote>
  <w:footnote w:id="154">
    <w:p w:rsidR="00B41935" w:rsidRPr="00552A48" w:rsidRDefault="00B41935" w:rsidP="00257982">
      <w:pPr>
        <w:pStyle w:val="FootnoteText"/>
        <w:rPr>
          <w:sz w:val="16"/>
          <w:szCs w:val="16"/>
          <w:lang w:val="es-ES_tradnl"/>
        </w:rPr>
      </w:pPr>
      <w:r w:rsidRPr="00CC214C">
        <w:rPr>
          <w:rStyle w:val="FootnoteReference"/>
        </w:rPr>
        <w:footnoteRef/>
      </w:r>
      <w:r w:rsidRPr="00CC214C">
        <w:rPr>
          <w:sz w:val="16"/>
          <w:szCs w:val="16"/>
        </w:rPr>
        <w:t xml:space="preserve"> </w:t>
      </w:r>
      <w:r w:rsidRPr="00552A48">
        <w:rPr>
          <w:sz w:val="16"/>
          <w:szCs w:val="16"/>
          <w:lang w:val="es-ES_tradnl"/>
        </w:rPr>
        <w:tab/>
        <w:t>Ampliación de la Denuncia de Marcelina Medina Negrón de 22 de mayo de 1991 (expediente de trámite ante la Comisión, f. 1535).</w:t>
      </w:r>
    </w:p>
  </w:footnote>
  <w:footnote w:id="155">
    <w:p w:rsidR="00B41935" w:rsidRPr="00F10686" w:rsidRDefault="00B41935" w:rsidP="00257982">
      <w:pPr>
        <w:pStyle w:val="FootnoteText"/>
        <w:rPr>
          <w:sz w:val="16"/>
          <w:szCs w:val="16"/>
          <w:lang w:val="es-ES_tradnl"/>
        </w:rPr>
      </w:pPr>
      <w:r w:rsidRPr="00CC214C">
        <w:rPr>
          <w:rStyle w:val="FootnoteReference"/>
        </w:rPr>
        <w:footnoteRef/>
      </w:r>
      <w:r w:rsidRPr="00CC214C">
        <w:rPr>
          <w:sz w:val="16"/>
          <w:szCs w:val="16"/>
        </w:rPr>
        <w:t xml:space="preserve"> </w:t>
      </w:r>
      <w:r w:rsidRPr="00552A48">
        <w:rPr>
          <w:sz w:val="16"/>
          <w:szCs w:val="16"/>
          <w:lang w:val="es-ES_tradnl"/>
        </w:rPr>
        <w:tab/>
      </w:r>
      <w:r w:rsidRPr="00552A48">
        <w:rPr>
          <w:i/>
          <w:sz w:val="16"/>
          <w:szCs w:val="16"/>
          <w:lang w:val="es-ES_tradnl"/>
        </w:rPr>
        <w:t xml:space="preserve">Cfr. </w:t>
      </w:r>
      <w:r w:rsidRPr="00F10686">
        <w:rPr>
          <w:sz w:val="16"/>
          <w:szCs w:val="16"/>
          <w:lang w:val="es-ES_tradnl"/>
        </w:rPr>
        <w:t>Declaración indagatoria a Marcelina Medina Negrón de 22 de septiembre de 1991 ante la Fiscalía Provincial Mixta (expediente de trámite ante la Comisión, f. 1940).</w:t>
      </w:r>
    </w:p>
  </w:footnote>
  <w:footnote w:id="156">
    <w:p w:rsidR="00B41935" w:rsidRPr="0000173B" w:rsidRDefault="00B41935" w:rsidP="00257982">
      <w:pPr>
        <w:pStyle w:val="FootnoteText"/>
        <w:rPr>
          <w:sz w:val="16"/>
          <w:szCs w:val="16"/>
          <w:lang w:val="es-ES_tradnl"/>
        </w:rPr>
      </w:pPr>
      <w:r w:rsidRPr="00CC214C">
        <w:rPr>
          <w:rStyle w:val="FootnoteReference"/>
        </w:rPr>
        <w:footnoteRef/>
      </w:r>
      <w:r w:rsidRPr="00CC214C">
        <w:rPr>
          <w:sz w:val="16"/>
          <w:szCs w:val="16"/>
        </w:rPr>
        <w:t xml:space="preserve"> </w:t>
      </w:r>
      <w:r w:rsidRPr="00552A48">
        <w:rPr>
          <w:sz w:val="16"/>
          <w:szCs w:val="16"/>
          <w:lang w:val="es-ES_tradnl"/>
        </w:rPr>
        <w:tab/>
      </w:r>
      <w:r w:rsidRPr="00552A48">
        <w:rPr>
          <w:i/>
          <w:sz w:val="16"/>
          <w:szCs w:val="16"/>
          <w:lang w:val="es-ES_tradnl"/>
        </w:rPr>
        <w:t xml:space="preserve">Cfr. </w:t>
      </w:r>
      <w:r w:rsidRPr="00F10686">
        <w:rPr>
          <w:sz w:val="16"/>
          <w:szCs w:val="16"/>
          <w:lang w:val="es-ES_tradnl"/>
        </w:rPr>
        <w:t xml:space="preserve">Oficio </w:t>
      </w:r>
      <w:r w:rsidRPr="00176A9A">
        <w:rPr>
          <w:sz w:val="16"/>
          <w:szCs w:val="16"/>
        </w:rPr>
        <w:t>N</w:t>
      </w:r>
      <w:r>
        <w:rPr>
          <w:sz w:val="16"/>
          <w:szCs w:val="16"/>
        </w:rPr>
        <w:t xml:space="preserve">° </w:t>
      </w:r>
      <w:r w:rsidRPr="00F10686">
        <w:rPr>
          <w:sz w:val="16"/>
          <w:szCs w:val="16"/>
          <w:lang w:val="es-ES_tradnl"/>
        </w:rPr>
        <w:t>074-92-INPE/CR del Instituto Nacio</w:t>
      </w:r>
      <w:r w:rsidRPr="0000173B">
        <w:rPr>
          <w:sz w:val="16"/>
          <w:szCs w:val="16"/>
          <w:lang w:val="es-ES_tradnl"/>
        </w:rPr>
        <w:t xml:space="preserve">nal Penitenciario dirigido al Fiscal Adjunto Supremo en lo Penal encargado de la Fiscalía Especial en la Defensoría del Pueblo y Derechos Humanos </w:t>
      </w:r>
      <w:r w:rsidRPr="00F10686">
        <w:rPr>
          <w:sz w:val="16"/>
          <w:szCs w:val="16"/>
          <w:lang w:val="es-ES_tradnl"/>
        </w:rPr>
        <w:t xml:space="preserve">de 22 de septiembre de 1992 </w:t>
      </w:r>
      <w:r w:rsidRPr="0000173B">
        <w:rPr>
          <w:sz w:val="16"/>
          <w:szCs w:val="16"/>
          <w:lang w:val="es-ES_tradnl"/>
        </w:rPr>
        <w:t xml:space="preserve">(expediente de trámite ante la Comisión, f. 1494). </w:t>
      </w:r>
    </w:p>
  </w:footnote>
  <w:footnote w:id="157">
    <w:p w:rsidR="00B41935" w:rsidRPr="0000173B" w:rsidRDefault="00B41935" w:rsidP="00257982">
      <w:pPr>
        <w:pStyle w:val="FootnoteText"/>
        <w:rPr>
          <w:sz w:val="16"/>
          <w:szCs w:val="16"/>
          <w:lang w:val="es-ES_tradnl"/>
        </w:rPr>
      </w:pPr>
      <w:r w:rsidRPr="00CC214C">
        <w:rPr>
          <w:rStyle w:val="FootnoteReference"/>
        </w:rPr>
        <w:footnoteRef/>
      </w:r>
      <w:r w:rsidRPr="00CC214C">
        <w:rPr>
          <w:sz w:val="16"/>
          <w:szCs w:val="16"/>
        </w:rPr>
        <w:t xml:space="preserve"> </w:t>
      </w:r>
      <w:r w:rsidRPr="00552A48">
        <w:rPr>
          <w:sz w:val="16"/>
          <w:szCs w:val="16"/>
          <w:lang w:val="es-ES_tradnl"/>
        </w:rPr>
        <w:tab/>
      </w:r>
      <w:r w:rsidRPr="00552A48">
        <w:rPr>
          <w:i/>
          <w:sz w:val="16"/>
          <w:szCs w:val="16"/>
          <w:lang w:val="es-ES_tradnl"/>
        </w:rPr>
        <w:t>Cfr.</w:t>
      </w:r>
      <w:r w:rsidRPr="00F10686">
        <w:rPr>
          <w:sz w:val="16"/>
          <w:szCs w:val="16"/>
          <w:lang w:val="es-ES_tradnl"/>
        </w:rPr>
        <w:t xml:space="preserve"> Parte </w:t>
      </w:r>
      <w:r w:rsidRPr="00176A9A">
        <w:rPr>
          <w:sz w:val="16"/>
          <w:szCs w:val="16"/>
        </w:rPr>
        <w:t>N</w:t>
      </w:r>
      <w:r>
        <w:rPr>
          <w:sz w:val="16"/>
          <w:szCs w:val="16"/>
        </w:rPr>
        <w:t>°</w:t>
      </w:r>
      <w:r>
        <w:rPr>
          <w:sz w:val="16"/>
          <w:szCs w:val="16"/>
          <w:lang w:val="es-ES_tradnl"/>
        </w:rPr>
        <w:t xml:space="preserve"> </w:t>
      </w:r>
      <w:r w:rsidRPr="00F10686">
        <w:rPr>
          <w:sz w:val="16"/>
          <w:szCs w:val="16"/>
          <w:lang w:val="es-ES_tradnl"/>
        </w:rPr>
        <w:t xml:space="preserve">191-DINT-DIRANDRO </w:t>
      </w:r>
      <w:r w:rsidRPr="0000173B">
        <w:rPr>
          <w:sz w:val="16"/>
          <w:szCs w:val="16"/>
          <w:lang w:val="es-ES_tradnl"/>
        </w:rPr>
        <w:t xml:space="preserve">de la PNP </w:t>
      </w:r>
      <w:r w:rsidRPr="00F10686">
        <w:rPr>
          <w:sz w:val="16"/>
          <w:szCs w:val="16"/>
          <w:lang w:val="es-ES_tradnl"/>
        </w:rPr>
        <w:t>de 5 de agosto de 199</w:t>
      </w:r>
      <w:r w:rsidRPr="0000173B">
        <w:rPr>
          <w:sz w:val="16"/>
          <w:szCs w:val="16"/>
          <w:lang w:val="es-ES_tradnl"/>
        </w:rPr>
        <w:t>2 (expediente de trámite ante la Comisión, f. 1498).</w:t>
      </w:r>
    </w:p>
  </w:footnote>
  <w:footnote w:id="158">
    <w:p w:rsidR="00B41935" w:rsidRPr="00F10686" w:rsidRDefault="00B41935" w:rsidP="00257982">
      <w:pPr>
        <w:pStyle w:val="FootnoteText"/>
        <w:rPr>
          <w:sz w:val="16"/>
          <w:szCs w:val="16"/>
          <w:lang w:val="es-ES_tradnl"/>
        </w:rPr>
      </w:pPr>
      <w:r w:rsidRPr="00CC214C">
        <w:rPr>
          <w:rStyle w:val="FootnoteReference"/>
        </w:rPr>
        <w:footnoteRef/>
      </w:r>
      <w:r w:rsidRPr="00CC214C">
        <w:rPr>
          <w:sz w:val="16"/>
          <w:szCs w:val="16"/>
        </w:rPr>
        <w:t xml:space="preserve"> </w:t>
      </w:r>
      <w:r w:rsidRPr="00552A48">
        <w:rPr>
          <w:sz w:val="16"/>
          <w:szCs w:val="16"/>
          <w:lang w:val="es-ES_tradnl"/>
        </w:rPr>
        <w:tab/>
      </w:r>
      <w:r w:rsidRPr="00552A48">
        <w:rPr>
          <w:i/>
          <w:sz w:val="16"/>
          <w:szCs w:val="16"/>
          <w:lang w:val="es-ES_tradnl"/>
        </w:rPr>
        <w:t xml:space="preserve">Cfr. </w:t>
      </w:r>
      <w:r w:rsidRPr="00F10686">
        <w:rPr>
          <w:sz w:val="16"/>
          <w:szCs w:val="16"/>
          <w:lang w:val="es-ES_tradnl"/>
        </w:rPr>
        <w:t>Resolución</w:t>
      </w:r>
      <w:r>
        <w:rPr>
          <w:sz w:val="16"/>
          <w:szCs w:val="16"/>
          <w:lang w:val="es-ES_tradnl"/>
        </w:rPr>
        <w:t xml:space="preserve"> </w:t>
      </w:r>
      <w:r w:rsidRPr="00176A9A">
        <w:rPr>
          <w:sz w:val="16"/>
          <w:szCs w:val="16"/>
        </w:rPr>
        <w:t>N</w:t>
      </w:r>
      <w:r>
        <w:rPr>
          <w:sz w:val="16"/>
          <w:szCs w:val="16"/>
        </w:rPr>
        <w:t xml:space="preserve">° </w:t>
      </w:r>
      <w:r w:rsidRPr="00F10686">
        <w:rPr>
          <w:sz w:val="16"/>
          <w:szCs w:val="16"/>
          <w:lang w:val="es-ES_tradnl"/>
        </w:rPr>
        <w:t>009-00-MP-FPM-TOCACHE de la Fiscalía Provincial Mixto de Tocache de 18 de enero de 2000 (expediente de trámite ante la Comisión, f. 1954).</w:t>
      </w:r>
    </w:p>
  </w:footnote>
  <w:footnote w:id="159">
    <w:p w:rsidR="00B41935" w:rsidRPr="00F10686" w:rsidRDefault="00B41935" w:rsidP="00257982">
      <w:pPr>
        <w:pStyle w:val="FootnoteText"/>
        <w:rPr>
          <w:sz w:val="16"/>
          <w:szCs w:val="16"/>
        </w:rPr>
      </w:pPr>
      <w:r w:rsidRPr="00CC214C">
        <w:rPr>
          <w:rStyle w:val="FootnoteReference"/>
        </w:rPr>
        <w:footnoteRef/>
      </w:r>
      <w:r w:rsidRPr="00CC214C">
        <w:rPr>
          <w:sz w:val="16"/>
          <w:szCs w:val="16"/>
        </w:rPr>
        <w:t xml:space="preserve"> </w:t>
      </w:r>
      <w:r w:rsidRPr="00CC214C">
        <w:rPr>
          <w:sz w:val="16"/>
          <w:szCs w:val="16"/>
        </w:rPr>
        <w:tab/>
      </w:r>
      <w:r w:rsidRPr="00552A48">
        <w:rPr>
          <w:i/>
          <w:sz w:val="16"/>
          <w:szCs w:val="16"/>
        </w:rPr>
        <w:t xml:space="preserve">Cfr. </w:t>
      </w:r>
      <w:r w:rsidRPr="00552A48">
        <w:rPr>
          <w:sz w:val="16"/>
          <w:szCs w:val="16"/>
        </w:rPr>
        <w:t xml:space="preserve">Parte </w:t>
      </w:r>
      <w:r w:rsidRPr="00176A9A">
        <w:rPr>
          <w:sz w:val="16"/>
          <w:szCs w:val="16"/>
        </w:rPr>
        <w:t>N</w:t>
      </w:r>
      <w:r>
        <w:rPr>
          <w:sz w:val="16"/>
          <w:szCs w:val="16"/>
        </w:rPr>
        <w:t>°</w:t>
      </w:r>
      <w:r w:rsidRPr="00552A48">
        <w:rPr>
          <w:sz w:val="16"/>
          <w:szCs w:val="16"/>
        </w:rPr>
        <w:t xml:space="preserve"> 015-2000-JP</w:t>
      </w:r>
      <w:r w:rsidRPr="00F10686">
        <w:rPr>
          <w:sz w:val="16"/>
          <w:szCs w:val="16"/>
        </w:rPr>
        <w:t>PNP-CFCID de la Comisaría de la PNP de Tocache de 5 de abril de 2000 (expediente de trámite ante la Comisión, f. 1955).</w:t>
      </w:r>
    </w:p>
  </w:footnote>
  <w:footnote w:id="160">
    <w:p w:rsidR="00B41935" w:rsidRPr="0000173B" w:rsidRDefault="00B41935" w:rsidP="00257982">
      <w:pPr>
        <w:pStyle w:val="FootnoteText"/>
        <w:rPr>
          <w:sz w:val="16"/>
          <w:szCs w:val="16"/>
          <w:lang w:val="es-ES_tradnl"/>
        </w:rPr>
      </w:pPr>
      <w:r w:rsidRPr="00CC214C">
        <w:rPr>
          <w:rStyle w:val="FootnoteReference"/>
        </w:rPr>
        <w:footnoteRef/>
      </w:r>
      <w:r w:rsidRPr="00CC214C">
        <w:rPr>
          <w:sz w:val="16"/>
          <w:szCs w:val="16"/>
        </w:rPr>
        <w:t xml:space="preserve"> </w:t>
      </w:r>
      <w:r w:rsidRPr="00552A48">
        <w:rPr>
          <w:sz w:val="16"/>
          <w:szCs w:val="16"/>
          <w:lang w:val="es-ES_tradnl"/>
        </w:rPr>
        <w:tab/>
      </w:r>
      <w:r w:rsidRPr="00552A48">
        <w:rPr>
          <w:i/>
          <w:sz w:val="16"/>
          <w:szCs w:val="16"/>
          <w:lang w:val="es-ES_tradnl"/>
        </w:rPr>
        <w:t xml:space="preserve">Cfr. </w:t>
      </w:r>
      <w:r w:rsidRPr="00F10686">
        <w:rPr>
          <w:sz w:val="16"/>
          <w:szCs w:val="16"/>
          <w:lang w:val="es-ES_tradnl"/>
        </w:rPr>
        <w:t>Resolución Nro. 068-00-MP-FPN-TOCACHE de la Fiscalía Provincial Mixta de Tocache de 25 de abril de 2000 (expediente de trámite a</w:t>
      </w:r>
      <w:r w:rsidRPr="0000173B">
        <w:rPr>
          <w:sz w:val="16"/>
          <w:szCs w:val="16"/>
          <w:lang w:val="es-ES_tradnl"/>
        </w:rPr>
        <w:t>nte la Comisión, f. 1961).</w:t>
      </w:r>
    </w:p>
  </w:footnote>
  <w:footnote w:id="161">
    <w:p w:rsidR="00B41935" w:rsidRPr="00F10686" w:rsidRDefault="00B41935" w:rsidP="00257982">
      <w:pPr>
        <w:pStyle w:val="FootnoteText"/>
        <w:rPr>
          <w:sz w:val="16"/>
          <w:szCs w:val="16"/>
          <w:lang w:val="es-ES_tradnl"/>
        </w:rPr>
      </w:pPr>
      <w:r w:rsidRPr="00CC214C">
        <w:rPr>
          <w:rStyle w:val="FootnoteReference"/>
        </w:rPr>
        <w:footnoteRef/>
      </w:r>
      <w:r w:rsidRPr="00CC214C">
        <w:rPr>
          <w:sz w:val="16"/>
          <w:szCs w:val="16"/>
        </w:rPr>
        <w:t xml:space="preserve"> </w:t>
      </w:r>
      <w:r w:rsidRPr="00552A48">
        <w:rPr>
          <w:sz w:val="16"/>
          <w:szCs w:val="16"/>
          <w:lang w:val="es-ES_tradnl"/>
        </w:rPr>
        <w:tab/>
      </w:r>
      <w:r w:rsidRPr="00552A48">
        <w:rPr>
          <w:i/>
          <w:sz w:val="16"/>
          <w:szCs w:val="16"/>
          <w:lang w:val="es-ES_tradnl"/>
        </w:rPr>
        <w:t xml:space="preserve">Cfr. </w:t>
      </w:r>
      <w:r w:rsidRPr="00F10686">
        <w:rPr>
          <w:sz w:val="16"/>
          <w:szCs w:val="16"/>
          <w:lang w:val="es-ES_tradnl"/>
        </w:rPr>
        <w:t>Parte</w:t>
      </w:r>
      <w:r>
        <w:rPr>
          <w:sz w:val="16"/>
          <w:szCs w:val="16"/>
          <w:lang w:val="es-ES_tradnl"/>
        </w:rPr>
        <w:t xml:space="preserve"> </w:t>
      </w:r>
      <w:r w:rsidRPr="00176A9A">
        <w:rPr>
          <w:sz w:val="16"/>
          <w:szCs w:val="16"/>
        </w:rPr>
        <w:t>N</w:t>
      </w:r>
      <w:r>
        <w:rPr>
          <w:sz w:val="16"/>
          <w:szCs w:val="16"/>
        </w:rPr>
        <w:t>°</w:t>
      </w:r>
      <w:r w:rsidRPr="00F10686">
        <w:rPr>
          <w:sz w:val="16"/>
          <w:szCs w:val="16"/>
          <w:lang w:val="es-ES_tradnl"/>
        </w:rPr>
        <w:t xml:space="preserve"> 47-2000-JPPNP-CT/SID de la Comisaría de la PNP de Tocache </w:t>
      </w:r>
      <w:r>
        <w:rPr>
          <w:sz w:val="16"/>
          <w:szCs w:val="16"/>
          <w:lang w:val="es-ES_tradnl"/>
        </w:rPr>
        <w:t xml:space="preserve">de 12 de junio de 2000  </w:t>
      </w:r>
      <w:r w:rsidRPr="00F10686">
        <w:rPr>
          <w:sz w:val="16"/>
          <w:szCs w:val="16"/>
          <w:lang w:val="es-ES_tradnl"/>
        </w:rPr>
        <w:t>(expediente de trámite ante la Comisión, f. 1962).</w:t>
      </w:r>
    </w:p>
  </w:footnote>
  <w:footnote w:id="162">
    <w:p w:rsidR="00B41935" w:rsidRPr="0000173B" w:rsidRDefault="00B41935" w:rsidP="00257982">
      <w:pPr>
        <w:pStyle w:val="FootnoteText"/>
        <w:rPr>
          <w:sz w:val="16"/>
          <w:szCs w:val="16"/>
          <w:lang w:val="es-ES_tradnl"/>
        </w:rPr>
      </w:pPr>
      <w:r w:rsidRPr="00CC214C">
        <w:rPr>
          <w:rStyle w:val="FootnoteReference"/>
        </w:rPr>
        <w:footnoteRef/>
      </w:r>
      <w:r w:rsidRPr="00CC214C">
        <w:rPr>
          <w:sz w:val="16"/>
          <w:szCs w:val="16"/>
        </w:rPr>
        <w:t xml:space="preserve"> </w:t>
      </w:r>
      <w:r w:rsidRPr="00552A48">
        <w:rPr>
          <w:sz w:val="16"/>
          <w:szCs w:val="16"/>
          <w:lang w:val="es-ES_tradnl"/>
        </w:rPr>
        <w:tab/>
      </w:r>
      <w:r w:rsidRPr="00552A48">
        <w:rPr>
          <w:i/>
          <w:sz w:val="16"/>
          <w:szCs w:val="16"/>
          <w:lang w:val="es-ES_tradnl"/>
        </w:rPr>
        <w:t>Cfr.</w:t>
      </w:r>
      <w:r w:rsidRPr="00F10686">
        <w:rPr>
          <w:sz w:val="16"/>
          <w:szCs w:val="16"/>
          <w:lang w:val="es-ES_tradnl"/>
        </w:rPr>
        <w:t xml:space="preserve"> Resolución </w:t>
      </w:r>
      <w:r w:rsidRPr="00176A9A">
        <w:rPr>
          <w:sz w:val="16"/>
          <w:szCs w:val="16"/>
        </w:rPr>
        <w:t>N</w:t>
      </w:r>
      <w:r>
        <w:rPr>
          <w:sz w:val="16"/>
          <w:szCs w:val="16"/>
        </w:rPr>
        <w:t>°</w:t>
      </w:r>
      <w:r w:rsidRPr="00F10686">
        <w:rPr>
          <w:sz w:val="16"/>
          <w:szCs w:val="16"/>
          <w:lang w:val="es-ES_tradnl"/>
        </w:rPr>
        <w:t xml:space="preserve"> </w:t>
      </w:r>
      <w:r>
        <w:rPr>
          <w:sz w:val="16"/>
          <w:szCs w:val="16"/>
          <w:lang w:val="es-ES_tradnl"/>
        </w:rPr>
        <w:t>363</w:t>
      </w:r>
      <w:r w:rsidRPr="00F10686">
        <w:rPr>
          <w:sz w:val="16"/>
          <w:szCs w:val="16"/>
          <w:lang w:val="es-ES_tradnl"/>
        </w:rPr>
        <w:t xml:space="preserve">-00-MP-FPM-TOCACHE de la Fiscalía Provincial Mixta de Tocache </w:t>
      </w:r>
      <w:r w:rsidRPr="00DC6A92">
        <w:rPr>
          <w:sz w:val="16"/>
          <w:szCs w:val="16"/>
          <w:lang w:val="es-ES_tradnl"/>
        </w:rPr>
        <w:t xml:space="preserve">de 11 de </w:t>
      </w:r>
      <w:r w:rsidRPr="0049438A">
        <w:rPr>
          <w:sz w:val="16"/>
          <w:szCs w:val="16"/>
          <w:lang w:val="es-ES_tradnl"/>
        </w:rPr>
        <w:t xml:space="preserve">julio </w:t>
      </w:r>
      <w:r w:rsidRPr="00DC6A92">
        <w:rPr>
          <w:sz w:val="16"/>
          <w:szCs w:val="16"/>
          <w:lang w:val="es-ES_tradnl"/>
        </w:rPr>
        <w:t>de</w:t>
      </w:r>
      <w:r w:rsidRPr="0000173B">
        <w:rPr>
          <w:sz w:val="16"/>
          <w:szCs w:val="16"/>
          <w:lang w:val="es-ES_tradnl"/>
        </w:rPr>
        <w:t xml:space="preserve"> 2000 (expediente de trámite ante la Comisión, f. 196</w:t>
      </w:r>
      <w:r>
        <w:rPr>
          <w:sz w:val="16"/>
          <w:szCs w:val="16"/>
          <w:lang w:val="es-ES_tradnl"/>
        </w:rPr>
        <w:t>5</w:t>
      </w:r>
      <w:r w:rsidRPr="0000173B">
        <w:rPr>
          <w:sz w:val="16"/>
          <w:szCs w:val="16"/>
          <w:lang w:val="es-ES_tradnl"/>
        </w:rPr>
        <w:t>).</w:t>
      </w:r>
    </w:p>
  </w:footnote>
  <w:footnote w:id="163">
    <w:p w:rsidR="00B41935" w:rsidRPr="0000173B" w:rsidRDefault="00B41935" w:rsidP="00257982">
      <w:pPr>
        <w:pStyle w:val="FootnoteText"/>
        <w:rPr>
          <w:sz w:val="16"/>
          <w:szCs w:val="16"/>
          <w:lang w:val="es-ES_tradnl"/>
        </w:rPr>
      </w:pPr>
      <w:r w:rsidRPr="00CC214C">
        <w:rPr>
          <w:rStyle w:val="FootnoteReference"/>
        </w:rPr>
        <w:footnoteRef/>
      </w:r>
      <w:r w:rsidRPr="00CC214C">
        <w:rPr>
          <w:sz w:val="16"/>
          <w:szCs w:val="16"/>
        </w:rPr>
        <w:t xml:space="preserve"> </w:t>
      </w:r>
      <w:r w:rsidRPr="00552A48">
        <w:rPr>
          <w:sz w:val="16"/>
          <w:szCs w:val="16"/>
          <w:lang w:val="es-ES_tradnl"/>
        </w:rPr>
        <w:tab/>
      </w:r>
      <w:r w:rsidRPr="00552A48">
        <w:rPr>
          <w:i/>
          <w:sz w:val="16"/>
          <w:szCs w:val="16"/>
          <w:lang w:val="es-ES_tradnl"/>
        </w:rPr>
        <w:t>Cfr.</w:t>
      </w:r>
      <w:r w:rsidRPr="00F10686">
        <w:rPr>
          <w:sz w:val="16"/>
          <w:szCs w:val="16"/>
          <w:lang w:val="es-ES_tradnl"/>
        </w:rPr>
        <w:t xml:space="preserve"> Oficio de la Fiscalía Especializada para Desapariciones Forzadas, Ejecuciones Extrajudiciales y Exhumación de Fosas Clandestinas de 23 de septiembre de 2004 (expediente de trámite ante l</w:t>
      </w:r>
      <w:r w:rsidRPr="0000173B">
        <w:rPr>
          <w:sz w:val="16"/>
          <w:szCs w:val="16"/>
          <w:lang w:val="es-ES_tradnl"/>
        </w:rPr>
        <w:t xml:space="preserve">a Comisión, </w:t>
      </w:r>
      <w:r>
        <w:rPr>
          <w:sz w:val="16"/>
          <w:szCs w:val="16"/>
          <w:lang w:val="es-ES_tradnl"/>
        </w:rPr>
        <w:t xml:space="preserve">f. </w:t>
      </w:r>
      <w:r w:rsidRPr="0000173B">
        <w:rPr>
          <w:sz w:val="16"/>
          <w:szCs w:val="16"/>
          <w:lang w:val="es-ES_tradnl"/>
        </w:rPr>
        <w:t>1969).</w:t>
      </w:r>
    </w:p>
  </w:footnote>
  <w:footnote w:id="164">
    <w:p w:rsidR="00B41935" w:rsidRPr="0000173B" w:rsidRDefault="00B41935" w:rsidP="00257982">
      <w:pPr>
        <w:pStyle w:val="FootnoteText"/>
        <w:rPr>
          <w:sz w:val="16"/>
          <w:szCs w:val="16"/>
          <w:lang w:val="es-ES_tradnl"/>
        </w:rPr>
      </w:pPr>
      <w:r w:rsidRPr="00CC214C">
        <w:rPr>
          <w:rStyle w:val="FootnoteReference"/>
        </w:rPr>
        <w:footnoteRef/>
      </w:r>
      <w:r w:rsidRPr="00CC214C">
        <w:rPr>
          <w:sz w:val="16"/>
          <w:szCs w:val="16"/>
        </w:rPr>
        <w:t xml:space="preserve"> </w:t>
      </w:r>
      <w:r w:rsidRPr="00552A48">
        <w:rPr>
          <w:sz w:val="16"/>
          <w:szCs w:val="16"/>
          <w:lang w:val="es-ES_tradnl"/>
        </w:rPr>
        <w:tab/>
      </w:r>
      <w:r w:rsidRPr="00552A48">
        <w:rPr>
          <w:i/>
          <w:sz w:val="16"/>
          <w:szCs w:val="16"/>
          <w:lang w:val="es-ES_tradnl"/>
        </w:rPr>
        <w:t>Cfr.</w:t>
      </w:r>
      <w:r w:rsidRPr="00F10686">
        <w:rPr>
          <w:sz w:val="16"/>
          <w:szCs w:val="16"/>
          <w:lang w:val="es-ES_tradnl"/>
        </w:rPr>
        <w:t xml:space="preserve"> Of</w:t>
      </w:r>
      <w:r>
        <w:rPr>
          <w:sz w:val="16"/>
          <w:szCs w:val="16"/>
          <w:lang w:val="es-ES_tradnl"/>
        </w:rPr>
        <w:t>i</w:t>
      </w:r>
      <w:r w:rsidRPr="00F10686">
        <w:rPr>
          <w:sz w:val="16"/>
          <w:szCs w:val="16"/>
          <w:lang w:val="es-ES_tradnl"/>
        </w:rPr>
        <w:t>c</w:t>
      </w:r>
      <w:r>
        <w:rPr>
          <w:sz w:val="16"/>
          <w:szCs w:val="16"/>
          <w:lang w:val="es-ES_tradnl"/>
        </w:rPr>
        <w:t>io</w:t>
      </w:r>
      <w:r w:rsidRPr="00F10686">
        <w:rPr>
          <w:sz w:val="16"/>
          <w:szCs w:val="16"/>
          <w:lang w:val="es-ES_tradnl"/>
        </w:rPr>
        <w:t>.</w:t>
      </w:r>
      <w:r>
        <w:rPr>
          <w:sz w:val="16"/>
          <w:szCs w:val="16"/>
          <w:lang w:val="es-ES_tradnl"/>
        </w:rPr>
        <w:t xml:space="preserve"> </w:t>
      </w:r>
      <w:r w:rsidRPr="00176A9A">
        <w:rPr>
          <w:sz w:val="16"/>
          <w:szCs w:val="16"/>
        </w:rPr>
        <w:t>N</w:t>
      </w:r>
      <w:r>
        <w:rPr>
          <w:sz w:val="16"/>
          <w:szCs w:val="16"/>
        </w:rPr>
        <w:t>°</w:t>
      </w:r>
      <w:r w:rsidRPr="00F10686">
        <w:rPr>
          <w:sz w:val="16"/>
          <w:szCs w:val="16"/>
          <w:lang w:val="es-ES_tradnl"/>
        </w:rPr>
        <w:t xml:space="preserve"> 237-2004-SCSJNN-SNT de la Sala Penal Nacional dirigido a la Fiscalía Especializada para Desapariciones Forzadas, Ejecuciones Extrajudiciales y Exhumación de Fosas Clandestinas de 11 de octubre de 2004  (expediente de trámite</w:t>
      </w:r>
      <w:r w:rsidRPr="0000173B">
        <w:rPr>
          <w:sz w:val="16"/>
          <w:szCs w:val="16"/>
          <w:lang w:val="es-ES_tradnl"/>
        </w:rPr>
        <w:t xml:space="preserve"> ante la Comisión, f. 1997).</w:t>
      </w:r>
    </w:p>
  </w:footnote>
  <w:footnote w:id="165">
    <w:p w:rsidR="00B41935" w:rsidRPr="0000173B" w:rsidRDefault="00B41935" w:rsidP="00257982">
      <w:pPr>
        <w:pStyle w:val="FootnoteText"/>
        <w:rPr>
          <w:sz w:val="16"/>
          <w:szCs w:val="16"/>
          <w:lang w:val="es-ES_tradnl"/>
        </w:rPr>
      </w:pPr>
      <w:r w:rsidRPr="00CC214C">
        <w:rPr>
          <w:rStyle w:val="FootnoteReference"/>
        </w:rPr>
        <w:footnoteRef/>
      </w:r>
      <w:r w:rsidRPr="00CC214C">
        <w:rPr>
          <w:sz w:val="16"/>
          <w:szCs w:val="16"/>
        </w:rPr>
        <w:t xml:space="preserve"> </w:t>
      </w:r>
      <w:r w:rsidRPr="00552A48">
        <w:rPr>
          <w:sz w:val="16"/>
          <w:szCs w:val="16"/>
          <w:lang w:val="es-ES_tradnl"/>
        </w:rPr>
        <w:tab/>
      </w:r>
      <w:r w:rsidRPr="00552A48">
        <w:rPr>
          <w:i/>
          <w:sz w:val="16"/>
          <w:szCs w:val="16"/>
          <w:lang w:val="es-ES_tradnl"/>
        </w:rPr>
        <w:t>Cfr.</w:t>
      </w:r>
      <w:r w:rsidRPr="00F10686">
        <w:rPr>
          <w:sz w:val="16"/>
          <w:szCs w:val="16"/>
          <w:lang w:val="es-ES_tradnl"/>
        </w:rPr>
        <w:t xml:space="preserve"> Oficio </w:t>
      </w:r>
      <w:r w:rsidRPr="00176A9A">
        <w:rPr>
          <w:sz w:val="16"/>
          <w:szCs w:val="16"/>
        </w:rPr>
        <w:t>N</w:t>
      </w:r>
      <w:r>
        <w:rPr>
          <w:sz w:val="16"/>
          <w:szCs w:val="16"/>
        </w:rPr>
        <w:t>°</w:t>
      </w:r>
      <w:r w:rsidRPr="00F10686">
        <w:rPr>
          <w:sz w:val="16"/>
          <w:szCs w:val="16"/>
          <w:lang w:val="es-ES_tradnl"/>
        </w:rPr>
        <w:t xml:space="preserve"> 3241-04-DIRCOTE/SG.2 de la Dirección contra el Terrorismo de la PNP dirigido a la Fiscalía Especializada para Desapariciones Forzadas, Ejecuciones Extrajudiciales y Exhumación de Fosas Clandestinas de 6 de oc</w:t>
      </w:r>
      <w:r w:rsidRPr="0000173B">
        <w:rPr>
          <w:sz w:val="16"/>
          <w:szCs w:val="16"/>
          <w:lang w:val="es-ES_tradnl"/>
        </w:rPr>
        <w:t>tubre de 2004  (expediente de trámite ante la Comisión, f. 2000).</w:t>
      </w:r>
    </w:p>
  </w:footnote>
  <w:footnote w:id="166">
    <w:p w:rsidR="00B41935" w:rsidRPr="00F10686" w:rsidRDefault="00B41935" w:rsidP="00257982">
      <w:pPr>
        <w:pStyle w:val="FootnoteText"/>
        <w:rPr>
          <w:sz w:val="16"/>
          <w:szCs w:val="16"/>
          <w:lang w:val="es-ES_tradnl"/>
        </w:rPr>
      </w:pPr>
      <w:r w:rsidRPr="00CC214C">
        <w:rPr>
          <w:rStyle w:val="FootnoteReference"/>
        </w:rPr>
        <w:footnoteRef/>
      </w:r>
      <w:r w:rsidRPr="00CC214C">
        <w:rPr>
          <w:sz w:val="16"/>
          <w:szCs w:val="16"/>
        </w:rPr>
        <w:t xml:space="preserve"> </w:t>
      </w:r>
      <w:r w:rsidRPr="00552A48">
        <w:rPr>
          <w:sz w:val="16"/>
          <w:szCs w:val="16"/>
          <w:lang w:val="es-ES_tradnl"/>
        </w:rPr>
        <w:tab/>
      </w:r>
      <w:r w:rsidRPr="00552A48">
        <w:rPr>
          <w:i/>
          <w:sz w:val="16"/>
          <w:szCs w:val="16"/>
          <w:lang w:val="es-ES_tradnl"/>
        </w:rPr>
        <w:t>Cfr.</w:t>
      </w:r>
      <w:r w:rsidRPr="00F10686">
        <w:rPr>
          <w:sz w:val="16"/>
          <w:szCs w:val="16"/>
          <w:lang w:val="es-ES_tradnl"/>
        </w:rPr>
        <w:t xml:space="preserve"> Oficio </w:t>
      </w:r>
      <w:r w:rsidRPr="00176A9A">
        <w:rPr>
          <w:sz w:val="16"/>
          <w:szCs w:val="16"/>
        </w:rPr>
        <w:t>N</w:t>
      </w:r>
      <w:r>
        <w:rPr>
          <w:sz w:val="16"/>
          <w:szCs w:val="16"/>
        </w:rPr>
        <w:t>°</w:t>
      </w:r>
      <w:r w:rsidRPr="00F10686">
        <w:rPr>
          <w:sz w:val="16"/>
          <w:szCs w:val="16"/>
          <w:lang w:val="es-ES_tradnl"/>
        </w:rPr>
        <w:t xml:space="preserve"> 17372-2004-INPE/12 del Instituto Nacional Penitenciario de 28 de diciembre de 2004 (expediente de trámite ante la Comisión, f. 1424).</w:t>
      </w:r>
    </w:p>
  </w:footnote>
  <w:footnote w:id="167">
    <w:p w:rsidR="00B41935" w:rsidRPr="0000173B" w:rsidRDefault="00B41935" w:rsidP="00257982">
      <w:pPr>
        <w:pStyle w:val="FootnoteText"/>
        <w:rPr>
          <w:sz w:val="16"/>
          <w:szCs w:val="16"/>
          <w:lang w:val="es-ES_tradnl"/>
        </w:rPr>
      </w:pPr>
      <w:r w:rsidRPr="00CC214C">
        <w:rPr>
          <w:rStyle w:val="FootnoteReference"/>
        </w:rPr>
        <w:footnoteRef/>
      </w:r>
      <w:r w:rsidRPr="00CC214C">
        <w:rPr>
          <w:sz w:val="16"/>
          <w:szCs w:val="16"/>
        </w:rPr>
        <w:t xml:space="preserve"> </w:t>
      </w:r>
      <w:r w:rsidRPr="00552A48">
        <w:rPr>
          <w:sz w:val="16"/>
          <w:szCs w:val="16"/>
          <w:lang w:val="es-ES_tradnl"/>
        </w:rPr>
        <w:tab/>
      </w:r>
      <w:r w:rsidRPr="00552A48">
        <w:rPr>
          <w:i/>
          <w:sz w:val="16"/>
          <w:szCs w:val="16"/>
          <w:lang w:val="es-ES_tradnl"/>
        </w:rPr>
        <w:t>Cfr.</w:t>
      </w:r>
      <w:r w:rsidRPr="00F10686">
        <w:rPr>
          <w:sz w:val="16"/>
          <w:szCs w:val="16"/>
          <w:lang w:val="es-ES_tradnl"/>
        </w:rPr>
        <w:t xml:space="preserve"> Oficio </w:t>
      </w:r>
      <w:r>
        <w:rPr>
          <w:sz w:val="16"/>
          <w:szCs w:val="16"/>
          <w:lang w:val="es-ES_tradnl"/>
        </w:rPr>
        <w:t>(no se identifica el primer número)</w:t>
      </w:r>
      <w:r w:rsidRPr="00F10686">
        <w:rPr>
          <w:sz w:val="16"/>
          <w:szCs w:val="16"/>
          <w:lang w:val="es-ES_tradnl"/>
        </w:rPr>
        <w:t>-2004-IN/1601/S.G.</w:t>
      </w:r>
      <w:r w:rsidRPr="0000173B">
        <w:rPr>
          <w:sz w:val="16"/>
          <w:szCs w:val="16"/>
          <w:lang w:val="es-ES_tradnl"/>
        </w:rPr>
        <w:t xml:space="preserve"> de la Dirección General de Migraciones y Naturalización de 12 de octubre de 2004 (expediente de trámite ante la Comisión, f. 2002).</w:t>
      </w:r>
    </w:p>
  </w:footnote>
  <w:footnote w:id="168">
    <w:p w:rsidR="00B41935" w:rsidRPr="00F10686" w:rsidRDefault="00B41935" w:rsidP="00257982">
      <w:pPr>
        <w:pStyle w:val="FootnoteText"/>
        <w:rPr>
          <w:sz w:val="16"/>
          <w:szCs w:val="16"/>
        </w:rPr>
      </w:pPr>
      <w:r w:rsidRPr="00CC214C">
        <w:rPr>
          <w:rStyle w:val="FootnoteReference"/>
        </w:rPr>
        <w:footnoteRef/>
      </w:r>
      <w:r w:rsidRPr="00CC214C">
        <w:rPr>
          <w:sz w:val="16"/>
          <w:szCs w:val="16"/>
        </w:rPr>
        <w:t xml:space="preserve"> </w:t>
      </w:r>
      <w:r w:rsidRPr="00CC214C">
        <w:rPr>
          <w:sz w:val="16"/>
          <w:szCs w:val="16"/>
        </w:rPr>
        <w:tab/>
        <w:t xml:space="preserve">El Comandante “Tito” no se encontraba listado en la misma. </w:t>
      </w:r>
      <w:r w:rsidRPr="00552A48">
        <w:rPr>
          <w:i/>
          <w:sz w:val="16"/>
          <w:szCs w:val="16"/>
        </w:rPr>
        <w:t xml:space="preserve">Cfr. </w:t>
      </w:r>
      <w:r w:rsidRPr="00552A48">
        <w:rPr>
          <w:sz w:val="16"/>
          <w:szCs w:val="16"/>
        </w:rPr>
        <w:t xml:space="preserve">Oficio No. 183-2005-DIRREHUM-PNP/SEC de la Dirección de </w:t>
      </w:r>
      <w:r w:rsidRPr="00F10686">
        <w:rPr>
          <w:sz w:val="16"/>
          <w:szCs w:val="16"/>
        </w:rPr>
        <w:t>Recursos Humanos de la PNP dirigido a la Fiscalía Especializada para Desapariciones Forzadas, Ejecuciones Extrajudiciales y Exhumación de Fosas Clandestinas (Fecha ilegible) (expediente de trámite ante la Comisión, f. 1432).</w:t>
      </w:r>
    </w:p>
  </w:footnote>
  <w:footnote w:id="169">
    <w:p w:rsidR="00B41935" w:rsidRPr="00257982" w:rsidRDefault="00B41935" w:rsidP="00257982">
      <w:pPr>
        <w:pStyle w:val="FootnoteText"/>
        <w:rPr>
          <w:rFonts w:cs="American Typewriter"/>
          <w:sz w:val="16"/>
          <w:szCs w:val="16"/>
          <w:lang w:val="es-ES_tradnl"/>
        </w:rPr>
      </w:pPr>
      <w:r w:rsidRPr="00CC214C">
        <w:rPr>
          <w:rStyle w:val="FootnoteReference"/>
        </w:rPr>
        <w:footnoteRef/>
      </w:r>
      <w:r w:rsidRPr="00CC214C">
        <w:rPr>
          <w:sz w:val="16"/>
          <w:szCs w:val="16"/>
        </w:rPr>
        <w:t xml:space="preserve"> </w:t>
      </w:r>
      <w:r w:rsidRPr="00552A48">
        <w:rPr>
          <w:sz w:val="16"/>
          <w:szCs w:val="16"/>
          <w:lang w:val="es-ES_tradnl"/>
        </w:rPr>
        <w:tab/>
        <w:t xml:space="preserve">En dicha </w:t>
      </w:r>
      <w:r>
        <w:rPr>
          <w:sz w:val="16"/>
          <w:szCs w:val="16"/>
          <w:lang w:val="es-ES_tradnl"/>
        </w:rPr>
        <w:t>declaración, indicó que a hijo</w:t>
      </w:r>
      <w:r w:rsidRPr="00552A48">
        <w:rPr>
          <w:sz w:val="16"/>
          <w:szCs w:val="16"/>
          <w:lang w:val="es-ES_tradnl"/>
        </w:rPr>
        <w:t xml:space="preserve"> lo había detenido “la Policía en Tocache a la Av. Aviación frente a la Inka Kola, decían que fue el Comandante Santos quien estaba a cargo de la Comisaría de Tocache, después de ocho días de detenido la policía me pidió la suma de US$ 4,000 </w:t>
      </w:r>
      <w:r w:rsidRPr="00F10686">
        <w:rPr>
          <w:sz w:val="16"/>
          <w:szCs w:val="16"/>
          <w:lang w:val="es-ES_tradnl"/>
        </w:rPr>
        <w:t>Dólares Americanos para que lo soltaran pero como no tenía lo entregaron a los militares de la Base Militar de Tocache, mi hijo tenía dentro de su mochila US$ 2,000 Dólares Americanos, le quitaron ese dinero los policías y le colocaron un croquis y una bom</w:t>
      </w:r>
      <w:r w:rsidRPr="0000173B">
        <w:rPr>
          <w:sz w:val="16"/>
          <w:szCs w:val="16"/>
          <w:lang w:val="es-ES_tradnl"/>
        </w:rPr>
        <w:t>ba posiblemente para hacer ver que era</w:t>
      </w:r>
      <w:r>
        <w:rPr>
          <w:sz w:val="16"/>
          <w:szCs w:val="16"/>
          <w:lang w:val="es-ES_tradnl"/>
        </w:rPr>
        <w:t xml:space="preserve"> terrorista, esto me lo contó [la]</w:t>
      </w:r>
      <w:r w:rsidRPr="0000173B">
        <w:rPr>
          <w:sz w:val="16"/>
          <w:szCs w:val="16"/>
          <w:lang w:val="es-ES_tradnl"/>
        </w:rPr>
        <w:t xml:space="preserve"> Sr</w:t>
      </w:r>
      <w:r>
        <w:rPr>
          <w:sz w:val="16"/>
          <w:szCs w:val="16"/>
          <w:lang w:val="es-ES_tradnl"/>
        </w:rPr>
        <w:t>a</w:t>
      </w:r>
      <w:r w:rsidRPr="0000173B">
        <w:rPr>
          <w:sz w:val="16"/>
          <w:szCs w:val="16"/>
          <w:lang w:val="es-ES_tradnl"/>
        </w:rPr>
        <w:t xml:space="preserve">. </w:t>
      </w:r>
      <w:r>
        <w:rPr>
          <w:sz w:val="16"/>
          <w:szCs w:val="16"/>
          <w:lang w:val="es-ES_tradnl"/>
        </w:rPr>
        <w:t xml:space="preserve">[ML] </w:t>
      </w:r>
      <w:r w:rsidRPr="0000173B">
        <w:rPr>
          <w:sz w:val="16"/>
          <w:szCs w:val="16"/>
          <w:lang w:val="es-ES_tradnl"/>
        </w:rPr>
        <w:t>cuando estaba detenido en la Comisaría”. También indicó que Faustina Collantes Quiroz “fue en ese entonces a la Base Milit</w:t>
      </w:r>
      <w:r>
        <w:rPr>
          <w:sz w:val="16"/>
          <w:szCs w:val="16"/>
          <w:lang w:val="es-ES_tradnl"/>
        </w:rPr>
        <w:t xml:space="preserve">ar de Tocache a preguntar por [su] </w:t>
      </w:r>
      <w:r w:rsidRPr="0000173B">
        <w:rPr>
          <w:sz w:val="16"/>
          <w:szCs w:val="16"/>
          <w:lang w:val="es-ES_tradnl"/>
        </w:rPr>
        <w:t xml:space="preserve">hijo habló </w:t>
      </w:r>
      <w:r w:rsidRPr="003D07CE">
        <w:rPr>
          <w:sz w:val="16"/>
          <w:szCs w:val="16"/>
          <w:lang w:val="es-ES_tradnl"/>
        </w:rPr>
        <w:t>con el Comandante llamado ‘Iván’ quien le dijo que no estaba en dicha Base Militar, que lo habían mandado a DIRCOTE de Lima y que si tenía culpa se quedaba y sino lo devolverían”. En esa misma declaración, al ser preguntada sobre si conocía las circunstanc</w:t>
      </w:r>
      <w:r w:rsidRPr="00CE6B13">
        <w:rPr>
          <w:sz w:val="16"/>
          <w:szCs w:val="16"/>
          <w:lang w:val="es-ES_tradnl"/>
        </w:rPr>
        <w:t>ias de la detención de su hijo, indicó que las desconocía ya que ella se encontraba en Lima en ese día. Igualmente, al ser consultada sobre si conocía quienes participaron en la detención de su hijo, señaló que desconoce quienes participaron en la detenci</w:t>
      </w:r>
      <w:r w:rsidRPr="00D83377">
        <w:rPr>
          <w:sz w:val="16"/>
          <w:szCs w:val="16"/>
          <w:lang w:val="es-ES_tradnl"/>
        </w:rPr>
        <w:t xml:space="preserve">ón de su hijo. También indicó, al ser consultada sobre si conocía testigos de la detención, indicó que “el Sr. </w:t>
      </w:r>
      <w:r>
        <w:rPr>
          <w:sz w:val="16"/>
          <w:szCs w:val="16"/>
          <w:lang w:val="es-ES_tradnl"/>
        </w:rPr>
        <w:t>[F]</w:t>
      </w:r>
      <w:r w:rsidRPr="00D83377">
        <w:rPr>
          <w:sz w:val="16"/>
          <w:szCs w:val="16"/>
          <w:lang w:val="es-ES_tradnl"/>
        </w:rPr>
        <w:t xml:space="preserve"> desconozco sus apellidos, pero tengo una carta que me envió l</w:t>
      </w:r>
      <w:r>
        <w:rPr>
          <w:sz w:val="16"/>
          <w:szCs w:val="16"/>
          <w:lang w:val="es-ES_tradnl"/>
        </w:rPr>
        <w:t>a</w:t>
      </w:r>
      <w:r w:rsidRPr="00D83377">
        <w:rPr>
          <w:sz w:val="16"/>
          <w:szCs w:val="16"/>
          <w:lang w:val="es-ES_tradnl"/>
        </w:rPr>
        <w:t xml:space="preserve"> voy a traer, ‘Meche’ o </w:t>
      </w:r>
      <w:r>
        <w:rPr>
          <w:sz w:val="16"/>
          <w:szCs w:val="16"/>
          <w:lang w:val="es-ES_tradnl"/>
        </w:rPr>
        <w:t>[ML]</w:t>
      </w:r>
      <w:r w:rsidRPr="00D83377">
        <w:rPr>
          <w:sz w:val="16"/>
          <w:szCs w:val="16"/>
          <w:lang w:val="es-ES_tradnl"/>
        </w:rPr>
        <w:t xml:space="preserve">, mi cuñada Faustina Collantes Quiroz, la Sra. </w:t>
      </w:r>
      <w:r>
        <w:rPr>
          <w:sz w:val="16"/>
          <w:szCs w:val="16"/>
          <w:lang w:val="es-ES_tradnl"/>
        </w:rPr>
        <w:t>[SCS],</w:t>
      </w:r>
      <w:r w:rsidRPr="00D83377">
        <w:rPr>
          <w:sz w:val="16"/>
          <w:szCs w:val="16"/>
          <w:lang w:val="es-ES_tradnl"/>
        </w:rPr>
        <w:t xml:space="preserve"> </w:t>
      </w:r>
      <w:r>
        <w:rPr>
          <w:sz w:val="16"/>
          <w:szCs w:val="16"/>
          <w:lang w:val="es-ES_tradnl"/>
        </w:rPr>
        <w:t>[JA]</w:t>
      </w:r>
      <w:r w:rsidRPr="00D83377">
        <w:rPr>
          <w:sz w:val="16"/>
          <w:szCs w:val="16"/>
          <w:lang w:val="es-ES_tradnl"/>
        </w:rPr>
        <w:t>, mi esposo Abelardo Collantes Quiroz</w:t>
      </w:r>
      <w:r>
        <w:rPr>
          <w:sz w:val="16"/>
          <w:szCs w:val="16"/>
          <w:lang w:val="es-ES_tradnl"/>
        </w:rPr>
        <w:t xml:space="preserve"> y muchas personas de Tocache”.</w:t>
      </w:r>
      <w:r w:rsidRPr="00D83377">
        <w:rPr>
          <w:sz w:val="16"/>
          <w:szCs w:val="16"/>
          <w:lang w:val="es-ES_tradnl"/>
        </w:rPr>
        <w:t xml:space="preserve"> Declaración Indagatoria de Marcelina Medina Negrón rendida ante la Fiscalía Especializada para Desapariciones Forzadas, Ejecuciones Extrajudiciales y Exhumación de Fosas Clandestinas de 17 de enero de 2005 (expediente de trámite ante la Comisión, f. 1435). </w:t>
      </w:r>
    </w:p>
  </w:footnote>
  <w:footnote w:id="170">
    <w:p w:rsidR="00B41935" w:rsidRPr="003D07CE" w:rsidRDefault="00B41935" w:rsidP="00257982">
      <w:pPr>
        <w:pStyle w:val="FootnoteText"/>
        <w:rPr>
          <w:sz w:val="16"/>
          <w:szCs w:val="16"/>
          <w:lang w:val="es-ES_tradnl"/>
        </w:rPr>
      </w:pPr>
      <w:r w:rsidRPr="00CC214C">
        <w:rPr>
          <w:rStyle w:val="FootnoteReference"/>
        </w:rPr>
        <w:footnoteRef/>
      </w:r>
      <w:r w:rsidRPr="00CC214C">
        <w:rPr>
          <w:sz w:val="16"/>
          <w:szCs w:val="16"/>
        </w:rPr>
        <w:t xml:space="preserve"> </w:t>
      </w:r>
      <w:r w:rsidRPr="00552A48">
        <w:rPr>
          <w:sz w:val="16"/>
          <w:szCs w:val="16"/>
          <w:lang w:val="es-ES_tradnl"/>
        </w:rPr>
        <w:tab/>
        <w:t xml:space="preserve">Declaraciones indagatorias a Ofelia </w:t>
      </w:r>
      <w:r w:rsidRPr="00323DB5">
        <w:rPr>
          <w:sz w:val="16"/>
          <w:szCs w:val="16"/>
          <w:lang w:val="es-ES_tradnl"/>
        </w:rPr>
        <w:t xml:space="preserve">Antezana Torre, </w:t>
      </w:r>
      <w:r>
        <w:rPr>
          <w:sz w:val="16"/>
          <w:szCs w:val="16"/>
          <w:lang w:val="es-ES_tradnl"/>
        </w:rPr>
        <w:t>JTCh</w:t>
      </w:r>
      <w:r w:rsidRPr="00552A48">
        <w:rPr>
          <w:sz w:val="16"/>
          <w:szCs w:val="16"/>
          <w:lang w:val="es-ES_tradnl"/>
        </w:rPr>
        <w:t xml:space="preserve">, </w:t>
      </w:r>
      <w:r>
        <w:rPr>
          <w:sz w:val="16"/>
          <w:szCs w:val="16"/>
          <w:lang w:val="es-ES_tradnl"/>
        </w:rPr>
        <w:t xml:space="preserve">VRN </w:t>
      </w:r>
      <w:r w:rsidRPr="00552A48">
        <w:rPr>
          <w:sz w:val="16"/>
          <w:szCs w:val="16"/>
          <w:lang w:val="es-ES_tradnl"/>
        </w:rPr>
        <w:t>y</w:t>
      </w:r>
      <w:r>
        <w:rPr>
          <w:sz w:val="16"/>
          <w:szCs w:val="16"/>
          <w:lang w:val="es-ES_tradnl"/>
        </w:rPr>
        <w:t xml:space="preserve"> AOF</w:t>
      </w:r>
      <w:r w:rsidRPr="00552A48">
        <w:rPr>
          <w:sz w:val="16"/>
          <w:szCs w:val="16"/>
          <w:lang w:val="es-ES_tradnl"/>
        </w:rPr>
        <w:t xml:space="preserve">, personal policial que habría trabajado en la PNP de Tocache a la fecha de los hechos. </w:t>
      </w:r>
      <w:r w:rsidRPr="00F10686">
        <w:rPr>
          <w:i/>
          <w:sz w:val="16"/>
          <w:szCs w:val="16"/>
          <w:lang w:val="es-ES_tradnl"/>
        </w:rPr>
        <w:t xml:space="preserve">Cfr. </w:t>
      </w:r>
      <w:r w:rsidRPr="0000173B">
        <w:rPr>
          <w:sz w:val="16"/>
          <w:szCs w:val="16"/>
          <w:lang w:val="es-ES_tradnl"/>
        </w:rPr>
        <w:t>Oficio de la Fiscalía Especializada para Desapariciones Forzadas, Ejecuciones Extrajudiciales y Exhumación de Fosas Clandestinas 21 de marzo de 2005 (expe</w:t>
      </w:r>
      <w:r w:rsidRPr="003D07CE">
        <w:rPr>
          <w:sz w:val="16"/>
          <w:szCs w:val="16"/>
          <w:lang w:val="es-ES_tradnl"/>
        </w:rPr>
        <w:t>diente de trámite ante la Comisión, f. 1457).</w:t>
      </w:r>
    </w:p>
  </w:footnote>
  <w:footnote w:id="171">
    <w:p w:rsidR="00B41935" w:rsidRPr="00F10686" w:rsidRDefault="00B41935" w:rsidP="00257982">
      <w:pPr>
        <w:pStyle w:val="FootnoteText"/>
        <w:rPr>
          <w:sz w:val="16"/>
          <w:szCs w:val="16"/>
          <w:lang w:val="es-ES_tradnl"/>
        </w:rPr>
      </w:pPr>
      <w:r w:rsidRPr="00CC214C">
        <w:rPr>
          <w:rStyle w:val="FootnoteReference"/>
        </w:rPr>
        <w:footnoteRef/>
      </w:r>
      <w:r w:rsidRPr="00CC214C">
        <w:rPr>
          <w:sz w:val="16"/>
          <w:szCs w:val="16"/>
        </w:rPr>
        <w:t xml:space="preserve"> </w:t>
      </w:r>
      <w:r w:rsidRPr="00CC214C">
        <w:rPr>
          <w:sz w:val="16"/>
          <w:szCs w:val="16"/>
        </w:rPr>
        <w:tab/>
      </w:r>
      <w:r w:rsidRPr="00552A48">
        <w:rPr>
          <w:i/>
          <w:sz w:val="16"/>
          <w:szCs w:val="16"/>
          <w:lang w:val="es-ES_tradnl"/>
        </w:rPr>
        <w:t>Cfr.</w:t>
      </w:r>
      <w:r w:rsidRPr="00552A48">
        <w:rPr>
          <w:sz w:val="16"/>
          <w:szCs w:val="16"/>
          <w:lang w:val="es-ES_tradnl"/>
        </w:rPr>
        <w:t xml:space="preserve"> Declaración indagatoria de </w:t>
      </w:r>
      <w:r>
        <w:rPr>
          <w:sz w:val="16"/>
          <w:szCs w:val="16"/>
          <w:lang w:val="es-ES_tradnl"/>
        </w:rPr>
        <w:t xml:space="preserve">JTCh </w:t>
      </w:r>
      <w:r w:rsidRPr="00552A48">
        <w:rPr>
          <w:sz w:val="16"/>
          <w:szCs w:val="16"/>
          <w:lang w:val="es-ES_tradnl"/>
        </w:rPr>
        <w:t>ante la Fiscalía Especializada para Desapariciones Forzadas, Ejecuciones Extrajudiciales y Exhumación de Fosas Clandestinas de 28 de abril de 2005 (</w:t>
      </w:r>
      <w:r w:rsidRPr="00F10686">
        <w:rPr>
          <w:sz w:val="16"/>
          <w:szCs w:val="16"/>
          <w:lang w:val="es-ES_tradnl"/>
        </w:rPr>
        <w:t xml:space="preserve">expediente de trámite ante la Comisión, f. </w:t>
      </w:r>
      <w:r>
        <w:rPr>
          <w:sz w:val="16"/>
          <w:szCs w:val="16"/>
          <w:lang w:val="es-ES_tradnl"/>
        </w:rPr>
        <w:t>1479</w:t>
      </w:r>
      <w:r w:rsidRPr="00F10686">
        <w:rPr>
          <w:sz w:val="16"/>
          <w:szCs w:val="16"/>
          <w:lang w:val="es-ES_tradnl"/>
        </w:rPr>
        <w:t>).</w:t>
      </w:r>
    </w:p>
  </w:footnote>
  <w:footnote w:id="172">
    <w:p w:rsidR="00B41935" w:rsidRPr="00F10686" w:rsidRDefault="00B41935" w:rsidP="00257982">
      <w:pPr>
        <w:pStyle w:val="FootnoteText"/>
        <w:rPr>
          <w:sz w:val="16"/>
          <w:szCs w:val="16"/>
          <w:lang w:val="es-ES_tradnl"/>
        </w:rPr>
      </w:pPr>
      <w:r w:rsidRPr="00CC214C">
        <w:rPr>
          <w:rStyle w:val="FootnoteReference"/>
        </w:rPr>
        <w:footnoteRef/>
      </w:r>
      <w:r w:rsidRPr="00CC214C">
        <w:rPr>
          <w:sz w:val="16"/>
          <w:szCs w:val="16"/>
        </w:rPr>
        <w:t xml:space="preserve"> </w:t>
      </w:r>
      <w:r w:rsidRPr="00CC214C">
        <w:rPr>
          <w:sz w:val="16"/>
          <w:szCs w:val="16"/>
        </w:rPr>
        <w:tab/>
      </w:r>
      <w:r w:rsidRPr="00552A48">
        <w:rPr>
          <w:i/>
          <w:sz w:val="16"/>
          <w:szCs w:val="16"/>
          <w:lang w:val="es-ES_tradnl"/>
        </w:rPr>
        <w:t xml:space="preserve">Cfr. </w:t>
      </w:r>
      <w:r w:rsidRPr="00552A48">
        <w:rPr>
          <w:sz w:val="16"/>
          <w:szCs w:val="16"/>
          <w:lang w:val="es-ES_tradnl"/>
        </w:rPr>
        <w:t xml:space="preserve">Declaración indagatoria de </w:t>
      </w:r>
      <w:r>
        <w:rPr>
          <w:sz w:val="16"/>
          <w:szCs w:val="16"/>
          <w:lang w:val="es-ES_tradnl"/>
        </w:rPr>
        <w:t xml:space="preserve">AOF </w:t>
      </w:r>
      <w:r w:rsidRPr="00552A48">
        <w:rPr>
          <w:sz w:val="16"/>
          <w:szCs w:val="16"/>
          <w:lang w:val="es-ES_tradnl"/>
        </w:rPr>
        <w:t xml:space="preserve">ante la Fiscalía Especializada para Desapariciones Forzadas, Ejecuciones Extrajudiciales y Exhumación de Fosas Clandestinas de 29 de abril </w:t>
      </w:r>
      <w:r w:rsidRPr="00F10686">
        <w:rPr>
          <w:sz w:val="16"/>
          <w:szCs w:val="16"/>
          <w:lang w:val="es-ES_tradnl"/>
        </w:rPr>
        <w:t>de 2005 (expediente de trámite ante la Comisión, f. 1465).</w:t>
      </w:r>
    </w:p>
  </w:footnote>
  <w:footnote w:id="173">
    <w:p w:rsidR="00B41935" w:rsidRPr="00552A48" w:rsidRDefault="00B41935" w:rsidP="00257982">
      <w:pPr>
        <w:pStyle w:val="FootnoteText"/>
        <w:rPr>
          <w:sz w:val="16"/>
          <w:szCs w:val="16"/>
          <w:lang w:val="es-ES_tradnl"/>
        </w:rPr>
      </w:pPr>
      <w:r w:rsidRPr="00CC214C">
        <w:rPr>
          <w:rStyle w:val="FootnoteReference"/>
        </w:rPr>
        <w:footnoteRef/>
      </w:r>
      <w:r w:rsidRPr="00CC214C">
        <w:rPr>
          <w:sz w:val="16"/>
          <w:szCs w:val="16"/>
        </w:rPr>
        <w:t xml:space="preserve"> </w:t>
      </w:r>
      <w:r w:rsidRPr="00CC214C">
        <w:rPr>
          <w:sz w:val="16"/>
          <w:szCs w:val="16"/>
        </w:rPr>
        <w:tab/>
      </w:r>
      <w:r w:rsidRPr="00552A48">
        <w:rPr>
          <w:i/>
          <w:sz w:val="16"/>
          <w:szCs w:val="16"/>
          <w:lang w:val="es-ES_tradnl"/>
        </w:rPr>
        <w:t xml:space="preserve">Cfr. </w:t>
      </w:r>
      <w:r w:rsidRPr="00552A48">
        <w:rPr>
          <w:sz w:val="16"/>
          <w:szCs w:val="16"/>
          <w:lang w:val="es-ES_tradnl"/>
        </w:rPr>
        <w:t>Oficio de la Quinta Fiscalía Penal Supraprovincial de 8 de junio de 2005 (expediente de trámite ante la Comisión, f. 1475).</w:t>
      </w:r>
    </w:p>
  </w:footnote>
  <w:footnote w:id="174">
    <w:p w:rsidR="00B41935" w:rsidRPr="00F10686" w:rsidRDefault="00B41935" w:rsidP="00257982">
      <w:pPr>
        <w:pStyle w:val="FootnoteText"/>
        <w:rPr>
          <w:sz w:val="16"/>
          <w:szCs w:val="16"/>
          <w:lang w:val="es-ES_tradnl"/>
        </w:rPr>
      </w:pPr>
      <w:r w:rsidRPr="00CC214C">
        <w:rPr>
          <w:rStyle w:val="FootnoteReference"/>
        </w:rPr>
        <w:footnoteRef/>
      </w:r>
      <w:r w:rsidRPr="00CC214C">
        <w:rPr>
          <w:sz w:val="16"/>
          <w:szCs w:val="16"/>
        </w:rPr>
        <w:t xml:space="preserve"> </w:t>
      </w:r>
      <w:r w:rsidRPr="00CC214C">
        <w:rPr>
          <w:sz w:val="16"/>
          <w:szCs w:val="16"/>
        </w:rPr>
        <w:tab/>
      </w:r>
      <w:r w:rsidRPr="00552A48">
        <w:rPr>
          <w:i/>
          <w:sz w:val="16"/>
          <w:szCs w:val="16"/>
          <w:lang w:val="es-ES_tradnl"/>
        </w:rPr>
        <w:t xml:space="preserve">Cfr. </w:t>
      </w:r>
      <w:r>
        <w:rPr>
          <w:sz w:val="16"/>
          <w:szCs w:val="16"/>
          <w:lang w:val="es-ES_tradnl"/>
        </w:rPr>
        <w:t xml:space="preserve">Oficio </w:t>
      </w:r>
      <w:r w:rsidRPr="00176A9A">
        <w:rPr>
          <w:sz w:val="16"/>
          <w:szCs w:val="16"/>
        </w:rPr>
        <w:t>N</w:t>
      </w:r>
      <w:r>
        <w:rPr>
          <w:sz w:val="16"/>
          <w:szCs w:val="16"/>
        </w:rPr>
        <w:t>°</w:t>
      </w:r>
      <w:r w:rsidRPr="00552A48">
        <w:rPr>
          <w:sz w:val="16"/>
          <w:szCs w:val="16"/>
          <w:lang w:val="es-ES_tradnl"/>
        </w:rPr>
        <w:t xml:space="preserve"> 2-005-FSC-MP-FN de</w:t>
      </w:r>
      <w:r w:rsidRPr="00F10686">
        <w:rPr>
          <w:sz w:val="16"/>
          <w:szCs w:val="16"/>
          <w:lang w:val="es-ES_tradnl"/>
        </w:rPr>
        <w:t>l Fiscal Superior Coordinador de la Fiscalía Superior Penal Nacional y Fiscalías Penales Supraprovinciales de 14 de septiembre de 2005 (expediente de trámite ante la Comisión, f. 1479).</w:t>
      </w:r>
    </w:p>
  </w:footnote>
  <w:footnote w:id="175">
    <w:p w:rsidR="00B41935" w:rsidRPr="00F10686" w:rsidRDefault="00B41935" w:rsidP="00257982">
      <w:pPr>
        <w:pStyle w:val="FootnoteText"/>
        <w:rPr>
          <w:sz w:val="16"/>
          <w:szCs w:val="16"/>
          <w:lang w:val="es-ES_tradnl"/>
        </w:rPr>
      </w:pPr>
      <w:r w:rsidRPr="00CC214C">
        <w:rPr>
          <w:rStyle w:val="FootnoteReference"/>
        </w:rPr>
        <w:footnoteRef/>
      </w:r>
      <w:r w:rsidRPr="00CC214C">
        <w:rPr>
          <w:sz w:val="16"/>
          <w:szCs w:val="16"/>
        </w:rPr>
        <w:t xml:space="preserve"> </w:t>
      </w:r>
      <w:r w:rsidRPr="00CC214C">
        <w:rPr>
          <w:sz w:val="16"/>
          <w:szCs w:val="16"/>
        </w:rPr>
        <w:tab/>
      </w:r>
      <w:r w:rsidRPr="00552A48">
        <w:rPr>
          <w:i/>
          <w:sz w:val="16"/>
          <w:szCs w:val="16"/>
          <w:lang w:val="es-ES_tradnl"/>
        </w:rPr>
        <w:t>Cfr.</w:t>
      </w:r>
      <w:r w:rsidRPr="00552A48">
        <w:rPr>
          <w:sz w:val="16"/>
          <w:szCs w:val="16"/>
          <w:lang w:val="es-ES_tradnl"/>
        </w:rPr>
        <w:t xml:space="preserve"> Oficio </w:t>
      </w:r>
      <w:r w:rsidRPr="00176A9A">
        <w:rPr>
          <w:sz w:val="16"/>
          <w:szCs w:val="16"/>
        </w:rPr>
        <w:t>N</w:t>
      </w:r>
      <w:r>
        <w:rPr>
          <w:sz w:val="16"/>
          <w:szCs w:val="16"/>
        </w:rPr>
        <w:t>°</w:t>
      </w:r>
      <w:r w:rsidRPr="00552A48">
        <w:rPr>
          <w:sz w:val="16"/>
          <w:szCs w:val="16"/>
          <w:lang w:val="es-ES_tradnl"/>
        </w:rPr>
        <w:t xml:space="preserve"> 333-2006-MP-2da.FPP-Moyobamba </w:t>
      </w:r>
      <w:r w:rsidRPr="00F10686">
        <w:rPr>
          <w:sz w:val="16"/>
          <w:szCs w:val="16"/>
          <w:lang w:val="es-ES_tradnl"/>
        </w:rPr>
        <w:t xml:space="preserve">del Fiscal Provincial Penal de Moyobamba dirigido a la Fiscalía Mixta de Tocache </w:t>
      </w:r>
      <w:r w:rsidRPr="00552A48">
        <w:rPr>
          <w:sz w:val="16"/>
          <w:szCs w:val="16"/>
          <w:lang w:val="es-ES_tradnl"/>
        </w:rPr>
        <w:t>de 5 de octubre de 20</w:t>
      </w:r>
      <w:r w:rsidRPr="00F10686">
        <w:rPr>
          <w:sz w:val="16"/>
          <w:szCs w:val="16"/>
          <w:lang w:val="es-ES_tradnl"/>
        </w:rPr>
        <w:t>06 (expediente de trámite ante la Comisión, f. 1476).</w:t>
      </w:r>
    </w:p>
  </w:footnote>
  <w:footnote w:id="176">
    <w:p w:rsidR="00B41935" w:rsidRPr="00552A48" w:rsidRDefault="00B41935" w:rsidP="00257982">
      <w:pPr>
        <w:pStyle w:val="FootnoteText"/>
        <w:rPr>
          <w:sz w:val="16"/>
          <w:szCs w:val="16"/>
          <w:lang w:val="es-ES_tradnl"/>
        </w:rPr>
      </w:pPr>
      <w:r w:rsidRPr="00CC214C">
        <w:rPr>
          <w:rStyle w:val="FootnoteReference"/>
        </w:rPr>
        <w:footnoteRef/>
      </w:r>
      <w:r w:rsidRPr="00CC214C">
        <w:rPr>
          <w:sz w:val="16"/>
          <w:szCs w:val="16"/>
        </w:rPr>
        <w:t xml:space="preserve"> </w:t>
      </w:r>
      <w:r w:rsidRPr="00CC214C">
        <w:rPr>
          <w:sz w:val="16"/>
          <w:szCs w:val="16"/>
        </w:rPr>
        <w:tab/>
      </w:r>
      <w:r w:rsidRPr="00552A48">
        <w:rPr>
          <w:sz w:val="16"/>
          <w:szCs w:val="16"/>
          <w:lang w:val="es-ES_tradnl"/>
        </w:rPr>
        <w:t xml:space="preserve">Disposición </w:t>
      </w:r>
      <w:r w:rsidRPr="00176A9A">
        <w:rPr>
          <w:sz w:val="16"/>
          <w:szCs w:val="16"/>
        </w:rPr>
        <w:t>N</w:t>
      </w:r>
      <w:r>
        <w:rPr>
          <w:sz w:val="16"/>
          <w:szCs w:val="16"/>
        </w:rPr>
        <w:t>°</w:t>
      </w:r>
      <w:r w:rsidRPr="00552A48">
        <w:rPr>
          <w:sz w:val="16"/>
          <w:szCs w:val="16"/>
          <w:lang w:val="es-ES_tradnl"/>
        </w:rPr>
        <w:t xml:space="preserve"> 001-2011-MP-DJSM-1º FPPL-T de la Primera Fiscalía Provincial Penal Liquidación Tocache de 20 de febreros de 2011 (expediente de trámite ante la Comisión, f. 1556).</w:t>
      </w:r>
    </w:p>
  </w:footnote>
  <w:footnote w:id="177">
    <w:p w:rsidR="00B41935" w:rsidRPr="00F10686" w:rsidRDefault="00B41935" w:rsidP="00257982">
      <w:pPr>
        <w:pStyle w:val="FootnoteText"/>
        <w:rPr>
          <w:sz w:val="16"/>
          <w:szCs w:val="16"/>
          <w:lang w:val="es-ES_tradnl"/>
        </w:rPr>
      </w:pPr>
      <w:r w:rsidRPr="00CC214C">
        <w:rPr>
          <w:rStyle w:val="FootnoteReference"/>
        </w:rPr>
        <w:footnoteRef/>
      </w:r>
      <w:r w:rsidRPr="00CC214C">
        <w:rPr>
          <w:sz w:val="16"/>
          <w:szCs w:val="16"/>
        </w:rPr>
        <w:t xml:space="preserve">  </w:t>
      </w:r>
      <w:r w:rsidRPr="00CC214C">
        <w:rPr>
          <w:sz w:val="16"/>
          <w:szCs w:val="16"/>
        </w:rPr>
        <w:tab/>
        <w:t xml:space="preserve">Disposición </w:t>
      </w:r>
      <w:r w:rsidRPr="00176A9A">
        <w:rPr>
          <w:sz w:val="16"/>
          <w:szCs w:val="16"/>
        </w:rPr>
        <w:t>N</w:t>
      </w:r>
      <w:r>
        <w:rPr>
          <w:sz w:val="16"/>
          <w:szCs w:val="16"/>
        </w:rPr>
        <w:t>°</w:t>
      </w:r>
      <w:r w:rsidRPr="00CC214C">
        <w:rPr>
          <w:sz w:val="16"/>
          <w:szCs w:val="16"/>
        </w:rPr>
        <w:t xml:space="preserve"> 1 de la Primera Fiscalía Provincial Penal Corporativa de Moy</w:t>
      </w:r>
      <w:r>
        <w:rPr>
          <w:sz w:val="16"/>
          <w:szCs w:val="16"/>
        </w:rPr>
        <w:t>o</w:t>
      </w:r>
      <w:r w:rsidRPr="00CC214C">
        <w:rPr>
          <w:sz w:val="16"/>
          <w:szCs w:val="16"/>
        </w:rPr>
        <w:t xml:space="preserve">bamba de 28 de marzo de 2011 (expediente </w:t>
      </w:r>
      <w:r>
        <w:rPr>
          <w:sz w:val="16"/>
          <w:szCs w:val="16"/>
        </w:rPr>
        <w:t>de prueba, anexo 56 del Informe de F</w:t>
      </w:r>
      <w:r w:rsidRPr="00CC214C">
        <w:rPr>
          <w:sz w:val="16"/>
          <w:szCs w:val="16"/>
        </w:rPr>
        <w:t>o</w:t>
      </w:r>
      <w:r>
        <w:rPr>
          <w:sz w:val="16"/>
          <w:szCs w:val="16"/>
        </w:rPr>
        <w:t xml:space="preserve">ndo, f. </w:t>
      </w:r>
      <w:r w:rsidRPr="00552A48">
        <w:rPr>
          <w:sz w:val="16"/>
          <w:szCs w:val="16"/>
        </w:rPr>
        <w:t xml:space="preserve">523), e </w:t>
      </w:r>
      <w:r w:rsidRPr="00552A48">
        <w:rPr>
          <w:sz w:val="16"/>
          <w:szCs w:val="16"/>
          <w:lang w:val="es-ES_tradnl"/>
        </w:rPr>
        <w:t>Informe Nro. 165</w:t>
      </w:r>
      <w:r w:rsidRPr="00F10686">
        <w:rPr>
          <w:sz w:val="16"/>
          <w:szCs w:val="16"/>
          <w:lang w:val="es-ES_tradnl"/>
        </w:rPr>
        <w:t>-2011- JUS-PPES de la Procuradora Pública Especializada Supranacional de 25 de abril de 2011 (expediente de prueba, anexo 55 al Informe de Fondo, f. 514).</w:t>
      </w:r>
    </w:p>
  </w:footnote>
  <w:footnote w:id="178">
    <w:p w:rsidR="00B41935" w:rsidRPr="00552A48" w:rsidRDefault="00B41935" w:rsidP="00257982">
      <w:pPr>
        <w:pStyle w:val="FootnoteText"/>
        <w:rPr>
          <w:sz w:val="16"/>
          <w:szCs w:val="16"/>
        </w:rPr>
      </w:pPr>
      <w:r w:rsidRPr="00CC214C">
        <w:rPr>
          <w:rStyle w:val="FootnoteReference"/>
        </w:rPr>
        <w:footnoteRef/>
      </w:r>
      <w:r>
        <w:rPr>
          <w:sz w:val="16"/>
          <w:szCs w:val="16"/>
        </w:rPr>
        <w:t xml:space="preserve"> </w:t>
      </w:r>
      <w:r>
        <w:rPr>
          <w:sz w:val="16"/>
          <w:szCs w:val="16"/>
        </w:rPr>
        <w:tab/>
        <w:t xml:space="preserve">Disposición </w:t>
      </w:r>
      <w:r w:rsidRPr="00176A9A">
        <w:rPr>
          <w:sz w:val="16"/>
          <w:szCs w:val="16"/>
        </w:rPr>
        <w:t>N</w:t>
      </w:r>
      <w:r>
        <w:rPr>
          <w:sz w:val="16"/>
          <w:szCs w:val="16"/>
        </w:rPr>
        <w:t>° 03-2012-1</w:t>
      </w:r>
      <w:r w:rsidRPr="00CC214C">
        <w:rPr>
          <w:sz w:val="16"/>
          <w:szCs w:val="16"/>
        </w:rPr>
        <w:t>FPPL de la Primera Fiscalía Provincial Penal de Adecuación y Liquidación de Tocache de 18 de enero de 2013 (expediente de pr</w:t>
      </w:r>
      <w:r w:rsidRPr="00552A48">
        <w:rPr>
          <w:sz w:val="16"/>
          <w:szCs w:val="16"/>
        </w:rPr>
        <w:t>ueba, anexo 45 a la contestación, f. 5076).</w:t>
      </w:r>
    </w:p>
  </w:footnote>
  <w:footnote w:id="179">
    <w:p w:rsidR="00B41935" w:rsidRPr="00257982" w:rsidRDefault="00B41935" w:rsidP="00257982">
      <w:pPr>
        <w:pStyle w:val="FootnoteText"/>
        <w:rPr>
          <w:sz w:val="16"/>
          <w:szCs w:val="16"/>
        </w:rPr>
      </w:pPr>
      <w:r w:rsidRPr="00CC214C">
        <w:rPr>
          <w:rStyle w:val="FootnoteReference"/>
        </w:rPr>
        <w:footnoteRef/>
      </w:r>
      <w:r w:rsidRPr="00257982">
        <w:rPr>
          <w:sz w:val="16"/>
          <w:szCs w:val="16"/>
        </w:rPr>
        <w:t xml:space="preserve"> </w:t>
      </w:r>
      <w:r>
        <w:rPr>
          <w:sz w:val="16"/>
          <w:szCs w:val="16"/>
        </w:rPr>
        <w:tab/>
        <w:t>Disposición N° 03-2012-1</w:t>
      </w:r>
      <w:r w:rsidRPr="00CC214C">
        <w:rPr>
          <w:sz w:val="16"/>
          <w:szCs w:val="16"/>
        </w:rPr>
        <w:t>FPPL de la Primera Fiscalía Provincial Penal de Adecuación y Liquidación de Tocache de 18 de enero de 2013</w:t>
      </w:r>
      <w:r>
        <w:rPr>
          <w:sz w:val="16"/>
          <w:szCs w:val="16"/>
        </w:rPr>
        <w:t xml:space="preserve">, </w:t>
      </w:r>
      <w:r w:rsidRPr="00871ABC">
        <w:rPr>
          <w:i/>
          <w:sz w:val="16"/>
          <w:szCs w:val="16"/>
        </w:rPr>
        <w:t>supra.</w:t>
      </w:r>
    </w:p>
  </w:footnote>
  <w:footnote w:id="180">
    <w:p w:rsidR="00B41935" w:rsidRPr="00552A48" w:rsidRDefault="00B41935" w:rsidP="00257982">
      <w:pPr>
        <w:pStyle w:val="FootnoteText"/>
        <w:rPr>
          <w:sz w:val="16"/>
          <w:szCs w:val="16"/>
        </w:rPr>
      </w:pPr>
      <w:r w:rsidRPr="00CC214C">
        <w:rPr>
          <w:rStyle w:val="FootnoteReference"/>
        </w:rPr>
        <w:footnoteRef/>
      </w:r>
      <w:r w:rsidRPr="00CC214C">
        <w:rPr>
          <w:sz w:val="16"/>
          <w:szCs w:val="16"/>
        </w:rPr>
        <w:t xml:space="preserve"> </w:t>
      </w:r>
      <w:r>
        <w:rPr>
          <w:sz w:val="16"/>
          <w:szCs w:val="16"/>
        </w:rPr>
        <w:tab/>
      </w:r>
      <w:r w:rsidRPr="00CC214C">
        <w:rPr>
          <w:sz w:val="16"/>
          <w:szCs w:val="16"/>
        </w:rPr>
        <w:t>Dis</w:t>
      </w:r>
      <w:r w:rsidRPr="00552A48">
        <w:rPr>
          <w:sz w:val="16"/>
          <w:szCs w:val="16"/>
        </w:rPr>
        <w:t xml:space="preserve">posición </w:t>
      </w:r>
      <w:r w:rsidRPr="00176A9A">
        <w:rPr>
          <w:sz w:val="16"/>
          <w:szCs w:val="16"/>
        </w:rPr>
        <w:t>N</w:t>
      </w:r>
      <w:r>
        <w:rPr>
          <w:sz w:val="16"/>
          <w:szCs w:val="16"/>
        </w:rPr>
        <w:t>°</w:t>
      </w:r>
      <w:r w:rsidRPr="00552A48">
        <w:rPr>
          <w:sz w:val="16"/>
          <w:szCs w:val="16"/>
        </w:rPr>
        <w:t xml:space="preserve"> 04-2013-MP-DFSM-1° FPPC-T de la Primera Fiscalía Provincial Penal de 26 de agosto de 2013 (expediente de prueba, anexo 46 a la contestación, f. 5083).</w:t>
      </w:r>
    </w:p>
  </w:footnote>
  <w:footnote w:id="181">
    <w:p w:rsidR="00B41935" w:rsidRPr="00661B83" w:rsidRDefault="00B41935" w:rsidP="00661B83">
      <w:pPr>
        <w:rPr>
          <w:strike/>
          <w:sz w:val="16"/>
          <w:szCs w:val="16"/>
        </w:rPr>
      </w:pPr>
      <w:r w:rsidRPr="00CC214C">
        <w:rPr>
          <w:rStyle w:val="FootnoteReference"/>
        </w:rPr>
        <w:footnoteRef/>
      </w:r>
      <w:r w:rsidRPr="00CC214C">
        <w:rPr>
          <w:sz w:val="16"/>
          <w:szCs w:val="16"/>
        </w:rPr>
        <w:t xml:space="preserve"> </w:t>
      </w:r>
      <w:r>
        <w:rPr>
          <w:sz w:val="16"/>
          <w:szCs w:val="16"/>
        </w:rPr>
        <w:tab/>
      </w:r>
      <w:r w:rsidRPr="00F10686">
        <w:rPr>
          <w:i/>
          <w:sz w:val="16"/>
          <w:szCs w:val="16"/>
        </w:rPr>
        <w:t>Cfr.</w:t>
      </w:r>
      <w:r w:rsidRPr="0000173B">
        <w:rPr>
          <w:sz w:val="16"/>
          <w:szCs w:val="16"/>
        </w:rPr>
        <w:t xml:space="preserve"> </w:t>
      </w:r>
      <w:r w:rsidRPr="00CC214C">
        <w:rPr>
          <w:sz w:val="16"/>
          <w:szCs w:val="16"/>
        </w:rPr>
        <w:t xml:space="preserve">Disposición N° 01-2017-MP-DJSM-1 FPP-AL-T de la Primera Fiscalía Provincial Penal Corporativa de </w:t>
      </w:r>
      <w:r w:rsidRPr="008A705C">
        <w:rPr>
          <w:sz w:val="16"/>
          <w:szCs w:val="16"/>
        </w:rPr>
        <w:t>Tocache de 25 de abril de 2017 (expediente de prueba, anexo 11 de los alegatos finales del Estado, f. 5380), y</w:t>
      </w:r>
      <w:r w:rsidRPr="00661B83">
        <w:rPr>
          <w:i/>
          <w:sz w:val="16"/>
          <w:szCs w:val="16"/>
        </w:rPr>
        <w:t xml:space="preserve"> Cfr</w:t>
      </w:r>
      <w:r>
        <w:rPr>
          <w:sz w:val="16"/>
          <w:szCs w:val="16"/>
        </w:rPr>
        <w:t xml:space="preserve">. Declaración de </w:t>
      </w:r>
      <w:r w:rsidRPr="00F10686">
        <w:rPr>
          <w:sz w:val="16"/>
          <w:szCs w:val="16"/>
        </w:rPr>
        <w:t xml:space="preserve">Marcelita </w:t>
      </w:r>
      <w:r>
        <w:rPr>
          <w:sz w:val="16"/>
          <w:szCs w:val="16"/>
        </w:rPr>
        <w:t>d</w:t>
      </w:r>
      <w:r w:rsidRPr="00F10686">
        <w:rPr>
          <w:sz w:val="16"/>
          <w:szCs w:val="16"/>
        </w:rPr>
        <w:t>el Rosario Gutiérrez Vallejos</w:t>
      </w:r>
      <w:r>
        <w:rPr>
          <w:sz w:val="16"/>
          <w:szCs w:val="16"/>
        </w:rPr>
        <w:t xml:space="preserve"> mediante </w:t>
      </w:r>
      <w:r w:rsidRPr="00AE7626">
        <w:rPr>
          <w:i/>
          <w:sz w:val="16"/>
          <w:szCs w:val="16"/>
        </w:rPr>
        <w:t>affidávit</w:t>
      </w:r>
      <w:r>
        <w:rPr>
          <w:sz w:val="16"/>
          <w:szCs w:val="16"/>
        </w:rPr>
        <w:t xml:space="preserve"> el 7 de marzo de 2018, </w:t>
      </w:r>
      <w:r w:rsidRPr="00661B83">
        <w:rPr>
          <w:i/>
          <w:sz w:val="16"/>
          <w:szCs w:val="16"/>
        </w:rPr>
        <w:t>supra</w:t>
      </w:r>
      <w:r>
        <w:rPr>
          <w:sz w:val="16"/>
          <w:szCs w:val="16"/>
        </w:rPr>
        <w:t>.</w:t>
      </w:r>
    </w:p>
  </w:footnote>
  <w:footnote w:id="182">
    <w:p w:rsidR="00B41935" w:rsidRPr="00563483" w:rsidRDefault="00B41935" w:rsidP="00257982">
      <w:pPr>
        <w:pStyle w:val="FootnoteText"/>
        <w:rPr>
          <w:sz w:val="16"/>
          <w:szCs w:val="16"/>
        </w:rPr>
      </w:pPr>
      <w:r w:rsidRPr="00563483">
        <w:rPr>
          <w:rStyle w:val="FootnoteReference"/>
        </w:rPr>
        <w:footnoteRef/>
      </w:r>
      <w:r w:rsidRPr="00563483">
        <w:rPr>
          <w:sz w:val="16"/>
          <w:szCs w:val="16"/>
        </w:rPr>
        <w:t xml:space="preserve"> </w:t>
      </w:r>
      <w:r w:rsidRPr="00563483">
        <w:rPr>
          <w:sz w:val="16"/>
          <w:szCs w:val="16"/>
        </w:rPr>
        <w:tab/>
      </w:r>
      <w:r w:rsidRPr="00563483">
        <w:rPr>
          <w:rFonts w:cs="Arial"/>
          <w:sz w:val="16"/>
          <w:szCs w:val="16"/>
          <w:shd w:val="clear" w:color="auto" w:fill="FFFFFF"/>
          <w:lang w:val="es-CR"/>
        </w:rPr>
        <w:t>Además, se indicó que se tomaro</w:t>
      </w:r>
      <w:r>
        <w:rPr>
          <w:rFonts w:cs="Arial"/>
          <w:sz w:val="16"/>
          <w:szCs w:val="16"/>
          <w:shd w:val="clear" w:color="auto" w:fill="FFFFFF"/>
          <w:lang w:val="es-CR"/>
        </w:rPr>
        <w:t>n las manifestaciones a CSL y H</w:t>
      </w:r>
      <w:r w:rsidRPr="00563483">
        <w:rPr>
          <w:rFonts w:cs="Arial"/>
          <w:sz w:val="16"/>
          <w:szCs w:val="16"/>
          <w:shd w:val="clear" w:color="auto" w:fill="FFFFFF"/>
          <w:lang w:val="es-CR"/>
        </w:rPr>
        <w:t>UC. Al respecto, CSL habría indicado que “cuando dese[m]peñaba el cargo de presidenta del Mercado de Abastos No 01- Tocache, se apersonaron a su oficina, unas personas quienes indicaron ser familiares de las personas de Néstor ROJAS MEDINA, así como su esposa, sus padres del desaparecido y otros” y manifestaron el relato indicado en su primera denuncia (</w:t>
      </w:r>
      <w:r w:rsidRPr="00563483">
        <w:rPr>
          <w:rFonts w:cs="Arial"/>
          <w:i/>
          <w:sz w:val="16"/>
          <w:szCs w:val="16"/>
          <w:shd w:val="clear" w:color="auto" w:fill="FFFFFF"/>
          <w:lang w:val="es-CR"/>
        </w:rPr>
        <w:t>supra</w:t>
      </w:r>
      <w:r w:rsidRPr="00563483">
        <w:rPr>
          <w:rFonts w:cs="Arial"/>
          <w:sz w:val="16"/>
          <w:szCs w:val="16"/>
          <w:shd w:val="clear" w:color="auto" w:fill="FFFFFF"/>
          <w:lang w:val="es-CR"/>
        </w:rPr>
        <w:t xml:space="preserve"> párr. </w:t>
      </w:r>
      <w:r>
        <w:rPr>
          <w:rFonts w:cs="Arial"/>
          <w:sz w:val="16"/>
          <w:szCs w:val="16"/>
          <w:shd w:val="clear" w:color="auto" w:fill="FFFFFF"/>
          <w:lang w:val="es-CR"/>
        </w:rPr>
        <w:t>98</w:t>
      </w:r>
      <w:r w:rsidRPr="00563483">
        <w:rPr>
          <w:rFonts w:cs="Arial"/>
          <w:sz w:val="16"/>
          <w:szCs w:val="16"/>
          <w:shd w:val="clear" w:color="auto" w:fill="FFFFFF"/>
          <w:lang w:val="es-CR"/>
        </w:rPr>
        <w:t>). Además, indicó que “después de interponer la respectiva denun[cia] su esposa o conviviente que desconoce su nombre y apellido” indicó que “su pareja había viajado a la ciudad de Lima, acompañado con otra mujer y no le importaba su paradero”. Afirmó finalmente que “la persona que huy[ó] lo conocía como Walter o Shapiruco y no como Néstor ROJAS MEDINA”.</w:t>
      </w:r>
      <w:r w:rsidRPr="00563483">
        <w:rPr>
          <w:rFonts w:cs="Arial"/>
          <w:color w:val="222222"/>
          <w:sz w:val="16"/>
          <w:szCs w:val="16"/>
          <w:shd w:val="clear" w:color="auto" w:fill="FFFFFF"/>
          <w:lang w:val="es-CR"/>
        </w:rPr>
        <w:t xml:space="preserve"> En lo que respecta a la declaración tomada a HUC, éste indicó que “nunca conoció a la persona con el nombre de Néstor Rojas Medina, por las características físicas lo conocía como Walter o Shapiruco” y que “nunca ha observado que personal policial o personal de</w:t>
      </w:r>
      <w:r>
        <w:rPr>
          <w:rFonts w:cs="Arial"/>
          <w:color w:val="222222"/>
          <w:sz w:val="16"/>
          <w:szCs w:val="16"/>
          <w:shd w:val="clear" w:color="auto" w:fill="FFFFFF"/>
          <w:lang w:val="es-CR"/>
        </w:rPr>
        <w:t>l Ejér[c]ito Peruano, lo habían</w:t>
      </w:r>
      <w:r w:rsidRPr="00563483">
        <w:rPr>
          <w:rFonts w:cs="Arial"/>
          <w:color w:val="222222"/>
          <w:sz w:val="16"/>
          <w:szCs w:val="16"/>
          <w:shd w:val="clear" w:color="auto" w:fill="FFFFFF"/>
          <w:lang w:val="es-CR"/>
        </w:rPr>
        <w:t xml:space="preserve"> intervenido en el Jr. Comercio” y que CSL luego le habría indicado que “el supuesto desaparecido lo han sacado de su domicilio en horas de la noche del año 1991”. </w:t>
      </w:r>
      <w:r w:rsidRPr="00563483">
        <w:rPr>
          <w:i/>
          <w:sz w:val="16"/>
          <w:szCs w:val="16"/>
        </w:rPr>
        <w:t>Cfr.</w:t>
      </w:r>
      <w:r w:rsidRPr="00563483">
        <w:rPr>
          <w:sz w:val="16"/>
          <w:szCs w:val="16"/>
        </w:rPr>
        <w:t xml:space="preserve"> </w:t>
      </w:r>
      <w:r w:rsidRPr="00F10686">
        <w:rPr>
          <w:sz w:val="16"/>
          <w:szCs w:val="16"/>
        </w:rPr>
        <w:t>Policía Nacional del Perú</w:t>
      </w:r>
      <w:r>
        <w:rPr>
          <w:sz w:val="16"/>
          <w:szCs w:val="16"/>
        </w:rPr>
        <w:t xml:space="preserve">. </w:t>
      </w:r>
      <w:r w:rsidRPr="00563483">
        <w:rPr>
          <w:sz w:val="16"/>
          <w:szCs w:val="16"/>
        </w:rPr>
        <w:t>Informe No. 283-17-VMR PNP-HSMU/REGPOL-SAM/DIVPOS-MC-J/SEINCRIT</w:t>
      </w:r>
      <w:r>
        <w:rPr>
          <w:sz w:val="16"/>
          <w:szCs w:val="16"/>
        </w:rPr>
        <w:t xml:space="preserve"> de 7 de julio de 2018 (e</w:t>
      </w:r>
      <w:r w:rsidRPr="00563483">
        <w:rPr>
          <w:sz w:val="16"/>
          <w:szCs w:val="16"/>
        </w:rPr>
        <w:t>xpediente de prueba, anexo 12 de los alegatos finales del Estado, f</w:t>
      </w:r>
      <w:r>
        <w:rPr>
          <w:sz w:val="16"/>
          <w:szCs w:val="16"/>
        </w:rPr>
        <w:t>s</w:t>
      </w:r>
      <w:r w:rsidRPr="00563483">
        <w:rPr>
          <w:sz w:val="16"/>
          <w:szCs w:val="16"/>
        </w:rPr>
        <w:t>. 5383</w:t>
      </w:r>
      <w:r>
        <w:rPr>
          <w:sz w:val="16"/>
          <w:szCs w:val="16"/>
        </w:rPr>
        <w:t xml:space="preserve"> a 5386</w:t>
      </w:r>
      <w:r w:rsidRPr="00563483">
        <w:rPr>
          <w:sz w:val="16"/>
          <w:szCs w:val="16"/>
        </w:rPr>
        <w:t xml:space="preserve">). </w:t>
      </w:r>
    </w:p>
  </w:footnote>
  <w:footnote w:id="183">
    <w:p w:rsidR="00B41935" w:rsidRPr="00F10686" w:rsidRDefault="00B41935" w:rsidP="00257982">
      <w:pPr>
        <w:pStyle w:val="FootnoteText"/>
        <w:rPr>
          <w:sz w:val="16"/>
          <w:szCs w:val="16"/>
        </w:rPr>
      </w:pPr>
      <w:r w:rsidRPr="00CC214C">
        <w:rPr>
          <w:rStyle w:val="FootnoteReference"/>
        </w:rPr>
        <w:footnoteRef/>
      </w:r>
      <w:r w:rsidRPr="00CC214C">
        <w:rPr>
          <w:sz w:val="16"/>
          <w:szCs w:val="16"/>
        </w:rPr>
        <w:t xml:space="preserve"> </w:t>
      </w:r>
      <w:r w:rsidRPr="00CC214C">
        <w:rPr>
          <w:sz w:val="16"/>
          <w:szCs w:val="16"/>
        </w:rPr>
        <w:tab/>
      </w:r>
      <w:r w:rsidRPr="00552A48">
        <w:rPr>
          <w:i/>
          <w:sz w:val="16"/>
          <w:szCs w:val="16"/>
        </w:rPr>
        <w:t>Cfr.</w:t>
      </w:r>
      <w:r w:rsidRPr="00F10686">
        <w:rPr>
          <w:sz w:val="16"/>
          <w:szCs w:val="16"/>
        </w:rPr>
        <w:t xml:space="preserve"> Policía Nacional del Perú</w:t>
      </w:r>
      <w:r>
        <w:rPr>
          <w:sz w:val="16"/>
          <w:szCs w:val="16"/>
        </w:rPr>
        <w:t xml:space="preserve">. </w:t>
      </w:r>
      <w:r w:rsidRPr="00F10686">
        <w:rPr>
          <w:sz w:val="16"/>
          <w:szCs w:val="16"/>
        </w:rPr>
        <w:t xml:space="preserve">Informe </w:t>
      </w:r>
      <w:r w:rsidRPr="00176A9A">
        <w:rPr>
          <w:sz w:val="16"/>
          <w:szCs w:val="16"/>
        </w:rPr>
        <w:t>N</w:t>
      </w:r>
      <w:r>
        <w:rPr>
          <w:sz w:val="16"/>
          <w:szCs w:val="16"/>
        </w:rPr>
        <w:t>°</w:t>
      </w:r>
      <w:r w:rsidRPr="00F10686">
        <w:rPr>
          <w:sz w:val="16"/>
          <w:szCs w:val="16"/>
        </w:rPr>
        <w:t xml:space="preserve"> 283-17-VMR PNP-HSMU/REGPOL-SAM/DIVPOS-MC-J/SEINCRIT</w:t>
      </w:r>
      <w:r>
        <w:rPr>
          <w:sz w:val="16"/>
          <w:szCs w:val="16"/>
        </w:rPr>
        <w:t xml:space="preserve"> de 7 de julio de 2018, </w:t>
      </w:r>
      <w:r w:rsidRPr="00871ABC">
        <w:rPr>
          <w:i/>
          <w:sz w:val="16"/>
          <w:szCs w:val="16"/>
        </w:rPr>
        <w:t>supra.</w:t>
      </w:r>
    </w:p>
  </w:footnote>
  <w:footnote w:id="184">
    <w:p w:rsidR="00B41935" w:rsidRPr="00F10686" w:rsidRDefault="00B41935" w:rsidP="00257982">
      <w:pPr>
        <w:pStyle w:val="FootnoteText"/>
        <w:rPr>
          <w:sz w:val="16"/>
          <w:szCs w:val="16"/>
        </w:rPr>
      </w:pPr>
      <w:r w:rsidRPr="00CC214C">
        <w:rPr>
          <w:rStyle w:val="FootnoteReference"/>
        </w:rPr>
        <w:footnoteRef/>
      </w:r>
      <w:r w:rsidRPr="00CC214C">
        <w:rPr>
          <w:sz w:val="16"/>
          <w:szCs w:val="16"/>
        </w:rPr>
        <w:t xml:space="preserve"> </w:t>
      </w:r>
      <w:r w:rsidRPr="00CC214C">
        <w:rPr>
          <w:sz w:val="16"/>
          <w:szCs w:val="16"/>
        </w:rPr>
        <w:tab/>
      </w:r>
      <w:r w:rsidRPr="00552A48">
        <w:rPr>
          <w:i/>
          <w:sz w:val="16"/>
          <w:szCs w:val="16"/>
        </w:rPr>
        <w:t>Cfr.</w:t>
      </w:r>
      <w:r w:rsidRPr="00552A48">
        <w:rPr>
          <w:sz w:val="16"/>
          <w:szCs w:val="16"/>
        </w:rPr>
        <w:t xml:space="preserve"> Oficio </w:t>
      </w:r>
      <w:r w:rsidRPr="00176A9A">
        <w:rPr>
          <w:sz w:val="16"/>
          <w:szCs w:val="16"/>
        </w:rPr>
        <w:t>N</w:t>
      </w:r>
      <w:r>
        <w:rPr>
          <w:sz w:val="16"/>
          <w:szCs w:val="16"/>
        </w:rPr>
        <w:t xml:space="preserve">° </w:t>
      </w:r>
      <w:r w:rsidRPr="00552A48">
        <w:rPr>
          <w:sz w:val="16"/>
          <w:szCs w:val="16"/>
        </w:rPr>
        <w:t xml:space="preserve">300-2018-MP-DJSM-FPPT-2DDT </w:t>
      </w:r>
      <w:r>
        <w:rPr>
          <w:sz w:val="16"/>
          <w:szCs w:val="16"/>
        </w:rPr>
        <w:t>de</w:t>
      </w:r>
      <w:r w:rsidRPr="00F10686">
        <w:rPr>
          <w:sz w:val="16"/>
          <w:szCs w:val="16"/>
        </w:rPr>
        <w:t xml:space="preserve"> la Fiscalía Provincial Penal Corporativa de Tocache dirigida al Jefe de la Comisaría PNP- Tocache </w:t>
      </w:r>
      <w:r w:rsidRPr="00552A48">
        <w:rPr>
          <w:sz w:val="16"/>
          <w:szCs w:val="16"/>
        </w:rPr>
        <w:t>de 15 de ma</w:t>
      </w:r>
      <w:r w:rsidRPr="00F10686">
        <w:rPr>
          <w:sz w:val="16"/>
          <w:szCs w:val="16"/>
        </w:rPr>
        <w:t>rzo de 2</w:t>
      </w:r>
      <w:r>
        <w:rPr>
          <w:sz w:val="16"/>
          <w:szCs w:val="16"/>
        </w:rPr>
        <w:t>018</w:t>
      </w:r>
      <w:r w:rsidRPr="00F10686">
        <w:rPr>
          <w:sz w:val="16"/>
          <w:szCs w:val="16"/>
        </w:rPr>
        <w:t xml:space="preserve"> (expediente de prueba, anexo 13 de los </w:t>
      </w:r>
      <w:r>
        <w:rPr>
          <w:sz w:val="16"/>
          <w:szCs w:val="16"/>
        </w:rPr>
        <w:t>alegatos f</w:t>
      </w:r>
      <w:r w:rsidRPr="00F10686">
        <w:rPr>
          <w:sz w:val="16"/>
          <w:szCs w:val="16"/>
        </w:rPr>
        <w:t>inales del Estado, f. 5388).</w:t>
      </w:r>
    </w:p>
  </w:footnote>
  <w:footnote w:id="185">
    <w:p w:rsidR="00B41935" w:rsidRPr="003D07CE" w:rsidRDefault="00B41935" w:rsidP="00257982">
      <w:pPr>
        <w:pStyle w:val="FootnoteText"/>
        <w:rPr>
          <w:sz w:val="16"/>
          <w:szCs w:val="16"/>
        </w:rPr>
      </w:pPr>
      <w:r w:rsidRPr="00CC214C">
        <w:rPr>
          <w:rStyle w:val="FootnoteReference"/>
        </w:rPr>
        <w:footnoteRef/>
      </w:r>
      <w:r w:rsidRPr="00CC214C">
        <w:rPr>
          <w:sz w:val="16"/>
          <w:szCs w:val="16"/>
        </w:rPr>
        <w:t xml:space="preserve"> </w:t>
      </w:r>
      <w:r w:rsidRPr="00CC214C">
        <w:rPr>
          <w:sz w:val="16"/>
          <w:szCs w:val="16"/>
        </w:rPr>
        <w:tab/>
        <w:t>El artículo 3º, in</w:t>
      </w:r>
      <w:r w:rsidRPr="00552A48">
        <w:rPr>
          <w:sz w:val="16"/>
          <w:szCs w:val="16"/>
        </w:rPr>
        <w:t xml:space="preserve">ciso a, de la referida ley, dispone que la ausencia por desaparición forzada ocurre “cuando la persona hubiese desaparecido o fue desaparecida en circunstancias de haber sufrido arresto, detención o traslado contra su voluntad o cualquier otra forma de privación de libertad”. </w:t>
      </w:r>
      <w:r w:rsidRPr="00F10686">
        <w:rPr>
          <w:i/>
          <w:sz w:val="16"/>
          <w:szCs w:val="16"/>
        </w:rPr>
        <w:t xml:space="preserve">Cfr. </w:t>
      </w:r>
      <w:r w:rsidRPr="0000173B">
        <w:rPr>
          <w:sz w:val="16"/>
          <w:szCs w:val="16"/>
        </w:rPr>
        <w:t>Defensorí</w:t>
      </w:r>
      <w:r w:rsidRPr="003D07CE">
        <w:rPr>
          <w:sz w:val="16"/>
          <w:szCs w:val="16"/>
        </w:rPr>
        <w:t>a del Pueblo, Informe de Verificación N° 6790-20006-OD/Lima de la Defensoría del Pueblo de 6 de septiembre de 2006 (expediente de prueba, anexo 54 al Informe de Fondo, f</w:t>
      </w:r>
      <w:r>
        <w:rPr>
          <w:sz w:val="16"/>
          <w:szCs w:val="16"/>
        </w:rPr>
        <w:t>s</w:t>
      </w:r>
      <w:r w:rsidRPr="003D07CE">
        <w:rPr>
          <w:sz w:val="16"/>
          <w:szCs w:val="16"/>
        </w:rPr>
        <w:t>. 50</w:t>
      </w:r>
      <w:r>
        <w:rPr>
          <w:sz w:val="16"/>
          <w:szCs w:val="16"/>
        </w:rPr>
        <w:t>2 a 508</w:t>
      </w:r>
      <w:r w:rsidRPr="003D07CE">
        <w:rPr>
          <w:sz w:val="16"/>
          <w:szCs w:val="16"/>
        </w:rPr>
        <w:t>).</w:t>
      </w:r>
    </w:p>
  </w:footnote>
  <w:footnote w:id="186">
    <w:p w:rsidR="00B41935" w:rsidRPr="00F10686" w:rsidRDefault="00B41935" w:rsidP="00257982">
      <w:pPr>
        <w:pStyle w:val="FootnoteText"/>
        <w:rPr>
          <w:sz w:val="16"/>
          <w:szCs w:val="16"/>
        </w:rPr>
      </w:pPr>
      <w:r w:rsidRPr="00CC214C">
        <w:rPr>
          <w:rStyle w:val="FootnoteReference"/>
        </w:rPr>
        <w:footnoteRef/>
      </w:r>
      <w:r w:rsidRPr="00CC214C">
        <w:rPr>
          <w:sz w:val="16"/>
          <w:szCs w:val="16"/>
        </w:rPr>
        <w:t xml:space="preserve"> </w:t>
      </w:r>
      <w:r w:rsidRPr="00CC214C">
        <w:rPr>
          <w:sz w:val="16"/>
          <w:szCs w:val="16"/>
        </w:rPr>
        <w:tab/>
      </w:r>
      <w:r w:rsidRPr="00552A48">
        <w:rPr>
          <w:i/>
          <w:sz w:val="16"/>
          <w:szCs w:val="16"/>
        </w:rPr>
        <w:t>Cfr.</w:t>
      </w:r>
      <w:r w:rsidRPr="00552A48">
        <w:rPr>
          <w:sz w:val="16"/>
          <w:szCs w:val="16"/>
        </w:rPr>
        <w:t xml:space="preserve"> Informe de Verificación N° 6790-20006-OD/Lima</w:t>
      </w:r>
      <w:r>
        <w:rPr>
          <w:sz w:val="16"/>
          <w:szCs w:val="16"/>
        </w:rPr>
        <w:t xml:space="preserve"> de la </w:t>
      </w:r>
      <w:r w:rsidRPr="00552A48">
        <w:rPr>
          <w:sz w:val="16"/>
          <w:szCs w:val="16"/>
        </w:rPr>
        <w:t>Defensoría del Pueblo</w:t>
      </w:r>
      <w:r>
        <w:rPr>
          <w:sz w:val="16"/>
          <w:szCs w:val="16"/>
        </w:rPr>
        <w:t xml:space="preserve"> </w:t>
      </w:r>
      <w:r w:rsidRPr="003D07CE">
        <w:rPr>
          <w:sz w:val="16"/>
          <w:szCs w:val="16"/>
        </w:rPr>
        <w:t>6 de septiembre de 2006</w:t>
      </w:r>
      <w:r>
        <w:rPr>
          <w:sz w:val="16"/>
          <w:szCs w:val="16"/>
        </w:rPr>
        <w:t xml:space="preserve">, </w:t>
      </w:r>
      <w:r w:rsidRPr="0049438A">
        <w:rPr>
          <w:i/>
          <w:sz w:val="16"/>
          <w:szCs w:val="16"/>
        </w:rPr>
        <w:t>supra</w:t>
      </w:r>
      <w:r>
        <w:rPr>
          <w:sz w:val="16"/>
          <w:szCs w:val="16"/>
        </w:rPr>
        <w:t>.</w:t>
      </w:r>
    </w:p>
  </w:footnote>
  <w:footnote w:id="187">
    <w:p w:rsidR="00B41935" w:rsidRPr="00257982" w:rsidRDefault="00B41935" w:rsidP="00257982">
      <w:pPr>
        <w:pStyle w:val="FootnoteText"/>
        <w:rPr>
          <w:sz w:val="16"/>
          <w:szCs w:val="16"/>
        </w:rPr>
      </w:pPr>
      <w:r w:rsidRPr="00CC214C">
        <w:rPr>
          <w:rStyle w:val="FootnoteReference"/>
        </w:rPr>
        <w:footnoteRef/>
      </w:r>
      <w:r w:rsidRPr="00CC214C">
        <w:rPr>
          <w:sz w:val="16"/>
          <w:szCs w:val="16"/>
        </w:rPr>
        <w:t xml:space="preserve"> </w:t>
      </w:r>
      <w:r w:rsidRPr="00CC214C">
        <w:rPr>
          <w:sz w:val="16"/>
          <w:szCs w:val="16"/>
        </w:rPr>
        <w:tab/>
        <w:t>Para llegar a dicha conclusión, en el referido Informe de verificación</w:t>
      </w:r>
      <w:r>
        <w:rPr>
          <w:sz w:val="16"/>
          <w:szCs w:val="16"/>
        </w:rPr>
        <w:t xml:space="preserve"> de </w:t>
      </w:r>
      <w:r w:rsidRPr="00552A48">
        <w:rPr>
          <w:sz w:val="16"/>
          <w:szCs w:val="16"/>
        </w:rPr>
        <w:t>N° 6790-20006-OD/Lima</w:t>
      </w:r>
      <w:r>
        <w:rPr>
          <w:sz w:val="16"/>
          <w:szCs w:val="16"/>
        </w:rPr>
        <w:t xml:space="preserve">, </w:t>
      </w:r>
      <w:r w:rsidRPr="00CC214C">
        <w:rPr>
          <w:sz w:val="16"/>
          <w:szCs w:val="16"/>
        </w:rPr>
        <w:t>se indica que las siguientes diligencias fueron realiz</w:t>
      </w:r>
      <w:r>
        <w:rPr>
          <w:sz w:val="16"/>
          <w:szCs w:val="16"/>
        </w:rPr>
        <w:t xml:space="preserve">adas: </w:t>
      </w:r>
      <w:r w:rsidRPr="00CC214C">
        <w:rPr>
          <w:sz w:val="16"/>
          <w:szCs w:val="16"/>
        </w:rPr>
        <w:t>1) se constató que “[l]a desap</w:t>
      </w:r>
      <w:r w:rsidRPr="00552A48">
        <w:rPr>
          <w:sz w:val="16"/>
          <w:szCs w:val="16"/>
        </w:rPr>
        <w:t>arición forzada de Néstor Rojas Medina se encuentra registrada en la Lista consolidada de la base de datos de la Comisión de la Verdad y Reconciliación” incluida en la publicación ‘Los peruanos que faltan: Lista preliminar de personas desaparecidas por la violencia (1980-2000)’, con el regi</w:t>
      </w:r>
      <w:r>
        <w:rPr>
          <w:sz w:val="16"/>
          <w:szCs w:val="16"/>
        </w:rPr>
        <w:t xml:space="preserve">stro No 6790”; </w:t>
      </w:r>
      <w:r w:rsidRPr="00F10686">
        <w:rPr>
          <w:sz w:val="16"/>
          <w:szCs w:val="16"/>
        </w:rPr>
        <w:t>2) se analizó el acervo documentario transferido del Ministerio Público a la Defensoría del Pue</w:t>
      </w:r>
      <w:r>
        <w:rPr>
          <w:sz w:val="16"/>
          <w:szCs w:val="16"/>
        </w:rPr>
        <w:t xml:space="preserve">blo, en el cual se encontraban: </w:t>
      </w:r>
      <w:r w:rsidRPr="00F10686">
        <w:rPr>
          <w:sz w:val="16"/>
          <w:szCs w:val="16"/>
        </w:rPr>
        <w:t>a) la denuncia de Marcelina Medina Negrón de 8 de marzo de 1991 (</w:t>
      </w:r>
      <w:r w:rsidRPr="0000173B">
        <w:rPr>
          <w:i/>
          <w:sz w:val="16"/>
          <w:szCs w:val="16"/>
        </w:rPr>
        <w:t>supra</w:t>
      </w:r>
      <w:r>
        <w:rPr>
          <w:sz w:val="16"/>
          <w:szCs w:val="16"/>
        </w:rPr>
        <w:t xml:space="preserve"> párr. 98); </w:t>
      </w:r>
      <w:r w:rsidRPr="003D07CE">
        <w:rPr>
          <w:sz w:val="16"/>
          <w:szCs w:val="16"/>
        </w:rPr>
        <w:t>b) un Oficio de la Secretaría</w:t>
      </w:r>
      <w:r w:rsidRPr="00CE6B13">
        <w:rPr>
          <w:sz w:val="16"/>
          <w:szCs w:val="16"/>
        </w:rPr>
        <w:t xml:space="preserve"> del Senado a la Fiscalía de la Nación en la que indicó que el senador </w:t>
      </w:r>
      <w:r>
        <w:rPr>
          <w:sz w:val="16"/>
          <w:szCs w:val="16"/>
        </w:rPr>
        <w:t xml:space="preserve">JHP </w:t>
      </w:r>
      <w:r w:rsidRPr="00CE6B13">
        <w:rPr>
          <w:sz w:val="16"/>
          <w:szCs w:val="16"/>
        </w:rPr>
        <w:t>se comunicó con el Comandante “Tito” (</w:t>
      </w:r>
      <w:r w:rsidRPr="00D83377">
        <w:rPr>
          <w:i/>
          <w:sz w:val="16"/>
          <w:szCs w:val="16"/>
        </w:rPr>
        <w:t>supra</w:t>
      </w:r>
      <w:r>
        <w:rPr>
          <w:sz w:val="16"/>
          <w:szCs w:val="16"/>
        </w:rPr>
        <w:t xml:space="preserve"> párr. 101), y </w:t>
      </w:r>
      <w:r w:rsidRPr="00D83377">
        <w:rPr>
          <w:sz w:val="16"/>
          <w:szCs w:val="16"/>
        </w:rPr>
        <w:t>c) un Oficio de 21 de mayo de 1991 del Comandante General del Frente Huallaga a la Fiscalía Especial de la Defensoría del Pueblo y Derechos Humanos de Lima “informando que Néstor Rojas Medina no fue entregado a ninguna Base Contrasu</w:t>
      </w:r>
      <w:r>
        <w:rPr>
          <w:sz w:val="16"/>
          <w:szCs w:val="16"/>
        </w:rPr>
        <w:t xml:space="preserve">bversiva del Frente Huallaga”; </w:t>
      </w:r>
      <w:r w:rsidRPr="00D83377">
        <w:rPr>
          <w:sz w:val="16"/>
          <w:szCs w:val="16"/>
        </w:rPr>
        <w:t>3) se valoró el testimonio de Marcela Medina Negrón de 8 de mayo de 2002 rendido ante la Comisión de</w:t>
      </w:r>
      <w:r>
        <w:rPr>
          <w:sz w:val="16"/>
          <w:szCs w:val="16"/>
        </w:rPr>
        <w:t xml:space="preserve"> la Verdad y Reconciliación, y </w:t>
      </w:r>
      <w:r w:rsidRPr="00D83377">
        <w:rPr>
          <w:sz w:val="16"/>
          <w:szCs w:val="16"/>
        </w:rPr>
        <w:t>4) realizó las siguiente</w:t>
      </w:r>
      <w:r>
        <w:rPr>
          <w:sz w:val="16"/>
          <w:szCs w:val="16"/>
        </w:rPr>
        <w:t xml:space="preserve">s diligencias de verificación: </w:t>
      </w:r>
      <w:r w:rsidRPr="00D83377">
        <w:rPr>
          <w:sz w:val="16"/>
          <w:szCs w:val="16"/>
        </w:rPr>
        <w:t>a) verificaciones administrativas del Registro Nacional de Identificación y Estado Civil (R</w:t>
      </w:r>
      <w:r>
        <w:rPr>
          <w:sz w:val="16"/>
          <w:szCs w:val="16"/>
        </w:rPr>
        <w:t>ENIEC</w:t>
      </w:r>
      <w:r w:rsidRPr="00D83377">
        <w:rPr>
          <w:sz w:val="16"/>
          <w:szCs w:val="16"/>
        </w:rPr>
        <w:t>), Of</w:t>
      </w:r>
      <w:r>
        <w:rPr>
          <w:sz w:val="16"/>
          <w:szCs w:val="16"/>
        </w:rPr>
        <w:t>icina de Procesos Electorales,</w:t>
      </w:r>
      <w:r w:rsidRPr="00D83377">
        <w:rPr>
          <w:sz w:val="16"/>
          <w:szCs w:val="16"/>
        </w:rPr>
        <w:t xml:space="preserve"> Dirección General de Migraciones y Natur</w:t>
      </w:r>
      <w:r>
        <w:rPr>
          <w:sz w:val="16"/>
          <w:szCs w:val="16"/>
        </w:rPr>
        <w:t xml:space="preserve">alización, </w:t>
      </w:r>
      <w:r w:rsidRPr="003912B5">
        <w:rPr>
          <w:sz w:val="16"/>
          <w:szCs w:val="16"/>
        </w:rPr>
        <w:t xml:space="preserve">Instituto Nacional Penitenciario, y División de Requisitorias de la Policía Nacional, con el fin de obtener información sobre cualquier información disponible de dichas instituciones </w:t>
      </w:r>
      <w:r>
        <w:rPr>
          <w:sz w:val="16"/>
          <w:szCs w:val="16"/>
        </w:rPr>
        <w:t xml:space="preserve">relacionadas a Néstor Rojas Medina, y </w:t>
      </w:r>
      <w:r w:rsidRPr="003912B5">
        <w:rPr>
          <w:sz w:val="16"/>
          <w:szCs w:val="16"/>
        </w:rPr>
        <w:t>b) verificaciones directas, a</w:t>
      </w:r>
      <w:r w:rsidRPr="00257982">
        <w:rPr>
          <w:sz w:val="16"/>
          <w:szCs w:val="16"/>
        </w:rPr>
        <w:t xml:space="preserve"> saber, entrevistas a Marcelina Medina Negrón, de 19 de septiembre de 2005, quien ratificó su testimonio ante la CVR, que Néstor “fue conducid[o] a la Comisaría de Tocache donde permaneció 8 días y después fue trasladad[o] a la Base Militar de Tocache”; a Faustina Collantes Quiroz, el 20 de junio de 2006, “quien se enteró de la detención de la víctima en febrero de 1991, a través de </w:t>
      </w:r>
      <w:r>
        <w:rPr>
          <w:sz w:val="16"/>
          <w:szCs w:val="16"/>
        </w:rPr>
        <w:t>[MAP]</w:t>
      </w:r>
      <w:r w:rsidRPr="00257982">
        <w:rPr>
          <w:sz w:val="16"/>
          <w:szCs w:val="16"/>
        </w:rPr>
        <w:t>”, e indicó que “[s]e apersonó a la Base Militar de Tocache donde se entrevistó con un efectivo militar (no identificado), quien le dijo que la víctima estuvo detenida en la base militar, pero posteriormente fue liberada”; a Luzmil</w:t>
      </w:r>
      <w:r>
        <w:rPr>
          <w:sz w:val="16"/>
          <w:szCs w:val="16"/>
        </w:rPr>
        <w:t>l</w:t>
      </w:r>
      <w:r w:rsidRPr="00257982">
        <w:rPr>
          <w:sz w:val="16"/>
          <w:szCs w:val="16"/>
        </w:rPr>
        <w:t xml:space="preserve">a Collantes Quiroz, el 20 de junio de 2006, y quien indicó que Néstor “fue detenido el 26 de enero de 1991, por miembros de la Policía Nacional, enterándose de lo ocurrido un mes después por </w:t>
      </w:r>
      <w:r>
        <w:rPr>
          <w:sz w:val="16"/>
          <w:szCs w:val="16"/>
        </w:rPr>
        <w:t>[MAP]</w:t>
      </w:r>
      <w:r w:rsidRPr="00257982">
        <w:rPr>
          <w:sz w:val="16"/>
          <w:szCs w:val="16"/>
        </w:rPr>
        <w:t>, quien le comentó que unos efectivos militares de la Base Militar de Tocache la buscaban para comunicarle que su sobrino estaba detenido” y que “[c]uando la declarante fue a la base militar</w:t>
      </w:r>
      <w:r>
        <w:rPr>
          <w:sz w:val="16"/>
          <w:szCs w:val="16"/>
        </w:rPr>
        <w:t xml:space="preserve">, </w:t>
      </w:r>
      <w:r w:rsidRPr="00257982">
        <w:rPr>
          <w:sz w:val="16"/>
          <w:szCs w:val="16"/>
        </w:rPr>
        <w:t xml:space="preserve">le dijeron que la víctima solo estuvo detenida cinco días, y desconocían su paradero”. No fueron aportados los documentos de los cuales se desprende cada una de las referidas diligencias, sino solo el informe de verificación que los valora. </w:t>
      </w:r>
    </w:p>
  </w:footnote>
  <w:footnote w:id="188">
    <w:p w:rsidR="00B41935" w:rsidRPr="00257982" w:rsidRDefault="00B41935" w:rsidP="00257982">
      <w:pPr>
        <w:pStyle w:val="FootnoteText"/>
        <w:rPr>
          <w:sz w:val="16"/>
          <w:szCs w:val="16"/>
          <w:lang w:val="es-CR"/>
        </w:rPr>
      </w:pPr>
      <w:r w:rsidRPr="00CC214C">
        <w:rPr>
          <w:rStyle w:val="FootnoteReference"/>
        </w:rPr>
        <w:footnoteRef/>
      </w:r>
      <w:r w:rsidRPr="00257982">
        <w:rPr>
          <w:sz w:val="16"/>
          <w:szCs w:val="16"/>
        </w:rPr>
        <w:t xml:space="preserve"> </w:t>
      </w:r>
      <w:r w:rsidRPr="00257982">
        <w:rPr>
          <w:sz w:val="16"/>
          <w:szCs w:val="16"/>
        </w:rPr>
        <w:tab/>
      </w:r>
      <w:r w:rsidRPr="00CC214C">
        <w:rPr>
          <w:i/>
          <w:sz w:val="16"/>
          <w:szCs w:val="16"/>
        </w:rPr>
        <w:t xml:space="preserve">Cfr. </w:t>
      </w:r>
      <w:r w:rsidRPr="00CC214C">
        <w:rPr>
          <w:sz w:val="16"/>
          <w:szCs w:val="16"/>
        </w:rPr>
        <w:t>Defensoría del Pueblo, Constancia de Ausencia por Desaparición Forzada No. 0192 emitida el 6 de septiembre de</w:t>
      </w:r>
      <w:r>
        <w:rPr>
          <w:sz w:val="16"/>
          <w:szCs w:val="16"/>
        </w:rPr>
        <w:t xml:space="preserve"> 2006 (e</w:t>
      </w:r>
      <w:r w:rsidRPr="00CC214C">
        <w:rPr>
          <w:sz w:val="16"/>
          <w:szCs w:val="16"/>
        </w:rPr>
        <w:t>xpediente de prueba, anexo 53 al ESAP, f. 4403).</w:t>
      </w:r>
      <w:r>
        <w:rPr>
          <w:sz w:val="16"/>
          <w:szCs w:val="16"/>
        </w:rPr>
        <w:t xml:space="preserve"> </w:t>
      </w:r>
    </w:p>
  </w:footnote>
  <w:footnote w:id="189">
    <w:p w:rsidR="00B41935" w:rsidRPr="00257982" w:rsidRDefault="00B41935" w:rsidP="00873835">
      <w:pPr>
        <w:pStyle w:val="FootnoteText"/>
        <w:rPr>
          <w:sz w:val="16"/>
          <w:szCs w:val="16"/>
        </w:rPr>
      </w:pPr>
      <w:r w:rsidRPr="00BA1720">
        <w:rPr>
          <w:rStyle w:val="FootnoteReference"/>
        </w:rPr>
        <w:footnoteRef/>
      </w:r>
      <w:r w:rsidRPr="00BA1720">
        <w:rPr>
          <w:sz w:val="16"/>
          <w:szCs w:val="16"/>
        </w:rPr>
        <w:t xml:space="preserve"> </w:t>
      </w:r>
      <w:r w:rsidRPr="00BA1720">
        <w:rPr>
          <w:sz w:val="16"/>
          <w:szCs w:val="16"/>
        </w:rPr>
        <w:tab/>
      </w:r>
      <w:r>
        <w:rPr>
          <w:i/>
          <w:sz w:val="16"/>
          <w:szCs w:val="16"/>
        </w:rPr>
        <w:t>Cfr.</w:t>
      </w:r>
      <w:r>
        <w:rPr>
          <w:sz w:val="16"/>
          <w:szCs w:val="16"/>
        </w:rPr>
        <w:t xml:space="preserve"> Libreta Militar de Santiago Antezana Cueto </w:t>
      </w:r>
      <w:r w:rsidRPr="00BA1720">
        <w:rPr>
          <w:sz w:val="16"/>
          <w:szCs w:val="16"/>
        </w:rPr>
        <w:t xml:space="preserve">(expediente de prueba, anexo </w:t>
      </w:r>
      <w:r>
        <w:rPr>
          <w:sz w:val="16"/>
          <w:szCs w:val="16"/>
        </w:rPr>
        <w:t>21</w:t>
      </w:r>
      <w:r w:rsidRPr="00BA1720">
        <w:rPr>
          <w:sz w:val="16"/>
          <w:szCs w:val="16"/>
        </w:rPr>
        <w:t xml:space="preserve"> al ESAP, f. 4125)</w:t>
      </w:r>
      <w:r>
        <w:rPr>
          <w:sz w:val="16"/>
          <w:szCs w:val="16"/>
        </w:rPr>
        <w:t>.</w:t>
      </w:r>
      <w:r w:rsidRPr="00BA1720">
        <w:rPr>
          <w:sz w:val="16"/>
          <w:szCs w:val="16"/>
        </w:rPr>
        <w:t xml:space="preserve"> </w:t>
      </w:r>
    </w:p>
  </w:footnote>
  <w:footnote w:id="190">
    <w:p w:rsidR="00B41935" w:rsidRPr="00D10CCA" w:rsidRDefault="00B41935" w:rsidP="00873835">
      <w:pPr>
        <w:pStyle w:val="FootnoteText"/>
        <w:rPr>
          <w:sz w:val="16"/>
          <w:szCs w:val="16"/>
        </w:rPr>
      </w:pPr>
      <w:r w:rsidRPr="004E13B0">
        <w:rPr>
          <w:rStyle w:val="FootnoteReference"/>
        </w:rPr>
        <w:footnoteRef/>
      </w:r>
      <w:r w:rsidRPr="00D10CCA">
        <w:rPr>
          <w:sz w:val="16"/>
          <w:szCs w:val="16"/>
        </w:rPr>
        <w:t xml:space="preserve"> </w:t>
      </w:r>
      <w:r w:rsidRPr="00D10CCA">
        <w:rPr>
          <w:sz w:val="16"/>
          <w:szCs w:val="16"/>
        </w:rPr>
        <w:tab/>
      </w:r>
      <w:r>
        <w:rPr>
          <w:i/>
          <w:sz w:val="16"/>
          <w:szCs w:val="16"/>
        </w:rPr>
        <w:t xml:space="preserve">Cfr. </w:t>
      </w:r>
      <w:r w:rsidRPr="00D10CCA">
        <w:rPr>
          <w:sz w:val="16"/>
          <w:szCs w:val="16"/>
        </w:rPr>
        <w:t>Denuncia presentada por la Comisión de Derechos Humanos, COMISEDH, ante la Fiscalía Provincial Mixta de Acobamba, Huancavelic</w:t>
      </w:r>
      <w:r>
        <w:rPr>
          <w:sz w:val="16"/>
          <w:szCs w:val="16"/>
        </w:rPr>
        <w:t>a, el 25 de noviembre de 2004 (e</w:t>
      </w:r>
      <w:r w:rsidRPr="00D10CCA">
        <w:rPr>
          <w:sz w:val="16"/>
          <w:szCs w:val="16"/>
        </w:rPr>
        <w:t>xpediente de prueba, anexo 42 al Informe de Fondo, f. 300)</w:t>
      </w:r>
      <w:r>
        <w:rPr>
          <w:sz w:val="16"/>
          <w:szCs w:val="16"/>
        </w:rPr>
        <w:t>.</w:t>
      </w:r>
    </w:p>
  </w:footnote>
  <w:footnote w:id="191">
    <w:p w:rsidR="00B41935" w:rsidRPr="00257982" w:rsidRDefault="00B41935" w:rsidP="00873835">
      <w:pPr>
        <w:pStyle w:val="FootnoteText"/>
        <w:rPr>
          <w:sz w:val="16"/>
          <w:szCs w:val="16"/>
        </w:rPr>
      </w:pPr>
      <w:r w:rsidRPr="00CC214C">
        <w:rPr>
          <w:rStyle w:val="FootnoteReference"/>
        </w:rPr>
        <w:footnoteRef/>
      </w:r>
      <w:r w:rsidRPr="00257982">
        <w:rPr>
          <w:sz w:val="16"/>
          <w:szCs w:val="16"/>
        </w:rPr>
        <w:t xml:space="preserve"> </w:t>
      </w:r>
      <w:r w:rsidRPr="00257982">
        <w:rPr>
          <w:sz w:val="16"/>
          <w:szCs w:val="16"/>
        </w:rPr>
        <w:tab/>
      </w:r>
      <w:r w:rsidRPr="00D10CCA">
        <w:rPr>
          <w:i/>
          <w:sz w:val="16"/>
          <w:szCs w:val="16"/>
        </w:rPr>
        <w:t xml:space="preserve">Cfr. </w:t>
      </w:r>
      <w:r w:rsidRPr="00CC214C">
        <w:rPr>
          <w:sz w:val="16"/>
          <w:szCs w:val="16"/>
        </w:rPr>
        <w:t xml:space="preserve">Denuncia interpuesta por Ermilio Antezana Cueto y Rosa Carcausto Paco </w:t>
      </w:r>
      <w:r w:rsidRPr="00B54804">
        <w:rPr>
          <w:sz w:val="16"/>
          <w:szCs w:val="16"/>
        </w:rPr>
        <w:t>el 15 de</w:t>
      </w:r>
      <w:r w:rsidRPr="00CC214C">
        <w:rPr>
          <w:sz w:val="16"/>
          <w:szCs w:val="16"/>
        </w:rPr>
        <w:t xml:space="preserve"> marzo de 1985 ante la Fiscalía de la Nación (expediente de prueba, anexo 36 al Informe de Fondo, f. 280).</w:t>
      </w:r>
    </w:p>
  </w:footnote>
  <w:footnote w:id="192">
    <w:p w:rsidR="00B41935" w:rsidRPr="00DC6A92" w:rsidRDefault="00B41935" w:rsidP="00DC6A92">
      <w:pPr>
        <w:pStyle w:val="FootnoteText"/>
        <w:rPr>
          <w:sz w:val="16"/>
          <w:szCs w:val="16"/>
        </w:rPr>
      </w:pPr>
      <w:r w:rsidRPr="00CC214C">
        <w:rPr>
          <w:rStyle w:val="FootnoteReference"/>
        </w:rPr>
        <w:footnoteRef/>
      </w:r>
      <w:r w:rsidRPr="00257982">
        <w:rPr>
          <w:sz w:val="16"/>
          <w:szCs w:val="16"/>
        </w:rPr>
        <w:t xml:space="preserve"> </w:t>
      </w:r>
      <w:r w:rsidRPr="00257982">
        <w:rPr>
          <w:sz w:val="16"/>
          <w:szCs w:val="16"/>
        </w:rPr>
        <w:tab/>
      </w:r>
      <w:r w:rsidRPr="0049438A">
        <w:rPr>
          <w:i/>
          <w:sz w:val="16"/>
          <w:szCs w:val="16"/>
        </w:rPr>
        <w:t xml:space="preserve">Cfr. </w:t>
      </w:r>
      <w:r w:rsidRPr="00DC6A92">
        <w:rPr>
          <w:sz w:val="16"/>
          <w:szCs w:val="16"/>
        </w:rPr>
        <w:t xml:space="preserve">Ratificación de la denuncia de Rosa Carcausto Paco de 20 de junio de 2001 recibida el 25 de junio de 2001 por la Fiscalía de la Nación (expediente de prueba, anexo 41 al Informe de Fondo, fs. 295 a 297), y Sentencia </w:t>
      </w:r>
      <w:r w:rsidRPr="00DC6A92">
        <w:rPr>
          <w:rFonts w:cs="Arial"/>
          <w:sz w:val="16"/>
          <w:szCs w:val="16"/>
          <w:lang w:val="es-CR"/>
        </w:rPr>
        <w:t>de la Sala Penal Nacional en el expediente N° 149-2009-0 del 12 de diciembre de 2013 (expediente de prueba, anexo 15 a la contestación, fs. 4691 a 4766).</w:t>
      </w:r>
    </w:p>
  </w:footnote>
  <w:footnote w:id="193">
    <w:p w:rsidR="00B41935" w:rsidRPr="00552A48" w:rsidRDefault="00B41935" w:rsidP="00DC6A92">
      <w:pPr>
        <w:pStyle w:val="FootnoteText"/>
        <w:rPr>
          <w:sz w:val="16"/>
          <w:szCs w:val="16"/>
        </w:rPr>
      </w:pPr>
      <w:r w:rsidRPr="00DC6A92">
        <w:rPr>
          <w:rStyle w:val="FootnoteReference"/>
        </w:rPr>
        <w:footnoteRef/>
      </w:r>
      <w:r w:rsidRPr="00DC6A92">
        <w:rPr>
          <w:sz w:val="16"/>
          <w:szCs w:val="16"/>
        </w:rPr>
        <w:t xml:space="preserve"> </w:t>
      </w:r>
      <w:r w:rsidRPr="00DC6A92">
        <w:rPr>
          <w:sz w:val="16"/>
          <w:szCs w:val="16"/>
        </w:rPr>
        <w:tab/>
      </w:r>
      <w:r w:rsidRPr="00DC6A92">
        <w:rPr>
          <w:i/>
          <w:sz w:val="16"/>
          <w:szCs w:val="16"/>
        </w:rPr>
        <w:t>Cfr.</w:t>
      </w:r>
      <w:r w:rsidRPr="00DC6A92">
        <w:rPr>
          <w:sz w:val="16"/>
          <w:szCs w:val="16"/>
        </w:rPr>
        <w:t xml:space="preserve"> Acta de Libertad de Máximo Antezana Espeza, del jefe político militar de Acobamba de 15 de mayo de</w:t>
      </w:r>
      <w:r w:rsidRPr="00552A48">
        <w:rPr>
          <w:sz w:val="16"/>
          <w:szCs w:val="16"/>
        </w:rPr>
        <w:t xml:space="preserve"> 1984 (expediente de prueba, anexo 24 al ESAP, f. 4212).</w:t>
      </w:r>
      <w:r>
        <w:rPr>
          <w:sz w:val="16"/>
          <w:szCs w:val="16"/>
        </w:rPr>
        <w:t xml:space="preserve"> </w:t>
      </w:r>
    </w:p>
  </w:footnote>
  <w:footnote w:id="194">
    <w:p w:rsidR="00B41935" w:rsidRPr="00D10CCA" w:rsidRDefault="00B41935" w:rsidP="00DC6A92">
      <w:pPr>
        <w:pStyle w:val="FootnoteText"/>
        <w:rPr>
          <w:sz w:val="16"/>
          <w:szCs w:val="16"/>
        </w:rPr>
      </w:pPr>
      <w:r w:rsidRPr="00F16E6F">
        <w:rPr>
          <w:rStyle w:val="FootnoteReference"/>
        </w:rPr>
        <w:footnoteRef/>
      </w:r>
      <w:r w:rsidRPr="00D10CCA">
        <w:rPr>
          <w:sz w:val="16"/>
          <w:szCs w:val="16"/>
        </w:rPr>
        <w:t xml:space="preserve"> </w:t>
      </w:r>
      <w:r w:rsidRPr="00D10CCA">
        <w:rPr>
          <w:sz w:val="16"/>
          <w:szCs w:val="16"/>
        </w:rPr>
        <w:tab/>
      </w:r>
      <w:r w:rsidRPr="00D10CCA">
        <w:rPr>
          <w:i/>
          <w:sz w:val="16"/>
          <w:szCs w:val="16"/>
        </w:rPr>
        <w:t>Cfr.</w:t>
      </w:r>
      <w:r w:rsidRPr="00F16E6F">
        <w:rPr>
          <w:sz w:val="16"/>
          <w:szCs w:val="16"/>
        </w:rPr>
        <w:t xml:space="preserve"> Ratificación de la denuncia de Rosa Carcausto Paco</w:t>
      </w:r>
      <w:r>
        <w:rPr>
          <w:sz w:val="16"/>
          <w:szCs w:val="16"/>
        </w:rPr>
        <w:t xml:space="preserve">, </w:t>
      </w:r>
      <w:r w:rsidRPr="007C4D8A">
        <w:rPr>
          <w:i/>
          <w:sz w:val="16"/>
          <w:szCs w:val="16"/>
        </w:rPr>
        <w:t>supra</w:t>
      </w:r>
      <w:r w:rsidRPr="00F16E6F">
        <w:rPr>
          <w:sz w:val="16"/>
          <w:szCs w:val="16"/>
        </w:rPr>
        <w:t>.</w:t>
      </w:r>
    </w:p>
  </w:footnote>
  <w:footnote w:id="195">
    <w:p w:rsidR="00B41935" w:rsidRPr="00782F86" w:rsidRDefault="00B41935" w:rsidP="00DC6A92">
      <w:pPr>
        <w:pStyle w:val="FootnoteText"/>
        <w:rPr>
          <w:sz w:val="16"/>
          <w:szCs w:val="16"/>
          <w:lang w:val="es-AR"/>
        </w:rPr>
      </w:pPr>
      <w:r w:rsidRPr="00CC214C">
        <w:rPr>
          <w:rStyle w:val="FootnoteReference"/>
        </w:rPr>
        <w:footnoteRef/>
      </w:r>
      <w:r w:rsidRPr="00CC214C">
        <w:rPr>
          <w:sz w:val="16"/>
          <w:szCs w:val="16"/>
        </w:rPr>
        <w:t xml:space="preserve"> </w:t>
      </w:r>
      <w:r w:rsidRPr="00CC214C">
        <w:rPr>
          <w:sz w:val="16"/>
          <w:szCs w:val="16"/>
        </w:rPr>
        <w:tab/>
      </w:r>
      <w:r>
        <w:rPr>
          <w:i/>
          <w:sz w:val="16"/>
          <w:szCs w:val="16"/>
        </w:rPr>
        <w:t xml:space="preserve">Cfr. </w:t>
      </w:r>
      <w:r w:rsidRPr="00552A48">
        <w:rPr>
          <w:sz w:val="16"/>
          <w:szCs w:val="16"/>
          <w:lang w:val="es-AR"/>
        </w:rPr>
        <w:t>Comun</w:t>
      </w:r>
      <w:r>
        <w:rPr>
          <w:sz w:val="16"/>
          <w:szCs w:val="16"/>
          <w:lang w:val="es-AR"/>
        </w:rPr>
        <w:t>icación de los peticionarios de</w:t>
      </w:r>
      <w:r w:rsidRPr="00552A48">
        <w:rPr>
          <w:sz w:val="16"/>
          <w:szCs w:val="16"/>
          <w:lang w:val="es-AR"/>
        </w:rPr>
        <w:t xml:space="preserve"> 19 de enero de 2005. Solicitud de garantías presentada por el señor Máximo Ante</w:t>
      </w:r>
      <w:r w:rsidRPr="00F10686">
        <w:rPr>
          <w:sz w:val="16"/>
          <w:szCs w:val="16"/>
          <w:lang w:val="es-AR"/>
        </w:rPr>
        <w:t>zana Espeza al Director de la Oficina de De</w:t>
      </w:r>
      <w:r>
        <w:rPr>
          <w:sz w:val="16"/>
          <w:szCs w:val="16"/>
          <w:lang w:val="es-AR"/>
        </w:rPr>
        <w:t>rechos Humanos del Ministerio Pú</w:t>
      </w:r>
      <w:r w:rsidRPr="00F10686">
        <w:rPr>
          <w:sz w:val="16"/>
          <w:szCs w:val="16"/>
          <w:lang w:val="es-AR"/>
        </w:rPr>
        <w:t>blico el 24 de septiembre de 1986</w:t>
      </w:r>
      <w:r>
        <w:rPr>
          <w:sz w:val="16"/>
          <w:szCs w:val="16"/>
          <w:lang w:val="es-AR"/>
        </w:rPr>
        <w:t xml:space="preserve"> (expediente de prueba, anexo </w:t>
      </w:r>
      <w:r w:rsidRPr="00F10686">
        <w:rPr>
          <w:sz w:val="16"/>
          <w:szCs w:val="16"/>
          <w:lang w:val="es-AR"/>
        </w:rPr>
        <w:t>48 al Informe de Fondo</w:t>
      </w:r>
      <w:r>
        <w:rPr>
          <w:sz w:val="16"/>
          <w:szCs w:val="16"/>
          <w:lang w:val="es-AR"/>
        </w:rPr>
        <w:t xml:space="preserve">, f. 417 a 418); </w:t>
      </w:r>
      <w:r w:rsidRPr="00CC214C">
        <w:rPr>
          <w:sz w:val="16"/>
          <w:szCs w:val="16"/>
        </w:rPr>
        <w:t xml:space="preserve">Ratificación de la denuncia de Rosa Carcausto </w:t>
      </w:r>
      <w:r w:rsidRPr="00552A48">
        <w:rPr>
          <w:sz w:val="16"/>
          <w:szCs w:val="16"/>
        </w:rPr>
        <w:t>Paco</w:t>
      </w:r>
      <w:r>
        <w:rPr>
          <w:sz w:val="16"/>
          <w:szCs w:val="16"/>
        </w:rPr>
        <w:t xml:space="preserve">, </w:t>
      </w:r>
      <w:r w:rsidRPr="00927836">
        <w:rPr>
          <w:i/>
          <w:sz w:val="16"/>
          <w:szCs w:val="16"/>
        </w:rPr>
        <w:t>supra</w:t>
      </w:r>
      <w:r>
        <w:rPr>
          <w:sz w:val="16"/>
          <w:szCs w:val="16"/>
        </w:rPr>
        <w:t>, y</w:t>
      </w:r>
      <w:r w:rsidRPr="00782F86">
        <w:rPr>
          <w:sz w:val="16"/>
          <w:szCs w:val="16"/>
          <w:lang w:val="es-AR"/>
        </w:rPr>
        <w:t xml:space="preserve"> </w:t>
      </w:r>
      <w:r w:rsidRPr="00A0304F">
        <w:rPr>
          <w:sz w:val="16"/>
          <w:szCs w:val="16"/>
          <w:lang w:val="es-AR"/>
        </w:rPr>
        <w:t>Manifestación de Rosa Carcausto Paco rendida ante la Fiscalía Provincial Mixta de Acobamba el 17 de febrero de 2005 (expediente de prueba, anexo 50 al Informe de Fondo, fs. 424 426).</w:t>
      </w:r>
    </w:p>
  </w:footnote>
  <w:footnote w:id="196">
    <w:p w:rsidR="00B41935" w:rsidRPr="00257982" w:rsidRDefault="00B41935" w:rsidP="00873835">
      <w:pPr>
        <w:pStyle w:val="FootnoteText"/>
        <w:rPr>
          <w:sz w:val="16"/>
          <w:szCs w:val="16"/>
          <w:lang w:val="es-CR"/>
        </w:rPr>
      </w:pPr>
      <w:r w:rsidRPr="00CC214C">
        <w:rPr>
          <w:rStyle w:val="FootnoteReference"/>
        </w:rPr>
        <w:footnoteRef/>
      </w:r>
      <w:r w:rsidRPr="00257982">
        <w:rPr>
          <w:sz w:val="16"/>
          <w:szCs w:val="16"/>
        </w:rPr>
        <w:t xml:space="preserve"> </w:t>
      </w:r>
      <w:r w:rsidRPr="00257982">
        <w:rPr>
          <w:sz w:val="16"/>
          <w:szCs w:val="16"/>
        </w:rPr>
        <w:tab/>
      </w:r>
      <w:r w:rsidRPr="00750CD0">
        <w:rPr>
          <w:sz w:val="16"/>
          <w:szCs w:val="16"/>
        </w:rPr>
        <w:t>Comisión de la Verdad y Reconciliación, Informe Final</w:t>
      </w:r>
      <w:r>
        <w:rPr>
          <w:sz w:val="16"/>
          <w:szCs w:val="16"/>
        </w:rPr>
        <w:t>, 2003,</w:t>
      </w:r>
      <w:r w:rsidRPr="00750CD0">
        <w:rPr>
          <w:sz w:val="16"/>
          <w:szCs w:val="16"/>
        </w:rPr>
        <w:t xml:space="preserve"> </w:t>
      </w:r>
      <w:r w:rsidRPr="0049438A">
        <w:rPr>
          <w:i/>
          <w:sz w:val="16"/>
          <w:szCs w:val="16"/>
        </w:rPr>
        <w:t>supra,</w:t>
      </w:r>
      <w:r>
        <w:rPr>
          <w:sz w:val="16"/>
          <w:szCs w:val="16"/>
        </w:rPr>
        <w:t xml:space="preserve"> pág</w:t>
      </w:r>
      <w:r w:rsidRPr="00750CD0">
        <w:rPr>
          <w:sz w:val="16"/>
          <w:szCs w:val="16"/>
        </w:rPr>
        <w:t xml:space="preserve">. </w:t>
      </w:r>
      <w:r>
        <w:rPr>
          <w:sz w:val="16"/>
          <w:szCs w:val="16"/>
        </w:rPr>
        <w:t xml:space="preserve">19. </w:t>
      </w:r>
    </w:p>
  </w:footnote>
  <w:footnote w:id="197">
    <w:p w:rsidR="00B41935" w:rsidRPr="00257982" w:rsidRDefault="00B41935" w:rsidP="00873835">
      <w:pPr>
        <w:pStyle w:val="FootnoteText"/>
        <w:rPr>
          <w:sz w:val="16"/>
          <w:szCs w:val="16"/>
        </w:rPr>
      </w:pPr>
      <w:r w:rsidRPr="00CC214C">
        <w:rPr>
          <w:rStyle w:val="FootnoteReference"/>
        </w:rPr>
        <w:footnoteRef/>
      </w:r>
      <w:r w:rsidRPr="00257982">
        <w:rPr>
          <w:sz w:val="16"/>
          <w:szCs w:val="16"/>
        </w:rPr>
        <w:t xml:space="preserve"> </w:t>
      </w:r>
      <w:r w:rsidRPr="00257982">
        <w:rPr>
          <w:sz w:val="16"/>
          <w:szCs w:val="16"/>
        </w:rPr>
        <w:tab/>
      </w:r>
      <w:r>
        <w:rPr>
          <w:i/>
          <w:sz w:val="16"/>
          <w:szCs w:val="16"/>
        </w:rPr>
        <w:t xml:space="preserve">Cfr. </w:t>
      </w:r>
      <w:r w:rsidRPr="00CC214C">
        <w:rPr>
          <w:sz w:val="16"/>
          <w:szCs w:val="16"/>
        </w:rPr>
        <w:t>Denuncia interpuesta por Ermilio Antezana Cueto y Rosa Carcausto Paco</w:t>
      </w:r>
      <w:r>
        <w:rPr>
          <w:sz w:val="16"/>
          <w:szCs w:val="16"/>
        </w:rPr>
        <w:t xml:space="preserve">, </w:t>
      </w:r>
      <w:r w:rsidRPr="0049438A">
        <w:rPr>
          <w:i/>
          <w:sz w:val="16"/>
          <w:szCs w:val="16"/>
        </w:rPr>
        <w:t>supra</w:t>
      </w:r>
      <w:r>
        <w:rPr>
          <w:sz w:val="16"/>
          <w:szCs w:val="16"/>
        </w:rPr>
        <w:t xml:space="preserve">. </w:t>
      </w:r>
      <w:r w:rsidRPr="00552A48">
        <w:rPr>
          <w:sz w:val="16"/>
          <w:szCs w:val="16"/>
        </w:rPr>
        <w:t>El 4 de marzo de 1991 Rosa Carcausto Paco reiteró la denuncia ante el Fiscal de la Nación</w:t>
      </w:r>
      <w:r>
        <w:rPr>
          <w:sz w:val="16"/>
          <w:szCs w:val="16"/>
        </w:rPr>
        <w:t xml:space="preserve">. </w:t>
      </w:r>
      <w:r>
        <w:rPr>
          <w:i/>
          <w:sz w:val="16"/>
          <w:szCs w:val="16"/>
        </w:rPr>
        <w:t>Cfr.</w:t>
      </w:r>
      <w:r>
        <w:rPr>
          <w:sz w:val="16"/>
          <w:szCs w:val="16"/>
        </w:rPr>
        <w:t xml:space="preserve"> Reiteración de la denuncia presentada el 4 de marzo de 1991 por Rosa Carcausto Paco ante la Fiscalía de la Nación</w:t>
      </w:r>
      <w:r w:rsidRPr="00552A48">
        <w:rPr>
          <w:sz w:val="16"/>
          <w:szCs w:val="16"/>
        </w:rPr>
        <w:t xml:space="preserve"> (expediente de prueba, anexo 33</w:t>
      </w:r>
      <w:r>
        <w:rPr>
          <w:sz w:val="16"/>
          <w:szCs w:val="16"/>
        </w:rPr>
        <w:t xml:space="preserve"> al </w:t>
      </w:r>
      <w:r w:rsidRPr="00552A48">
        <w:rPr>
          <w:rFonts w:cs="Arial"/>
          <w:color w:val="222222"/>
          <w:sz w:val="16"/>
          <w:szCs w:val="16"/>
          <w:shd w:val="clear" w:color="auto" w:fill="FFFFFF"/>
          <w:lang w:val="es-CR"/>
        </w:rPr>
        <w:t>ESAP</w:t>
      </w:r>
      <w:r>
        <w:rPr>
          <w:sz w:val="16"/>
          <w:szCs w:val="16"/>
        </w:rPr>
        <w:t>, f. 4246), y M</w:t>
      </w:r>
      <w:r w:rsidRPr="00552A48">
        <w:rPr>
          <w:sz w:val="16"/>
          <w:szCs w:val="16"/>
        </w:rPr>
        <w:t>anifestación de Rosa</w:t>
      </w:r>
      <w:r>
        <w:rPr>
          <w:sz w:val="16"/>
          <w:szCs w:val="16"/>
        </w:rPr>
        <w:t xml:space="preserve"> Carcausto Paco, </w:t>
      </w:r>
      <w:r>
        <w:rPr>
          <w:i/>
          <w:sz w:val="16"/>
          <w:szCs w:val="16"/>
        </w:rPr>
        <w:t>supra</w:t>
      </w:r>
      <w:r w:rsidRPr="00F10686">
        <w:rPr>
          <w:sz w:val="16"/>
          <w:szCs w:val="16"/>
        </w:rPr>
        <w:t>.</w:t>
      </w:r>
    </w:p>
  </w:footnote>
  <w:footnote w:id="198">
    <w:p w:rsidR="00B41935" w:rsidRPr="00257982" w:rsidRDefault="00B41935" w:rsidP="00873835">
      <w:pPr>
        <w:pStyle w:val="FootnoteText"/>
        <w:rPr>
          <w:sz w:val="16"/>
          <w:szCs w:val="16"/>
        </w:rPr>
      </w:pPr>
      <w:r w:rsidRPr="00CC214C">
        <w:rPr>
          <w:rStyle w:val="FootnoteReference"/>
        </w:rPr>
        <w:footnoteRef/>
      </w:r>
      <w:r w:rsidRPr="00257982">
        <w:rPr>
          <w:sz w:val="16"/>
          <w:szCs w:val="16"/>
        </w:rPr>
        <w:t xml:space="preserve"> </w:t>
      </w:r>
      <w:r w:rsidRPr="00257982">
        <w:rPr>
          <w:sz w:val="16"/>
          <w:szCs w:val="16"/>
        </w:rPr>
        <w:tab/>
      </w:r>
      <w:r w:rsidRPr="00D10CCA">
        <w:rPr>
          <w:i/>
          <w:sz w:val="16"/>
          <w:szCs w:val="16"/>
        </w:rPr>
        <w:t>Cfr.</w:t>
      </w:r>
      <w:r w:rsidRPr="00CC214C">
        <w:rPr>
          <w:sz w:val="16"/>
          <w:szCs w:val="16"/>
        </w:rPr>
        <w:t xml:space="preserve"> Denuncia de</w:t>
      </w:r>
      <w:r>
        <w:rPr>
          <w:sz w:val="16"/>
          <w:szCs w:val="16"/>
        </w:rPr>
        <w:t xml:space="preserve"> Ofelia Antezana Torre,</w:t>
      </w:r>
      <w:r w:rsidRPr="00CC214C">
        <w:rPr>
          <w:sz w:val="16"/>
          <w:szCs w:val="16"/>
        </w:rPr>
        <w:t xml:space="preserve"> </w:t>
      </w:r>
      <w:r w:rsidRPr="00CC214C">
        <w:rPr>
          <w:rFonts w:cs="Arial"/>
          <w:color w:val="222222"/>
          <w:sz w:val="16"/>
          <w:szCs w:val="16"/>
          <w:shd w:val="clear" w:color="auto" w:fill="FFFFFF"/>
          <w:lang w:val="es-CR"/>
        </w:rPr>
        <w:t xml:space="preserve">Julia Antezana Torre, Justina Antezana Espeza, Honorata Cueto Trucios y </w:t>
      </w:r>
      <w:r>
        <w:rPr>
          <w:rFonts w:cs="Arial"/>
          <w:color w:val="222222"/>
          <w:sz w:val="16"/>
          <w:szCs w:val="16"/>
          <w:shd w:val="clear" w:color="auto" w:fill="FFFFFF"/>
          <w:lang w:val="es-CR"/>
        </w:rPr>
        <w:t>Ermilio</w:t>
      </w:r>
      <w:r w:rsidRPr="00CC214C">
        <w:rPr>
          <w:rFonts w:cs="Arial"/>
          <w:color w:val="222222"/>
          <w:sz w:val="16"/>
          <w:szCs w:val="16"/>
          <w:shd w:val="clear" w:color="auto" w:fill="FFFFFF"/>
          <w:lang w:val="es-CR"/>
        </w:rPr>
        <w:t xml:space="preserve"> Antezana Cueto de 13 de septiembre de 1984  ante el Fiscal de la Nación (expediente </w:t>
      </w:r>
      <w:r w:rsidRPr="00552A48">
        <w:rPr>
          <w:rFonts w:cs="Arial"/>
          <w:color w:val="222222"/>
          <w:sz w:val="16"/>
          <w:szCs w:val="16"/>
          <w:shd w:val="clear" w:color="auto" w:fill="FFFFFF"/>
          <w:lang w:val="es-CR"/>
        </w:rPr>
        <w:t>de prueba, anexo 28 al ESAP, fs. 4225 a 4230).</w:t>
      </w:r>
    </w:p>
  </w:footnote>
  <w:footnote w:id="199">
    <w:p w:rsidR="00B41935" w:rsidRPr="00257982" w:rsidRDefault="00B41935" w:rsidP="00873835">
      <w:pPr>
        <w:pStyle w:val="FootnoteText"/>
        <w:rPr>
          <w:sz w:val="16"/>
          <w:szCs w:val="16"/>
        </w:rPr>
      </w:pPr>
      <w:r w:rsidRPr="00CC214C">
        <w:rPr>
          <w:rStyle w:val="FootnoteReference"/>
        </w:rPr>
        <w:footnoteRef/>
      </w:r>
      <w:r w:rsidRPr="00257982">
        <w:rPr>
          <w:sz w:val="16"/>
          <w:szCs w:val="16"/>
        </w:rPr>
        <w:t xml:space="preserve"> </w:t>
      </w:r>
      <w:r w:rsidRPr="00257982">
        <w:rPr>
          <w:sz w:val="16"/>
          <w:szCs w:val="16"/>
        </w:rPr>
        <w:tab/>
      </w:r>
      <w:r w:rsidRPr="00CC214C">
        <w:rPr>
          <w:i/>
          <w:sz w:val="16"/>
          <w:szCs w:val="16"/>
        </w:rPr>
        <w:t>Cfr.</w:t>
      </w:r>
      <w:r w:rsidRPr="00257982">
        <w:rPr>
          <w:sz w:val="16"/>
          <w:szCs w:val="16"/>
        </w:rPr>
        <w:t xml:space="preserve"> </w:t>
      </w:r>
      <w:r>
        <w:rPr>
          <w:sz w:val="16"/>
          <w:szCs w:val="16"/>
        </w:rPr>
        <w:t>Comunicación</w:t>
      </w:r>
      <w:r w:rsidRPr="00CC214C">
        <w:rPr>
          <w:sz w:val="16"/>
          <w:szCs w:val="16"/>
        </w:rPr>
        <w:t xml:space="preserve"> de</w:t>
      </w:r>
      <w:r>
        <w:rPr>
          <w:sz w:val="16"/>
          <w:szCs w:val="16"/>
        </w:rPr>
        <w:t xml:space="preserve"> Félix Castro Montes, Ofelia Antezana Torre, Justina Antezana Espesa</w:t>
      </w:r>
      <w:r w:rsidRPr="00CC214C">
        <w:rPr>
          <w:sz w:val="16"/>
          <w:szCs w:val="16"/>
        </w:rPr>
        <w:t xml:space="preserve"> y </w:t>
      </w:r>
      <w:r>
        <w:rPr>
          <w:sz w:val="16"/>
          <w:szCs w:val="16"/>
        </w:rPr>
        <w:t>Ermilio Antezana Cueto</w:t>
      </w:r>
      <w:r w:rsidRPr="00CC214C">
        <w:rPr>
          <w:sz w:val="16"/>
          <w:szCs w:val="16"/>
        </w:rPr>
        <w:t xml:space="preserve"> presentad</w:t>
      </w:r>
      <w:r>
        <w:rPr>
          <w:sz w:val="16"/>
          <w:szCs w:val="16"/>
        </w:rPr>
        <w:t>a</w:t>
      </w:r>
      <w:r w:rsidRPr="00CC214C">
        <w:rPr>
          <w:sz w:val="16"/>
          <w:szCs w:val="16"/>
        </w:rPr>
        <w:t xml:space="preserve"> el 16 de enero de 1985</w:t>
      </w:r>
      <w:r>
        <w:rPr>
          <w:sz w:val="16"/>
          <w:szCs w:val="16"/>
        </w:rPr>
        <w:t xml:space="preserve"> </w:t>
      </w:r>
      <w:r w:rsidRPr="00CC214C">
        <w:rPr>
          <w:sz w:val="16"/>
          <w:szCs w:val="16"/>
        </w:rPr>
        <w:t>ante el Fiscal de la Nación (expediente de prueba, anex</w:t>
      </w:r>
      <w:r>
        <w:rPr>
          <w:sz w:val="16"/>
          <w:szCs w:val="16"/>
        </w:rPr>
        <w:t>o 29 al ESAP,</w:t>
      </w:r>
      <w:r w:rsidRPr="00CC214C">
        <w:rPr>
          <w:sz w:val="16"/>
          <w:szCs w:val="16"/>
        </w:rPr>
        <w:t xml:space="preserve"> fs. 423</w:t>
      </w:r>
      <w:r>
        <w:rPr>
          <w:sz w:val="16"/>
          <w:szCs w:val="16"/>
        </w:rPr>
        <w:t>2</w:t>
      </w:r>
      <w:r w:rsidRPr="00CC214C">
        <w:rPr>
          <w:sz w:val="16"/>
          <w:szCs w:val="16"/>
        </w:rPr>
        <w:t xml:space="preserve"> a 4233).</w:t>
      </w:r>
    </w:p>
  </w:footnote>
  <w:footnote w:id="200">
    <w:p w:rsidR="00B41935" w:rsidRPr="00552A48" w:rsidRDefault="00B41935" w:rsidP="00873835">
      <w:pPr>
        <w:pStyle w:val="FootnoteText"/>
        <w:rPr>
          <w:sz w:val="16"/>
          <w:szCs w:val="16"/>
        </w:rPr>
      </w:pPr>
      <w:r w:rsidRPr="00CC214C">
        <w:rPr>
          <w:rStyle w:val="FootnoteReference"/>
        </w:rPr>
        <w:footnoteRef/>
      </w:r>
      <w:r w:rsidRPr="00CC214C">
        <w:rPr>
          <w:sz w:val="16"/>
          <w:szCs w:val="16"/>
        </w:rPr>
        <w:t xml:space="preserve"> </w:t>
      </w:r>
      <w:r w:rsidRPr="00CC214C">
        <w:rPr>
          <w:sz w:val="16"/>
          <w:szCs w:val="16"/>
        </w:rPr>
        <w:tab/>
      </w:r>
      <w:r>
        <w:rPr>
          <w:i/>
          <w:sz w:val="16"/>
          <w:szCs w:val="16"/>
        </w:rPr>
        <w:t>Cfr.</w:t>
      </w:r>
      <w:r>
        <w:rPr>
          <w:sz w:val="16"/>
          <w:szCs w:val="16"/>
        </w:rPr>
        <w:t xml:space="preserve"> Comunicación de Ofelia Antezana Torre</w:t>
      </w:r>
      <w:r w:rsidRPr="00CC214C">
        <w:rPr>
          <w:sz w:val="16"/>
          <w:szCs w:val="16"/>
        </w:rPr>
        <w:t xml:space="preserve"> </w:t>
      </w:r>
      <w:r w:rsidRPr="00552A48">
        <w:rPr>
          <w:sz w:val="16"/>
          <w:szCs w:val="16"/>
        </w:rPr>
        <w:t xml:space="preserve">al Fiscal de la Nación </w:t>
      </w:r>
      <w:r w:rsidRPr="00CC214C">
        <w:rPr>
          <w:sz w:val="16"/>
          <w:szCs w:val="16"/>
        </w:rPr>
        <w:t xml:space="preserve">de 31 de mayo de 1985 </w:t>
      </w:r>
      <w:r w:rsidRPr="00552A48">
        <w:rPr>
          <w:sz w:val="16"/>
          <w:szCs w:val="16"/>
        </w:rPr>
        <w:t xml:space="preserve">(expediente de prueba, anexo 38 al Informe de Fondo, fs. 284 y 285). </w:t>
      </w:r>
    </w:p>
  </w:footnote>
  <w:footnote w:id="201">
    <w:p w:rsidR="00B41935" w:rsidRPr="00257982" w:rsidRDefault="00B41935" w:rsidP="00873835">
      <w:pPr>
        <w:pStyle w:val="FootnoteText"/>
        <w:rPr>
          <w:sz w:val="16"/>
          <w:szCs w:val="16"/>
          <w:lang w:val="es-CR"/>
        </w:rPr>
      </w:pPr>
      <w:r w:rsidRPr="00CC214C">
        <w:rPr>
          <w:rStyle w:val="FootnoteReference"/>
        </w:rPr>
        <w:footnoteRef/>
      </w:r>
      <w:r w:rsidRPr="00257982">
        <w:rPr>
          <w:sz w:val="16"/>
          <w:szCs w:val="16"/>
        </w:rPr>
        <w:t xml:space="preserve"> </w:t>
      </w:r>
      <w:r w:rsidRPr="00257982">
        <w:rPr>
          <w:sz w:val="16"/>
          <w:szCs w:val="16"/>
        </w:rPr>
        <w:tab/>
      </w:r>
      <w:r>
        <w:rPr>
          <w:i/>
          <w:sz w:val="16"/>
          <w:szCs w:val="16"/>
        </w:rPr>
        <w:t xml:space="preserve">Cfr. </w:t>
      </w:r>
      <w:r w:rsidRPr="00CC214C">
        <w:rPr>
          <w:sz w:val="16"/>
          <w:szCs w:val="16"/>
          <w:lang w:val="es-CR"/>
        </w:rPr>
        <w:t>Ampliación de denuncia por Rosa Carcausto Paco ante la Fiscalía Especial de Defensoría del Pueblo y Derechos Humanos del Ministerio Público el 27 de mayo de 1992 (expediente de prueba, anexo 39 al Informe de Fondo, f. 287).</w:t>
      </w:r>
    </w:p>
  </w:footnote>
  <w:footnote w:id="202">
    <w:p w:rsidR="00B41935" w:rsidRPr="00CC214C" w:rsidRDefault="00B41935" w:rsidP="00873835">
      <w:pPr>
        <w:pStyle w:val="FootnoteText"/>
        <w:rPr>
          <w:sz w:val="16"/>
          <w:szCs w:val="16"/>
        </w:rPr>
      </w:pPr>
      <w:r w:rsidRPr="00CC214C">
        <w:rPr>
          <w:rStyle w:val="FootnoteReference"/>
        </w:rPr>
        <w:footnoteRef/>
      </w:r>
      <w:r w:rsidRPr="00CC214C">
        <w:rPr>
          <w:sz w:val="16"/>
          <w:szCs w:val="16"/>
        </w:rPr>
        <w:t xml:space="preserve"> </w:t>
      </w:r>
      <w:r w:rsidRPr="00CC214C">
        <w:rPr>
          <w:sz w:val="16"/>
          <w:szCs w:val="16"/>
        </w:rPr>
        <w:tab/>
        <w:t>Oficio de la Fiscalía Provincial</w:t>
      </w:r>
      <w:r>
        <w:rPr>
          <w:sz w:val="16"/>
          <w:szCs w:val="16"/>
        </w:rPr>
        <w:t xml:space="preserve"> Mixta</w:t>
      </w:r>
      <w:r w:rsidRPr="00CC214C">
        <w:rPr>
          <w:sz w:val="16"/>
          <w:szCs w:val="16"/>
        </w:rPr>
        <w:t xml:space="preserve"> de Acobamba </w:t>
      </w:r>
      <w:r>
        <w:rPr>
          <w:sz w:val="16"/>
          <w:szCs w:val="16"/>
        </w:rPr>
        <w:t>dirigido al Fiscal Provincial de la Fiscalía Especial de Prevención del Delito, Defensora del Pueblo y Derechos Humanos</w:t>
      </w:r>
      <w:r w:rsidRPr="00CC214C">
        <w:rPr>
          <w:sz w:val="16"/>
          <w:szCs w:val="16"/>
        </w:rPr>
        <w:t xml:space="preserve"> </w:t>
      </w:r>
      <w:r>
        <w:rPr>
          <w:sz w:val="16"/>
          <w:szCs w:val="16"/>
        </w:rPr>
        <w:t xml:space="preserve">de Huancavelica </w:t>
      </w:r>
      <w:r w:rsidRPr="00CC214C">
        <w:rPr>
          <w:sz w:val="16"/>
          <w:szCs w:val="16"/>
        </w:rPr>
        <w:t>de 14 de agosto de 1992</w:t>
      </w:r>
      <w:r>
        <w:rPr>
          <w:sz w:val="16"/>
          <w:szCs w:val="16"/>
        </w:rPr>
        <w:t xml:space="preserve"> </w:t>
      </w:r>
      <w:r w:rsidRPr="00CC214C">
        <w:rPr>
          <w:sz w:val="16"/>
          <w:szCs w:val="16"/>
        </w:rPr>
        <w:t>(expediente de prueba, anexo 40 al Informe de Fondo, fs. 289 y 290).</w:t>
      </w:r>
    </w:p>
  </w:footnote>
  <w:footnote w:id="203">
    <w:p w:rsidR="00B41935" w:rsidRPr="00257982" w:rsidRDefault="00B41935" w:rsidP="00873835">
      <w:pPr>
        <w:pStyle w:val="FootnoteText"/>
        <w:rPr>
          <w:sz w:val="16"/>
          <w:szCs w:val="16"/>
          <w:lang w:val="es-CR"/>
        </w:rPr>
      </w:pPr>
      <w:r w:rsidRPr="00CC214C">
        <w:rPr>
          <w:rStyle w:val="FootnoteReference"/>
        </w:rPr>
        <w:footnoteRef/>
      </w:r>
      <w:r w:rsidRPr="00CC214C">
        <w:rPr>
          <w:sz w:val="16"/>
          <w:szCs w:val="16"/>
        </w:rPr>
        <w:t xml:space="preserve"> </w:t>
      </w:r>
      <w:r w:rsidRPr="00CC214C">
        <w:rPr>
          <w:sz w:val="16"/>
          <w:szCs w:val="16"/>
        </w:rPr>
        <w:tab/>
      </w:r>
      <w:r>
        <w:rPr>
          <w:i/>
          <w:sz w:val="16"/>
          <w:szCs w:val="16"/>
        </w:rPr>
        <w:t xml:space="preserve">Cfr. </w:t>
      </w:r>
      <w:r w:rsidRPr="00552A48">
        <w:rPr>
          <w:sz w:val="16"/>
          <w:szCs w:val="16"/>
          <w:lang w:val="es-CR"/>
        </w:rPr>
        <w:t xml:space="preserve">Oficio de la Fiscalía Especial de Prevención del Delito, Defensora del Pueblo y Derechos Humanos </w:t>
      </w:r>
      <w:r>
        <w:rPr>
          <w:sz w:val="16"/>
          <w:szCs w:val="16"/>
          <w:lang w:val="es-CR"/>
        </w:rPr>
        <w:t xml:space="preserve">dirigido al Fiscal Provincial de Acobamba </w:t>
      </w:r>
      <w:r w:rsidRPr="00552A48">
        <w:rPr>
          <w:sz w:val="16"/>
          <w:szCs w:val="16"/>
          <w:lang w:val="es-CR"/>
        </w:rPr>
        <w:t>de 17 de agosto 1992 (expediente de prueba, anexo 40 al Informe de Fondo, fs. 291 a 293).</w:t>
      </w:r>
    </w:p>
  </w:footnote>
  <w:footnote w:id="204">
    <w:p w:rsidR="00B41935" w:rsidRPr="00257982" w:rsidRDefault="00B41935" w:rsidP="00873835">
      <w:pPr>
        <w:pStyle w:val="FootnoteText"/>
        <w:rPr>
          <w:sz w:val="16"/>
          <w:szCs w:val="16"/>
          <w:lang w:val="es-CR"/>
        </w:rPr>
      </w:pPr>
      <w:r w:rsidRPr="00CC214C">
        <w:rPr>
          <w:rStyle w:val="FootnoteReference"/>
        </w:rPr>
        <w:footnoteRef/>
      </w:r>
      <w:r w:rsidRPr="00257982">
        <w:rPr>
          <w:sz w:val="16"/>
          <w:szCs w:val="16"/>
        </w:rPr>
        <w:t xml:space="preserve"> </w:t>
      </w:r>
      <w:r w:rsidRPr="00257982">
        <w:rPr>
          <w:sz w:val="16"/>
          <w:szCs w:val="16"/>
        </w:rPr>
        <w:tab/>
      </w:r>
      <w:r>
        <w:rPr>
          <w:i/>
          <w:sz w:val="16"/>
          <w:szCs w:val="16"/>
        </w:rPr>
        <w:t xml:space="preserve">Cfr. </w:t>
      </w:r>
      <w:r w:rsidRPr="00CC214C">
        <w:rPr>
          <w:sz w:val="16"/>
          <w:szCs w:val="16"/>
        </w:rPr>
        <w:t xml:space="preserve">Ratificación de la </w:t>
      </w:r>
      <w:r>
        <w:rPr>
          <w:sz w:val="16"/>
          <w:szCs w:val="16"/>
        </w:rPr>
        <w:t xml:space="preserve">denuncia de Rosa Carcausto Paco, </w:t>
      </w:r>
      <w:r w:rsidRPr="007C4D8A">
        <w:rPr>
          <w:i/>
          <w:sz w:val="16"/>
          <w:szCs w:val="16"/>
        </w:rPr>
        <w:t>supra</w:t>
      </w:r>
      <w:r>
        <w:rPr>
          <w:sz w:val="16"/>
          <w:szCs w:val="16"/>
        </w:rPr>
        <w:t>.</w:t>
      </w:r>
    </w:p>
  </w:footnote>
  <w:footnote w:id="205">
    <w:p w:rsidR="00B41935" w:rsidRPr="00257982" w:rsidRDefault="00B41935" w:rsidP="00873835">
      <w:pPr>
        <w:pStyle w:val="FootnoteText"/>
        <w:rPr>
          <w:sz w:val="16"/>
          <w:szCs w:val="16"/>
          <w:lang w:val="es-CR"/>
        </w:rPr>
      </w:pPr>
      <w:r w:rsidRPr="00CC214C">
        <w:rPr>
          <w:rStyle w:val="FootnoteReference"/>
        </w:rPr>
        <w:footnoteRef/>
      </w:r>
      <w:r w:rsidRPr="00257982">
        <w:rPr>
          <w:sz w:val="16"/>
          <w:szCs w:val="16"/>
        </w:rPr>
        <w:t xml:space="preserve"> </w:t>
      </w:r>
      <w:r w:rsidRPr="00257982">
        <w:rPr>
          <w:sz w:val="16"/>
          <w:szCs w:val="16"/>
        </w:rPr>
        <w:tab/>
      </w:r>
      <w:r>
        <w:rPr>
          <w:i/>
          <w:sz w:val="16"/>
          <w:szCs w:val="16"/>
        </w:rPr>
        <w:t xml:space="preserve">Cfr. </w:t>
      </w:r>
      <w:r w:rsidRPr="00CC214C">
        <w:rPr>
          <w:sz w:val="16"/>
          <w:szCs w:val="16"/>
          <w:lang w:val="es-CR"/>
        </w:rPr>
        <w:t>Denuncia presentada por Rosa Carcausto Paco ante la Fiscalía Provincial Mixta de Acobamba el 25 de noviembre de 2004 (expediente de prueba, anexo 42 al Informe de Fondo, fs. 299 a 314).</w:t>
      </w:r>
    </w:p>
  </w:footnote>
  <w:footnote w:id="206">
    <w:p w:rsidR="00B41935" w:rsidRPr="00552A48" w:rsidRDefault="00B41935" w:rsidP="00873835">
      <w:pPr>
        <w:pStyle w:val="FootnoteText"/>
        <w:rPr>
          <w:sz w:val="16"/>
          <w:szCs w:val="16"/>
        </w:rPr>
      </w:pPr>
      <w:r w:rsidRPr="00CC214C">
        <w:rPr>
          <w:rStyle w:val="FootnoteReference"/>
        </w:rPr>
        <w:footnoteRef/>
      </w:r>
      <w:r w:rsidRPr="00CC214C">
        <w:rPr>
          <w:sz w:val="16"/>
          <w:szCs w:val="16"/>
        </w:rPr>
        <w:t xml:space="preserve"> </w:t>
      </w:r>
      <w:r w:rsidRPr="00CC214C">
        <w:rPr>
          <w:sz w:val="16"/>
          <w:szCs w:val="16"/>
        </w:rPr>
        <w:tab/>
      </w:r>
      <w:r w:rsidRPr="000F150A">
        <w:rPr>
          <w:i/>
          <w:sz w:val="16"/>
          <w:szCs w:val="16"/>
        </w:rPr>
        <w:t>Cfr.</w:t>
      </w:r>
      <w:r w:rsidRPr="000F150A">
        <w:rPr>
          <w:sz w:val="16"/>
          <w:szCs w:val="16"/>
        </w:rPr>
        <w:t xml:space="preserve">Resolución Fiscal No. 65-2005 de la Fiscalía Provincial Mixta de Acobamba de 3 de febrero de 2005 (expediente de prueba, anexo 37 al ESAP, fs. 4271 </w:t>
      </w:r>
      <w:r>
        <w:rPr>
          <w:sz w:val="16"/>
          <w:szCs w:val="16"/>
        </w:rPr>
        <w:t xml:space="preserve">y </w:t>
      </w:r>
      <w:r w:rsidR="00C80D54">
        <w:rPr>
          <w:sz w:val="16"/>
          <w:szCs w:val="16"/>
        </w:rPr>
        <w:t xml:space="preserve">4272), y </w:t>
      </w:r>
      <w:r w:rsidRPr="00CC214C">
        <w:rPr>
          <w:sz w:val="16"/>
          <w:szCs w:val="16"/>
        </w:rPr>
        <w:t>Denuncia</w:t>
      </w:r>
      <w:r>
        <w:rPr>
          <w:sz w:val="16"/>
          <w:szCs w:val="16"/>
        </w:rPr>
        <w:t xml:space="preserve"> penal</w:t>
      </w:r>
      <w:r w:rsidRPr="00CC214C">
        <w:rPr>
          <w:sz w:val="16"/>
          <w:szCs w:val="16"/>
        </w:rPr>
        <w:t xml:space="preserve"> presentada por el Fiscal Provincial Penal Supraprovincial de Huancavelica ante</w:t>
      </w:r>
      <w:r w:rsidRPr="00552A48">
        <w:rPr>
          <w:sz w:val="16"/>
          <w:szCs w:val="16"/>
        </w:rPr>
        <w:t xml:space="preserve"> el Juzgado Penal de Turno de Huancavelica </w:t>
      </w:r>
      <w:r w:rsidRPr="00CC214C">
        <w:rPr>
          <w:sz w:val="16"/>
          <w:szCs w:val="16"/>
        </w:rPr>
        <w:t xml:space="preserve">el 31 de julio de 2009 </w:t>
      </w:r>
      <w:r w:rsidRPr="00552A48">
        <w:rPr>
          <w:sz w:val="16"/>
          <w:szCs w:val="16"/>
        </w:rPr>
        <w:t>(expediente de prueba, anexo 38 al ESAP, fs. 4274 a 4291).</w:t>
      </w:r>
    </w:p>
  </w:footnote>
  <w:footnote w:id="207">
    <w:p w:rsidR="00B41935" w:rsidRPr="00257982" w:rsidRDefault="00B41935" w:rsidP="00873835">
      <w:pPr>
        <w:pStyle w:val="FootnoteText"/>
        <w:rPr>
          <w:sz w:val="16"/>
          <w:szCs w:val="16"/>
          <w:lang w:val="es-CR"/>
        </w:rPr>
      </w:pPr>
      <w:r w:rsidRPr="00CC214C">
        <w:rPr>
          <w:rStyle w:val="FootnoteReference"/>
        </w:rPr>
        <w:footnoteRef/>
      </w:r>
      <w:r w:rsidRPr="00257982">
        <w:rPr>
          <w:sz w:val="16"/>
          <w:szCs w:val="16"/>
        </w:rPr>
        <w:t xml:space="preserve"> </w:t>
      </w:r>
      <w:r w:rsidRPr="00257982">
        <w:rPr>
          <w:sz w:val="16"/>
          <w:szCs w:val="16"/>
        </w:rPr>
        <w:tab/>
      </w:r>
      <w:r>
        <w:rPr>
          <w:i/>
          <w:sz w:val="16"/>
          <w:szCs w:val="16"/>
        </w:rPr>
        <w:t xml:space="preserve">Cfr. </w:t>
      </w:r>
      <w:r w:rsidRPr="00CC214C">
        <w:rPr>
          <w:sz w:val="16"/>
          <w:szCs w:val="16"/>
        </w:rPr>
        <w:t xml:space="preserve">Auto de procesamiento del Tercer Juzgado Penal Supraprovincial de Lima de 28 de abril de 2010 (expediente de prueba, anexo 44 al Informe de Fondo, fs. </w:t>
      </w:r>
      <w:r w:rsidRPr="00552A48">
        <w:rPr>
          <w:sz w:val="16"/>
          <w:szCs w:val="16"/>
        </w:rPr>
        <w:t>334 a 369).</w:t>
      </w:r>
    </w:p>
  </w:footnote>
  <w:footnote w:id="208">
    <w:p w:rsidR="00B41935" w:rsidRPr="00257982" w:rsidRDefault="00B41935" w:rsidP="00873835">
      <w:pPr>
        <w:pStyle w:val="FootnoteText"/>
        <w:rPr>
          <w:sz w:val="16"/>
          <w:szCs w:val="16"/>
        </w:rPr>
      </w:pPr>
      <w:r w:rsidRPr="00CC214C">
        <w:rPr>
          <w:rStyle w:val="FootnoteReference"/>
        </w:rPr>
        <w:footnoteRef/>
      </w:r>
      <w:r w:rsidRPr="00257982">
        <w:rPr>
          <w:sz w:val="16"/>
          <w:szCs w:val="16"/>
        </w:rPr>
        <w:t xml:space="preserve"> </w:t>
      </w:r>
      <w:r w:rsidRPr="00257982">
        <w:rPr>
          <w:sz w:val="16"/>
          <w:szCs w:val="16"/>
        </w:rPr>
        <w:tab/>
      </w:r>
      <w:r>
        <w:rPr>
          <w:i/>
          <w:sz w:val="16"/>
          <w:szCs w:val="16"/>
        </w:rPr>
        <w:t xml:space="preserve">Cfr. </w:t>
      </w:r>
      <w:r>
        <w:rPr>
          <w:sz w:val="16"/>
          <w:szCs w:val="16"/>
        </w:rPr>
        <w:t>Medida coercitiva personal</w:t>
      </w:r>
      <w:r w:rsidRPr="00CC214C">
        <w:rPr>
          <w:sz w:val="16"/>
          <w:szCs w:val="16"/>
        </w:rPr>
        <w:t xml:space="preserve"> de la Sala Penal Nacional del Tercer Juzgado Supraprovincial de Lima de 8 de abril de 2011 (expediente de prueba, anexo 45 al Informe de Fondo, fs. 371 a 382).</w:t>
      </w:r>
      <w:r w:rsidRPr="00257982">
        <w:rPr>
          <w:sz w:val="16"/>
          <w:szCs w:val="16"/>
        </w:rPr>
        <w:t xml:space="preserve"> </w:t>
      </w:r>
    </w:p>
  </w:footnote>
  <w:footnote w:id="209">
    <w:p w:rsidR="00B41935" w:rsidRPr="00CC214C" w:rsidRDefault="00B41935" w:rsidP="00873835">
      <w:pPr>
        <w:pStyle w:val="FootnoteText"/>
        <w:rPr>
          <w:sz w:val="16"/>
          <w:szCs w:val="16"/>
        </w:rPr>
      </w:pPr>
      <w:r w:rsidRPr="00CC214C">
        <w:rPr>
          <w:rStyle w:val="FootnoteReference"/>
        </w:rPr>
        <w:footnoteRef/>
      </w:r>
      <w:r w:rsidRPr="00CC214C">
        <w:rPr>
          <w:sz w:val="16"/>
          <w:szCs w:val="16"/>
        </w:rPr>
        <w:t xml:space="preserve"> </w:t>
      </w:r>
      <w:r w:rsidRPr="00CC214C">
        <w:rPr>
          <w:sz w:val="16"/>
          <w:szCs w:val="16"/>
        </w:rPr>
        <w:tab/>
      </w:r>
      <w:r>
        <w:rPr>
          <w:i/>
          <w:sz w:val="16"/>
          <w:szCs w:val="16"/>
        </w:rPr>
        <w:t xml:space="preserve">Cfr. </w:t>
      </w:r>
      <w:r w:rsidRPr="00CC214C">
        <w:rPr>
          <w:sz w:val="16"/>
          <w:szCs w:val="16"/>
        </w:rPr>
        <w:t>Dictamen</w:t>
      </w:r>
      <w:r>
        <w:rPr>
          <w:sz w:val="16"/>
          <w:szCs w:val="16"/>
        </w:rPr>
        <w:t xml:space="preserve"> </w:t>
      </w:r>
      <w:r w:rsidRPr="00176A9A">
        <w:rPr>
          <w:sz w:val="16"/>
          <w:szCs w:val="16"/>
        </w:rPr>
        <w:t>N</w:t>
      </w:r>
      <w:r>
        <w:rPr>
          <w:sz w:val="16"/>
          <w:szCs w:val="16"/>
        </w:rPr>
        <w:t>°</w:t>
      </w:r>
      <w:r w:rsidRPr="00CC214C">
        <w:rPr>
          <w:sz w:val="16"/>
          <w:szCs w:val="16"/>
        </w:rPr>
        <w:t xml:space="preserve"> 116 – 2012 3FSPN</w:t>
      </w:r>
      <w:r>
        <w:rPr>
          <w:sz w:val="16"/>
          <w:szCs w:val="16"/>
        </w:rPr>
        <w:t xml:space="preserve"> de la Tercera Fiscalía Superior Penal Nacional</w:t>
      </w:r>
      <w:r w:rsidRPr="00CC214C">
        <w:rPr>
          <w:sz w:val="16"/>
          <w:szCs w:val="16"/>
        </w:rPr>
        <w:t xml:space="preserve"> de 26 de diciembre de 2012 (expediente de prueba, anexo 22 al ESAP, fs.</w:t>
      </w:r>
      <w:r>
        <w:rPr>
          <w:sz w:val="16"/>
          <w:szCs w:val="16"/>
        </w:rPr>
        <w:t xml:space="preserve"> </w:t>
      </w:r>
      <w:r w:rsidRPr="00CC214C">
        <w:rPr>
          <w:sz w:val="16"/>
          <w:szCs w:val="16"/>
        </w:rPr>
        <w:t>4128 a 4133).</w:t>
      </w:r>
    </w:p>
  </w:footnote>
  <w:footnote w:id="210">
    <w:p w:rsidR="00B41935" w:rsidRPr="00257982" w:rsidRDefault="00B41935" w:rsidP="00873835">
      <w:pPr>
        <w:pStyle w:val="FootnoteText"/>
        <w:rPr>
          <w:sz w:val="16"/>
          <w:szCs w:val="16"/>
        </w:rPr>
      </w:pPr>
      <w:r w:rsidRPr="00CC214C">
        <w:rPr>
          <w:rStyle w:val="FootnoteReference"/>
        </w:rPr>
        <w:footnoteRef/>
      </w:r>
      <w:r w:rsidRPr="00257982">
        <w:rPr>
          <w:sz w:val="16"/>
          <w:szCs w:val="16"/>
        </w:rPr>
        <w:t xml:space="preserve"> </w:t>
      </w:r>
      <w:r w:rsidRPr="00257982">
        <w:rPr>
          <w:sz w:val="16"/>
          <w:szCs w:val="16"/>
        </w:rPr>
        <w:tab/>
      </w:r>
      <w:r>
        <w:rPr>
          <w:i/>
          <w:sz w:val="16"/>
          <w:szCs w:val="16"/>
        </w:rPr>
        <w:t xml:space="preserve">Cfr. </w:t>
      </w:r>
      <w:r w:rsidRPr="00CC214C">
        <w:rPr>
          <w:sz w:val="16"/>
          <w:szCs w:val="16"/>
        </w:rPr>
        <w:t xml:space="preserve">Sentencia </w:t>
      </w:r>
      <w:r w:rsidRPr="00CC214C">
        <w:rPr>
          <w:rFonts w:cs="Arial"/>
          <w:sz w:val="16"/>
          <w:szCs w:val="16"/>
          <w:lang w:val="es-CR"/>
        </w:rPr>
        <w:t>de la Sala Penal Nacional en el exped</w:t>
      </w:r>
      <w:r w:rsidRPr="00552A48">
        <w:rPr>
          <w:rFonts w:cs="Arial"/>
          <w:sz w:val="16"/>
          <w:szCs w:val="16"/>
          <w:lang w:val="es-CR"/>
        </w:rPr>
        <w:t>iente N° 149-2009-0 de 12 de diciembre de 2013</w:t>
      </w:r>
      <w:r>
        <w:rPr>
          <w:rFonts w:cs="Arial"/>
          <w:sz w:val="16"/>
          <w:szCs w:val="16"/>
          <w:lang w:val="es-CR"/>
        </w:rPr>
        <w:t xml:space="preserve">, </w:t>
      </w:r>
      <w:r w:rsidRPr="00871ABC">
        <w:rPr>
          <w:rFonts w:cs="Arial"/>
          <w:i/>
          <w:sz w:val="16"/>
          <w:szCs w:val="16"/>
          <w:lang w:val="es-CR"/>
        </w:rPr>
        <w:t>supra.</w:t>
      </w:r>
    </w:p>
  </w:footnote>
  <w:footnote w:id="211">
    <w:p w:rsidR="00B41935" w:rsidRPr="00257982" w:rsidRDefault="00B41935" w:rsidP="00873835">
      <w:pPr>
        <w:pStyle w:val="FootnoteText"/>
        <w:rPr>
          <w:sz w:val="16"/>
          <w:szCs w:val="16"/>
        </w:rPr>
      </w:pPr>
      <w:r w:rsidRPr="00CC214C">
        <w:rPr>
          <w:rStyle w:val="FootnoteReference"/>
        </w:rPr>
        <w:footnoteRef/>
      </w:r>
      <w:r w:rsidRPr="00257982">
        <w:rPr>
          <w:sz w:val="16"/>
          <w:szCs w:val="16"/>
        </w:rPr>
        <w:t xml:space="preserve"> </w:t>
      </w:r>
      <w:r w:rsidRPr="00257982">
        <w:rPr>
          <w:sz w:val="16"/>
          <w:szCs w:val="16"/>
        </w:rPr>
        <w:tab/>
      </w:r>
      <w:r>
        <w:rPr>
          <w:i/>
          <w:sz w:val="16"/>
          <w:szCs w:val="16"/>
        </w:rPr>
        <w:t xml:space="preserve">Cfr. </w:t>
      </w:r>
      <w:r w:rsidRPr="00CC214C">
        <w:rPr>
          <w:sz w:val="16"/>
          <w:szCs w:val="16"/>
        </w:rPr>
        <w:t>Orden de captura de José Antonio Esquivel Mora emitida por la Sala Penal Nacional el 13 de diciembre de 2013 (expediente de prueba, anexo 42 al ESAP, f. 4367).</w:t>
      </w:r>
    </w:p>
  </w:footnote>
  <w:footnote w:id="212">
    <w:p w:rsidR="00B41935" w:rsidRPr="00DB2FF6" w:rsidRDefault="00B41935" w:rsidP="00873835">
      <w:pPr>
        <w:pStyle w:val="FootnoteText"/>
        <w:rPr>
          <w:sz w:val="16"/>
          <w:szCs w:val="16"/>
          <w:lang w:val="es-CR"/>
        </w:rPr>
      </w:pPr>
      <w:r w:rsidRPr="00A74F91">
        <w:rPr>
          <w:rStyle w:val="FootnoteReference"/>
        </w:rPr>
        <w:footnoteRef/>
      </w:r>
      <w:r w:rsidRPr="00D10CCA">
        <w:rPr>
          <w:sz w:val="16"/>
          <w:szCs w:val="16"/>
        </w:rPr>
        <w:t xml:space="preserve"> </w:t>
      </w:r>
      <w:r w:rsidRPr="00DB2FF6">
        <w:rPr>
          <w:sz w:val="16"/>
          <w:szCs w:val="16"/>
          <w:lang w:val="es-CR"/>
        </w:rPr>
        <w:tab/>
      </w:r>
      <w:r w:rsidRPr="00DB2FF6">
        <w:rPr>
          <w:i/>
          <w:sz w:val="16"/>
          <w:szCs w:val="16"/>
          <w:lang w:val="es-CR"/>
        </w:rPr>
        <w:t>Cfr.</w:t>
      </w:r>
      <w:r w:rsidRPr="00DB2FF6">
        <w:rPr>
          <w:sz w:val="16"/>
          <w:szCs w:val="16"/>
          <w:lang w:val="es-CR"/>
        </w:rPr>
        <w:t xml:space="preserve"> Sentencia dictada por la Sala Penal Transitoria de la Corte Suprema de Justicia de la República el 26 de marzo de 2015 (expediente de prueba, anexo 16 a la contestación, fs. 4768 a 4785). </w:t>
      </w:r>
    </w:p>
  </w:footnote>
  <w:footnote w:id="213">
    <w:p w:rsidR="00B41935" w:rsidRPr="00257982" w:rsidRDefault="00B41935" w:rsidP="00873835">
      <w:pPr>
        <w:pStyle w:val="FootnoteText"/>
        <w:rPr>
          <w:sz w:val="16"/>
          <w:szCs w:val="16"/>
        </w:rPr>
      </w:pPr>
      <w:r w:rsidRPr="00CC214C">
        <w:rPr>
          <w:rStyle w:val="FootnoteReference"/>
        </w:rPr>
        <w:footnoteRef/>
      </w:r>
      <w:r w:rsidRPr="00257982">
        <w:rPr>
          <w:sz w:val="16"/>
          <w:szCs w:val="16"/>
        </w:rPr>
        <w:t xml:space="preserve"> </w:t>
      </w:r>
      <w:r w:rsidRPr="00257982">
        <w:rPr>
          <w:sz w:val="16"/>
          <w:szCs w:val="16"/>
        </w:rPr>
        <w:tab/>
      </w:r>
      <w:r>
        <w:rPr>
          <w:i/>
          <w:sz w:val="16"/>
          <w:szCs w:val="16"/>
        </w:rPr>
        <w:t xml:space="preserve">Cfr. </w:t>
      </w:r>
      <w:r>
        <w:rPr>
          <w:rFonts w:cs="Arial"/>
          <w:sz w:val="16"/>
          <w:szCs w:val="16"/>
          <w:lang w:val="es-CR"/>
        </w:rPr>
        <w:t>Auto</w:t>
      </w:r>
      <w:r w:rsidRPr="00CC214C">
        <w:rPr>
          <w:rFonts w:cs="Arial"/>
          <w:sz w:val="16"/>
          <w:szCs w:val="16"/>
          <w:lang w:val="es-CR"/>
        </w:rPr>
        <w:t xml:space="preserve"> de la Sala Penal Nacional en el expediente N°149-2009-0 de 6 de agosto de 2015 (expediente de prueba, anexo 17 a la contesta</w:t>
      </w:r>
      <w:r w:rsidRPr="00552A48">
        <w:rPr>
          <w:rFonts w:cs="Arial"/>
          <w:sz w:val="16"/>
          <w:szCs w:val="16"/>
          <w:lang w:val="es-CR"/>
        </w:rPr>
        <w:t>ción, f. 478</w:t>
      </w:r>
      <w:r>
        <w:rPr>
          <w:rFonts w:cs="Arial"/>
          <w:sz w:val="16"/>
          <w:szCs w:val="16"/>
          <w:lang w:val="es-CR"/>
        </w:rPr>
        <w:t>7</w:t>
      </w:r>
      <w:r w:rsidRPr="00552A48">
        <w:rPr>
          <w:rFonts w:cs="Arial"/>
          <w:sz w:val="16"/>
          <w:szCs w:val="16"/>
          <w:lang w:val="es-CR"/>
        </w:rPr>
        <w:t>).</w:t>
      </w:r>
    </w:p>
  </w:footnote>
  <w:footnote w:id="214">
    <w:p w:rsidR="00B41935" w:rsidRPr="00257982" w:rsidRDefault="00B41935" w:rsidP="00873835">
      <w:pPr>
        <w:pStyle w:val="FootnoteText"/>
        <w:rPr>
          <w:sz w:val="16"/>
          <w:szCs w:val="16"/>
        </w:rPr>
      </w:pPr>
      <w:r w:rsidRPr="00CC214C">
        <w:rPr>
          <w:rStyle w:val="FootnoteReference"/>
        </w:rPr>
        <w:footnoteRef/>
      </w:r>
      <w:r w:rsidRPr="00257982">
        <w:rPr>
          <w:sz w:val="16"/>
          <w:szCs w:val="16"/>
        </w:rPr>
        <w:t xml:space="preserve"> </w:t>
      </w:r>
      <w:r>
        <w:rPr>
          <w:sz w:val="16"/>
          <w:szCs w:val="16"/>
        </w:rPr>
        <w:tab/>
      </w:r>
      <w:r w:rsidRPr="00CC214C">
        <w:rPr>
          <w:sz w:val="16"/>
          <w:szCs w:val="16"/>
        </w:rPr>
        <w:t>Cabe mencionar que en dicha resolución</w:t>
      </w:r>
      <w:r>
        <w:rPr>
          <w:sz w:val="16"/>
          <w:szCs w:val="16"/>
        </w:rPr>
        <w:t xml:space="preserve"> se</w:t>
      </w:r>
      <w:r w:rsidRPr="00CC214C">
        <w:rPr>
          <w:sz w:val="16"/>
          <w:szCs w:val="16"/>
        </w:rPr>
        <w:t xml:space="preserve"> aclaró el cómputo de la condena establecido en la sentencia de 12 de diciembre de 2013, y que</w:t>
      </w:r>
      <w:r w:rsidRPr="00552A48">
        <w:rPr>
          <w:sz w:val="16"/>
          <w:szCs w:val="16"/>
        </w:rPr>
        <w:t xml:space="preserve"> la pena establecida en dicha sentencia sea computada a partir de la fecha en que se efectúe la captura de </w:t>
      </w:r>
      <w:r>
        <w:rPr>
          <w:sz w:val="16"/>
          <w:szCs w:val="16"/>
        </w:rPr>
        <w:t>José Antonio Esquivel Mora</w:t>
      </w:r>
      <w:r w:rsidRPr="00F10686">
        <w:rPr>
          <w:sz w:val="16"/>
          <w:szCs w:val="16"/>
        </w:rPr>
        <w:t xml:space="preserve">. </w:t>
      </w:r>
      <w:r>
        <w:rPr>
          <w:i/>
          <w:sz w:val="16"/>
          <w:szCs w:val="16"/>
        </w:rPr>
        <w:t xml:space="preserve">Cfr. </w:t>
      </w:r>
      <w:r>
        <w:rPr>
          <w:sz w:val="16"/>
          <w:szCs w:val="16"/>
        </w:rPr>
        <w:t xml:space="preserve">Resolución No. 6 dictada por la Sala Penal Nacional de 29 de diciembre de 2015 </w:t>
      </w:r>
      <w:r w:rsidRPr="00CC214C">
        <w:rPr>
          <w:sz w:val="16"/>
          <w:szCs w:val="16"/>
        </w:rPr>
        <w:t>(expediente de prueba</w:t>
      </w:r>
      <w:r>
        <w:rPr>
          <w:sz w:val="16"/>
          <w:szCs w:val="16"/>
        </w:rPr>
        <w:t>, anexo 20 a la contestación, fs. 4794 a 4795).</w:t>
      </w:r>
    </w:p>
  </w:footnote>
  <w:footnote w:id="215">
    <w:p w:rsidR="00B41935" w:rsidRPr="00257982" w:rsidRDefault="00B41935" w:rsidP="00873835">
      <w:pPr>
        <w:pStyle w:val="FootnoteText"/>
        <w:rPr>
          <w:sz w:val="16"/>
          <w:szCs w:val="16"/>
        </w:rPr>
      </w:pPr>
      <w:r w:rsidRPr="00CC214C">
        <w:rPr>
          <w:rStyle w:val="FootnoteReference"/>
        </w:rPr>
        <w:footnoteRef/>
      </w:r>
      <w:r w:rsidRPr="00257982">
        <w:rPr>
          <w:sz w:val="16"/>
          <w:szCs w:val="16"/>
        </w:rPr>
        <w:t xml:space="preserve"> </w:t>
      </w:r>
      <w:r>
        <w:rPr>
          <w:sz w:val="16"/>
          <w:szCs w:val="16"/>
        </w:rPr>
        <w:tab/>
      </w:r>
      <w:r>
        <w:rPr>
          <w:i/>
          <w:sz w:val="16"/>
          <w:szCs w:val="16"/>
        </w:rPr>
        <w:t xml:space="preserve">Cfr. </w:t>
      </w:r>
      <w:r>
        <w:rPr>
          <w:sz w:val="16"/>
          <w:szCs w:val="16"/>
        </w:rPr>
        <w:t>Oficios de la Sala Penal Nacional dirigidos al Jefe de la División de Requisitorias de la Policía Judicial, al Jefe de la Oficina de Requisitorias Distrital de Lima, y al Director Ejecutivo de la OCN INTERPOL- Lima</w:t>
      </w:r>
      <w:r>
        <w:rPr>
          <w:i/>
          <w:sz w:val="16"/>
          <w:szCs w:val="16"/>
        </w:rPr>
        <w:t xml:space="preserve"> </w:t>
      </w:r>
      <w:r>
        <w:rPr>
          <w:sz w:val="16"/>
          <w:szCs w:val="16"/>
        </w:rPr>
        <w:t xml:space="preserve">de 13 de enero de 2016 </w:t>
      </w:r>
      <w:r w:rsidRPr="00CC214C">
        <w:rPr>
          <w:sz w:val="16"/>
          <w:szCs w:val="16"/>
        </w:rPr>
        <w:t>(expediente de prueba</w:t>
      </w:r>
      <w:r>
        <w:rPr>
          <w:sz w:val="16"/>
          <w:szCs w:val="16"/>
        </w:rPr>
        <w:t>, anexo 21 a la contestación, fs. 4797 a 4799).</w:t>
      </w:r>
    </w:p>
  </w:footnote>
  <w:footnote w:id="216">
    <w:p w:rsidR="00B41935" w:rsidRPr="00257982" w:rsidRDefault="00B41935" w:rsidP="00873835">
      <w:pPr>
        <w:pStyle w:val="FootnoteText"/>
        <w:rPr>
          <w:sz w:val="16"/>
          <w:szCs w:val="16"/>
        </w:rPr>
      </w:pPr>
      <w:r w:rsidRPr="00CC214C">
        <w:rPr>
          <w:rStyle w:val="FootnoteReference"/>
        </w:rPr>
        <w:footnoteRef/>
      </w:r>
      <w:r w:rsidRPr="00257982">
        <w:rPr>
          <w:sz w:val="16"/>
          <w:szCs w:val="16"/>
        </w:rPr>
        <w:t xml:space="preserve"> </w:t>
      </w:r>
      <w:r>
        <w:rPr>
          <w:sz w:val="16"/>
          <w:szCs w:val="16"/>
        </w:rPr>
        <w:tab/>
      </w:r>
      <w:r>
        <w:rPr>
          <w:i/>
          <w:sz w:val="16"/>
          <w:szCs w:val="16"/>
        </w:rPr>
        <w:t xml:space="preserve">Cfr. </w:t>
      </w:r>
      <w:r>
        <w:rPr>
          <w:sz w:val="16"/>
          <w:szCs w:val="16"/>
        </w:rPr>
        <w:t xml:space="preserve">Auto de la Sala Penal Nacional del 2 de mayo de 2016 </w:t>
      </w:r>
      <w:r w:rsidRPr="00CC214C">
        <w:rPr>
          <w:sz w:val="16"/>
          <w:szCs w:val="16"/>
        </w:rPr>
        <w:t>(expediente de prueba</w:t>
      </w:r>
      <w:r>
        <w:rPr>
          <w:sz w:val="16"/>
          <w:szCs w:val="16"/>
        </w:rPr>
        <w:t>, anexo 22 a la contestación, f. 4802).</w:t>
      </w:r>
    </w:p>
  </w:footnote>
  <w:footnote w:id="217">
    <w:p w:rsidR="00B41935" w:rsidRPr="00257982" w:rsidRDefault="00B41935" w:rsidP="00873835">
      <w:pPr>
        <w:pStyle w:val="FootnoteText"/>
        <w:rPr>
          <w:sz w:val="16"/>
          <w:szCs w:val="16"/>
        </w:rPr>
      </w:pPr>
      <w:r w:rsidRPr="00CC214C">
        <w:rPr>
          <w:rStyle w:val="FootnoteReference"/>
        </w:rPr>
        <w:footnoteRef/>
      </w:r>
      <w:r w:rsidRPr="00257982">
        <w:rPr>
          <w:sz w:val="16"/>
          <w:szCs w:val="16"/>
        </w:rPr>
        <w:t xml:space="preserve"> </w:t>
      </w:r>
      <w:r>
        <w:rPr>
          <w:sz w:val="16"/>
          <w:szCs w:val="16"/>
        </w:rPr>
        <w:tab/>
      </w:r>
      <w:r w:rsidRPr="00D10CCA">
        <w:rPr>
          <w:i/>
          <w:sz w:val="16"/>
          <w:szCs w:val="16"/>
        </w:rPr>
        <w:t xml:space="preserve">Cfr. </w:t>
      </w:r>
      <w:r>
        <w:rPr>
          <w:sz w:val="16"/>
          <w:szCs w:val="16"/>
        </w:rPr>
        <w:t xml:space="preserve">Oficios de la Sala Penal Nacional dirigidos al Jefe de la División de Requisitorias de la Policía Judicial, al Jefe de la Oficina de Requisitorias Distrital de Lima, y al Director Ejecutivo de la OCN INTERPOL- Lima de 11 y 12 de mayo de 2016 </w:t>
      </w:r>
      <w:r w:rsidRPr="00CC214C">
        <w:rPr>
          <w:sz w:val="16"/>
          <w:szCs w:val="16"/>
        </w:rPr>
        <w:t>(expediente de prueba</w:t>
      </w:r>
      <w:r>
        <w:rPr>
          <w:sz w:val="16"/>
          <w:szCs w:val="16"/>
        </w:rPr>
        <w:t>, anexo 22 a la contestación, fs. 4804 a 4806).</w:t>
      </w:r>
    </w:p>
  </w:footnote>
  <w:footnote w:id="218">
    <w:p w:rsidR="00B41935" w:rsidRPr="00CC214C" w:rsidRDefault="00B41935" w:rsidP="00873835">
      <w:pPr>
        <w:pStyle w:val="FootnoteText"/>
        <w:rPr>
          <w:sz w:val="16"/>
          <w:szCs w:val="16"/>
        </w:rPr>
      </w:pPr>
      <w:r w:rsidRPr="00CC214C">
        <w:rPr>
          <w:rStyle w:val="FootnoteReference"/>
        </w:rPr>
        <w:footnoteRef/>
      </w:r>
      <w:r w:rsidRPr="00CC214C">
        <w:rPr>
          <w:sz w:val="16"/>
          <w:szCs w:val="16"/>
        </w:rPr>
        <w:t xml:space="preserve"> </w:t>
      </w:r>
      <w:r>
        <w:rPr>
          <w:sz w:val="16"/>
          <w:szCs w:val="16"/>
        </w:rPr>
        <w:tab/>
        <w:t xml:space="preserve">Resolución </w:t>
      </w:r>
      <w:r w:rsidRPr="00176A9A">
        <w:rPr>
          <w:sz w:val="16"/>
          <w:szCs w:val="16"/>
        </w:rPr>
        <w:t>N</w:t>
      </w:r>
      <w:r>
        <w:rPr>
          <w:sz w:val="16"/>
          <w:szCs w:val="16"/>
        </w:rPr>
        <w:t xml:space="preserve">° 227 dictada por la Sala Penal Nacional de 20 de junio de 2016 </w:t>
      </w:r>
      <w:r w:rsidRPr="00CC214C">
        <w:rPr>
          <w:sz w:val="16"/>
          <w:szCs w:val="16"/>
        </w:rPr>
        <w:t xml:space="preserve">(expediente de prueba, anexo </w:t>
      </w:r>
      <w:r>
        <w:rPr>
          <w:sz w:val="16"/>
          <w:szCs w:val="16"/>
        </w:rPr>
        <w:t>24</w:t>
      </w:r>
      <w:r w:rsidRPr="00CC214C">
        <w:rPr>
          <w:sz w:val="16"/>
          <w:szCs w:val="16"/>
        </w:rPr>
        <w:t>,</w:t>
      </w:r>
      <w:r>
        <w:rPr>
          <w:sz w:val="16"/>
          <w:szCs w:val="16"/>
        </w:rPr>
        <w:t xml:space="preserve"> a la contestación, fs. 4809 a 4811</w:t>
      </w:r>
      <w:r w:rsidRPr="00CC214C">
        <w:rPr>
          <w:sz w:val="16"/>
          <w:szCs w:val="16"/>
        </w:rPr>
        <w:t>).</w:t>
      </w:r>
    </w:p>
  </w:footnote>
  <w:footnote w:id="219">
    <w:p w:rsidR="00B41935" w:rsidRPr="00552A48" w:rsidRDefault="00B41935" w:rsidP="00873835">
      <w:pPr>
        <w:pStyle w:val="NormalWeb"/>
        <w:spacing w:before="0" w:beforeAutospacing="0" w:after="0" w:afterAutospacing="0"/>
        <w:contextualSpacing/>
        <w:jc w:val="both"/>
        <w:rPr>
          <w:rFonts w:ascii="Verdana" w:hAnsi="Verdana"/>
          <w:sz w:val="16"/>
          <w:szCs w:val="16"/>
          <w:lang w:val="es-CR"/>
        </w:rPr>
      </w:pPr>
      <w:r w:rsidRPr="00CC214C">
        <w:rPr>
          <w:rStyle w:val="FootnoteReference"/>
          <w:rFonts w:eastAsia="Calibri"/>
        </w:rPr>
        <w:footnoteRef/>
      </w:r>
      <w:r w:rsidRPr="00CC214C">
        <w:rPr>
          <w:rFonts w:ascii="Verdana" w:hAnsi="Verdana"/>
          <w:sz w:val="16"/>
          <w:szCs w:val="16"/>
          <w:lang w:val="es-CR"/>
        </w:rPr>
        <w:t xml:space="preserve"> </w:t>
      </w:r>
      <w:r w:rsidRPr="00CC214C">
        <w:rPr>
          <w:rFonts w:ascii="Verdana" w:hAnsi="Verdana"/>
          <w:sz w:val="16"/>
          <w:szCs w:val="16"/>
          <w:lang w:val="es-CR"/>
        </w:rPr>
        <w:tab/>
        <w:t>El ar</w:t>
      </w:r>
      <w:r w:rsidRPr="00552A48">
        <w:rPr>
          <w:rFonts w:ascii="Verdana" w:hAnsi="Verdana"/>
          <w:sz w:val="16"/>
          <w:szCs w:val="16"/>
          <w:lang w:val="es-CR"/>
        </w:rPr>
        <w:t>tículo 3 de la Convención establece lo siguiente: “Toda persona tiene derecho al reconocimiento de su personalidad jurídica</w:t>
      </w:r>
      <w:r>
        <w:rPr>
          <w:rFonts w:ascii="Verdana" w:hAnsi="Verdana"/>
          <w:sz w:val="16"/>
          <w:szCs w:val="16"/>
          <w:lang w:val="es-CR"/>
        </w:rPr>
        <w:t>”</w:t>
      </w:r>
      <w:r w:rsidRPr="00552A48">
        <w:rPr>
          <w:rFonts w:ascii="Verdana" w:hAnsi="Verdana"/>
          <w:sz w:val="16"/>
          <w:szCs w:val="16"/>
          <w:lang w:val="es-CR"/>
        </w:rPr>
        <w:t>.</w:t>
      </w:r>
    </w:p>
  </w:footnote>
  <w:footnote w:id="220">
    <w:p w:rsidR="00B41935" w:rsidRPr="00F10686" w:rsidRDefault="00B41935" w:rsidP="00873835">
      <w:pPr>
        <w:pStyle w:val="NormalWeb"/>
        <w:spacing w:before="0" w:beforeAutospacing="0" w:after="0" w:afterAutospacing="0"/>
        <w:ind w:right="51"/>
        <w:contextualSpacing/>
        <w:jc w:val="both"/>
        <w:rPr>
          <w:rFonts w:ascii="Verdana" w:hAnsi="Verdana" w:cs="Tahoma"/>
          <w:color w:val="000000"/>
          <w:sz w:val="16"/>
          <w:szCs w:val="16"/>
          <w:lang w:val="es-CR"/>
        </w:rPr>
      </w:pPr>
      <w:r w:rsidRPr="00CC214C">
        <w:rPr>
          <w:rStyle w:val="FootnoteReference"/>
          <w:rFonts w:eastAsia="Calibri"/>
        </w:rPr>
        <w:footnoteRef/>
      </w:r>
      <w:r w:rsidRPr="00CC214C">
        <w:rPr>
          <w:rFonts w:ascii="Verdana" w:hAnsi="Verdana"/>
          <w:sz w:val="16"/>
          <w:szCs w:val="16"/>
          <w:lang w:val="es-CR"/>
        </w:rPr>
        <w:t xml:space="preserve"> </w:t>
      </w:r>
      <w:r w:rsidRPr="00CC214C">
        <w:rPr>
          <w:rFonts w:ascii="Verdana" w:hAnsi="Verdana"/>
          <w:sz w:val="16"/>
          <w:szCs w:val="16"/>
          <w:lang w:val="es-CR"/>
        </w:rPr>
        <w:tab/>
        <w:t xml:space="preserve">El artículo 4.1 de la </w:t>
      </w:r>
      <w:r w:rsidRPr="00552A48">
        <w:rPr>
          <w:rFonts w:ascii="Verdana" w:eastAsia="Calibri" w:hAnsi="Verdana" w:cs="Calibri"/>
          <w:sz w:val="16"/>
          <w:szCs w:val="16"/>
          <w:lang w:val="es-MX" w:eastAsia="en-US"/>
        </w:rPr>
        <w:t>Convención establece lo siguiente: “1. Toda persona tiene derecho a que se respete su vida. Este derecho estará protegido</w:t>
      </w:r>
      <w:r w:rsidRPr="00552A48">
        <w:rPr>
          <w:rFonts w:ascii="Verdana" w:hAnsi="Verdana" w:cs="Tahoma"/>
          <w:color w:val="000000"/>
          <w:sz w:val="16"/>
          <w:szCs w:val="16"/>
          <w:lang w:val="es-CR"/>
        </w:rPr>
        <w:t xml:space="preserve"> por la ley y, en ge</w:t>
      </w:r>
      <w:r w:rsidRPr="00F10686">
        <w:rPr>
          <w:rFonts w:ascii="Verdana" w:hAnsi="Verdana" w:cs="Tahoma"/>
          <w:color w:val="000000"/>
          <w:sz w:val="16"/>
          <w:szCs w:val="16"/>
          <w:lang w:val="es-CR"/>
        </w:rPr>
        <w:t>neral, a partir del momento de la concepción. Nadie puede ser privado de la vida arbitrariamente”</w:t>
      </w:r>
      <w:r>
        <w:rPr>
          <w:rFonts w:ascii="Verdana" w:hAnsi="Verdana" w:cs="Tahoma"/>
          <w:color w:val="000000"/>
          <w:sz w:val="16"/>
          <w:szCs w:val="16"/>
          <w:lang w:val="es-CR"/>
        </w:rPr>
        <w:t>.</w:t>
      </w:r>
    </w:p>
  </w:footnote>
  <w:footnote w:id="221">
    <w:p w:rsidR="00B41935" w:rsidRPr="00552A48" w:rsidRDefault="00B41935" w:rsidP="00873835">
      <w:pPr>
        <w:pStyle w:val="NormalWeb"/>
        <w:spacing w:before="0" w:beforeAutospacing="0" w:after="0" w:afterAutospacing="0"/>
        <w:ind w:right="58"/>
        <w:jc w:val="both"/>
        <w:rPr>
          <w:rFonts w:ascii="Verdana" w:hAnsi="Verdana" w:cs="Tahoma"/>
          <w:color w:val="000000"/>
          <w:sz w:val="16"/>
          <w:szCs w:val="16"/>
          <w:lang w:val="es-CR"/>
        </w:rPr>
      </w:pPr>
      <w:r w:rsidRPr="00CC214C">
        <w:rPr>
          <w:rStyle w:val="FootnoteReference"/>
          <w:rFonts w:eastAsia="Calibri"/>
        </w:rPr>
        <w:footnoteRef/>
      </w:r>
      <w:r w:rsidRPr="00CC214C">
        <w:rPr>
          <w:rFonts w:ascii="Verdana" w:hAnsi="Verdana"/>
          <w:sz w:val="16"/>
          <w:szCs w:val="16"/>
          <w:lang w:val="es-CR"/>
        </w:rPr>
        <w:t xml:space="preserve"> </w:t>
      </w:r>
      <w:r w:rsidRPr="00CC214C">
        <w:rPr>
          <w:rFonts w:ascii="Verdana" w:hAnsi="Verdana"/>
          <w:sz w:val="16"/>
          <w:szCs w:val="16"/>
          <w:lang w:val="es-CR"/>
        </w:rPr>
        <w:tab/>
        <w:t>Los artículos 5.1 y 5.2 de la Convención establece</w:t>
      </w:r>
      <w:r>
        <w:rPr>
          <w:rFonts w:ascii="Verdana" w:hAnsi="Verdana"/>
          <w:sz w:val="16"/>
          <w:szCs w:val="16"/>
          <w:lang w:val="es-CR"/>
        </w:rPr>
        <w:t>n</w:t>
      </w:r>
      <w:r w:rsidRPr="00CC214C">
        <w:rPr>
          <w:rFonts w:ascii="Verdana" w:hAnsi="Verdana"/>
          <w:sz w:val="16"/>
          <w:szCs w:val="16"/>
          <w:lang w:val="es-CR"/>
        </w:rPr>
        <w:t xml:space="preserve"> lo siguiente: “</w:t>
      </w:r>
      <w:r w:rsidRPr="00552A48">
        <w:rPr>
          <w:rFonts w:ascii="Verdana" w:hAnsi="Verdana" w:cs="Tahoma"/>
          <w:color w:val="000000"/>
          <w:sz w:val="16"/>
          <w:szCs w:val="16"/>
          <w:lang w:val="es-CR"/>
        </w:rPr>
        <w:t>1. Toda persona tiene derecho a que se respete su integridad física, psíquica y moral. 2. Nadie debe ser sometido a torturas ni a penas o tratos crueles, inhumanos o degradantes. Toda persona privada de libertad será tratada con el respeto debido a la dignidad inherente al ser humano”</w:t>
      </w:r>
      <w:r>
        <w:rPr>
          <w:rFonts w:ascii="Verdana" w:hAnsi="Verdana" w:cs="Tahoma"/>
          <w:color w:val="000000"/>
          <w:sz w:val="16"/>
          <w:szCs w:val="16"/>
          <w:lang w:val="es-CR"/>
        </w:rPr>
        <w:t>.</w:t>
      </w:r>
    </w:p>
  </w:footnote>
  <w:footnote w:id="222">
    <w:p w:rsidR="00B41935" w:rsidRPr="00D83377" w:rsidRDefault="00B41935" w:rsidP="00873835">
      <w:pPr>
        <w:pStyle w:val="NormalWeb"/>
        <w:spacing w:before="0" w:beforeAutospacing="0" w:after="0" w:afterAutospacing="0"/>
        <w:ind w:right="58"/>
        <w:jc w:val="both"/>
        <w:rPr>
          <w:rFonts w:ascii="Verdana" w:hAnsi="Verdana" w:cs="Tahoma"/>
          <w:color w:val="000000"/>
          <w:sz w:val="16"/>
          <w:szCs w:val="16"/>
          <w:lang w:val="es-CR"/>
        </w:rPr>
      </w:pPr>
      <w:r w:rsidRPr="00CC214C">
        <w:rPr>
          <w:rStyle w:val="FootnoteReference"/>
          <w:rFonts w:eastAsia="Calibri"/>
        </w:rPr>
        <w:footnoteRef/>
      </w:r>
      <w:r w:rsidRPr="00CC214C">
        <w:rPr>
          <w:rFonts w:ascii="Verdana" w:hAnsi="Verdana"/>
          <w:sz w:val="16"/>
          <w:szCs w:val="16"/>
          <w:lang w:val="es-CR"/>
        </w:rPr>
        <w:t xml:space="preserve"> </w:t>
      </w:r>
      <w:r w:rsidRPr="00CC214C">
        <w:rPr>
          <w:rFonts w:ascii="Verdana" w:hAnsi="Verdana"/>
          <w:sz w:val="16"/>
          <w:szCs w:val="16"/>
          <w:lang w:val="es-CR"/>
        </w:rPr>
        <w:tab/>
        <w:t>El artículo 7 de la</w:t>
      </w:r>
      <w:r w:rsidRPr="00552A48">
        <w:rPr>
          <w:rFonts w:ascii="Verdana" w:hAnsi="Verdana"/>
          <w:sz w:val="16"/>
          <w:szCs w:val="16"/>
          <w:lang w:val="es-CR"/>
        </w:rPr>
        <w:t xml:space="preserve"> Convención establece lo siguiente: “</w:t>
      </w:r>
      <w:r w:rsidRPr="00F10686">
        <w:rPr>
          <w:rFonts w:ascii="Verdana" w:hAnsi="Verdana" w:cs="Tahoma"/>
          <w:color w:val="000000"/>
          <w:sz w:val="16"/>
          <w:szCs w:val="16"/>
          <w:lang w:val="es-CR"/>
        </w:rPr>
        <w:t>1. Toda persona tiene derecho a la libertad y a la seguridad personales. 2. Nadie puede ser privado de su libertad física, salvo por las causas y en las condiciones fijadas de antemano por las Constituciones Políticas de los Estados Partes o por las leye</w:t>
      </w:r>
      <w:r w:rsidRPr="0000173B">
        <w:rPr>
          <w:rFonts w:ascii="Verdana" w:hAnsi="Verdana" w:cs="Tahoma"/>
          <w:color w:val="000000"/>
          <w:sz w:val="16"/>
          <w:szCs w:val="16"/>
          <w:lang w:val="es-CR"/>
        </w:rPr>
        <w:t>s dictadas conforme a ellas. 3. Nadie puede ser sometido a detención o encarcelamiento arbitrarios. 4. Toda persona detenida o retenida debe ser informada de las razones de su detención y notificada, sin demora, del cargo o cargos formulados contra ella. 5</w:t>
      </w:r>
      <w:r w:rsidRPr="003D07CE">
        <w:rPr>
          <w:rFonts w:ascii="Verdana" w:hAnsi="Verdana" w:cs="Tahoma"/>
          <w:color w:val="000000"/>
          <w:sz w:val="16"/>
          <w:szCs w:val="16"/>
          <w:lang w:val="es-CR"/>
        </w:rPr>
        <w:t>. Toda persona detenida o retenida debe ser llevada, sin demora, ante un juez u otro funcionario autorizado por la ley para ejercer funciones judiciales y tendrá derecho a ser juzgada dentro de un plazo razonable o a ser puesta en libertad, sin perjuicio d</w:t>
      </w:r>
      <w:r w:rsidRPr="00CE6B13">
        <w:rPr>
          <w:rFonts w:ascii="Verdana" w:hAnsi="Verdana" w:cs="Tahoma"/>
          <w:color w:val="000000"/>
          <w:sz w:val="16"/>
          <w:szCs w:val="16"/>
          <w:lang w:val="es-CR"/>
        </w:rPr>
        <w:t>e que continúe el proceso. Su libertad podrá estar condicionada a garantías que aseguren su comparecencia en el juicio. 6. Toda persona privada de libertad tiene derecho a recurrir ante un juez o tribunal competente, a fin de que éste decida, sin demora, s</w:t>
      </w:r>
      <w:r w:rsidRPr="00D83377">
        <w:rPr>
          <w:rFonts w:ascii="Verdana" w:hAnsi="Verdana" w:cs="Tahoma"/>
          <w:color w:val="000000"/>
          <w:sz w:val="16"/>
          <w:szCs w:val="16"/>
          <w:lang w:val="es-CR"/>
        </w:rPr>
        <w:t>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persona. 7. Nadie será detenido por deudas. Este principio no limita los mandatos de autoridad judicial competente dictados por incumplimientos de deberes alimentarios”</w:t>
      </w:r>
      <w:r>
        <w:rPr>
          <w:rFonts w:ascii="Verdana" w:hAnsi="Verdana" w:cs="Tahoma"/>
          <w:color w:val="000000"/>
          <w:sz w:val="16"/>
          <w:szCs w:val="16"/>
          <w:lang w:val="es-CR"/>
        </w:rPr>
        <w:t>.</w:t>
      </w:r>
    </w:p>
  </w:footnote>
  <w:footnote w:id="223">
    <w:p w:rsidR="00B41935" w:rsidRPr="0000173B" w:rsidRDefault="00B41935" w:rsidP="00873835">
      <w:pPr>
        <w:pStyle w:val="FootnoteText"/>
        <w:ind w:right="51"/>
        <w:rPr>
          <w:sz w:val="16"/>
          <w:szCs w:val="16"/>
          <w:lang w:val="es-CR"/>
        </w:rPr>
      </w:pPr>
      <w:r w:rsidRPr="00CC214C">
        <w:rPr>
          <w:rStyle w:val="FootnoteReference"/>
        </w:rPr>
        <w:footnoteRef/>
      </w:r>
      <w:r w:rsidRPr="00CC214C">
        <w:rPr>
          <w:sz w:val="16"/>
          <w:szCs w:val="16"/>
          <w:lang w:val="es-CR"/>
        </w:rPr>
        <w:t xml:space="preserve"> </w:t>
      </w:r>
      <w:r w:rsidRPr="00CC214C">
        <w:rPr>
          <w:sz w:val="16"/>
          <w:szCs w:val="16"/>
          <w:lang w:val="es-CR"/>
        </w:rPr>
        <w:tab/>
        <w:t>El artículo 1.1 de la Convención establece lo siguiente: “</w:t>
      </w:r>
      <w:r w:rsidRPr="00552A48">
        <w:rPr>
          <w:rFonts w:cs="Tahoma"/>
          <w:color w:val="000000"/>
          <w:sz w:val="16"/>
          <w:szCs w:val="16"/>
          <w:lang w:val="es-CR"/>
        </w:rPr>
        <w:t>1.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w:t>
      </w:r>
      <w:r w:rsidRPr="00F10686">
        <w:rPr>
          <w:rFonts w:cs="Tahoma"/>
          <w:color w:val="000000"/>
          <w:sz w:val="16"/>
          <w:szCs w:val="16"/>
          <w:lang w:val="es-CR"/>
        </w:rPr>
        <w:t>ial, posición económica, nacimiento o cualquier otra condición social”</w:t>
      </w:r>
      <w:r>
        <w:rPr>
          <w:rFonts w:cs="Tahoma"/>
          <w:color w:val="000000"/>
          <w:sz w:val="16"/>
          <w:szCs w:val="16"/>
          <w:lang w:val="es-CR"/>
        </w:rPr>
        <w:t>.</w:t>
      </w:r>
    </w:p>
  </w:footnote>
  <w:footnote w:id="224">
    <w:p w:rsidR="00B41935" w:rsidRPr="0000173B" w:rsidRDefault="00B41935" w:rsidP="00873835">
      <w:pPr>
        <w:pStyle w:val="FootnoteText"/>
        <w:rPr>
          <w:sz w:val="16"/>
          <w:szCs w:val="16"/>
          <w:lang w:val="es-AR"/>
        </w:rPr>
      </w:pPr>
      <w:r w:rsidRPr="00CC214C">
        <w:rPr>
          <w:rStyle w:val="FootnoteReference"/>
        </w:rPr>
        <w:footnoteRef/>
      </w:r>
      <w:r w:rsidRPr="00CC214C">
        <w:rPr>
          <w:sz w:val="16"/>
          <w:szCs w:val="16"/>
          <w:lang w:val="es-AR"/>
        </w:rPr>
        <w:t xml:space="preserve"> </w:t>
      </w:r>
      <w:r w:rsidRPr="00CC214C">
        <w:rPr>
          <w:sz w:val="16"/>
          <w:szCs w:val="16"/>
          <w:lang w:val="es-AR"/>
        </w:rPr>
        <w:tab/>
        <w:t>El artículo I</w:t>
      </w:r>
      <w:r>
        <w:rPr>
          <w:sz w:val="16"/>
          <w:szCs w:val="16"/>
          <w:lang w:val="es-AR"/>
        </w:rPr>
        <w:t>.a)</w:t>
      </w:r>
      <w:r w:rsidRPr="00CC214C">
        <w:rPr>
          <w:sz w:val="16"/>
          <w:szCs w:val="16"/>
          <w:lang w:val="es-AR"/>
        </w:rPr>
        <w:t xml:space="preserve"> de la CIDFP establece: “Los Estados Partes en esta Convención se comprometen a: a) No practicar, no permitir, ni tolerar la desapari</w:t>
      </w:r>
      <w:r w:rsidRPr="00552A48">
        <w:rPr>
          <w:sz w:val="16"/>
          <w:szCs w:val="16"/>
          <w:lang w:val="es-AR"/>
        </w:rPr>
        <w:t>ción forzada de personas, ni aun en estado de emergencia, excepción o suspensión de garantías individuales</w:t>
      </w:r>
      <w:r w:rsidRPr="0000173B">
        <w:rPr>
          <w:sz w:val="16"/>
          <w:szCs w:val="16"/>
          <w:lang w:val="es-AR"/>
        </w:rPr>
        <w:t>”</w:t>
      </w:r>
      <w:r>
        <w:rPr>
          <w:sz w:val="16"/>
          <w:szCs w:val="16"/>
          <w:lang w:val="es-AR"/>
        </w:rPr>
        <w:t>.</w:t>
      </w:r>
    </w:p>
  </w:footnote>
  <w:footnote w:id="225">
    <w:p w:rsidR="00B41935" w:rsidRPr="00D10CCA" w:rsidRDefault="00B41935" w:rsidP="00873835">
      <w:pPr>
        <w:pStyle w:val="FootnoteText"/>
        <w:rPr>
          <w:bCs/>
          <w:sz w:val="16"/>
          <w:szCs w:val="16"/>
        </w:rPr>
      </w:pPr>
      <w:r w:rsidRPr="00DA7745">
        <w:rPr>
          <w:rStyle w:val="FootnoteReference"/>
        </w:rPr>
        <w:footnoteRef/>
      </w:r>
      <w:r w:rsidRPr="00D10CCA">
        <w:rPr>
          <w:sz w:val="16"/>
          <w:szCs w:val="16"/>
        </w:rPr>
        <w:t xml:space="preserve"> </w:t>
      </w:r>
      <w:r w:rsidRPr="00D10CCA">
        <w:rPr>
          <w:sz w:val="16"/>
          <w:szCs w:val="16"/>
        </w:rPr>
        <w:tab/>
      </w:r>
      <w:r w:rsidRPr="00D10CCA">
        <w:rPr>
          <w:rFonts w:cs="Arial"/>
          <w:i/>
          <w:sz w:val="16"/>
          <w:szCs w:val="16"/>
        </w:rPr>
        <w:t>Cfr. inter alia</w:t>
      </w:r>
      <w:r w:rsidRPr="00D10CCA">
        <w:rPr>
          <w:rFonts w:cs="Arial"/>
          <w:sz w:val="16"/>
          <w:szCs w:val="16"/>
        </w:rPr>
        <w:t xml:space="preserve">, </w:t>
      </w:r>
      <w:r w:rsidRPr="00D10CCA">
        <w:rPr>
          <w:i/>
          <w:sz w:val="16"/>
          <w:szCs w:val="16"/>
        </w:rPr>
        <w:t>Caso Velásquez Rodríguez Vs. Honduras</w:t>
      </w:r>
      <w:r>
        <w:rPr>
          <w:i/>
          <w:sz w:val="16"/>
          <w:szCs w:val="16"/>
        </w:rPr>
        <w:t xml:space="preserve">. Fondo, </w:t>
      </w:r>
      <w:r w:rsidRPr="003A5FAB">
        <w:rPr>
          <w:i/>
          <w:sz w:val="16"/>
          <w:szCs w:val="16"/>
          <w:lang w:val="pt-BR"/>
        </w:rPr>
        <w:t>supra</w:t>
      </w:r>
      <w:r w:rsidRPr="00D10CCA">
        <w:rPr>
          <w:sz w:val="16"/>
          <w:szCs w:val="16"/>
          <w:lang w:val="es-ES"/>
        </w:rPr>
        <w:t xml:space="preserve">, </w:t>
      </w:r>
      <w:r w:rsidRPr="00D10CCA">
        <w:rPr>
          <w:noProof/>
          <w:sz w:val="16"/>
          <w:szCs w:val="16"/>
        </w:rPr>
        <w:t xml:space="preserve">párrs. 155 a 157, y </w:t>
      </w:r>
      <w:r w:rsidRPr="00476561">
        <w:rPr>
          <w:i/>
          <w:color w:val="000000"/>
          <w:spacing w:val="-4"/>
          <w:sz w:val="16"/>
          <w:szCs w:val="16"/>
        </w:rPr>
        <w:t>Caso Munárriz Escobar y otros Vs. Perú</w:t>
      </w:r>
      <w:r>
        <w:rPr>
          <w:i/>
          <w:color w:val="000000"/>
          <w:spacing w:val="-4"/>
          <w:sz w:val="16"/>
          <w:szCs w:val="16"/>
        </w:rPr>
        <w:t xml:space="preserve">, </w:t>
      </w:r>
      <w:r w:rsidRPr="003A5FAB">
        <w:rPr>
          <w:i/>
          <w:color w:val="000000"/>
          <w:spacing w:val="-4"/>
          <w:sz w:val="16"/>
          <w:szCs w:val="16"/>
        </w:rPr>
        <w:t>supra</w:t>
      </w:r>
      <w:r w:rsidRPr="00476561">
        <w:rPr>
          <w:color w:val="000000"/>
          <w:spacing w:val="-4"/>
          <w:sz w:val="16"/>
          <w:szCs w:val="16"/>
        </w:rPr>
        <w:t xml:space="preserve">, </w:t>
      </w:r>
      <w:r w:rsidRPr="00D10CCA">
        <w:rPr>
          <w:sz w:val="16"/>
          <w:szCs w:val="16"/>
          <w:lang w:val="es-AR"/>
        </w:rPr>
        <w:t>párr</w:t>
      </w:r>
      <w:r w:rsidRPr="00476561">
        <w:rPr>
          <w:color w:val="000000"/>
          <w:spacing w:val="-4"/>
          <w:sz w:val="16"/>
          <w:szCs w:val="16"/>
        </w:rPr>
        <w:t xml:space="preserve">. </w:t>
      </w:r>
      <w:r>
        <w:rPr>
          <w:sz w:val="16"/>
          <w:szCs w:val="16"/>
          <w:lang w:val="es-AR"/>
        </w:rPr>
        <w:t>65</w:t>
      </w:r>
      <w:r w:rsidRPr="00D10CCA">
        <w:rPr>
          <w:sz w:val="16"/>
          <w:szCs w:val="16"/>
        </w:rPr>
        <w:t>.</w:t>
      </w:r>
    </w:p>
  </w:footnote>
  <w:footnote w:id="226">
    <w:p w:rsidR="00B41935" w:rsidRPr="00810E28" w:rsidRDefault="00B41935" w:rsidP="00873835">
      <w:pPr>
        <w:pStyle w:val="FootnoteText"/>
        <w:rPr>
          <w:sz w:val="16"/>
          <w:szCs w:val="16"/>
        </w:rPr>
      </w:pPr>
      <w:r w:rsidRPr="00810E28">
        <w:rPr>
          <w:rStyle w:val="FootnoteReference"/>
        </w:rPr>
        <w:footnoteRef/>
      </w:r>
      <w:r w:rsidRPr="00810E28">
        <w:rPr>
          <w:sz w:val="16"/>
          <w:szCs w:val="16"/>
        </w:rPr>
        <w:t xml:space="preserve"> </w:t>
      </w:r>
      <w:r w:rsidRPr="00810E28">
        <w:rPr>
          <w:sz w:val="16"/>
          <w:szCs w:val="16"/>
        </w:rPr>
        <w:tab/>
      </w:r>
      <w:r w:rsidRPr="00810E28">
        <w:rPr>
          <w:i/>
          <w:sz w:val="16"/>
          <w:szCs w:val="16"/>
        </w:rPr>
        <w:t>Cfr.</w:t>
      </w:r>
      <w:r w:rsidRPr="00810E28">
        <w:rPr>
          <w:sz w:val="16"/>
          <w:szCs w:val="16"/>
        </w:rPr>
        <w:t xml:space="preserve"> </w:t>
      </w:r>
      <w:r w:rsidRPr="00810E28">
        <w:rPr>
          <w:i/>
          <w:sz w:val="16"/>
          <w:szCs w:val="16"/>
        </w:rPr>
        <w:t>Caso Heliodoro Portugal Vs. Panamá</w:t>
      </w:r>
      <w:r w:rsidRPr="00810E28">
        <w:rPr>
          <w:sz w:val="16"/>
          <w:szCs w:val="16"/>
          <w:lang w:bidi="en-US"/>
        </w:rPr>
        <w:t xml:space="preserve">. </w:t>
      </w:r>
      <w:r w:rsidRPr="00810E28">
        <w:rPr>
          <w:i/>
          <w:sz w:val="16"/>
          <w:szCs w:val="16"/>
          <w:lang w:bidi="en-US"/>
        </w:rPr>
        <w:t xml:space="preserve">Excepciones Preliminares, Fondo, Reparaciones y Costas. </w:t>
      </w:r>
      <w:r w:rsidRPr="00810E28">
        <w:rPr>
          <w:sz w:val="16"/>
          <w:szCs w:val="16"/>
          <w:lang w:bidi="en-US"/>
        </w:rPr>
        <w:t>Sentencia de 12 de agosto de 2008. Serie C No. 186, párr. 112</w:t>
      </w:r>
      <w:r w:rsidRPr="00810E28">
        <w:rPr>
          <w:noProof/>
          <w:sz w:val="16"/>
          <w:szCs w:val="16"/>
        </w:rPr>
        <w:t xml:space="preserve">, y </w:t>
      </w:r>
      <w:r w:rsidRPr="00476561">
        <w:rPr>
          <w:i/>
          <w:color w:val="000000"/>
          <w:spacing w:val="-4"/>
          <w:sz w:val="16"/>
          <w:szCs w:val="16"/>
        </w:rPr>
        <w:t>Caso Munárriz Escobar y otros Vs. Perú</w:t>
      </w:r>
      <w:r>
        <w:rPr>
          <w:i/>
          <w:color w:val="000000"/>
          <w:spacing w:val="-4"/>
          <w:sz w:val="16"/>
          <w:szCs w:val="16"/>
        </w:rPr>
        <w:t xml:space="preserve">, </w:t>
      </w:r>
      <w:r w:rsidRPr="00264368">
        <w:rPr>
          <w:i/>
          <w:color w:val="000000"/>
          <w:spacing w:val="-4"/>
          <w:sz w:val="16"/>
          <w:szCs w:val="16"/>
        </w:rPr>
        <w:t>supra</w:t>
      </w:r>
      <w:r w:rsidRPr="0049438A">
        <w:rPr>
          <w:i/>
          <w:color w:val="000000"/>
          <w:spacing w:val="-4"/>
          <w:sz w:val="16"/>
          <w:szCs w:val="16"/>
        </w:rPr>
        <w:t>,</w:t>
      </w:r>
      <w:r w:rsidRPr="00476561">
        <w:rPr>
          <w:color w:val="000000"/>
          <w:spacing w:val="-4"/>
          <w:sz w:val="16"/>
          <w:szCs w:val="16"/>
        </w:rPr>
        <w:t xml:space="preserve"> párr. </w:t>
      </w:r>
      <w:r>
        <w:rPr>
          <w:sz w:val="16"/>
          <w:szCs w:val="16"/>
          <w:lang w:val="es-AR"/>
        </w:rPr>
        <w:t>65</w:t>
      </w:r>
      <w:r w:rsidRPr="00476561">
        <w:rPr>
          <w:sz w:val="16"/>
          <w:szCs w:val="16"/>
        </w:rPr>
        <w:t>.</w:t>
      </w:r>
    </w:p>
  </w:footnote>
  <w:footnote w:id="227">
    <w:p w:rsidR="00B41935" w:rsidRPr="00D83377" w:rsidRDefault="00B41935" w:rsidP="00873835">
      <w:pPr>
        <w:pStyle w:val="FootnoteText"/>
        <w:rPr>
          <w:sz w:val="16"/>
          <w:szCs w:val="16"/>
          <w:lang w:val="es-AR"/>
        </w:rPr>
      </w:pPr>
      <w:r w:rsidRPr="00CC214C">
        <w:rPr>
          <w:rStyle w:val="FootnoteReference"/>
        </w:rPr>
        <w:footnoteRef/>
      </w:r>
      <w:r w:rsidRPr="00CC214C">
        <w:rPr>
          <w:sz w:val="16"/>
          <w:szCs w:val="16"/>
          <w:lang w:val="es-AR"/>
        </w:rPr>
        <w:t xml:space="preserve"> </w:t>
      </w:r>
      <w:r w:rsidRPr="00CC214C">
        <w:rPr>
          <w:sz w:val="16"/>
          <w:szCs w:val="16"/>
          <w:lang w:val="es-AR"/>
        </w:rPr>
        <w:tab/>
      </w:r>
      <w:r w:rsidRPr="00552A48">
        <w:rPr>
          <w:i/>
          <w:sz w:val="16"/>
          <w:szCs w:val="16"/>
          <w:lang w:val="es-AR"/>
        </w:rPr>
        <w:t>Cfr.</w:t>
      </w:r>
      <w:r w:rsidRPr="00552A48">
        <w:rPr>
          <w:sz w:val="16"/>
          <w:szCs w:val="16"/>
          <w:lang w:val="es-AR"/>
        </w:rPr>
        <w:t xml:space="preserve"> </w:t>
      </w:r>
      <w:r w:rsidRPr="00F10686">
        <w:rPr>
          <w:i/>
          <w:sz w:val="16"/>
          <w:szCs w:val="16"/>
          <w:lang w:val="es-AR"/>
        </w:rPr>
        <w:t>Caso Goiburú y otros Vs. Paraguay. Fondo, Reparacione</w:t>
      </w:r>
      <w:r w:rsidRPr="0000173B">
        <w:rPr>
          <w:i/>
          <w:sz w:val="16"/>
          <w:szCs w:val="16"/>
          <w:lang w:val="es-AR"/>
        </w:rPr>
        <w:t xml:space="preserve">s y Costas. </w:t>
      </w:r>
      <w:r w:rsidRPr="003D07CE">
        <w:rPr>
          <w:sz w:val="16"/>
          <w:szCs w:val="16"/>
          <w:lang w:val="es-AR"/>
        </w:rPr>
        <w:t xml:space="preserve">Sentencia de 22 de septiembre de 2006. Serie C No. 153, párr. 85, </w:t>
      </w:r>
      <w:r w:rsidRPr="00D10CCA">
        <w:rPr>
          <w:sz w:val="16"/>
          <w:szCs w:val="16"/>
          <w:lang w:val="es-AR"/>
        </w:rPr>
        <w:t xml:space="preserve">y </w:t>
      </w:r>
      <w:r w:rsidRPr="00476561">
        <w:rPr>
          <w:i/>
          <w:color w:val="000000"/>
          <w:spacing w:val="-4"/>
          <w:sz w:val="16"/>
          <w:szCs w:val="16"/>
        </w:rPr>
        <w:t>Caso Munárriz Escobar y otros Vs. Perú</w:t>
      </w:r>
      <w:r>
        <w:rPr>
          <w:i/>
          <w:color w:val="000000"/>
          <w:spacing w:val="-4"/>
          <w:sz w:val="16"/>
          <w:szCs w:val="16"/>
        </w:rPr>
        <w:t xml:space="preserve">, </w:t>
      </w:r>
      <w:r w:rsidRPr="003A5FAB">
        <w:rPr>
          <w:i/>
          <w:color w:val="000000"/>
          <w:spacing w:val="-4"/>
          <w:sz w:val="16"/>
          <w:szCs w:val="16"/>
        </w:rPr>
        <w:t>supra</w:t>
      </w:r>
      <w:r w:rsidRPr="00476561">
        <w:rPr>
          <w:color w:val="000000"/>
          <w:spacing w:val="-4"/>
          <w:sz w:val="16"/>
          <w:szCs w:val="16"/>
        </w:rPr>
        <w:t xml:space="preserve">, párr. </w:t>
      </w:r>
      <w:r>
        <w:rPr>
          <w:sz w:val="16"/>
          <w:szCs w:val="16"/>
          <w:lang w:val="es-AR"/>
        </w:rPr>
        <w:t>65</w:t>
      </w:r>
      <w:r w:rsidRPr="00476561">
        <w:rPr>
          <w:sz w:val="16"/>
          <w:szCs w:val="16"/>
        </w:rPr>
        <w:t>.</w:t>
      </w:r>
    </w:p>
  </w:footnote>
  <w:footnote w:id="228">
    <w:p w:rsidR="00B41935" w:rsidRPr="00D83377" w:rsidRDefault="00B41935" w:rsidP="00873835">
      <w:pPr>
        <w:pStyle w:val="FootnoteText"/>
        <w:rPr>
          <w:i/>
          <w:sz w:val="16"/>
          <w:szCs w:val="16"/>
          <w:lang w:val="es-AR"/>
        </w:rPr>
      </w:pPr>
      <w:r w:rsidRPr="00CC214C">
        <w:rPr>
          <w:rStyle w:val="FootnoteReference"/>
        </w:rPr>
        <w:footnoteRef/>
      </w:r>
      <w:r w:rsidRPr="00CC214C">
        <w:rPr>
          <w:sz w:val="16"/>
          <w:szCs w:val="16"/>
          <w:lang w:val="es-AR"/>
        </w:rPr>
        <w:t xml:space="preserve"> </w:t>
      </w:r>
      <w:r w:rsidRPr="00CC214C">
        <w:rPr>
          <w:sz w:val="16"/>
          <w:szCs w:val="16"/>
          <w:lang w:val="es-AR"/>
        </w:rPr>
        <w:tab/>
      </w:r>
      <w:r w:rsidRPr="00552A48">
        <w:rPr>
          <w:i/>
          <w:sz w:val="16"/>
          <w:szCs w:val="16"/>
          <w:lang w:val="es-AR"/>
        </w:rPr>
        <w:t>Cfr. Caso Rodríguez Vera y otros (Desaparecidos del Palacio de Justicia) Vs. Colombia. Excepciones Preliminares, Fondo, Reparaciones y Costas.</w:t>
      </w:r>
      <w:r w:rsidRPr="00F10686">
        <w:rPr>
          <w:sz w:val="16"/>
          <w:szCs w:val="16"/>
          <w:lang w:val="es-AR"/>
        </w:rPr>
        <w:t xml:space="preserve"> Sentencia de 14 de noviembre de 2014, párr. 226, y</w:t>
      </w:r>
      <w:r w:rsidRPr="0000173B">
        <w:rPr>
          <w:i/>
          <w:sz w:val="16"/>
          <w:szCs w:val="16"/>
          <w:lang w:val="es-AR"/>
        </w:rPr>
        <w:t xml:space="preserve"> </w:t>
      </w:r>
      <w:r w:rsidRPr="00476561">
        <w:rPr>
          <w:i/>
          <w:color w:val="000000"/>
          <w:spacing w:val="-4"/>
          <w:sz w:val="16"/>
          <w:szCs w:val="16"/>
        </w:rPr>
        <w:t>Caso Munárriz Escobar y otros Vs. Perú</w:t>
      </w:r>
      <w:r>
        <w:rPr>
          <w:i/>
          <w:color w:val="000000"/>
          <w:spacing w:val="-4"/>
          <w:sz w:val="16"/>
          <w:szCs w:val="16"/>
        </w:rPr>
        <w:t xml:space="preserve">, </w:t>
      </w:r>
      <w:r w:rsidRPr="003A5FAB">
        <w:rPr>
          <w:i/>
          <w:color w:val="000000"/>
          <w:spacing w:val="-4"/>
          <w:sz w:val="16"/>
          <w:szCs w:val="16"/>
        </w:rPr>
        <w:t>supra</w:t>
      </w:r>
      <w:r w:rsidRPr="00476561">
        <w:rPr>
          <w:color w:val="000000"/>
          <w:spacing w:val="-4"/>
          <w:sz w:val="16"/>
          <w:szCs w:val="16"/>
        </w:rPr>
        <w:t xml:space="preserve">, párr. </w:t>
      </w:r>
      <w:r w:rsidRPr="00476561">
        <w:rPr>
          <w:sz w:val="16"/>
          <w:szCs w:val="16"/>
          <w:lang w:val="es-AR"/>
        </w:rPr>
        <w:t>6</w:t>
      </w:r>
      <w:r>
        <w:rPr>
          <w:sz w:val="16"/>
          <w:szCs w:val="16"/>
          <w:lang w:val="es-AR"/>
        </w:rPr>
        <w:t>3</w:t>
      </w:r>
      <w:r w:rsidRPr="00476561">
        <w:rPr>
          <w:color w:val="000000"/>
          <w:spacing w:val="-4"/>
          <w:sz w:val="16"/>
          <w:szCs w:val="16"/>
        </w:rPr>
        <w:t>.</w:t>
      </w:r>
    </w:p>
  </w:footnote>
  <w:footnote w:id="229">
    <w:p w:rsidR="00B41935" w:rsidRPr="00CE6B13" w:rsidRDefault="00B41935" w:rsidP="00873835">
      <w:pPr>
        <w:pStyle w:val="FootnoteText"/>
        <w:rPr>
          <w:i/>
          <w:sz w:val="16"/>
          <w:szCs w:val="16"/>
          <w:lang w:val="es-AR"/>
        </w:rPr>
      </w:pPr>
      <w:r w:rsidRPr="00CC214C">
        <w:rPr>
          <w:rStyle w:val="FootnoteReference"/>
        </w:rPr>
        <w:footnoteRef/>
      </w:r>
      <w:r w:rsidRPr="00CC214C">
        <w:rPr>
          <w:sz w:val="16"/>
          <w:szCs w:val="16"/>
          <w:lang w:val="es-AR"/>
        </w:rPr>
        <w:t xml:space="preserve"> </w:t>
      </w:r>
      <w:r w:rsidRPr="00CC214C">
        <w:rPr>
          <w:sz w:val="16"/>
          <w:szCs w:val="16"/>
          <w:lang w:val="es-AR"/>
        </w:rPr>
        <w:tab/>
      </w:r>
      <w:r w:rsidRPr="00552A48">
        <w:rPr>
          <w:i/>
          <w:sz w:val="16"/>
          <w:szCs w:val="16"/>
          <w:lang w:val="es-AR"/>
        </w:rPr>
        <w:t>Cfr. Caso Gómez Palomino Vs. Perú</w:t>
      </w:r>
      <w:r>
        <w:rPr>
          <w:rStyle w:val="Strong"/>
          <w:b w:val="0"/>
          <w:i/>
          <w:color w:val="000000"/>
          <w:sz w:val="16"/>
          <w:szCs w:val="16"/>
          <w:shd w:val="clear" w:color="auto" w:fill="FFFFFF"/>
        </w:rPr>
        <w:t>, supra</w:t>
      </w:r>
      <w:r w:rsidRPr="00552A48">
        <w:rPr>
          <w:sz w:val="16"/>
          <w:szCs w:val="16"/>
          <w:lang w:val="es-AR"/>
        </w:rPr>
        <w:t>, párr. 97, y</w:t>
      </w:r>
      <w:r w:rsidRPr="00F10686">
        <w:rPr>
          <w:i/>
          <w:sz w:val="16"/>
          <w:szCs w:val="16"/>
          <w:lang w:val="es-AR"/>
        </w:rPr>
        <w:t xml:space="preserve"> </w:t>
      </w:r>
      <w:r w:rsidRPr="003D07CE">
        <w:rPr>
          <w:i/>
          <w:sz w:val="16"/>
          <w:szCs w:val="16"/>
          <w:lang w:val="es-AR"/>
        </w:rPr>
        <w:t xml:space="preserve">Caso </w:t>
      </w:r>
      <w:r w:rsidRPr="00476561">
        <w:rPr>
          <w:i/>
          <w:color w:val="000000"/>
          <w:spacing w:val="-4"/>
          <w:sz w:val="16"/>
          <w:szCs w:val="16"/>
        </w:rPr>
        <w:t>Munárriz Escobar y otros Vs. Perú</w:t>
      </w:r>
      <w:r>
        <w:rPr>
          <w:i/>
          <w:color w:val="000000"/>
          <w:spacing w:val="-4"/>
          <w:sz w:val="16"/>
          <w:szCs w:val="16"/>
        </w:rPr>
        <w:t xml:space="preserve">, </w:t>
      </w:r>
      <w:r w:rsidRPr="003A5FAB">
        <w:rPr>
          <w:i/>
          <w:color w:val="000000"/>
          <w:spacing w:val="-4"/>
          <w:sz w:val="16"/>
          <w:szCs w:val="16"/>
        </w:rPr>
        <w:t>supra</w:t>
      </w:r>
      <w:r w:rsidRPr="00476561">
        <w:rPr>
          <w:color w:val="000000"/>
          <w:spacing w:val="-4"/>
          <w:sz w:val="16"/>
          <w:szCs w:val="16"/>
        </w:rPr>
        <w:t>, párr</w:t>
      </w:r>
      <w:r>
        <w:rPr>
          <w:color w:val="000000"/>
          <w:spacing w:val="-4"/>
          <w:sz w:val="16"/>
          <w:szCs w:val="16"/>
        </w:rPr>
        <w:t>s</w:t>
      </w:r>
      <w:r w:rsidRPr="00476561">
        <w:rPr>
          <w:color w:val="000000"/>
          <w:spacing w:val="-4"/>
          <w:sz w:val="16"/>
          <w:szCs w:val="16"/>
        </w:rPr>
        <w:t xml:space="preserve">. </w:t>
      </w:r>
      <w:r w:rsidRPr="00476561">
        <w:rPr>
          <w:sz w:val="16"/>
          <w:szCs w:val="16"/>
          <w:lang w:val="es-AR"/>
        </w:rPr>
        <w:t>6</w:t>
      </w:r>
      <w:r>
        <w:rPr>
          <w:sz w:val="16"/>
          <w:szCs w:val="16"/>
          <w:lang w:val="es-AR"/>
        </w:rPr>
        <w:t>3 y 80.</w:t>
      </w:r>
    </w:p>
  </w:footnote>
  <w:footnote w:id="230">
    <w:p w:rsidR="00B41935" w:rsidRPr="00DB2FF6" w:rsidRDefault="00B41935" w:rsidP="00873835">
      <w:pPr>
        <w:pStyle w:val="FootnoteText"/>
        <w:rPr>
          <w:lang w:val="es-CR"/>
        </w:rPr>
      </w:pPr>
      <w:r>
        <w:rPr>
          <w:rStyle w:val="FootnoteReference"/>
        </w:rPr>
        <w:footnoteRef/>
      </w:r>
      <w:r>
        <w:t xml:space="preserve"> </w:t>
      </w:r>
      <w:r w:rsidRPr="00DB2FF6">
        <w:rPr>
          <w:lang w:val="es-CR"/>
        </w:rPr>
        <w:tab/>
      </w:r>
      <w:r w:rsidRPr="00552A48">
        <w:rPr>
          <w:i/>
          <w:sz w:val="16"/>
          <w:szCs w:val="16"/>
          <w:lang w:val="es-AR"/>
        </w:rPr>
        <w:t>Cfr. Caso Velásquez Rodríguez Vs. Honduras</w:t>
      </w:r>
      <w:r>
        <w:rPr>
          <w:i/>
          <w:sz w:val="16"/>
          <w:szCs w:val="16"/>
          <w:lang w:val="es-AR"/>
        </w:rPr>
        <w:t>. Fondo</w:t>
      </w:r>
      <w:r>
        <w:rPr>
          <w:sz w:val="16"/>
          <w:szCs w:val="16"/>
          <w:lang w:val="es-AR"/>
        </w:rPr>
        <w:t xml:space="preserve">, </w:t>
      </w:r>
      <w:r w:rsidRPr="003A5FAB">
        <w:rPr>
          <w:i/>
          <w:sz w:val="16"/>
          <w:szCs w:val="16"/>
          <w:lang w:val="pt-BR"/>
        </w:rPr>
        <w:t>supra</w:t>
      </w:r>
      <w:r w:rsidRPr="0000173B">
        <w:rPr>
          <w:sz w:val="16"/>
          <w:szCs w:val="16"/>
          <w:lang w:val="es-AR"/>
        </w:rPr>
        <w:t xml:space="preserve">, párrs. 130, 131 y 135, y </w:t>
      </w:r>
      <w:r w:rsidRPr="003D07CE">
        <w:rPr>
          <w:i/>
          <w:sz w:val="16"/>
          <w:szCs w:val="16"/>
          <w:lang w:val="es-AR"/>
        </w:rPr>
        <w:t xml:space="preserve">Caso </w:t>
      </w:r>
      <w:r w:rsidRPr="00476561">
        <w:rPr>
          <w:i/>
          <w:color w:val="000000"/>
          <w:spacing w:val="-4"/>
          <w:sz w:val="16"/>
          <w:szCs w:val="16"/>
        </w:rPr>
        <w:t>Munárriz Escobar y otros Vs. Perú</w:t>
      </w:r>
      <w:r>
        <w:rPr>
          <w:i/>
          <w:color w:val="000000"/>
          <w:spacing w:val="-4"/>
          <w:sz w:val="16"/>
          <w:szCs w:val="16"/>
        </w:rPr>
        <w:t xml:space="preserve">, </w:t>
      </w:r>
      <w:r w:rsidRPr="003A5FAB">
        <w:rPr>
          <w:i/>
          <w:color w:val="000000"/>
          <w:spacing w:val="-4"/>
          <w:sz w:val="16"/>
          <w:szCs w:val="16"/>
        </w:rPr>
        <w:t>supra</w:t>
      </w:r>
      <w:r w:rsidRPr="00476561">
        <w:rPr>
          <w:color w:val="000000"/>
          <w:spacing w:val="-4"/>
          <w:sz w:val="16"/>
          <w:szCs w:val="16"/>
        </w:rPr>
        <w:t xml:space="preserve">, párr. </w:t>
      </w:r>
      <w:r w:rsidRPr="00476561">
        <w:rPr>
          <w:sz w:val="16"/>
          <w:szCs w:val="16"/>
          <w:lang w:val="es-AR"/>
        </w:rPr>
        <w:t>6</w:t>
      </w:r>
      <w:r>
        <w:rPr>
          <w:sz w:val="16"/>
          <w:szCs w:val="16"/>
          <w:lang w:val="es-AR"/>
        </w:rPr>
        <w:t>7</w:t>
      </w:r>
      <w:r w:rsidRPr="00D83377">
        <w:rPr>
          <w:sz w:val="16"/>
          <w:szCs w:val="16"/>
          <w:lang w:val="es-AR"/>
        </w:rPr>
        <w:t>.</w:t>
      </w:r>
    </w:p>
  </w:footnote>
  <w:footnote w:id="231">
    <w:p w:rsidR="00B41935" w:rsidRPr="00D83377" w:rsidRDefault="00B41935" w:rsidP="00873835">
      <w:pPr>
        <w:pStyle w:val="FootnoteText"/>
        <w:rPr>
          <w:sz w:val="16"/>
          <w:szCs w:val="16"/>
          <w:lang w:val="es-AR"/>
        </w:rPr>
      </w:pPr>
      <w:r w:rsidRPr="00CC214C">
        <w:rPr>
          <w:rStyle w:val="FootnoteReference"/>
        </w:rPr>
        <w:footnoteRef/>
      </w:r>
      <w:r w:rsidRPr="00CC214C">
        <w:rPr>
          <w:sz w:val="16"/>
          <w:szCs w:val="16"/>
          <w:lang w:val="es-AR"/>
        </w:rPr>
        <w:t xml:space="preserve"> </w:t>
      </w:r>
      <w:r w:rsidRPr="00CC214C">
        <w:rPr>
          <w:sz w:val="16"/>
          <w:szCs w:val="16"/>
          <w:lang w:val="es-AR"/>
        </w:rPr>
        <w:tab/>
      </w:r>
      <w:r w:rsidRPr="00552A48">
        <w:rPr>
          <w:i/>
          <w:sz w:val="16"/>
          <w:szCs w:val="16"/>
          <w:lang w:val="es-AR"/>
        </w:rPr>
        <w:t>Cfr. Caso Velásquez Rodríguez Vs. Honduras</w:t>
      </w:r>
      <w:r>
        <w:rPr>
          <w:i/>
          <w:sz w:val="16"/>
          <w:szCs w:val="16"/>
          <w:lang w:val="es-AR"/>
        </w:rPr>
        <w:t>. Fondo</w:t>
      </w:r>
      <w:r>
        <w:rPr>
          <w:sz w:val="16"/>
          <w:szCs w:val="16"/>
          <w:lang w:val="es-AR"/>
        </w:rPr>
        <w:t xml:space="preserve">, </w:t>
      </w:r>
      <w:r w:rsidRPr="003A5FAB">
        <w:rPr>
          <w:i/>
          <w:sz w:val="16"/>
          <w:szCs w:val="16"/>
          <w:lang w:val="pt-BR"/>
        </w:rPr>
        <w:t>supra</w:t>
      </w:r>
      <w:r w:rsidRPr="0000173B">
        <w:rPr>
          <w:sz w:val="16"/>
          <w:szCs w:val="16"/>
          <w:lang w:val="es-AR"/>
        </w:rPr>
        <w:t xml:space="preserve">, párrs. 130, 131 y 135, y </w:t>
      </w:r>
      <w:r w:rsidRPr="003D07CE">
        <w:rPr>
          <w:i/>
          <w:sz w:val="16"/>
          <w:szCs w:val="16"/>
          <w:lang w:val="es-AR"/>
        </w:rPr>
        <w:t xml:space="preserve">Caso </w:t>
      </w:r>
      <w:r w:rsidRPr="00476561">
        <w:rPr>
          <w:i/>
          <w:color w:val="000000"/>
          <w:spacing w:val="-4"/>
          <w:sz w:val="16"/>
          <w:szCs w:val="16"/>
        </w:rPr>
        <w:t>Munárriz Escobar y otros Vs. Perú</w:t>
      </w:r>
      <w:r>
        <w:rPr>
          <w:i/>
          <w:color w:val="000000"/>
          <w:spacing w:val="-4"/>
          <w:sz w:val="16"/>
          <w:szCs w:val="16"/>
        </w:rPr>
        <w:t xml:space="preserve">, </w:t>
      </w:r>
      <w:r w:rsidRPr="003A5FAB">
        <w:rPr>
          <w:i/>
          <w:color w:val="000000"/>
          <w:spacing w:val="-4"/>
          <w:sz w:val="16"/>
          <w:szCs w:val="16"/>
        </w:rPr>
        <w:t>supra</w:t>
      </w:r>
      <w:r w:rsidRPr="00476561">
        <w:rPr>
          <w:color w:val="000000"/>
          <w:spacing w:val="-4"/>
          <w:sz w:val="16"/>
          <w:szCs w:val="16"/>
        </w:rPr>
        <w:t xml:space="preserve">, párr. </w:t>
      </w:r>
      <w:r w:rsidRPr="00476561">
        <w:rPr>
          <w:sz w:val="16"/>
          <w:szCs w:val="16"/>
          <w:lang w:val="es-AR"/>
        </w:rPr>
        <w:t>6</w:t>
      </w:r>
      <w:r>
        <w:rPr>
          <w:sz w:val="16"/>
          <w:szCs w:val="16"/>
          <w:lang w:val="es-AR"/>
        </w:rPr>
        <w:t>7</w:t>
      </w:r>
      <w:r w:rsidRPr="00D83377">
        <w:rPr>
          <w:sz w:val="16"/>
          <w:szCs w:val="16"/>
          <w:lang w:val="es-AR"/>
        </w:rPr>
        <w:t>.</w:t>
      </w:r>
    </w:p>
  </w:footnote>
  <w:footnote w:id="232">
    <w:p w:rsidR="00B41935" w:rsidRPr="00D83377" w:rsidRDefault="00B41935" w:rsidP="00873835">
      <w:pPr>
        <w:pStyle w:val="FootnoteText"/>
        <w:rPr>
          <w:sz w:val="16"/>
          <w:szCs w:val="16"/>
          <w:lang w:val="es-AR"/>
        </w:rPr>
      </w:pPr>
      <w:r w:rsidRPr="00CC214C">
        <w:rPr>
          <w:rStyle w:val="FootnoteReference"/>
        </w:rPr>
        <w:footnoteRef/>
      </w:r>
      <w:r w:rsidRPr="00CC214C">
        <w:rPr>
          <w:sz w:val="16"/>
          <w:szCs w:val="16"/>
          <w:lang w:val="es-AR"/>
        </w:rPr>
        <w:t xml:space="preserve"> </w:t>
      </w:r>
      <w:r w:rsidRPr="00CC214C">
        <w:rPr>
          <w:sz w:val="16"/>
          <w:szCs w:val="16"/>
          <w:lang w:val="es-AR"/>
        </w:rPr>
        <w:tab/>
      </w:r>
      <w:r w:rsidRPr="00552A48">
        <w:rPr>
          <w:i/>
          <w:sz w:val="16"/>
          <w:szCs w:val="16"/>
          <w:lang w:val="es-AR"/>
        </w:rPr>
        <w:t>Cfr. Caso Velásquez Rodríguez Vs. Honduras</w:t>
      </w:r>
      <w:r>
        <w:rPr>
          <w:i/>
          <w:sz w:val="16"/>
          <w:szCs w:val="16"/>
          <w:lang w:val="es-AR"/>
        </w:rPr>
        <w:t>. Fondo</w:t>
      </w:r>
      <w:r>
        <w:rPr>
          <w:sz w:val="16"/>
          <w:szCs w:val="16"/>
          <w:lang w:val="es-AR"/>
        </w:rPr>
        <w:t xml:space="preserve">, </w:t>
      </w:r>
      <w:r w:rsidRPr="003A5FAB">
        <w:rPr>
          <w:i/>
          <w:sz w:val="16"/>
          <w:szCs w:val="16"/>
          <w:lang w:val="pt-BR"/>
        </w:rPr>
        <w:t>supra</w:t>
      </w:r>
      <w:r w:rsidRPr="0000173B">
        <w:rPr>
          <w:sz w:val="16"/>
          <w:szCs w:val="16"/>
          <w:lang w:val="es-AR"/>
        </w:rPr>
        <w:t xml:space="preserve">, párrs. 130, 131 y 135, y </w:t>
      </w:r>
      <w:r w:rsidRPr="00476561">
        <w:rPr>
          <w:i/>
          <w:color w:val="000000"/>
          <w:spacing w:val="-4"/>
          <w:sz w:val="16"/>
          <w:szCs w:val="16"/>
        </w:rPr>
        <w:t>Caso Munárriz Escobar y otros Vs. Perú</w:t>
      </w:r>
      <w:r w:rsidRPr="00476561">
        <w:rPr>
          <w:color w:val="000000"/>
          <w:spacing w:val="-4"/>
          <w:sz w:val="16"/>
          <w:szCs w:val="16"/>
        </w:rPr>
        <w:t xml:space="preserve">, </w:t>
      </w:r>
      <w:r w:rsidRPr="0049438A">
        <w:rPr>
          <w:i/>
          <w:color w:val="000000"/>
          <w:spacing w:val="-4"/>
          <w:sz w:val="16"/>
          <w:szCs w:val="16"/>
        </w:rPr>
        <w:t>supra</w:t>
      </w:r>
      <w:r>
        <w:rPr>
          <w:color w:val="000000"/>
          <w:spacing w:val="-4"/>
          <w:sz w:val="16"/>
          <w:szCs w:val="16"/>
        </w:rPr>
        <w:t xml:space="preserve">, </w:t>
      </w:r>
      <w:r w:rsidRPr="00476561">
        <w:rPr>
          <w:color w:val="000000"/>
          <w:spacing w:val="-4"/>
          <w:sz w:val="16"/>
          <w:szCs w:val="16"/>
        </w:rPr>
        <w:t xml:space="preserve">párr. </w:t>
      </w:r>
      <w:r w:rsidRPr="00476561">
        <w:rPr>
          <w:sz w:val="16"/>
          <w:szCs w:val="16"/>
          <w:lang w:val="es-AR"/>
        </w:rPr>
        <w:t>6</w:t>
      </w:r>
      <w:r>
        <w:rPr>
          <w:sz w:val="16"/>
          <w:szCs w:val="16"/>
          <w:lang w:val="es-AR"/>
        </w:rPr>
        <w:t>7.</w:t>
      </w:r>
    </w:p>
  </w:footnote>
  <w:footnote w:id="233">
    <w:p w:rsidR="00B41935" w:rsidRPr="00856BC6" w:rsidRDefault="00B41935" w:rsidP="00873835">
      <w:pPr>
        <w:pStyle w:val="FootnoteText"/>
        <w:rPr>
          <w:rFonts w:eastAsia="Verdana" w:cs="Verdana"/>
          <w:sz w:val="16"/>
          <w:szCs w:val="16"/>
          <w:lang w:val="es-CR"/>
        </w:rPr>
      </w:pPr>
      <w:r w:rsidRPr="008B3270">
        <w:rPr>
          <w:rStyle w:val="FootnoteReference"/>
        </w:rPr>
        <w:footnoteRef/>
      </w:r>
      <w:r w:rsidRPr="008B3270">
        <w:rPr>
          <w:sz w:val="16"/>
          <w:szCs w:val="16"/>
          <w:lang w:val="es-CR"/>
        </w:rPr>
        <w:t xml:space="preserve"> </w:t>
      </w:r>
      <w:r>
        <w:rPr>
          <w:sz w:val="16"/>
          <w:szCs w:val="16"/>
          <w:lang w:val="es-CR"/>
        </w:rPr>
        <w:tab/>
      </w:r>
      <w:r w:rsidRPr="008E4124">
        <w:rPr>
          <w:i/>
          <w:sz w:val="16"/>
          <w:szCs w:val="16"/>
          <w:lang w:val="es-CR"/>
        </w:rPr>
        <w:t xml:space="preserve">Cfr. </w:t>
      </w:r>
      <w:r w:rsidRPr="008E4124">
        <w:rPr>
          <w:i/>
          <w:sz w:val="16"/>
          <w:szCs w:val="16"/>
          <w:lang w:val="es-AR"/>
        </w:rPr>
        <w:t>Fairén Garbi y Solís Corrales Vs. Honduras</w:t>
      </w:r>
      <w:r>
        <w:rPr>
          <w:sz w:val="16"/>
          <w:szCs w:val="16"/>
          <w:lang w:val="es-CR"/>
        </w:rPr>
        <w:t xml:space="preserve">. </w:t>
      </w:r>
      <w:r w:rsidRPr="00D10CCA">
        <w:rPr>
          <w:i/>
          <w:sz w:val="16"/>
          <w:szCs w:val="16"/>
          <w:lang w:val="es-CR"/>
        </w:rPr>
        <w:t>Fondo</w:t>
      </w:r>
      <w:r>
        <w:rPr>
          <w:sz w:val="16"/>
          <w:szCs w:val="16"/>
          <w:lang w:val="es-CR"/>
        </w:rPr>
        <w:t>. Sentencia de 15 de marzo de 1989. Serie C. No. 6,</w:t>
      </w:r>
      <w:r w:rsidRPr="008B3270">
        <w:rPr>
          <w:sz w:val="16"/>
          <w:szCs w:val="16"/>
          <w:lang w:val="es-CR"/>
        </w:rPr>
        <w:t xml:space="preserve"> </w:t>
      </w:r>
      <w:r>
        <w:rPr>
          <w:sz w:val="16"/>
          <w:szCs w:val="16"/>
          <w:lang w:val="es-CR"/>
        </w:rPr>
        <w:t>párrs. 157</w:t>
      </w:r>
      <w:r w:rsidRPr="008B3270">
        <w:rPr>
          <w:sz w:val="16"/>
          <w:szCs w:val="16"/>
          <w:lang w:val="es-CR"/>
        </w:rPr>
        <w:t xml:space="preserve">. </w:t>
      </w:r>
    </w:p>
  </w:footnote>
  <w:footnote w:id="234">
    <w:p w:rsidR="00B41935" w:rsidRPr="00DB2FF6" w:rsidRDefault="00B41935" w:rsidP="00873835">
      <w:pPr>
        <w:pStyle w:val="FootnoteText"/>
        <w:rPr>
          <w:lang w:val="es-CR"/>
        </w:rPr>
      </w:pPr>
      <w:r>
        <w:rPr>
          <w:rStyle w:val="FootnoteReference"/>
        </w:rPr>
        <w:footnoteRef/>
      </w:r>
      <w:r>
        <w:t xml:space="preserve"> </w:t>
      </w:r>
      <w:r w:rsidRPr="00DB2FF6">
        <w:rPr>
          <w:lang w:val="es-CR"/>
        </w:rPr>
        <w:tab/>
      </w:r>
      <w:r w:rsidRPr="00476561">
        <w:rPr>
          <w:i/>
          <w:spacing w:val="-4"/>
          <w:sz w:val="16"/>
          <w:szCs w:val="16"/>
        </w:rPr>
        <w:t xml:space="preserve">Cfr. </w:t>
      </w:r>
      <w:r w:rsidRPr="00476561">
        <w:rPr>
          <w:i/>
          <w:spacing w:val="-4"/>
          <w:sz w:val="16"/>
          <w:szCs w:val="16"/>
          <w:lang w:val="es-VE"/>
        </w:rPr>
        <w:t>Caso Velásquez Rodríguez Vs. Honduras</w:t>
      </w:r>
      <w:r>
        <w:rPr>
          <w:i/>
          <w:sz w:val="16"/>
          <w:szCs w:val="16"/>
          <w:lang w:val="es-AR"/>
        </w:rPr>
        <w:t>. Fondo</w:t>
      </w:r>
      <w:r>
        <w:rPr>
          <w:i/>
          <w:spacing w:val="-4"/>
          <w:sz w:val="16"/>
          <w:szCs w:val="16"/>
          <w:lang w:val="es-VE"/>
        </w:rPr>
        <w:t xml:space="preserve">, </w:t>
      </w:r>
      <w:r w:rsidRPr="003A5FAB">
        <w:rPr>
          <w:i/>
          <w:sz w:val="16"/>
          <w:szCs w:val="16"/>
          <w:lang w:val="pt-BR"/>
        </w:rPr>
        <w:t>supra</w:t>
      </w:r>
      <w:r w:rsidRPr="00476561">
        <w:rPr>
          <w:rStyle w:val="FootnoteTextChar"/>
          <w:spacing w:val="-4"/>
          <w:sz w:val="16"/>
          <w:szCs w:val="16"/>
        </w:rPr>
        <w:t>, párr</w:t>
      </w:r>
      <w:r>
        <w:rPr>
          <w:rStyle w:val="FootnoteTextChar"/>
          <w:spacing w:val="-4"/>
          <w:sz w:val="16"/>
          <w:szCs w:val="16"/>
        </w:rPr>
        <w:t xml:space="preserve">. 134, y </w:t>
      </w:r>
      <w:r>
        <w:rPr>
          <w:rStyle w:val="FootnoteTextChar"/>
          <w:i/>
          <w:spacing w:val="-4"/>
          <w:sz w:val="16"/>
          <w:szCs w:val="16"/>
        </w:rPr>
        <w:t xml:space="preserve">Caso </w:t>
      </w:r>
      <w:r w:rsidRPr="00476561">
        <w:rPr>
          <w:i/>
          <w:sz w:val="16"/>
          <w:szCs w:val="16"/>
        </w:rPr>
        <w:t>Tenorio Roca y otros Vs. Perú</w:t>
      </w:r>
      <w:r>
        <w:rPr>
          <w:i/>
          <w:color w:val="000000"/>
          <w:spacing w:val="-4"/>
          <w:sz w:val="16"/>
          <w:szCs w:val="16"/>
        </w:rPr>
        <w:t xml:space="preserve">, </w:t>
      </w:r>
      <w:r w:rsidRPr="003A5FAB">
        <w:rPr>
          <w:i/>
          <w:color w:val="000000"/>
          <w:spacing w:val="-4"/>
          <w:sz w:val="16"/>
          <w:szCs w:val="16"/>
        </w:rPr>
        <w:t>supra</w:t>
      </w:r>
      <w:r>
        <w:rPr>
          <w:sz w:val="16"/>
          <w:szCs w:val="16"/>
        </w:rPr>
        <w:t>,</w:t>
      </w:r>
      <w:r w:rsidRPr="0084774A">
        <w:rPr>
          <w:sz w:val="16"/>
          <w:szCs w:val="16"/>
        </w:rPr>
        <w:t xml:space="preserve"> párr. 144.</w:t>
      </w:r>
    </w:p>
  </w:footnote>
  <w:footnote w:id="235">
    <w:p w:rsidR="00B41935" w:rsidRPr="0084774A" w:rsidRDefault="00B41935" w:rsidP="00873835">
      <w:pPr>
        <w:pStyle w:val="FootnoteText"/>
      </w:pPr>
      <w:r>
        <w:rPr>
          <w:rStyle w:val="FootnoteReference"/>
        </w:rPr>
        <w:footnoteRef/>
      </w:r>
      <w:r>
        <w:t xml:space="preserve"> </w:t>
      </w:r>
      <w:r>
        <w:tab/>
      </w:r>
      <w:r w:rsidRPr="0084774A">
        <w:rPr>
          <w:i/>
          <w:sz w:val="16"/>
          <w:szCs w:val="16"/>
        </w:rPr>
        <w:t xml:space="preserve">Cfr. </w:t>
      </w:r>
      <w:r w:rsidRPr="005D6F7E">
        <w:rPr>
          <w:i/>
          <w:sz w:val="16"/>
          <w:szCs w:val="16"/>
        </w:rPr>
        <w:t xml:space="preserve">Caso de la Masacre de Pueblo Bello Vs. Colombia. Sentencia de 31 de enero de 2006. </w:t>
      </w:r>
      <w:r w:rsidRPr="00476561">
        <w:rPr>
          <w:sz w:val="16"/>
          <w:szCs w:val="16"/>
        </w:rPr>
        <w:t>Serie C No. 140., párr. 118,</w:t>
      </w:r>
      <w:r w:rsidRPr="0084774A">
        <w:rPr>
          <w:i/>
          <w:sz w:val="16"/>
          <w:szCs w:val="16"/>
        </w:rPr>
        <w:t xml:space="preserve"> </w:t>
      </w:r>
      <w:r>
        <w:rPr>
          <w:sz w:val="16"/>
          <w:szCs w:val="16"/>
        </w:rPr>
        <w:t xml:space="preserve">y </w:t>
      </w:r>
      <w:r w:rsidRPr="00476561">
        <w:rPr>
          <w:i/>
          <w:sz w:val="16"/>
          <w:szCs w:val="16"/>
        </w:rPr>
        <w:t>Caso Tenorio Roca y otros Vs. Perú</w:t>
      </w:r>
      <w:r>
        <w:rPr>
          <w:i/>
          <w:sz w:val="16"/>
          <w:szCs w:val="16"/>
        </w:rPr>
        <w:t xml:space="preserve">, </w:t>
      </w:r>
      <w:r w:rsidRPr="003A5FAB">
        <w:rPr>
          <w:rStyle w:val="Strong"/>
          <w:b w:val="0"/>
          <w:i/>
          <w:color w:val="000000"/>
          <w:sz w:val="16"/>
          <w:szCs w:val="16"/>
          <w:shd w:val="clear" w:color="auto" w:fill="FFFFFF"/>
        </w:rPr>
        <w:t>supra</w:t>
      </w:r>
      <w:r>
        <w:rPr>
          <w:sz w:val="16"/>
          <w:szCs w:val="16"/>
        </w:rPr>
        <w:t>,</w:t>
      </w:r>
      <w:r w:rsidRPr="0084774A">
        <w:rPr>
          <w:sz w:val="16"/>
          <w:szCs w:val="16"/>
        </w:rPr>
        <w:t xml:space="preserve"> párr. 144.</w:t>
      </w:r>
    </w:p>
  </w:footnote>
  <w:footnote w:id="236">
    <w:p w:rsidR="00B41935" w:rsidRPr="00D10CCA" w:rsidRDefault="00B41935" w:rsidP="00873835">
      <w:pPr>
        <w:pStyle w:val="FootnoteText"/>
        <w:rPr>
          <w:spacing w:val="-4"/>
          <w:sz w:val="16"/>
          <w:szCs w:val="16"/>
          <w:lang w:val="es-VE"/>
        </w:rPr>
      </w:pPr>
      <w:r w:rsidRPr="00AE7626">
        <w:rPr>
          <w:rStyle w:val="FootnoteReference"/>
          <w:spacing w:val="-4"/>
        </w:rPr>
        <w:footnoteRef/>
      </w:r>
      <w:r w:rsidRPr="00AE7626">
        <w:rPr>
          <w:spacing w:val="-4"/>
          <w:sz w:val="16"/>
          <w:szCs w:val="16"/>
          <w:lang w:val="es-VE"/>
        </w:rPr>
        <w:t xml:space="preserve"> </w:t>
      </w:r>
      <w:r w:rsidRPr="00AE7626">
        <w:rPr>
          <w:spacing w:val="-4"/>
          <w:sz w:val="16"/>
          <w:szCs w:val="16"/>
          <w:lang w:val="es-VE"/>
        </w:rPr>
        <w:tab/>
      </w:r>
      <w:r w:rsidRPr="00AE7626">
        <w:rPr>
          <w:i/>
          <w:spacing w:val="-4"/>
          <w:sz w:val="16"/>
          <w:szCs w:val="16"/>
        </w:rPr>
        <w:t xml:space="preserve">Cfr. </w:t>
      </w:r>
      <w:r w:rsidRPr="00AE7626">
        <w:rPr>
          <w:i/>
          <w:spacing w:val="-4"/>
          <w:sz w:val="16"/>
          <w:szCs w:val="16"/>
          <w:lang w:val="es-VE"/>
        </w:rPr>
        <w:t xml:space="preserve">Caso Velásquez Rodríguez Vs. Honduras. Fondo, </w:t>
      </w:r>
      <w:r w:rsidRPr="00AE7626">
        <w:rPr>
          <w:i/>
          <w:sz w:val="16"/>
          <w:szCs w:val="16"/>
          <w:lang w:val="pt-BR"/>
        </w:rPr>
        <w:t>supra</w:t>
      </w:r>
      <w:r w:rsidRPr="00AE7626">
        <w:rPr>
          <w:color w:val="000000"/>
          <w:spacing w:val="-4"/>
          <w:sz w:val="16"/>
          <w:szCs w:val="16"/>
        </w:rPr>
        <w:t xml:space="preserve">, párr. </w:t>
      </w:r>
      <w:r w:rsidRPr="00AE7626">
        <w:rPr>
          <w:sz w:val="16"/>
          <w:szCs w:val="16"/>
          <w:lang w:val="es-AR"/>
        </w:rPr>
        <w:t>128</w:t>
      </w:r>
      <w:r w:rsidRPr="00AE7626">
        <w:rPr>
          <w:color w:val="000000"/>
          <w:spacing w:val="-4"/>
          <w:sz w:val="16"/>
          <w:szCs w:val="16"/>
        </w:rPr>
        <w:t>.</w:t>
      </w:r>
    </w:p>
  </w:footnote>
  <w:footnote w:id="237">
    <w:p w:rsidR="00B41935" w:rsidRPr="0011216A" w:rsidRDefault="00B41935" w:rsidP="00873835">
      <w:pPr>
        <w:pStyle w:val="FootnoteText"/>
      </w:pPr>
      <w:r>
        <w:rPr>
          <w:rStyle w:val="FootnoteReference"/>
        </w:rPr>
        <w:footnoteRef/>
      </w:r>
      <w:r>
        <w:t xml:space="preserve"> </w:t>
      </w:r>
      <w:r>
        <w:tab/>
      </w:r>
      <w:r w:rsidRPr="00D10CCA">
        <w:rPr>
          <w:i/>
          <w:spacing w:val="-4"/>
          <w:sz w:val="16"/>
          <w:szCs w:val="16"/>
        </w:rPr>
        <w:t xml:space="preserve">Cfr. </w:t>
      </w:r>
      <w:r w:rsidRPr="00FF20D9">
        <w:rPr>
          <w:i/>
          <w:sz w:val="16"/>
          <w:szCs w:val="16"/>
        </w:rPr>
        <w:t>Caso De La Cruz Flores Vs. Perú</w:t>
      </w:r>
      <w:r>
        <w:rPr>
          <w:rStyle w:val="Strong"/>
          <w:b w:val="0"/>
          <w:i/>
          <w:color w:val="000000"/>
          <w:sz w:val="16"/>
          <w:szCs w:val="16"/>
          <w:shd w:val="clear" w:color="auto" w:fill="FFFFFF"/>
        </w:rPr>
        <w:t>, supra</w:t>
      </w:r>
      <w:r w:rsidRPr="0014244F">
        <w:rPr>
          <w:sz w:val="16"/>
          <w:szCs w:val="16"/>
        </w:rPr>
        <w:t>,</w:t>
      </w:r>
      <w:r w:rsidRPr="00FF20D9" w:rsidDel="008560BC">
        <w:t xml:space="preserve"> </w:t>
      </w:r>
      <w:r w:rsidRPr="008560BC">
        <w:rPr>
          <w:color w:val="000000"/>
          <w:spacing w:val="-4"/>
          <w:sz w:val="16"/>
          <w:szCs w:val="16"/>
        </w:rPr>
        <w:t xml:space="preserve">párr. </w:t>
      </w:r>
      <w:r w:rsidRPr="008560BC">
        <w:rPr>
          <w:sz w:val="16"/>
          <w:szCs w:val="16"/>
          <w:lang w:val="es-AR"/>
        </w:rPr>
        <w:t xml:space="preserve">68, </w:t>
      </w:r>
      <w:r w:rsidRPr="00FF20D9">
        <w:rPr>
          <w:sz w:val="16"/>
          <w:szCs w:val="16"/>
        </w:rPr>
        <w:t xml:space="preserve">y </w:t>
      </w:r>
      <w:r w:rsidRPr="00BF5357">
        <w:rPr>
          <w:i/>
          <w:sz w:val="16"/>
          <w:szCs w:val="16"/>
        </w:rPr>
        <w:t xml:space="preserve">Caso </w:t>
      </w:r>
      <w:r w:rsidRPr="00FF20D9">
        <w:rPr>
          <w:bCs/>
          <w:i/>
          <w:iCs/>
          <w:sz w:val="16"/>
          <w:szCs w:val="16"/>
          <w:lang w:val="es-ES"/>
        </w:rPr>
        <w:t>Pollo Rivera y otros Vs. Perú</w:t>
      </w:r>
      <w:r>
        <w:rPr>
          <w:bCs/>
          <w:i/>
          <w:iCs/>
          <w:sz w:val="16"/>
          <w:szCs w:val="16"/>
          <w:lang w:val="es-ES"/>
        </w:rPr>
        <w:t>, supra</w:t>
      </w:r>
      <w:r w:rsidRPr="00FF20D9">
        <w:rPr>
          <w:bCs/>
          <w:iCs/>
          <w:sz w:val="16"/>
          <w:szCs w:val="16"/>
          <w:lang w:val="es-ES"/>
        </w:rPr>
        <w:t>,</w:t>
      </w:r>
      <w:r w:rsidRPr="00FF20D9">
        <w:rPr>
          <w:i/>
          <w:iCs/>
          <w:sz w:val="16"/>
          <w:szCs w:val="16"/>
        </w:rPr>
        <w:t xml:space="preserve"> </w:t>
      </w:r>
      <w:r>
        <w:rPr>
          <w:sz w:val="16"/>
          <w:szCs w:val="16"/>
        </w:rPr>
        <w:t>párr. 213</w:t>
      </w:r>
      <w:r w:rsidRPr="00FF20D9">
        <w:rPr>
          <w:sz w:val="16"/>
          <w:szCs w:val="16"/>
        </w:rPr>
        <w:t>.</w:t>
      </w:r>
    </w:p>
  </w:footnote>
  <w:footnote w:id="238">
    <w:p w:rsidR="00B41935" w:rsidRPr="00D407FF" w:rsidRDefault="00B41935" w:rsidP="00873835">
      <w:pPr>
        <w:pStyle w:val="FootnoteText"/>
        <w:rPr>
          <w:sz w:val="16"/>
          <w:szCs w:val="16"/>
          <w:lang w:val="es-AR"/>
        </w:rPr>
      </w:pPr>
      <w:r w:rsidRPr="00D407FF">
        <w:rPr>
          <w:rStyle w:val="FootnoteReference"/>
        </w:rPr>
        <w:footnoteRef/>
      </w:r>
      <w:r w:rsidRPr="00D407FF">
        <w:rPr>
          <w:sz w:val="16"/>
          <w:szCs w:val="16"/>
          <w:lang w:val="es-AR"/>
        </w:rPr>
        <w:t xml:space="preserve"> </w:t>
      </w:r>
      <w:r w:rsidRPr="00D407FF">
        <w:rPr>
          <w:sz w:val="16"/>
          <w:szCs w:val="16"/>
          <w:lang w:val="es-AR"/>
        </w:rPr>
        <w:tab/>
      </w:r>
      <w:r>
        <w:rPr>
          <w:sz w:val="16"/>
          <w:szCs w:val="16"/>
          <w:lang w:val="es-AR"/>
        </w:rPr>
        <w:t xml:space="preserve">Entrevista a </w:t>
      </w:r>
      <w:r w:rsidRPr="00D407FF">
        <w:rPr>
          <w:sz w:val="16"/>
          <w:szCs w:val="16"/>
          <w:lang w:val="es-AR"/>
        </w:rPr>
        <w:t xml:space="preserve">Clemente Alayo Calderón, </w:t>
      </w:r>
      <w:r>
        <w:rPr>
          <w:sz w:val="16"/>
          <w:szCs w:val="16"/>
          <w:lang w:val="es-AR"/>
        </w:rPr>
        <w:t>Di</w:t>
      </w:r>
      <w:r w:rsidRPr="00D407FF">
        <w:rPr>
          <w:sz w:val="16"/>
          <w:szCs w:val="16"/>
          <w:lang w:val="es-AR"/>
        </w:rPr>
        <w:t>ario C</w:t>
      </w:r>
      <w:r>
        <w:rPr>
          <w:sz w:val="16"/>
          <w:szCs w:val="16"/>
          <w:lang w:val="es-AR"/>
        </w:rPr>
        <w:t>aretas el 26 de julio de 2011</w:t>
      </w:r>
      <w:r w:rsidRPr="00D407FF">
        <w:rPr>
          <w:sz w:val="16"/>
          <w:szCs w:val="16"/>
          <w:lang w:val="es-AR"/>
        </w:rPr>
        <w:t>. (</w:t>
      </w:r>
      <w:r w:rsidRPr="00D407FF">
        <w:rPr>
          <w:i/>
          <w:sz w:val="16"/>
          <w:szCs w:val="16"/>
          <w:lang w:val="es-AR"/>
        </w:rPr>
        <w:t>Cfr</w:t>
      </w:r>
      <w:r w:rsidRPr="00D407FF">
        <w:rPr>
          <w:sz w:val="16"/>
          <w:szCs w:val="16"/>
          <w:lang w:val="es-AR"/>
        </w:rPr>
        <w:t>. Nota periodística revista Caretas de 26 de julio de 2001 (expediente de prueba, anexo 2 al Informe de Fondo, f. 18).</w:t>
      </w:r>
      <w:r w:rsidRPr="00C16D6E">
        <w:rPr>
          <w:lang w:val="es-AR"/>
        </w:rPr>
        <w:t xml:space="preserve"> </w:t>
      </w:r>
    </w:p>
  </w:footnote>
  <w:footnote w:id="239">
    <w:p w:rsidR="00B41935" w:rsidRPr="008E6141" w:rsidRDefault="00B41935" w:rsidP="000F7525">
      <w:pPr>
        <w:pStyle w:val="FootnoteText"/>
        <w:rPr>
          <w:sz w:val="16"/>
          <w:szCs w:val="16"/>
          <w:lang w:val="es-ES_tradnl"/>
        </w:rPr>
      </w:pPr>
      <w:r w:rsidRPr="000F7525">
        <w:rPr>
          <w:rStyle w:val="FootnoteReference"/>
        </w:rPr>
        <w:footnoteRef/>
      </w:r>
      <w:r w:rsidRPr="000F7525">
        <w:rPr>
          <w:sz w:val="16"/>
          <w:szCs w:val="16"/>
        </w:rPr>
        <w:t xml:space="preserve"> </w:t>
      </w:r>
      <w:r w:rsidRPr="000F7525">
        <w:rPr>
          <w:sz w:val="16"/>
          <w:szCs w:val="16"/>
          <w:lang w:val="es-ES_tradnl"/>
        </w:rPr>
        <w:tab/>
      </w:r>
      <w:r w:rsidRPr="000F7525">
        <w:rPr>
          <w:i/>
          <w:sz w:val="16"/>
          <w:szCs w:val="16"/>
          <w:lang w:val="es-AR"/>
        </w:rPr>
        <w:t>Cfr</w:t>
      </w:r>
      <w:r w:rsidRPr="000F7525">
        <w:rPr>
          <w:sz w:val="16"/>
          <w:szCs w:val="16"/>
          <w:lang w:val="es-AR"/>
        </w:rPr>
        <w:t xml:space="preserve">. </w:t>
      </w:r>
      <w:r w:rsidRPr="000F7525">
        <w:rPr>
          <w:rStyle w:val="Strong"/>
          <w:b w:val="0"/>
          <w:i/>
          <w:color w:val="000000"/>
          <w:sz w:val="16"/>
          <w:szCs w:val="16"/>
          <w:shd w:val="clear" w:color="auto" w:fill="FFFFFF"/>
        </w:rPr>
        <w:t>Caso Velásquez Rodríguez Vs. Hondura</w:t>
      </w:r>
      <w:r>
        <w:rPr>
          <w:rStyle w:val="Strong"/>
          <w:b w:val="0"/>
          <w:i/>
          <w:color w:val="000000"/>
          <w:sz w:val="16"/>
          <w:szCs w:val="16"/>
          <w:shd w:val="clear" w:color="auto" w:fill="FFFFFF"/>
        </w:rPr>
        <w:t>s</w:t>
      </w:r>
      <w:r>
        <w:rPr>
          <w:i/>
          <w:sz w:val="16"/>
          <w:szCs w:val="16"/>
          <w:lang w:val="es-AR"/>
        </w:rPr>
        <w:t>. Fondo</w:t>
      </w:r>
      <w:r>
        <w:rPr>
          <w:rStyle w:val="Strong"/>
          <w:b w:val="0"/>
          <w:i/>
          <w:color w:val="000000"/>
          <w:sz w:val="16"/>
          <w:szCs w:val="16"/>
          <w:shd w:val="clear" w:color="auto" w:fill="FFFFFF"/>
        </w:rPr>
        <w:t xml:space="preserve">, </w:t>
      </w:r>
      <w:r w:rsidRPr="003A5FAB">
        <w:rPr>
          <w:i/>
          <w:sz w:val="16"/>
          <w:szCs w:val="16"/>
          <w:lang w:val="pt-BR"/>
        </w:rPr>
        <w:t>supra</w:t>
      </w:r>
      <w:r w:rsidRPr="000F7525">
        <w:rPr>
          <w:sz w:val="16"/>
          <w:szCs w:val="16"/>
          <w:lang w:val="es-AR"/>
        </w:rPr>
        <w:t>, párr. 140;</w:t>
      </w:r>
      <w:r w:rsidRPr="000F7525">
        <w:rPr>
          <w:b/>
          <w:sz w:val="16"/>
          <w:szCs w:val="16"/>
          <w:lang w:val="es-AR"/>
        </w:rPr>
        <w:t xml:space="preserve"> </w:t>
      </w:r>
      <w:r w:rsidRPr="000F7525">
        <w:rPr>
          <w:rStyle w:val="Strong"/>
          <w:b w:val="0"/>
          <w:i/>
          <w:color w:val="000000"/>
          <w:sz w:val="16"/>
          <w:szCs w:val="16"/>
          <w:shd w:val="clear" w:color="auto" w:fill="FFFFFF"/>
        </w:rPr>
        <w:t>Caso Acosta y otros Vs. Nicaragua. Excepciones Preliminares, Fondo, Reparaciones y Costas</w:t>
      </w:r>
      <w:r w:rsidRPr="000F7525">
        <w:rPr>
          <w:rStyle w:val="Strong"/>
          <w:b w:val="0"/>
          <w:color w:val="000000"/>
          <w:sz w:val="16"/>
          <w:szCs w:val="16"/>
          <w:shd w:val="clear" w:color="auto" w:fill="FFFFFF"/>
        </w:rPr>
        <w:t>. Sentencia de 25 de marzo de 2017. Serie C No. 334, párr. 22</w:t>
      </w:r>
      <w:r w:rsidRPr="000F7525">
        <w:rPr>
          <w:sz w:val="16"/>
          <w:szCs w:val="16"/>
          <w:lang w:val="es-AR"/>
        </w:rPr>
        <w:t xml:space="preserve">, y </w:t>
      </w:r>
      <w:r w:rsidRPr="007F1C0C">
        <w:rPr>
          <w:i/>
          <w:sz w:val="16"/>
          <w:szCs w:val="16"/>
          <w:lang w:val="es-AR"/>
        </w:rPr>
        <w:t>Caso</w:t>
      </w:r>
      <w:r w:rsidRPr="000F7525">
        <w:rPr>
          <w:sz w:val="16"/>
          <w:szCs w:val="16"/>
          <w:lang w:val="es-AR"/>
        </w:rPr>
        <w:t xml:space="preserve"> </w:t>
      </w:r>
      <w:r w:rsidRPr="000F7525">
        <w:rPr>
          <w:i/>
          <w:sz w:val="16"/>
          <w:szCs w:val="16"/>
          <w:lang w:val="es-AR"/>
        </w:rPr>
        <w:t>San Miguel Sosa y otras Vs. Venezuela. Fondo, Reparac</w:t>
      </w:r>
      <w:r>
        <w:rPr>
          <w:i/>
          <w:sz w:val="16"/>
          <w:szCs w:val="16"/>
          <w:lang w:val="es-AR"/>
        </w:rPr>
        <w:t>i</w:t>
      </w:r>
      <w:r w:rsidRPr="000F7525">
        <w:rPr>
          <w:i/>
          <w:sz w:val="16"/>
          <w:szCs w:val="16"/>
          <w:lang w:val="es-AR"/>
        </w:rPr>
        <w:t>ones y Costas</w:t>
      </w:r>
      <w:r>
        <w:rPr>
          <w:sz w:val="16"/>
          <w:szCs w:val="16"/>
          <w:lang w:val="es-AR"/>
        </w:rPr>
        <w:t>. Sentenci</w:t>
      </w:r>
      <w:r w:rsidRPr="000F7525">
        <w:rPr>
          <w:sz w:val="16"/>
          <w:szCs w:val="16"/>
          <w:lang w:val="es-AR"/>
        </w:rPr>
        <w:t>a de 8 de febrero de 2018. Serie C No. 348, párr. 27.</w:t>
      </w:r>
    </w:p>
  </w:footnote>
  <w:footnote w:id="240">
    <w:p w:rsidR="00B41935" w:rsidRPr="00834703" w:rsidRDefault="00B41935" w:rsidP="00873835">
      <w:pPr>
        <w:pStyle w:val="FootnoteText"/>
      </w:pPr>
      <w:r w:rsidRPr="00834703">
        <w:rPr>
          <w:rStyle w:val="FootnoteReference"/>
        </w:rPr>
        <w:footnoteRef/>
      </w:r>
      <w:r w:rsidRPr="00834703">
        <w:t xml:space="preserve"> </w:t>
      </w:r>
      <w:r w:rsidRPr="00834703">
        <w:tab/>
      </w:r>
      <w:r>
        <w:rPr>
          <w:sz w:val="16"/>
          <w:szCs w:val="16"/>
          <w:lang w:val="es-AR"/>
        </w:rPr>
        <w:t>Recientemente Wilfredo</w:t>
      </w:r>
      <w:r w:rsidRPr="00BD75F5">
        <w:rPr>
          <w:sz w:val="16"/>
          <w:szCs w:val="16"/>
          <w:lang w:val="es-AR"/>
        </w:rPr>
        <w:t xml:space="preserve"> Terrones Landázuri, </w:t>
      </w:r>
      <w:r w:rsidRPr="000F5F29">
        <w:rPr>
          <w:sz w:val="16"/>
          <w:szCs w:val="16"/>
          <w:lang w:val="es-AR"/>
        </w:rPr>
        <w:t xml:space="preserve">ha rendido dos declaraciones, una el 26 de enero de 2018 ante las Segunda Fiscalía Penal </w:t>
      </w:r>
      <w:r w:rsidRPr="00F2053D">
        <w:rPr>
          <w:sz w:val="16"/>
          <w:szCs w:val="16"/>
          <w:lang w:val="es-AR"/>
        </w:rPr>
        <w:t xml:space="preserve">Supraprovincial, en la cual </w:t>
      </w:r>
      <w:r>
        <w:rPr>
          <w:sz w:val="16"/>
          <w:szCs w:val="16"/>
          <w:lang w:val="es-AR"/>
        </w:rPr>
        <w:t xml:space="preserve">expresó </w:t>
      </w:r>
      <w:r w:rsidRPr="00F2053D">
        <w:rPr>
          <w:sz w:val="16"/>
          <w:szCs w:val="16"/>
          <w:lang w:val="es-AR"/>
        </w:rPr>
        <w:t>que cuando está interno en el Penal Castro Castro obtuvo el testimonio de [</w:t>
      </w:r>
      <w:r>
        <w:rPr>
          <w:sz w:val="16"/>
          <w:szCs w:val="16"/>
          <w:lang w:val="es-CR"/>
        </w:rPr>
        <w:t>PUL</w:t>
      </w:r>
      <w:r w:rsidRPr="00F2053D">
        <w:rPr>
          <w:sz w:val="16"/>
          <w:szCs w:val="16"/>
          <w:lang w:val="es-AR"/>
        </w:rPr>
        <w:t xml:space="preserve">], </w:t>
      </w:r>
      <w:r>
        <w:rPr>
          <w:sz w:val="16"/>
          <w:szCs w:val="16"/>
          <w:lang w:val="es-AR"/>
        </w:rPr>
        <w:t>“</w:t>
      </w:r>
      <w:r w:rsidRPr="00F2053D">
        <w:rPr>
          <w:sz w:val="16"/>
          <w:szCs w:val="16"/>
          <w:lang w:val="es-AR"/>
        </w:rPr>
        <w:t xml:space="preserve">quien </w:t>
      </w:r>
      <w:r>
        <w:rPr>
          <w:sz w:val="16"/>
          <w:szCs w:val="16"/>
          <w:lang w:val="es-AR"/>
        </w:rPr>
        <w:t>conoció al agente [MCT], qui</w:t>
      </w:r>
      <w:r w:rsidRPr="00F2053D">
        <w:rPr>
          <w:sz w:val="16"/>
          <w:szCs w:val="16"/>
          <w:lang w:val="es-AR"/>
        </w:rPr>
        <w:t>en pertenecía al grupo Colina, y le manifestó que a fines de agosto de 1992 había visto a [su] padre Wilfredo Terrones Silva en una instalación militar secuestrado y que presenció su muerte después de haber sido torturado, ya que le seccionaron su cuerpo con una sierra eléctrica aun estando en vida, para luego a</w:t>
      </w:r>
      <w:r>
        <w:rPr>
          <w:sz w:val="16"/>
          <w:szCs w:val="16"/>
          <w:lang w:val="es-AR"/>
        </w:rPr>
        <w:t>rrojarlo al mar”. En la otra, rendida el</w:t>
      </w:r>
      <w:r w:rsidRPr="00F2053D">
        <w:rPr>
          <w:sz w:val="16"/>
          <w:szCs w:val="16"/>
          <w:lang w:val="es-AR"/>
        </w:rPr>
        <w:t xml:space="preserve"> 13 de marzo de 2018 en la audiencia pública ante este Tribunal, </w:t>
      </w:r>
      <w:r>
        <w:rPr>
          <w:sz w:val="16"/>
          <w:szCs w:val="16"/>
          <w:lang w:val="es-AR"/>
        </w:rPr>
        <w:t xml:space="preserve">en la cual </w:t>
      </w:r>
      <w:r w:rsidRPr="00F2053D">
        <w:rPr>
          <w:sz w:val="16"/>
          <w:szCs w:val="16"/>
          <w:lang w:val="es-AR"/>
        </w:rPr>
        <w:t xml:space="preserve">refiriéndose a su padre manifestó </w:t>
      </w:r>
      <w:r w:rsidRPr="00B1720D">
        <w:rPr>
          <w:sz w:val="16"/>
          <w:szCs w:val="16"/>
          <w:lang w:val="es-AR"/>
        </w:rPr>
        <w:t xml:space="preserve">“que </w:t>
      </w:r>
      <w:r w:rsidRPr="00B1720D">
        <w:rPr>
          <w:sz w:val="16"/>
          <w:szCs w:val="16"/>
          <w:lang w:val="es-CR"/>
        </w:rPr>
        <w:t xml:space="preserve">agentes [del] grupo Colina lo intervienen, lo torturan, lo llevan a una instalación militar, y que lo seccionan vivo, estando vivo lo cortan con una motosierra, en una instalación militar, y que luego su cuerpo o los restos, son arrojados al mar. Y esto lo [sabe] porque [se] lo dice un interno, […] que [conoció] cuando lle[gó] al penal […], luego de mayo, justamente lo envían a otro penal muy lejos de Lima, y el ahí conoce o se entrevista con un agente del grupo Colina </w:t>
      </w:r>
      <w:r>
        <w:rPr>
          <w:sz w:val="16"/>
          <w:szCs w:val="16"/>
          <w:lang w:val="es-CR"/>
        </w:rPr>
        <w:t>[</w:t>
      </w:r>
      <w:r w:rsidRPr="00B1720D">
        <w:rPr>
          <w:sz w:val="16"/>
          <w:szCs w:val="16"/>
          <w:lang w:val="es-CR"/>
        </w:rPr>
        <w:t>MC</w:t>
      </w:r>
      <w:r>
        <w:rPr>
          <w:sz w:val="16"/>
          <w:szCs w:val="16"/>
          <w:lang w:val="es-CR"/>
        </w:rPr>
        <w:t>]</w:t>
      </w:r>
      <w:r w:rsidRPr="00B1720D">
        <w:rPr>
          <w:sz w:val="16"/>
          <w:szCs w:val="16"/>
          <w:lang w:val="es-CR"/>
        </w:rPr>
        <w:t>, y también [él ha] podido ver las declaraciones y eso está en una revista peruana que circula a nivel nacional, la revista Caretas”.</w:t>
      </w:r>
      <w:r w:rsidRPr="00BD75F5">
        <w:rPr>
          <w:sz w:val="16"/>
          <w:szCs w:val="16"/>
          <w:lang w:val="es-CR"/>
        </w:rPr>
        <w:t xml:space="preserve"> </w:t>
      </w:r>
      <w:r w:rsidRPr="00BD75F5">
        <w:rPr>
          <w:sz w:val="16"/>
          <w:szCs w:val="16"/>
        </w:rPr>
        <w:t xml:space="preserve"> </w:t>
      </w:r>
      <w:r w:rsidRPr="00E4380E">
        <w:rPr>
          <w:sz w:val="16"/>
          <w:szCs w:val="16"/>
        </w:rPr>
        <w:t>(expediente de prueba, anexo 6 a los alegatos finales del Estado, fs. 5355 a 5358,</w:t>
      </w:r>
      <w:r w:rsidRPr="00BD75F5">
        <w:rPr>
          <w:sz w:val="16"/>
          <w:szCs w:val="16"/>
        </w:rPr>
        <w:t xml:space="preserve"> y</w:t>
      </w:r>
      <w:r>
        <w:rPr>
          <w:sz w:val="16"/>
          <w:szCs w:val="16"/>
        </w:rPr>
        <w:t xml:space="preserve"> Declaración rendida por Wilfredo Terrones Landázuri en la</w:t>
      </w:r>
      <w:r w:rsidRPr="00BD75F5">
        <w:rPr>
          <w:sz w:val="16"/>
          <w:szCs w:val="16"/>
        </w:rPr>
        <w:t xml:space="preserve"> audiencia pública celebrada los días 13 y 14 de marzo de 2018 ante la Corte).</w:t>
      </w:r>
    </w:p>
  </w:footnote>
  <w:footnote w:id="241">
    <w:p w:rsidR="00B41935" w:rsidRPr="008079A8" w:rsidRDefault="00B41935" w:rsidP="00873835">
      <w:pPr>
        <w:pStyle w:val="FootnoteText"/>
        <w:rPr>
          <w:i/>
          <w:sz w:val="16"/>
          <w:szCs w:val="16"/>
          <w:lang w:val="es-DO"/>
        </w:rPr>
      </w:pPr>
      <w:r w:rsidRPr="008549B0">
        <w:rPr>
          <w:rStyle w:val="FootnoteReference"/>
        </w:rPr>
        <w:footnoteRef/>
      </w:r>
      <w:r w:rsidRPr="008079A8">
        <w:rPr>
          <w:sz w:val="16"/>
          <w:szCs w:val="16"/>
        </w:rPr>
        <w:t xml:space="preserve"> </w:t>
      </w:r>
      <w:r>
        <w:rPr>
          <w:sz w:val="16"/>
          <w:szCs w:val="16"/>
        </w:rPr>
        <w:tab/>
      </w:r>
      <w:r w:rsidRPr="00B1720D">
        <w:rPr>
          <w:i/>
          <w:sz w:val="16"/>
          <w:szCs w:val="16"/>
          <w:lang w:val="es-AR"/>
        </w:rPr>
        <w:t>Cfr. Caso Gómez Palomino Vs. Perú</w:t>
      </w:r>
      <w:r>
        <w:rPr>
          <w:rStyle w:val="Strong"/>
          <w:b w:val="0"/>
          <w:i/>
          <w:color w:val="000000"/>
          <w:sz w:val="16"/>
          <w:szCs w:val="16"/>
          <w:shd w:val="clear" w:color="auto" w:fill="FFFFFF"/>
        </w:rPr>
        <w:t>, supra</w:t>
      </w:r>
      <w:r w:rsidRPr="00B1720D">
        <w:rPr>
          <w:sz w:val="16"/>
          <w:szCs w:val="16"/>
          <w:lang w:val="es-AR"/>
        </w:rPr>
        <w:t xml:space="preserve">, párr. 97; </w:t>
      </w:r>
      <w:r w:rsidRPr="00B1720D">
        <w:rPr>
          <w:rStyle w:val="Strong"/>
          <w:b w:val="0"/>
          <w:i/>
          <w:color w:val="000000"/>
          <w:sz w:val="16"/>
          <w:szCs w:val="16"/>
          <w:shd w:val="clear" w:color="auto" w:fill="FFFFFF"/>
        </w:rPr>
        <w:t>Caso González Medina y familiares Vs. República Dominicana</w:t>
      </w:r>
      <w:r w:rsidRPr="00B1720D">
        <w:rPr>
          <w:rStyle w:val="Strong"/>
          <w:b w:val="0"/>
          <w:color w:val="000000"/>
          <w:sz w:val="16"/>
          <w:szCs w:val="16"/>
          <w:shd w:val="clear" w:color="auto" w:fill="FFFFFF"/>
        </w:rPr>
        <w:t xml:space="preserve">. </w:t>
      </w:r>
      <w:r w:rsidRPr="001C3E97">
        <w:rPr>
          <w:rStyle w:val="Strong"/>
          <w:b w:val="0"/>
          <w:i/>
          <w:color w:val="000000"/>
          <w:sz w:val="16"/>
          <w:szCs w:val="16"/>
          <w:shd w:val="clear" w:color="auto" w:fill="FFFFFF"/>
        </w:rPr>
        <w:t>Excepciones Preliminares, Fondo, Reparaciones y Costas.</w:t>
      </w:r>
      <w:r w:rsidRPr="00B1720D">
        <w:rPr>
          <w:rStyle w:val="Strong"/>
          <w:b w:val="0"/>
          <w:color w:val="000000"/>
          <w:sz w:val="16"/>
          <w:szCs w:val="16"/>
          <w:shd w:val="clear" w:color="auto" w:fill="FFFFFF"/>
        </w:rPr>
        <w:t xml:space="preserve"> Sentencia de 27 de febrero de 2012. Serie C No. 240, párr</w:t>
      </w:r>
      <w:r>
        <w:rPr>
          <w:rStyle w:val="Strong"/>
          <w:b w:val="0"/>
          <w:color w:val="000000"/>
          <w:sz w:val="16"/>
          <w:szCs w:val="16"/>
          <w:shd w:val="clear" w:color="auto" w:fill="FFFFFF"/>
        </w:rPr>
        <w:t>s</w:t>
      </w:r>
      <w:r w:rsidRPr="00B1720D">
        <w:rPr>
          <w:rStyle w:val="Strong"/>
          <w:b w:val="0"/>
          <w:color w:val="000000"/>
          <w:sz w:val="16"/>
          <w:szCs w:val="16"/>
          <w:shd w:val="clear" w:color="auto" w:fill="FFFFFF"/>
        </w:rPr>
        <w:t>. 128 y 161</w:t>
      </w:r>
      <w:r w:rsidRPr="00B1720D">
        <w:rPr>
          <w:sz w:val="16"/>
          <w:szCs w:val="16"/>
          <w:lang w:val="es-AR"/>
        </w:rPr>
        <w:t>, y</w:t>
      </w:r>
      <w:r w:rsidRPr="00B1720D">
        <w:rPr>
          <w:i/>
          <w:sz w:val="16"/>
          <w:szCs w:val="16"/>
          <w:lang w:val="es-AR"/>
        </w:rPr>
        <w:t xml:space="preserve"> Caso </w:t>
      </w:r>
      <w:r w:rsidRPr="00B1720D">
        <w:rPr>
          <w:i/>
          <w:color w:val="000000"/>
          <w:spacing w:val="-4"/>
          <w:sz w:val="16"/>
          <w:szCs w:val="16"/>
        </w:rPr>
        <w:t>Munárriz Escobar y otros Vs. Perú</w:t>
      </w:r>
      <w:r>
        <w:rPr>
          <w:i/>
          <w:color w:val="000000"/>
          <w:spacing w:val="-4"/>
          <w:sz w:val="16"/>
          <w:szCs w:val="16"/>
        </w:rPr>
        <w:t xml:space="preserve">, </w:t>
      </w:r>
      <w:r w:rsidRPr="003A5FAB">
        <w:rPr>
          <w:i/>
          <w:color w:val="000000"/>
          <w:spacing w:val="-4"/>
          <w:sz w:val="16"/>
          <w:szCs w:val="16"/>
        </w:rPr>
        <w:t>supra</w:t>
      </w:r>
      <w:r w:rsidRPr="00B1720D">
        <w:rPr>
          <w:color w:val="000000"/>
          <w:spacing w:val="-4"/>
          <w:sz w:val="16"/>
          <w:szCs w:val="16"/>
        </w:rPr>
        <w:t xml:space="preserve">, párrs. </w:t>
      </w:r>
      <w:r w:rsidRPr="00B1720D">
        <w:rPr>
          <w:sz w:val="16"/>
          <w:szCs w:val="16"/>
          <w:lang w:val="es-AR"/>
        </w:rPr>
        <w:t>63 y 80.</w:t>
      </w:r>
    </w:p>
  </w:footnote>
  <w:footnote w:id="242">
    <w:p w:rsidR="00B41935" w:rsidRPr="00BD75F5" w:rsidRDefault="00B41935" w:rsidP="00F221F3">
      <w:pPr>
        <w:pStyle w:val="FootnoteText"/>
        <w:rPr>
          <w:sz w:val="16"/>
          <w:szCs w:val="16"/>
          <w:lang w:val="es-CR"/>
        </w:rPr>
      </w:pPr>
      <w:r w:rsidRPr="00DB21E5">
        <w:rPr>
          <w:rStyle w:val="FootnoteReference"/>
        </w:rPr>
        <w:footnoteRef/>
      </w:r>
      <w:r w:rsidRPr="00BD75F5">
        <w:rPr>
          <w:sz w:val="16"/>
          <w:szCs w:val="16"/>
        </w:rPr>
        <w:t xml:space="preserve"> </w:t>
      </w:r>
      <w:r w:rsidRPr="00BD75F5">
        <w:rPr>
          <w:sz w:val="16"/>
          <w:szCs w:val="16"/>
          <w:lang w:val="es-CR"/>
        </w:rPr>
        <w:tab/>
        <w:t>De hecho, en dicho dictamen, se encomienda que se realicen en el futuro otras diligenc</w:t>
      </w:r>
      <w:r>
        <w:rPr>
          <w:sz w:val="16"/>
          <w:szCs w:val="16"/>
          <w:lang w:val="es-CR"/>
        </w:rPr>
        <w:t xml:space="preserve">ias para determinar los hechos </w:t>
      </w:r>
      <w:r w:rsidRPr="00BD75F5">
        <w:rPr>
          <w:sz w:val="16"/>
          <w:szCs w:val="16"/>
          <w:lang w:val="es-CR"/>
        </w:rPr>
        <w:t>correspondientes al caso Cory</w:t>
      </w:r>
      <w:r>
        <w:rPr>
          <w:sz w:val="16"/>
          <w:szCs w:val="16"/>
          <w:lang w:val="es-CR"/>
        </w:rPr>
        <w:t xml:space="preserve"> Clodolia Tenicela Tello</w:t>
      </w:r>
      <w:r w:rsidRPr="00BD75F5">
        <w:rPr>
          <w:sz w:val="16"/>
          <w:szCs w:val="16"/>
          <w:lang w:val="es-CR"/>
        </w:rPr>
        <w:t xml:space="preserve">, particularmente, la toma declaraciones testimoniales de Amadea Felipa Tello </w:t>
      </w:r>
      <w:r>
        <w:rPr>
          <w:sz w:val="16"/>
          <w:szCs w:val="16"/>
          <w:lang w:val="es-CR"/>
        </w:rPr>
        <w:t xml:space="preserve">de Tenicela </w:t>
      </w:r>
      <w:r w:rsidRPr="00BD75F5">
        <w:rPr>
          <w:sz w:val="16"/>
          <w:szCs w:val="16"/>
          <w:lang w:val="es-CR"/>
        </w:rPr>
        <w:t xml:space="preserve">y de Norma Juana Tenicela Tello. </w:t>
      </w:r>
    </w:p>
  </w:footnote>
  <w:footnote w:id="243">
    <w:p w:rsidR="00B41935" w:rsidRPr="004E00BC" w:rsidRDefault="00B41935" w:rsidP="00F221F3">
      <w:pPr>
        <w:pStyle w:val="FootnoteText"/>
        <w:rPr>
          <w:sz w:val="16"/>
          <w:szCs w:val="16"/>
        </w:rPr>
      </w:pPr>
      <w:r>
        <w:rPr>
          <w:rStyle w:val="FootnoteReference"/>
        </w:rPr>
        <w:footnoteRef/>
      </w:r>
      <w:r>
        <w:t xml:space="preserve"> </w:t>
      </w:r>
      <w:r>
        <w:tab/>
      </w:r>
      <w:r>
        <w:rPr>
          <w:i/>
          <w:sz w:val="16"/>
          <w:szCs w:val="16"/>
        </w:rPr>
        <w:t xml:space="preserve">Cfr. </w:t>
      </w:r>
      <w:r w:rsidRPr="004E00BC">
        <w:rPr>
          <w:sz w:val="16"/>
          <w:szCs w:val="16"/>
        </w:rPr>
        <w:t xml:space="preserve">Auto de Procesamiento contra </w:t>
      </w:r>
      <w:r w:rsidRPr="00B15D4F">
        <w:rPr>
          <w:sz w:val="16"/>
          <w:szCs w:val="16"/>
        </w:rPr>
        <w:t>LDP</w:t>
      </w:r>
      <w:r w:rsidRPr="004E00BC">
        <w:rPr>
          <w:sz w:val="16"/>
          <w:szCs w:val="16"/>
        </w:rPr>
        <w:t xml:space="preserve"> de la Sala Penal Nacional, Tercer Juzgado Penal Nacional, expediente 255-2014-0 de 20 de octubre de</w:t>
      </w:r>
      <w:r>
        <w:rPr>
          <w:sz w:val="16"/>
          <w:szCs w:val="16"/>
        </w:rPr>
        <w:t xml:space="preserve"> 2014 (expediente de trá</w:t>
      </w:r>
      <w:r w:rsidRPr="004E00BC">
        <w:rPr>
          <w:sz w:val="16"/>
          <w:szCs w:val="16"/>
        </w:rPr>
        <w:t xml:space="preserve">mite ante la </w:t>
      </w:r>
      <w:r>
        <w:rPr>
          <w:sz w:val="16"/>
          <w:szCs w:val="16"/>
        </w:rPr>
        <w:t>Comisión, fs. 1125 a 1143</w:t>
      </w:r>
      <w:r w:rsidRPr="004E00BC">
        <w:rPr>
          <w:sz w:val="16"/>
          <w:szCs w:val="16"/>
        </w:rPr>
        <w:t xml:space="preserve">). </w:t>
      </w:r>
    </w:p>
  </w:footnote>
  <w:footnote w:id="244">
    <w:p w:rsidR="00B41935" w:rsidRPr="00450BA3" w:rsidRDefault="00B41935" w:rsidP="00873835">
      <w:pPr>
        <w:pStyle w:val="FootnoteText"/>
        <w:rPr>
          <w:sz w:val="16"/>
          <w:szCs w:val="16"/>
        </w:rPr>
      </w:pPr>
      <w:r w:rsidRPr="000C75CA">
        <w:rPr>
          <w:rStyle w:val="FootnoteReference"/>
        </w:rPr>
        <w:footnoteRef/>
      </w:r>
      <w:r w:rsidRPr="000C75CA">
        <w:rPr>
          <w:sz w:val="16"/>
          <w:szCs w:val="16"/>
        </w:rPr>
        <w:t xml:space="preserve"> </w:t>
      </w:r>
      <w:r w:rsidRPr="000C75CA">
        <w:rPr>
          <w:sz w:val="16"/>
          <w:szCs w:val="16"/>
        </w:rPr>
        <w:tab/>
      </w:r>
      <w:r w:rsidRPr="000C75CA">
        <w:rPr>
          <w:sz w:val="16"/>
          <w:szCs w:val="16"/>
          <w:lang w:val="es-ES"/>
        </w:rPr>
        <w:t>El caso de Néstor Rojas Medina se encuentra incorporado en el informe de la CVR (</w:t>
      </w:r>
      <w:r w:rsidRPr="000C75CA">
        <w:rPr>
          <w:i/>
          <w:sz w:val="16"/>
          <w:szCs w:val="16"/>
          <w:lang w:val="es-ES"/>
        </w:rPr>
        <w:t xml:space="preserve">supra </w:t>
      </w:r>
      <w:r w:rsidRPr="000C75CA">
        <w:rPr>
          <w:sz w:val="16"/>
          <w:szCs w:val="16"/>
          <w:lang w:val="es-ES"/>
        </w:rPr>
        <w:t>pie de página</w:t>
      </w:r>
      <w:r w:rsidRPr="000C75CA">
        <w:rPr>
          <w:i/>
          <w:sz w:val="16"/>
          <w:szCs w:val="16"/>
          <w:lang w:val="es-ES"/>
        </w:rPr>
        <w:t xml:space="preserve"> </w:t>
      </w:r>
      <w:r w:rsidRPr="000C75CA">
        <w:rPr>
          <w:sz w:val="16"/>
          <w:szCs w:val="16"/>
          <w:lang w:val="es-ES"/>
        </w:rPr>
        <w:t>131).</w:t>
      </w:r>
      <w:r>
        <w:rPr>
          <w:sz w:val="16"/>
          <w:szCs w:val="16"/>
          <w:lang w:val="es-ES"/>
        </w:rPr>
        <w:t xml:space="preserve"> </w:t>
      </w:r>
    </w:p>
  </w:footnote>
  <w:footnote w:id="245">
    <w:p w:rsidR="00B41935" w:rsidRPr="008D6EEB" w:rsidRDefault="00B41935" w:rsidP="00DC6A92">
      <w:pPr>
        <w:pStyle w:val="FootnoteText"/>
        <w:rPr>
          <w:i/>
          <w:sz w:val="16"/>
          <w:szCs w:val="16"/>
          <w:lang w:val="es-CR"/>
        </w:rPr>
      </w:pPr>
      <w:r w:rsidRPr="002479A6">
        <w:rPr>
          <w:rStyle w:val="FootnoteReference"/>
        </w:rPr>
        <w:footnoteRef/>
      </w:r>
      <w:r w:rsidRPr="002479A6">
        <w:rPr>
          <w:sz w:val="16"/>
          <w:szCs w:val="16"/>
        </w:rPr>
        <w:t xml:space="preserve"> </w:t>
      </w:r>
      <w:r w:rsidRPr="002479A6">
        <w:rPr>
          <w:sz w:val="16"/>
          <w:szCs w:val="16"/>
          <w:lang w:val="es-CR"/>
        </w:rPr>
        <w:tab/>
      </w:r>
      <w:r w:rsidRPr="008D6EEB">
        <w:rPr>
          <w:sz w:val="16"/>
          <w:szCs w:val="16"/>
          <w:lang w:val="es-CR"/>
        </w:rPr>
        <w:t xml:space="preserve">Según la señora Medina Negrón, la detención habría ocurrido el 26 de enero de 1991 en la Avenida Aviación de Tocache, mientras que la señora CSL indicó que la detención habría ocurrido el 31 de enero de 1991 “por el jirón Comercio”. </w:t>
      </w:r>
      <w:r w:rsidRPr="008D6EEB">
        <w:rPr>
          <w:i/>
          <w:sz w:val="16"/>
          <w:szCs w:val="16"/>
          <w:lang w:val="es-CR"/>
        </w:rPr>
        <w:t xml:space="preserve">Cfr. </w:t>
      </w:r>
      <w:r w:rsidRPr="008D6EEB">
        <w:rPr>
          <w:sz w:val="16"/>
          <w:szCs w:val="16"/>
          <w:lang w:val="es-ES_tradnl"/>
        </w:rPr>
        <w:t>Ampliación de la Denuncia de Marcelina Medina Negrón de 22 de mayo de 1991 (expediente de trámite ante la C</w:t>
      </w:r>
      <w:r>
        <w:rPr>
          <w:sz w:val="16"/>
          <w:szCs w:val="16"/>
          <w:lang w:val="es-ES_tradnl"/>
        </w:rPr>
        <w:t>omisión</w:t>
      </w:r>
      <w:r w:rsidRPr="008D6EEB">
        <w:rPr>
          <w:sz w:val="16"/>
          <w:szCs w:val="16"/>
          <w:lang w:val="es-ES_tradnl"/>
        </w:rPr>
        <w:t>,</w:t>
      </w:r>
      <w:r>
        <w:rPr>
          <w:sz w:val="16"/>
          <w:szCs w:val="16"/>
          <w:lang w:val="es-ES_tradnl"/>
        </w:rPr>
        <w:t xml:space="preserve"> </w:t>
      </w:r>
      <w:r w:rsidRPr="008D6EEB">
        <w:rPr>
          <w:sz w:val="16"/>
          <w:szCs w:val="16"/>
          <w:lang w:val="es-ES_tradnl"/>
        </w:rPr>
        <w:t xml:space="preserve">f. 1535), y </w:t>
      </w:r>
      <w:r>
        <w:rPr>
          <w:sz w:val="16"/>
          <w:szCs w:val="16"/>
          <w:lang w:val="es-AR"/>
        </w:rPr>
        <w:t>Denuncia de</w:t>
      </w:r>
      <w:r w:rsidRPr="008D6EEB">
        <w:rPr>
          <w:sz w:val="16"/>
          <w:szCs w:val="16"/>
          <w:lang w:val="es-AR"/>
        </w:rPr>
        <w:t xml:space="preserve"> CSL ante la Fiscalía de Tocache de 5 de febrero de 1991 (expediente de prueba, anexo 52 al Informe de Fondo, f. 496).</w:t>
      </w:r>
    </w:p>
  </w:footnote>
  <w:footnote w:id="246">
    <w:p w:rsidR="00B41935" w:rsidRPr="008D6EEB" w:rsidRDefault="00B41935" w:rsidP="00DC6A92">
      <w:pPr>
        <w:pStyle w:val="FootnoteText"/>
        <w:rPr>
          <w:sz w:val="16"/>
          <w:szCs w:val="16"/>
          <w:lang w:val="es-CR"/>
        </w:rPr>
      </w:pPr>
      <w:r w:rsidRPr="00504BDC">
        <w:rPr>
          <w:rStyle w:val="FootnoteReference"/>
        </w:rPr>
        <w:footnoteRef/>
      </w:r>
      <w:r w:rsidRPr="00504BDC">
        <w:rPr>
          <w:sz w:val="16"/>
          <w:szCs w:val="16"/>
          <w:lang w:val="es-CR"/>
        </w:rPr>
        <w:t xml:space="preserve"> </w:t>
      </w:r>
      <w:r w:rsidRPr="00504BDC">
        <w:rPr>
          <w:sz w:val="16"/>
          <w:szCs w:val="16"/>
          <w:lang w:val="es-CR"/>
        </w:rPr>
        <w:tab/>
      </w:r>
      <w:r w:rsidRPr="008C4E75">
        <w:rPr>
          <w:sz w:val="16"/>
          <w:szCs w:val="16"/>
          <w:lang w:val="es-CR"/>
        </w:rPr>
        <w:t xml:space="preserve">En la declaración rendida ante la Corte, Marcelina Medina Negrón indicó </w:t>
      </w:r>
      <w:r>
        <w:rPr>
          <w:sz w:val="16"/>
          <w:szCs w:val="16"/>
          <w:lang w:val="es-CR"/>
        </w:rPr>
        <w:t xml:space="preserve">que </w:t>
      </w:r>
      <w:r w:rsidRPr="00B85C7F">
        <w:rPr>
          <w:sz w:val="16"/>
          <w:szCs w:val="16"/>
          <w:lang w:val="es-CR"/>
        </w:rPr>
        <w:t>“[e]</w:t>
      </w:r>
      <w:r w:rsidRPr="00B85C7F">
        <w:rPr>
          <w:sz w:val="16"/>
          <w:szCs w:val="16"/>
        </w:rPr>
        <w:t>n el mes de enero cuando he viajado a Tocache, por unas cositas que nos dejaron, ent</w:t>
      </w:r>
      <w:r>
        <w:rPr>
          <w:sz w:val="16"/>
          <w:szCs w:val="16"/>
        </w:rPr>
        <w:t>onces él ha viajado a Tocache, ‘mamá’, me dice, ‘</w:t>
      </w:r>
      <w:r w:rsidRPr="00B85C7F">
        <w:rPr>
          <w:sz w:val="16"/>
          <w:szCs w:val="16"/>
        </w:rPr>
        <w:t>no tenemos capital, no tenemos plata acá, yo voy a ir a vender las cositas que hemos dejado para iniciarnos el trabajo, con un capitalcito yo trabajo, y c</w:t>
      </w:r>
      <w:r>
        <w:rPr>
          <w:sz w:val="16"/>
          <w:szCs w:val="16"/>
        </w:rPr>
        <w:t>on eso nos vamos a iniciar mamá’</w:t>
      </w:r>
      <w:r w:rsidRPr="00B85C7F">
        <w:rPr>
          <w:sz w:val="16"/>
          <w:szCs w:val="16"/>
        </w:rPr>
        <w:t xml:space="preserve"> me dijo, se fue mi hijo, nunca más ha regresado hasta hoy en día, yo vivo esperándole a mi hijo, no hay cuando que vuelva, yo sé que lo han agarrado, el Comandante Santos, ellos son los que saben de mi hijo, yo quisiera que me digan la verdad, que han hecho con mi hijo?”</w:t>
      </w:r>
      <w:r>
        <w:rPr>
          <w:sz w:val="16"/>
          <w:szCs w:val="16"/>
        </w:rPr>
        <w:t>.</w:t>
      </w:r>
      <w:r>
        <w:rPr>
          <w:sz w:val="18"/>
          <w:szCs w:val="18"/>
        </w:rPr>
        <w:t xml:space="preserve"> </w:t>
      </w:r>
      <w:r w:rsidRPr="008C4E75">
        <w:rPr>
          <w:i/>
          <w:sz w:val="16"/>
          <w:szCs w:val="16"/>
          <w:lang w:val="es-ES_tradnl"/>
        </w:rPr>
        <w:t>Cfr.</w:t>
      </w:r>
      <w:r w:rsidRPr="008C4E75">
        <w:rPr>
          <w:sz w:val="16"/>
          <w:szCs w:val="16"/>
          <w:lang w:val="es-ES_tradnl"/>
        </w:rPr>
        <w:t xml:space="preserve"> Declaración rendida por Marcelina Medina Negrón durante la audiencia pública ante la Corte.</w:t>
      </w:r>
      <w:r>
        <w:rPr>
          <w:sz w:val="16"/>
          <w:szCs w:val="16"/>
          <w:lang w:val="es-ES_tradnl"/>
        </w:rPr>
        <w:t xml:space="preserve"> </w:t>
      </w:r>
      <w:r w:rsidRPr="004E00BC">
        <w:rPr>
          <w:i/>
          <w:sz w:val="16"/>
          <w:szCs w:val="16"/>
          <w:lang w:val="es-ES_tradnl"/>
        </w:rPr>
        <w:t>Cfr</w:t>
      </w:r>
      <w:r>
        <w:rPr>
          <w:sz w:val="16"/>
          <w:szCs w:val="16"/>
          <w:lang w:val="es-ES_tradnl"/>
        </w:rPr>
        <w:t xml:space="preserve">. </w:t>
      </w:r>
      <w:r w:rsidRPr="00504BDC">
        <w:rPr>
          <w:sz w:val="16"/>
          <w:szCs w:val="16"/>
          <w:lang w:val="es-ES_tradnl"/>
        </w:rPr>
        <w:t xml:space="preserve">Declaración </w:t>
      </w:r>
      <w:r>
        <w:rPr>
          <w:sz w:val="16"/>
          <w:szCs w:val="16"/>
          <w:lang w:val="es-ES_tradnl"/>
        </w:rPr>
        <w:t xml:space="preserve">rendida por </w:t>
      </w:r>
      <w:r w:rsidRPr="00DB1AA1">
        <w:rPr>
          <w:sz w:val="16"/>
          <w:szCs w:val="16"/>
          <w:lang w:val="es-ES_tradnl"/>
        </w:rPr>
        <w:t xml:space="preserve">Marcelina Medina Negrón </w:t>
      </w:r>
      <w:r w:rsidRPr="00504BDC">
        <w:rPr>
          <w:sz w:val="16"/>
          <w:szCs w:val="16"/>
          <w:lang w:val="es-ES_tradnl"/>
        </w:rPr>
        <w:t>ante la Comisión d</w:t>
      </w:r>
      <w:r>
        <w:rPr>
          <w:sz w:val="16"/>
          <w:szCs w:val="16"/>
          <w:lang w:val="es-ES_tradnl"/>
        </w:rPr>
        <w:t>e la Verdad y Reconciliación de</w:t>
      </w:r>
      <w:r w:rsidRPr="00504BDC">
        <w:rPr>
          <w:sz w:val="16"/>
          <w:szCs w:val="16"/>
          <w:lang w:val="es-ES_tradnl"/>
        </w:rPr>
        <w:t xml:space="preserve">l 8 de mayo de 2002 (expediente de trámite ante la Comisión, f. 1861); </w:t>
      </w:r>
      <w:r w:rsidRPr="00504BDC">
        <w:rPr>
          <w:sz w:val="16"/>
          <w:szCs w:val="16"/>
          <w:lang w:val="es-CR"/>
        </w:rPr>
        <w:t xml:space="preserve">Denuncia presentada por Marcelina Medina Negrón el 8 de marzo de 1991 ante la Fiscalía de la Nación (expediente de prueba, expediente de trámite ante la CIDH, fs. 1932 y 1933); </w:t>
      </w:r>
      <w:r w:rsidRPr="00504BDC">
        <w:rPr>
          <w:sz w:val="16"/>
          <w:szCs w:val="16"/>
          <w:lang w:val="es-ES_tradnl"/>
        </w:rPr>
        <w:t>Ampliación de la Denuncia de Marcelina Medina Negrón de 22 de mayo de 1991 (expediente de trámite ante la CIDH, f. 1535); Documento presentado por Marcelina Medina Negrón a la Presidencia el 16 de marzo de 1991 (</w:t>
      </w:r>
      <w:r>
        <w:rPr>
          <w:sz w:val="16"/>
          <w:szCs w:val="16"/>
          <w:lang w:val="es-ES_tradnl"/>
        </w:rPr>
        <w:t>e</w:t>
      </w:r>
      <w:r w:rsidRPr="00504BDC">
        <w:rPr>
          <w:sz w:val="16"/>
          <w:szCs w:val="16"/>
          <w:lang w:val="es-ES_tradnl"/>
        </w:rPr>
        <w:t>xpediente de trámite ante la CIDH, f. 1632); Declaración indagatoria a Marcelina Medina Negrón de 22 de septiembre de 1991 ante la Fiscalía Provincial Mixta (expediente de trámite ante la CIDH, folio 1940), y Declaración Indagatoria de Marcelina Medina Negrón rendida ante la Fiscalía Especializada para Desapariciones Forzadas, Ejecuciones Extrajudiciales y Exhumación de Fosas Clandestinas de 17 de enero de 2005 (</w:t>
      </w:r>
      <w:r>
        <w:rPr>
          <w:sz w:val="16"/>
          <w:szCs w:val="16"/>
          <w:lang w:val="es-ES_tradnl"/>
        </w:rPr>
        <w:t>e</w:t>
      </w:r>
      <w:r w:rsidRPr="00504BDC">
        <w:rPr>
          <w:sz w:val="16"/>
          <w:szCs w:val="16"/>
          <w:lang w:val="es-ES_tradnl"/>
        </w:rPr>
        <w:t>xpediente de trámite ante la Comisión, f. 1435).</w:t>
      </w:r>
      <w:r w:rsidRPr="008D6EEB">
        <w:rPr>
          <w:sz w:val="16"/>
          <w:szCs w:val="16"/>
          <w:lang w:val="es-ES_tradnl"/>
        </w:rPr>
        <w:t xml:space="preserve"> </w:t>
      </w:r>
    </w:p>
  </w:footnote>
  <w:footnote w:id="247">
    <w:p w:rsidR="00B41935" w:rsidRPr="00D407FF" w:rsidRDefault="00B41935" w:rsidP="00873835">
      <w:pPr>
        <w:pStyle w:val="FootnoteText"/>
        <w:rPr>
          <w:sz w:val="16"/>
          <w:szCs w:val="16"/>
          <w:lang w:val="es-AR"/>
        </w:rPr>
      </w:pPr>
      <w:r w:rsidRPr="00D407FF">
        <w:rPr>
          <w:rStyle w:val="FootnoteReference"/>
        </w:rPr>
        <w:footnoteRef/>
      </w:r>
      <w:r w:rsidRPr="00D407FF">
        <w:rPr>
          <w:sz w:val="16"/>
          <w:szCs w:val="16"/>
          <w:lang w:val="es-AR"/>
        </w:rPr>
        <w:t xml:space="preserve"> </w:t>
      </w:r>
      <w:r w:rsidRPr="00D407FF">
        <w:rPr>
          <w:sz w:val="16"/>
          <w:szCs w:val="16"/>
          <w:lang w:val="es-AR"/>
        </w:rPr>
        <w:tab/>
      </w:r>
      <w:r w:rsidRPr="00D407FF">
        <w:rPr>
          <w:i/>
          <w:sz w:val="16"/>
          <w:szCs w:val="16"/>
          <w:lang w:val="es-AR"/>
        </w:rPr>
        <w:t>Cfr. Caso Las Palmeras Vs. Colombia. Fondo</w:t>
      </w:r>
      <w:r w:rsidRPr="00D407FF">
        <w:rPr>
          <w:sz w:val="16"/>
          <w:szCs w:val="16"/>
          <w:lang w:val="es-AR"/>
        </w:rPr>
        <w:t xml:space="preserve">. Sentencia de 6 de diciembre de 2001. Serie C No. 90, párr. 33, y </w:t>
      </w:r>
      <w:r w:rsidRPr="00D407FF">
        <w:rPr>
          <w:i/>
          <w:sz w:val="16"/>
          <w:szCs w:val="16"/>
          <w:lang w:val="es-AR"/>
        </w:rPr>
        <w:t>Caso Tarazona Arrieta y otros vs Perú.</w:t>
      </w:r>
      <w:r w:rsidRPr="00D407FF">
        <w:rPr>
          <w:sz w:val="16"/>
          <w:szCs w:val="16"/>
          <w:lang w:val="es-AR"/>
        </w:rPr>
        <w:t xml:space="preserve"> </w:t>
      </w:r>
      <w:r w:rsidRPr="00D407FF">
        <w:rPr>
          <w:i/>
          <w:sz w:val="16"/>
          <w:szCs w:val="16"/>
          <w:lang w:val="es-AR"/>
        </w:rPr>
        <w:t>Excepción Preliminar, Fondo, Reparaciones y Costas</w:t>
      </w:r>
      <w:r w:rsidRPr="00D407FF">
        <w:rPr>
          <w:sz w:val="16"/>
          <w:szCs w:val="16"/>
          <w:lang w:val="es-AR"/>
        </w:rPr>
        <w:t>. Sentencia de 15 de Octubre de 2014. Serie C No. 286, párr. 136.</w:t>
      </w:r>
    </w:p>
  </w:footnote>
  <w:footnote w:id="248">
    <w:p w:rsidR="00B41935" w:rsidRPr="008F4E6E" w:rsidRDefault="00B41935" w:rsidP="00873835">
      <w:pPr>
        <w:pStyle w:val="FootnoteText"/>
        <w:rPr>
          <w:sz w:val="16"/>
          <w:szCs w:val="16"/>
          <w:lang w:val="es-CR"/>
        </w:rPr>
      </w:pPr>
      <w:r w:rsidRPr="009A42A2">
        <w:rPr>
          <w:rStyle w:val="FootnoteReference"/>
        </w:rPr>
        <w:footnoteRef/>
      </w:r>
      <w:r w:rsidRPr="00476561">
        <w:rPr>
          <w:sz w:val="16"/>
          <w:szCs w:val="16"/>
        </w:rPr>
        <w:t xml:space="preserve"> </w:t>
      </w:r>
      <w:r w:rsidRPr="00D10CCA">
        <w:rPr>
          <w:sz w:val="16"/>
          <w:szCs w:val="16"/>
          <w:lang w:val="es-CR"/>
        </w:rPr>
        <w:tab/>
      </w:r>
      <w:r w:rsidRPr="00D10CCA">
        <w:rPr>
          <w:i/>
          <w:sz w:val="16"/>
          <w:szCs w:val="16"/>
          <w:lang w:val="es-CR"/>
        </w:rPr>
        <w:t>Cfr.</w:t>
      </w:r>
      <w:r w:rsidRPr="00D10CCA">
        <w:rPr>
          <w:sz w:val="16"/>
          <w:szCs w:val="16"/>
          <w:lang w:val="es-CR"/>
        </w:rPr>
        <w:t xml:space="preserve"> </w:t>
      </w:r>
      <w:r w:rsidRPr="00D10CCA">
        <w:rPr>
          <w:i/>
          <w:sz w:val="16"/>
          <w:szCs w:val="16"/>
          <w:lang w:val="es-CR"/>
        </w:rPr>
        <w:t xml:space="preserve">Caso Masacre de Santo Domingo Vs. </w:t>
      </w:r>
      <w:r w:rsidRPr="008F4E6E">
        <w:rPr>
          <w:i/>
          <w:sz w:val="16"/>
          <w:szCs w:val="16"/>
          <w:lang w:val="es-CR"/>
        </w:rPr>
        <w:t xml:space="preserve">Colombia. </w:t>
      </w:r>
      <w:r w:rsidRPr="00D10CCA">
        <w:rPr>
          <w:i/>
          <w:sz w:val="16"/>
          <w:szCs w:val="16"/>
          <w:lang w:val="es-CR"/>
        </w:rPr>
        <w:t>Excepciones Preliminares, Fondo y Reparaciones.</w:t>
      </w:r>
      <w:r w:rsidRPr="00D10CCA">
        <w:rPr>
          <w:sz w:val="16"/>
          <w:szCs w:val="16"/>
          <w:lang w:val="es-CR"/>
        </w:rPr>
        <w:t xml:space="preserve"> Sentencia de 30 de noviembre de 2012. Serie C No. 259, párr. 143, y </w:t>
      </w:r>
      <w:r w:rsidRPr="00D10CCA">
        <w:rPr>
          <w:i/>
          <w:sz w:val="16"/>
          <w:szCs w:val="16"/>
          <w:lang w:val="es-CR"/>
        </w:rPr>
        <w:t xml:space="preserve">Caso Amrhein y otros Vs. </w:t>
      </w:r>
      <w:r w:rsidRPr="008F4E6E">
        <w:rPr>
          <w:i/>
          <w:sz w:val="16"/>
          <w:szCs w:val="16"/>
          <w:lang w:val="es-CR"/>
        </w:rPr>
        <w:t>Costa Rica</w:t>
      </w:r>
      <w:r>
        <w:rPr>
          <w:i/>
          <w:sz w:val="16"/>
          <w:szCs w:val="16"/>
          <w:lang w:val="es-CR"/>
        </w:rPr>
        <w:t xml:space="preserve">, </w:t>
      </w:r>
      <w:r w:rsidRPr="003A5FAB">
        <w:rPr>
          <w:bCs/>
          <w:i/>
          <w:sz w:val="16"/>
          <w:szCs w:val="16"/>
        </w:rPr>
        <w:t>supra</w:t>
      </w:r>
      <w:r w:rsidRPr="008F4E6E">
        <w:rPr>
          <w:sz w:val="16"/>
          <w:szCs w:val="16"/>
          <w:lang w:val="es-CR"/>
        </w:rPr>
        <w:t>, párr. 99.</w:t>
      </w:r>
    </w:p>
  </w:footnote>
  <w:footnote w:id="249">
    <w:p w:rsidR="00B41935" w:rsidRPr="00D407FF" w:rsidRDefault="00B41935" w:rsidP="00DC6A92">
      <w:pPr>
        <w:pStyle w:val="FootnoteText"/>
        <w:rPr>
          <w:sz w:val="16"/>
          <w:szCs w:val="16"/>
          <w:lang w:val="es-AR"/>
        </w:rPr>
      </w:pPr>
      <w:r w:rsidRPr="00D407FF">
        <w:rPr>
          <w:rStyle w:val="FootnoteReference"/>
        </w:rPr>
        <w:footnoteRef/>
      </w:r>
      <w:r w:rsidRPr="00D407FF">
        <w:rPr>
          <w:sz w:val="16"/>
          <w:szCs w:val="16"/>
          <w:lang w:val="es-AR"/>
        </w:rPr>
        <w:t xml:space="preserve"> </w:t>
      </w:r>
      <w:r w:rsidRPr="00D407FF">
        <w:rPr>
          <w:sz w:val="16"/>
          <w:szCs w:val="16"/>
          <w:lang w:val="es-AR"/>
        </w:rPr>
        <w:tab/>
      </w:r>
      <w:r w:rsidRPr="00D407FF">
        <w:rPr>
          <w:i/>
          <w:sz w:val="16"/>
          <w:szCs w:val="16"/>
          <w:lang w:val="es-AR"/>
        </w:rPr>
        <w:t xml:space="preserve">Cfr. </w:t>
      </w:r>
      <w:r w:rsidRPr="00AE1084">
        <w:rPr>
          <w:rStyle w:val="Strong"/>
          <w:b w:val="0"/>
          <w:i/>
          <w:color w:val="000000"/>
          <w:sz w:val="16"/>
          <w:szCs w:val="16"/>
          <w:shd w:val="clear" w:color="auto" w:fill="FFFFFF"/>
          <w:lang w:val="es-AR"/>
        </w:rPr>
        <w:t>Caso Andrade Salmón Vs. Bolivia</w:t>
      </w:r>
      <w:r w:rsidRPr="00AE1084">
        <w:rPr>
          <w:rStyle w:val="Strong"/>
          <w:b w:val="0"/>
          <w:color w:val="000000"/>
          <w:sz w:val="16"/>
          <w:szCs w:val="16"/>
          <w:shd w:val="clear" w:color="auto" w:fill="FFFFFF"/>
          <w:lang w:val="es-AR"/>
        </w:rPr>
        <w:t xml:space="preserve">. </w:t>
      </w:r>
      <w:r w:rsidRPr="00AE1084">
        <w:rPr>
          <w:rStyle w:val="Strong"/>
          <w:b w:val="0"/>
          <w:i/>
          <w:color w:val="000000"/>
          <w:sz w:val="16"/>
          <w:szCs w:val="16"/>
          <w:shd w:val="clear" w:color="auto" w:fill="FFFFFF"/>
          <w:lang w:val="es-AR"/>
        </w:rPr>
        <w:t>Fondo, Reparaciones y Costas.</w:t>
      </w:r>
      <w:r w:rsidRPr="00AE1084">
        <w:rPr>
          <w:rStyle w:val="Strong"/>
          <w:b w:val="0"/>
          <w:color w:val="000000"/>
          <w:sz w:val="16"/>
          <w:szCs w:val="16"/>
          <w:shd w:val="clear" w:color="auto" w:fill="FFFFFF"/>
          <w:lang w:val="es-AR"/>
        </w:rPr>
        <w:t xml:space="preserve"> Sentencia de 1 de diciembre de 2016. </w:t>
      </w:r>
      <w:r w:rsidRPr="00AE1084">
        <w:rPr>
          <w:rStyle w:val="Strong"/>
          <w:b w:val="0"/>
          <w:color w:val="000000"/>
          <w:sz w:val="16"/>
          <w:szCs w:val="16"/>
          <w:shd w:val="clear" w:color="auto" w:fill="FFFFFF"/>
          <w:lang w:val="es-CR"/>
        </w:rPr>
        <w:t>Serie C No. 330</w:t>
      </w:r>
      <w:r>
        <w:rPr>
          <w:rStyle w:val="Strong"/>
          <w:b w:val="0"/>
          <w:color w:val="000000"/>
          <w:sz w:val="16"/>
          <w:szCs w:val="16"/>
          <w:shd w:val="clear" w:color="auto" w:fill="FFFFFF"/>
          <w:lang w:val="es-CR"/>
        </w:rPr>
        <w:t>, párr. 95.</w:t>
      </w:r>
    </w:p>
  </w:footnote>
  <w:footnote w:id="250">
    <w:p w:rsidR="00B41935" w:rsidRPr="00324DB1" w:rsidRDefault="00B41935" w:rsidP="00873835">
      <w:pPr>
        <w:pStyle w:val="FootnoteText"/>
        <w:tabs>
          <w:tab w:val="left" w:pos="426"/>
        </w:tabs>
        <w:rPr>
          <w:sz w:val="16"/>
          <w:szCs w:val="16"/>
          <w:lang w:val="es-ES"/>
        </w:rPr>
      </w:pPr>
      <w:r w:rsidRPr="00D407FF">
        <w:rPr>
          <w:rStyle w:val="FootnoteReference"/>
          <w:lang w:val="es-ES"/>
        </w:rPr>
        <w:footnoteRef/>
      </w:r>
      <w:r w:rsidRPr="00D407FF">
        <w:rPr>
          <w:sz w:val="16"/>
          <w:szCs w:val="16"/>
          <w:lang w:val="es-ES"/>
        </w:rPr>
        <w:t xml:space="preserve"> </w:t>
      </w:r>
      <w:r w:rsidRPr="00D407FF">
        <w:rPr>
          <w:sz w:val="16"/>
          <w:szCs w:val="16"/>
          <w:lang w:val="es-ES"/>
        </w:rPr>
        <w:tab/>
      </w:r>
      <w:r>
        <w:rPr>
          <w:sz w:val="16"/>
          <w:szCs w:val="16"/>
          <w:lang w:val="es-ES"/>
        </w:rPr>
        <w:tab/>
      </w:r>
      <w:r w:rsidRPr="00324DB1">
        <w:rPr>
          <w:i/>
          <w:sz w:val="16"/>
          <w:szCs w:val="16"/>
          <w:lang w:val="es-ES"/>
        </w:rPr>
        <w:t>Cfr. Caso Radilla Pacheco Vs. México</w:t>
      </w:r>
      <w:r>
        <w:rPr>
          <w:i/>
          <w:color w:val="000000"/>
          <w:spacing w:val="-4"/>
          <w:sz w:val="16"/>
          <w:szCs w:val="16"/>
        </w:rPr>
        <w:t xml:space="preserve">, </w:t>
      </w:r>
      <w:r w:rsidRPr="003A5FAB">
        <w:rPr>
          <w:i/>
          <w:color w:val="000000"/>
          <w:spacing w:val="-4"/>
          <w:sz w:val="16"/>
          <w:szCs w:val="16"/>
        </w:rPr>
        <w:t>supra</w:t>
      </w:r>
      <w:r w:rsidRPr="00324DB1">
        <w:rPr>
          <w:sz w:val="16"/>
          <w:szCs w:val="16"/>
          <w:lang w:val="es-ES"/>
        </w:rPr>
        <w:t>, párr</w:t>
      </w:r>
      <w:r>
        <w:rPr>
          <w:sz w:val="16"/>
          <w:szCs w:val="16"/>
          <w:lang w:val="es-ES"/>
        </w:rPr>
        <w:t>s</w:t>
      </w:r>
      <w:r w:rsidRPr="00324DB1">
        <w:rPr>
          <w:sz w:val="16"/>
          <w:szCs w:val="16"/>
          <w:lang w:val="es-ES"/>
        </w:rPr>
        <w:t>. 138</w:t>
      </w:r>
      <w:r>
        <w:rPr>
          <w:sz w:val="16"/>
          <w:szCs w:val="16"/>
          <w:lang w:val="es-ES"/>
        </w:rPr>
        <w:t xml:space="preserve"> a 140</w:t>
      </w:r>
      <w:r w:rsidRPr="00324DB1">
        <w:rPr>
          <w:color w:val="000000"/>
          <w:sz w:val="16"/>
          <w:szCs w:val="16"/>
          <w:lang w:val="es-ES"/>
        </w:rPr>
        <w:t xml:space="preserve">, y </w:t>
      </w:r>
      <w:r w:rsidRPr="00324DB1">
        <w:rPr>
          <w:i/>
          <w:sz w:val="16"/>
          <w:szCs w:val="16"/>
        </w:rPr>
        <w:t xml:space="preserve">Caso Vásquez Durand y otros Vs. Ecuador. Excepciones Preliminares, Fondo, Reparaciones y Costas. </w:t>
      </w:r>
      <w:r w:rsidRPr="00324DB1">
        <w:rPr>
          <w:sz w:val="16"/>
          <w:szCs w:val="16"/>
        </w:rPr>
        <w:t>Sentencia de 15 de febrero de 2017. Serie C No. 332, párr. 133.</w:t>
      </w:r>
    </w:p>
  </w:footnote>
  <w:footnote w:id="251">
    <w:p w:rsidR="00B41935" w:rsidRPr="00324DB1" w:rsidRDefault="00B41935" w:rsidP="00873835">
      <w:pPr>
        <w:pStyle w:val="FootnoteText"/>
        <w:tabs>
          <w:tab w:val="left" w:pos="426"/>
        </w:tabs>
        <w:rPr>
          <w:sz w:val="16"/>
          <w:szCs w:val="16"/>
          <w:lang w:val="es-ES"/>
        </w:rPr>
      </w:pPr>
      <w:r w:rsidRPr="00324DB1">
        <w:rPr>
          <w:rStyle w:val="FootnoteReference"/>
          <w:rFonts w:eastAsia="Times"/>
          <w:lang w:val="es-ES"/>
        </w:rPr>
        <w:footnoteRef/>
      </w:r>
      <w:r w:rsidRPr="00324DB1">
        <w:rPr>
          <w:sz w:val="16"/>
          <w:szCs w:val="16"/>
          <w:lang w:val="es-ES"/>
        </w:rPr>
        <w:tab/>
      </w:r>
      <w:r w:rsidRPr="00324DB1">
        <w:rPr>
          <w:sz w:val="16"/>
          <w:szCs w:val="16"/>
          <w:lang w:val="es-ES"/>
        </w:rPr>
        <w:tab/>
      </w:r>
      <w:r w:rsidRPr="00C72378">
        <w:rPr>
          <w:i/>
          <w:sz w:val="16"/>
          <w:szCs w:val="16"/>
          <w:lang w:val="es-ES"/>
        </w:rPr>
        <w:t>Cfr. Caso Heliodoro Portugal Vs. Panamá</w:t>
      </w:r>
      <w:r>
        <w:rPr>
          <w:i/>
          <w:sz w:val="16"/>
          <w:szCs w:val="16"/>
          <w:lang w:val="es-ES"/>
        </w:rPr>
        <w:t>, supra</w:t>
      </w:r>
      <w:r w:rsidRPr="00C72378">
        <w:rPr>
          <w:sz w:val="16"/>
          <w:szCs w:val="16"/>
          <w:lang w:val="es-ES"/>
        </w:rPr>
        <w:t>, párr.</w:t>
      </w:r>
      <w:r w:rsidRPr="00C72378">
        <w:rPr>
          <w:sz w:val="16"/>
          <w:szCs w:val="16"/>
          <w:lang w:val="es-ES" w:bidi="en-US"/>
        </w:rPr>
        <w:t xml:space="preserve"> </w:t>
      </w:r>
      <w:r w:rsidRPr="00C72378">
        <w:rPr>
          <w:sz w:val="16"/>
          <w:szCs w:val="16"/>
          <w:lang w:val="es-ES"/>
        </w:rPr>
        <w:t>112,</w:t>
      </w:r>
      <w:r w:rsidRPr="00324DB1">
        <w:rPr>
          <w:sz w:val="16"/>
          <w:szCs w:val="16"/>
          <w:lang w:val="es-ES"/>
        </w:rPr>
        <w:t xml:space="preserve"> </w:t>
      </w:r>
      <w:r w:rsidRPr="00324DB1">
        <w:rPr>
          <w:color w:val="000000"/>
          <w:sz w:val="16"/>
          <w:szCs w:val="16"/>
          <w:lang w:val="es-ES"/>
        </w:rPr>
        <w:t xml:space="preserve">y </w:t>
      </w:r>
      <w:r w:rsidRPr="00324DB1">
        <w:rPr>
          <w:i/>
          <w:sz w:val="16"/>
          <w:szCs w:val="16"/>
        </w:rPr>
        <w:t>Caso Vásquez Durand y otros Vs. Ecuador</w:t>
      </w:r>
      <w:r>
        <w:rPr>
          <w:i/>
          <w:sz w:val="16"/>
          <w:szCs w:val="16"/>
        </w:rPr>
        <w:t>, supra</w:t>
      </w:r>
      <w:r w:rsidRPr="00324DB1">
        <w:rPr>
          <w:sz w:val="16"/>
          <w:szCs w:val="16"/>
        </w:rPr>
        <w:t>, párr. 133.</w:t>
      </w:r>
    </w:p>
  </w:footnote>
  <w:footnote w:id="252">
    <w:p w:rsidR="00B41935" w:rsidRPr="00324DB1" w:rsidRDefault="00B41935" w:rsidP="00873835">
      <w:pPr>
        <w:pStyle w:val="FootnoteText"/>
        <w:tabs>
          <w:tab w:val="left" w:pos="426"/>
        </w:tabs>
        <w:rPr>
          <w:sz w:val="16"/>
          <w:szCs w:val="16"/>
        </w:rPr>
      </w:pPr>
      <w:r w:rsidRPr="00324DB1">
        <w:rPr>
          <w:rStyle w:val="FootnoteReference"/>
          <w:rFonts w:eastAsia="Times"/>
        </w:rPr>
        <w:footnoteRef/>
      </w:r>
      <w:r w:rsidRPr="00324DB1">
        <w:rPr>
          <w:rStyle w:val="FootnoteReference"/>
          <w:rFonts w:eastAsia="Times"/>
        </w:rPr>
        <w:t xml:space="preserve"> </w:t>
      </w:r>
      <w:r w:rsidRPr="00324DB1">
        <w:rPr>
          <w:rStyle w:val="FootnoteReference"/>
          <w:rFonts w:eastAsia="Times"/>
        </w:rPr>
        <w:tab/>
      </w:r>
      <w:r w:rsidRPr="00324DB1">
        <w:rPr>
          <w:rFonts w:eastAsia="Times"/>
        </w:rPr>
        <w:tab/>
      </w:r>
      <w:r w:rsidRPr="00324DB1">
        <w:rPr>
          <w:i/>
          <w:sz w:val="16"/>
          <w:szCs w:val="16"/>
        </w:rPr>
        <w:t>Cfr</w:t>
      </w:r>
      <w:r w:rsidRPr="00324DB1">
        <w:rPr>
          <w:sz w:val="16"/>
          <w:szCs w:val="16"/>
        </w:rPr>
        <w:t xml:space="preserve">. </w:t>
      </w:r>
      <w:r w:rsidRPr="00324DB1">
        <w:rPr>
          <w:i/>
          <w:sz w:val="16"/>
          <w:szCs w:val="16"/>
        </w:rPr>
        <w:t>Caso Velásquez Rodríguez Vs. Honduras</w:t>
      </w:r>
      <w:r>
        <w:rPr>
          <w:i/>
          <w:sz w:val="16"/>
          <w:szCs w:val="16"/>
          <w:lang w:val="es-AR"/>
        </w:rPr>
        <w:t>. Fondo</w:t>
      </w:r>
      <w:r>
        <w:rPr>
          <w:i/>
          <w:sz w:val="16"/>
          <w:szCs w:val="16"/>
        </w:rPr>
        <w:t xml:space="preserve">, </w:t>
      </w:r>
      <w:r w:rsidRPr="003A5FAB">
        <w:rPr>
          <w:i/>
          <w:sz w:val="16"/>
          <w:szCs w:val="16"/>
          <w:lang w:val="pt-BR"/>
        </w:rPr>
        <w:t>supra</w:t>
      </w:r>
      <w:r w:rsidRPr="00324DB1">
        <w:rPr>
          <w:sz w:val="16"/>
          <w:szCs w:val="16"/>
          <w:lang w:val="es-ES"/>
        </w:rPr>
        <w:t xml:space="preserve">, </w:t>
      </w:r>
      <w:r w:rsidRPr="00324DB1">
        <w:rPr>
          <w:sz w:val="16"/>
          <w:szCs w:val="16"/>
        </w:rPr>
        <w:t xml:space="preserve">párrs. 156 y 187, y </w:t>
      </w:r>
      <w:r w:rsidRPr="00324DB1">
        <w:rPr>
          <w:i/>
          <w:sz w:val="16"/>
          <w:szCs w:val="16"/>
        </w:rPr>
        <w:t>Caso Munárriz Escobar y otros Vs. Perú</w:t>
      </w:r>
      <w:r>
        <w:rPr>
          <w:i/>
          <w:color w:val="000000"/>
          <w:spacing w:val="-4"/>
          <w:sz w:val="16"/>
          <w:szCs w:val="16"/>
        </w:rPr>
        <w:t xml:space="preserve">, </w:t>
      </w:r>
      <w:r w:rsidRPr="003A5FAB">
        <w:rPr>
          <w:i/>
          <w:color w:val="000000"/>
          <w:spacing w:val="-4"/>
          <w:sz w:val="16"/>
          <w:szCs w:val="16"/>
        </w:rPr>
        <w:t>supra</w:t>
      </w:r>
      <w:r w:rsidRPr="00324DB1">
        <w:rPr>
          <w:sz w:val="16"/>
          <w:szCs w:val="16"/>
        </w:rPr>
        <w:t>, párr. 86.</w:t>
      </w:r>
    </w:p>
  </w:footnote>
  <w:footnote w:id="253">
    <w:p w:rsidR="00B41935" w:rsidRPr="00C45CA5" w:rsidRDefault="00B41935" w:rsidP="00873835">
      <w:pPr>
        <w:pStyle w:val="FootnoteText"/>
        <w:tabs>
          <w:tab w:val="left" w:pos="426"/>
        </w:tabs>
        <w:rPr>
          <w:bCs/>
          <w:sz w:val="16"/>
          <w:szCs w:val="16"/>
        </w:rPr>
      </w:pPr>
      <w:r w:rsidRPr="00324DB1">
        <w:rPr>
          <w:rStyle w:val="FootnoteReference"/>
        </w:rPr>
        <w:footnoteRef/>
      </w:r>
      <w:r w:rsidRPr="00324DB1">
        <w:rPr>
          <w:sz w:val="16"/>
          <w:szCs w:val="16"/>
        </w:rPr>
        <w:t xml:space="preserve"> </w:t>
      </w:r>
      <w:r w:rsidRPr="00324DB1">
        <w:rPr>
          <w:sz w:val="16"/>
          <w:szCs w:val="16"/>
        </w:rPr>
        <w:tab/>
      </w:r>
      <w:r w:rsidRPr="00324DB1">
        <w:rPr>
          <w:sz w:val="16"/>
          <w:szCs w:val="16"/>
        </w:rPr>
        <w:tab/>
      </w:r>
      <w:r w:rsidRPr="00D067BB">
        <w:rPr>
          <w:i/>
          <w:sz w:val="16"/>
          <w:szCs w:val="16"/>
        </w:rPr>
        <w:t>Cfr</w:t>
      </w:r>
      <w:r w:rsidRPr="00D067BB">
        <w:rPr>
          <w:sz w:val="16"/>
          <w:szCs w:val="16"/>
        </w:rPr>
        <w:t xml:space="preserve">. </w:t>
      </w:r>
      <w:r w:rsidRPr="00D067BB">
        <w:rPr>
          <w:i/>
          <w:sz w:val="16"/>
          <w:szCs w:val="16"/>
          <w:lang w:val="es-ES"/>
        </w:rPr>
        <w:t>Caso Radilla Pacheco Vs. México</w:t>
      </w:r>
      <w:r w:rsidRPr="00D067BB">
        <w:rPr>
          <w:i/>
          <w:color w:val="000000"/>
          <w:spacing w:val="-4"/>
          <w:sz w:val="16"/>
          <w:szCs w:val="16"/>
        </w:rPr>
        <w:t>, supra</w:t>
      </w:r>
      <w:r w:rsidRPr="00D067BB">
        <w:rPr>
          <w:sz w:val="16"/>
          <w:szCs w:val="16"/>
          <w:lang w:val="es-ES"/>
        </w:rPr>
        <w:t>, párr.</w:t>
      </w:r>
      <w:r>
        <w:rPr>
          <w:sz w:val="16"/>
          <w:szCs w:val="16"/>
          <w:lang w:val="es-ES"/>
        </w:rPr>
        <w:t xml:space="preserve"> </w:t>
      </w:r>
      <w:r w:rsidRPr="00D067BB">
        <w:rPr>
          <w:sz w:val="16"/>
          <w:szCs w:val="16"/>
        </w:rPr>
        <w:t xml:space="preserve">152, y </w:t>
      </w:r>
      <w:r w:rsidRPr="00D067BB">
        <w:rPr>
          <w:i/>
          <w:sz w:val="16"/>
          <w:szCs w:val="16"/>
        </w:rPr>
        <w:t>Caso Munárriz Escobar y otros Vs. Perú</w:t>
      </w:r>
      <w:r w:rsidRPr="00D067BB">
        <w:rPr>
          <w:i/>
          <w:color w:val="000000"/>
          <w:spacing w:val="-4"/>
          <w:sz w:val="16"/>
          <w:szCs w:val="16"/>
        </w:rPr>
        <w:t>, supra</w:t>
      </w:r>
      <w:r w:rsidRPr="00D067BB">
        <w:rPr>
          <w:sz w:val="16"/>
          <w:szCs w:val="16"/>
        </w:rPr>
        <w:t>, párr. 86.</w:t>
      </w:r>
    </w:p>
  </w:footnote>
  <w:footnote w:id="254">
    <w:p w:rsidR="00B41935" w:rsidRPr="00C45CA5" w:rsidRDefault="00B41935" w:rsidP="00873835">
      <w:pPr>
        <w:pStyle w:val="FootnoteText"/>
        <w:tabs>
          <w:tab w:val="left" w:pos="426"/>
        </w:tabs>
        <w:rPr>
          <w:sz w:val="16"/>
          <w:szCs w:val="16"/>
          <w:lang w:val="es-ES"/>
        </w:rPr>
      </w:pPr>
      <w:r w:rsidRPr="00996E94">
        <w:rPr>
          <w:rStyle w:val="FootnoteReference"/>
          <w:rFonts w:eastAsia="Times"/>
          <w:lang w:val="es-ES"/>
        </w:rPr>
        <w:footnoteRef/>
      </w:r>
      <w:r w:rsidRPr="00C45CA5">
        <w:rPr>
          <w:sz w:val="16"/>
          <w:szCs w:val="16"/>
          <w:lang w:val="es-ES"/>
        </w:rPr>
        <w:t xml:space="preserve"> </w:t>
      </w:r>
      <w:r w:rsidRPr="00C45CA5">
        <w:rPr>
          <w:sz w:val="16"/>
          <w:szCs w:val="16"/>
          <w:lang w:val="es-ES"/>
        </w:rPr>
        <w:tab/>
      </w:r>
      <w:r>
        <w:rPr>
          <w:sz w:val="16"/>
          <w:szCs w:val="16"/>
          <w:lang w:val="es-ES"/>
        </w:rPr>
        <w:tab/>
      </w:r>
      <w:r w:rsidRPr="00C45CA5">
        <w:rPr>
          <w:i/>
          <w:sz w:val="16"/>
          <w:szCs w:val="16"/>
        </w:rPr>
        <w:t>Caso Anzualdo Castro Vs. Perú</w:t>
      </w:r>
      <w:r>
        <w:rPr>
          <w:rStyle w:val="Strong"/>
          <w:b w:val="0"/>
          <w:i/>
          <w:color w:val="000000"/>
          <w:sz w:val="16"/>
          <w:szCs w:val="16"/>
          <w:shd w:val="clear" w:color="auto" w:fill="FFFFFF"/>
        </w:rPr>
        <w:t>, supra</w:t>
      </w:r>
      <w:r w:rsidRPr="00C45CA5">
        <w:rPr>
          <w:sz w:val="16"/>
          <w:szCs w:val="16"/>
        </w:rPr>
        <w:t xml:space="preserve">, </w:t>
      </w:r>
      <w:r w:rsidRPr="00C45CA5">
        <w:rPr>
          <w:bCs/>
          <w:color w:val="000000"/>
          <w:sz w:val="16"/>
          <w:szCs w:val="16"/>
          <w:lang w:val="es-ES"/>
        </w:rPr>
        <w:t>párrs. 90 y 92</w:t>
      </w:r>
      <w:r w:rsidRPr="00C45CA5">
        <w:rPr>
          <w:bCs/>
          <w:i/>
          <w:color w:val="000000"/>
          <w:sz w:val="16"/>
          <w:szCs w:val="16"/>
          <w:lang w:val="es-ES"/>
        </w:rPr>
        <w:t xml:space="preserve">, </w:t>
      </w:r>
      <w:r w:rsidRPr="00C45CA5">
        <w:rPr>
          <w:color w:val="000000"/>
          <w:sz w:val="16"/>
          <w:szCs w:val="16"/>
          <w:lang w:val="es-ES"/>
        </w:rPr>
        <w:t xml:space="preserve">y </w:t>
      </w:r>
      <w:r w:rsidRPr="007C4241">
        <w:rPr>
          <w:i/>
          <w:sz w:val="16"/>
          <w:szCs w:val="16"/>
        </w:rPr>
        <w:t>Caso Munárriz Escobar y otros Vs. Perú</w:t>
      </w:r>
      <w:r>
        <w:rPr>
          <w:i/>
          <w:color w:val="000000"/>
          <w:spacing w:val="-4"/>
          <w:sz w:val="16"/>
          <w:szCs w:val="16"/>
        </w:rPr>
        <w:t xml:space="preserve">, </w:t>
      </w:r>
      <w:r w:rsidRPr="003A5FAB">
        <w:rPr>
          <w:i/>
          <w:color w:val="000000"/>
          <w:spacing w:val="-4"/>
          <w:sz w:val="16"/>
          <w:szCs w:val="16"/>
        </w:rPr>
        <w:t>supra</w:t>
      </w:r>
      <w:r w:rsidRPr="00C45CA5">
        <w:rPr>
          <w:sz w:val="16"/>
          <w:szCs w:val="16"/>
        </w:rPr>
        <w:t xml:space="preserve">, párr. </w:t>
      </w:r>
      <w:r>
        <w:rPr>
          <w:sz w:val="16"/>
          <w:szCs w:val="16"/>
        </w:rPr>
        <w:t>86</w:t>
      </w:r>
      <w:r w:rsidRPr="00C45CA5">
        <w:rPr>
          <w:sz w:val="16"/>
          <w:szCs w:val="16"/>
        </w:rPr>
        <w:t>.</w:t>
      </w:r>
    </w:p>
  </w:footnote>
  <w:footnote w:id="255">
    <w:p w:rsidR="00B41935" w:rsidRPr="0000173B" w:rsidRDefault="00B41935" w:rsidP="00873835">
      <w:pPr>
        <w:pStyle w:val="ListParagraph"/>
        <w:ind w:left="0"/>
        <w:rPr>
          <w:sz w:val="16"/>
          <w:szCs w:val="16"/>
          <w:lang w:val="es-AR"/>
        </w:rPr>
      </w:pPr>
      <w:r w:rsidRPr="00404E09">
        <w:rPr>
          <w:rStyle w:val="FootnoteReference"/>
        </w:rPr>
        <w:footnoteRef/>
      </w:r>
      <w:r w:rsidRPr="00404E09">
        <w:rPr>
          <w:sz w:val="16"/>
          <w:szCs w:val="16"/>
          <w:lang w:val="es-AR"/>
        </w:rPr>
        <w:t xml:space="preserve"> </w:t>
      </w:r>
      <w:r w:rsidRPr="00404E09">
        <w:rPr>
          <w:sz w:val="16"/>
          <w:szCs w:val="16"/>
          <w:lang w:val="es-AR"/>
        </w:rPr>
        <w:tab/>
      </w:r>
      <w:r w:rsidRPr="00404E09">
        <w:rPr>
          <w:i/>
          <w:sz w:val="16"/>
          <w:szCs w:val="16"/>
          <w:lang w:val="es-AR"/>
        </w:rPr>
        <w:t>Cfr.</w:t>
      </w:r>
      <w:r w:rsidRPr="00404E09">
        <w:rPr>
          <w:sz w:val="16"/>
          <w:szCs w:val="16"/>
          <w:lang w:val="es-AR"/>
        </w:rPr>
        <w:t xml:space="preserve"> Denuncia penal presentada ante la Fiscalí</w:t>
      </w:r>
      <w:r>
        <w:rPr>
          <w:sz w:val="16"/>
          <w:szCs w:val="16"/>
          <w:lang w:val="es-AR"/>
        </w:rPr>
        <w:t>a Provincial Penal de Acobamba-</w:t>
      </w:r>
      <w:r w:rsidRPr="00404E09">
        <w:rPr>
          <w:sz w:val="16"/>
          <w:szCs w:val="16"/>
          <w:lang w:val="es-AR"/>
        </w:rPr>
        <w:t xml:space="preserve">Huancavelica por la señora Carcausto Paco el 25 de noviembre de 2004 (expediente de prueba, anexo 42 al Informe de Fondo, fs. 298 a 314); y </w:t>
      </w:r>
      <w:r w:rsidRPr="00A0304F">
        <w:rPr>
          <w:sz w:val="16"/>
          <w:szCs w:val="16"/>
          <w:lang w:val="es-AR"/>
        </w:rPr>
        <w:t xml:space="preserve">Manifestación </w:t>
      </w:r>
      <w:r>
        <w:rPr>
          <w:sz w:val="16"/>
          <w:szCs w:val="16"/>
          <w:lang w:val="es-AR"/>
        </w:rPr>
        <w:t xml:space="preserve">de Rosa Carcausto Paco, </w:t>
      </w:r>
      <w:r>
        <w:rPr>
          <w:i/>
          <w:sz w:val="16"/>
          <w:szCs w:val="16"/>
          <w:lang w:val="es-AR"/>
        </w:rPr>
        <w:t>supra</w:t>
      </w:r>
      <w:r w:rsidRPr="00404E09">
        <w:rPr>
          <w:sz w:val="16"/>
          <w:szCs w:val="16"/>
          <w:lang w:val="es-AR"/>
        </w:rPr>
        <w:t>. En dicha declaración Rosa Carcausto Paco declaró que le informó [Máximo Antezana] que Santiago Antezana Cueto y los demás detenidos “le habían torturado cortándole por la frente y le sumergían [e]n agua fría y las heridas que tenía se estaban infectando, les hacían escarbar tierra diciéndoles que esas fosas eran para ellos”.</w:t>
      </w:r>
      <w:r>
        <w:rPr>
          <w:sz w:val="16"/>
          <w:szCs w:val="16"/>
          <w:lang w:val="es-AR"/>
        </w:rPr>
        <w:t xml:space="preserve"> </w:t>
      </w:r>
    </w:p>
  </w:footnote>
  <w:footnote w:id="256">
    <w:p w:rsidR="00B41935" w:rsidRPr="00552A48" w:rsidRDefault="00B41935" w:rsidP="00873835">
      <w:pPr>
        <w:pStyle w:val="FootnoteText"/>
        <w:rPr>
          <w:sz w:val="16"/>
          <w:szCs w:val="16"/>
          <w:lang w:val="es-AR"/>
        </w:rPr>
      </w:pPr>
      <w:r w:rsidRPr="00834703">
        <w:rPr>
          <w:rStyle w:val="FootnoteReference"/>
        </w:rPr>
        <w:footnoteRef/>
      </w:r>
      <w:r w:rsidRPr="00834703">
        <w:rPr>
          <w:sz w:val="16"/>
          <w:szCs w:val="16"/>
          <w:lang w:val="es-AR"/>
        </w:rPr>
        <w:t xml:space="preserve"> </w:t>
      </w:r>
      <w:r w:rsidRPr="00834703">
        <w:rPr>
          <w:sz w:val="16"/>
          <w:szCs w:val="16"/>
          <w:lang w:val="es-AR"/>
        </w:rPr>
        <w:tab/>
      </w:r>
      <w:r w:rsidRPr="006173A9">
        <w:rPr>
          <w:i/>
          <w:sz w:val="16"/>
          <w:szCs w:val="16"/>
          <w:lang w:val="es-AR"/>
        </w:rPr>
        <w:t>Cfr.</w:t>
      </w:r>
      <w:r>
        <w:rPr>
          <w:sz w:val="16"/>
          <w:szCs w:val="16"/>
          <w:lang w:val="es-AR"/>
        </w:rPr>
        <w:t xml:space="preserve"> </w:t>
      </w:r>
      <w:r w:rsidRPr="00BD75F5">
        <w:rPr>
          <w:sz w:val="16"/>
          <w:szCs w:val="16"/>
          <w:lang w:val="es-AR"/>
        </w:rPr>
        <w:t>Comunicación de los peticionarios de 4 de julio de 2011. Declaración de CAR ante la CVR el 25 de mayo de 2002 (expediente de prueba, anexo 49 al Informe de Fondo, fs. 420</w:t>
      </w:r>
      <w:r>
        <w:rPr>
          <w:sz w:val="16"/>
          <w:szCs w:val="16"/>
          <w:lang w:val="es-AR"/>
        </w:rPr>
        <w:t xml:space="preserve"> a 422</w:t>
      </w:r>
      <w:r w:rsidRPr="00BD75F5">
        <w:rPr>
          <w:sz w:val="16"/>
          <w:szCs w:val="16"/>
          <w:lang w:val="es-AR"/>
        </w:rPr>
        <w:t>).</w:t>
      </w:r>
    </w:p>
  </w:footnote>
  <w:footnote w:id="257">
    <w:p w:rsidR="00B41935" w:rsidRPr="0000173B" w:rsidRDefault="00B41935" w:rsidP="00881DB6">
      <w:pPr>
        <w:pStyle w:val="FootnoteText"/>
        <w:rPr>
          <w:sz w:val="16"/>
          <w:szCs w:val="16"/>
          <w:lang w:val="es-ES"/>
        </w:rPr>
      </w:pPr>
      <w:r w:rsidRPr="00CC214C">
        <w:rPr>
          <w:rStyle w:val="FootnoteReference"/>
        </w:rPr>
        <w:footnoteRef/>
      </w:r>
      <w:r w:rsidRPr="00CC214C">
        <w:rPr>
          <w:sz w:val="16"/>
          <w:szCs w:val="16"/>
          <w:lang w:val="es-ES"/>
        </w:rPr>
        <w:t xml:space="preserve"> </w:t>
      </w:r>
      <w:r w:rsidRPr="00CC214C">
        <w:rPr>
          <w:sz w:val="16"/>
          <w:szCs w:val="16"/>
          <w:lang w:val="es-ES"/>
        </w:rPr>
        <w:tab/>
      </w:r>
      <w:r w:rsidRPr="00CC214C">
        <w:rPr>
          <w:rFonts w:cs="Arial"/>
          <w:sz w:val="16"/>
          <w:szCs w:val="16"/>
        </w:rPr>
        <w:t>El ar</w:t>
      </w:r>
      <w:r w:rsidRPr="00552A48">
        <w:rPr>
          <w:rFonts w:cs="Arial"/>
          <w:sz w:val="16"/>
          <w:szCs w:val="16"/>
        </w:rPr>
        <w:t>tículo 8 de la Convención</w:t>
      </w:r>
      <w:r>
        <w:rPr>
          <w:rFonts w:cs="Arial"/>
          <w:sz w:val="16"/>
          <w:szCs w:val="16"/>
        </w:rPr>
        <w:t xml:space="preserve"> </w:t>
      </w:r>
      <w:r w:rsidRPr="00552A48">
        <w:rPr>
          <w:rFonts w:cs="Arial"/>
          <w:sz w:val="16"/>
          <w:szCs w:val="16"/>
        </w:rPr>
        <w:t>establece: “Garantías Judiciales. 1. Toda persona tiene derecho a ser oída, con las debidas garantías y dentro de un plazo razonable, por un juez o tribunal competente, independiente e imparcial, establecido con anterioridad por la ley, en la sustanciación de cualq</w:t>
      </w:r>
      <w:r w:rsidRPr="00F10686">
        <w:rPr>
          <w:rFonts w:cs="Arial"/>
          <w:sz w:val="16"/>
          <w:szCs w:val="16"/>
        </w:rPr>
        <w:t xml:space="preserve">uier acusación penal formulada contra ella, o para la determinación de sus derechos y obligaciones de orden civil, laboral, fiscal o de cualquier otro carácter”. </w:t>
      </w:r>
    </w:p>
  </w:footnote>
  <w:footnote w:id="258">
    <w:p w:rsidR="00B41935" w:rsidRPr="003D07CE" w:rsidRDefault="00B41935" w:rsidP="00881DB6">
      <w:pPr>
        <w:pStyle w:val="FootnoteText"/>
        <w:rPr>
          <w:sz w:val="16"/>
          <w:szCs w:val="16"/>
          <w:lang w:val="es-ES"/>
        </w:rPr>
      </w:pPr>
      <w:r w:rsidRPr="00CC214C">
        <w:rPr>
          <w:rStyle w:val="FootnoteReference"/>
        </w:rPr>
        <w:footnoteRef/>
      </w:r>
      <w:r w:rsidRPr="00CC214C">
        <w:rPr>
          <w:sz w:val="16"/>
          <w:szCs w:val="16"/>
          <w:lang w:val="es-ES"/>
        </w:rPr>
        <w:t xml:space="preserve"> </w:t>
      </w:r>
      <w:r w:rsidRPr="00CC214C">
        <w:rPr>
          <w:sz w:val="16"/>
          <w:szCs w:val="16"/>
          <w:lang w:val="es-ES"/>
        </w:rPr>
        <w:tab/>
      </w:r>
      <w:r w:rsidRPr="00CC214C">
        <w:rPr>
          <w:rFonts w:cs="Arial"/>
          <w:sz w:val="16"/>
          <w:szCs w:val="16"/>
        </w:rPr>
        <w:t xml:space="preserve">El artículo 25 de la Convención establece: “Protección </w:t>
      </w:r>
      <w:r w:rsidRPr="00552A48">
        <w:rPr>
          <w:rFonts w:cs="Arial"/>
          <w:sz w:val="16"/>
          <w:szCs w:val="16"/>
        </w:rPr>
        <w:t xml:space="preserve">Judicial: 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w:t>
      </w:r>
      <w:r w:rsidRPr="00F10686">
        <w:rPr>
          <w:rFonts w:cs="Arial"/>
          <w:sz w:val="16"/>
          <w:szCs w:val="16"/>
        </w:rPr>
        <w:t>tal violación sea cometida por personas que actúen en ejercicio de sus funciones oficiales. 2. Los Estados Partes se comprometen: a) a garantizar que la autoridad competente prevista por el sistema legal del Estado decidirá sobre los derechos de toda perso</w:t>
      </w:r>
      <w:r w:rsidRPr="0000173B">
        <w:rPr>
          <w:rFonts w:cs="Arial"/>
          <w:sz w:val="16"/>
          <w:szCs w:val="16"/>
        </w:rPr>
        <w:t>na que interponga tal recurso; b) a desarrollar las posibilidades de recurso judicial, y c) a garantizar</w:t>
      </w:r>
      <w:r>
        <w:rPr>
          <w:rFonts w:cs="Arial"/>
          <w:sz w:val="16"/>
          <w:szCs w:val="16"/>
        </w:rPr>
        <w:t xml:space="preserve"> </w:t>
      </w:r>
      <w:r w:rsidRPr="0000173B">
        <w:rPr>
          <w:rFonts w:cs="Arial"/>
          <w:sz w:val="16"/>
          <w:szCs w:val="16"/>
        </w:rPr>
        <w:t>el cumplimiento, por las autoridades competentes, de toda decisión en que se haya estimado procedente el recurso”.</w:t>
      </w:r>
    </w:p>
  </w:footnote>
  <w:footnote w:id="259">
    <w:p w:rsidR="00B41935" w:rsidRDefault="00B41935" w:rsidP="00EB288E">
      <w:pPr>
        <w:pStyle w:val="FootnoteText"/>
        <w:rPr>
          <w:rFonts w:cs="Arial"/>
          <w:sz w:val="16"/>
          <w:szCs w:val="16"/>
        </w:rPr>
      </w:pPr>
      <w:r w:rsidRPr="00CC214C">
        <w:rPr>
          <w:rStyle w:val="FootnoteReference"/>
        </w:rPr>
        <w:footnoteRef/>
      </w:r>
      <w:r w:rsidRPr="00CC214C">
        <w:rPr>
          <w:sz w:val="16"/>
          <w:szCs w:val="16"/>
        </w:rPr>
        <w:t xml:space="preserve"> </w:t>
      </w:r>
      <w:r>
        <w:rPr>
          <w:sz w:val="16"/>
          <w:szCs w:val="16"/>
        </w:rPr>
        <w:tab/>
      </w:r>
      <w:r w:rsidRPr="00CC214C">
        <w:rPr>
          <w:rFonts w:cs="Arial"/>
          <w:sz w:val="16"/>
          <w:szCs w:val="16"/>
        </w:rPr>
        <w:t>El artículo I.b de la C</w:t>
      </w:r>
      <w:r>
        <w:rPr>
          <w:rFonts w:cs="Arial"/>
          <w:sz w:val="16"/>
          <w:szCs w:val="16"/>
        </w:rPr>
        <w:t xml:space="preserve">onvención Interamericana sobre Desaparición Forzada de Personas </w:t>
      </w:r>
      <w:r w:rsidRPr="00CC214C">
        <w:rPr>
          <w:rFonts w:cs="Arial"/>
          <w:sz w:val="16"/>
          <w:szCs w:val="16"/>
        </w:rPr>
        <w:t>indica que: “Los Estados Partes en esta Convención se comprometen a: […] b) Sancionar en el ámbito de su jurisdicción a los autores, cómplices y encubridores del delito de desaparición forzada de personas, así como la tentativa</w:t>
      </w:r>
      <w:r w:rsidRPr="00552A48">
        <w:rPr>
          <w:rFonts w:cs="Arial"/>
          <w:sz w:val="16"/>
          <w:szCs w:val="16"/>
        </w:rPr>
        <w:t xml:space="preserve"> de comisión del mismo”. </w:t>
      </w:r>
    </w:p>
    <w:p w:rsidR="00B41935" w:rsidRPr="00EB288E" w:rsidRDefault="00B41935" w:rsidP="00EB288E">
      <w:pPr>
        <w:rPr>
          <w:rFonts w:cs="Arial"/>
          <w:sz w:val="16"/>
          <w:szCs w:val="16"/>
        </w:rPr>
      </w:pPr>
      <w:r>
        <w:rPr>
          <w:rFonts w:cs="Arial"/>
          <w:sz w:val="16"/>
          <w:szCs w:val="16"/>
        </w:rPr>
        <w:tab/>
        <w:t>El artículo 1 de la Convención Interamericana para Prevenir y Sancionar la Tortura establece que: “</w:t>
      </w:r>
      <w:r w:rsidRPr="00EB288E">
        <w:rPr>
          <w:rFonts w:cs="Arial"/>
          <w:sz w:val="16"/>
          <w:szCs w:val="16"/>
        </w:rPr>
        <w:t>Los Estados partes se obligan a prevenir y a sancionar la tortura en los térm</w:t>
      </w:r>
      <w:r>
        <w:rPr>
          <w:rFonts w:cs="Arial"/>
          <w:sz w:val="16"/>
          <w:szCs w:val="16"/>
        </w:rPr>
        <w:t>inos de la presente Convención”.</w:t>
      </w:r>
      <w:r>
        <w:rPr>
          <w:rFonts w:cs="Arial"/>
          <w:sz w:val="16"/>
          <w:szCs w:val="16"/>
        </w:rPr>
        <w:br/>
      </w:r>
      <w:r>
        <w:rPr>
          <w:rFonts w:cs="Arial"/>
          <w:sz w:val="16"/>
          <w:szCs w:val="16"/>
        </w:rPr>
        <w:tab/>
        <w:t>El artículo 6 de dicha Convención establece que:</w:t>
      </w:r>
      <w:r w:rsidR="00B5178B">
        <w:rPr>
          <w:rFonts w:cs="Arial"/>
          <w:sz w:val="16"/>
          <w:szCs w:val="16"/>
        </w:rPr>
        <w:t xml:space="preserve"> </w:t>
      </w:r>
      <w:r>
        <w:rPr>
          <w:rFonts w:cs="Arial"/>
          <w:sz w:val="16"/>
          <w:szCs w:val="16"/>
        </w:rPr>
        <w:t>”</w:t>
      </w:r>
      <w:r w:rsidRPr="00EB288E">
        <w:rPr>
          <w:rFonts w:cs="Arial"/>
          <w:sz w:val="16"/>
          <w:szCs w:val="16"/>
        </w:rPr>
        <w:t>De conformidad con lo dispuesto en el artículo 1, los Estados partes tomarán medidas efectivas para prevenir y sancionar la tortura en el ámbito de su jurisdicción.</w:t>
      </w:r>
      <w:r>
        <w:rPr>
          <w:rFonts w:cs="Arial"/>
          <w:sz w:val="16"/>
          <w:szCs w:val="16"/>
        </w:rPr>
        <w:t xml:space="preserve">  </w:t>
      </w:r>
      <w:r w:rsidRPr="00EB288E">
        <w:rPr>
          <w:rFonts w:cs="Arial"/>
          <w:sz w:val="16"/>
          <w:szCs w:val="16"/>
        </w:rPr>
        <w:t>Los Estados partes se asegurarán de que todos los actos de tortura y los intentos de cometer tales actos constituyan delitos conforme a su derecho penal, estableciendo para castigarlos sanciones severas que tengan en cuenta su gravedad.</w:t>
      </w:r>
      <w:r>
        <w:rPr>
          <w:rFonts w:cs="Arial"/>
          <w:sz w:val="16"/>
          <w:szCs w:val="16"/>
        </w:rPr>
        <w:t xml:space="preserve"> </w:t>
      </w:r>
      <w:r w:rsidRPr="00EB288E">
        <w:rPr>
          <w:rFonts w:cs="Arial"/>
          <w:sz w:val="16"/>
          <w:szCs w:val="16"/>
        </w:rPr>
        <w:t>Igualmente, los Estados partes tomarán medidas efectivas para prevenir y sancionar, además, otros tratos o penas crueles, inhumanos o degradantes en el ámbito de su jurisdicción</w:t>
      </w:r>
      <w:r w:rsidR="00B5178B">
        <w:rPr>
          <w:rFonts w:cs="Arial"/>
          <w:sz w:val="16"/>
          <w:szCs w:val="16"/>
        </w:rPr>
        <w:t>”.</w:t>
      </w:r>
      <w:r w:rsidR="00B5178B">
        <w:rPr>
          <w:rFonts w:cs="Arial"/>
          <w:sz w:val="16"/>
          <w:szCs w:val="16"/>
        </w:rPr>
        <w:br/>
      </w:r>
      <w:r w:rsidR="00B5178B">
        <w:rPr>
          <w:rFonts w:cs="Arial"/>
          <w:sz w:val="16"/>
          <w:szCs w:val="16"/>
        </w:rPr>
        <w:tab/>
        <w:t xml:space="preserve">El artículo 8 de dicha </w:t>
      </w:r>
      <w:r>
        <w:rPr>
          <w:rFonts w:cs="Arial"/>
          <w:sz w:val="16"/>
          <w:szCs w:val="16"/>
        </w:rPr>
        <w:t>Convención establece que: “</w:t>
      </w:r>
      <w:r w:rsidRPr="00EB288E">
        <w:rPr>
          <w:rFonts w:cs="Arial"/>
          <w:sz w:val="16"/>
          <w:szCs w:val="16"/>
        </w:rPr>
        <w:t>Los Estados partes garantizarán a toda persona que denuncie haber sido sometida a tortura en el ámbito de su jurisdicción el derecho a que el caso sea examinado imparcialmente.</w:t>
      </w:r>
      <w:r>
        <w:rPr>
          <w:rFonts w:cs="Arial"/>
          <w:sz w:val="16"/>
          <w:szCs w:val="16"/>
        </w:rPr>
        <w:t xml:space="preserve"> </w:t>
      </w:r>
      <w:r w:rsidRPr="00EB288E">
        <w:rPr>
          <w:rFonts w:cs="Arial"/>
          <w:sz w:val="16"/>
          <w:szCs w:val="16"/>
        </w:rPr>
        <w:t>Asimismo, cuando exista denuncia o razón fundada para creer que se ha cometido un acto de tortura en el ámbito de su jurisdicción, los Estados partes garantizarán que sus respectivas autoridades procederán de oficio y de inmediato a realizar una investigación sobre el caso y a iniciar, cuando corresponda, el respectivo proceso penal.</w:t>
      </w:r>
      <w:r>
        <w:rPr>
          <w:rFonts w:cs="Arial"/>
          <w:sz w:val="16"/>
          <w:szCs w:val="16"/>
        </w:rPr>
        <w:t xml:space="preserve"> </w:t>
      </w:r>
      <w:r w:rsidRPr="00EB288E">
        <w:rPr>
          <w:rFonts w:cs="Arial"/>
          <w:sz w:val="16"/>
          <w:szCs w:val="16"/>
        </w:rPr>
        <w:t>Una vez agotado el ordenamiento jurídico interno del respectivo Estado y los recursos que éste prevé, el caso podrá ser sometido a instancias internacionales cuya competencia ha</w:t>
      </w:r>
      <w:r>
        <w:rPr>
          <w:rFonts w:cs="Arial"/>
          <w:sz w:val="16"/>
          <w:szCs w:val="16"/>
        </w:rPr>
        <w:t>ya sido aceptada por ese Estado”.</w:t>
      </w:r>
    </w:p>
  </w:footnote>
  <w:footnote w:id="260">
    <w:p w:rsidR="00B41935" w:rsidRPr="00257982" w:rsidRDefault="00B41935" w:rsidP="00881DB6">
      <w:pPr>
        <w:pStyle w:val="FootnoteText"/>
        <w:rPr>
          <w:sz w:val="16"/>
          <w:szCs w:val="16"/>
          <w:lang w:val="es-AR"/>
        </w:rPr>
      </w:pPr>
      <w:r w:rsidRPr="00CC214C">
        <w:rPr>
          <w:rStyle w:val="FootnoteReference"/>
        </w:rPr>
        <w:footnoteRef/>
      </w:r>
      <w:r w:rsidRPr="00257982">
        <w:rPr>
          <w:sz w:val="16"/>
          <w:szCs w:val="16"/>
        </w:rPr>
        <w:t xml:space="preserve"> </w:t>
      </w:r>
      <w:r>
        <w:rPr>
          <w:sz w:val="16"/>
          <w:szCs w:val="16"/>
        </w:rPr>
        <w:tab/>
      </w:r>
      <w:r w:rsidRPr="00257982">
        <w:rPr>
          <w:sz w:val="16"/>
          <w:szCs w:val="16"/>
        </w:rPr>
        <w:t xml:space="preserve">Con </w:t>
      </w:r>
      <w:r w:rsidRPr="005070BD">
        <w:rPr>
          <w:sz w:val="16"/>
          <w:szCs w:val="16"/>
        </w:rPr>
        <w:t>respecto a Wilfredo Terrones</w:t>
      </w:r>
      <w:r>
        <w:rPr>
          <w:sz w:val="16"/>
          <w:szCs w:val="16"/>
        </w:rPr>
        <w:t xml:space="preserve"> Silva</w:t>
      </w:r>
      <w:r w:rsidRPr="00257982">
        <w:rPr>
          <w:sz w:val="16"/>
          <w:szCs w:val="16"/>
        </w:rPr>
        <w:t xml:space="preserve">, </w:t>
      </w:r>
      <w:r w:rsidRPr="00257982">
        <w:rPr>
          <w:rFonts w:eastAsiaTheme="minorHAnsi"/>
          <w:sz w:val="16"/>
          <w:szCs w:val="16"/>
        </w:rPr>
        <w:t xml:space="preserve">destacó que no se inició investigación penal alguna </w:t>
      </w:r>
      <w:r w:rsidRPr="00257982">
        <w:rPr>
          <w:rFonts w:cs="Arial"/>
          <w:sz w:val="16"/>
          <w:szCs w:val="16"/>
        </w:rPr>
        <w:t>sobre</w:t>
      </w:r>
      <w:r w:rsidRPr="00257982">
        <w:rPr>
          <w:rFonts w:eastAsiaTheme="minorHAnsi"/>
          <w:sz w:val="16"/>
          <w:szCs w:val="16"/>
        </w:rPr>
        <w:t xml:space="preserve"> el delito denunciado ni se tomaron las acciones inmediatas correspondientes a una denuncia de desaparición forzada. A la fecha de elaboración del Informe de Fondo aún no se había iniciado averiguación penal sobre la desaparición de Wilfredo Terrones Silva, lo que pone de manifiesto el incumplimiento del deber de investigar</w:t>
      </w:r>
      <w:r>
        <w:rPr>
          <w:rFonts w:eastAsiaTheme="minorHAnsi"/>
          <w:sz w:val="16"/>
          <w:szCs w:val="16"/>
        </w:rPr>
        <w:t>.</w:t>
      </w:r>
      <w:r w:rsidRPr="00257982">
        <w:rPr>
          <w:rFonts w:eastAsiaTheme="minorHAnsi"/>
          <w:sz w:val="16"/>
          <w:szCs w:val="16"/>
        </w:rPr>
        <w:t xml:space="preserve"> </w:t>
      </w:r>
      <w:r w:rsidRPr="005070BD">
        <w:rPr>
          <w:rFonts w:eastAsiaTheme="minorHAnsi"/>
          <w:sz w:val="16"/>
          <w:szCs w:val="16"/>
        </w:rPr>
        <w:t xml:space="preserve">Con </w:t>
      </w:r>
      <w:r>
        <w:rPr>
          <w:rFonts w:eastAsiaTheme="minorHAnsi"/>
          <w:sz w:val="16"/>
          <w:szCs w:val="16"/>
        </w:rPr>
        <w:t>r</w:t>
      </w:r>
      <w:r w:rsidRPr="005070BD">
        <w:rPr>
          <w:rFonts w:eastAsiaTheme="minorHAnsi"/>
          <w:sz w:val="16"/>
          <w:szCs w:val="16"/>
        </w:rPr>
        <w:t xml:space="preserve">especto a Teresa Díaz Aparicio, </w:t>
      </w:r>
      <w:r w:rsidRPr="00257982">
        <w:rPr>
          <w:sz w:val="16"/>
          <w:szCs w:val="16"/>
          <w:lang w:val="es-AR"/>
        </w:rPr>
        <w:t xml:space="preserve">observó una inactividad procesal y falta de diligencias desde el año 1993 al 2002. En septiembre 2002, más de 10 años </w:t>
      </w:r>
      <w:r w:rsidRPr="00257982">
        <w:rPr>
          <w:rFonts w:cs="Arial"/>
          <w:sz w:val="16"/>
          <w:szCs w:val="16"/>
        </w:rPr>
        <w:t>después</w:t>
      </w:r>
      <w:r w:rsidRPr="00257982">
        <w:rPr>
          <w:sz w:val="16"/>
          <w:szCs w:val="16"/>
          <w:lang w:val="es-AR"/>
        </w:rPr>
        <w:t xml:space="preserve"> de la desaparición forzada, se retomó la investigación y, por primera vez, inició el recabo de declaraciones de familiares y otras personas cercanas a la desaparecida, así como a diferentes entidades del Estado. Para esa fecha ya se había p</w:t>
      </w:r>
      <w:r>
        <w:rPr>
          <w:sz w:val="16"/>
          <w:szCs w:val="16"/>
          <w:lang w:val="es-AR"/>
        </w:rPr>
        <w:t>e</w:t>
      </w:r>
      <w:r w:rsidRPr="00257982">
        <w:rPr>
          <w:sz w:val="16"/>
          <w:szCs w:val="16"/>
          <w:lang w:val="es-AR"/>
        </w:rPr>
        <w:t>rdid</w:t>
      </w:r>
      <w:r>
        <w:rPr>
          <w:sz w:val="16"/>
          <w:szCs w:val="16"/>
          <w:lang w:val="es-AR"/>
        </w:rPr>
        <w:t>o</w:t>
      </w:r>
      <w:r w:rsidRPr="00257982">
        <w:rPr>
          <w:sz w:val="16"/>
          <w:szCs w:val="16"/>
          <w:lang w:val="es-AR"/>
        </w:rPr>
        <w:t xml:space="preserve"> importante prueba, incluyendo la posibilidad de indagar a la madre y uno de los hermanos de Teresa Díaz Aparicio, debido a su fallecimiento</w:t>
      </w:r>
      <w:r>
        <w:rPr>
          <w:sz w:val="16"/>
          <w:szCs w:val="16"/>
          <w:lang w:val="es-AR"/>
        </w:rPr>
        <w:t>.</w:t>
      </w:r>
      <w:r w:rsidRPr="00257982">
        <w:rPr>
          <w:sz w:val="16"/>
          <w:szCs w:val="16"/>
          <w:lang w:val="es-AR"/>
        </w:rPr>
        <w:t xml:space="preserve"> </w:t>
      </w:r>
      <w:r w:rsidRPr="00CC214C">
        <w:rPr>
          <w:sz w:val="16"/>
          <w:szCs w:val="16"/>
          <w:lang w:val="es-AR"/>
        </w:rPr>
        <w:t xml:space="preserve">Con </w:t>
      </w:r>
      <w:r w:rsidRPr="005070BD">
        <w:rPr>
          <w:sz w:val="16"/>
          <w:szCs w:val="16"/>
          <w:lang w:val="es-AR"/>
        </w:rPr>
        <w:t>respecto a Cory Clodolia Tenicela Tello</w:t>
      </w:r>
      <w:r>
        <w:rPr>
          <w:sz w:val="16"/>
          <w:szCs w:val="16"/>
          <w:lang w:val="es-AR"/>
        </w:rPr>
        <w:t>, señaló que</w:t>
      </w:r>
      <w:r w:rsidRPr="00CC214C">
        <w:rPr>
          <w:sz w:val="16"/>
          <w:szCs w:val="16"/>
          <w:lang w:val="es-AR"/>
        </w:rPr>
        <w:t xml:space="preserve"> </w:t>
      </w:r>
      <w:r w:rsidRPr="00257982">
        <w:rPr>
          <w:sz w:val="16"/>
          <w:szCs w:val="16"/>
          <w:lang w:val="es-AR"/>
        </w:rPr>
        <w:t xml:space="preserve">su madre interpuso la denuncia penal y </w:t>
      </w:r>
      <w:r>
        <w:rPr>
          <w:sz w:val="16"/>
          <w:szCs w:val="16"/>
          <w:lang w:val="es-AR"/>
        </w:rPr>
        <w:t xml:space="preserve">un </w:t>
      </w:r>
      <w:r w:rsidRPr="00257982">
        <w:rPr>
          <w:sz w:val="16"/>
          <w:szCs w:val="16"/>
          <w:lang w:val="es-AR"/>
        </w:rPr>
        <w:t xml:space="preserve">recurso de hábeas corpus en octubre de 1992. La Comisión observó que no fue hasta julio de 2003 que se incluyó su caso </w:t>
      </w:r>
      <w:r>
        <w:rPr>
          <w:sz w:val="16"/>
          <w:szCs w:val="16"/>
          <w:lang w:val="es-AR"/>
        </w:rPr>
        <w:t xml:space="preserve">en </w:t>
      </w:r>
      <w:r w:rsidRPr="00257982">
        <w:rPr>
          <w:sz w:val="16"/>
          <w:szCs w:val="16"/>
          <w:lang w:val="es-AR"/>
        </w:rPr>
        <w:t xml:space="preserve">las investigaciones que se estaban realizando. Mediante dictamen, en septiembre de 2013 se formalizó denuncia contra el Comandante de la 31° División del Ejército Peruano y el Jefe de </w:t>
      </w:r>
      <w:r>
        <w:rPr>
          <w:sz w:val="16"/>
          <w:szCs w:val="16"/>
          <w:lang w:val="es-AR"/>
        </w:rPr>
        <w:t xml:space="preserve"> la </w:t>
      </w:r>
      <w:r w:rsidRPr="00257982">
        <w:rPr>
          <w:sz w:val="16"/>
          <w:szCs w:val="16"/>
          <w:lang w:val="es-AR"/>
        </w:rPr>
        <w:t>base de Acción Cívica de UNCP. La Comisión no cuenta con información sobre diligencias que se hubiera practicado desde septiembre de 2013.</w:t>
      </w:r>
      <w:r w:rsidRPr="00CC214C">
        <w:rPr>
          <w:sz w:val="16"/>
          <w:szCs w:val="16"/>
          <w:lang w:val="es-AR"/>
        </w:rPr>
        <w:t xml:space="preserve"> </w:t>
      </w:r>
      <w:r w:rsidRPr="005070BD">
        <w:rPr>
          <w:sz w:val="16"/>
          <w:szCs w:val="16"/>
          <w:lang w:val="es-AR"/>
        </w:rPr>
        <w:t>Con respecto a Néstor Rojas Medina</w:t>
      </w:r>
      <w:r w:rsidRPr="00CC214C">
        <w:rPr>
          <w:sz w:val="16"/>
          <w:szCs w:val="16"/>
          <w:lang w:val="es-AR"/>
        </w:rPr>
        <w:t xml:space="preserve"> </w:t>
      </w:r>
      <w:r w:rsidRPr="00257982">
        <w:rPr>
          <w:sz w:val="16"/>
          <w:szCs w:val="16"/>
          <w:lang w:val="es-AR"/>
        </w:rPr>
        <w:t>estimó que existía una violación a la garantía del plazo razonable, e hizo énfasis en que, desde la denuncia presentada en 1991, fue en el 2000 que se remitió la investigación a la Policía para que la llevara a cabo; que tras la denuncia de Marcelina Medina Negrón en 2004, no cuentan con información sobre diligencia alguna llevada a cabo entre 2005 y 2011; que no se cuenta con información de las diligencias llevadas a cabo en 2011, y que el Estado “se limitó a informar que en enero de 2013, la Primera Fiscalía Provincial Corporativa de Tocache declaró el archivo de la investigación”. Finalmente</w:t>
      </w:r>
      <w:r w:rsidRPr="00CC214C">
        <w:rPr>
          <w:sz w:val="16"/>
          <w:szCs w:val="16"/>
          <w:lang w:val="es-AR"/>
        </w:rPr>
        <w:t xml:space="preserve">, respecto a Santiago Antezana Cueto </w:t>
      </w:r>
      <w:r w:rsidRPr="00257982">
        <w:rPr>
          <w:sz w:val="16"/>
          <w:szCs w:val="16"/>
          <w:lang w:val="es-AR"/>
        </w:rPr>
        <w:t>observó que aunque se presentó denuncia por su desaparición en marzo 1985, no fue sino hasta 1992 cuando su compañera acudió al Ministerio Público a indagar sobre la investigación y ampliar la denuncia</w:t>
      </w:r>
      <w:r>
        <w:rPr>
          <w:sz w:val="16"/>
          <w:szCs w:val="16"/>
          <w:lang w:val="es-AR"/>
        </w:rPr>
        <w:t xml:space="preserve">. Se </w:t>
      </w:r>
      <w:r w:rsidRPr="00257982">
        <w:rPr>
          <w:sz w:val="16"/>
          <w:szCs w:val="16"/>
          <w:lang w:val="es-AR"/>
        </w:rPr>
        <w:t xml:space="preserve">ordenó el inicio de una nueva investigación por suponerse que la primera denuncia se encontraba en la jefatura cuyos archivos “fueron incendiados durante el ataque subversivo producido en el año 1989”. No existe información de alguna diligencia seguida después de las denuncias. En noviembre 2004 se presentó una nueva denuncia en contra del capitán del ejército peruano por la desaparición forzada de Santiago Antezana Cueto. El 31 de julio de 2009 la Fiscalía Provincial Penal de Huanvelica formalizó denuncia penal contra el mismo. El 9 de julio de 2013 el proceso se encontraba en fase de juicio oral y en el momento de la emisión del </w:t>
      </w:r>
      <w:r>
        <w:rPr>
          <w:sz w:val="16"/>
          <w:szCs w:val="16"/>
          <w:lang w:val="es-AR"/>
        </w:rPr>
        <w:t>I</w:t>
      </w:r>
      <w:r w:rsidRPr="00257982">
        <w:rPr>
          <w:sz w:val="16"/>
          <w:szCs w:val="16"/>
          <w:lang w:val="es-AR"/>
        </w:rPr>
        <w:t>nforme la Comisión no contó con información</w:t>
      </w:r>
      <w:r>
        <w:rPr>
          <w:sz w:val="16"/>
          <w:szCs w:val="16"/>
          <w:lang w:val="es-AR"/>
        </w:rPr>
        <w:t xml:space="preserve"> actualizada sobre el resultado</w:t>
      </w:r>
      <w:r w:rsidRPr="00257982">
        <w:rPr>
          <w:sz w:val="16"/>
          <w:szCs w:val="16"/>
          <w:lang w:val="es-AR"/>
        </w:rPr>
        <w:t>.</w:t>
      </w:r>
    </w:p>
  </w:footnote>
  <w:footnote w:id="261">
    <w:p w:rsidR="00B41935" w:rsidRPr="00821340" w:rsidRDefault="00B41935" w:rsidP="00881DB6">
      <w:pPr>
        <w:pStyle w:val="FootnoteText"/>
        <w:rPr>
          <w:sz w:val="16"/>
          <w:szCs w:val="16"/>
          <w:lang w:val="es-AR"/>
        </w:rPr>
      </w:pPr>
      <w:r w:rsidRPr="00CC214C">
        <w:rPr>
          <w:rStyle w:val="FootnoteReference"/>
        </w:rPr>
        <w:footnoteRef/>
      </w:r>
      <w:r w:rsidRPr="00257982">
        <w:rPr>
          <w:sz w:val="16"/>
          <w:szCs w:val="16"/>
        </w:rPr>
        <w:t xml:space="preserve"> </w:t>
      </w:r>
      <w:r w:rsidRPr="00257982">
        <w:rPr>
          <w:sz w:val="16"/>
          <w:szCs w:val="16"/>
        </w:rPr>
        <w:tab/>
        <w:t xml:space="preserve">Con respecto a </w:t>
      </w:r>
      <w:r w:rsidRPr="005070BD">
        <w:rPr>
          <w:sz w:val="16"/>
          <w:szCs w:val="16"/>
        </w:rPr>
        <w:t>Wilfredo Terrones Silva</w:t>
      </w:r>
      <w:r>
        <w:rPr>
          <w:sz w:val="16"/>
          <w:szCs w:val="16"/>
        </w:rPr>
        <w:t>,</w:t>
      </w:r>
      <w:r w:rsidRPr="00257982">
        <w:rPr>
          <w:sz w:val="16"/>
          <w:szCs w:val="16"/>
        </w:rPr>
        <w:t xml:space="preserve"> </w:t>
      </w:r>
      <w:r w:rsidRPr="00257982">
        <w:rPr>
          <w:rFonts w:eastAsiaTheme="minorHAnsi"/>
          <w:sz w:val="16"/>
          <w:szCs w:val="16"/>
        </w:rPr>
        <w:t>mencionaron que no se han esclarecido las condiciones de hecho, ni se ha sancionado a los responsables. Adicionalmente, las hipótesis apuntaron desde el principio a que no hay indicios de que se trate de un secuestro, lo que afectó seriamente las investigaciones</w:t>
      </w:r>
      <w:r>
        <w:rPr>
          <w:rFonts w:eastAsiaTheme="minorHAnsi"/>
          <w:sz w:val="16"/>
          <w:szCs w:val="16"/>
        </w:rPr>
        <w:t>.</w:t>
      </w:r>
      <w:r w:rsidRPr="00257982">
        <w:rPr>
          <w:rFonts w:eastAsiaTheme="minorHAnsi"/>
          <w:sz w:val="16"/>
          <w:szCs w:val="16"/>
        </w:rPr>
        <w:t xml:space="preserve"> </w:t>
      </w:r>
      <w:r w:rsidRPr="005070BD">
        <w:rPr>
          <w:rFonts w:eastAsiaTheme="minorHAnsi"/>
          <w:sz w:val="16"/>
          <w:szCs w:val="16"/>
        </w:rPr>
        <w:t>Respecto a Teresa Díaz Aparicio</w:t>
      </w:r>
      <w:r>
        <w:rPr>
          <w:rFonts w:eastAsiaTheme="minorHAnsi"/>
          <w:sz w:val="16"/>
          <w:szCs w:val="16"/>
        </w:rPr>
        <w:t>,</w:t>
      </w:r>
      <w:r w:rsidRPr="00CC214C">
        <w:rPr>
          <w:rFonts w:eastAsiaTheme="minorHAnsi"/>
          <w:b/>
          <w:sz w:val="16"/>
          <w:szCs w:val="16"/>
        </w:rPr>
        <w:t xml:space="preserve"> </w:t>
      </w:r>
      <w:r w:rsidRPr="00257982">
        <w:rPr>
          <w:sz w:val="16"/>
          <w:szCs w:val="16"/>
          <w:lang w:val="es-AR"/>
        </w:rPr>
        <w:t xml:space="preserve">señalaron que el Estado incumplió su deber de iniciar una investigación </w:t>
      </w:r>
      <w:r w:rsidRPr="00257982">
        <w:rPr>
          <w:i/>
          <w:sz w:val="16"/>
          <w:szCs w:val="16"/>
          <w:lang w:val="es-AR"/>
        </w:rPr>
        <w:t>ex officio</w:t>
      </w:r>
      <w:r w:rsidRPr="00257982">
        <w:rPr>
          <w:sz w:val="16"/>
          <w:szCs w:val="16"/>
          <w:lang w:val="es-AR"/>
        </w:rPr>
        <w:t xml:space="preserve"> y sin dilación, pese a tener conocimiento de su situación</w:t>
      </w:r>
      <w:r>
        <w:rPr>
          <w:sz w:val="16"/>
          <w:szCs w:val="16"/>
          <w:lang w:val="es-AR"/>
        </w:rPr>
        <w:t>.</w:t>
      </w:r>
      <w:r w:rsidRPr="00257982">
        <w:rPr>
          <w:sz w:val="16"/>
          <w:szCs w:val="16"/>
          <w:lang w:val="es-AR"/>
        </w:rPr>
        <w:t xml:space="preserve"> Esto acompañado de una tardanza injustificada y de la falta de un recurso efectivo para garantizar el acceso a la justicia. </w:t>
      </w:r>
      <w:r w:rsidRPr="005070BD">
        <w:rPr>
          <w:sz w:val="16"/>
          <w:szCs w:val="16"/>
          <w:lang w:val="es-AR"/>
        </w:rPr>
        <w:t>Respecto de Néstor Rojas Medina</w:t>
      </w:r>
      <w:r>
        <w:rPr>
          <w:sz w:val="16"/>
          <w:szCs w:val="16"/>
          <w:lang w:val="es-AR"/>
        </w:rPr>
        <w:t>,</w:t>
      </w:r>
      <w:r w:rsidRPr="005070BD">
        <w:rPr>
          <w:sz w:val="16"/>
          <w:szCs w:val="16"/>
          <w:lang w:val="es-AR"/>
        </w:rPr>
        <w:t xml:space="preserve"> alegaron</w:t>
      </w:r>
      <w:r w:rsidRPr="00257982">
        <w:rPr>
          <w:sz w:val="16"/>
          <w:szCs w:val="16"/>
          <w:lang w:val="es-AR"/>
        </w:rPr>
        <w:t xml:space="preserve"> que “el Estado no ha realizado una investigación con la debida diligencia respecto a la detención y posterior desaparición de Néstor Rojas Medina” dado que las</w:t>
      </w:r>
      <w:r>
        <w:rPr>
          <w:sz w:val="16"/>
          <w:szCs w:val="16"/>
          <w:lang w:val="es-AR"/>
        </w:rPr>
        <w:t xml:space="preserve"> investigaciones iniciadas “no </w:t>
      </w:r>
      <w:r w:rsidRPr="00257982">
        <w:rPr>
          <w:sz w:val="16"/>
          <w:szCs w:val="16"/>
          <w:lang w:val="es-AR"/>
        </w:rPr>
        <w:t>han obtenido el resultado esperado, es decir, conocer el paradero de la víctima”, y que “no fueron realizada</w:t>
      </w:r>
      <w:r>
        <w:rPr>
          <w:sz w:val="16"/>
          <w:szCs w:val="16"/>
          <w:lang w:val="es-AR"/>
        </w:rPr>
        <w:t>s diligencias de suma importancia</w:t>
      </w:r>
      <w:r w:rsidRPr="00257982">
        <w:rPr>
          <w:sz w:val="16"/>
          <w:szCs w:val="16"/>
          <w:lang w:val="es-AR"/>
        </w:rPr>
        <w:t xml:space="preserve">” durante la primera investigación iniciada en 1991, y que “[e]l Estado no ha llevado a cabo una investigación contra los responsables de </w:t>
      </w:r>
      <w:r w:rsidRPr="00821340">
        <w:rPr>
          <w:sz w:val="16"/>
          <w:szCs w:val="16"/>
          <w:lang w:val="es-AR"/>
        </w:rPr>
        <w:t>la detención y posterior desaparición forzada de Néstor Rojas Medina dentro de un plazo razonable”, dado que “a más de 25 años de la desaparición forzada de la víctima, la investigación adelantad[a] a nivel interno es aún incipiente y la misma no ha permitido determinar a los presuntos autores materiales e intelectuales de los hechos”. Finalmente, indicaron que se violó “el derecho a la verdad” en perjuicio de sus familiares, al igual que “la obligación de combatir la situación de impunidad de</w:t>
      </w:r>
      <w:r>
        <w:rPr>
          <w:sz w:val="16"/>
          <w:szCs w:val="16"/>
          <w:lang w:val="es-AR"/>
        </w:rPr>
        <w:t xml:space="preserve"> la</w:t>
      </w:r>
      <w:r w:rsidRPr="00821340">
        <w:rPr>
          <w:sz w:val="16"/>
          <w:szCs w:val="16"/>
          <w:lang w:val="es-AR"/>
        </w:rPr>
        <w:t xml:space="preserve"> desaparición forzada de la víctima</w:t>
      </w:r>
      <w:r>
        <w:rPr>
          <w:sz w:val="16"/>
          <w:szCs w:val="16"/>
          <w:lang w:val="es-AR"/>
        </w:rPr>
        <w:t xml:space="preserve">. </w:t>
      </w:r>
      <w:r w:rsidRPr="00821340">
        <w:rPr>
          <w:sz w:val="16"/>
          <w:szCs w:val="16"/>
          <w:lang w:val="es-AR"/>
        </w:rPr>
        <w:t>Finalmente, respecto de Santiago Antezana</w:t>
      </w:r>
      <w:r>
        <w:rPr>
          <w:sz w:val="16"/>
          <w:szCs w:val="16"/>
          <w:lang w:val="es-AR"/>
        </w:rPr>
        <w:t xml:space="preserve"> Cueto</w:t>
      </w:r>
      <w:r w:rsidRPr="00821340">
        <w:rPr>
          <w:sz w:val="16"/>
          <w:szCs w:val="16"/>
          <w:lang w:val="es-AR"/>
        </w:rPr>
        <w:t xml:space="preserve">, hicieron referencia a que no se realizó una investigación </w:t>
      </w:r>
      <w:r w:rsidRPr="00821340">
        <w:rPr>
          <w:i/>
          <w:sz w:val="16"/>
          <w:szCs w:val="16"/>
          <w:lang w:val="es-AR"/>
        </w:rPr>
        <w:t>ex officio</w:t>
      </w:r>
      <w:r w:rsidRPr="00821340">
        <w:rPr>
          <w:sz w:val="16"/>
          <w:szCs w:val="16"/>
          <w:lang w:val="es-AR"/>
        </w:rPr>
        <w:t xml:space="preserve">, y que fueron sus familiares los que tuvieron que adelantar los trámites iniciales. Además, las </w:t>
      </w:r>
      <w:r>
        <w:rPr>
          <w:sz w:val="16"/>
          <w:szCs w:val="16"/>
          <w:lang w:val="es-AR"/>
        </w:rPr>
        <w:t>L</w:t>
      </w:r>
      <w:r w:rsidRPr="00821340">
        <w:rPr>
          <w:sz w:val="16"/>
          <w:szCs w:val="16"/>
          <w:lang w:val="es-AR"/>
        </w:rPr>
        <w:t xml:space="preserve">eyes de </w:t>
      </w:r>
      <w:r>
        <w:rPr>
          <w:sz w:val="16"/>
          <w:szCs w:val="16"/>
          <w:lang w:val="es-AR"/>
        </w:rPr>
        <w:t>A</w:t>
      </w:r>
      <w:r w:rsidRPr="00821340">
        <w:rPr>
          <w:sz w:val="16"/>
          <w:szCs w:val="16"/>
          <w:lang w:val="es-AR"/>
        </w:rPr>
        <w:t xml:space="preserve">mnistía limitaron la investigación de los hechos denunciados. Asimismo, indicaron que ya se dictó una sentencia, pero no es suficiente para cumplir con la obligación de investigar, juzgar y sancionar, toda vez que depende de su ejecución. Tampoco se han condenado todos los responsables, ni se ha reparado </w:t>
      </w:r>
      <w:r>
        <w:rPr>
          <w:sz w:val="16"/>
          <w:szCs w:val="16"/>
          <w:lang w:val="es-AR"/>
        </w:rPr>
        <w:t xml:space="preserve">adecuadamente a sus familiares. </w:t>
      </w:r>
      <w:r w:rsidRPr="00821340">
        <w:rPr>
          <w:sz w:val="16"/>
          <w:szCs w:val="16"/>
          <w:lang w:val="es-AR"/>
        </w:rPr>
        <w:t>No presentaron alegatos específicos con relación a Cory Clodolia Tenicela Tello.</w:t>
      </w:r>
      <w:r w:rsidRPr="00821340">
        <w:rPr>
          <w:b/>
          <w:sz w:val="16"/>
          <w:szCs w:val="16"/>
          <w:lang w:val="es-AR"/>
        </w:rPr>
        <w:t xml:space="preserve"> </w:t>
      </w:r>
    </w:p>
  </w:footnote>
  <w:footnote w:id="262">
    <w:p w:rsidR="00B41935" w:rsidRPr="001E62BB" w:rsidRDefault="00B41935" w:rsidP="00881DB6">
      <w:pPr>
        <w:pStyle w:val="FootnoteText"/>
        <w:rPr>
          <w:b/>
          <w:sz w:val="16"/>
          <w:szCs w:val="16"/>
          <w:lang w:val="es-AR"/>
        </w:rPr>
      </w:pPr>
      <w:r w:rsidRPr="00821340">
        <w:rPr>
          <w:rStyle w:val="FootnoteReference"/>
        </w:rPr>
        <w:footnoteRef/>
      </w:r>
      <w:r w:rsidRPr="00821340">
        <w:rPr>
          <w:sz w:val="16"/>
          <w:szCs w:val="16"/>
        </w:rPr>
        <w:t xml:space="preserve"> </w:t>
      </w:r>
      <w:r w:rsidRPr="00821340">
        <w:rPr>
          <w:sz w:val="16"/>
          <w:szCs w:val="16"/>
        </w:rPr>
        <w:tab/>
        <w:t xml:space="preserve">Respecto a Wilfredo Terrones Silva señaló que </w:t>
      </w:r>
      <w:r w:rsidRPr="00821340">
        <w:rPr>
          <w:rFonts w:eastAsiaTheme="minorHAnsi"/>
          <w:sz w:val="16"/>
          <w:szCs w:val="16"/>
        </w:rPr>
        <w:t>no hay colaboración de parte de sus familiares con la labor de esclarecimiento de los hechos debido a que se les ha tenido que insistir en contar con sus declaraciones y ordenar nuevamente dichas diligencias</w:t>
      </w:r>
      <w:r>
        <w:rPr>
          <w:rFonts w:eastAsiaTheme="minorHAnsi"/>
          <w:sz w:val="16"/>
          <w:szCs w:val="16"/>
        </w:rPr>
        <w:t>.</w:t>
      </w:r>
      <w:r w:rsidRPr="00821340">
        <w:rPr>
          <w:rFonts w:eastAsiaTheme="minorHAnsi"/>
          <w:sz w:val="16"/>
          <w:szCs w:val="16"/>
        </w:rPr>
        <w:t xml:space="preserve"> El Estado indicó que el proceso de investigación fiscal ha proseguido y la Segunda Fiscalía </w:t>
      </w:r>
      <w:r w:rsidRPr="00821340">
        <w:rPr>
          <w:sz w:val="16"/>
          <w:szCs w:val="16"/>
          <w:lang w:val="es-AR"/>
        </w:rPr>
        <w:t>Penal</w:t>
      </w:r>
      <w:r>
        <w:rPr>
          <w:rFonts w:eastAsiaTheme="minorHAnsi"/>
          <w:sz w:val="16"/>
          <w:szCs w:val="16"/>
        </w:rPr>
        <w:t xml:space="preserve"> Suprap</w:t>
      </w:r>
      <w:r w:rsidRPr="00821340">
        <w:rPr>
          <w:rFonts w:eastAsiaTheme="minorHAnsi"/>
          <w:sz w:val="16"/>
          <w:szCs w:val="16"/>
        </w:rPr>
        <w:t>rovincial ha realizado diversas diligencias al respecto; por lo que consideró que la investigación sobre los hechos del caso del señor Terrones Silva prosigue con normalidad</w:t>
      </w:r>
      <w:r>
        <w:rPr>
          <w:rFonts w:eastAsiaTheme="minorHAnsi"/>
          <w:sz w:val="16"/>
          <w:szCs w:val="16"/>
        </w:rPr>
        <w:t>.</w:t>
      </w:r>
      <w:r w:rsidRPr="00821340">
        <w:rPr>
          <w:rFonts w:eastAsiaTheme="minorHAnsi"/>
          <w:sz w:val="16"/>
          <w:szCs w:val="16"/>
        </w:rPr>
        <w:t xml:space="preserve"> Respecto de Teresa Díaz Aparicio,</w:t>
      </w:r>
      <w:r w:rsidRPr="00821340">
        <w:rPr>
          <w:rFonts w:eastAsiaTheme="minorHAnsi"/>
          <w:b/>
          <w:sz w:val="16"/>
          <w:szCs w:val="16"/>
        </w:rPr>
        <w:t xml:space="preserve"> </w:t>
      </w:r>
      <w:r w:rsidRPr="00821340">
        <w:rPr>
          <w:sz w:val="16"/>
          <w:szCs w:val="16"/>
          <w:lang w:val="es-AR"/>
        </w:rPr>
        <w:t>mencionó que en lo relativo a la participación de los interesados en el proceso, no se presentó un recurso para cuestionar la decisión de negar el hábeas corpus presentado. Por lo tanto, no se acredita la adecuada participación de sus familiares</w:t>
      </w:r>
      <w:r>
        <w:rPr>
          <w:sz w:val="16"/>
          <w:szCs w:val="16"/>
          <w:lang w:val="es-AR"/>
        </w:rPr>
        <w:t>.</w:t>
      </w:r>
      <w:r w:rsidRPr="00821340">
        <w:rPr>
          <w:sz w:val="16"/>
          <w:szCs w:val="16"/>
          <w:lang w:val="es-AR"/>
        </w:rPr>
        <w:t xml:space="preserve"> </w:t>
      </w:r>
      <w:r>
        <w:rPr>
          <w:sz w:val="16"/>
          <w:szCs w:val="16"/>
          <w:lang w:val="es-AR"/>
        </w:rPr>
        <w:t>R</w:t>
      </w:r>
      <w:r w:rsidRPr="00821340">
        <w:rPr>
          <w:sz w:val="16"/>
          <w:szCs w:val="16"/>
          <w:lang w:val="es-AR"/>
        </w:rPr>
        <w:t xml:space="preserve">especto a la investigación de Teresa Díaz Aparicio, </w:t>
      </w:r>
      <w:r>
        <w:rPr>
          <w:sz w:val="16"/>
          <w:szCs w:val="16"/>
          <w:lang w:val="es-AR"/>
        </w:rPr>
        <w:t>e</w:t>
      </w:r>
      <w:r w:rsidRPr="00821340">
        <w:rPr>
          <w:sz w:val="16"/>
          <w:szCs w:val="16"/>
          <w:lang w:val="es-AR"/>
        </w:rPr>
        <w:t>l Estado alegó que el proceso de investigación fiscal ha proseguido y la Segunda Fiscalía Penal Supra</w:t>
      </w:r>
      <w:r>
        <w:rPr>
          <w:sz w:val="16"/>
          <w:szCs w:val="16"/>
          <w:lang w:val="es-AR"/>
        </w:rPr>
        <w:t>p</w:t>
      </w:r>
      <w:r w:rsidRPr="00821340">
        <w:rPr>
          <w:sz w:val="16"/>
          <w:szCs w:val="16"/>
          <w:lang w:val="es-AR"/>
        </w:rPr>
        <w:t>rovincial ha realizado diversas diligencias al respecto</w:t>
      </w:r>
      <w:r>
        <w:rPr>
          <w:sz w:val="16"/>
          <w:szCs w:val="16"/>
          <w:lang w:val="es-AR"/>
        </w:rPr>
        <w:t>.</w:t>
      </w:r>
      <w:r w:rsidRPr="00821340">
        <w:rPr>
          <w:sz w:val="16"/>
          <w:szCs w:val="16"/>
          <w:lang w:val="es-AR"/>
        </w:rPr>
        <w:t xml:space="preserve"> Respecto</w:t>
      </w:r>
      <w:r>
        <w:rPr>
          <w:sz w:val="16"/>
          <w:szCs w:val="16"/>
          <w:lang w:val="es-AR"/>
        </w:rPr>
        <w:t xml:space="preserve"> a Cory Clodo</w:t>
      </w:r>
      <w:r w:rsidRPr="00821340">
        <w:rPr>
          <w:sz w:val="16"/>
          <w:szCs w:val="16"/>
          <w:lang w:val="es-AR"/>
        </w:rPr>
        <w:t>lia Tenicela Tello adujo que no realizaron alegaciones particulares en este caso. Indicó que  recientemente, mediante oficio la Primera Fiscalía Superior Penal Nacional se menciona que todavía se encuentra en estudio el caso a fin de emitir el pronunciamiento correspondiente</w:t>
      </w:r>
      <w:r>
        <w:rPr>
          <w:sz w:val="16"/>
          <w:szCs w:val="16"/>
          <w:lang w:val="es-AR"/>
        </w:rPr>
        <w:t xml:space="preserve">. </w:t>
      </w:r>
      <w:r w:rsidRPr="00821340">
        <w:rPr>
          <w:sz w:val="16"/>
          <w:szCs w:val="16"/>
          <w:lang w:val="es-AR"/>
        </w:rPr>
        <w:t xml:space="preserve">Con relación a Néstor Rojas Medina, destacó que “los peticionarios tenían la oportunidad de presentar el correspondiente recurso impugnativo” contra la </w:t>
      </w:r>
      <w:r>
        <w:rPr>
          <w:sz w:val="16"/>
          <w:szCs w:val="16"/>
          <w:lang w:val="es-AR"/>
        </w:rPr>
        <w:t>R</w:t>
      </w:r>
      <w:r w:rsidRPr="00821340">
        <w:rPr>
          <w:sz w:val="16"/>
          <w:szCs w:val="16"/>
          <w:lang w:val="es-AR"/>
        </w:rPr>
        <w:t>esolución de enero de 2013 que declaró no formalizar ni continuar la investigación del Ministerio Público “lo cual no hicieron”.</w:t>
      </w:r>
      <w:r w:rsidRPr="007F1C0C">
        <w:rPr>
          <w:sz w:val="16"/>
          <w:szCs w:val="16"/>
          <w:lang w:val="es-AR"/>
        </w:rPr>
        <w:t xml:space="preserve"> </w:t>
      </w:r>
      <w:r w:rsidRPr="00821340">
        <w:rPr>
          <w:sz w:val="16"/>
          <w:szCs w:val="16"/>
          <w:lang w:val="es-AR"/>
        </w:rPr>
        <w:t>Además</w:t>
      </w:r>
      <w:r>
        <w:rPr>
          <w:sz w:val="16"/>
          <w:szCs w:val="16"/>
          <w:lang w:val="es-AR"/>
        </w:rPr>
        <w:t>,</w:t>
      </w:r>
      <w:r w:rsidRPr="00821340">
        <w:rPr>
          <w:sz w:val="16"/>
          <w:szCs w:val="16"/>
          <w:lang w:val="es-AR"/>
        </w:rPr>
        <w:t xml:space="preserve"> afirmó que desde 2017 se han llevado a cabo varias diligencias investigativas</w:t>
      </w:r>
      <w:r>
        <w:rPr>
          <w:sz w:val="16"/>
          <w:szCs w:val="16"/>
          <w:lang w:val="es-AR"/>
        </w:rPr>
        <w:t>.</w:t>
      </w:r>
      <w:r w:rsidRPr="00821340">
        <w:rPr>
          <w:sz w:val="16"/>
          <w:szCs w:val="16"/>
          <w:lang w:val="es-AR"/>
        </w:rPr>
        <w:t xml:space="preserve"> Finalmente, respecto a Santiago Antezana</w:t>
      </w:r>
      <w:r>
        <w:rPr>
          <w:sz w:val="16"/>
          <w:szCs w:val="16"/>
          <w:lang w:val="es-AR"/>
        </w:rPr>
        <w:t xml:space="preserve"> Cueto</w:t>
      </w:r>
      <w:r w:rsidRPr="00821340">
        <w:rPr>
          <w:sz w:val="16"/>
          <w:szCs w:val="16"/>
          <w:lang w:val="es-AR"/>
        </w:rPr>
        <w:t>, indicó que</w:t>
      </w:r>
      <w:r w:rsidRPr="007F1C0C">
        <w:rPr>
          <w:sz w:val="16"/>
          <w:szCs w:val="16"/>
          <w:lang w:val="es-AR"/>
        </w:rPr>
        <w:t xml:space="preserve"> </w:t>
      </w:r>
      <w:r w:rsidRPr="00821340">
        <w:rPr>
          <w:sz w:val="16"/>
          <w:szCs w:val="16"/>
          <w:lang w:val="es-AR"/>
        </w:rPr>
        <w:t xml:space="preserve">ya hay una </w:t>
      </w:r>
      <w:r>
        <w:rPr>
          <w:sz w:val="16"/>
          <w:szCs w:val="16"/>
          <w:lang w:val="es-AR"/>
        </w:rPr>
        <w:t>s</w:t>
      </w:r>
      <w:r w:rsidRPr="00821340">
        <w:rPr>
          <w:sz w:val="16"/>
          <w:szCs w:val="16"/>
          <w:lang w:val="es-AR"/>
        </w:rPr>
        <w:t xml:space="preserve">entencia </w:t>
      </w:r>
      <w:r>
        <w:rPr>
          <w:sz w:val="16"/>
          <w:szCs w:val="16"/>
          <w:lang w:val="es-AR"/>
        </w:rPr>
        <w:t>c</w:t>
      </w:r>
      <w:r w:rsidRPr="00821340">
        <w:rPr>
          <w:sz w:val="16"/>
          <w:szCs w:val="16"/>
          <w:lang w:val="es-AR"/>
        </w:rPr>
        <w:t>ondenatoria en firme, lo que supone que ya se ha cumplido con la obligación de investigar, juzgar y sancionar. Agregó que no se encuentra probado que la falta de captura del responsable de la desaparición forzada haya impactado en el proceso o que no se haya adecuado con debida diligencia</w:t>
      </w:r>
      <w:r>
        <w:rPr>
          <w:sz w:val="16"/>
          <w:szCs w:val="16"/>
          <w:lang w:val="es-AR"/>
        </w:rPr>
        <w:t>.</w:t>
      </w:r>
      <w:r w:rsidRPr="00821340">
        <w:rPr>
          <w:sz w:val="16"/>
          <w:szCs w:val="16"/>
          <w:lang w:val="es-AR"/>
        </w:rPr>
        <w:t xml:space="preserve"> Por otro lado, afirmó que la participación y responsabilidad de los hechos es una tarea reservada al Ministerio Público y al Poder Judicial, que sus labores han sido debidamente acreditadas y que no se ha ofrecido prueba alguna que demuestre un error al respecto. A criterio del Estado, la actuación se adecuó a las pautas de debida diligencia necesarias para satisfacer el derecho de los familiares de acceder a </w:t>
      </w:r>
      <w:r>
        <w:rPr>
          <w:sz w:val="16"/>
          <w:szCs w:val="16"/>
          <w:lang w:val="es-AR"/>
        </w:rPr>
        <w:t>la</w:t>
      </w:r>
      <w:r w:rsidRPr="00821340">
        <w:rPr>
          <w:sz w:val="16"/>
          <w:szCs w:val="16"/>
          <w:lang w:val="es-AR"/>
        </w:rPr>
        <w:t xml:space="preserve"> justicia. Recalcó que en este caso, que es el único con un pronunciamiento judicial, no fue aplicado por el Acuerdo Plenario N° 9-2009/CJ-116. Por lo tanto, es improcedente que la Corte se pronuncie sobre su vigencia</w:t>
      </w:r>
      <w:r>
        <w:rPr>
          <w:sz w:val="16"/>
          <w:szCs w:val="16"/>
          <w:lang w:val="es-AR"/>
        </w:rPr>
        <w:t>.</w:t>
      </w:r>
      <w:r w:rsidRPr="00821340">
        <w:rPr>
          <w:sz w:val="16"/>
          <w:szCs w:val="16"/>
          <w:lang w:val="es-AR"/>
        </w:rPr>
        <w:t xml:space="preserve"> Por otra parte, el Estado argumentó que la investigación por la alegada tortura ha continuado y se han realizado diversas diligencias a cargo de la Segunda Fiscalía Supra</w:t>
      </w:r>
      <w:r>
        <w:rPr>
          <w:sz w:val="16"/>
          <w:szCs w:val="16"/>
          <w:lang w:val="es-AR"/>
        </w:rPr>
        <w:t>p</w:t>
      </w:r>
      <w:r w:rsidRPr="00821340">
        <w:rPr>
          <w:sz w:val="16"/>
          <w:szCs w:val="16"/>
          <w:lang w:val="es-AR"/>
        </w:rPr>
        <w:t>rovincial, por lo que se estarían cumpliendo las obligaciones estatales al respecto</w:t>
      </w:r>
      <w:r>
        <w:rPr>
          <w:sz w:val="16"/>
          <w:szCs w:val="16"/>
          <w:lang w:val="es-AR"/>
        </w:rPr>
        <w:t>.</w:t>
      </w:r>
      <w:r w:rsidRPr="00821340">
        <w:rPr>
          <w:sz w:val="16"/>
          <w:szCs w:val="16"/>
          <w:lang w:val="es-AR"/>
        </w:rPr>
        <w:t xml:space="preserve"> </w:t>
      </w:r>
    </w:p>
  </w:footnote>
  <w:footnote w:id="263">
    <w:p w:rsidR="00B41935" w:rsidRPr="00D83377" w:rsidRDefault="00B41935" w:rsidP="00881DB6">
      <w:pPr>
        <w:pStyle w:val="FootnoteText"/>
        <w:tabs>
          <w:tab w:val="left" w:pos="426"/>
          <w:tab w:val="left" w:pos="567"/>
        </w:tabs>
        <w:rPr>
          <w:sz w:val="16"/>
          <w:szCs w:val="16"/>
          <w:lang w:val="es-ES"/>
        </w:rPr>
      </w:pPr>
      <w:r w:rsidRPr="00CC214C">
        <w:rPr>
          <w:rStyle w:val="FootnoteReference"/>
          <w:lang w:val="es-ES"/>
        </w:rPr>
        <w:footnoteRef/>
      </w:r>
      <w:r w:rsidRPr="00CC214C">
        <w:rPr>
          <w:sz w:val="16"/>
          <w:szCs w:val="16"/>
          <w:lang w:val="es-ES"/>
        </w:rPr>
        <w:t xml:space="preserve"> </w:t>
      </w:r>
      <w:r w:rsidRPr="00CC214C">
        <w:rPr>
          <w:sz w:val="16"/>
          <w:szCs w:val="16"/>
          <w:lang w:val="es-ES"/>
        </w:rPr>
        <w:tab/>
      </w:r>
      <w:r>
        <w:rPr>
          <w:sz w:val="16"/>
          <w:szCs w:val="16"/>
          <w:lang w:val="es-ES"/>
        </w:rPr>
        <w:tab/>
      </w:r>
      <w:r w:rsidRPr="00CC214C">
        <w:rPr>
          <w:i/>
          <w:iCs/>
          <w:sz w:val="16"/>
          <w:szCs w:val="16"/>
          <w:lang w:val="es-ES"/>
        </w:rPr>
        <w:t>Cfr.</w:t>
      </w:r>
      <w:r>
        <w:rPr>
          <w:i/>
          <w:iCs/>
          <w:sz w:val="16"/>
          <w:szCs w:val="16"/>
          <w:lang w:val="es-ES"/>
        </w:rPr>
        <w:t xml:space="preserve">, inter alia, </w:t>
      </w:r>
      <w:r w:rsidRPr="00CC214C">
        <w:rPr>
          <w:i/>
          <w:sz w:val="16"/>
          <w:szCs w:val="16"/>
          <w:lang w:val="es-ES"/>
        </w:rPr>
        <w:t>Caso Velá</w:t>
      </w:r>
      <w:r w:rsidRPr="00552A48">
        <w:rPr>
          <w:i/>
          <w:sz w:val="16"/>
          <w:szCs w:val="16"/>
          <w:lang w:val="es-ES"/>
        </w:rPr>
        <w:t>squez Rodríguez Vs. Honduras</w:t>
      </w:r>
      <w:r>
        <w:rPr>
          <w:i/>
          <w:sz w:val="16"/>
          <w:szCs w:val="16"/>
          <w:lang w:val="es-AR"/>
        </w:rPr>
        <w:t>. Fondo</w:t>
      </w:r>
      <w:r>
        <w:rPr>
          <w:i/>
          <w:sz w:val="16"/>
          <w:szCs w:val="16"/>
          <w:lang w:val="es-ES"/>
        </w:rPr>
        <w:t xml:space="preserve">, </w:t>
      </w:r>
      <w:r w:rsidRPr="003A5FAB">
        <w:rPr>
          <w:i/>
          <w:sz w:val="16"/>
          <w:szCs w:val="16"/>
          <w:lang w:val="pt-BR"/>
        </w:rPr>
        <w:t>supra</w:t>
      </w:r>
      <w:r w:rsidRPr="00552A48">
        <w:rPr>
          <w:i/>
          <w:sz w:val="16"/>
          <w:szCs w:val="16"/>
          <w:lang w:val="es-ES"/>
        </w:rPr>
        <w:t xml:space="preserve">, </w:t>
      </w:r>
      <w:r w:rsidRPr="00F10686">
        <w:rPr>
          <w:sz w:val="16"/>
          <w:szCs w:val="16"/>
          <w:lang w:val="es-ES"/>
        </w:rPr>
        <w:t>párr.</w:t>
      </w:r>
      <w:r>
        <w:rPr>
          <w:sz w:val="16"/>
          <w:szCs w:val="16"/>
          <w:lang w:val="es-ES"/>
        </w:rPr>
        <w:t xml:space="preserve"> 166;</w:t>
      </w:r>
      <w:r w:rsidRPr="0000173B">
        <w:rPr>
          <w:i/>
          <w:iCs/>
          <w:sz w:val="16"/>
          <w:szCs w:val="16"/>
          <w:lang w:val="es-ES"/>
        </w:rPr>
        <w:t xml:space="preserve"> </w:t>
      </w:r>
      <w:r w:rsidRPr="003D07CE">
        <w:rPr>
          <w:i/>
          <w:sz w:val="16"/>
          <w:szCs w:val="16"/>
          <w:lang w:val="es-ES"/>
        </w:rPr>
        <w:t>Caso I.V. Vs. Bolivia</w:t>
      </w:r>
      <w:r>
        <w:rPr>
          <w:i/>
          <w:sz w:val="16"/>
          <w:szCs w:val="16"/>
          <w:lang w:val="es-ES"/>
        </w:rPr>
        <w:t xml:space="preserve">. </w:t>
      </w:r>
      <w:r w:rsidRPr="00D067BB">
        <w:rPr>
          <w:i/>
          <w:sz w:val="16"/>
          <w:szCs w:val="16"/>
          <w:lang w:val="es-ES"/>
        </w:rPr>
        <w:t xml:space="preserve">Excepciones Preliminares, Fondo, Reparaciones y Costas. </w:t>
      </w:r>
      <w:r w:rsidRPr="00E8710A">
        <w:rPr>
          <w:sz w:val="16"/>
          <w:szCs w:val="16"/>
          <w:lang w:val="es-ES"/>
        </w:rPr>
        <w:t>Sentencia de 30 de noviembre de 2016. Serie C No. 329</w:t>
      </w:r>
      <w:r w:rsidRPr="00CE6B13">
        <w:rPr>
          <w:i/>
          <w:sz w:val="16"/>
          <w:szCs w:val="16"/>
        </w:rPr>
        <w:t xml:space="preserve">, </w:t>
      </w:r>
      <w:r>
        <w:rPr>
          <w:sz w:val="16"/>
          <w:szCs w:val="16"/>
          <w:lang w:val="es-ES"/>
        </w:rPr>
        <w:t>párr. 207, y</w:t>
      </w:r>
      <w:r w:rsidRPr="00D83377">
        <w:rPr>
          <w:rStyle w:val="Strong"/>
          <w:i/>
          <w:color w:val="000000"/>
          <w:sz w:val="16"/>
          <w:szCs w:val="16"/>
          <w:shd w:val="clear" w:color="auto" w:fill="FFFFFF"/>
        </w:rPr>
        <w:t xml:space="preserve"> </w:t>
      </w:r>
      <w:r w:rsidRPr="00F95D69">
        <w:rPr>
          <w:rStyle w:val="Strong"/>
          <w:b w:val="0"/>
          <w:i/>
          <w:color w:val="000000"/>
          <w:sz w:val="16"/>
          <w:szCs w:val="16"/>
          <w:shd w:val="clear" w:color="auto" w:fill="FFFFFF"/>
        </w:rPr>
        <w:t xml:space="preserve">Caso </w:t>
      </w:r>
      <w:r>
        <w:rPr>
          <w:rStyle w:val="Strong"/>
          <w:b w:val="0"/>
          <w:i/>
          <w:color w:val="000000"/>
          <w:sz w:val="16"/>
          <w:szCs w:val="16"/>
          <w:shd w:val="clear" w:color="auto" w:fill="FFFFFF"/>
        </w:rPr>
        <w:t>Herzog y Otros Vs. B</w:t>
      </w:r>
      <w:r w:rsidRPr="007A520F">
        <w:rPr>
          <w:rStyle w:val="Strong"/>
          <w:b w:val="0"/>
          <w:i/>
          <w:color w:val="000000"/>
          <w:sz w:val="16"/>
          <w:szCs w:val="16"/>
          <w:shd w:val="clear" w:color="auto" w:fill="FFFFFF"/>
        </w:rPr>
        <w:t>rasil</w:t>
      </w:r>
      <w:r>
        <w:rPr>
          <w:rStyle w:val="Strong"/>
          <w:b w:val="0"/>
          <w:i/>
          <w:color w:val="000000"/>
          <w:sz w:val="16"/>
          <w:szCs w:val="16"/>
          <w:shd w:val="clear" w:color="auto" w:fill="FFFFFF"/>
        </w:rPr>
        <w:t>, supra</w:t>
      </w:r>
      <w:r w:rsidRPr="00F95D69">
        <w:rPr>
          <w:rStyle w:val="Strong"/>
          <w:b w:val="0"/>
          <w:color w:val="000000"/>
          <w:sz w:val="16"/>
          <w:szCs w:val="16"/>
          <w:shd w:val="clear" w:color="auto" w:fill="FFFFFF"/>
        </w:rPr>
        <w:t xml:space="preserve">, párr. </w:t>
      </w:r>
      <w:r>
        <w:rPr>
          <w:rStyle w:val="Strong"/>
          <w:b w:val="0"/>
          <w:color w:val="000000"/>
          <w:sz w:val="16"/>
          <w:szCs w:val="16"/>
          <w:shd w:val="clear" w:color="auto" w:fill="FFFFFF"/>
        </w:rPr>
        <w:t>232</w:t>
      </w:r>
      <w:r w:rsidRPr="00F95D69">
        <w:rPr>
          <w:rStyle w:val="Strong"/>
          <w:b w:val="0"/>
          <w:color w:val="000000"/>
          <w:sz w:val="16"/>
          <w:szCs w:val="16"/>
          <w:shd w:val="clear" w:color="auto" w:fill="FFFFFF"/>
        </w:rPr>
        <w:t>.</w:t>
      </w:r>
    </w:p>
  </w:footnote>
  <w:footnote w:id="264">
    <w:p w:rsidR="00B41935" w:rsidRPr="00D83377" w:rsidRDefault="00B41935" w:rsidP="00881DB6">
      <w:pPr>
        <w:pStyle w:val="FootnoteText"/>
        <w:tabs>
          <w:tab w:val="left" w:pos="426"/>
          <w:tab w:val="left" w:pos="567"/>
        </w:tabs>
        <w:rPr>
          <w:sz w:val="16"/>
          <w:szCs w:val="16"/>
          <w:lang w:val="es-ES"/>
        </w:rPr>
      </w:pPr>
      <w:r w:rsidRPr="00CC214C">
        <w:rPr>
          <w:rStyle w:val="FootnoteReference"/>
          <w:lang w:val="es-ES"/>
        </w:rPr>
        <w:footnoteRef/>
      </w:r>
      <w:r w:rsidRPr="00CC214C">
        <w:rPr>
          <w:sz w:val="16"/>
          <w:szCs w:val="16"/>
          <w:lang w:val="es-ES"/>
        </w:rPr>
        <w:t xml:space="preserve"> </w:t>
      </w:r>
      <w:r w:rsidRPr="00CC214C">
        <w:rPr>
          <w:sz w:val="16"/>
          <w:szCs w:val="16"/>
          <w:lang w:val="es-ES"/>
        </w:rPr>
        <w:tab/>
      </w:r>
      <w:r>
        <w:rPr>
          <w:sz w:val="16"/>
          <w:szCs w:val="16"/>
          <w:lang w:val="es-ES"/>
        </w:rPr>
        <w:tab/>
      </w:r>
      <w:r w:rsidRPr="00FD7DED">
        <w:rPr>
          <w:i/>
          <w:sz w:val="16"/>
          <w:szCs w:val="16"/>
          <w:lang w:val="es-ES"/>
        </w:rPr>
        <w:t xml:space="preserve">Cfr. Caso </w:t>
      </w:r>
      <w:r w:rsidRPr="004B1350">
        <w:rPr>
          <w:i/>
          <w:sz w:val="16"/>
          <w:szCs w:val="16"/>
          <w:lang w:val="es-ES"/>
        </w:rPr>
        <w:t>Goiburú y otros Vs. Paraguay</w:t>
      </w:r>
      <w:r>
        <w:rPr>
          <w:i/>
          <w:sz w:val="16"/>
          <w:szCs w:val="16"/>
          <w:lang w:val="es-ES"/>
        </w:rPr>
        <w:t>, supra</w:t>
      </w:r>
      <w:r>
        <w:rPr>
          <w:sz w:val="16"/>
          <w:szCs w:val="16"/>
          <w:lang w:val="es-ES"/>
        </w:rPr>
        <w:t xml:space="preserve">, </w:t>
      </w:r>
      <w:r w:rsidRPr="00552A48">
        <w:rPr>
          <w:sz w:val="16"/>
          <w:szCs w:val="16"/>
          <w:lang w:val="es-ES"/>
        </w:rPr>
        <w:t xml:space="preserve">párr. 128, y </w:t>
      </w:r>
      <w:r w:rsidRPr="00F95D69">
        <w:rPr>
          <w:rStyle w:val="Strong"/>
          <w:b w:val="0"/>
          <w:i/>
          <w:color w:val="000000"/>
          <w:sz w:val="16"/>
          <w:szCs w:val="16"/>
          <w:shd w:val="clear" w:color="auto" w:fill="FFFFFF"/>
        </w:rPr>
        <w:t xml:space="preserve">Caso </w:t>
      </w:r>
      <w:r>
        <w:rPr>
          <w:rStyle w:val="Strong"/>
          <w:b w:val="0"/>
          <w:i/>
          <w:color w:val="000000"/>
          <w:sz w:val="16"/>
          <w:szCs w:val="16"/>
          <w:shd w:val="clear" w:color="auto" w:fill="FFFFFF"/>
        </w:rPr>
        <w:t>Mun</w:t>
      </w:r>
      <w:r w:rsidRPr="00296E08">
        <w:rPr>
          <w:bCs/>
          <w:i/>
          <w:color w:val="000000"/>
          <w:sz w:val="16"/>
          <w:szCs w:val="16"/>
          <w:shd w:val="clear" w:color="auto" w:fill="FFFFFF"/>
        </w:rPr>
        <w:t>á</w:t>
      </w:r>
      <w:r>
        <w:rPr>
          <w:rStyle w:val="Strong"/>
          <w:b w:val="0"/>
          <w:i/>
          <w:color w:val="000000"/>
          <w:sz w:val="16"/>
          <w:szCs w:val="16"/>
          <w:shd w:val="clear" w:color="auto" w:fill="FFFFFF"/>
        </w:rPr>
        <w:t xml:space="preserve">rriz Escobar y Otros </w:t>
      </w:r>
      <w:r w:rsidRPr="00F95D69">
        <w:rPr>
          <w:rStyle w:val="Strong"/>
          <w:b w:val="0"/>
          <w:i/>
          <w:color w:val="000000"/>
          <w:sz w:val="16"/>
          <w:szCs w:val="16"/>
          <w:shd w:val="clear" w:color="auto" w:fill="FFFFFF"/>
        </w:rPr>
        <w:t xml:space="preserve">Vs. </w:t>
      </w:r>
      <w:r>
        <w:rPr>
          <w:rStyle w:val="Strong"/>
          <w:b w:val="0"/>
          <w:i/>
          <w:color w:val="000000"/>
          <w:sz w:val="16"/>
          <w:szCs w:val="16"/>
          <w:shd w:val="clear" w:color="auto" w:fill="FFFFFF"/>
        </w:rPr>
        <w:t>Perú</w:t>
      </w:r>
      <w:r>
        <w:rPr>
          <w:i/>
          <w:color w:val="000000"/>
          <w:spacing w:val="-4"/>
          <w:sz w:val="16"/>
          <w:szCs w:val="16"/>
        </w:rPr>
        <w:t xml:space="preserve">, </w:t>
      </w:r>
      <w:r w:rsidRPr="003A5FAB">
        <w:rPr>
          <w:i/>
          <w:color w:val="000000"/>
          <w:spacing w:val="-4"/>
          <w:sz w:val="16"/>
          <w:szCs w:val="16"/>
        </w:rPr>
        <w:t>supra</w:t>
      </w:r>
      <w:r w:rsidRPr="00F95D69">
        <w:rPr>
          <w:rStyle w:val="Strong"/>
          <w:b w:val="0"/>
          <w:color w:val="000000"/>
          <w:sz w:val="16"/>
          <w:szCs w:val="16"/>
          <w:shd w:val="clear" w:color="auto" w:fill="FFFFFF"/>
        </w:rPr>
        <w:t xml:space="preserve">, párr. </w:t>
      </w:r>
      <w:r>
        <w:rPr>
          <w:rStyle w:val="Strong"/>
          <w:b w:val="0"/>
          <w:color w:val="000000"/>
          <w:sz w:val="16"/>
          <w:szCs w:val="16"/>
          <w:shd w:val="clear" w:color="auto" w:fill="FFFFFF"/>
        </w:rPr>
        <w:t>92</w:t>
      </w:r>
      <w:r w:rsidRPr="00F95D69">
        <w:rPr>
          <w:rStyle w:val="Strong"/>
          <w:b w:val="0"/>
          <w:color w:val="000000"/>
          <w:sz w:val="16"/>
          <w:szCs w:val="16"/>
          <w:shd w:val="clear" w:color="auto" w:fill="FFFFFF"/>
        </w:rPr>
        <w:t>.</w:t>
      </w:r>
    </w:p>
  </w:footnote>
  <w:footnote w:id="265">
    <w:p w:rsidR="00B41935" w:rsidRPr="00FD6009" w:rsidRDefault="00B41935" w:rsidP="00881DB6">
      <w:pPr>
        <w:pStyle w:val="FootnoteText"/>
        <w:rPr>
          <w:spacing w:val="-2"/>
          <w:sz w:val="16"/>
          <w:szCs w:val="16"/>
        </w:rPr>
      </w:pPr>
      <w:r w:rsidRPr="00CC214C">
        <w:rPr>
          <w:rStyle w:val="Smbolodenotaalpie"/>
          <w:sz w:val="16"/>
          <w:szCs w:val="16"/>
        </w:rPr>
        <w:footnoteRef/>
      </w:r>
      <w:r w:rsidRPr="00CC214C">
        <w:rPr>
          <w:i/>
          <w:spacing w:val="-4"/>
          <w:sz w:val="16"/>
          <w:szCs w:val="16"/>
          <w:lang w:val="es-VE"/>
        </w:rPr>
        <w:t xml:space="preserve"> </w:t>
      </w:r>
      <w:r w:rsidRPr="00CC214C">
        <w:rPr>
          <w:i/>
          <w:spacing w:val="-4"/>
          <w:sz w:val="16"/>
          <w:szCs w:val="16"/>
          <w:lang w:val="es-VE"/>
        </w:rPr>
        <w:tab/>
        <w:t xml:space="preserve">Cfr. </w:t>
      </w:r>
      <w:r w:rsidRPr="00CC214C">
        <w:rPr>
          <w:i/>
          <w:sz w:val="16"/>
          <w:szCs w:val="16"/>
        </w:rPr>
        <w:t>Caso</w:t>
      </w:r>
      <w:r w:rsidRPr="00CC214C">
        <w:rPr>
          <w:rFonts w:cs="Arial"/>
          <w:spacing w:val="-4"/>
          <w:sz w:val="16"/>
          <w:szCs w:val="16"/>
        </w:rPr>
        <w:t xml:space="preserve"> </w:t>
      </w:r>
      <w:r w:rsidRPr="00552A48">
        <w:rPr>
          <w:rFonts w:cs="Arial"/>
          <w:i/>
          <w:spacing w:val="-4"/>
          <w:sz w:val="16"/>
          <w:szCs w:val="16"/>
        </w:rPr>
        <w:t>Velásquez Rodríguez Vs. Honduras</w:t>
      </w:r>
      <w:r>
        <w:rPr>
          <w:i/>
          <w:sz w:val="16"/>
          <w:szCs w:val="16"/>
          <w:lang w:val="es-AR"/>
        </w:rPr>
        <w:t>. Fondo</w:t>
      </w:r>
      <w:r>
        <w:rPr>
          <w:sz w:val="16"/>
          <w:szCs w:val="16"/>
          <w:lang w:val="es-AR"/>
        </w:rPr>
        <w:t>,</w:t>
      </w:r>
      <w:r>
        <w:rPr>
          <w:rFonts w:cs="Arial"/>
          <w:i/>
          <w:spacing w:val="-4"/>
          <w:sz w:val="16"/>
          <w:szCs w:val="16"/>
        </w:rPr>
        <w:t xml:space="preserve"> </w:t>
      </w:r>
      <w:r w:rsidRPr="003A5FAB">
        <w:rPr>
          <w:i/>
          <w:sz w:val="16"/>
          <w:szCs w:val="16"/>
          <w:lang w:val="pt-BR"/>
        </w:rPr>
        <w:t>supra</w:t>
      </w:r>
      <w:r w:rsidRPr="00513FE5">
        <w:rPr>
          <w:rFonts w:cs="Arial"/>
          <w:spacing w:val="-4"/>
          <w:sz w:val="16"/>
          <w:szCs w:val="16"/>
        </w:rPr>
        <w:t>,</w:t>
      </w:r>
      <w:r w:rsidRPr="00552A48">
        <w:rPr>
          <w:rFonts w:cs="Arial"/>
          <w:spacing w:val="-4"/>
          <w:sz w:val="16"/>
          <w:szCs w:val="16"/>
        </w:rPr>
        <w:t xml:space="preserve"> </w:t>
      </w:r>
      <w:r w:rsidRPr="00F10686">
        <w:rPr>
          <w:rFonts w:cs="Verdana"/>
          <w:spacing w:val="-4"/>
          <w:sz w:val="16"/>
          <w:szCs w:val="16"/>
          <w:lang w:val="es-VE"/>
        </w:rPr>
        <w:t>párr. 17</w:t>
      </w:r>
      <w:r w:rsidRPr="00FD6009">
        <w:rPr>
          <w:rFonts w:cs="Verdana"/>
          <w:spacing w:val="-4"/>
          <w:sz w:val="16"/>
          <w:szCs w:val="16"/>
          <w:lang w:val="es-VE"/>
        </w:rPr>
        <w:t>7</w:t>
      </w:r>
      <w:r w:rsidRPr="00FD6009">
        <w:rPr>
          <w:spacing w:val="-2"/>
          <w:sz w:val="16"/>
          <w:szCs w:val="16"/>
          <w:lang w:val="es-VE"/>
        </w:rPr>
        <w:t xml:space="preserve">, </w:t>
      </w:r>
      <w:r w:rsidRPr="00FD6009">
        <w:rPr>
          <w:spacing w:val="-2"/>
          <w:sz w:val="16"/>
          <w:szCs w:val="16"/>
        </w:rPr>
        <w:t xml:space="preserve">y </w:t>
      </w:r>
      <w:r w:rsidRPr="00FD6009">
        <w:rPr>
          <w:rStyle w:val="Strong"/>
          <w:b w:val="0"/>
          <w:i/>
          <w:color w:val="000000"/>
          <w:sz w:val="16"/>
          <w:szCs w:val="16"/>
        </w:rPr>
        <w:t>Caso Carvajal Carvajal y Otros Vs. Colombia</w:t>
      </w:r>
      <w:r w:rsidRPr="00FD6009">
        <w:rPr>
          <w:sz w:val="16"/>
          <w:szCs w:val="16"/>
        </w:rPr>
        <w:t xml:space="preserve">. </w:t>
      </w:r>
      <w:r w:rsidRPr="00FD6009">
        <w:rPr>
          <w:i/>
          <w:spacing w:val="-4"/>
          <w:sz w:val="16"/>
          <w:szCs w:val="16"/>
        </w:rPr>
        <w:t>Fondo, Reparaciones y Costas</w:t>
      </w:r>
      <w:r w:rsidRPr="00FD6009">
        <w:rPr>
          <w:spacing w:val="-4"/>
          <w:sz w:val="16"/>
          <w:szCs w:val="16"/>
        </w:rPr>
        <w:t>. Sentencia de 13 de marzo de 2018. Serie C No. 352,</w:t>
      </w:r>
      <w:r w:rsidRPr="00FD6009">
        <w:rPr>
          <w:sz w:val="16"/>
          <w:szCs w:val="16"/>
        </w:rPr>
        <w:t xml:space="preserve"> párr. 102</w:t>
      </w:r>
      <w:r w:rsidRPr="00FD6009">
        <w:rPr>
          <w:spacing w:val="-2"/>
          <w:sz w:val="16"/>
          <w:szCs w:val="16"/>
        </w:rPr>
        <w:t>.</w:t>
      </w:r>
    </w:p>
  </w:footnote>
  <w:footnote w:id="266">
    <w:p w:rsidR="00B41935" w:rsidRPr="00FD6009" w:rsidRDefault="00B41935" w:rsidP="00881DB6">
      <w:pPr>
        <w:pStyle w:val="FootnoteText"/>
        <w:rPr>
          <w:spacing w:val="-2"/>
          <w:sz w:val="16"/>
          <w:szCs w:val="16"/>
        </w:rPr>
      </w:pPr>
      <w:r w:rsidRPr="00FD6009">
        <w:rPr>
          <w:rStyle w:val="Smbolodenotaalpie"/>
          <w:sz w:val="16"/>
          <w:szCs w:val="16"/>
        </w:rPr>
        <w:footnoteRef/>
      </w:r>
      <w:r w:rsidRPr="00FD6009">
        <w:rPr>
          <w:spacing w:val="-4"/>
          <w:sz w:val="16"/>
          <w:szCs w:val="16"/>
          <w:lang w:val="es-GT"/>
        </w:rPr>
        <w:t xml:space="preserve"> </w:t>
      </w:r>
      <w:r w:rsidRPr="00FD6009">
        <w:rPr>
          <w:spacing w:val="-4"/>
          <w:sz w:val="16"/>
          <w:szCs w:val="16"/>
          <w:lang w:val="es-GT"/>
        </w:rPr>
        <w:tab/>
      </w:r>
      <w:r w:rsidRPr="00FD6009">
        <w:rPr>
          <w:i/>
          <w:spacing w:val="-4"/>
          <w:sz w:val="16"/>
          <w:szCs w:val="16"/>
          <w:lang w:val="es-GT"/>
        </w:rPr>
        <w:t xml:space="preserve">Cfr. </w:t>
      </w:r>
      <w:r w:rsidRPr="00FD6009">
        <w:rPr>
          <w:i/>
          <w:spacing w:val="-4"/>
          <w:sz w:val="16"/>
          <w:szCs w:val="16"/>
        </w:rPr>
        <w:t>Caso Juan Humberto Sánchez Vs. Honduras. Excepción Preliminar, Fondo, Reparaciones y Costas</w:t>
      </w:r>
      <w:r w:rsidRPr="00FD6009">
        <w:rPr>
          <w:spacing w:val="-4"/>
          <w:sz w:val="16"/>
          <w:szCs w:val="16"/>
        </w:rPr>
        <w:t xml:space="preserve">. Sentencia de 7 de junio de 2003. Serie C No. 99, </w:t>
      </w:r>
      <w:r w:rsidRPr="00FD6009">
        <w:rPr>
          <w:rFonts w:cs="Verdana"/>
          <w:spacing w:val="-4"/>
          <w:sz w:val="16"/>
          <w:szCs w:val="16"/>
        </w:rPr>
        <w:t>párr. 127,</w:t>
      </w:r>
      <w:r w:rsidRPr="00FD6009">
        <w:rPr>
          <w:spacing w:val="-4"/>
          <w:sz w:val="16"/>
          <w:szCs w:val="16"/>
          <w:lang w:val="es-PR"/>
        </w:rPr>
        <w:t xml:space="preserve"> </w:t>
      </w:r>
      <w:r w:rsidRPr="00FD6009">
        <w:rPr>
          <w:rStyle w:val="Strong"/>
          <w:b w:val="0"/>
          <w:color w:val="000000"/>
          <w:sz w:val="16"/>
          <w:szCs w:val="16"/>
        </w:rPr>
        <w:t>y</w:t>
      </w:r>
      <w:r w:rsidRPr="00FD6009">
        <w:rPr>
          <w:rStyle w:val="Strong"/>
          <w:b w:val="0"/>
          <w:i/>
          <w:color w:val="000000"/>
          <w:sz w:val="16"/>
          <w:szCs w:val="16"/>
        </w:rPr>
        <w:t xml:space="preserve"> Caso Carvajal Carvajal y Otros Vs. Colombia</w:t>
      </w:r>
      <w:r>
        <w:rPr>
          <w:rStyle w:val="Strong"/>
          <w:b w:val="0"/>
          <w:i/>
          <w:color w:val="000000"/>
          <w:sz w:val="16"/>
          <w:szCs w:val="16"/>
        </w:rPr>
        <w:t xml:space="preserve">, supra, </w:t>
      </w:r>
      <w:r w:rsidRPr="00FD6009">
        <w:rPr>
          <w:sz w:val="16"/>
          <w:szCs w:val="16"/>
        </w:rPr>
        <w:t>párr. 102.</w:t>
      </w:r>
      <w:r w:rsidRPr="00FD6009">
        <w:rPr>
          <w:rStyle w:val="Strong"/>
          <w:b w:val="0"/>
          <w:i/>
          <w:color w:val="000000"/>
          <w:sz w:val="16"/>
          <w:szCs w:val="16"/>
        </w:rPr>
        <w:t xml:space="preserve"> </w:t>
      </w:r>
    </w:p>
  </w:footnote>
  <w:footnote w:id="267">
    <w:p w:rsidR="00B41935" w:rsidRPr="000D7DA6" w:rsidRDefault="00B41935" w:rsidP="000D7DA6">
      <w:pPr>
        <w:pStyle w:val="FootnoteText"/>
        <w:rPr>
          <w:rStyle w:val="Strong"/>
          <w:b w:val="0"/>
          <w:color w:val="000000"/>
          <w:sz w:val="16"/>
          <w:szCs w:val="16"/>
          <w:shd w:val="clear" w:color="auto" w:fill="FFFFFF"/>
        </w:rPr>
      </w:pPr>
      <w:r w:rsidRPr="00FD6009">
        <w:rPr>
          <w:rStyle w:val="Smbolodenotaalpie"/>
          <w:sz w:val="16"/>
          <w:szCs w:val="16"/>
        </w:rPr>
        <w:footnoteRef/>
      </w:r>
      <w:r w:rsidRPr="00FD6009">
        <w:rPr>
          <w:i/>
          <w:spacing w:val="-4"/>
          <w:sz w:val="16"/>
          <w:szCs w:val="16"/>
          <w:lang w:val="es-CL"/>
        </w:rPr>
        <w:t xml:space="preserve"> </w:t>
      </w:r>
      <w:r w:rsidRPr="00FD6009">
        <w:rPr>
          <w:i/>
          <w:spacing w:val="-4"/>
          <w:sz w:val="16"/>
          <w:szCs w:val="16"/>
          <w:lang w:val="es-CL"/>
        </w:rPr>
        <w:tab/>
      </w:r>
      <w:r w:rsidRPr="00FD6009">
        <w:rPr>
          <w:i/>
          <w:spacing w:val="-4"/>
          <w:sz w:val="16"/>
          <w:szCs w:val="16"/>
          <w:lang w:val="es-GT"/>
        </w:rPr>
        <w:t xml:space="preserve">Cfr. </w:t>
      </w:r>
      <w:r w:rsidRPr="00FD6009">
        <w:rPr>
          <w:bCs/>
          <w:i/>
          <w:spacing w:val="-4"/>
          <w:sz w:val="16"/>
          <w:szCs w:val="16"/>
          <w:lang w:val="es-GT"/>
        </w:rPr>
        <w:t xml:space="preserve">Caso </w:t>
      </w:r>
      <w:r w:rsidRPr="00FD6009">
        <w:rPr>
          <w:i/>
          <w:spacing w:val="-4"/>
          <w:sz w:val="16"/>
          <w:szCs w:val="16"/>
        </w:rPr>
        <w:t>de</w:t>
      </w:r>
      <w:r w:rsidRPr="00FD6009">
        <w:rPr>
          <w:bCs/>
          <w:i/>
          <w:spacing w:val="-4"/>
          <w:sz w:val="16"/>
          <w:szCs w:val="16"/>
          <w:lang w:val="es-GT"/>
        </w:rPr>
        <w:t xml:space="preserve"> las Hermanas Serrano Cruz Vs. El Salvador</w:t>
      </w:r>
      <w:r>
        <w:rPr>
          <w:bCs/>
          <w:i/>
          <w:spacing w:val="-4"/>
          <w:sz w:val="16"/>
          <w:szCs w:val="16"/>
          <w:lang w:val="es-GT"/>
        </w:rPr>
        <w:t xml:space="preserve">. </w:t>
      </w:r>
      <w:r w:rsidRPr="000F150A">
        <w:rPr>
          <w:i/>
          <w:sz w:val="16"/>
          <w:szCs w:val="16"/>
        </w:rPr>
        <w:t>Fondo, Reparaciones y Costas</w:t>
      </w:r>
      <w:r>
        <w:rPr>
          <w:bCs/>
          <w:i/>
          <w:spacing w:val="-4"/>
          <w:sz w:val="16"/>
          <w:szCs w:val="16"/>
          <w:lang w:val="es-GT"/>
        </w:rPr>
        <w:t xml:space="preserve">, </w:t>
      </w:r>
      <w:r w:rsidRPr="000D7DA6">
        <w:rPr>
          <w:rStyle w:val="Strong"/>
          <w:b w:val="0"/>
          <w:color w:val="000000"/>
          <w:sz w:val="16"/>
          <w:szCs w:val="16"/>
          <w:shd w:val="clear" w:color="auto" w:fill="FFFFFF"/>
        </w:rPr>
        <w:t>Sentencia de 1 de</w:t>
      </w:r>
    </w:p>
    <w:p w:rsidR="00B41935" w:rsidRPr="00CE6B13" w:rsidRDefault="00B41935" w:rsidP="000D7DA6">
      <w:pPr>
        <w:pStyle w:val="FootnoteText"/>
        <w:rPr>
          <w:spacing w:val="-2"/>
          <w:sz w:val="16"/>
          <w:szCs w:val="16"/>
        </w:rPr>
      </w:pPr>
      <w:r w:rsidRPr="000D7DA6">
        <w:rPr>
          <w:rStyle w:val="Strong"/>
          <w:b w:val="0"/>
          <w:color w:val="000000"/>
          <w:sz w:val="16"/>
          <w:szCs w:val="16"/>
          <w:shd w:val="clear" w:color="auto" w:fill="FFFFFF"/>
        </w:rPr>
        <w:t>marzo de 2005. Serie C No. 120</w:t>
      </w:r>
      <w:r w:rsidRPr="00FD6009">
        <w:rPr>
          <w:bCs/>
          <w:i/>
          <w:spacing w:val="-4"/>
          <w:sz w:val="16"/>
          <w:szCs w:val="16"/>
          <w:lang w:val="es-GT"/>
        </w:rPr>
        <w:t xml:space="preserve">, </w:t>
      </w:r>
      <w:r w:rsidRPr="00FD6009">
        <w:rPr>
          <w:spacing w:val="-4"/>
          <w:sz w:val="16"/>
          <w:szCs w:val="16"/>
          <w:lang w:val="es-GT"/>
        </w:rPr>
        <w:t xml:space="preserve">párr. 83, </w:t>
      </w:r>
      <w:r w:rsidRPr="00FD6009">
        <w:rPr>
          <w:rStyle w:val="Strong"/>
          <w:b w:val="0"/>
          <w:color w:val="000000"/>
          <w:sz w:val="16"/>
          <w:szCs w:val="16"/>
        </w:rPr>
        <w:t xml:space="preserve">y </w:t>
      </w:r>
      <w:r w:rsidRPr="00FD6009">
        <w:rPr>
          <w:rStyle w:val="Strong"/>
          <w:b w:val="0"/>
          <w:i/>
          <w:color w:val="000000"/>
          <w:sz w:val="16"/>
          <w:szCs w:val="16"/>
        </w:rPr>
        <w:t>Caso Carvajal Carvajal y Otros Vs. Colombia</w:t>
      </w:r>
      <w:r>
        <w:rPr>
          <w:rStyle w:val="Strong"/>
          <w:b w:val="0"/>
          <w:i/>
          <w:color w:val="000000"/>
          <w:sz w:val="16"/>
          <w:szCs w:val="16"/>
        </w:rPr>
        <w:t>, supra</w:t>
      </w:r>
      <w:r w:rsidRPr="00FD6009">
        <w:rPr>
          <w:spacing w:val="-4"/>
          <w:sz w:val="16"/>
          <w:szCs w:val="16"/>
        </w:rPr>
        <w:t>,</w:t>
      </w:r>
      <w:r w:rsidRPr="00FD6009">
        <w:rPr>
          <w:sz w:val="16"/>
          <w:szCs w:val="16"/>
        </w:rPr>
        <w:t xml:space="preserve"> párr. 102</w:t>
      </w:r>
      <w:r>
        <w:rPr>
          <w:sz w:val="16"/>
          <w:szCs w:val="16"/>
        </w:rPr>
        <w:t>.</w:t>
      </w:r>
    </w:p>
  </w:footnote>
  <w:footnote w:id="268">
    <w:p w:rsidR="00B41935" w:rsidRPr="001E62BB" w:rsidRDefault="00B41935" w:rsidP="00881DB6">
      <w:pPr>
        <w:pStyle w:val="FootnoteText"/>
        <w:rPr>
          <w:spacing w:val="-2"/>
          <w:sz w:val="16"/>
          <w:szCs w:val="16"/>
        </w:rPr>
      </w:pPr>
      <w:r w:rsidRPr="00CC214C">
        <w:rPr>
          <w:rStyle w:val="Smbolodenotaalpie"/>
          <w:sz w:val="16"/>
          <w:szCs w:val="16"/>
        </w:rPr>
        <w:footnoteRef/>
      </w:r>
      <w:r w:rsidRPr="00CC214C" w:rsidDel="001A64A9">
        <w:rPr>
          <w:sz w:val="16"/>
          <w:szCs w:val="16"/>
        </w:rPr>
        <w:t xml:space="preserve"> </w:t>
      </w:r>
      <w:r w:rsidRPr="00CC214C">
        <w:rPr>
          <w:sz w:val="16"/>
          <w:szCs w:val="16"/>
        </w:rPr>
        <w:tab/>
      </w:r>
      <w:r w:rsidRPr="00CC214C">
        <w:rPr>
          <w:i/>
          <w:sz w:val="16"/>
          <w:szCs w:val="16"/>
        </w:rPr>
        <w:t xml:space="preserve">Cfr. Caso de los “Niños de la Calle” (Villagrán Morales y otros) vs. Guatemala. </w:t>
      </w:r>
      <w:r w:rsidRPr="001E62BB">
        <w:rPr>
          <w:sz w:val="16"/>
          <w:szCs w:val="16"/>
        </w:rPr>
        <w:t>Fondo</w:t>
      </w:r>
      <w:r w:rsidRPr="00552A48">
        <w:rPr>
          <w:sz w:val="16"/>
          <w:szCs w:val="16"/>
        </w:rPr>
        <w:t>. Sentencia de 19 de noviembre de 1999. Serie C No. 63, párr. 222, y</w:t>
      </w:r>
      <w:r>
        <w:rPr>
          <w:rStyle w:val="Strong"/>
          <w:b w:val="0"/>
          <w:i/>
          <w:color w:val="000000"/>
          <w:sz w:val="16"/>
          <w:szCs w:val="16"/>
        </w:rPr>
        <w:t xml:space="preserve"> </w:t>
      </w:r>
      <w:r w:rsidRPr="00F95D69">
        <w:rPr>
          <w:rStyle w:val="Strong"/>
          <w:b w:val="0"/>
          <w:i/>
          <w:color w:val="000000"/>
          <w:sz w:val="16"/>
          <w:szCs w:val="16"/>
        </w:rPr>
        <w:t>Cas</w:t>
      </w:r>
      <w:r>
        <w:rPr>
          <w:rStyle w:val="Strong"/>
          <w:b w:val="0"/>
          <w:i/>
          <w:color w:val="000000"/>
          <w:sz w:val="16"/>
          <w:szCs w:val="16"/>
        </w:rPr>
        <w:t>o Carvajal Carvajal y Otros</w:t>
      </w:r>
      <w:r w:rsidRPr="00F95D69">
        <w:rPr>
          <w:rStyle w:val="Strong"/>
          <w:b w:val="0"/>
          <w:i/>
          <w:color w:val="000000"/>
          <w:sz w:val="16"/>
          <w:szCs w:val="16"/>
        </w:rPr>
        <w:t xml:space="preserve"> Vs. Colombia</w:t>
      </w:r>
      <w:r>
        <w:rPr>
          <w:rStyle w:val="Strong"/>
          <w:b w:val="0"/>
          <w:i/>
          <w:color w:val="000000"/>
          <w:sz w:val="16"/>
          <w:szCs w:val="16"/>
        </w:rPr>
        <w:t>,</w:t>
      </w:r>
      <w:r w:rsidRPr="001E62BB">
        <w:rPr>
          <w:i/>
          <w:spacing w:val="-4"/>
          <w:sz w:val="16"/>
          <w:szCs w:val="16"/>
        </w:rPr>
        <w:t xml:space="preserve"> </w:t>
      </w:r>
      <w:r>
        <w:rPr>
          <w:i/>
          <w:spacing w:val="-4"/>
          <w:sz w:val="16"/>
          <w:szCs w:val="16"/>
        </w:rPr>
        <w:t>supra</w:t>
      </w:r>
      <w:r w:rsidRPr="00745E2F">
        <w:rPr>
          <w:spacing w:val="-4"/>
          <w:sz w:val="16"/>
          <w:szCs w:val="16"/>
        </w:rPr>
        <w:t>,</w:t>
      </w:r>
      <w:r w:rsidRPr="00745E2F">
        <w:rPr>
          <w:sz w:val="16"/>
          <w:szCs w:val="16"/>
        </w:rPr>
        <w:t xml:space="preserve"> párr. 1</w:t>
      </w:r>
      <w:r>
        <w:rPr>
          <w:sz w:val="16"/>
          <w:szCs w:val="16"/>
        </w:rPr>
        <w:t>17.</w:t>
      </w:r>
    </w:p>
  </w:footnote>
  <w:footnote w:id="269">
    <w:p w:rsidR="00B41935" w:rsidRPr="00552A48" w:rsidRDefault="00B41935" w:rsidP="00881DB6">
      <w:pPr>
        <w:pStyle w:val="FootnoteText"/>
        <w:rPr>
          <w:sz w:val="16"/>
          <w:szCs w:val="16"/>
        </w:rPr>
      </w:pPr>
      <w:r w:rsidRPr="00CC214C">
        <w:rPr>
          <w:rStyle w:val="FootnoteReference"/>
        </w:rPr>
        <w:footnoteRef/>
      </w:r>
      <w:r w:rsidRPr="00CC214C">
        <w:rPr>
          <w:sz w:val="16"/>
          <w:szCs w:val="16"/>
        </w:rPr>
        <w:t xml:space="preserve"> </w:t>
      </w:r>
      <w:r w:rsidRPr="00CC214C">
        <w:rPr>
          <w:sz w:val="16"/>
          <w:szCs w:val="16"/>
        </w:rPr>
        <w:tab/>
      </w:r>
      <w:r w:rsidRPr="00FF20D9">
        <w:rPr>
          <w:i/>
          <w:sz w:val="16"/>
          <w:szCs w:val="16"/>
        </w:rPr>
        <w:t>Cfr. Caso</w:t>
      </w:r>
      <w:r w:rsidRPr="00FF20D9">
        <w:rPr>
          <w:sz w:val="16"/>
          <w:szCs w:val="16"/>
        </w:rPr>
        <w:t xml:space="preserve"> </w:t>
      </w:r>
      <w:r w:rsidRPr="00FF20D9">
        <w:rPr>
          <w:bCs/>
          <w:i/>
          <w:spacing w:val="-4"/>
          <w:sz w:val="16"/>
          <w:szCs w:val="16"/>
          <w:lang w:val="es-GT"/>
        </w:rPr>
        <w:t xml:space="preserve">Yarce y Otras Vs. Colombia. </w:t>
      </w:r>
      <w:r w:rsidRPr="00FF20D9">
        <w:rPr>
          <w:bCs/>
          <w:i/>
          <w:spacing w:val="-4"/>
          <w:sz w:val="16"/>
          <w:szCs w:val="16"/>
        </w:rPr>
        <w:t xml:space="preserve">Excepción Preliminar, Fondo, Reparaciones y Costas. </w:t>
      </w:r>
      <w:r w:rsidRPr="00FF20D9">
        <w:rPr>
          <w:bCs/>
          <w:spacing w:val="-4"/>
          <w:sz w:val="16"/>
          <w:szCs w:val="16"/>
        </w:rPr>
        <w:t>Sentencia de 22 de noviembre de 2016. Serie C No. 325</w:t>
      </w:r>
      <w:r w:rsidRPr="00FF20D9">
        <w:rPr>
          <w:bCs/>
          <w:i/>
          <w:spacing w:val="-4"/>
          <w:sz w:val="16"/>
          <w:szCs w:val="16"/>
        </w:rPr>
        <w:t>,</w:t>
      </w:r>
      <w:r>
        <w:rPr>
          <w:bCs/>
          <w:i/>
          <w:spacing w:val="-4"/>
          <w:sz w:val="16"/>
          <w:szCs w:val="16"/>
        </w:rPr>
        <w:t xml:space="preserve"> </w:t>
      </w:r>
      <w:r w:rsidRPr="00FF20D9">
        <w:rPr>
          <w:bCs/>
          <w:spacing w:val="-4"/>
          <w:sz w:val="16"/>
          <w:szCs w:val="16"/>
          <w:lang w:val="es-GT"/>
        </w:rPr>
        <w:t>párr.</w:t>
      </w:r>
      <w:r w:rsidRPr="00FF20D9">
        <w:rPr>
          <w:sz w:val="16"/>
          <w:szCs w:val="16"/>
        </w:rPr>
        <w:t xml:space="preserve"> 282, y</w:t>
      </w:r>
      <w:r w:rsidRPr="00FF20D9">
        <w:rPr>
          <w:rStyle w:val="Strong"/>
          <w:b w:val="0"/>
          <w:i/>
          <w:color w:val="000000"/>
          <w:sz w:val="16"/>
          <w:szCs w:val="16"/>
        </w:rPr>
        <w:t xml:space="preserve"> </w:t>
      </w:r>
      <w:r w:rsidRPr="00B2179C">
        <w:rPr>
          <w:rStyle w:val="Strong"/>
          <w:b w:val="0"/>
          <w:i/>
          <w:color w:val="000000"/>
          <w:sz w:val="16"/>
          <w:szCs w:val="16"/>
        </w:rPr>
        <w:t>Caso Carvajal</w:t>
      </w:r>
      <w:r>
        <w:rPr>
          <w:rStyle w:val="Strong"/>
          <w:b w:val="0"/>
          <w:i/>
          <w:color w:val="000000"/>
          <w:sz w:val="16"/>
          <w:szCs w:val="16"/>
        </w:rPr>
        <w:t xml:space="preserve"> Carvajal y Otros</w:t>
      </w:r>
      <w:r w:rsidRPr="00F95D69">
        <w:rPr>
          <w:rStyle w:val="Strong"/>
          <w:b w:val="0"/>
          <w:i/>
          <w:color w:val="000000"/>
          <w:sz w:val="16"/>
          <w:szCs w:val="16"/>
        </w:rPr>
        <w:t xml:space="preserve"> Vs. Colombia</w:t>
      </w:r>
      <w:r>
        <w:rPr>
          <w:rStyle w:val="Strong"/>
          <w:b w:val="0"/>
          <w:i/>
          <w:color w:val="000000"/>
          <w:sz w:val="16"/>
          <w:szCs w:val="16"/>
        </w:rPr>
        <w:t>, supra</w:t>
      </w:r>
      <w:r w:rsidRPr="00745E2F">
        <w:rPr>
          <w:spacing w:val="-4"/>
          <w:sz w:val="16"/>
          <w:szCs w:val="16"/>
        </w:rPr>
        <w:t>,</w:t>
      </w:r>
      <w:r w:rsidRPr="00745E2F">
        <w:rPr>
          <w:sz w:val="16"/>
          <w:szCs w:val="16"/>
        </w:rPr>
        <w:t xml:space="preserve"> párr. 1</w:t>
      </w:r>
      <w:r>
        <w:rPr>
          <w:sz w:val="16"/>
          <w:szCs w:val="16"/>
        </w:rPr>
        <w:t>17.</w:t>
      </w:r>
    </w:p>
  </w:footnote>
  <w:footnote w:id="270">
    <w:p w:rsidR="00B41935" w:rsidRPr="003D07CE" w:rsidRDefault="00B41935" w:rsidP="00881DB6">
      <w:pPr>
        <w:pStyle w:val="FootnoteText"/>
        <w:rPr>
          <w:spacing w:val="-4"/>
          <w:sz w:val="16"/>
          <w:szCs w:val="16"/>
        </w:rPr>
      </w:pPr>
      <w:r w:rsidRPr="00CC214C">
        <w:rPr>
          <w:rStyle w:val="Smbolodenotaalpie"/>
          <w:sz w:val="16"/>
          <w:szCs w:val="16"/>
        </w:rPr>
        <w:footnoteRef/>
      </w:r>
      <w:r w:rsidRPr="00CC214C">
        <w:rPr>
          <w:i/>
          <w:spacing w:val="-4"/>
          <w:sz w:val="16"/>
          <w:szCs w:val="16"/>
        </w:rPr>
        <w:t xml:space="preserve"> </w:t>
      </w:r>
      <w:r w:rsidRPr="00CC214C">
        <w:rPr>
          <w:i/>
          <w:spacing w:val="-4"/>
          <w:sz w:val="16"/>
          <w:szCs w:val="16"/>
        </w:rPr>
        <w:tab/>
        <w:t>Cfr</w:t>
      </w:r>
      <w:r w:rsidRPr="00CC214C">
        <w:rPr>
          <w:spacing w:val="-4"/>
          <w:sz w:val="16"/>
          <w:szCs w:val="16"/>
        </w:rPr>
        <w:t xml:space="preserve">. </w:t>
      </w:r>
      <w:r w:rsidRPr="00CC214C">
        <w:rPr>
          <w:rFonts w:cs="Arial"/>
          <w:i/>
          <w:spacing w:val="-4"/>
          <w:sz w:val="16"/>
          <w:szCs w:val="16"/>
        </w:rPr>
        <w:t xml:space="preserve">Caso Ibsen </w:t>
      </w:r>
      <w:r w:rsidRPr="00552A48">
        <w:rPr>
          <w:bCs/>
          <w:i/>
          <w:spacing w:val="-4"/>
          <w:sz w:val="16"/>
          <w:szCs w:val="16"/>
          <w:lang w:val="es-GT"/>
        </w:rPr>
        <w:t>Cárdenas</w:t>
      </w:r>
      <w:r w:rsidRPr="00552A48">
        <w:rPr>
          <w:rFonts w:cs="Arial"/>
          <w:i/>
          <w:spacing w:val="-4"/>
          <w:sz w:val="16"/>
          <w:szCs w:val="16"/>
        </w:rPr>
        <w:t xml:space="preserve"> e Ibsen Peña Vs. Bolivia. </w:t>
      </w:r>
      <w:r w:rsidRPr="001E62BB">
        <w:rPr>
          <w:rFonts w:cs="Arial"/>
          <w:i/>
          <w:spacing w:val="-4"/>
          <w:sz w:val="16"/>
          <w:szCs w:val="16"/>
        </w:rPr>
        <w:t>Fondo, Reparaciones y Costas</w:t>
      </w:r>
      <w:r w:rsidRPr="001E62BB">
        <w:rPr>
          <w:rFonts w:cs="Arial"/>
          <w:spacing w:val="-4"/>
          <w:sz w:val="16"/>
          <w:szCs w:val="16"/>
        </w:rPr>
        <w:t>.</w:t>
      </w:r>
      <w:r w:rsidRPr="00552A48">
        <w:rPr>
          <w:rFonts w:cs="Arial"/>
          <w:spacing w:val="-4"/>
          <w:sz w:val="16"/>
          <w:szCs w:val="16"/>
        </w:rPr>
        <w:t xml:space="preserve"> Sentencia de 1 de septiembre de 2010. Serie C No. 217</w:t>
      </w:r>
      <w:r w:rsidRPr="00552A48">
        <w:rPr>
          <w:spacing w:val="-4"/>
          <w:sz w:val="16"/>
          <w:szCs w:val="16"/>
        </w:rPr>
        <w:t xml:space="preserve">, párr. 172, y </w:t>
      </w:r>
      <w:r w:rsidRPr="00F95D69">
        <w:rPr>
          <w:rStyle w:val="Strong"/>
          <w:b w:val="0"/>
          <w:i/>
          <w:color w:val="000000"/>
          <w:sz w:val="16"/>
          <w:szCs w:val="16"/>
        </w:rPr>
        <w:t>Caso</w:t>
      </w:r>
      <w:r>
        <w:rPr>
          <w:rStyle w:val="Strong"/>
          <w:b w:val="0"/>
          <w:i/>
          <w:color w:val="000000"/>
          <w:sz w:val="16"/>
          <w:szCs w:val="16"/>
        </w:rPr>
        <w:t xml:space="preserve"> Coc Max y Otros (Masacre d</w:t>
      </w:r>
      <w:r w:rsidRPr="00FF73B6">
        <w:rPr>
          <w:rStyle w:val="Strong"/>
          <w:b w:val="0"/>
          <w:i/>
          <w:color w:val="000000"/>
          <w:sz w:val="16"/>
          <w:szCs w:val="16"/>
        </w:rPr>
        <w:t>e Xam</w:t>
      </w:r>
      <w:r>
        <w:rPr>
          <w:rStyle w:val="Strong"/>
          <w:b w:val="0"/>
          <w:i/>
          <w:color w:val="000000"/>
          <w:sz w:val="16"/>
          <w:szCs w:val="16"/>
        </w:rPr>
        <w:t>á</w:t>
      </w:r>
      <w:r w:rsidRPr="00FF73B6">
        <w:rPr>
          <w:rStyle w:val="Strong"/>
          <w:b w:val="0"/>
          <w:i/>
          <w:color w:val="000000"/>
          <w:sz w:val="16"/>
          <w:szCs w:val="16"/>
        </w:rPr>
        <w:t>n) Vs. Guatemala</w:t>
      </w:r>
      <w:r>
        <w:rPr>
          <w:rStyle w:val="Strong"/>
          <w:b w:val="0"/>
          <w:i/>
          <w:color w:val="000000"/>
          <w:sz w:val="16"/>
          <w:szCs w:val="16"/>
        </w:rPr>
        <w:t xml:space="preserve">, supra, </w:t>
      </w:r>
      <w:r>
        <w:rPr>
          <w:spacing w:val="-4"/>
          <w:sz w:val="16"/>
          <w:szCs w:val="16"/>
        </w:rPr>
        <w:t>párr. 80.</w:t>
      </w:r>
    </w:p>
  </w:footnote>
  <w:footnote w:id="271">
    <w:p w:rsidR="00B41935" w:rsidRPr="00E8710A" w:rsidRDefault="00B41935" w:rsidP="00881DB6">
      <w:pPr>
        <w:pStyle w:val="FootnoteText"/>
        <w:rPr>
          <w:spacing w:val="-4"/>
          <w:sz w:val="16"/>
          <w:szCs w:val="16"/>
        </w:rPr>
      </w:pPr>
      <w:r w:rsidRPr="00CC214C">
        <w:rPr>
          <w:rStyle w:val="FootnoteReference"/>
        </w:rPr>
        <w:footnoteRef/>
      </w:r>
      <w:r w:rsidRPr="00CC214C">
        <w:rPr>
          <w:sz w:val="16"/>
          <w:szCs w:val="16"/>
        </w:rPr>
        <w:t xml:space="preserve"> </w:t>
      </w:r>
      <w:r w:rsidRPr="00CC214C">
        <w:rPr>
          <w:sz w:val="16"/>
          <w:szCs w:val="16"/>
        </w:rPr>
        <w:tab/>
      </w:r>
      <w:r w:rsidRPr="00CC214C">
        <w:rPr>
          <w:i/>
          <w:sz w:val="16"/>
          <w:szCs w:val="16"/>
        </w:rPr>
        <w:t xml:space="preserve">Cfr. </w:t>
      </w:r>
      <w:r w:rsidRPr="00CC214C">
        <w:rPr>
          <w:bCs/>
          <w:i/>
          <w:spacing w:val="-4"/>
          <w:sz w:val="16"/>
          <w:szCs w:val="16"/>
        </w:rPr>
        <w:t>Caso Luna López Vs. Honduras</w:t>
      </w:r>
      <w:r w:rsidRPr="006A622C">
        <w:rPr>
          <w:bCs/>
          <w:i/>
          <w:spacing w:val="-4"/>
          <w:sz w:val="16"/>
          <w:szCs w:val="16"/>
        </w:rPr>
        <w:t>. Fondo, Reparaciones y Costas</w:t>
      </w:r>
      <w:r w:rsidRPr="00552A48">
        <w:rPr>
          <w:bCs/>
          <w:spacing w:val="-4"/>
          <w:sz w:val="16"/>
          <w:szCs w:val="16"/>
        </w:rPr>
        <w:t>. Sentencia de 10 de octubre de 2013. Serie C No. 269,</w:t>
      </w:r>
      <w:r w:rsidRPr="00F10686">
        <w:rPr>
          <w:bCs/>
          <w:i/>
          <w:spacing w:val="-4"/>
          <w:sz w:val="16"/>
          <w:szCs w:val="16"/>
        </w:rPr>
        <w:t xml:space="preserve"> </w:t>
      </w:r>
      <w:r w:rsidRPr="0000173B">
        <w:rPr>
          <w:sz w:val="16"/>
          <w:szCs w:val="16"/>
        </w:rPr>
        <w:t xml:space="preserve">párr. 167, </w:t>
      </w:r>
      <w:r w:rsidRPr="003D07CE">
        <w:rPr>
          <w:rFonts w:eastAsia="Cambria"/>
          <w:sz w:val="16"/>
          <w:szCs w:val="16"/>
        </w:rPr>
        <w:t>y</w:t>
      </w:r>
      <w:r w:rsidRPr="00CE6B13">
        <w:rPr>
          <w:sz w:val="16"/>
          <w:szCs w:val="16"/>
        </w:rPr>
        <w:t xml:space="preserve"> </w:t>
      </w:r>
      <w:r w:rsidRPr="00F95D69">
        <w:rPr>
          <w:rStyle w:val="Strong"/>
          <w:b w:val="0"/>
          <w:i/>
          <w:color w:val="000000"/>
          <w:sz w:val="16"/>
          <w:szCs w:val="16"/>
        </w:rPr>
        <w:t xml:space="preserve">Caso </w:t>
      </w:r>
      <w:r>
        <w:rPr>
          <w:rStyle w:val="Strong"/>
          <w:b w:val="0"/>
          <w:i/>
          <w:color w:val="000000"/>
          <w:sz w:val="16"/>
          <w:szCs w:val="16"/>
        </w:rPr>
        <w:t>Coc Max y Otros (Masacre d</w:t>
      </w:r>
      <w:r w:rsidRPr="00FF73B6">
        <w:rPr>
          <w:rStyle w:val="Strong"/>
          <w:b w:val="0"/>
          <w:i/>
          <w:color w:val="000000"/>
          <w:sz w:val="16"/>
          <w:szCs w:val="16"/>
        </w:rPr>
        <w:t>e Xam</w:t>
      </w:r>
      <w:r>
        <w:rPr>
          <w:rStyle w:val="Strong"/>
          <w:b w:val="0"/>
          <w:i/>
          <w:color w:val="000000"/>
          <w:sz w:val="16"/>
          <w:szCs w:val="16"/>
        </w:rPr>
        <w:t>á</w:t>
      </w:r>
      <w:r w:rsidRPr="00FF73B6">
        <w:rPr>
          <w:rStyle w:val="Strong"/>
          <w:b w:val="0"/>
          <w:i/>
          <w:color w:val="000000"/>
          <w:sz w:val="16"/>
          <w:szCs w:val="16"/>
        </w:rPr>
        <w:t>n) Vs. Guatemala</w:t>
      </w:r>
      <w:r>
        <w:rPr>
          <w:rStyle w:val="Strong"/>
          <w:b w:val="0"/>
          <w:i/>
          <w:color w:val="000000"/>
          <w:sz w:val="16"/>
          <w:szCs w:val="16"/>
        </w:rPr>
        <w:t xml:space="preserve">, supra, </w:t>
      </w:r>
      <w:r>
        <w:rPr>
          <w:spacing w:val="-4"/>
          <w:sz w:val="16"/>
          <w:szCs w:val="16"/>
        </w:rPr>
        <w:t>párr. 81.</w:t>
      </w:r>
    </w:p>
  </w:footnote>
  <w:footnote w:id="272">
    <w:p w:rsidR="00B41935" w:rsidRPr="00E42301" w:rsidRDefault="00B41935" w:rsidP="00881DB6">
      <w:pPr>
        <w:pStyle w:val="FootnoteText"/>
        <w:tabs>
          <w:tab w:val="left" w:pos="426"/>
          <w:tab w:val="left" w:pos="567"/>
        </w:tabs>
        <w:rPr>
          <w:sz w:val="16"/>
          <w:szCs w:val="16"/>
          <w:lang w:val="es-ES"/>
        </w:rPr>
      </w:pPr>
      <w:r w:rsidRPr="00CC214C">
        <w:rPr>
          <w:rStyle w:val="FootnoteReference"/>
        </w:rPr>
        <w:footnoteRef/>
      </w:r>
      <w:r w:rsidRPr="00CC214C">
        <w:rPr>
          <w:sz w:val="16"/>
          <w:szCs w:val="16"/>
        </w:rPr>
        <w:t xml:space="preserve"> </w:t>
      </w:r>
      <w:r w:rsidRPr="00CC214C">
        <w:rPr>
          <w:sz w:val="16"/>
          <w:szCs w:val="16"/>
        </w:rPr>
        <w:tab/>
      </w:r>
      <w:r>
        <w:rPr>
          <w:sz w:val="16"/>
          <w:szCs w:val="16"/>
        </w:rPr>
        <w:tab/>
      </w:r>
      <w:r w:rsidRPr="00D55362">
        <w:rPr>
          <w:i/>
          <w:sz w:val="16"/>
          <w:szCs w:val="16"/>
        </w:rPr>
        <w:t>Cfr.</w:t>
      </w:r>
      <w:r w:rsidRPr="0032486B">
        <w:rPr>
          <w:szCs w:val="22"/>
        </w:rPr>
        <w:t xml:space="preserve"> </w:t>
      </w:r>
      <w:r w:rsidRPr="00871ABC">
        <w:rPr>
          <w:i/>
          <w:sz w:val="16"/>
          <w:szCs w:val="16"/>
        </w:rPr>
        <w:t xml:space="preserve">Caso Bulacio Vs. Argentina. Fondo, Reparaciones y Costas. </w:t>
      </w:r>
      <w:r w:rsidRPr="00871ABC">
        <w:rPr>
          <w:sz w:val="16"/>
          <w:szCs w:val="16"/>
        </w:rPr>
        <w:t>Sentencia de 18 de Septiembre de 2003. Serie C No. 100, párr. 114,</w:t>
      </w:r>
      <w:r w:rsidRPr="00552A48">
        <w:rPr>
          <w:sz w:val="16"/>
          <w:szCs w:val="16"/>
        </w:rPr>
        <w:t xml:space="preserve"> y</w:t>
      </w:r>
      <w:r w:rsidRPr="00552A48">
        <w:rPr>
          <w:i/>
          <w:sz w:val="16"/>
          <w:szCs w:val="16"/>
        </w:rPr>
        <w:t xml:space="preserve"> </w:t>
      </w:r>
      <w:r w:rsidRPr="00F95D69">
        <w:rPr>
          <w:rStyle w:val="Strong"/>
          <w:b w:val="0"/>
          <w:i/>
          <w:color w:val="000000"/>
          <w:sz w:val="16"/>
          <w:szCs w:val="16"/>
        </w:rPr>
        <w:t xml:space="preserve">Caso </w:t>
      </w:r>
      <w:r>
        <w:rPr>
          <w:rStyle w:val="Strong"/>
          <w:b w:val="0"/>
          <w:i/>
          <w:color w:val="000000"/>
          <w:sz w:val="16"/>
          <w:szCs w:val="16"/>
        </w:rPr>
        <w:t>Coc Max y Otros (Masacre d</w:t>
      </w:r>
      <w:r w:rsidRPr="00FF73B6">
        <w:rPr>
          <w:rStyle w:val="Strong"/>
          <w:b w:val="0"/>
          <w:i/>
          <w:color w:val="000000"/>
          <w:sz w:val="16"/>
          <w:szCs w:val="16"/>
        </w:rPr>
        <w:t>e Xam</w:t>
      </w:r>
      <w:r>
        <w:rPr>
          <w:rStyle w:val="Strong"/>
          <w:b w:val="0"/>
          <w:i/>
          <w:color w:val="000000"/>
          <w:sz w:val="16"/>
          <w:szCs w:val="16"/>
        </w:rPr>
        <w:t>á</w:t>
      </w:r>
      <w:r w:rsidRPr="00FF73B6">
        <w:rPr>
          <w:rStyle w:val="Strong"/>
          <w:b w:val="0"/>
          <w:i/>
          <w:color w:val="000000"/>
          <w:sz w:val="16"/>
          <w:szCs w:val="16"/>
        </w:rPr>
        <w:t>n) Vs. Guatemala</w:t>
      </w:r>
      <w:r>
        <w:rPr>
          <w:rStyle w:val="Strong"/>
          <w:b w:val="0"/>
          <w:i/>
          <w:color w:val="000000"/>
          <w:sz w:val="16"/>
          <w:szCs w:val="16"/>
        </w:rPr>
        <w:t xml:space="preserve">, supra, </w:t>
      </w:r>
      <w:r>
        <w:rPr>
          <w:spacing w:val="-4"/>
          <w:sz w:val="16"/>
          <w:szCs w:val="16"/>
        </w:rPr>
        <w:t>párr. 79.</w:t>
      </w:r>
    </w:p>
  </w:footnote>
  <w:footnote w:id="273">
    <w:p w:rsidR="00B41935" w:rsidRPr="0000173B" w:rsidRDefault="00B41935" w:rsidP="00881DB6">
      <w:pPr>
        <w:tabs>
          <w:tab w:val="left" w:pos="567"/>
        </w:tabs>
        <w:rPr>
          <w:sz w:val="16"/>
          <w:szCs w:val="16"/>
        </w:rPr>
      </w:pPr>
      <w:r w:rsidRPr="00CC214C">
        <w:rPr>
          <w:rStyle w:val="FootnoteReference"/>
        </w:rPr>
        <w:footnoteRef/>
      </w:r>
      <w:r w:rsidRPr="00CC214C">
        <w:rPr>
          <w:sz w:val="16"/>
          <w:szCs w:val="16"/>
        </w:rPr>
        <w:t xml:space="preserve"> </w:t>
      </w:r>
      <w:r w:rsidRPr="00CC214C">
        <w:rPr>
          <w:sz w:val="16"/>
          <w:szCs w:val="16"/>
        </w:rPr>
        <w:tab/>
      </w:r>
      <w:r w:rsidRPr="00CC214C">
        <w:rPr>
          <w:i/>
          <w:iCs/>
          <w:sz w:val="16"/>
          <w:szCs w:val="16"/>
        </w:rPr>
        <w:t>Cfr. Caso Suárez Rosero Vs. Ecuador. Fondo</w:t>
      </w:r>
      <w:r w:rsidRPr="00CC214C">
        <w:rPr>
          <w:sz w:val="16"/>
          <w:szCs w:val="16"/>
        </w:rPr>
        <w:t xml:space="preserve">. Sentencia de 12 de noviembre de 1997. Serie C No. 35, párr. 71, y </w:t>
      </w:r>
      <w:r w:rsidRPr="00552A48">
        <w:rPr>
          <w:bCs/>
          <w:i/>
          <w:spacing w:val="-4"/>
          <w:sz w:val="16"/>
          <w:szCs w:val="16"/>
        </w:rPr>
        <w:t>Caso V</w:t>
      </w:r>
      <w:r>
        <w:rPr>
          <w:bCs/>
          <w:i/>
          <w:spacing w:val="-4"/>
          <w:sz w:val="16"/>
          <w:szCs w:val="16"/>
        </w:rPr>
        <w:t>.</w:t>
      </w:r>
      <w:r w:rsidRPr="00552A48">
        <w:rPr>
          <w:bCs/>
          <w:i/>
          <w:spacing w:val="-4"/>
          <w:sz w:val="16"/>
          <w:szCs w:val="16"/>
        </w:rPr>
        <w:t>R</w:t>
      </w:r>
      <w:r>
        <w:rPr>
          <w:bCs/>
          <w:i/>
          <w:spacing w:val="-4"/>
          <w:sz w:val="16"/>
          <w:szCs w:val="16"/>
        </w:rPr>
        <w:t>.</w:t>
      </w:r>
      <w:r w:rsidRPr="00552A48">
        <w:rPr>
          <w:bCs/>
          <w:i/>
          <w:spacing w:val="-4"/>
          <w:sz w:val="16"/>
          <w:szCs w:val="16"/>
        </w:rPr>
        <w:t>P</w:t>
      </w:r>
      <w:r>
        <w:rPr>
          <w:bCs/>
          <w:i/>
          <w:spacing w:val="-4"/>
          <w:sz w:val="16"/>
          <w:szCs w:val="16"/>
        </w:rPr>
        <w:t xml:space="preserve">., </w:t>
      </w:r>
      <w:r w:rsidRPr="00DD28BE">
        <w:rPr>
          <w:bCs/>
          <w:i/>
          <w:spacing w:val="-4"/>
          <w:sz w:val="16"/>
          <w:szCs w:val="16"/>
        </w:rPr>
        <w:t>V.P.C.</w:t>
      </w:r>
      <w:r w:rsidRPr="00552A48">
        <w:rPr>
          <w:bCs/>
          <w:i/>
          <w:spacing w:val="-4"/>
          <w:sz w:val="16"/>
          <w:szCs w:val="16"/>
        </w:rPr>
        <w:t xml:space="preserve"> Vs. Nicaragua.</w:t>
      </w:r>
      <w:r w:rsidRPr="00552A48">
        <w:rPr>
          <w:bCs/>
          <w:spacing w:val="-4"/>
          <w:sz w:val="16"/>
          <w:szCs w:val="16"/>
        </w:rPr>
        <w:t xml:space="preserve"> </w:t>
      </w:r>
      <w:r w:rsidRPr="00F95D69">
        <w:rPr>
          <w:rStyle w:val="Strong"/>
          <w:b w:val="0"/>
          <w:i/>
          <w:color w:val="000000"/>
          <w:sz w:val="16"/>
          <w:szCs w:val="16"/>
          <w:shd w:val="clear" w:color="auto" w:fill="FFFFFF"/>
        </w:rPr>
        <w:t>Excepciones Preliminares</w:t>
      </w:r>
      <w:r w:rsidRPr="00552A48">
        <w:rPr>
          <w:bCs/>
          <w:spacing w:val="-4"/>
          <w:sz w:val="16"/>
          <w:szCs w:val="16"/>
        </w:rPr>
        <w:t>,</w:t>
      </w:r>
      <w:r>
        <w:rPr>
          <w:bCs/>
          <w:spacing w:val="-4"/>
          <w:sz w:val="16"/>
          <w:szCs w:val="16"/>
        </w:rPr>
        <w:t xml:space="preserve"> </w:t>
      </w:r>
      <w:r w:rsidRPr="001E62BB">
        <w:rPr>
          <w:bCs/>
          <w:i/>
          <w:spacing w:val="-4"/>
          <w:sz w:val="16"/>
          <w:szCs w:val="16"/>
        </w:rPr>
        <w:t>Fondo, Reparaciones y Costas</w:t>
      </w:r>
      <w:r>
        <w:rPr>
          <w:bCs/>
          <w:spacing w:val="-4"/>
          <w:sz w:val="16"/>
          <w:szCs w:val="16"/>
        </w:rPr>
        <w:t xml:space="preserve">, </w:t>
      </w:r>
      <w:r w:rsidRPr="00C1703B">
        <w:rPr>
          <w:bCs/>
          <w:i/>
          <w:spacing w:val="-4"/>
          <w:sz w:val="16"/>
          <w:szCs w:val="16"/>
        </w:rPr>
        <w:t>supra</w:t>
      </w:r>
      <w:r w:rsidRPr="00552A48">
        <w:rPr>
          <w:bCs/>
          <w:spacing w:val="-4"/>
          <w:sz w:val="16"/>
          <w:szCs w:val="16"/>
        </w:rPr>
        <w:t>,</w:t>
      </w:r>
      <w:r w:rsidRPr="00F10686">
        <w:rPr>
          <w:bCs/>
          <w:i/>
          <w:spacing w:val="-4"/>
          <w:sz w:val="16"/>
          <w:szCs w:val="16"/>
        </w:rPr>
        <w:t xml:space="preserve"> </w:t>
      </w:r>
      <w:r w:rsidRPr="0000173B">
        <w:rPr>
          <w:sz w:val="16"/>
          <w:szCs w:val="16"/>
        </w:rPr>
        <w:t>párr. 275.</w:t>
      </w:r>
    </w:p>
  </w:footnote>
  <w:footnote w:id="274">
    <w:p w:rsidR="00B41935" w:rsidRPr="003D07CE" w:rsidRDefault="00B41935" w:rsidP="00881DB6">
      <w:pPr>
        <w:tabs>
          <w:tab w:val="left" w:pos="567"/>
        </w:tabs>
        <w:rPr>
          <w:sz w:val="16"/>
          <w:szCs w:val="16"/>
        </w:rPr>
      </w:pPr>
      <w:r w:rsidRPr="00CC214C">
        <w:rPr>
          <w:rStyle w:val="FootnoteReference"/>
        </w:rPr>
        <w:footnoteRef/>
      </w:r>
      <w:r w:rsidRPr="00CC214C">
        <w:rPr>
          <w:sz w:val="16"/>
          <w:szCs w:val="16"/>
        </w:rPr>
        <w:t xml:space="preserve"> </w:t>
      </w:r>
      <w:r w:rsidRPr="00CC214C">
        <w:rPr>
          <w:sz w:val="16"/>
          <w:szCs w:val="16"/>
        </w:rPr>
        <w:tab/>
      </w:r>
      <w:r w:rsidRPr="00CC214C">
        <w:rPr>
          <w:i/>
          <w:sz w:val="16"/>
          <w:szCs w:val="16"/>
        </w:rPr>
        <w:t>Cfr. Caso Hilaire, Constantine y Benjamin y otros Vs. Trinidad y Tobago. Fondo, Reparaciones y Costas</w:t>
      </w:r>
      <w:r w:rsidRPr="00CC214C">
        <w:rPr>
          <w:iCs/>
          <w:sz w:val="16"/>
          <w:szCs w:val="16"/>
        </w:rPr>
        <w:t>. Sentencia de 21 de junio de 2002. Serie C No. 94</w:t>
      </w:r>
      <w:r w:rsidRPr="00552A48">
        <w:rPr>
          <w:sz w:val="16"/>
          <w:szCs w:val="16"/>
        </w:rPr>
        <w:t xml:space="preserve">, párr. 145, y </w:t>
      </w:r>
      <w:r w:rsidRPr="00552A48">
        <w:rPr>
          <w:bCs/>
          <w:i/>
          <w:spacing w:val="-4"/>
          <w:sz w:val="16"/>
          <w:szCs w:val="16"/>
        </w:rPr>
        <w:t>Caso V</w:t>
      </w:r>
      <w:r>
        <w:rPr>
          <w:bCs/>
          <w:i/>
          <w:spacing w:val="-4"/>
          <w:sz w:val="16"/>
          <w:szCs w:val="16"/>
        </w:rPr>
        <w:t>.</w:t>
      </w:r>
      <w:r w:rsidRPr="00552A48">
        <w:rPr>
          <w:bCs/>
          <w:i/>
          <w:spacing w:val="-4"/>
          <w:sz w:val="16"/>
          <w:szCs w:val="16"/>
        </w:rPr>
        <w:t>R</w:t>
      </w:r>
      <w:r>
        <w:rPr>
          <w:bCs/>
          <w:i/>
          <w:spacing w:val="-4"/>
          <w:sz w:val="16"/>
          <w:szCs w:val="16"/>
        </w:rPr>
        <w:t>.</w:t>
      </w:r>
      <w:r w:rsidRPr="00552A48">
        <w:rPr>
          <w:bCs/>
          <w:i/>
          <w:spacing w:val="-4"/>
          <w:sz w:val="16"/>
          <w:szCs w:val="16"/>
        </w:rPr>
        <w:t>P</w:t>
      </w:r>
      <w:r>
        <w:rPr>
          <w:bCs/>
          <w:i/>
          <w:spacing w:val="-4"/>
          <w:sz w:val="16"/>
          <w:szCs w:val="16"/>
        </w:rPr>
        <w:t xml:space="preserve">., </w:t>
      </w:r>
      <w:r w:rsidRPr="00DD28BE">
        <w:rPr>
          <w:bCs/>
          <w:i/>
          <w:spacing w:val="-4"/>
          <w:sz w:val="16"/>
          <w:szCs w:val="16"/>
        </w:rPr>
        <w:t>V.P.C.</w:t>
      </w:r>
      <w:r>
        <w:rPr>
          <w:bCs/>
          <w:i/>
          <w:spacing w:val="-4"/>
          <w:sz w:val="16"/>
          <w:szCs w:val="16"/>
        </w:rPr>
        <w:t xml:space="preserve"> Vs. Nicaragua, supra</w:t>
      </w:r>
      <w:r w:rsidRPr="00F10686">
        <w:rPr>
          <w:bCs/>
          <w:spacing w:val="-4"/>
          <w:sz w:val="16"/>
          <w:szCs w:val="16"/>
        </w:rPr>
        <w:t>,</w:t>
      </w:r>
      <w:r w:rsidRPr="0000173B">
        <w:rPr>
          <w:bCs/>
          <w:i/>
          <w:spacing w:val="-4"/>
          <w:sz w:val="16"/>
          <w:szCs w:val="16"/>
        </w:rPr>
        <w:t xml:space="preserve"> </w:t>
      </w:r>
      <w:r w:rsidRPr="003D07CE">
        <w:rPr>
          <w:sz w:val="16"/>
          <w:szCs w:val="16"/>
        </w:rPr>
        <w:t>párr. 275.</w:t>
      </w:r>
    </w:p>
  </w:footnote>
  <w:footnote w:id="275">
    <w:p w:rsidR="00B41935" w:rsidRPr="00F10686" w:rsidRDefault="00B41935" w:rsidP="00881DB6">
      <w:pPr>
        <w:pStyle w:val="FootnoteText"/>
        <w:tabs>
          <w:tab w:val="left" w:pos="567"/>
        </w:tabs>
        <w:rPr>
          <w:sz w:val="16"/>
          <w:szCs w:val="16"/>
        </w:rPr>
      </w:pPr>
      <w:r w:rsidRPr="00CC214C">
        <w:rPr>
          <w:rStyle w:val="FootnoteReference"/>
          <w:rFonts w:eastAsia="MS ????"/>
        </w:rPr>
        <w:footnoteRef/>
      </w:r>
      <w:r w:rsidRPr="00CC214C">
        <w:rPr>
          <w:sz w:val="16"/>
          <w:szCs w:val="16"/>
        </w:rPr>
        <w:t xml:space="preserve"> </w:t>
      </w:r>
      <w:r w:rsidRPr="00CC214C">
        <w:rPr>
          <w:sz w:val="16"/>
          <w:szCs w:val="16"/>
        </w:rPr>
        <w:tab/>
      </w:r>
      <w:r w:rsidRPr="00CC214C">
        <w:rPr>
          <w:i/>
          <w:iCs/>
          <w:sz w:val="16"/>
          <w:szCs w:val="16"/>
        </w:rPr>
        <w:t xml:space="preserve">Cfr. Caso </w:t>
      </w:r>
      <w:r w:rsidRPr="00CC214C">
        <w:rPr>
          <w:i/>
          <w:sz w:val="16"/>
          <w:szCs w:val="16"/>
        </w:rPr>
        <w:t>Suárez</w:t>
      </w:r>
      <w:r w:rsidRPr="00CC214C">
        <w:rPr>
          <w:i/>
          <w:iCs/>
          <w:sz w:val="16"/>
          <w:szCs w:val="16"/>
        </w:rPr>
        <w:t xml:space="preserve"> Rosero Vs. Ecuador. Fondo</w:t>
      </w:r>
      <w:r w:rsidRPr="00CC214C">
        <w:rPr>
          <w:sz w:val="16"/>
          <w:szCs w:val="16"/>
        </w:rPr>
        <w:t xml:space="preserve">, </w:t>
      </w:r>
      <w:r w:rsidRPr="00C1703B">
        <w:rPr>
          <w:i/>
          <w:sz w:val="16"/>
          <w:szCs w:val="16"/>
        </w:rPr>
        <w:t>supra</w:t>
      </w:r>
      <w:r>
        <w:rPr>
          <w:sz w:val="16"/>
          <w:szCs w:val="16"/>
        </w:rPr>
        <w:t xml:space="preserve">, </w:t>
      </w:r>
      <w:r w:rsidRPr="00CC214C">
        <w:rPr>
          <w:sz w:val="16"/>
          <w:szCs w:val="16"/>
        </w:rPr>
        <w:t>párr. 71,</w:t>
      </w:r>
      <w:r>
        <w:rPr>
          <w:sz w:val="16"/>
          <w:szCs w:val="16"/>
        </w:rPr>
        <w:t xml:space="preserve"> y </w:t>
      </w:r>
      <w:r w:rsidRPr="00F95D69">
        <w:rPr>
          <w:rStyle w:val="Strong"/>
          <w:b w:val="0"/>
          <w:i/>
          <w:color w:val="000000"/>
          <w:sz w:val="16"/>
          <w:szCs w:val="16"/>
        </w:rPr>
        <w:t>Cas</w:t>
      </w:r>
      <w:r>
        <w:rPr>
          <w:rStyle w:val="Strong"/>
          <w:b w:val="0"/>
          <w:i/>
          <w:color w:val="000000"/>
          <w:sz w:val="16"/>
          <w:szCs w:val="16"/>
        </w:rPr>
        <w:t>o Carvajal Carvajal y Otros</w:t>
      </w:r>
      <w:r w:rsidRPr="00F95D69">
        <w:rPr>
          <w:rStyle w:val="Strong"/>
          <w:b w:val="0"/>
          <w:i/>
          <w:color w:val="000000"/>
          <w:sz w:val="16"/>
          <w:szCs w:val="16"/>
        </w:rPr>
        <w:t xml:space="preserve"> Vs. Colombia</w:t>
      </w:r>
      <w:r w:rsidRPr="00745E2F">
        <w:rPr>
          <w:spacing w:val="-4"/>
          <w:sz w:val="16"/>
          <w:szCs w:val="16"/>
        </w:rPr>
        <w:t>,</w:t>
      </w:r>
      <w:r>
        <w:rPr>
          <w:spacing w:val="-4"/>
          <w:sz w:val="16"/>
          <w:szCs w:val="16"/>
        </w:rPr>
        <w:t xml:space="preserve"> </w:t>
      </w:r>
      <w:r w:rsidRPr="00E8710A">
        <w:rPr>
          <w:i/>
          <w:spacing w:val="-4"/>
          <w:sz w:val="16"/>
          <w:szCs w:val="16"/>
        </w:rPr>
        <w:t>supra</w:t>
      </w:r>
      <w:r>
        <w:rPr>
          <w:spacing w:val="-4"/>
          <w:sz w:val="16"/>
          <w:szCs w:val="16"/>
        </w:rPr>
        <w:t>,</w:t>
      </w:r>
      <w:r w:rsidRPr="00745E2F">
        <w:rPr>
          <w:sz w:val="16"/>
          <w:szCs w:val="16"/>
        </w:rPr>
        <w:t xml:space="preserve"> párr. 1</w:t>
      </w:r>
      <w:r>
        <w:rPr>
          <w:sz w:val="16"/>
          <w:szCs w:val="16"/>
        </w:rPr>
        <w:t>06.</w:t>
      </w:r>
    </w:p>
  </w:footnote>
  <w:footnote w:id="276">
    <w:p w:rsidR="00B41935" w:rsidRPr="00CE6B13" w:rsidRDefault="00B41935" w:rsidP="00881DB6">
      <w:pPr>
        <w:pStyle w:val="FootnoteText"/>
        <w:tabs>
          <w:tab w:val="left" w:pos="567"/>
        </w:tabs>
        <w:rPr>
          <w:sz w:val="16"/>
          <w:szCs w:val="16"/>
        </w:rPr>
      </w:pPr>
      <w:r w:rsidRPr="00CC214C">
        <w:rPr>
          <w:rStyle w:val="FootnoteReference"/>
        </w:rPr>
        <w:footnoteRef/>
      </w:r>
      <w:r w:rsidRPr="00CC214C">
        <w:rPr>
          <w:sz w:val="16"/>
          <w:szCs w:val="16"/>
        </w:rPr>
        <w:t xml:space="preserve"> </w:t>
      </w:r>
      <w:r w:rsidRPr="00CC214C">
        <w:rPr>
          <w:sz w:val="16"/>
          <w:szCs w:val="16"/>
        </w:rPr>
        <w:tab/>
      </w:r>
      <w:r w:rsidRPr="00CC214C">
        <w:rPr>
          <w:i/>
          <w:sz w:val="16"/>
          <w:szCs w:val="16"/>
        </w:rPr>
        <w:t>Cfr.</w:t>
      </w:r>
      <w:r w:rsidRPr="00CC214C">
        <w:rPr>
          <w:sz w:val="16"/>
          <w:szCs w:val="16"/>
        </w:rPr>
        <w:t xml:space="preserve"> </w:t>
      </w:r>
      <w:r w:rsidRPr="00CC214C">
        <w:rPr>
          <w:i/>
          <w:sz w:val="16"/>
          <w:szCs w:val="16"/>
        </w:rPr>
        <w:t xml:space="preserve">Caso de las </w:t>
      </w:r>
      <w:r>
        <w:rPr>
          <w:i/>
          <w:sz w:val="16"/>
          <w:szCs w:val="16"/>
        </w:rPr>
        <w:t>C</w:t>
      </w:r>
      <w:r w:rsidRPr="00CC214C">
        <w:rPr>
          <w:i/>
          <w:sz w:val="16"/>
          <w:szCs w:val="16"/>
        </w:rPr>
        <w:t xml:space="preserve">omunidades </w:t>
      </w:r>
      <w:r>
        <w:rPr>
          <w:i/>
          <w:sz w:val="16"/>
          <w:szCs w:val="16"/>
        </w:rPr>
        <w:t>A</w:t>
      </w:r>
      <w:r w:rsidRPr="00CC214C">
        <w:rPr>
          <w:i/>
          <w:sz w:val="16"/>
          <w:szCs w:val="16"/>
        </w:rPr>
        <w:t xml:space="preserve">frodescendientes desplazadas de la </w:t>
      </w:r>
      <w:r>
        <w:rPr>
          <w:i/>
          <w:sz w:val="16"/>
          <w:szCs w:val="16"/>
        </w:rPr>
        <w:t>C</w:t>
      </w:r>
      <w:r w:rsidRPr="00CC214C">
        <w:rPr>
          <w:i/>
          <w:sz w:val="16"/>
          <w:szCs w:val="16"/>
        </w:rPr>
        <w:t xml:space="preserve">uenca del </w:t>
      </w:r>
      <w:r>
        <w:rPr>
          <w:i/>
          <w:sz w:val="16"/>
          <w:szCs w:val="16"/>
        </w:rPr>
        <w:t>R</w:t>
      </w:r>
      <w:r w:rsidRPr="00CC214C">
        <w:rPr>
          <w:i/>
          <w:sz w:val="16"/>
          <w:szCs w:val="16"/>
        </w:rPr>
        <w:t xml:space="preserve">ío Cacarica (Operación Génesis) Vs. Colombia. Excepciones Preliminares, Fondo, Reparaciones y Costas. </w:t>
      </w:r>
      <w:r w:rsidRPr="00552A48">
        <w:rPr>
          <w:sz w:val="16"/>
          <w:szCs w:val="16"/>
        </w:rPr>
        <w:t>Sentencia de 20 de noviembre de 2013. Serie C No. 270, párr. 403</w:t>
      </w:r>
      <w:r>
        <w:rPr>
          <w:sz w:val="16"/>
          <w:szCs w:val="16"/>
        </w:rPr>
        <w:t>,</w:t>
      </w:r>
      <w:r w:rsidRPr="00552A48">
        <w:rPr>
          <w:sz w:val="16"/>
          <w:szCs w:val="16"/>
        </w:rPr>
        <w:t xml:space="preserve"> y </w:t>
      </w:r>
      <w:r w:rsidRPr="00F95D69">
        <w:rPr>
          <w:rStyle w:val="Strong"/>
          <w:b w:val="0"/>
          <w:i/>
          <w:color w:val="000000"/>
          <w:sz w:val="16"/>
          <w:szCs w:val="16"/>
        </w:rPr>
        <w:t>Cas</w:t>
      </w:r>
      <w:r>
        <w:rPr>
          <w:rStyle w:val="Strong"/>
          <w:b w:val="0"/>
          <w:i/>
          <w:color w:val="000000"/>
          <w:sz w:val="16"/>
          <w:szCs w:val="16"/>
        </w:rPr>
        <w:t>o Carvajal Carvajal y Otros</w:t>
      </w:r>
      <w:r w:rsidRPr="00F95D69">
        <w:rPr>
          <w:rStyle w:val="Strong"/>
          <w:b w:val="0"/>
          <w:i/>
          <w:color w:val="000000"/>
          <w:sz w:val="16"/>
          <w:szCs w:val="16"/>
        </w:rPr>
        <w:t xml:space="preserve"> Vs. Colombia</w:t>
      </w:r>
      <w:r>
        <w:rPr>
          <w:i/>
          <w:spacing w:val="-4"/>
          <w:sz w:val="16"/>
          <w:szCs w:val="16"/>
        </w:rPr>
        <w:t xml:space="preserve">, supra, </w:t>
      </w:r>
      <w:r>
        <w:rPr>
          <w:sz w:val="16"/>
          <w:szCs w:val="16"/>
        </w:rPr>
        <w:t>párr. 106.</w:t>
      </w:r>
    </w:p>
  </w:footnote>
  <w:footnote w:id="277">
    <w:p w:rsidR="00B41935" w:rsidRPr="00E705B2" w:rsidRDefault="00B41935" w:rsidP="00881DB6">
      <w:pPr>
        <w:pStyle w:val="FootnoteText"/>
        <w:rPr>
          <w:i/>
          <w:sz w:val="16"/>
          <w:szCs w:val="16"/>
          <w:highlight w:val="cyan"/>
        </w:rPr>
      </w:pPr>
      <w:r>
        <w:rPr>
          <w:rStyle w:val="FootnoteReference"/>
        </w:rPr>
        <w:footnoteRef/>
      </w:r>
      <w:r>
        <w:t xml:space="preserve">   </w:t>
      </w:r>
      <w:r>
        <w:tab/>
      </w:r>
      <w:r w:rsidRPr="009F394A">
        <w:rPr>
          <w:sz w:val="16"/>
          <w:szCs w:val="16"/>
        </w:rPr>
        <w:t xml:space="preserve">Posteriormente, </w:t>
      </w:r>
      <w:r w:rsidRPr="009F394A">
        <w:rPr>
          <w:sz w:val="16"/>
          <w:szCs w:val="16"/>
          <w:lang w:val="es-CR"/>
        </w:rPr>
        <w:t xml:space="preserve">el 26 de octubre de 1992 su madre interpuso un </w:t>
      </w:r>
      <w:r>
        <w:rPr>
          <w:sz w:val="16"/>
          <w:szCs w:val="16"/>
          <w:lang w:val="es-CR"/>
        </w:rPr>
        <w:t>r</w:t>
      </w:r>
      <w:r w:rsidRPr="009F394A">
        <w:rPr>
          <w:sz w:val="16"/>
          <w:szCs w:val="16"/>
          <w:lang w:val="es-CR"/>
        </w:rPr>
        <w:t>ecurso de hábeas corpus ante el Juzgado Penal de Turno de Huancayo (</w:t>
      </w:r>
      <w:r w:rsidRPr="009F394A">
        <w:rPr>
          <w:i/>
          <w:sz w:val="16"/>
          <w:szCs w:val="16"/>
          <w:lang w:val="es-CR"/>
        </w:rPr>
        <w:t>supra</w:t>
      </w:r>
      <w:r w:rsidRPr="009F394A">
        <w:rPr>
          <w:sz w:val="16"/>
          <w:szCs w:val="16"/>
          <w:lang w:val="es-CR"/>
        </w:rPr>
        <w:t xml:space="preserve"> párr. </w:t>
      </w:r>
      <w:r>
        <w:rPr>
          <w:sz w:val="16"/>
          <w:szCs w:val="16"/>
          <w:lang w:val="es-CR"/>
        </w:rPr>
        <w:t>87</w:t>
      </w:r>
      <w:r w:rsidRPr="009F394A">
        <w:rPr>
          <w:sz w:val="16"/>
          <w:szCs w:val="16"/>
          <w:lang w:val="es-CR"/>
        </w:rPr>
        <w:t>).</w:t>
      </w:r>
    </w:p>
  </w:footnote>
  <w:footnote w:id="278">
    <w:p w:rsidR="00B41935" w:rsidRPr="00204490" w:rsidRDefault="00B41935" w:rsidP="00881DB6">
      <w:pPr>
        <w:pStyle w:val="FootnoteText"/>
      </w:pPr>
      <w:r>
        <w:rPr>
          <w:rStyle w:val="FootnoteReference"/>
        </w:rPr>
        <w:footnoteRef/>
      </w:r>
      <w:r>
        <w:t xml:space="preserve"> </w:t>
      </w:r>
      <w:r>
        <w:tab/>
      </w:r>
      <w:r w:rsidRPr="00F5405C">
        <w:rPr>
          <w:sz w:val="16"/>
          <w:szCs w:val="16"/>
        </w:rPr>
        <w:t>Si bien el Estado tomó conocimiento judicialmente de los hechos respecto a la señora Díaz Aparicio a través de un hábeas corpus interpuesto por su hermano, cabe señalar que en vista de la petición presentada ante la Comisión Interamericana y comunicada al Estado el 2 de septiembre de 1992, Perú desde el año 1992 realizó diversas diligencias relacionadas con su desaparición.</w:t>
      </w:r>
    </w:p>
  </w:footnote>
  <w:footnote w:id="279">
    <w:p w:rsidR="00B41935" w:rsidRPr="00257982" w:rsidRDefault="00B41935" w:rsidP="00881DB6">
      <w:pPr>
        <w:pStyle w:val="FootnoteText"/>
        <w:rPr>
          <w:sz w:val="16"/>
          <w:szCs w:val="16"/>
        </w:rPr>
      </w:pPr>
      <w:r w:rsidRPr="00CC214C">
        <w:rPr>
          <w:rStyle w:val="FootnoteReference"/>
        </w:rPr>
        <w:footnoteRef/>
      </w:r>
      <w:r w:rsidRPr="00257982">
        <w:rPr>
          <w:sz w:val="16"/>
          <w:szCs w:val="16"/>
        </w:rPr>
        <w:t xml:space="preserve"> </w:t>
      </w:r>
      <w:r w:rsidRPr="00257982">
        <w:rPr>
          <w:sz w:val="16"/>
          <w:szCs w:val="16"/>
        </w:rPr>
        <w:tab/>
      </w:r>
      <w:r w:rsidRPr="00CC214C">
        <w:rPr>
          <w:sz w:val="16"/>
          <w:szCs w:val="16"/>
        </w:rPr>
        <w:t>El mismo implicaría, a efectos de determinar si hubo raz</w:t>
      </w:r>
      <w:r>
        <w:rPr>
          <w:sz w:val="16"/>
          <w:szCs w:val="16"/>
        </w:rPr>
        <w:t>onabilidad en el tiempo transcurrido</w:t>
      </w:r>
      <w:r w:rsidRPr="00CC214C">
        <w:rPr>
          <w:sz w:val="16"/>
          <w:szCs w:val="16"/>
        </w:rPr>
        <w:t xml:space="preserve"> por las actuaciones, examinar en forma detenida distintos elementos del caso: a) complejidad del asunto; b) acti</w:t>
      </w:r>
      <w:r w:rsidRPr="00552A48">
        <w:rPr>
          <w:sz w:val="16"/>
          <w:szCs w:val="16"/>
        </w:rPr>
        <w:t>vidad procesal del interesado; c) conducta de las autoridades judiciales, y d) la afectación generada en la situación jurídica de la per</w:t>
      </w:r>
      <w:r>
        <w:rPr>
          <w:sz w:val="16"/>
          <w:szCs w:val="16"/>
        </w:rPr>
        <w:t xml:space="preserve">sona involucrada en el proceso. </w:t>
      </w:r>
      <w:r w:rsidRPr="00552A48">
        <w:rPr>
          <w:i/>
          <w:sz w:val="16"/>
          <w:szCs w:val="16"/>
          <w:lang w:val="es-ES"/>
        </w:rPr>
        <w:t xml:space="preserve">Cfr. </w:t>
      </w:r>
      <w:r w:rsidRPr="00F10686">
        <w:rPr>
          <w:i/>
          <w:sz w:val="16"/>
          <w:szCs w:val="16"/>
        </w:rPr>
        <w:t>Caso Valle Jaramillo y o</w:t>
      </w:r>
      <w:r w:rsidRPr="0000173B">
        <w:rPr>
          <w:i/>
          <w:sz w:val="16"/>
          <w:szCs w:val="16"/>
        </w:rPr>
        <w:t xml:space="preserve">tros Vs. Colombia. Fondo, Reparaciones y Costas. </w:t>
      </w:r>
      <w:r w:rsidRPr="003D07CE">
        <w:rPr>
          <w:sz w:val="16"/>
          <w:szCs w:val="16"/>
        </w:rPr>
        <w:t>Sentencia de 27 de noviembre de 2008. Serie C No. 192, párr. 155, y</w:t>
      </w:r>
      <w:r w:rsidRPr="00BF5357">
        <w:rPr>
          <w:rStyle w:val="Strong"/>
          <w:b w:val="0"/>
          <w:i/>
          <w:color w:val="000000"/>
          <w:sz w:val="16"/>
          <w:szCs w:val="16"/>
          <w:shd w:val="clear" w:color="auto" w:fill="FFFFFF"/>
        </w:rPr>
        <w:t xml:space="preserve"> </w:t>
      </w:r>
      <w:r w:rsidRPr="00FF20D9">
        <w:rPr>
          <w:rStyle w:val="Strong"/>
          <w:b w:val="0"/>
          <w:i/>
          <w:color w:val="000000"/>
          <w:sz w:val="16"/>
          <w:szCs w:val="16"/>
          <w:shd w:val="clear" w:color="auto" w:fill="FFFFFF"/>
        </w:rPr>
        <w:t>Caso Favela Nova Brasília Vs. Brasil</w:t>
      </w:r>
      <w:r w:rsidRPr="00FF20D9">
        <w:rPr>
          <w:rStyle w:val="Strong"/>
          <w:b w:val="0"/>
          <w:color w:val="000000"/>
          <w:sz w:val="16"/>
          <w:szCs w:val="16"/>
          <w:shd w:val="clear" w:color="auto" w:fill="FFFFFF"/>
        </w:rPr>
        <w:t xml:space="preserve">. </w:t>
      </w:r>
      <w:r w:rsidRPr="00FF20D9">
        <w:rPr>
          <w:rStyle w:val="Strong"/>
          <w:b w:val="0"/>
          <w:i/>
          <w:color w:val="000000"/>
          <w:sz w:val="16"/>
          <w:szCs w:val="16"/>
          <w:shd w:val="clear" w:color="auto" w:fill="FFFFFF"/>
        </w:rPr>
        <w:t>Excepciones Preliminares, Fondo, Reparaciones y Costas.</w:t>
      </w:r>
      <w:r w:rsidRPr="00B2179C">
        <w:rPr>
          <w:rStyle w:val="Strong"/>
          <w:b w:val="0"/>
          <w:color w:val="000000"/>
          <w:sz w:val="16"/>
          <w:szCs w:val="16"/>
          <w:shd w:val="clear" w:color="auto" w:fill="FFFFFF"/>
        </w:rPr>
        <w:t xml:space="preserve"> Sentencia de 16 de febrero de 2017. Serie C No. 333.</w:t>
      </w:r>
      <w:r w:rsidRPr="00FF20D9">
        <w:rPr>
          <w:rStyle w:val="Strong"/>
          <w:b w:val="0"/>
          <w:color w:val="000000"/>
          <w:sz w:val="16"/>
          <w:szCs w:val="16"/>
          <w:shd w:val="clear" w:color="auto" w:fill="FFFFFF"/>
        </w:rPr>
        <w:t xml:space="preserve"> párr. 218</w:t>
      </w:r>
      <w:r>
        <w:rPr>
          <w:rStyle w:val="Strong"/>
          <w:b w:val="0"/>
          <w:color w:val="000000"/>
          <w:sz w:val="16"/>
          <w:szCs w:val="16"/>
          <w:shd w:val="clear" w:color="auto" w:fill="FFFFFF"/>
        </w:rPr>
        <w:t>.</w:t>
      </w:r>
    </w:p>
  </w:footnote>
  <w:footnote w:id="280">
    <w:p w:rsidR="00B41935" w:rsidRPr="00552A48" w:rsidRDefault="00B41935" w:rsidP="00881DB6">
      <w:pPr>
        <w:pStyle w:val="FootnoteText"/>
        <w:rPr>
          <w:rFonts w:eastAsia="Times New Roman" w:cs="Verdana"/>
          <w:b/>
          <w:sz w:val="16"/>
          <w:szCs w:val="16"/>
          <w:lang w:val="es-ES"/>
        </w:rPr>
      </w:pPr>
      <w:r w:rsidRPr="00CC214C">
        <w:rPr>
          <w:rStyle w:val="FootnoteReference"/>
          <w:rFonts w:eastAsia="Times"/>
        </w:rPr>
        <w:footnoteRef/>
      </w:r>
      <w:r w:rsidRPr="00CC214C">
        <w:rPr>
          <w:sz w:val="16"/>
          <w:szCs w:val="16"/>
        </w:rPr>
        <w:t xml:space="preserve"> </w:t>
      </w:r>
      <w:r w:rsidRPr="00CC214C">
        <w:rPr>
          <w:sz w:val="16"/>
          <w:szCs w:val="16"/>
        </w:rPr>
        <w:tab/>
      </w:r>
      <w:r w:rsidRPr="00CC214C">
        <w:rPr>
          <w:i/>
          <w:sz w:val="16"/>
          <w:szCs w:val="16"/>
        </w:rPr>
        <w:t>Cfr.</w:t>
      </w:r>
      <w:r w:rsidRPr="00CC214C">
        <w:rPr>
          <w:bCs/>
          <w:sz w:val="16"/>
          <w:szCs w:val="16"/>
        </w:rPr>
        <w:t xml:space="preserve"> </w:t>
      </w:r>
      <w:r w:rsidRPr="00CC214C">
        <w:rPr>
          <w:bCs/>
          <w:i/>
          <w:color w:val="000000"/>
          <w:sz w:val="16"/>
          <w:szCs w:val="16"/>
        </w:rPr>
        <w:t>Caso Hilaire, Constantine y Benjamin y otros Vs. Trinidad y Tobago,</w:t>
      </w:r>
      <w:r>
        <w:rPr>
          <w:bCs/>
          <w:i/>
          <w:color w:val="000000"/>
          <w:sz w:val="16"/>
          <w:szCs w:val="16"/>
        </w:rPr>
        <w:t xml:space="preserve"> supra,</w:t>
      </w:r>
      <w:r w:rsidRPr="00CC214C">
        <w:rPr>
          <w:bCs/>
          <w:i/>
          <w:color w:val="000000"/>
          <w:sz w:val="16"/>
          <w:szCs w:val="16"/>
        </w:rPr>
        <w:t xml:space="preserve"> </w:t>
      </w:r>
      <w:r w:rsidRPr="00CC214C">
        <w:rPr>
          <w:sz w:val="16"/>
          <w:szCs w:val="16"/>
        </w:rPr>
        <w:t xml:space="preserve">párr. 145, y </w:t>
      </w:r>
      <w:r w:rsidRPr="001E62BB">
        <w:rPr>
          <w:rStyle w:val="Strong"/>
          <w:b w:val="0"/>
          <w:i/>
          <w:sz w:val="16"/>
          <w:szCs w:val="16"/>
        </w:rPr>
        <w:t>Ca</w:t>
      </w:r>
      <w:r w:rsidRPr="00F95D69">
        <w:rPr>
          <w:rStyle w:val="Strong"/>
          <w:b w:val="0"/>
          <w:i/>
          <w:sz w:val="16"/>
          <w:szCs w:val="16"/>
        </w:rPr>
        <w:t>so Gudiel Álvarez y otros ("Diario Militar") Vs. Guatemala. Fondo Reparaciones y Costas</w:t>
      </w:r>
      <w:r w:rsidRPr="00F95D69">
        <w:rPr>
          <w:rStyle w:val="Strong"/>
          <w:b w:val="0"/>
          <w:sz w:val="16"/>
          <w:szCs w:val="16"/>
        </w:rPr>
        <w:t>. Sentencia de 20 noviembre de 2012. Serie C No. 253, párr. 261.</w:t>
      </w:r>
      <w:r w:rsidRPr="00F95D69">
        <w:rPr>
          <w:b/>
          <w:sz w:val="16"/>
          <w:szCs w:val="16"/>
        </w:rPr>
        <w:t xml:space="preserve"> </w:t>
      </w:r>
    </w:p>
  </w:footnote>
  <w:footnote w:id="281">
    <w:p w:rsidR="00B41935" w:rsidRPr="00552A48" w:rsidRDefault="00B41935" w:rsidP="00881DB6">
      <w:pPr>
        <w:tabs>
          <w:tab w:val="left" w:pos="426"/>
          <w:tab w:val="left" w:pos="567"/>
        </w:tabs>
        <w:autoSpaceDE w:val="0"/>
        <w:autoSpaceDN w:val="0"/>
        <w:adjustRightInd w:val="0"/>
        <w:rPr>
          <w:b/>
          <w:bCs/>
          <w:color w:val="000000"/>
          <w:sz w:val="16"/>
          <w:szCs w:val="16"/>
          <w:shd w:val="clear" w:color="auto" w:fill="FFFFFF"/>
        </w:rPr>
      </w:pPr>
      <w:r w:rsidRPr="00CC214C">
        <w:rPr>
          <w:rStyle w:val="FootnoteReference"/>
        </w:rPr>
        <w:footnoteRef/>
      </w:r>
      <w:r w:rsidRPr="00CC214C">
        <w:rPr>
          <w:sz w:val="16"/>
          <w:szCs w:val="16"/>
        </w:rPr>
        <w:t xml:space="preserve"> </w:t>
      </w:r>
      <w:r w:rsidRPr="00CC214C">
        <w:rPr>
          <w:sz w:val="16"/>
          <w:szCs w:val="16"/>
        </w:rPr>
        <w:tab/>
      </w:r>
      <w:r w:rsidRPr="00CC214C">
        <w:rPr>
          <w:i/>
          <w:iCs/>
          <w:sz w:val="16"/>
          <w:szCs w:val="16"/>
        </w:rPr>
        <w:t xml:space="preserve">Cfr. </w:t>
      </w:r>
      <w:r w:rsidRPr="00CC214C">
        <w:rPr>
          <w:i/>
          <w:sz w:val="16"/>
          <w:szCs w:val="16"/>
        </w:rPr>
        <w:t>Caso Anzualdo Castro Vs. Perú</w:t>
      </w:r>
      <w:r>
        <w:rPr>
          <w:i/>
          <w:sz w:val="16"/>
          <w:szCs w:val="16"/>
          <w:lang w:val="es-ES"/>
        </w:rPr>
        <w:t xml:space="preserve">, supra, </w:t>
      </w:r>
      <w:r w:rsidRPr="00CC214C">
        <w:rPr>
          <w:sz w:val="16"/>
          <w:szCs w:val="16"/>
        </w:rPr>
        <w:t>párr. 65, y</w:t>
      </w:r>
      <w:r w:rsidRPr="00CC214C">
        <w:rPr>
          <w:b/>
          <w:sz w:val="16"/>
          <w:szCs w:val="16"/>
        </w:rPr>
        <w:t xml:space="preserve"> </w:t>
      </w:r>
      <w:r w:rsidRPr="00F95D69">
        <w:rPr>
          <w:rStyle w:val="Strong"/>
          <w:b w:val="0"/>
          <w:i/>
          <w:color w:val="000000"/>
          <w:sz w:val="16"/>
          <w:szCs w:val="16"/>
          <w:shd w:val="clear" w:color="auto" w:fill="FFFFFF"/>
        </w:rPr>
        <w:t>Caso</w:t>
      </w:r>
      <w:r>
        <w:rPr>
          <w:rStyle w:val="Strong"/>
          <w:b w:val="0"/>
          <w:i/>
          <w:color w:val="000000"/>
          <w:sz w:val="16"/>
          <w:szCs w:val="16"/>
          <w:shd w:val="clear" w:color="auto" w:fill="FFFFFF"/>
        </w:rPr>
        <w:t xml:space="preserve"> Mun</w:t>
      </w:r>
      <w:r w:rsidRPr="00296E08">
        <w:rPr>
          <w:bCs/>
          <w:i/>
          <w:color w:val="000000"/>
          <w:sz w:val="16"/>
          <w:szCs w:val="16"/>
          <w:shd w:val="clear" w:color="auto" w:fill="FFFFFF"/>
        </w:rPr>
        <w:t>á</w:t>
      </w:r>
      <w:r>
        <w:rPr>
          <w:rStyle w:val="Strong"/>
          <w:b w:val="0"/>
          <w:i/>
          <w:color w:val="000000"/>
          <w:sz w:val="16"/>
          <w:szCs w:val="16"/>
          <w:shd w:val="clear" w:color="auto" w:fill="FFFFFF"/>
        </w:rPr>
        <w:t>rriz Escobar y Otros Vs. Perú</w:t>
      </w:r>
      <w:r>
        <w:rPr>
          <w:i/>
          <w:color w:val="000000"/>
          <w:spacing w:val="-4"/>
          <w:sz w:val="16"/>
          <w:szCs w:val="16"/>
        </w:rPr>
        <w:t xml:space="preserve">, </w:t>
      </w:r>
      <w:r w:rsidRPr="003A5FAB">
        <w:rPr>
          <w:i/>
          <w:color w:val="000000"/>
          <w:spacing w:val="-4"/>
          <w:sz w:val="16"/>
          <w:szCs w:val="16"/>
        </w:rPr>
        <w:t>supra</w:t>
      </w:r>
      <w:r w:rsidRPr="00F95D69">
        <w:rPr>
          <w:rStyle w:val="Strong"/>
          <w:b w:val="0"/>
          <w:color w:val="000000"/>
          <w:sz w:val="16"/>
          <w:szCs w:val="16"/>
          <w:shd w:val="clear" w:color="auto" w:fill="FFFFFF"/>
        </w:rPr>
        <w:t xml:space="preserve">, párr. </w:t>
      </w:r>
      <w:r>
        <w:rPr>
          <w:rStyle w:val="Strong"/>
          <w:b w:val="0"/>
          <w:color w:val="000000"/>
          <w:sz w:val="16"/>
          <w:szCs w:val="16"/>
          <w:shd w:val="clear" w:color="auto" w:fill="FFFFFF"/>
        </w:rPr>
        <w:t>95</w:t>
      </w:r>
      <w:r w:rsidRPr="00F95D69">
        <w:rPr>
          <w:rStyle w:val="Strong"/>
          <w:b w:val="0"/>
          <w:color w:val="000000"/>
          <w:sz w:val="16"/>
          <w:szCs w:val="16"/>
          <w:shd w:val="clear" w:color="auto" w:fill="FFFFFF"/>
        </w:rPr>
        <w:t>.</w:t>
      </w:r>
    </w:p>
  </w:footnote>
  <w:footnote w:id="282">
    <w:p w:rsidR="00B41935" w:rsidRPr="00552A48" w:rsidRDefault="00B41935" w:rsidP="00881DB6">
      <w:pPr>
        <w:tabs>
          <w:tab w:val="left" w:pos="426"/>
          <w:tab w:val="left" w:pos="567"/>
        </w:tabs>
        <w:autoSpaceDE w:val="0"/>
        <w:autoSpaceDN w:val="0"/>
        <w:adjustRightInd w:val="0"/>
        <w:rPr>
          <w:b/>
          <w:bCs/>
          <w:color w:val="000000"/>
          <w:sz w:val="16"/>
          <w:szCs w:val="16"/>
          <w:shd w:val="clear" w:color="auto" w:fill="FFFFFF"/>
        </w:rPr>
      </w:pPr>
      <w:r w:rsidRPr="00CC214C">
        <w:rPr>
          <w:rStyle w:val="FootnoteReference"/>
        </w:rPr>
        <w:footnoteRef/>
      </w:r>
      <w:r w:rsidRPr="00CC214C">
        <w:rPr>
          <w:sz w:val="16"/>
          <w:szCs w:val="16"/>
        </w:rPr>
        <w:t xml:space="preserve"> </w:t>
      </w:r>
      <w:r w:rsidRPr="00CC214C">
        <w:rPr>
          <w:sz w:val="16"/>
          <w:szCs w:val="16"/>
        </w:rPr>
        <w:tab/>
      </w:r>
      <w:r w:rsidRPr="00CC214C">
        <w:rPr>
          <w:i/>
          <w:sz w:val="16"/>
          <w:szCs w:val="16"/>
        </w:rPr>
        <w:t>Cfr.</w:t>
      </w:r>
      <w:r w:rsidRPr="00CC214C">
        <w:rPr>
          <w:sz w:val="16"/>
          <w:szCs w:val="16"/>
        </w:rPr>
        <w:t xml:space="preserve"> </w:t>
      </w:r>
      <w:r w:rsidRPr="00CC214C">
        <w:rPr>
          <w:i/>
          <w:sz w:val="16"/>
          <w:szCs w:val="16"/>
        </w:rPr>
        <w:t>Caso Velásquez Rodríguez Vs. Honduras</w:t>
      </w:r>
      <w:r>
        <w:rPr>
          <w:i/>
          <w:sz w:val="16"/>
          <w:szCs w:val="16"/>
          <w:lang w:val="es-AR"/>
        </w:rPr>
        <w:t>. Fondo</w:t>
      </w:r>
      <w:r>
        <w:rPr>
          <w:sz w:val="16"/>
          <w:szCs w:val="16"/>
          <w:lang w:val="es-AR"/>
        </w:rPr>
        <w:t>,</w:t>
      </w:r>
      <w:r>
        <w:rPr>
          <w:i/>
          <w:sz w:val="16"/>
          <w:szCs w:val="16"/>
        </w:rPr>
        <w:t xml:space="preserve"> </w:t>
      </w:r>
      <w:r w:rsidRPr="003A5FAB">
        <w:rPr>
          <w:i/>
          <w:sz w:val="16"/>
          <w:szCs w:val="16"/>
          <w:lang w:val="pt-BR"/>
        </w:rPr>
        <w:t>supra</w:t>
      </w:r>
      <w:r>
        <w:rPr>
          <w:i/>
          <w:sz w:val="16"/>
          <w:szCs w:val="16"/>
          <w:lang w:val="es-ES"/>
        </w:rPr>
        <w:t xml:space="preserve">, </w:t>
      </w:r>
      <w:r w:rsidRPr="00CC214C">
        <w:rPr>
          <w:sz w:val="16"/>
          <w:szCs w:val="16"/>
        </w:rPr>
        <w:t xml:space="preserve">párr. 177, y </w:t>
      </w:r>
      <w:r w:rsidRPr="00F95D69">
        <w:rPr>
          <w:rStyle w:val="Strong"/>
          <w:b w:val="0"/>
          <w:i/>
          <w:color w:val="000000"/>
          <w:sz w:val="16"/>
          <w:szCs w:val="16"/>
          <w:shd w:val="clear" w:color="auto" w:fill="FFFFFF"/>
        </w:rPr>
        <w:t>Caso</w:t>
      </w:r>
      <w:r>
        <w:rPr>
          <w:rStyle w:val="Strong"/>
          <w:b w:val="0"/>
          <w:i/>
          <w:color w:val="000000"/>
          <w:sz w:val="16"/>
          <w:szCs w:val="16"/>
          <w:shd w:val="clear" w:color="auto" w:fill="FFFFFF"/>
        </w:rPr>
        <w:t xml:space="preserve"> Mun</w:t>
      </w:r>
      <w:r w:rsidRPr="00296E08">
        <w:rPr>
          <w:bCs/>
          <w:i/>
          <w:color w:val="000000"/>
          <w:sz w:val="16"/>
          <w:szCs w:val="16"/>
          <w:shd w:val="clear" w:color="auto" w:fill="FFFFFF"/>
        </w:rPr>
        <w:t>á</w:t>
      </w:r>
      <w:r>
        <w:rPr>
          <w:rStyle w:val="Strong"/>
          <w:b w:val="0"/>
          <w:i/>
          <w:color w:val="000000"/>
          <w:sz w:val="16"/>
          <w:szCs w:val="16"/>
          <w:shd w:val="clear" w:color="auto" w:fill="FFFFFF"/>
        </w:rPr>
        <w:t>rriz Escobar y Otros Vs. Perú</w:t>
      </w:r>
      <w:r>
        <w:rPr>
          <w:i/>
          <w:color w:val="000000"/>
          <w:spacing w:val="-4"/>
          <w:sz w:val="16"/>
          <w:szCs w:val="16"/>
        </w:rPr>
        <w:t xml:space="preserve">, </w:t>
      </w:r>
      <w:r w:rsidRPr="003A5FAB">
        <w:rPr>
          <w:i/>
          <w:color w:val="000000"/>
          <w:spacing w:val="-4"/>
          <w:sz w:val="16"/>
          <w:szCs w:val="16"/>
        </w:rPr>
        <w:t>supra</w:t>
      </w:r>
      <w:r w:rsidRPr="00F95D69">
        <w:rPr>
          <w:rStyle w:val="Strong"/>
          <w:b w:val="0"/>
          <w:color w:val="000000"/>
          <w:sz w:val="16"/>
          <w:szCs w:val="16"/>
          <w:shd w:val="clear" w:color="auto" w:fill="FFFFFF"/>
        </w:rPr>
        <w:t xml:space="preserve">, párr. </w:t>
      </w:r>
      <w:r>
        <w:rPr>
          <w:rStyle w:val="Strong"/>
          <w:b w:val="0"/>
          <w:color w:val="000000"/>
          <w:sz w:val="16"/>
          <w:szCs w:val="16"/>
          <w:shd w:val="clear" w:color="auto" w:fill="FFFFFF"/>
        </w:rPr>
        <w:t xml:space="preserve">95. </w:t>
      </w:r>
    </w:p>
  </w:footnote>
  <w:footnote w:id="283">
    <w:p w:rsidR="00B41935" w:rsidRPr="00552A48" w:rsidRDefault="00B41935" w:rsidP="00881DB6">
      <w:pPr>
        <w:tabs>
          <w:tab w:val="left" w:pos="426"/>
          <w:tab w:val="left" w:pos="567"/>
        </w:tabs>
        <w:autoSpaceDE w:val="0"/>
        <w:autoSpaceDN w:val="0"/>
        <w:adjustRightInd w:val="0"/>
        <w:rPr>
          <w:b/>
          <w:bCs/>
          <w:color w:val="000000"/>
          <w:sz w:val="16"/>
          <w:szCs w:val="16"/>
          <w:shd w:val="clear" w:color="auto" w:fill="FFFFFF"/>
        </w:rPr>
      </w:pPr>
      <w:r w:rsidRPr="00CC214C">
        <w:rPr>
          <w:rStyle w:val="FootnoteReference"/>
        </w:rPr>
        <w:footnoteRef/>
      </w:r>
      <w:r w:rsidRPr="00CC214C">
        <w:rPr>
          <w:sz w:val="16"/>
          <w:szCs w:val="16"/>
        </w:rPr>
        <w:t xml:space="preserve"> </w:t>
      </w:r>
      <w:r w:rsidRPr="00CC214C">
        <w:rPr>
          <w:sz w:val="16"/>
          <w:szCs w:val="16"/>
          <w:lang w:val="es-CL"/>
        </w:rPr>
        <w:tab/>
      </w:r>
      <w:r w:rsidRPr="00CC214C">
        <w:rPr>
          <w:i/>
          <w:sz w:val="16"/>
          <w:szCs w:val="16"/>
          <w:lang w:val="es-CL"/>
        </w:rPr>
        <w:t xml:space="preserve">Cfr. </w:t>
      </w:r>
      <w:r w:rsidRPr="00CC214C">
        <w:rPr>
          <w:i/>
          <w:sz w:val="16"/>
          <w:szCs w:val="16"/>
        </w:rPr>
        <w:t>Caso Anzualdo Castro Vs. Perú</w:t>
      </w:r>
      <w:r>
        <w:rPr>
          <w:i/>
          <w:sz w:val="16"/>
          <w:szCs w:val="16"/>
          <w:lang w:val="es-ES"/>
        </w:rPr>
        <w:t>,</w:t>
      </w:r>
      <w:r w:rsidRPr="00CC214C">
        <w:rPr>
          <w:sz w:val="16"/>
          <w:szCs w:val="16"/>
        </w:rPr>
        <w:t xml:space="preserve"> </w:t>
      </w:r>
      <w:r w:rsidRPr="00E8710A">
        <w:rPr>
          <w:i/>
          <w:sz w:val="16"/>
          <w:szCs w:val="16"/>
        </w:rPr>
        <w:t>supra</w:t>
      </w:r>
      <w:r>
        <w:rPr>
          <w:sz w:val="16"/>
          <w:szCs w:val="16"/>
        </w:rPr>
        <w:t xml:space="preserve">, </w:t>
      </w:r>
      <w:r w:rsidRPr="00CC214C">
        <w:rPr>
          <w:sz w:val="16"/>
          <w:szCs w:val="16"/>
        </w:rPr>
        <w:t>párr. 65, y</w:t>
      </w:r>
      <w:r w:rsidRPr="00552A48">
        <w:rPr>
          <w:bCs/>
          <w:sz w:val="16"/>
          <w:szCs w:val="16"/>
          <w:lang w:val="es-ES_tradnl"/>
        </w:rPr>
        <w:t xml:space="preserve"> </w:t>
      </w:r>
      <w:r w:rsidRPr="00F95D69">
        <w:rPr>
          <w:rStyle w:val="Strong"/>
          <w:b w:val="0"/>
          <w:i/>
          <w:color w:val="000000"/>
          <w:sz w:val="16"/>
          <w:szCs w:val="16"/>
          <w:shd w:val="clear" w:color="auto" w:fill="FFFFFF"/>
        </w:rPr>
        <w:t>Caso</w:t>
      </w:r>
      <w:r>
        <w:rPr>
          <w:rStyle w:val="Strong"/>
          <w:b w:val="0"/>
          <w:i/>
          <w:color w:val="000000"/>
          <w:sz w:val="16"/>
          <w:szCs w:val="16"/>
          <w:shd w:val="clear" w:color="auto" w:fill="FFFFFF"/>
        </w:rPr>
        <w:t xml:space="preserve"> Mun</w:t>
      </w:r>
      <w:r w:rsidRPr="00296E08">
        <w:rPr>
          <w:bCs/>
          <w:i/>
          <w:color w:val="000000"/>
          <w:sz w:val="16"/>
          <w:szCs w:val="16"/>
          <w:shd w:val="clear" w:color="auto" w:fill="FFFFFF"/>
        </w:rPr>
        <w:t>á</w:t>
      </w:r>
      <w:r>
        <w:rPr>
          <w:rStyle w:val="Strong"/>
          <w:b w:val="0"/>
          <w:i/>
          <w:color w:val="000000"/>
          <w:sz w:val="16"/>
          <w:szCs w:val="16"/>
          <w:shd w:val="clear" w:color="auto" w:fill="FFFFFF"/>
        </w:rPr>
        <w:t>rriz Escobar y Otros Vs. Perú</w:t>
      </w:r>
      <w:r>
        <w:rPr>
          <w:i/>
          <w:color w:val="000000"/>
          <w:spacing w:val="-4"/>
          <w:sz w:val="16"/>
          <w:szCs w:val="16"/>
        </w:rPr>
        <w:t xml:space="preserve">, </w:t>
      </w:r>
      <w:r w:rsidRPr="003A5FAB">
        <w:rPr>
          <w:i/>
          <w:color w:val="000000"/>
          <w:spacing w:val="-4"/>
          <w:sz w:val="16"/>
          <w:szCs w:val="16"/>
        </w:rPr>
        <w:t>supra</w:t>
      </w:r>
      <w:r>
        <w:rPr>
          <w:i/>
          <w:color w:val="000000"/>
          <w:spacing w:val="-4"/>
          <w:sz w:val="16"/>
          <w:szCs w:val="16"/>
        </w:rPr>
        <w:t xml:space="preserve">, </w:t>
      </w:r>
      <w:r w:rsidRPr="00F95D69">
        <w:rPr>
          <w:rStyle w:val="Strong"/>
          <w:b w:val="0"/>
          <w:color w:val="000000"/>
          <w:sz w:val="16"/>
          <w:szCs w:val="16"/>
          <w:shd w:val="clear" w:color="auto" w:fill="FFFFFF"/>
        </w:rPr>
        <w:t xml:space="preserve">párr. </w:t>
      </w:r>
      <w:r>
        <w:rPr>
          <w:rStyle w:val="Strong"/>
          <w:b w:val="0"/>
          <w:color w:val="000000"/>
          <w:sz w:val="16"/>
          <w:szCs w:val="16"/>
          <w:shd w:val="clear" w:color="auto" w:fill="FFFFFF"/>
        </w:rPr>
        <w:t>95.</w:t>
      </w:r>
    </w:p>
  </w:footnote>
  <w:footnote w:id="284">
    <w:p w:rsidR="00B41935" w:rsidRPr="00F10686" w:rsidRDefault="00B41935" w:rsidP="00881DB6">
      <w:pPr>
        <w:tabs>
          <w:tab w:val="left" w:pos="426"/>
          <w:tab w:val="left" w:pos="567"/>
        </w:tabs>
        <w:autoSpaceDE w:val="0"/>
        <w:autoSpaceDN w:val="0"/>
        <w:adjustRightInd w:val="0"/>
        <w:rPr>
          <w:b/>
          <w:bCs/>
          <w:color w:val="000000"/>
          <w:sz w:val="16"/>
          <w:szCs w:val="16"/>
          <w:shd w:val="clear" w:color="auto" w:fill="FFFFFF"/>
        </w:rPr>
      </w:pPr>
      <w:r w:rsidRPr="00CC214C">
        <w:rPr>
          <w:rStyle w:val="FootnoteReference"/>
        </w:rPr>
        <w:footnoteRef/>
      </w:r>
      <w:r w:rsidRPr="00CC214C">
        <w:rPr>
          <w:sz w:val="16"/>
          <w:szCs w:val="16"/>
        </w:rPr>
        <w:t xml:space="preserve"> </w:t>
      </w:r>
      <w:r w:rsidRPr="00CC214C">
        <w:rPr>
          <w:sz w:val="16"/>
          <w:szCs w:val="16"/>
        </w:rPr>
        <w:tab/>
      </w:r>
      <w:r w:rsidRPr="00CC214C">
        <w:rPr>
          <w:i/>
          <w:iCs/>
          <w:sz w:val="16"/>
          <w:szCs w:val="16"/>
        </w:rPr>
        <w:t>Cfr.</w:t>
      </w:r>
      <w:r w:rsidRPr="00CC214C">
        <w:rPr>
          <w:i/>
          <w:sz w:val="16"/>
          <w:szCs w:val="16"/>
        </w:rPr>
        <w:t xml:space="preserve"> Caso Velásquez Rodríguez Vs. Honduras</w:t>
      </w:r>
      <w:r>
        <w:rPr>
          <w:i/>
          <w:sz w:val="16"/>
          <w:szCs w:val="16"/>
          <w:lang w:val="es-AR"/>
        </w:rPr>
        <w:t>. Fondo</w:t>
      </w:r>
      <w:r>
        <w:rPr>
          <w:sz w:val="16"/>
          <w:szCs w:val="16"/>
          <w:lang w:val="es-AR"/>
        </w:rPr>
        <w:t>,</w:t>
      </w:r>
      <w:r>
        <w:rPr>
          <w:i/>
          <w:sz w:val="16"/>
          <w:szCs w:val="16"/>
        </w:rPr>
        <w:t xml:space="preserve"> </w:t>
      </w:r>
      <w:r w:rsidRPr="003A5FAB">
        <w:rPr>
          <w:i/>
          <w:sz w:val="16"/>
          <w:szCs w:val="16"/>
          <w:lang w:val="pt-BR"/>
        </w:rPr>
        <w:t>supra</w:t>
      </w:r>
      <w:r>
        <w:rPr>
          <w:i/>
          <w:sz w:val="16"/>
          <w:szCs w:val="16"/>
          <w:lang w:val="es-ES"/>
        </w:rPr>
        <w:t xml:space="preserve">, </w:t>
      </w:r>
      <w:r w:rsidRPr="00CC214C">
        <w:rPr>
          <w:sz w:val="16"/>
          <w:szCs w:val="16"/>
        </w:rPr>
        <w:t xml:space="preserve">párr. 181, y </w:t>
      </w:r>
      <w:r w:rsidRPr="00F95D69">
        <w:rPr>
          <w:rStyle w:val="Strong"/>
          <w:b w:val="0"/>
          <w:i/>
          <w:color w:val="000000"/>
          <w:sz w:val="16"/>
          <w:szCs w:val="16"/>
          <w:shd w:val="clear" w:color="auto" w:fill="FFFFFF"/>
        </w:rPr>
        <w:t>Caso</w:t>
      </w:r>
      <w:r>
        <w:rPr>
          <w:rStyle w:val="Strong"/>
          <w:b w:val="0"/>
          <w:i/>
          <w:color w:val="000000"/>
          <w:sz w:val="16"/>
          <w:szCs w:val="16"/>
          <w:shd w:val="clear" w:color="auto" w:fill="FFFFFF"/>
        </w:rPr>
        <w:t xml:space="preserve"> Mun</w:t>
      </w:r>
      <w:r w:rsidRPr="00296E08">
        <w:rPr>
          <w:bCs/>
          <w:i/>
          <w:color w:val="000000"/>
          <w:sz w:val="16"/>
          <w:szCs w:val="16"/>
          <w:shd w:val="clear" w:color="auto" w:fill="FFFFFF"/>
        </w:rPr>
        <w:t>á</w:t>
      </w:r>
      <w:r>
        <w:rPr>
          <w:rStyle w:val="Strong"/>
          <w:b w:val="0"/>
          <w:i/>
          <w:color w:val="000000"/>
          <w:sz w:val="16"/>
          <w:szCs w:val="16"/>
          <w:shd w:val="clear" w:color="auto" w:fill="FFFFFF"/>
        </w:rPr>
        <w:t>rriz Escobar y Otros Vs. Perú</w:t>
      </w:r>
      <w:r>
        <w:rPr>
          <w:i/>
          <w:color w:val="000000"/>
          <w:spacing w:val="-4"/>
          <w:sz w:val="16"/>
          <w:szCs w:val="16"/>
        </w:rPr>
        <w:t xml:space="preserve">, </w:t>
      </w:r>
      <w:r w:rsidRPr="003A5FAB">
        <w:rPr>
          <w:i/>
          <w:color w:val="000000"/>
          <w:spacing w:val="-4"/>
          <w:sz w:val="16"/>
          <w:szCs w:val="16"/>
        </w:rPr>
        <w:t>supra</w:t>
      </w:r>
      <w:r w:rsidRPr="00F95D69">
        <w:rPr>
          <w:rStyle w:val="Strong"/>
          <w:b w:val="0"/>
          <w:color w:val="000000"/>
          <w:sz w:val="16"/>
          <w:szCs w:val="16"/>
          <w:shd w:val="clear" w:color="auto" w:fill="FFFFFF"/>
        </w:rPr>
        <w:t xml:space="preserve">, párr. </w:t>
      </w:r>
      <w:r>
        <w:rPr>
          <w:rStyle w:val="Strong"/>
          <w:b w:val="0"/>
          <w:color w:val="000000"/>
          <w:sz w:val="16"/>
          <w:szCs w:val="16"/>
          <w:shd w:val="clear" w:color="auto" w:fill="FFFFFF"/>
        </w:rPr>
        <w:t>104.</w:t>
      </w:r>
    </w:p>
  </w:footnote>
  <w:footnote w:id="285">
    <w:p w:rsidR="00B41935" w:rsidRPr="002877B8" w:rsidRDefault="00B41935" w:rsidP="00881DB6">
      <w:pPr>
        <w:pStyle w:val="FootnoteText"/>
        <w:rPr>
          <w:sz w:val="16"/>
          <w:szCs w:val="16"/>
          <w:lang w:val="es-CR"/>
        </w:rPr>
      </w:pPr>
      <w:r w:rsidRPr="002877B8">
        <w:rPr>
          <w:rStyle w:val="FootnoteReference"/>
        </w:rPr>
        <w:footnoteRef/>
      </w:r>
      <w:r w:rsidRPr="002877B8">
        <w:rPr>
          <w:sz w:val="16"/>
          <w:szCs w:val="16"/>
        </w:rPr>
        <w:t xml:space="preserve"> </w:t>
      </w:r>
      <w:r>
        <w:rPr>
          <w:sz w:val="16"/>
          <w:szCs w:val="16"/>
          <w:lang w:val="es-CR"/>
        </w:rPr>
        <w:tab/>
        <w:t xml:space="preserve">En efecto, la Corte nota que: </w:t>
      </w:r>
      <w:r w:rsidRPr="002877B8">
        <w:rPr>
          <w:sz w:val="16"/>
          <w:szCs w:val="16"/>
          <w:lang w:val="es-CR"/>
        </w:rPr>
        <w:t>1) en el caso de Wilfredo Terrones</w:t>
      </w:r>
      <w:r>
        <w:rPr>
          <w:sz w:val="16"/>
          <w:szCs w:val="16"/>
          <w:lang w:val="es-CR"/>
        </w:rPr>
        <w:t xml:space="preserve"> Silva</w:t>
      </w:r>
      <w:r w:rsidRPr="002877B8">
        <w:rPr>
          <w:sz w:val="16"/>
          <w:szCs w:val="16"/>
          <w:lang w:val="es-CR"/>
        </w:rPr>
        <w:t>, en los períodos de 1993 a 19</w:t>
      </w:r>
      <w:r>
        <w:rPr>
          <w:sz w:val="16"/>
          <w:szCs w:val="16"/>
          <w:lang w:val="es-CR"/>
        </w:rPr>
        <w:t xml:space="preserve">98, 1998 a 2004 y 2005 a 2011; </w:t>
      </w:r>
      <w:r w:rsidRPr="002877B8">
        <w:rPr>
          <w:sz w:val="16"/>
          <w:szCs w:val="16"/>
          <w:lang w:val="es-CR"/>
        </w:rPr>
        <w:t>2) en el caso de Cory Clodolia Tenicela Tello, en los períodos de 1993 a 2003</w:t>
      </w:r>
      <w:r>
        <w:rPr>
          <w:sz w:val="16"/>
          <w:szCs w:val="16"/>
          <w:lang w:val="es-CR"/>
        </w:rPr>
        <w:t xml:space="preserve">, 2003 a 2010 y 2010 a 2013, y </w:t>
      </w:r>
      <w:r w:rsidRPr="002877B8">
        <w:rPr>
          <w:sz w:val="16"/>
          <w:szCs w:val="16"/>
          <w:lang w:val="es-CR"/>
        </w:rPr>
        <w:t>3) en el caso de Néstor Rojas Medina, en los períodos de 1992 a 2000, 2000 a 2004, 2004 a 2011, y 2011 a 2016, hay una ausencia de gestiones de acuerdo al acervo probatorio con</w:t>
      </w:r>
      <w:r>
        <w:rPr>
          <w:sz w:val="16"/>
          <w:szCs w:val="16"/>
          <w:lang w:val="es-CR"/>
        </w:rPr>
        <w:t xml:space="preserve"> el</w:t>
      </w:r>
      <w:r w:rsidRPr="002877B8">
        <w:rPr>
          <w:sz w:val="16"/>
          <w:szCs w:val="16"/>
          <w:lang w:val="es-CR"/>
        </w:rPr>
        <w:t xml:space="preserve"> que cuenta la Corte. </w:t>
      </w:r>
    </w:p>
  </w:footnote>
  <w:footnote w:id="286">
    <w:p w:rsidR="00B41935" w:rsidRPr="00DB0133" w:rsidRDefault="00B41935" w:rsidP="00881DB6">
      <w:pPr>
        <w:tabs>
          <w:tab w:val="left" w:pos="426"/>
          <w:tab w:val="left" w:pos="567"/>
        </w:tabs>
        <w:autoSpaceDE w:val="0"/>
        <w:autoSpaceDN w:val="0"/>
        <w:adjustRightInd w:val="0"/>
        <w:rPr>
          <w:b/>
          <w:bCs/>
          <w:color w:val="000000"/>
          <w:sz w:val="16"/>
          <w:szCs w:val="16"/>
          <w:shd w:val="clear" w:color="auto" w:fill="FFFFFF"/>
        </w:rPr>
      </w:pPr>
      <w:r w:rsidRPr="00A21800">
        <w:rPr>
          <w:rStyle w:val="FootnoteReference"/>
        </w:rPr>
        <w:footnoteRef/>
      </w:r>
      <w:r>
        <w:rPr>
          <w:sz w:val="16"/>
          <w:szCs w:val="16"/>
        </w:rPr>
        <w:t xml:space="preserve"> </w:t>
      </w:r>
      <w:r>
        <w:rPr>
          <w:sz w:val="16"/>
          <w:szCs w:val="16"/>
        </w:rPr>
        <w:tab/>
      </w:r>
      <w:r>
        <w:rPr>
          <w:sz w:val="16"/>
          <w:szCs w:val="16"/>
        </w:rPr>
        <w:tab/>
      </w:r>
      <w:r>
        <w:rPr>
          <w:sz w:val="16"/>
          <w:szCs w:val="16"/>
        </w:rPr>
        <w:tab/>
      </w:r>
      <w:r w:rsidRPr="00CC214C">
        <w:rPr>
          <w:i/>
          <w:iCs/>
          <w:sz w:val="16"/>
          <w:szCs w:val="16"/>
        </w:rPr>
        <w:t>Cfr.</w:t>
      </w:r>
      <w:r w:rsidRPr="00CC214C">
        <w:rPr>
          <w:i/>
          <w:sz w:val="16"/>
          <w:szCs w:val="16"/>
        </w:rPr>
        <w:t xml:space="preserve"> Caso Velásquez Rodríguez Vs. Honduras</w:t>
      </w:r>
      <w:r>
        <w:rPr>
          <w:i/>
          <w:sz w:val="16"/>
          <w:szCs w:val="16"/>
          <w:lang w:val="es-AR"/>
        </w:rPr>
        <w:t>. Fondo</w:t>
      </w:r>
      <w:r>
        <w:rPr>
          <w:sz w:val="16"/>
          <w:szCs w:val="16"/>
          <w:lang w:val="es-AR"/>
        </w:rPr>
        <w:t>,</w:t>
      </w:r>
      <w:r>
        <w:rPr>
          <w:i/>
          <w:sz w:val="16"/>
          <w:szCs w:val="16"/>
          <w:lang w:val="es-ES"/>
        </w:rPr>
        <w:t xml:space="preserve"> </w:t>
      </w:r>
      <w:r w:rsidRPr="00CC214C">
        <w:rPr>
          <w:i/>
          <w:sz w:val="16"/>
          <w:szCs w:val="16"/>
          <w:lang w:val="es-ES"/>
        </w:rPr>
        <w:t>supra</w:t>
      </w:r>
      <w:r w:rsidRPr="00CC214C">
        <w:rPr>
          <w:i/>
          <w:sz w:val="16"/>
          <w:szCs w:val="16"/>
        </w:rPr>
        <w:t xml:space="preserve">, </w:t>
      </w:r>
      <w:r>
        <w:rPr>
          <w:sz w:val="16"/>
          <w:szCs w:val="16"/>
        </w:rPr>
        <w:t>párr. 174</w:t>
      </w:r>
      <w:r w:rsidRPr="00CC214C">
        <w:rPr>
          <w:sz w:val="16"/>
          <w:szCs w:val="16"/>
        </w:rPr>
        <w:t xml:space="preserve">, y </w:t>
      </w:r>
      <w:r w:rsidRPr="00F95D69">
        <w:rPr>
          <w:rStyle w:val="Strong"/>
          <w:b w:val="0"/>
          <w:i/>
          <w:color w:val="000000"/>
          <w:sz w:val="16"/>
          <w:szCs w:val="16"/>
          <w:shd w:val="clear" w:color="auto" w:fill="FFFFFF"/>
        </w:rPr>
        <w:t>Caso</w:t>
      </w:r>
      <w:r>
        <w:rPr>
          <w:rStyle w:val="Strong"/>
          <w:b w:val="0"/>
          <w:i/>
          <w:color w:val="000000"/>
          <w:sz w:val="16"/>
          <w:szCs w:val="16"/>
          <w:shd w:val="clear" w:color="auto" w:fill="FFFFFF"/>
        </w:rPr>
        <w:t xml:space="preserve"> Mun</w:t>
      </w:r>
      <w:r w:rsidRPr="00296E08">
        <w:rPr>
          <w:bCs/>
          <w:i/>
          <w:color w:val="000000"/>
          <w:sz w:val="16"/>
          <w:szCs w:val="16"/>
          <w:shd w:val="clear" w:color="auto" w:fill="FFFFFF"/>
        </w:rPr>
        <w:t>á</w:t>
      </w:r>
      <w:r>
        <w:rPr>
          <w:rStyle w:val="Strong"/>
          <w:b w:val="0"/>
          <w:i/>
          <w:color w:val="000000"/>
          <w:sz w:val="16"/>
          <w:szCs w:val="16"/>
          <w:shd w:val="clear" w:color="auto" w:fill="FFFFFF"/>
        </w:rPr>
        <w:t>rriz Escobar y Otros Vs. Perú</w:t>
      </w:r>
      <w:r>
        <w:rPr>
          <w:i/>
          <w:color w:val="000000"/>
          <w:spacing w:val="-4"/>
          <w:sz w:val="16"/>
          <w:szCs w:val="16"/>
        </w:rPr>
        <w:t xml:space="preserve">, </w:t>
      </w:r>
      <w:r w:rsidRPr="003A5FAB">
        <w:rPr>
          <w:i/>
          <w:color w:val="000000"/>
          <w:spacing w:val="-4"/>
          <w:sz w:val="16"/>
          <w:szCs w:val="16"/>
        </w:rPr>
        <w:t>supra</w:t>
      </w:r>
      <w:r w:rsidRPr="00F95D69">
        <w:rPr>
          <w:rStyle w:val="Strong"/>
          <w:b w:val="0"/>
          <w:color w:val="000000"/>
          <w:sz w:val="16"/>
          <w:szCs w:val="16"/>
          <w:shd w:val="clear" w:color="auto" w:fill="FFFFFF"/>
        </w:rPr>
        <w:t xml:space="preserve">, párr. </w:t>
      </w:r>
      <w:r>
        <w:rPr>
          <w:rStyle w:val="Strong"/>
          <w:b w:val="0"/>
          <w:color w:val="000000"/>
          <w:sz w:val="16"/>
          <w:szCs w:val="16"/>
          <w:shd w:val="clear" w:color="auto" w:fill="FFFFFF"/>
        </w:rPr>
        <w:t>97.</w:t>
      </w:r>
    </w:p>
  </w:footnote>
  <w:footnote w:id="287">
    <w:p w:rsidR="00B41935" w:rsidRPr="00A21800" w:rsidRDefault="00B41935" w:rsidP="00881DB6">
      <w:pPr>
        <w:pStyle w:val="FootnoteText"/>
        <w:rPr>
          <w:sz w:val="16"/>
          <w:szCs w:val="16"/>
        </w:rPr>
      </w:pPr>
      <w:r w:rsidRPr="00A21800">
        <w:rPr>
          <w:rStyle w:val="FootnoteReference"/>
        </w:rPr>
        <w:footnoteRef/>
      </w:r>
      <w:r w:rsidRPr="00A21800">
        <w:rPr>
          <w:sz w:val="16"/>
          <w:szCs w:val="16"/>
        </w:rPr>
        <w:t xml:space="preserve"> </w:t>
      </w:r>
      <w:r>
        <w:rPr>
          <w:sz w:val="16"/>
          <w:szCs w:val="16"/>
        </w:rPr>
        <w:tab/>
      </w:r>
      <w:r w:rsidRPr="00CC214C">
        <w:rPr>
          <w:i/>
          <w:iCs/>
          <w:sz w:val="16"/>
          <w:szCs w:val="16"/>
        </w:rPr>
        <w:t>Cfr.</w:t>
      </w:r>
      <w:r w:rsidRPr="00CC214C">
        <w:rPr>
          <w:i/>
          <w:sz w:val="16"/>
          <w:szCs w:val="16"/>
        </w:rPr>
        <w:t xml:space="preserve"> </w:t>
      </w:r>
      <w:r w:rsidRPr="00A21800">
        <w:rPr>
          <w:i/>
          <w:sz w:val="16"/>
          <w:szCs w:val="16"/>
        </w:rPr>
        <w:t>Caso Castillo González y otros Vs. Venezuela. Fondo</w:t>
      </w:r>
      <w:r w:rsidRPr="00A21800">
        <w:rPr>
          <w:sz w:val="16"/>
          <w:szCs w:val="16"/>
        </w:rPr>
        <w:t xml:space="preserve">. Sentencia de 27 de noviembre de 2012. Serie C No. 256, párr. 153, y </w:t>
      </w:r>
      <w:r w:rsidRPr="00F95D69">
        <w:rPr>
          <w:rStyle w:val="Strong"/>
          <w:b w:val="0"/>
          <w:i/>
          <w:color w:val="000000"/>
          <w:sz w:val="16"/>
          <w:szCs w:val="16"/>
          <w:shd w:val="clear" w:color="auto" w:fill="FFFFFF"/>
        </w:rPr>
        <w:t>Caso Tenorio Roca y otros Vs. Perú</w:t>
      </w:r>
      <w:r>
        <w:rPr>
          <w:rStyle w:val="Strong"/>
          <w:b w:val="0"/>
          <w:i/>
          <w:color w:val="000000"/>
          <w:sz w:val="16"/>
          <w:szCs w:val="16"/>
          <w:shd w:val="clear" w:color="auto" w:fill="FFFFFF"/>
        </w:rPr>
        <w:t xml:space="preserve">, </w:t>
      </w:r>
      <w:r w:rsidRPr="003A5FAB">
        <w:rPr>
          <w:rStyle w:val="Strong"/>
          <w:b w:val="0"/>
          <w:i/>
          <w:color w:val="000000"/>
          <w:sz w:val="16"/>
          <w:szCs w:val="16"/>
          <w:shd w:val="clear" w:color="auto" w:fill="FFFFFF"/>
        </w:rPr>
        <w:t>supra</w:t>
      </w:r>
      <w:r w:rsidRPr="00F95D69">
        <w:rPr>
          <w:rStyle w:val="Strong"/>
          <w:b w:val="0"/>
          <w:color w:val="000000"/>
          <w:sz w:val="16"/>
          <w:szCs w:val="16"/>
          <w:shd w:val="clear" w:color="auto" w:fill="FFFFFF"/>
        </w:rPr>
        <w:t>, párr.</w:t>
      </w:r>
      <w:r w:rsidRPr="00F95D69">
        <w:rPr>
          <w:sz w:val="16"/>
          <w:szCs w:val="16"/>
        </w:rPr>
        <w:t xml:space="preserve"> 182.</w:t>
      </w:r>
    </w:p>
  </w:footnote>
  <w:footnote w:id="288">
    <w:p w:rsidR="00B41935" w:rsidRPr="00552A48" w:rsidRDefault="00B41935" w:rsidP="00881DB6">
      <w:pPr>
        <w:tabs>
          <w:tab w:val="left" w:pos="426"/>
        </w:tabs>
        <w:rPr>
          <w:spacing w:val="-4"/>
          <w:sz w:val="16"/>
          <w:szCs w:val="16"/>
          <w:lang w:val="es-CR"/>
        </w:rPr>
      </w:pPr>
      <w:r w:rsidRPr="00CC214C">
        <w:rPr>
          <w:rStyle w:val="FootnoteReference"/>
          <w:rFonts w:eastAsia="Times"/>
          <w:spacing w:val="-4"/>
        </w:rPr>
        <w:footnoteRef/>
      </w:r>
      <w:r w:rsidRPr="00CC214C">
        <w:rPr>
          <w:spacing w:val="-4"/>
          <w:sz w:val="16"/>
          <w:szCs w:val="16"/>
        </w:rPr>
        <w:t xml:space="preserve"> </w:t>
      </w:r>
      <w:r w:rsidRPr="00CC214C">
        <w:rPr>
          <w:spacing w:val="-4"/>
          <w:sz w:val="16"/>
          <w:szCs w:val="16"/>
        </w:rPr>
        <w:tab/>
      </w:r>
      <w:r>
        <w:rPr>
          <w:spacing w:val="-4"/>
          <w:sz w:val="16"/>
          <w:szCs w:val="16"/>
        </w:rPr>
        <w:tab/>
      </w:r>
      <w:r w:rsidRPr="00CC214C">
        <w:rPr>
          <w:bCs/>
          <w:i/>
          <w:spacing w:val="-4"/>
          <w:sz w:val="16"/>
          <w:szCs w:val="16"/>
        </w:rPr>
        <w:t>Cfr.</w:t>
      </w:r>
      <w:r w:rsidRPr="00CC214C">
        <w:rPr>
          <w:bCs/>
          <w:spacing w:val="-4"/>
          <w:sz w:val="16"/>
          <w:szCs w:val="16"/>
        </w:rPr>
        <w:t xml:space="preserve"> </w:t>
      </w:r>
      <w:r w:rsidRPr="00CC214C">
        <w:rPr>
          <w:rFonts w:cs="Times New Roman"/>
          <w:i/>
          <w:spacing w:val="-4"/>
          <w:sz w:val="16"/>
          <w:szCs w:val="16"/>
        </w:rPr>
        <w:t>Caso Anzualdo Castro Vs. Perú</w:t>
      </w:r>
      <w:r>
        <w:rPr>
          <w:rStyle w:val="Strong"/>
          <w:b w:val="0"/>
          <w:i/>
          <w:color w:val="000000"/>
          <w:sz w:val="16"/>
          <w:szCs w:val="16"/>
          <w:shd w:val="clear" w:color="auto" w:fill="FFFFFF"/>
        </w:rPr>
        <w:t>, supra</w:t>
      </w:r>
      <w:r w:rsidRPr="00552A48">
        <w:rPr>
          <w:i/>
          <w:spacing w:val="-4"/>
          <w:sz w:val="16"/>
          <w:szCs w:val="16"/>
        </w:rPr>
        <w:t xml:space="preserve">, </w:t>
      </w:r>
      <w:r w:rsidRPr="00552A48">
        <w:rPr>
          <w:spacing w:val="-4"/>
          <w:sz w:val="16"/>
          <w:szCs w:val="16"/>
        </w:rPr>
        <w:t>párr. 134, y</w:t>
      </w:r>
      <w:r w:rsidRPr="00552A48">
        <w:rPr>
          <w:bCs/>
          <w:i/>
          <w:spacing w:val="-4"/>
          <w:sz w:val="16"/>
          <w:szCs w:val="16"/>
        </w:rPr>
        <w:t xml:space="preserve"> Caso </w:t>
      </w:r>
      <w:r>
        <w:rPr>
          <w:bCs/>
          <w:i/>
          <w:spacing w:val="-4"/>
          <w:sz w:val="16"/>
          <w:szCs w:val="16"/>
        </w:rPr>
        <w:t>Vásquez Durand y Otros Vs. Ecuador, supra</w:t>
      </w:r>
      <w:r w:rsidRPr="00552A48">
        <w:rPr>
          <w:bCs/>
          <w:spacing w:val="-4"/>
          <w:sz w:val="16"/>
          <w:szCs w:val="16"/>
        </w:rPr>
        <w:t>, párr. 1</w:t>
      </w:r>
      <w:r>
        <w:rPr>
          <w:bCs/>
          <w:spacing w:val="-4"/>
          <w:sz w:val="16"/>
          <w:szCs w:val="16"/>
        </w:rPr>
        <w:t>53</w:t>
      </w:r>
      <w:r>
        <w:rPr>
          <w:spacing w:val="-4"/>
          <w:sz w:val="16"/>
          <w:szCs w:val="16"/>
        </w:rPr>
        <w:t>.</w:t>
      </w:r>
    </w:p>
  </w:footnote>
  <w:footnote w:id="289">
    <w:p w:rsidR="00B41935" w:rsidRPr="00CC214C" w:rsidRDefault="00B41935" w:rsidP="00881DB6">
      <w:pPr>
        <w:pStyle w:val="FootnoteText"/>
        <w:tabs>
          <w:tab w:val="left" w:pos="426"/>
          <w:tab w:val="left" w:pos="720"/>
        </w:tabs>
        <w:rPr>
          <w:spacing w:val="-4"/>
          <w:sz w:val="16"/>
          <w:szCs w:val="16"/>
          <w:lang w:val="es-CR"/>
        </w:rPr>
      </w:pPr>
      <w:r w:rsidRPr="00CC214C">
        <w:rPr>
          <w:rStyle w:val="FootnoteReference"/>
          <w:spacing w:val="-4"/>
        </w:rPr>
        <w:footnoteRef/>
      </w:r>
      <w:r w:rsidRPr="00257982">
        <w:rPr>
          <w:spacing w:val="-4"/>
          <w:sz w:val="16"/>
          <w:szCs w:val="16"/>
          <w:lang w:val="es-CR"/>
        </w:rPr>
        <w:t xml:space="preserve"> </w:t>
      </w:r>
      <w:r w:rsidRPr="00257982">
        <w:rPr>
          <w:spacing w:val="-4"/>
          <w:sz w:val="16"/>
          <w:szCs w:val="16"/>
          <w:lang w:val="es-CR"/>
        </w:rPr>
        <w:tab/>
      </w:r>
      <w:r>
        <w:rPr>
          <w:spacing w:val="-4"/>
          <w:sz w:val="16"/>
          <w:szCs w:val="16"/>
          <w:lang w:val="es-CR"/>
        </w:rPr>
        <w:tab/>
      </w:r>
      <w:r w:rsidRPr="00257982">
        <w:rPr>
          <w:i/>
          <w:spacing w:val="-4"/>
          <w:sz w:val="16"/>
          <w:szCs w:val="16"/>
          <w:lang w:val="es-CR"/>
        </w:rPr>
        <w:t xml:space="preserve">Cfr. </w:t>
      </w:r>
      <w:r w:rsidRPr="00257982">
        <w:rPr>
          <w:rFonts w:cs="Times New Roman"/>
          <w:i/>
          <w:spacing w:val="-4"/>
          <w:sz w:val="16"/>
          <w:szCs w:val="16"/>
        </w:rPr>
        <w:t>Caso Velásquez Rodríguez Vs. Honduras</w:t>
      </w:r>
      <w:r>
        <w:rPr>
          <w:i/>
          <w:sz w:val="16"/>
          <w:szCs w:val="16"/>
          <w:lang w:val="es-AR"/>
        </w:rPr>
        <w:t>. Fondo</w:t>
      </w:r>
      <w:r>
        <w:rPr>
          <w:sz w:val="16"/>
          <w:szCs w:val="16"/>
          <w:lang w:val="es-AR"/>
        </w:rPr>
        <w:t>,</w:t>
      </w:r>
      <w:r>
        <w:rPr>
          <w:rFonts w:cs="Times New Roman"/>
          <w:i/>
          <w:spacing w:val="-4"/>
          <w:sz w:val="16"/>
          <w:szCs w:val="16"/>
        </w:rPr>
        <w:t xml:space="preserve"> </w:t>
      </w:r>
      <w:r w:rsidRPr="003A5FAB">
        <w:rPr>
          <w:i/>
          <w:sz w:val="16"/>
          <w:szCs w:val="16"/>
          <w:lang w:val="pt-BR"/>
        </w:rPr>
        <w:t>supra</w:t>
      </w:r>
      <w:r w:rsidRPr="00257982">
        <w:rPr>
          <w:i/>
          <w:spacing w:val="-4"/>
          <w:sz w:val="16"/>
          <w:szCs w:val="16"/>
          <w:lang w:val="es-CR"/>
        </w:rPr>
        <w:t>,</w:t>
      </w:r>
      <w:r w:rsidRPr="00257982">
        <w:rPr>
          <w:spacing w:val="-4"/>
          <w:sz w:val="16"/>
          <w:szCs w:val="16"/>
          <w:lang w:val="es-CR"/>
        </w:rPr>
        <w:t xml:space="preserve"> </w:t>
      </w:r>
      <w:r w:rsidRPr="00257982">
        <w:rPr>
          <w:spacing w:val="-4"/>
          <w:sz w:val="16"/>
          <w:szCs w:val="16"/>
          <w:lang w:val="es-CR" w:bidi="en-US"/>
        </w:rPr>
        <w:t xml:space="preserve">párr. 174, y </w:t>
      </w:r>
      <w:r w:rsidRPr="00257982">
        <w:rPr>
          <w:i/>
          <w:spacing w:val="-4"/>
          <w:sz w:val="16"/>
          <w:szCs w:val="16"/>
        </w:rPr>
        <w:t xml:space="preserve">Caso </w:t>
      </w:r>
      <w:r>
        <w:rPr>
          <w:i/>
          <w:spacing w:val="-4"/>
          <w:sz w:val="16"/>
          <w:szCs w:val="16"/>
        </w:rPr>
        <w:t>Mun</w:t>
      </w:r>
      <w:r w:rsidRPr="00296E08">
        <w:rPr>
          <w:i/>
          <w:spacing w:val="-4"/>
          <w:sz w:val="16"/>
          <w:szCs w:val="16"/>
        </w:rPr>
        <w:t>á</w:t>
      </w:r>
      <w:r>
        <w:rPr>
          <w:i/>
          <w:spacing w:val="-4"/>
          <w:sz w:val="16"/>
          <w:szCs w:val="16"/>
        </w:rPr>
        <w:t>rriz Escobar y Otros</w:t>
      </w:r>
      <w:r w:rsidRPr="00257982">
        <w:rPr>
          <w:i/>
          <w:spacing w:val="-4"/>
          <w:sz w:val="16"/>
          <w:szCs w:val="16"/>
        </w:rPr>
        <w:t xml:space="preserve"> Vs. Perú</w:t>
      </w:r>
      <w:r>
        <w:rPr>
          <w:i/>
          <w:color w:val="000000"/>
          <w:spacing w:val="-4"/>
          <w:sz w:val="16"/>
          <w:szCs w:val="16"/>
        </w:rPr>
        <w:t xml:space="preserve">, </w:t>
      </w:r>
      <w:r w:rsidRPr="003A5FAB">
        <w:rPr>
          <w:i/>
          <w:color w:val="000000"/>
          <w:spacing w:val="-4"/>
          <w:sz w:val="16"/>
          <w:szCs w:val="16"/>
        </w:rPr>
        <w:t>supra</w:t>
      </w:r>
      <w:r w:rsidRPr="00257982">
        <w:rPr>
          <w:spacing w:val="-4"/>
          <w:sz w:val="16"/>
          <w:szCs w:val="16"/>
        </w:rPr>
        <w:t xml:space="preserve">, párr. </w:t>
      </w:r>
      <w:r>
        <w:rPr>
          <w:spacing w:val="-4"/>
          <w:sz w:val="16"/>
          <w:szCs w:val="16"/>
        </w:rPr>
        <w:t>97</w:t>
      </w:r>
      <w:r w:rsidRPr="00257982">
        <w:rPr>
          <w:spacing w:val="-4"/>
          <w:sz w:val="16"/>
          <w:szCs w:val="16"/>
          <w:lang w:val="es-CR"/>
        </w:rPr>
        <w:t xml:space="preserve">. Ver también artículo </w:t>
      </w:r>
      <w:r>
        <w:rPr>
          <w:spacing w:val="-4"/>
          <w:sz w:val="16"/>
          <w:szCs w:val="16"/>
          <w:lang w:val="es-CR"/>
        </w:rPr>
        <w:t>1</w:t>
      </w:r>
      <w:r w:rsidRPr="00257982">
        <w:rPr>
          <w:spacing w:val="-4"/>
          <w:sz w:val="16"/>
          <w:szCs w:val="16"/>
          <w:lang w:val="es-CR"/>
        </w:rPr>
        <w:t xml:space="preserve"> de la Convención Interamericana sobre la Desap</w:t>
      </w:r>
      <w:r>
        <w:rPr>
          <w:spacing w:val="-4"/>
          <w:sz w:val="16"/>
          <w:szCs w:val="16"/>
          <w:lang w:val="es-CR"/>
        </w:rPr>
        <w:t>arición Forzada de Personas, y a</w:t>
      </w:r>
      <w:r w:rsidRPr="00257982">
        <w:rPr>
          <w:spacing w:val="-4"/>
          <w:sz w:val="16"/>
          <w:szCs w:val="16"/>
          <w:lang w:val="es-CR"/>
        </w:rPr>
        <w:t>rtículo 12 de la Convención Internacional para la Protección de todas las Personas contra las Desapariciones Forzadas</w:t>
      </w:r>
      <w:r>
        <w:rPr>
          <w:spacing w:val="-4"/>
          <w:sz w:val="16"/>
          <w:szCs w:val="16"/>
          <w:lang w:val="es-CR"/>
        </w:rPr>
        <w:t>.</w:t>
      </w:r>
    </w:p>
  </w:footnote>
  <w:footnote w:id="290">
    <w:p w:rsidR="00B41935" w:rsidRPr="00CC214C" w:rsidRDefault="00B41935" w:rsidP="00881DB6">
      <w:pPr>
        <w:rPr>
          <w:spacing w:val="-4"/>
          <w:sz w:val="16"/>
          <w:szCs w:val="16"/>
          <w:lang w:val="es-CR"/>
        </w:rPr>
      </w:pPr>
      <w:r w:rsidRPr="00CC214C">
        <w:rPr>
          <w:rStyle w:val="FootnoteReference"/>
          <w:spacing w:val="-4"/>
        </w:rPr>
        <w:footnoteRef/>
      </w:r>
      <w:r w:rsidRPr="00CC214C">
        <w:rPr>
          <w:spacing w:val="-4"/>
          <w:sz w:val="16"/>
          <w:szCs w:val="16"/>
        </w:rPr>
        <w:t xml:space="preserve"> </w:t>
      </w:r>
      <w:r w:rsidRPr="00CC214C">
        <w:rPr>
          <w:spacing w:val="-4"/>
          <w:sz w:val="16"/>
          <w:szCs w:val="16"/>
        </w:rPr>
        <w:tab/>
        <w:t xml:space="preserve">Véase, </w:t>
      </w:r>
      <w:r w:rsidRPr="00CC214C">
        <w:rPr>
          <w:i/>
          <w:spacing w:val="-4"/>
          <w:sz w:val="16"/>
          <w:szCs w:val="16"/>
        </w:rPr>
        <w:t xml:space="preserve">inter alia, </w:t>
      </w:r>
      <w:r w:rsidRPr="00CC214C">
        <w:rPr>
          <w:rFonts w:cs="Times New Roman"/>
          <w:i/>
          <w:spacing w:val="-4"/>
          <w:sz w:val="16"/>
          <w:szCs w:val="16"/>
        </w:rPr>
        <w:t>Caso Gudiel Álvarez y otros (Diario Militar) Vs. Guatemala</w:t>
      </w:r>
      <w:r>
        <w:rPr>
          <w:rFonts w:cs="Times New Roman"/>
          <w:i/>
          <w:spacing w:val="-4"/>
          <w:sz w:val="16"/>
          <w:szCs w:val="16"/>
        </w:rPr>
        <w:t>, supra</w:t>
      </w:r>
      <w:r w:rsidRPr="00552A48">
        <w:rPr>
          <w:spacing w:val="-4"/>
          <w:sz w:val="16"/>
          <w:szCs w:val="16"/>
        </w:rPr>
        <w:t xml:space="preserve">, párr. 334; </w:t>
      </w:r>
      <w:r w:rsidRPr="00552A48">
        <w:rPr>
          <w:bCs/>
          <w:i/>
          <w:spacing w:val="-4"/>
          <w:sz w:val="16"/>
          <w:szCs w:val="16"/>
        </w:rPr>
        <w:t xml:space="preserve">Caso García y Familiares Vs. Guatemala. Fondo Reparaciones y Costas. </w:t>
      </w:r>
      <w:r w:rsidRPr="00552A48">
        <w:rPr>
          <w:bCs/>
          <w:spacing w:val="-4"/>
          <w:sz w:val="16"/>
          <w:szCs w:val="16"/>
        </w:rPr>
        <w:t>Sentencia de 29 noviembre de 2012 Serie C No. 258</w:t>
      </w:r>
      <w:r w:rsidRPr="00552A48">
        <w:rPr>
          <w:i/>
          <w:spacing w:val="-4"/>
          <w:sz w:val="16"/>
          <w:szCs w:val="16"/>
        </w:rPr>
        <w:t>,</w:t>
      </w:r>
      <w:r w:rsidRPr="00552A48">
        <w:rPr>
          <w:spacing w:val="-4"/>
          <w:sz w:val="16"/>
          <w:szCs w:val="16"/>
        </w:rPr>
        <w:t xml:space="preserve"> párr. 200, y </w:t>
      </w:r>
      <w:r w:rsidRPr="00552A48">
        <w:rPr>
          <w:i/>
          <w:spacing w:val="-4"/>
          <w:sz w:val="16"/>
          <w:szCs w:val="16"/>
        </w:rPr>
        <w:t>Caso Osorio Rivera y Familiares Vs. Perú</w:t>
      </w:r>
      <w:r>
        <w:rPr>
          <w:i/>
          <w:spacing w:val="-4"/>
          <w:sz w:val="16"/>
          <w:szCs w:val="16"/>
        </w:rPr>
        <w:t xml:space="preserve">, </w:t>
      </w:r>
      <w:r w:rsidRPr="003A5FAB">
        <w:rPr>
          <w:rStyle w:val="Strong"/>
          <w:b w:val="0"/>
          <w:i/>
          <w:color w:val="000000"/>
          <w:sz w:val="16"/>
          <w:szCs w:val="16"/>
          <w:shd w:val="clear" w:color="auto" w:fill="FFFFFF"/>
        </w:rPr>
        <w:t>supra</w:t>
      </w:r>
      <w:r>
        <w:rPr>
          <w:rStyle w:val="Strong"/>
          <w:b w:val="0"/>
          <w:i/>
          <w:color w:val="000000"/>
          <w:sz w:val="16"/>
          <w:szCs w:val="16"/>
          <w:shd w:val="clear" w:color="auto" w:fill="FFFFFF"/>
        </w:rPr>
        <w:t xml:space="preserve">, </w:t>
      </w:r>
      <w:r w:rsidRPr="00F10686">
        <w:rPr>
          <w:spacing w:val="-4"/>
          <w:sz w:val="16"/>
          <w:szCs w:val="16"/>
        </w:rPr>
        <w:t>párr. 251</w:t>
      </w:r>
      <w:r>
        <w:rPr>
          <w:spacing w:val="-4"/>
          <w:sz w:val="16"/>
          <w:szCs w:val="16"/>
        </w:rPr>
        <w:t xml:space="preserve">, y </w:t>
      </w:r>
      <w:r>
        <w:rPr>
          <w:i/>
          <w:spacing w:val="-4"/>
          <w:sz w:val="16"/>
          <w:szCs w:val="16"/>
        </w:rPr>
        <w:t>Caso Mun</w:t>
      </w:r>
      <w:r w:rsidRPr="00296E08">
        <w:rPr>
          <w:i/>
          <w:spacing w:val="-4"/>
          <w:sz w:val="16"/>
          <w:szCs w:val="16"/>
        </w:rPr>
        <w:t>á</w:t>
      </w:r>
      <w:r>
        <w:rPr>
          <w:i/>
          <w:spacing w:val="-4"/>
          <w:sz w:val="16"/>
          <w:szCs w:val="16"/>
        </w:rPr>
        <w:t>rriz Escobar y Otros Vs. Perú</w:t>
      </w:r>
      <w:r>
        <w:rPr>
          <w:i/>
          <w:color w:val="000000"/>
          <w:spacing w:val="-4"/>
          <w:sz w:val="16"/>
          <w:szCs w:val="16"/>
        </w:rPr>
        <w:t xml:space="preserve">, </w:t>
      </w:r>
      <w:r w:rsidRPr="003A5FAB">
        <w:rPr>
          <w:i/>
          <w:color w:val="000000"/>
          <w:spacing w:val="-4"/>
          <w:sz w:val="16"/>
          <w:szCs w:val="16"/>
        </w:rPr>
        <w:t>supra</w:t>
      </w:r>
      <w:r w:rsidRPr="00F10686">
        <w:rPr>
          <w:i/>
          <w:spacing w:val="-4"/>
          <w:sz w:val="16"/>
          <w:szCs w:val="16"/>
        </w:rPr>
        <w:t>,</w:t>
      </w:r>
      <w:r w:rsidRPr="00F10686">
        <w:rPr>
          <w:spacing w:val="-4"/>
          <w:sz w:val="16"/>
          <w:szCs w:val="16"/>
        </w:rPr>
        <w:t xml:space="preserve"> párr. </w:t>
      </w:r>
      <w:r>
        <w:rPr>
          <w:spacing w:val="-4"/>
          <w:sz w:val="16"/>
          <w:szCs w:val="16"/>
        </w:rPr>
        <w:t>104.</w:t>
      </w:r>
    </w:p>
  </w:footnote>
  <w:footnote w:id="291">
    <w:p w:rsidR="00B41935" w:rsidRPr="00CC214C" w:rsidRDefault="00B41935" w:rsidP="00881DB6">
      <w:pPr>
        <w:pStyle w:val="FootnoteText"/>
        <w:rPr>
          <w:spacing w:val="-4"/>
          <w:sz w:val="16"/>
          <w:szCs w:val="16"/>
          <w:lang w:val="es-CR"/>
        </w:rPr>
      </w:pPr>
      <w:r w:rsidRPr="00CC214C">
        <w:rPr>
          <w:rStyle w:val="FootnoteReference"/>
          <w:spacing w:val="-4"/>
          <w:lang w:val="es-CR"/>
        </w:rPr>
        <w:footnoteRef/>
      </w:r>
      <w:r>
        <w:rPr>
          <w:spacing w:val="-4"/>
          <w:sz w:val="16"/>
          <w:szCs w:val="16"/>
          <w:lang w:val="es-CR"/>
        </w:rPr>
        <w:t xml:space="preserve"> </w:t>
      </w:r>
      <w:r>
        <w:rPr>
          <w:spacing w:val="-4"/>
          <w:sz w:val="16"/>
          <w:szCs w:val="16"/>
          <w:lang w:val="es-CR"/>
        </w:rPr>
        <w:tab/>
      </w:r>
      <w:r w:rsidRPr="00257982">
        <w:rPr>
          <w:i/>
          <w:iCs/>
          <w:spacing w:val="-4"/>
          <w:sz w:val="16"/>
          <w:szCs w:val="16"/>
          <w:lang w:val="es-CR"/>
        </w:rPr>
        <w:t>Cfr.</w:t>
      </w:r>
      <w:r w:rsidRPr="00257982">
        <w:rPr>
          <w:i/>
          <w:spacing w:val="-4"/>
          <w:sz w:val="16"/>
          <w:szCs w:val="16"/>
          <w:lang w:val="es-CR"/>
        </w:rPr>
        <w:t xml:space="preserve"> </w:t>
      </w:r>
      <w:r w:rsidRPr="00257982">
        <w:rPr>
          <w:bCs/>
          <w:i/>
          <w:spacing w:val="-4"/>
          <w:sz w:val="16"/>
          <w:szCs w:val="16"/>
          <w:lang w:val="es-CR"/>
        </w:rPr>
        <w:t xml:space="preserve">Caso Masacre de las Dos Erres Vs. Guatemala. Excepción Preliminar, </w:t>
      </w:r>
      <w:r w:rsidRPr="00257982">
        <w:rPr>
          <w:i/>
          <w:spacing w:val="-4"/>
          <w:sz w:val="16"/>
          <w:szCs w:val="16"/>
          <w:lang w:val="es-CR"/>
        </w:rPr>
        <w:t>Fondo, Reparaciones y Costas</w:t>
      </w:r>
      <w:r w:rsidRPr="00257982">
        <w:rPr>
          <w:spacing w:val="-4"/>
          <w:sz w:val="16"/>
          <w:szCs w:val="16"/>
          <w:lang w:val="es-CR"/>
        </w:rPr>
        <w:t xml:space="preserve">. Sentencia de 24 de noviembre de 2009. Serie C No. 211, párr. 245, y </w:t>
      </w:r>
      <w:r>
        <w:rPr>
          <w:i/>
          <w:spacing w:val="-4"/>
          <w:sz w:val="16"/>
          <w:szCs w:val="16"/>
        </w:rPr>
        <w:t>Caso Mun</w:t>
      </w:r>
      <w:r w:rsidRPr="00296E08">
        <w:rPr>
          <w:i/>
          <w:spacing w:val="-4"/>
          <w:sz w:val="16"/>
          <w:szCs w:val="16"/>
        </w:rPr>
        <w:t>á</w:t>
      </w:r>
      <w:r>
        <w:rPr>
          <w:i/>
          <w:spacing w:val="-4"/>
          <w:sz w:val="16"/>
          <w:szCs w:val="16"/>
        </w:rPr>
        <w:t>rriz Escobar y Otros Vs. Perú</w:t>
      </w:r>
      <w:r>
        <w:rPr>
          <w:i/>
          <w:color w:val="000000"/>
          <w:spacing w:val="-4"/>
          <w:sz w:val="16"/>
          <w:szCs w:val="16"/>
        </w:rPr>
        <w:t xml:space="preserve">, </w:t>
      </w:r>
      <w:r w:rsidRPr="003A5FAB">
        <w:rPr>
          <w:i/>
          <w:color w:val="000000"/>
          <w:spacing w:val="-4"/>
          <w:sz w:val="16"/>
          <w:szCs w:val="16"/>
        </w:rPr>
        <w:t>supra</w:t>
      </w:r>
      <w:r w:rsidRPr="00F10686">
        <w:rPr>
          <w:i/>
          <w:spacing w:val="-4"/>
          <w:sz w:val="16"/>
          <w:szCs w:val="16"/>
        </w:rPr>
        <w:t>,</w:t>
      </w:r>
      <w:r w:rsidRPr="00F10686">
        <w:rPr>
          <w:spacing w:val="-4"/>
          <w:sz w:val="16"/>
          <w:szCs w:val="16"/>
        </w:rPr>
        <w:t xml:space="preserve"> párr. </w:t>
      </w:r>
      <w:r>
        <w:rPr>
          <w:spacing w:val="-4"/>
          <w:sz w:val="16"/>
          <w:szCs w:val="16"/>
        </w:rPr>
        <w:t>104.</w:t>
      </w:r>
    </w:p>
  </w:footnote>
  <w:footnote w:id="292">
    <w:p w:rsidR="00B41935" w:rsidRPr="00DB0133" w:rsidRDefault="00B41935" w:rsidP="00881DB6">
      <w:pPr>
        <w:pStyle w:val="FootnoteText"/>
        <w:rPr>
          <w:sz w:val="16"/>
          <w:szCs w:val="16"/>
        </w:rPr>
      </w:pPr>
      <w:r w:rsidRPr="00CC214C">
        <w:rPr>
          <w:rStyle w:val="FootnoteReference"/>
        </w:rPr>
        <w:footnoteRef/>
      </w:r>
      <w:r>
        <w:rPr>
          <w:sz w:val="16"/>
          <w:szCs w:val="16"/>
        </w:rPr>
        <w:t xml:space="preserve"> </w:t>
      </w:r>
      <w:r>
        <w:rPr>
          <w:sz w:val="16"/>
          <w:szCs w:val="16"/>
        </w:rPr>
        <w:tab/>
      </w:r>
      <w:r w:rsidRPr="00DB0133">
        <w:rPr>
          <w:i/>
          <w:sz w:val="16"/>
          <w:szCs w:val="16"/>
        </w:rPr>
        <w:t>Cfr.</w:t>
      </w:r>
      <w:r w:rsidRPr="00DB0133">
        <w:rPr>
          <w:sz w:val="16"/>
          <w:szCs w:val="16"/>
        </w:rPr>
        <w:t xml:space="preserve"> </w:t>
      </w:r>
      <w:r w:rsidRPr="004B1350">
        <w:rPr>
          <w:i/>
          <w:sz w:val="16"/>
          <w:szCs w:val="16"/>
        </w:rPr>
        <w:t>Caso Vargas Areco</w:t>
      </w:r>
      <w:r>
        <w:rPr>
          <w:sz w:val="16"/>
          <w:szCs w:val="16"/>
        </w:rPr>
        <w:t xml:space="preserve"> </w:t>
      </w:r>
      <w:r w:rsidRPr="00DB0133">
        <w:rPr>
          <w:i/>
          <w:sz w:val="16"/>
          <w:szCs w:val="16"/>
        </w:rPr>
        <w:t>Vs. Paraguay</w:t>
      </w:r>
      <w:r>
        <w:rPr>
          <w:sz w:val="16"/>
          <w:szCs w:val="16"/>
        </w:rPr>
        <w:t>.</w:t>
      </w:r>
      <w:r w:rsidRPr="006B49E6">
        <w:rPr>
          <w:sz w:val="16"/>
          <w:szCs w:val="16"/>
        </w:rPr>
        <w:t xml:space="preserve"> Sentencia de 26 de septiembre de</w:t>
      </w:r>
      <w:r>
        <w:rPr>
          <w:sz w:val="16"/>
          <w:szCs w:val="16"/>
        </w:rPr>
        <w:t xml:space="preserve"> 2006. Serie C No. 155</w:t>
      </w:r>
      <w:r w:rsidRPr="006B49E6">
        <w:rPr>
          <w:sz w:val="16"/>
          <w:szCs w:val="16"/>
        </w:rPr>
        <w:t>, párr. 81;</w:t>
      </w:r>
      <w:r>
        <w:rPr>
          <w:sz w:val="16"/>
          <w:szCs w:val="16"/>
        </w:rPr>
        <w:t xml:space="preserve"> </w:t>
      </w:r>
      <w:r w:rsidRPr="00257982">
        <w:rPr>
          <w:i/>
          <w:sz w:val="16"/>
          <w:szCs w:val="16"/>
        </w:rPr>
        <w:t>Caso del Penal Miguel Castro Castro</w:t>
      </w:r>
      <w:r w:rsidRPr="00257982">
        <w:rPr>
          <w:sz w:val="16"/>
          <w:szCs w:val="16"/>
        </w:rPr>
        <w:t>,</w:t>
      </w:r>
      <w:r>
        <w:rPr>
          <w:rStyle w:val="Strong"/>
          <w:b w:val="0"/>
          <w:i/>
          <w:color w:val="000000"/>
          <w:sz w:val="16"/>
          <w:szCs w:val="16"/>
          <w:shd w:val="clear" w:color="auto" w:fill="FFFFFF"/>
        </w:rPr>
        <w:t xml:space="preserve"> supra</w:t>
      </w:r>
      <w:r>
        <w:rPr>
          <w:sz w:val="16"/>
          <w:szCs w:val="16"/>
        </w:rPr>
        <w:t xml:space="preserve">, </w:t>
      </w:r>
      <w:r w:rsidRPr="00257982">
        <w:rPr>
          <w:sz w:val="16"/>
          <w:szCs w:val="16"/>
        </w:rPr>
        <w:t>p</w:t>
      </w:r>
      <w:r>
        <w:rPr>
          <w:sz w:val="16"/>
          <w:szCs w:val="16"/>
        </w:rPr>
        <w:t>árr. 347, y</w:t>
      </w:r>
      <w:r w:rsidRPr="00257982">
        <w:rPr>
          <w:sz w:val="16"/>
          <w:szCs w:val="16"/>
        </w:rPr>
        <w:t xml:space="preserve"> </w:t>
      </w:r>
      <w:r w:rsidRPr="00257982">
        <w:rPr>
          <w:i/>
          <w:sz w:val="16"/>
          <w:szCs w:val="16"/>
        </w:rPr>
        <w:t>Caso</w:t>
      </w:r>
      <w:r>
        <w:rPr>
          <w:i/>
          <w:sz w:val="16"/>
          <w:szCs w:val="16"/>
        </w:rPr>
        <w:t xml:space="preserve"> Miembros de la Aldea Chichupac y Comunidades Vecinas del Municipio de Rabinal Vs. Guatemala.</w:t>
      </w:r>
      <w:r w:rsidRPr="00AC211E">
        <w:rPr>
          <w:sz w:val="16"/>
          <w:szCs w:val="16"/>
        </w:rPr>
        <w:t xml:space="preserve"> </w:t>
      </w:r>
      <w:r w:rsidRPr="00871ABC">
        <w:rPr>
          <w:i/>
          <w:sz w:val="16"/>
          <w:szCs w:val="16"/>
        </w:rPr>
        <w:t>Excepciones Preliminares, Fondo, Reparaciones y Costas.</w:t>
      </w:r>
      <w:r w:rsidRPr="00902BFA">
        <w:rPr>
          <w:sz w:val="16"/>
          <w:szCs w:val="16"/>
        </w:rPr>
        <w:t xml:space="preserve"> </w:t>
      </w:r>
      <w:r>
        <w:rPr>
          <w:sz w:val="16"/>
          <w:szCs w:val="16"/>
        </w:rPr>
        <w:t>Sentencia de 30 de noviembre</w:t>
      </w:r>
      <w:r w:rsidRPr="006B49E6">
        <w:rPr>
          <w:sz w:val="16"/>
          <w:szCs w:val="16"/>
        </w:rPr>
        <w:t xml:space="preserve"> de</w:t>
      </w:r>
      <w:r>
        <w:rPr>
          <w:sz w:val="16"/>
          <w:szCs w:val="16"/>
        </w:rPr>
        <w:t xml:space="preserve"> 2016. Serie C No. 328. Serie C No. 218, párr. 240.</w:t>
      </w:r>
      <w:r>
        <w:rPr>
          <w:i/>
          <w:sz w:val="16"/>
          <w:szCs w:val="16"/>
        </w:rPr>
        <w:t xml:space="preserve">  </w:t>
      </w:r>
    </w:p>
  </w:footnote>
  <w:footnote w:id="293">
    <w:p w:rsidR="00B41935" w:rsidRPr="00257982" w:rsidRDefault="00B41935" w:rsidP="00881DB6">
      <w:pPr>
        <w:pStyle w:val="FootnoteText"/>
        <w:rPr>
          <w:rFonts w:eastAsia="Times New Roman"/>
          <w:sz w:val="16"/>
          <w:szCs w:val="16"/>
          <w:lang w:val="es-ES_tradnl"/>
        </w:rPr>
      </w:pPr>
      <w:r w:rsidRPr="00CC214C">
        <w:rPr>
          <w:rStyle w:val="FootnoteReference"/>
        </w:rPr>
        <w:footnoteRef/>
      </w:r>
      <w:r w:rsidRPr="00257982">
        <w:rPr>
          <w:sz w:val="16"/>
          <w:szCs w:val="16"/>
        </w:rPr>
        <w:tab/>
      </w:r>
      <w:r w:rsidRPr="00257982">
        <w:rPr>
          <w:i/>
          <w:sz w:val="16"/>
          <w:szCs w:val="16"/>
        </w:rPr>
        <w:t>Cfr.</w:t>
      </w:r>
      <w:r w:rsidRPr="00257982">
        <w:rPr>
          <w:b/>
          <w:sz w:val="16"/>
          <w:szCs w:val="16"/>
        </w:rPr>
        <w:t xml:space="preserve"> </w:t>
      </w:r>
      <w:r w:rsidRPr="00706340">
        <w:rPr>
          <w:i/>
          <w:sz w:val="16"/>
          <w:szCs w:val="16"/>
        </w:rPr>
        <w:t>Caso Gutiérrez Soler</w:t>
      </w:r>
      <w:r w:rsidRPr="009956F5">
        <w:rPr>
          <w:b/>
          <w:bCs/>
          <w:color w:val="000000"/>
          <w:szCs w:val="22"/>
          <w:shd w:val="clear" w:color="auto" w:fill="FFFFFF"/>
        </w:rPr>
        <w:t xml:space="preserve"> </w:t>
      </w:r>
      <w:r w:rsidRPr="004B1350">
        <w:rPr>
          <w:bCs/>
          <w:i/>
          <w:sz w:val="16"/>
          <w:szCs w:val="16"/>
        </w:rPr>
        <w:t>Vs. Colombia.</w:t>
      </w:r>
      <w:r w:rsidRPr="00706340">
        <w:rPr>
          <w:sz w:val="16"/>
          <w:szCs w:val="16"/>
        </w:rPr>
        <w:t xml:space="preserve"> </w:t>
      </w:r>
      <w:r w:rsidRPr="004B1350">
        <w:rPr>
          <w:bCs/>
          <w:sz w:val="16"/>
          <w:szCs w:val="16"/>
        </w:rPr>
        <w:t>Sentencia de 12 de septiembre de 2005. Serie C No. 132.</w:t>
      </w:r>
      <w:r w:rsidRPr="009956F5">
        <w:rPr>
          <w:sz w:val="16"/>
          <w:szCs w:val="16"/>
        </w:rPr>
        <w:t xml:space="preserve"> </w:t>
      </w:r>
      <w:r w:rsidRPr="00706340">
        <w:rPr>
          <w:sz w:val="16"/>
          <w:szCs w:val="16"/>
        </w:rPr>
        <w:t xml:space="preserve">párr. 54, y </w:t>
      </w:r>
      <w:r w:rsidRPr="004B1350">
        <w:rPr>
          <w:i/>
          <w:color w:val="000000"/>
          <w:sz w:val="16"/>
          <w:szCs w:val="16"/>
        </w:rPr>
        <w:t xml:space="preserve">Caso </w:t>
      </w:r>
      <w:r w:rsidRPr="004B1350">
        <w:rPr>
          <w:i/>
          <w:sz w:val="16"/>
          <w:szCs w:val="16"/>
        </w:rPr>
        <w:t>Vélez Loor Vs. Panamá. Excepciones Preliminares, Fondo, Reparaciones y Costas.</w:t>
      </w:r>
      <w:r w:rsidRPr="004B1350">
        <w:rPr>
          <w:sz w:val="16"/>
          <w:szCs w:val="16"/>
        </w:rPr>
        <w:t xml:space="preserve"> Sentencia de 23 de noviembre de 2010; Serie C No. 218, párr. 240.</w:t>
      </w:r>
    </w:p>
  </w:footnote>
  <w:footnote w:id="294">
    <w:p w:rsidR="00B41935" w:rsidRPr="0000173B" w:rsidRDefault="00B41935" w:rsidP="00881DB6">
      <w:pPr>
        <w:pStyle w:val="FootnoteText"/>
        <w:rPr>
          <w:sz w:val="16"/>
          <w:szCs w:val="16"/>
          <w:lang w:val="es-CR"/>
        </w:rPr>
      </w:pPr>
      <w:r w:rsidRPr="00CC214C">
        <w:rPr>
          <w:rStyle w:val="FootnoteReference"/>
        </w:rPr>
        <w:footnoteRef/>
      </w:r>
      <w:r w:rsidRPr="00CC214C">
        <w:rPr>
          <w:sz w:val="16"/>
          <w:szCs w:val="16"/>
          <w:lang w:val="es-CR"/>
        </w:rPr>
        <w:t xml:space="preserve"> </w:t>
      </w:r>
      <w:r w:rsidRPr="00CC214C">
        <w:rPr>
          <w:sz w:val="16"/>
          <w:szCs w:val="16"/>
          <w:lang w:val="es-CR"/>
        </w:rPr>
        <w:tab/>
        <w:t>En solicitud realizada</w:t>
      </w:r>
      <w:r w:rsidRPr="00CC214C">
        <w:rPr>
          <w:sz w:val="16"/>
          <w:szCs w:val="16"/>
          <w:lang w:val="es-AR"/>
        </w:rPr>
        <w:t xml:space="preserve"> el 24 de septiembre de 1986 ante el Director de la Oficina de Derechos Humanos del Ministerio Público</w:t>
      </w:r>
      <w:r>
        <w:rPr>
          <w:sz w:val="16"/>
          <w:szCs w:val="16"/>
          <w:lang w:val="es-AR"/>
        </w:rPr>
        <w:t>,</w:t>
      </w:r>
      <w:r w:rsidRPr="00CC214C">
        <w:rPr>
          <w:sz w:val="16"/>
          <w:szCs w:val="16"/>
          <w:lang w:val="es-AR"/>
        </w:rPr>
        <w:t xml:space="preserve"> en la cual solicitó que se le otorgara</w:t>
      </w:r>
      <w:r w:rsidRPr="00552A48">
        <w:rPr>
          <w:sz w:val="16"/>
          <w:szCs w:val="16"/>
          <w:lang w:val="es-AR"/>
        </w:rPr>
        <w:t>n a él y a su familia protección par</w:t>
      </w:r>
      <w:r>
        <w:rPr>
          <w:sz w:val="16"/>
          <w:szCs w:val="16"/>
          <w:lang w:val="es-AR"/>
        </w:rPr>
        <w:t>a vivir en paz en La Merced. E</w:t>
      </w:r>
      <w:r w:rsidRPr="00552A48">
        <w:rPr>
          <w:sz w:val="16"/>
          <w:szCs w:val="16"/>
          <w:lang w:val="es-AR"/>
        </w:rPr>
        <w:t xml:space="preserve">n ese acto manifestó que permaneció varios días detenido junto con su sobrino Santiago Antezana Cueto en la Base Militar de Acobamba, lugar donde </w:t>
      </w:r>
      <w:r>
        <w:rPr>
          <w:sz w:val="16"/>
          <w:szCs w:val="16"/>
          <w:lang w:val="es-AR"/>
        </w:rPr>
        <w:t xml:space="preserve">ambos fueron torturados. </w:t>
      </w:r>
      <w:r w:rsidRPr="0043077C">
        <w:rPr>
          <w:i/>
          <w:sz w:val="16"/>
          <w:szCs w:val="16"/>
          <w:lang w:val="es-AR"/>
        </w:rPr>
        <w:t>Cfr.</w:t>
      </w:r>
      <w:r>
        <w:rPr>
          <w:sz w:val="16"/>
          <w:szCs w:val="16"/>
          <w:lang w:val="es-AR"/>
        </w:rPr>
        <w:t xml:space="preserve"> </w:t>
      </w:r>
      <w:r w:rsidRPr="00552A48">
        <w:rPr>
          <w:sz w:val="16"/>
          <w:szCs w:val="16"/>
          <w:lang w:val="es-AR"/>
        </w:rPr>
        <w:t>Comun</w:t>
      </w:r>
      <w:r>
        <w:rPr>
          <w:sz w:val="16"/>
          <w:szCs w:val="16"/>
          <w:lang w:val="es-AR"/>
        </w:rPr>
        <w:t>icación de los peticionarios de</w:t>
      </w:r>
      <w:r w:rsidRPr="00552A48">
        <w:rPr>
          <w:sz w:val="16"/>
          <w:szCs w:val="16"/>
          <w:lang w:val="es-AR"/>
        </w:rPr>
        <w:t xml:space="preserve"> 19 de enero de 2005. Solicitud de garantías presentada por el señor Máximo Ante</w:t>
      </w:r>
      <w:r w:rsidRPr="00F10686">
        <w:rPr>
          <w:sz w:val="16"/>
          <w:szCs w:val="16"/>
          <w:lang w:val="es-AR"/>
        </w:rPr>
        <w:t>zana Espeza al Director de la Oficina de De</w:t>
      </w:r>
      <w:r>
        <w:rPr>
          <w:sz w:val="16"/>
          <w:szCs w:val="16"/>
          <w:lang w:val="es-AR"/>
        </w:rPr>
        <w:t>rechos Humanos del Ministerio Pú</w:t>
      </w:r>
      <w:r w:rsidRPr="00F10686">
        <w:rPr>
          <w:sz w:val="16"/>
          <w:szCs w:val="16"/>
          <w:lang w:val="es-AR"/>
        </w:rPr>
        <w:t>blico el 24 de septiembre de 1986</w:t>
      </w:r>
      <w:r>
        <w:rPr>
          <w:sz w:val="16"/>
          <w:szCs w:val="16"/>
          <w:lang w:val="es-AR"/>
        </w:rPr>
        <w:t xml:space="preserve"> (expediente de prueba, anexo </w:t>
      </w:r>
      <w:r w:rsidRPr="00F10686">
        <w:rPr>
          <w:sz w:val="16"/>
          <w:szCs w:val="16"/>
          <w:lang w:val="es-AR"/>
        </w:rPr>
        <w:t>48 al Informe de Fondo</w:t>
      </w:r>
      <w:r w:rsidRPr="006D6A0D">
        <w:rPr>
          <w:sz w:val="16"/>
          <w:szCs w:val="16"/>
          <w:lang w:val="es-AR"/>
        </w:rPr>
        <w:t>, fs. 417 a 418).</w:t>
      </w:r>
      <w:r>
        <w:rPr>
          <w:sz w:val="16"/>
          <w:szCs w:val="16"/>
          <w:lang w:val="es-AR"/>
        </w:rPr>
        <w:t xml:space="preserve"> </w:t>
      </w:r>
    </w:p>
  </w:footnote>
  <w:footnote w:id="295">
    <w:p w:rsidR="00B41935" w:rsidRPr="00257982" w:rsidRDefault="00B41935" w:rsidP="00881DB6">
      <w:pPr>
        <w:pStyle w:val="FootnoteText"/>
        <w:tabs>
          <w:tab w:val="left" w:pos="426"/>
        </w:tabs>
        <w:rPr>
          <w:spacing w:val="-4"/>
          <w:sz w:val="16"/>
          <w:szCs w:val="16"/>
          <w:lang w:val="es-CR"/>
        </w:rPr>
      </w:pPr>
      <w:r w:rsidRPr="00CC214C">
        <w:rPr>
          <w:rStyle w:val="FootnoteReference"/>
          <w:spacing w:val="-4"/>
        </w:rPr>
        <w:footnoteRef/>
      </w:r>
      <w:r w:rsidRPr="00257982">
        <w:rPr>
          <w:spacing w:val="-4"/>
          <w:sz w:val="16"/>
          <w:szCs w:val="16"/>
          <w:lang w:val="es-CR"/>
        </w:rPr>
        <w:t xml:space="preserve"> </w:t>
      </w:r>
      <w:r w:rsidRPr="00257982">
        <w:rPr>
          <w:spacing w:val="-4"/>
          <w:sz w:val="16"/>
          <w:szCs w:val="16"/>
          <w:lang w:val="es-CR"/>
        </w:rPr>
        <w:tab/>
      </w:r>
      <w:r>
        <w:rPr>
          <w:spacing w:val="-4"/>
          <w:sz w:val="16"/>
          <w:szCs w:val="16"/>
          <w:lang w:val="es-CR"/>
        </w:rPr>
        <w:tab/>
        <w:t xml:space="preserve"> </w:t>
      </w:r>
      <w:r w:rsidRPr="00257982">
        <w:rPr>
          <w:i/>
          <w:sz w:val="16"/>
          <w:szCs w:val="16"/>
        </w:rPr>
        <w:t>Cfr.</w:t>
      </w:r>
      <w:r>
        <w:rPr>
          <w:b/>
          <w:sz w:val="16"/>
          <w:szCs w:val="16"/>
        </w:rPr>
        <w:t xml:space="preserve"> </w:t>
      </w:r>
      <w:r w:rsidRPr="008469B2">
        <w:rPr>
          <w:i/>
          <w:spacing w:val="-4"/>
          <w:sz w:val="16"/>
          <w:szCs w:val="16"/>
          <w:lang w:val="es-CR"/>
        </w:rPr>
        <w:t>Caso Valle Jaramillo y otros Vs. Colombia</w:t>
      </w:r>
      <w:r>
        <w:rPr>
          <w:i/>
          <w:spacing w:val="-4"/>
          <w:sz w:val="16"/>
          <w:szCs w:val="16"/>
          <w:lang w:val="es-CR"/>
        </w:rPr>
        <w:t>, supra</w:t>
      </w:r>
      <w:r>
        <w:rPr>
          <w:spacing w:val="-4"/>
          <w:sz w:val="16"/>
          <w:szCs w:val="16"/>
          <w:lang w:val="es-CR"/>
        </w:rPr>
        <w:t xml:space="preserve">, párr. 165, y </w:t>
      </w:r>
      <w:r>
        <w:rPr>
          <w:i/>
          <w:spacing w:val="-4"/>
          <w:sz w:val="16"/>
          <w:szCs w:val="16"/>
          <w:lang w:val="es-CR"/>
        </w:rPr>
        <w:t>Caso Rodríguez Vera</w:t>
      </w:r>
      <w:r w:rsidRPr="00880756">
        <w:rPr>
          <w:i/>
          <w:spacing w:val="-4"/>
          <w:sz w:val="16"/>
          <w:szCs w:val="16"/>
          <w:lang w:val="es-CR"/>
        </w:rPr>
        <w:t xml:space="preserve"> y otros </w:t>
      </w:r>
      <w:r>
        <w:rPr>
          <w:i/>
          <w:spacing w:val="-4"/>
          <w:sz w:val="16"/>
          <w:szCs w:val="16"/>
          <w:lang w:val="es-CR"/>
        </w:rPr>
        <w:t xml:space="preserve">(Desaparecidos del Palacio de Justicia) </w:t>
      </w:r>
      <w:r w:rsidRPr="00880756">
        <w:rPr>
          <w:i/>
          <w:spacing w:val="-4"/>
          <w:sz w:val="16"/>
          <w:szCs w:val="16"/>
          <w:lang w:val="es-CR"/>
        </w:rPr>
        <w:t>Vs. Colombia</w:t>
      </w:r>
      <w:r>
        <w:rPr>
          <w:i/>
          <w:spacing w:val="-4"/>
          <w:sz w:val="16"/>
          <w:szCs w:val="16"/>
          <w:lang w:val="es-CR"/>
        </w:rPr>
        <w:t>, supra</w:t>
      </w:r>
      <w:r>
        <w:rPr>
          <w:spacing w:val="-4"/>
          <w:sz w:val="16"/>
          <w:szCs w:val="16"/>
          <w:lang w:val="es-CR"/>
        </w:rPr>
        <w:t>, párr. 460</w:t>
      </w:r>
      <w:r w:rsidRPr="00DD7E04">
        <w:rPr>
          <w:spacing w:val="-4"/>
          <w:sz w:val="16"/>
          <w:szCs w:val="16"/>
          <w:lang w:val="es-CR"/>
        </w:rPr>
        <w:t>.</w:t>
      </w:r>
    </w:p>
  </w:footnote>
  <w:footnote w:id="296">
    <w:p w:rsidR="00B41935" w:rsidRPr="00257982" w:rsidRDefault="00B41935" w:rsidP="00881DB6">
      <w:pPr>
        <w:pStyle w:val="FootnoteText"/>
        <w:tabs>
          <w:tab w:val="left" w:pos="426"/>
        </w:tabs>
        <w:rPr>
          <w:rFonts w:eastAsia="Times New Roman" w:cs="Verdana"/>
          <w:spacing w:val="-4"/>
          <w:sz w:val="16"/>
          <w:szCs w:val="16"/>
          <w:lang w:val="pt-BR"/>
        </w:rPr>
      </w:pPr>
      <w:r w:rsidRPr="00CC214C">
        <w:rPr>
          <w:rStyle w:val="FootnoteReference"/>
          <w:spacing w:val="-4"/>
        </w:rPr>
        <w:footnoteRef/>
      </w:r>
      <w:r w:rsidRPr="00257982">
        <w:rPr>
          <w:spacing w:val="-4"/>
          <w:sz w:val="16"/>
          <w:szCs w:val="16"/>
          <w:lang w:val="es-ES"/>
        </w:rPr>
        <w:t xml:space="preserve"> </w:t>
      </w:r>
      <w:r w:rsidRPr="00257982">
        <w:rPr>
          <w:spacing w:val="-4"/>
          <w:sz w:val="16"/>
          <w:szCs w:val="16"/>
          <w:lang w:val="es-ES"/>
        </w:rPr>
        <w:tab/>
      </w:r>
      <w:r>
        <w:rPr>
          <w:spacing w:val="-4"/>
          <w:sz w:val="16"/>
          <w:szCs w:val="16"/>
          <w:lang w:val="es-ES"/>
        </w:rPr>
        <w:tab/>
      </w:r>
      <w:r w:rsidRPr="00257982">
        <w:rPr>
          <w:i/>
          <w:spacing w:val="-4"/>
          <w:sz w:val="16"/>
          <w:szCs w:val="16"/>
          <w:lang w:val="es-CR"/>
        </w:rPr>
        <w:t>Cfr.</w:t>
      </w:r>
      <w:r w:rsidRPr="00257982">
        <w:rPr>
          <w:b/>
          <w:spacing w:val="-4"/>
          <w:sz w:val="16"/>
          <w:szCs w:val="16"/>
          <w:lang w:val="es-CR"/>
        </w:rPr>
        <w:t xml:space="preserve"> </w:t>
      </w:r>
      <w:r w:rsidRPr="00257982">
        <w:rPr>
          <w:rFonts w:eastAsia="Batang" w:cs="Arial"/>
          <w:i/>
          <w:spacing w:val="-4"/>
          <w:sz w:val="16"/>
          <w:szCs w:val="16"/>
        </w:rPr>
        <w:t xml:space="preserve">Caso Gelman Vs. Uruguay. Fondo y Reparaciones. </w:t>
      </w:r>
      <w:r w:rsidRPr="00257982">
        <w:rPr>
          <w:rFonts w:eastAsia="Batang" w:cs="Arial"/>
          <w:spacing w:val="-4"/>
          <w:sz w:val="16"/>
          <w:szCs w:val="16"/>
        </w:rPr>
        <w:t>Sentencia de 24 de febrero de 2011 Serie C No.</w:t>
      </w:r>
      <w:r>
        <w:rPr>
          <w:rFonts w:eastAsia="Batang" w:cs="Arial"/>
          <w:spacing w:val="-4"/>
          <w:sz w:val="16"/>
          <w:szCs w:val="16"/>
        </w:rPr>
        <w:t xml:space="preserve"> </w:t>
      </w:r>
      <w:r w:rsidRPr="00257982">
        <w:rPr>
          <w:rFonts w:eastAsia="Batang" w:cs="Arial"/>
          <w:spacing w:val="-4"/>
          <w:sz w:val="16"/>
          <w:szCs w:val="16"/>
        </w:rPr>
        <w:t>221</w:t>
      </w:r>
      <w:r w:rsidRPr="00257982">
        <w:rPr>
          <w:color w:val="000000"/>
          <w:spacing w:val="-4"/>
          <w:sz w:val="16"/>
          <w:szCs w:val="16"/>
          <w:lang w:val="es-CR"/>
        </w:rPr>
        <w:t xml:space="preserve">, párr. 243, y </w:t>
      </w:r>
      <w:r w:rsidRPr="00257982">
        <w:rPr>
          <w:i/>
          <w:spacing w:val="-4"/>
          <w:sz w:val="16"/>
          <w:szCs w:val="16"/>
        </w:rPr>
        <w:t xml:space="preserve">Caso </w:t>
      </w:r>
      <w:r>
        <w:rPr>
          <w:i/>
          <w:spacing w:val="-4"/>
          <w:sz w:val="16"/>
          <w:szCs w:val="16"/>
        </w:rPr>
        <w:t xml:space="preserve">Herzog y Otros </w:t>
      </w:r>
      <w:r w:rsidRPr="00257982">
        <w:rPr>
          <w:i/>
          <w:spacing w:val="-4"/>
          <w:sz w:val="16"/>
          <w:szCs w:val="16"/>
        </w:rPr>
        <w:t xml:space="preserve"> Vs. </w:t>
      </w:r>
      <w:r>
        <w:rPr>
          <w:i/>
          <w:spacing w:val="-4"/>
          <w:sz w:val="16"/>
          <w:szCs w:val="16"/>
        </w:rPr>
        <w:t xml:space="preserve">Brasil, </w:t>
      </w:r>
      <w:r>
        <w:rPr>
          <w:rStyle w:val="Strong"/>
          <w:b w:val="0"/>
          <w:i/>
          <w:color w:val="000000"/>
          <w:sz w:val="16"/>
          <w:szCs w:val="16"/>
          <w:shd w:val="clear" w:color="auto" w:fill="FFFFFF"/>
        </w:rPr>
        <w:t>supra</w:t>
      </w:r>
      <w:r>
        <w:rPr>
          <w:spacing w:val="-4"/>
          <w:sz w:val="16"/>
          <w:szCs w:val="16"/>
        </w:rPr>
        <w:t xml:space="preserve">, </w:t>
      </w:r>
      <w:r w:rsidRPr="00257982">
        <w:rPr>
          <w:spacing w:val="-4"/>
          <w:sz w:val="16"/>
          <w:szCs w:val="16"/>
        </w:rPr>
        <w:t xml:space="preserve">párr. </w:t>
      </w:r>
      <w:r>
        <w:rPr>
          <w:spacing w:val="-4"/>
          <w:sz w:val="16"/>
          <w:szCs w:val="16"/>
        </w:rPr>
        <w:t>328</w:t>
      </w:r>
      <w:r w:rsidRPr="00257982">
        <w:rPr>
          <w:color w:val="000000"/>
          <w:spacing w:val="-4"/>
          <w:sz w:val="16"/>
          <w:szCs w:val="16"/>
          <w:lang w:val="es-CR"/>
        </w:rPr>
        <w:t>.</w:t>
      </w:r>
      <w:r w:rsidRPr="00257982">
        <w:rPr>
          <w:i/>
          <w:spacing w:val="-4"/>
          <w:sz w:val="16"/>
          <w:szCs w:val="16"/>
          <w:lang w:val="es-CR"/>
        </w:rPr>
        <w:t xml:space="preserve"> </w:t>
      </w:r>
    </w:p>
  </w:footnote>
  <w:footnote w:id="297">
    <w:p w:rsidR="00B41935" w:rsidRPr="00F10686" w:rsidRDefault="00B41935" w:rsidP="00881DB6">
      <w:pPr>
        <w:pStyle w:val="FootnoteText"/>
        <w:rPr>
          <w:sz w:val="16"/>
          <w:szCs w:val="16"/>
        </w:rPr>
      </w:pPr>
      <w:r w:rsidRPr="00CC214C">
        <w:rPr>
          <w:rStyle w:val="FootnoteReference"/>
        </w:rPr>
        <w:footnoteRef/>
      </w:r>
      <w:r w:rsidRPr="00CC214C">
        <w:rPr>
          <w:sz w:val="16"/>
          <w:szCs w:val="16"/>
        </w:rPr>
        <w:t xml:space="preserve"> </w:t>
      </w:r>
      <w:r w:rsidRPr="00CC214C">
        <w:rPr>
          <w:sz w:val="16"/>
          <w:szCs w:val="16"/>
        </w:rPr>
        <w:tab/>
      </w:r>
      <w:r w:rsidRPr="00CC214C">
        <w:rPr>
          <w:i/>
          <w:iCs/>
          <w:sz w:val="16"/>
          <w:szCs w:val="16"/>
          <w:lang w:val="es-PR"/>
        </w:rPr>
        <w:t>Cfr</w:t>
      </w:r>
      <w:r w:rsidRPr="00CC214C">
        <w:rPr>
          <w:sz w:val="16"/>
          <w:szCs w:val="16"/>
          <w:lang w:val="es-PR"/>
        </w:rPr>
        <w:t xml:space="preserve">. </w:t>
      </w:r>
      <w:r w:rsidRPr="00CC214C">
        <w:rPr>
          <w:i/>
          <w:iCs/>
          <w:sz w:val="16"/>
          <w:szCs w:val="16"/>
          <w:lang w:val="es-ES"/>
        </w:rPr>
        <w:t xml:space="preserve">Caso Trujillo Oroza Vs. Bolivia. Reparaciones y Costas. </w:t>
      </w:r>
      <w:r w:rsidRPr="00552A48">
        <w:rPr>
          <w:sz w:val="16"/>
          <w:szCs w:val="16"/>
          <w:lang w:val="es-ES"/>
        </w:rPr>
        <w:t>Sentencia de 27 de febrero de 2002</w:t>
      </w:r>
      <w:r w:rsidRPr="00552A48">
        <w:rPr>
          <w:i/>
          <w:iCs/>
          <w:sz w:val="16"/>
          <w:szCs w:val="16"/>
          <w:lang w:val="es-ES"/>
        </w:rPr>
        <w:t xml:space="preserve">. </w:t>
      </w:r>
      <w:r w:rsidRPr="00552A48">
        <w:rPr>
          <w:sz w:val="16"/>
          <w:szCs w:val="16"/>
          <w:lang w:val="es-ES"/>
        </w:rPr>
        <w:t>Serie C No. 92, párr.</w:t>
      </w:r>
      <w:r w:rsidRPr="00552A48">
        <w:rPr>
          <w:sz w:val="16"/>
          <w:szCs w:val="16"/>
          <w:lang w:val="es-ES_tradnl"/>
        </w:rPr>
        <w:t xml:space="preserve"> 100</w:t>
      </w:r>
      <w:r w:rsidRPr="00552A48">
        <w:rPr>
          <w:sz w:val="16"/>
          <w:szCs w:val="16"/>
          <w:lang w:val="es-PR"/>
        </w:rPr>
        <w:t xml:space="preserve">, y </w:t>
      </w:r>
      <w:r w:rsidRPr="00257982">
        <w:rPr>
          <w:i/>
          <w:spacing w:val="-4"/>
          <w:sz w:val="16"/>
          <w:szCs w:val="16"/>
        </w:rPr>
        <w:t xml:space="preserve">Caso </w:t>
      </w:r>
      <w:r>
        <w:rPr>
          <w:i/>
          <w:spacing w:val="-4"/>
          <w:sz w:val="16"/>
          <w:szCs w:val="16"/>
        </w:rPr>
        <w:t>Herzog y Otros</w:t>
      </w:r>
      <w:r w:rsidRPr="00257982">
        <w:rPr>
          <w:i/>
          <w:spacing w:val="-4"/>
          <w:sz w:val="16"/>
          <w:szCs w:val="16"/>
        </w:rPr>
        <w:t xml:space="preserve"> Vs. </w:t>
      </w:r>
      <w:r>
        <w:rPr>
          <w:i/>
          <w:spacing w:val="-4"/>
          <w:sz w:val="16"/>
          <w:szCs w:val="16"/>
        </w:rPr>
        <w:t xml:space="preserve">Brasil, </w:t>
      </w:r>
      <w:r>
        <w:rPr>
          <w:rStyle w:val="Strong"/>
          <w:b w:val="0"/>
          <w:i/>
          <w:color w:val="000000"/>
          <w:sz w:val="16"/>
          <w:szCs w:val="16"/>
          <w:shd w:val="clear" w:color="auto" w:fill="FFFFFF"/>
        </w:rPr>
        <w:t>supra</w:t>
      </w:r>
      <w:r>
        <w:rPr>
          <w:spacing w:val="-4"/>
          <w:sz w:val="16"/>
          <w:szCs w:val="16"/>
        </w:rPr>
        <w:t xml:space="preserve">, </w:t>
      </w:r>
      <w:r w:rsidRPr="00257982">
        <w:rPr>
          <w:spacing w:val="-4"/>
          <w:sz w:val="16"/>
          <w:szCs w:val="16"/>
        </w:rPr>
        <w:t xml:space="preserve">párr. </w:t>
      </w:r>
      <w:r>
        <w:rPr>
          <w:spacing w:val="-4"/>
          <w:sz w:val="16"/>
          <w:szCs w:val="16"/>
        </w:rPr>
        <w:t>328</w:t>
      </w:r>
      <w:r w:rsidRPr="00257982">
        <w:rPr>
          <w:color w:val="000000"/>
          <w:spacing w:val="-4"/>
          <w:sz w:val="16"/>
          <w:szCs w:val="16"/>
          <w:lang w:val="es-CR"/>
        </w:rPr>
        <w:t>.</w:t>
      </w:r>
    </w:p>
  </w:footnote>
  <w:footnote w:id="298">
    <w:p w:rsidR="00B41935" w:rsidRPr="00224871" w:rsidRDefault="00B41935" w:rsidP="00881DB6">
      <w:pPr>
        <w:rPr>
          <w:lang w:val="es-ES"/>
        </w:rPr>
      </w:pPr>
      <w:r w:rsidRPr="00CC214C">
        <w:rPr>
          <w:rStyle w:val="FootnoteReference"/>
        </w:rPr>
        <w:footnoteRef/>
      </w:r>
      <w:r w:rsidRPr="00CC214C">
        <w:rPr>
          <w:sz w:val="16"/>
          <w:szCs w:val="16"/>
        </w:rPr>
        <w:t xml:space="preserve"> </w:t>
      </w:r>
      <w:r w:rsidRPr="00CC214C">
        <w:rPr>
          <w:sz w:val="16"/>
          <w:szCs w:val="16"/>
        </w:rPr>
        <w:tab/>
      </w:r>
      <w:r w:rsidRPr="00CC214C">
        <w:rPr>
          <w:i/>
          <w:iCs/>
          <w:sz w:val="16"/>
          <w:szCs w:val="16"/>
          <w:lang w:val="es-PR"/>
        </w:rPr>
        <w:t xml:space="preserve">Cfr. </w:t>
      </w:r>
      <w:r w:rsidRPr="004E6789">
        <w:rPr>
          <w:rStyle w:val="Strong"/>
          <w:b w:val="0"/>
          <w:i/>
          <w:iCs/>
          <w:color w:val="000000"/>
          <w:sz w:val="16"/>
          <w:szCs w:val="16"/>
          <w:lang w:val="es-ES_tradnl"/>
        </w:rPr>
        <w:t>Caso Velásquez Rodríguez Vs. Honduras</w:t>
      </w:r>
      <w:r>
        <w:rPr>
          <w:i/>
          <w:sz w:val="16"/>
          <w:szCs w:val="16"/>
          <w:lang w:val="es-AR"/>
        </w:rPr>
        <w:t>. Fondo</w:t>
      </w:r>
      <w:r>
        <w:rPr>
          <w:sz w:val="16"/>
          <w:szCs w:val="16"/>
          <w:lang w:val="es-AR"/>
        </w:rPr>
        <w:t>,</w:t>
      </w:r>
      <w:r>
        <w:rPr>
          <w:i/>
          <w:iCs/>
          <w:sz w:val="16"/>
          <w:szCs w:val="16"/>
          <w:lang w:val="es-ES"/>
        </w:rPr>
        <w:t xml:space="preserve"> </w:t>
      </w:r>
      <w:r w:rsidRPr="003A5FAB">
        <w:rPr>
          <w:i/>
          <w:sz w:val="16"/>
          <w:szCs w:val="16"/>
          <w:lang w:val="pt-BR"/>
        </w:rPr>
        <w:t>supra</w:t>
      </w:r>
      <w:r>
        <w:rPr>
          <w:i/>
          <w:sz w:val="16"/>
          <w:szCs w:val="16"/>
          <w:lang w:val="pt-BR"/>
        </w:rPr>
        <w:t>,</w:t>
      </w:r>
      <w:r w:rsidRPr="00CC214C">
        <w:rPr>
          <w:i/>
          <w:iCs/>
          <w:sz w:val="16"/>
          <w:szCs w:val="16"/>
          <w:lang w:val="es-ES"/>
        </w:rPr>
        <w:t xml:space="preserve"> </w:t>
      </w:r>
      <w:r w:rsidRPr="00552A48">
        <w:rPr>
          <w:sz w:val="16"/>
          <w:szCs w:val="16"/>
          <w:lang w:val="es-PR"/>
        </w:rPr>
        <w:t>párr. 181, y</w:t>
      </w:r>
      <w:r>
        <w:rPr>
          <w:sz w:val="16"/>
          <w:szCs w:val="16"/>
          <w:lang w:val="es-ES_tradnl"/>
        </w:rPr>
        <w:t xml:space="preserve"> </w:t>
      </w:r>
      <w:r w:rsidRPr="00F95D69">
        <w:rPr>
          <w:rStyle w:val="Strong"/>
          <w:b w:val="0"/>
          <w:i/>
          <w:color w:val="000000"/>
          <w:sz w:val="16"/>
          <w:szCs w:val="16"/>
          <w:shd w:val="clear" w:color="auto" w:fill="FFFFFF"/>
        </w:rPr>
        <w:t xml:space="preserve">Caso </w:t>
      </w:r>
      <w:r>
        <w:rPr>
          <w:rStyle w:val="Strong"/>
          <w:b w:val="0"/>
          <w:i/>
          <w:color w:val="000000"/>
          <w:sz w:val="16"/>
          <w:szCs w:val="16"/>
          <w:shd w:val="clear" w:color="auto" w:fill="FFFFFF"/>
        </w:rPr>
        <w:t>Mun</w:t>
      </w:r>
      <w:r w:rsidRPr="004B1350">
        <w:rPr>
          <w:sz w:val="16"/>
          <w:szCs w:val="16"/>
          <w:shd w:val="clear" w:color="auto" w:fill="FFFFFF"/>
        </w:rPr>
        <w:t>á</w:t>
      </w:r>
      <w:r>
        <w:rPr>
          <w:rStyle w:val="Strong"/>
          <w:b w:val="0"/>
          <w:i/>
          <w:color w:val="000000"/>
          <w:sz w:val="16"/>
          <w:szCs w:val="16"/>
          <w:shd w:val="clear" w:color="auto" w:fill="FFFFFF"/>
        </w:rPr>
        <w:t xml:space="preserve">rriz Escobar y Otros </w:t>
      </w:r>
      <w:r w:rsidRPr="00F95D69">
        <w:rPr>
          <w:rStyle w:val="Strong"/>
          <w:b w:val="0"/>
          <w:i/>
          <w:color w:val="000000"/>
          <w:sz w:val="16"/>
          <w:szCs w:val="16"/>
          <w:shd w:val="clear" w:color="auto" w:fill="FFFFFF"/>
        </w:rPr>
        <w:t xml:space="preserve"> Vs. </w:t>
      </w:r>
      <w:r>
        <w:rPr>
          <w:rStyle w:val="Strong"/>
          <w:b w:val="0"/>
          <w:i/>
          <w:color w:val="000000"/>
          <w:sz w:val="16"/>
          <w:szCs w:val="16"/>
          <w:shd w:val="clear" w:color="auto" w:fill="FFFFFF"/>
        </w:rPr>
        <w:t>Perú</w:t>
      </w:r>
      <w:r>
        <w:rPr>
          <w:i/>
          <w:color w:val="000000"/>
          <w:spacing w:val="-4"/>
          <w:sz w:val="16"/>
          <w:szCs w:val="16"/>
        </w:rPr>
        <w:t xml:space="preserve">, </w:t>
      </w:r>
      <w:r w:rsidRPr="003A5FAB">
        <w:rPr>
          <w:i/>
          <w:color w:val="000000"/>
          <w:spacing w:val="-4"/>
          <w:sz w:val="16"/>
          <w:szCs w:val="16"/>
        </w:rPr>
        <w:t>supra</w:t>
      </w:r>
      <w:r>
        <w:rPr>
          <w:i/>
          <w:color w:val="000000"/>
          <w:spacing w:val="-4"/>
          <w:sz w:val="16"/>
          <w:szCs w:val="16"/>
        </w:rPr>
        <w:t xml:space="preserve">, </w:t>
      </w:r>
      <w:r w:rsidRPr="00F95D69">
        <w:rPr>
          <w:rStyle w:val="Strong"/>
          <w:b w:val="0"/>
          <w:color w:val="000000"/>
          <w:sz w:val="16"/>
          <w:szCs w:val="16"/>
          <w:shd w:val="clear" w:color="auto" w:fill="FFFFFF"/>
        </w:rPr>
        <w:t xml:space="preserve">párr. </w:t>
      </w:r>
      <w:r>
        <w:rPr>
          <w:rStyle w:val="Strong"/>
          <w:b w:val="0"/>
          <w:color w:val="000000"/>
          <w:sz w:val="16"/>
          <w:szCs w:val="16"/>
          <w:shd w:val="clear" w:color="auto" w:fill="FFFFFF"/>
        </w:rPr>
        <w:t>109</w:t>
      </w:r>
      <w:r w:rsidRPr="00F95D69">
        <w:rPr>
          <w:rStyle w:val="Strong"/>
          <w:b w:val="0"/>
          <w:color w:val="000000"/>
          <w:sz w:val="16"/>
          <w:szCs w:val="16"/>
          <w:shd w:val="clear" w:color="auto" w:fill="FFFFFF"/>
        </w:rPr>
        <w:t>.</w:t>
      </w:r>
      <w:r>
        <w:rPr>
          <w:rStyle w:val="Strong"/>
          <w:b w:val="0"/>
          <w:color w:val="000000"/>
          <w:sz w:val="16"/>
          <w:szCs w:val="16"/>
          <w:shd w:val="clear" w:color="auto" w:fill="FFFFFF"/>
        </w:rPr>
        <w:t xml:space="preserve"> </w:t>
      </w:r>
    </w:p>
  </w:footnote>
  <w:footnote w:id="299">
    <w:p w:rsidR="00B41935" w:rsidRPr="008469B2" w:rsidRDefault="00B41935" w:rsidP="00881DB6">
      <w:pPr>
        <w:pStyle w:val="FootnoteText"/>
        <w:rPr>
          <w:sz w:val="16"/>
          <w:szCs w:val="16"/>
          <w:lang w:val="es-ES"/>
        </w:rPr>
      </w:pPr>
      <w:r w:rsidRPr="00CC214C">
        <w:rPr>
          <w:rStyle w:val="FootnoteReference"/>
        </w:rPr>
        <w:footnoteRef/>
      </w:r>
      <w:r>
        <w:rPr>
          <w:sz w:val="16"/>
          <w:szCs w:val="16"/>
        </w:rPr>
        <w:t xml:space="preserve"> </w:t>
      </w:r>
      <w:r>
        <w:rPr>
          <w:sz w:val="16"/>
          <w:szCs w:val="16"/>
        </w:rPr>
        <w:tab/>
      </w:r>
      <w:r w:rsidRPr="004B1350">
        <w:rPr>
          <w:i/>
          <w:sz w:val="16"/>
          <w:szCs w:val="16"/>
        </w:rPr>
        <w:t>Cfr</w:t>
      </w:r>
      <w:r w:rsidRPr="004B1350">
        <w:rPr>
          <w:sz w:val="16"/>
          <w:szCs w:val="16"/>
        </w:rPr>
        <w:t xml:space="preserve">. </w:t>
      </w:r>
      <w:r w:rsidRPr="004B1350">
        <w:rPr>
          <w:bCs/>
          <w:i/>
          <w:sz w:val="16"/>
          <w:szCs w:val="16"/>
        </w:rPr>
        <w:t>Caso Vereda La Esperanza Vs. Colombia. Excepciones Preliminares, Fondo, Reparaciones y Costas</w:t>
      </w:r>
      <w:r w:rsidRPr="004B1350">
        <w:rPr>
          <w:bCs/>
          <w:sz w:val="16"/>
          <w:szCs w:val="16"/>
        </w:rPr>
        <w:t>. Sentencia de 31 de agosto de 2017. Serie C No. 341.</w:t>
      </w:r>
      <w:r w:rsidRPr="005609F1">
        <w:rPr>
          <w:rStyle w:val="Strong"/>
          <w:b w:val="0"/>
          <w:color w:val="000000"/>
          <w:sz w:val="16"/>
          <w:szCs w:val="16"/>
          <w:shd w:val="clear" w:color="auto" w:fill="FFFFFF"/>
        </w:rPr>
        <w:t xml:space="preserve"> </w:t>
      </w:r>
      <w:r w:rsidRPr="00F95D69">
        <w:rPr>
          <w:rStyle w:val="Strong"/>
          <w:b w:val="0"/>
          <w:color w:val="000000"/>
          <w:sz w:val="16"/>
          <w:szCs w:val="16"/>
          <w:shd w:val="clear" w:color="auto" w:fill="FFFFFF"/>
        </w:rPr>
        <w:t xml:space="preserve">párr. </w:t>
      </w:r>
      <w:r>
        <w:rPr>
          <w:rStyle w:val="Strong"/>
          <w:b w:val="0"/>
          <w:color w:val="000000"/>
          <w:sz w:val="16"/>
          <w:szCs w:val="16"/>
          <w:shd w:val="clear" w:color="auto" w:fill="FFFFFF"/>
        </w:rPr>
        <w:t xml:space="preserve">220, </w:t>
      </w:r>
      <w:r>
        <w:rPr>
          <w:sz w:val="16"/>
          <w:szCs w:val="16"/>
          <w:lang w:val="es-ES_tradnl"/>
        </w:rPr>
        <w:t xml:space="preserve">y </w:t>
      </w:r>
      <w:r w:rsidRPr="00F95D69">
        <w:rPr>
          <w:rStyle w:val="Strong"/>
          <w:b w:val="0"/>
          <w:i/>
          <w:color w:val="000000"/>
          <w:sz w:val="16"/>
          <w:szCs w:val="16"/>
          <w:shd w:val="clear" w:color="auto" w:fill="FFFFFF"/>
        </w:rPr>
        <w:t xml:space="preserve">Caso </w:t>
      </w:r>
      <w:r>
        <w:rPr>
          <w:rStyle w:val="Strong"/>
          <w:b w:val="0"/>
          <w:i/>
          <w:color w:val="000000"/>
          <w:sz w:val="16"/>
          <w:szCs w:val="16"/>
          <w:shd w:val="clear" w:color="auto" w:fill="FFFFFF"/>
        </w:rPr>
        <w:t>Mun</w:t>
      </w:r>
      <w:r w:rsidRPr="00296E08">
        <w:rPr>
          <w:bCs/>
          <w:i/>
          <w:color w:val="000000"/>
          <w:sz w:val="16"/>
          <w:szCs w:val="16"/>
          <w:shd w:val="clear" w:color="auto" w:fill="FFFFFF"/>
        </w:rPr>
        <w:t>á</w:t>
      </w:r>
      <w:r>
        <w:rPr>
          <w:rStyle w:val="Strong"/>
          <w:b w:val="0"/>
          <w:i/>
          <w:color w:val="000000"/>
          <w:sz w:val="16"/>
          <w:szCs w:val="16"/>
          <w:shd w:val="clear" w:color="auto" w:fill="FFFFFF"/>
        </w:rPr>
        <w:t xml:space="preserve">rriz Escobar y Otros </w:t>
      </w:r>
      <w:r w:rsidRPr="00F95D69">
        <w:rPr>
          <w:rStyle w:val="Strong"/>
          <w:b w:val="0"/>
          <w:i/>
          <w:color w:val="000000"/>
          <w:sz w:val="16"/>
          <w:szCs w:val="16"/>
          <w:shd w:val="clear" w:color="auto" w:fill="FFFFFF"/>
        </w:rPr>
        <w:t xml:space="preserve"> Vs. </w:t>
      </w:r>
      <w:r>
        <w:rPr>
          <w:rStyle w:val="Strong"/>
          <w:b w:val="0"/>
          <w:i/>
          <w:color w:val="000000"/>
          <w:sz w:val="16"/>
          <w:szCs w:val="16"/>
          <w:shd w:val="clear" w:color="auto" w:fill="FFFFFF"/>
        </w:rPr>
        <w:t>Perú</w:t>
      </w:r>
      <w:r>
        <w:rPr>
          <w:i/>
          <w:color w:val="000000"/>
          <w:spacing w:val="-4"/>
          <w:sz w:val="16"/>
          <w:szCs w:val="16"/>
        </w:rPr>
        <w:t xml:space="preserve">, </w:t>
      </w:r>
      <w:r w:rsidRPr="003A5FAB">
        <w:rPr>
          <w:i/>
          <w:color w:val="000000"/>
          <w:spacing w:val="-4"/>
          <w:sz w:val="16"/>
          <w:szCs w:val="16"/>
        </w:rPr>
        <w:t>supra</w:t>
      </w:r>
      <w:r w:rsidRPr="00F95D69">
        <w:rPr>
          <w:rStyle w:val="Strong"/>
          <w:b w:val="0"/>
          <w:color w:val="000000"/>
          <w:sz w:val="16"/>
          <w:szCs w:val="16"/>
          <w:shd w:val="clear" w:color="auto" w:fill="FFFFFF"/>
        </w:rPr>
        <w:t xml:space="preserve">, párr. </w:t>
      </w:r>
      <w:r>
        <w:rPr>
          <w:rStyle w:val="Strong"/>
          <w:b w:val="0"/>
          <w:color w:val="000000"/>
          <w:sz w:val="16"/>
          <w:szCs w:val="16"/>
          <w:shd w:val="clear" w:color="auto" w:fill="FFFFFF"/>
        </w:rPr>
        <w:t>109</w:t>
      </w:r>
      <w:r w:rsidRPr="00F95D69">
        <w:rPr>
          <w:rStyle w:val="Strong"/>
          <w:b w:val="0"/>
          <w:color w:val="000000"/>
          <w:sz w:val="16"/>
          <w:szCs w:val="16"/>
          <w:shd w:val="clear" w:color="auto" w:fill="FFFFFF"/>
        </w:rPr>
        <w:t>.</w:t>
      </w:r>
      <w:r>
        <w:rPr>
          <w:rStyle w:val="Strong"/>
          <w:b w:val="0"/>
          <w:color w:val="000000"/>
          <w:sz w:val="16"/>
          <w:szCs w:val="16"/>
          <w:shd w:val="clear" w:color="auto" w:fill="FFFFFF"/>
        </w:rPr>
        <w:t xml:space="preserve"> </w:t>
      </w:r>
    </w:p>
  </w:footnote>
  <w:footnote w:id="300">
    <w:p w:rsidR="00B41935" w:rsidRPr="00F10686" w:rsidRDefault="00B41935" w:rsidP="00881DB6">
      <w:pPr>
        <w:pStyle w:val="FootnoteText"/>
        <w:rPr>
          <w:sz w:val="16"/>
          <w:szCs w:val="16"/>
        </w:rPr>
      </w:pPr>
      <w:r w:rsidRPr="00CC214C">
        <w:rPr>
          <w:rStyle w:val="FootnoteReference"/>
        </w:rPr>
        <w:footnoteRef/>
      </w:r>
      <w:r w:rsidRPr="00CC214C">
        <w:rPr>
          <w:sz w:val="16"/>
          <w:szCs w:val="16"/>
        </w:rPr>
        <w:t xml:space="preserve"> </w:t>
      </w:r>
      <w:r w:rsidRPr="00CC214C">
        <w:rPr>
          <w:sz w:val="16"/>
          <w:szCs w:val="16"/>
        </w:rPr>
        <w:tab/>
      </w:r>
      <w:r w:rsidRPr="00CC214C">
        <w:rPr>
          <w:i/>
          <w:sz w:val="16"/>
          <w:szCs w:val="16"/>
        </w:rPr>
        <w:t>Cfr.</w:t>
      </w:r>
      <w:r w:rsidRPr="00CC214C">
        <w:rPr>
          <w:sz w:val="16"/>
          <w:szCs w:val="16"/>
        </w:rPr>
        <w:t xml:space="preserve">, </w:t>
      </w:r>
      <w:r w:rsidRPr="008469B2">
        <w:rPr>
          <w:i/>
          <w:sz w:val="16"/>
          <w:szCs w:val="16"/>
        </w:rPr>
        <w:t>inter alia</w:t>
      </w:r>
      <w:r w:rsidRPr="00CC214C">
        <w:rPr>
          <w:sz w:val="16"/>
          <w:szCs w:val="16"/>
        </w:rPr>
        <w:t xml:space="preserve">, </w:t>
      </w:r>
      <w:r w:rsidRPr="00CC214C">
        <w:rPr>
          <w:i/>
          <w:iCs/>
          <w:sz w:val="16"/>
          <w:szCs w:val="16"/>
          <w:lang w:val="es-ES_tradnl"/>
        </w:rPr>
        <w:t>Caso Comunidad Campesina de Santa Bárbara Vs. P</w:t>
      </w:r>
      <w:r w:rsidRPr="00552A48">
        <w:rPr>
          <w:i/>
          <w:iCs/>
          <w:sz w:val="16"/>
          <w:szCs w:val="16"/>
          <w:lang w:val="es-ES_tradnl"/>
        </w:rPr>
        <w:t>erú</w:t>
      </w:r>
      <w:r>
        <w:rPr>
          <w:i/>
          <w:iCs/>
          <w:sz w:val="16"/>
          <w:szCs w:val="16"/>
          <w:lang w:val="es-ES_tradnl"/>
        </w:rPr>
        <w:t>, supra</w:t>
      </w:r>
      <w:r>
        <w:rPr>
          <w:sz w:val="16"/>
          <w:szCs w:val="16"/>
          <w:lang w:val="es-ES_tradnl"/>
        </w:rPr>
        <w:t>, párr. 176</w:t>
      </w:r>
      <w:r w:rsidRPr="004B1350">
        <w:rPr>
          <w:rFonts w:ascii="Arial" w:hAnsi="Arial" w:cs="Arial"/>
          <w:iCs/>
          <w:color w:val="222222"/>
          <w:sz w:val="21"/>
          <w:szCs w:val="21"/>
          <w:shd w:val="clear" w:color="auto" w:fill="FFFFFF"/>
        </w:rPr>
        <w:t>;</w:t>
      </w:r>
      <w:r>
        <w:rPr>
          <w:sz w:val="16"/>
          <w:szCs w:val="16"/>
          <w:lang w:val="es-ES_tradnl"/>
        </w:rPr>
        <w:t xml:space="preserve"> </w:t>
      </w:r>
      <w:r w:rsidRPr="00F95DED">
        <w:rPr>
          <w:i/>
          <w:iCs/>
          <w:sz w:val="16"/>
          <w:szCs w:val="16"/>
        </w:rPr>
        <w:t>Caso Goiburú y otros Vs. Paraguay</w:t>
      </w:r>
      <w:r>
        <w:rPr>
          <w:i/>
          <w:iCs/>
          <w:sz w:val="16"/>
          <w:szCs w:val="16"/>
        </w:rPr>
        <w:t>, supra</w:t>
      </w:r>
      <w:r w:rsidRPr="00814725">
        <w:rPr>
          <w:iCs/>
          <w:sz w:val="16"/>
          <w:szCs w:val="16"/>
        </w:rPr>
        <w:t>, párr. 84,</w:t>
      </w:r>
      <w:r w:rsidRPr="00814725" w:rsidDel="00F95DED">
        <w:rPr>
          <w:iCs/>
          <w:sz w:val="16"/>
          <w:szCs w:val="16"/>
        </w:rPr>
        <w:t xml:space="preserve"> </w:t>
      </w:r>
      <w:r w:rsidRPr="00814725">
        <w:rPr>
          <w:iCs/>
          <w:sz w:val="16"/>
          <w:szCs w:val="16"/>
        </w:rPr>
        <w:t xml:space="preserve">y </w:t>
      </w:r>
      <w:r w:rsidRPr="00552A48">
        <w:rPr>
          <w:i/>
          <w:iCs/>
          <w:sz w:val="16"/>
          <w:szCs w:val="16"/>
          <w:lang w:val="es-ES_tradnl"/>
        </w:rPr>
        <w:t>Caso Vereda La Esperanza Vs. Colombia</w:t>
      </w:r>
      <w:r>
        <w:rPr>
          <w:i/>
          <w:iCs/>
          <w:sz w:val="16"/>
          <w:szCs w:val="16"/>
          <w:lang w:val="es-ES_tradnl"/>
        </w:rPr>
        <w:t>, supra</w:t>
      </w:r>
      <w:r w:rsidRPr="00552A48">
        <w:rPr>
          <w:sz w:val="16"/>
          <w:szCs w:val="16"/>
          <w:lang w:val="es-ES_tradnl"/>
        </w:rPr>
        <w:t xml:space="preserve">, párr. </w:t>
      </w:r>
      <w:r>
        <w:rPr>
          <w:sz w:val="16"/>
          <w:szCs w:val="16"/>
          <w:lang w:val="es-ES_tradnl"/>
        </w:rPr>
        <w:t>149</w:t>
      </w:r>
      <w:r w:rsidRPr="00552A48">
        <w:rPr>
          <w:sz w:val="16"/>
          <w:szCs w:val="16"/>
          <w:lang w:val="es-ES_tradnl"/>
        </w:rPr>
        <w:t>.</w:t>
      </w:r>
    </w:p>
  </w:footnote>
  <w:footnote w:id="301">
    <w:p w:rsidR="00B41935" w:rsidRPr="00FD6009" w:rsidRDefault="00B41935" w:rsidP="00FD6009">
      <w:pPr>
        <w:rPr>
          <w:sz w:val="16"/>
          <w:szCs w:val="16"/>
          <w:lang w:val="es-ES_tradnl"/>
        </w:rPr>
      </w:pPr>
      <w:r w:rsidRPr="00CC214C">
        <w:rPr>
          <w:rStyle w:val="FootnoteReference"/>
        </w:rPr>
        <w:footnoteRef/>
      </w:r>
      <w:r w:rsidRPr="00CC214C">
        <w:rPr>
          <w:sz w:val="16"/>
          <w:szCs w:val="16"/>
        </w:rPr>
        <w:t xml:space="preserve"> </w:t>
      </w:r>
      <w:r w:rsidRPr="00CC214C">
        <w:rPr>
          <w:sz w:val="16"/>
          <w:szCs w:val="16"/>
        </w:rPr>
        <w:tab/>
      </w:r>
      <w:r w:rsidRPr="00136D62">
        <w:rPr>
          <w:i/>
          <w:iCs/>
          <w:sz w:val="16"/>
          <w:szCs w:val="16"/>
          <w:lang w:val="es-ES_tradnl"/>
        </w:rPr>
        <w:t>Cfr. Caso Velásquez Rodríguez Vs. Hondura</w:t>
      </w:r>
      <w:r>
        <w:rPr>
          <w:i/>
          <w:iCs/>
          <w:sz w:val="16"/>
          <w:szCs w:val="16"/>
          <w:lang w:val="es-ES_tradnl"/>
        </w:rPr>
        <w:t>s</w:t>
      </w:r>
      <w:r>
        <w:rPr>
          <w:i/>
          <w:sz w:val="16"/>
          <w:szCs w:val="16"/>
          <w:lang w:val="es-AR"/>
        </w:rPr>
        <w:t>. Fondo</w:t>
      </w:r>
      <w:r>
        <w:rPr>
          <w:sz w:val="16"/>
          <w:szCs w:val="16"/>
          <w:lang w:val="es-AR"/>
        </w:rPr>
        <w:t>,</w:t>
      </w:r>
      <w:r>
        <w:rPr>
          <w:iCs/>
          <w:sz w:val="16"/>
          <w:szCs w:val="16"/>
          <w:lang w:val="es-ES_tradnl"/>
        </w:rPr>
        <w:t xml:space="preserve"> </w:t>
      </w:r>
      <w:r w:rsidRPr="003A5FAB">
        <w:rPr>
          <w:i/>
          <w:sz w:val="16"/>
          <w:szCs w:val="16"/>
          <w:lang w:val="pt-BR"/>
        </w:rPr>
        <w:t>supra</w:t>
      </w:r>
      <w:r>
        <w:rPr>
          <w:i/>
          <w:sz w:val="16"/>
          <w:szCs w:val="16"/>
          <w:lang w:val="pt-BR"/>
        </w:rPr>
        <w:t>,</w:t>
      </w:r>
      <w:r>
        <w:rPr>
          <w:i/>
          <w:iCs/>
          <w:sz w:val="16"/>
          <w:szCs w:val="16"/>
          <w:lang w:val="es-ES_tradnl"/>
        </w:rPr>
        <w:t xml:space="preserve"> </w:t>
      </w:r>
      <w:r w:rsidRPr="00136D62">
        <w:rPr>
          <w:sz w:val="16"/>
          <w:szCs w:val="16"/>
          <w:lang w:val="es-ES_tradnl"/>
        </w:rPr>
        <w:t xml:space="preserve">párr. 181, </w:t>
      </w:r>
      <w:r>
        <w:rPr>
          <w:sz w:val="16"/>
          <w:szCs w:val="16"/>
          <w:lang w:val="es-ES_tradnl"/>
        </w:rPr>
        <w:t xml:space="preserve">y </w:t>
      </w:r>
      <w:r w:rsidRPr="00F95D69">
        <w:rPr>
          <w:rStyle w:val="Strong"/>
          <w:b w:val="0"/>
          <w:i/>
          <w:color w:val="000000"/>
          <w:sz w:val="16"/>
          <w:szCs w:val="16"/>
          <w:shd w:val="clear" w:color="auto" w:fill="FFFFFF"/>
        </w:rPr>
        <w:t xml:space="preserve">Caso </w:t>
      </w:r>
      <w:r>
        <w:rPr>
          <w:rStyle w:val="Strong"/>
          <w:b w:val="0"/>
          <w:i/>
          <w:color w:val="000000"/>
          <w:sz w:val="16"/>
          <w:szCs w:val="16"/>
          <w:shd w:val="clear" w:color="auto" w:fill="FFFFFF"/>
        </w:rPr>
        <w:t>Mun</w:t>
      </w:r>
      <w:r w:rsidRPr="00880756">
        <w:rPr>
          <w:sz w:val="16"/>
          <w:szCs w:val="16"/>
          <w:shd w:val="clear" w:color="auto" w:fill="FFFFFF"/>
        </w:rPr>
        <w:t>á</w:t>
      </w:r>
      <w:r>
        <w:rPr>
          <w:rStyle w:val="Strong"/>
          <w:b w:val="0"/>
          <w:i/>
          <w:color w:val="000000"/>
          <w:sz w:val="16"/>
          <w:szCs w:val="16"/>
          <w:shd w:val="clear" w:color="auto" w:fill="FFFFFF"/>
        </w:rPr>
        <w:t xml:space="preserve">rriz Escobar y Otros </w:t>
      </w:r>
      <w:r w:rsidRPr="00F95D69">
        <w:rPr>
          <w:rStyle w:val="Strong"/>
          <w:b w:val="0"/>
          <w:i/>
          <w:color w:val="000000"/>
          <w:sz w:val="16"/>
          <w:szCs w:val="16"/>
          <w:shd w:val="clear" w:color="auto" w:fill="FFFFFF"/>
        </w:rPr>
        <w:t xml:space="preserve">Vs. </w:t>
      </w:r>
      <w:r>
        <w:rPr>
          <w:rStyle w:val="Strong"/>
          <w:b w:val="0"/>
          <w:i/>
          <w:color w:val="000000"/>
          <w:sz w:val="16"/>
          <w:szCs w:val="16"/>
          <w:shd w:val="clear" w:color="auto" w:fill="FFFFFF"/>
        </w:rPr>
        <w:t>Perú</w:t>
      </w:r>
      <w:r>
        <w:rPr>
          <w:i/>
          <w:color w:val="000000"/>
          <w:spacing w:val="-4"/>
          <w:sz w:val="16"/>
          <w:szCs w:val="16"/>
        </w:rPr>
        <w:t xml:space="preserve">, </w:t>
      </w:r>
      <w:r w:rsidRPr="003A5FAB">
        <w:rPr>
          <w:i/>
          <w:color w:val="000000"/>
          <w:spacing w:val="-4"/>
          <w:sz w:val="16"/>
          <w:szCs w:val="16"/>
        </w:rPr>
        <w:t>supra</w:t>
      </w:r>
      <w:r w:rsidRPr="00F95D69">
        <w:rPr>
          <w:rStyle w:val="Strong"/>
          <w:b w:val="0"/>
          <w:color w:val="000000"/>
          <w:sz w:val="16"/>
          <w:szCs w:val="16"/>
          <w:shd w:val="clear" w:color="auto" w:fill="FFFFFF"/>
        </w:rPr>
        <w:t xml:space="preserve">, párr. </w:t>
      </w:r>
      <w:r>
        <w:rPr>
          <w:rStyle w:val="Strong"/>
          <w:b w:val="0"/>
          <w:color w:val="000000"/>
          <w:sz w:val="16"/>
          <w:szCs w:val="16"/>
          <w:shd w:val="clear" w:color="auto" w:fill="FFFFFF"/>
        </w:rPr>
        <w:t>104</w:t>
      </w:r>
      <w:r w:rsidRPr="00F95D69">
        <w:rPr>
          <w:rStyle w:val="Strong"/>
          <w:b w:val="0"/>
          <w:color w:val="000000"/>
          <w:sz w:val="16"/>
          <w:szCs w:val="16"/>
          <w:shd w:val="clear" w:color="auto" w:fill="FFFFFF"/>
        </w:rPr>
        <w:t>.</w:t>
      </w:r>
      <w:r>
        <w:rPr>
          <w:rStyle w:val="Strong"/>
          <w:b w:val="0"/>
          <w:color w:val="000000"/>
          <w:sz w:val="16"/>
          <w:szCs w:val="16"/>
          <w:shd w:val="clear" w:color="auto" w:fill="FFFFFF"/>
        </w:rPr>
        <w:t xml:space="preserve"> </w:t>
      </w:r>
    </w:p>
  </w:footnote>
  <w:footnote w:id="302">
    <w:p w:rsidR="00B41935" w:rsidRPr="00257982" w:rsidRDefault="00B41935" w:rsidP="00881DB6">
      <w:pPr>
        <w:pStyle w:val="FootnoteText"/>
        <w:rPr>
          <w:sz w:val="16"/>
          <w:szCs w:val="16"/>
        </w:rPr>
      </w:pPr>
      <w:r w:rsidRPr="00CC214C">
        <w:rPr>
          <w:rStyle w:val="FootnoteReference"/>
        </w:rPr>
        <w:footnoteRef/>
      </w:r>
      <w:r w:rsidRPr="00CC214C">
        <w:rPr>
          <w:sz w:val="16"/>
          <w:szCs w:val="16"/>
        </w:rPr>
        <w:t xml:space="preserve"> </w:t>
      </w:r>
      <w:r w:rsidRPr="00CC214C">
        <w:rPr>
          <w:sz w:val="16"/>
          <w:szCs w:val="16"/>
        </w:rPr>
        <w:tab/>
      </w:r>
      <w:r w:rsidRPr="00257982">
        <w:rPr>
          <w:i/>
          <w:sz w:val="16"/>
          <w:szCs w:val="16"/>
        </w:rPr>
        <w:t>Cfr.</w:t>
      </w:r>
      <w:r w:rsidRPr="0083051C">
        <w:rPr>
          <w:sz w:val="16"/>
          <w:szCs w:val="16"/>
        </w:rPr>
        <w:t xml:space="preserve"> </w:t>
      </w:r>
      <w:r w:rsidRPr="008C1E9A">
        <w:rPr>
          <w:i/>
          <w:iCs/>
          <w:sz w:val="16"/>
          <w:szCs w:val="16"/>
          <w:lang w:val="es-ES_tradnl"/>
        </w:rPr>
        <w:t>Caso Gómez Palomino Vs. Perú</w:t>
      </w:r>
      <w:r>
        <w:rPr>
          <w:rStyle w:val="Strong"/>
          <w:b w:val="0"/>
          <w:i/>
          <w:color w:val="000000"/>
          <w:sz w:val="16"/>
          <w:szCs w:val="16"/>
          <w:shd w:val="clear" w:color="auto" w:fill="FFFFFF"/>
        </w:rPr>
        <w:t>, supra</w:t>
      </w:r>
      <w:r w:rsidRPr="008C1E9A">
        <w:rPr>
          <w:sz w:val="16"/>
          <w:szCs w:val="16"/>
          <w:lang w:val="es-ES_tradnl"/>
        </w:rPr>
        <w:t xml:space="preserve">, párr. </w:t>
      </w:r>
      <w:r>
        <w:rPr>
          <w:sz w:val="16"/>
          <w:szCs w:val="16"/>
          <w:lang w:val="es-ES_tradnl"/>
        </w:rPr>
        <w:t>80</w:t>
      </w:r>
      <w:r w:rsidRPr="00552A48">
        <w:rPr>
          <w:sz w:val="16"/>
          <w:szCs w:val="16"/>
          <w:lang w:val="es-ES_tradnl"/>
        </w:rPr>
        <w:t xml:space="preserve">, </w:t>
      </w:r>
      <w:r w:rsidRPr="004B1350">
        <w:rPr>
          <w:sz w:val="16"/>
          <w:szCs w:val="16"/>
          <w:lang w:val="es-ES_tradnl"/>
        </w:rPr>
        <w:t xml:space="preserve">y </w:t>
      </w:r>
      <w:r w:rsidRPr="004B1350">
        <w:rPr>
          <w:i/>
          <w:iCs/>
          <w:sz w:val="16"/>
          <w:szCs w:val="16"/>
          <w:lang w:val="es-ES_tradnl"/>
        </w:rPr>
        <w:t>Caso Chitay Nech y otros Vs. Guatemala. Excepciones Preliminares, Fondo,</w:t>
      </w:r>
      <w:r w:rsidRPr="004B1350">
        <w:rPr>
          <w:sz w:val="16"/>
          <w:szCs w:val="16"/>
          <w:lang w:val="es-ES_tradnl"/>
        </w:rPr>
        <w:t xml:space="preserve"> </w:t>
      </w:r>
      <w:r w:rsidRPr="008C1E9A">
        <w:rPr>
          <w:i/>
          <w:iCs/>
          <w:sz w:val="16"/>
          <w:szCs w:val="16"/>
          <w:lang w:val="es-ES_tradnl"/>
        </w:rPr>
        <w:t xml:space="preserve">Reparaciones y Costas. </w:t>
      </w:r>
      <w:r>
        <w:rPr>
          <w:iCs/>
          <w:sz w:val="16"/>
          <w:szCs w:val="16"/>
          <w:lang w:val="es-ES_tradnl"/>
        </w:rPr>
        <w:t>Sentencia de 25 de mayo de 2010. Serie C No. 212</w:t>
      </w:r>
      <w:r w:rsidRPr="00880756">
        <w:rPr>
          <w:sz w:val="16"/>
          <w:szCs w:val="16"/>
          <w:lang w:val="es-ES_tradnl"/>
        </w:rPr>
        <w:t xml:space="preserve">, párr. </w:t>
      </w:r>
      <w:r>
        <w:rPr>
          <w:sz w:val="16"/>
          <w:szCs w:val="16"/>
          <w:lang w:val="es-ES_tradnl"/>
        </w:rPr>
        <w:t xml:space="preserve">212. </w:t>
      </w:r>
    </w:p>
  </w:footnote>
  <w:footnote w:id="303">
    <w:p w:rsidR="00B41935" w:rsidRPr="00257982" w:rsidRDefault="00B41935" w:rsidP="00881DB6">
      <w:pPr>
        <w:pStyle w:val="FootnoteText"/>
        <w:tabs>
          <w:tab w:val="left" w:pos="567"/>
        </w:tabs>
        <w:rPr>
          <w:sz w:val="16"/>
          <w:szCs w:val="16"/>
          <w:lang w:val="es-ES"/>
        </w:rPr>
      </w:pPr>
      <w:r w:rsidRPr="00CC214C">
        <w:rPr>
          <w:rStyle w:val="FootnoteReference"/>
          <w:lang w:val="es-ES"/>
        </w:rPr>
        <w:footnoteRef/>
      </w:r>
      <w:r w:rsidRPr="00257982">
        <w:rPr>
          <w:sz w:val="16"/>
          <w:szCs w:val="16"/>
          <w:lang w:val="es-ES"/>
        </w:rPr>
        <w:t xml:space="preserve"> </w:t>
      </w:r>
      <w:r w:rsidRPr="00257982">
        <w:rPr>
          <w:sz w:val="16"/>
          <w:szCs w:val="16"/>
          <w:lang w:val="es-ES"/>
        </w:rPr>
        <w:tab/>
      </w:r>
      <w:r>
        <w:rPr>
          <w:sz w:val="16"/>
          <w:szCs w:val="16"/>
          <w:lang w:val="es-ES"/>
        </w:rPr>
        <w:tab/>
      </w:r>
      <w:r w:rsidRPr="00257982">
        <w:rPr>
          <w:sz w:val="16"/>
          <w:szCs w:val="16"/>
          <w:lang w:val="es-ES"/>
        </w:rPr>
        <w:t>El artículo en cuestión dispone lo siguiente: “</w:t>
      </w:r>
      <w:r w:rsidRPr="00257982">
        <w:rPr>
          <w:bCs/>
          <w:sz w:val="16"/>
          <w:szCs w:val="16"/>
          <w:lang w:val="es-ES"/>
        </w:rPr>
        <w:t xml:space="preserve">Desaparición comprobada. Artículo 320.- </w:t>
      </w:r>
      <w:r w:rsidRPr="00257982">
        <w:rPr>
          <w:sz w:val="16"/>
          <w:szCs w:val="16"/>
          <w:lang w:val="es-ES"/>
        </w:rPr>
        <w:t>El funcionario o servidor público que prive a una persona de su libertad, ordenando o ejecutando acciones que tenga por resultado su desaparición debidamente comprobada, será reprimido con pena privativa de libertad no menor de quince años e inhabilitación, conforme al Artículo 36 incisos 1) y 2)”.</w:t>
      </w:r>
    </w:p>
  </w:footnote>
  <w:footnote w:id="304">
    <w:p w:rsidR="00B41935" w:rsidRPr="00257982" w:rsidRDefault="00B41935" w:rsidP="00881DB6">
      <w:pPr>
        <w:pStyle w:val="FootnoteText"/>
        <w:tabs>
          <w:tab w:val="left" w:pos="567"/>
        </w:tabs>
        <w:rPr>
          <w:sz w:val="16"/>
          <w:szCs w:val="16"/>
          <w:lang w:val="es-ES"/>
        </w:rPr>
      </w:pPr>
      <w:r w:rsidRPr="00CC214C">
        <w:rPr>
          <w:rStyle w:val="FootnoteReference"/>
          <w:lang w:val="es-ES"/>
        </w:rPr>
        <w:footnoteRef/>
      </w:r>
      <w:r w:rsidRPr="00257982">
        <w:rPr>
          <w:sz w:val="16"/>
          <w:szCs w:val="16"/>
          <w:lang w:val="es-ES"/>
        </w:rPr>
        <w:t xml:space="preserve"> </w:t>
      </w:r>
      <w:r w:rsidRPr="00257982">
        <w:rPr>
          <w:sz w:val="16"/>
          <w:szCs w:val="16"/>
          <w:lang w:val="es-ES"/>
        </w:rPr>
        <w:tab/>
      </w:r>
      <w:r>
        <w:rPr>
          <w:sz w:val="16"/>
          <w:szCs w:val="16"/>
          <w:lang w:val="es-ES"/>
        </w:rPr>
        <w:tab/>
      </w:r>
      <w:r w:rsidRPr="00224871">
        <w:rPr>
          <w:i/>
          <w:sz w:val="16"/>
          <w:szCs w:val="16"/>
          <w:lang w:val="es-ES"/>
        </w:rPr>
        <w:t>Caso Gómez Palomino Vs. Perú</w:t>
      </w:r>
      <w:r>
        <w:rPr>
          <w:rStyle w:val="Strong"/>
          <w:b w:val="0"/>
          <w:i/>
          <w:color w:val="000000"/>
          <w:sz w:val="16"/>
          <w:szCs w:val="16"/>
          <w:shd w:val="clear" w:color="auto" w:fill="FFFFFF"/>
        </w:rPr>
        <w:t>, supra</w:t>
      </w:r>
      <w:r w:rsidRPr="00224871">
        <w:rPr>
          <w:sz w:val="16"/>
          <w:szCs w:val="16"/>
          <w:lang w:val="es-ES"/>
        </w:rPr>
        <w:t>, párr. 108</w:t>
      </w:r>
      <w:r w:rsidRPr="00257982">
        <w:rPr>
          <w:sz w:val="16"/>
          <w:szCs w:val="16"/>
          <w:lang w:val="es-ES"/>
        </w:rPr>
        <w:t>.</w:t>
      </w:r>
    </w:p>
  </w:footnote>
  <w:footnote w:id="305">
    <w:p w:rsidR="00B41935" w:rsidRPr="00082FDD" w:rsidRDefault="00B41935" w:rsidP="00082FDD">
      <w:pPr>
        <w:pStyle w:val="FootnoteText"/>
        <w:rPr>
          <w:sz w:val="16"/>
          <w:szCs w:val="16"/>
        </w:rPr>
      </w:pPr>
      <w:r w:rsidRPr="00CC214C">
        <w:rPr>
          <w:rStyle w:val="FootnoteReference"/>
        </w:rPr>
        <w:footnoteRef/>
      </w:r>
      <w:r w:rsidRPr="00257982">
        <w:rPr>
          <w:sz w:val="16"/>
          <w:szCs w:val="16"/>
        </w:rPr>
        <w:t xml:space="preserve"> </w:t>
      </w:r>
      <w:r w:rsidRPr="00257982">
        <w:rPr>
          <w:sz w:val="16"/>
          <w:szCs w:val="16"/>
        </w:rPr>
        <w:tab/>
      </w:r>
      <w:r w:rsidRPr="00CC214C">
        <w:rPr>
          <w:sz w:val="16"/>
          <w:szCs w:val="16"/>
        </w:rPr>
        <w:t xml:space="preserve">En la Sentencia del caso </w:t>
      </w:r>
      <w:r w:rsidRPr="00552A48">
        <w:rPr>
          <w:i/>
          <w:sz w:val="16"/>
          <w:szCs w:val="16"/>
        </w:rPr>
        <w:t xml:space="preserve">Tenorio Roca, </w:t>
      </w:r>
      <w:r w:rsidRPr="00552A48">
        <w:rPr>
          <w:sz w:val="16"/>
          <w:szCs w:val="16"/>
        </w:rPr>
        <w:t>la Corte val</w:t>
      </w:r>
      <w:r>
        <w:rPr>
          <w:sz w:val="16"/>
          <w:szCs w:val="16"/>
        </w:rPr>
        <w:t>oró el acuerdo e indicó que “</w:t>
      </w:r>
      <w:r w:rsidRPr="00552A48">
        <w:rPr>
          <w:sz w:val="16"/>
          <w:szCs w:val="16"/>
        </w:rPr>
        <w:t>la pretensión de dicho Acuerdo Plenario según la cual “no obstante que subsista el estado de desaparición de la víctima al momento de entrar en vigor la ley que tipificó el delito d</w:t>
      </w:r>
      <w:r w:rsidRPr="00F10686">
        <w:rPr>
          <w:sz w:val="16"/>
          <w:szCs w:val="16"/>
        </w:rPr>
        <w:t>e desaparición forzada de personas, como se está ante un delito especial propio –sólo puede ser cometido por funcionarios o servidores públicos- es indispensable que tal condición funcionarial esté presente cuan</w:t>
      </w:r>
      <w:r>
        <w:rPr>
          <w:sz w:val="16"/>
          <w:szCs w:val="16"/>
        </w:rPr>
        <w:t>do entra en vigor la ley penal”</w:t>
      </w:r>
      <w:r w:rsidRPr="00F10686">
        <w:rPr>
          <w:sz w:val="16"/>
          <w:szCs w:val="16"/>
        </w:rPr>
        <w:t>, genera lagu</w:t>
      </w:r>
      <w:r w:rsidRPr="0000173B">
        <w:rPr>
          <w:sz w:val="16"/>
          <w:szCs w:val="16"/>
        </w:rPr>
        <w:t>nas de impunidad respecto a hechos ocurridos antes de la fecha en que se incorporó el delito de desaparición forzada a la legislación peruana, porque es indispensable, según el mismo, que para esta fecha el sujeto imputado conserve su condición de funciona</w:t>
      </w:r>
      <w:r w:rsidRPr="003D07CE">
        <w:rPr>
          <w:sz w:val="16"/>
          <w:szCs w:val="16"/>
        </w:rPr>
        <w:t>rio público</w:t>
      </w:r>
      <w:r>
        <w:rPr>
          <w:sz w:val="16"/>
          <w:szCs w:val="16"/>
        </w:rPr>
        <w:t xml:space="preserve">”. </w:t>
      </w:r>
      <w:r w:rsidRPr="00CE6B13">
        <w:rPr>
          <w:i/>
          <w:sz w:val="16"/>
          <w:szCs w:val="16"/>
        </w:rPr>
        <w:t xml:space="preserve">Cfr. </w:t>
      </w:r>
      <w:r w:rsidRPr="00FD6009">
        <w:rPr>
          <w:rStyle w:val="Strong"/>
          <w:b w:val="0"/>
          <w:i/>
          <w:color w:val="000000"/>
          <w:sz w:val="16"/>
          <w:szCs w:val="16"/>
          <w:shd w:val="clear" w:color="auto" w:fill="FFFFFF"/>
        </w:rPr>
        <w:t>Caso Tenorio Roca y otros Vs. Perú</w:t>
      </w:r>
      <w:r>
        <w:rPr>
          <w:rStyle w:val="Strong"/>
          <w:b w:val="0"/>
          <w:i/>
          <w:color w:val="000000"/>
          <w:sz w:val="16"/>
          <w:szCs w:val="16"/>
          <w:shd w:val="clear" w:color="auto" w:fill="FFFFFF"/>
        </w:rPr>
        <w:t xml:space="preserve">, </w:t>
      </w:r>
      <w:r w:rsidRPr="003A5FAB">
        <w:rPr>
          <w:rStyle w:val="Strong"/>
          <w:b w:val="0"/>
          <w:i/>
          <w:color w:val="000000"/>
          <w:sz w:val="16"/>
          <w:szCs w:val="16"/>
          <w:shd w:val="clear" w:color="auto" w:fill="FFFFFF"/>
        </w:rPr>
        <w:t>supra</w:t>
      </w:r>
      <w:r>
        <w:rPr>
          <w:rStyle w:val="Strong"/>
          <w:b w:val="0"/>
          <w:color w:val="000000"/>
          <w:sz w:val="16"/>
          <w:szCs w:val="16"/>
          <w:shd w:val="clear" w:color="auto" w:fill="FFFFFF"/>
        </w:rPr>
        <w:t>, párr.</w:t>
      </w:r>
      <w:r w:rsidRPr="00CE6B13">
        <w:rPr>
          <w:rStyle w:val="Strong"/>
          <w:b w:val="0"/>
          <w:color w:val="000000"/>
          <w:sz w:val="16"/>
          <w:szCs w:val="16"/>
          <w:shd w:val="clear" w:color="auto" w:fill="FFFFFF"/>
        </w:rPr>
        <w:t xml:space="preserve"> 227.</w:t>
      </w:r>
    </w:p>
  </w:footnote>
  <w:footnote w:id="306">
    <w:p w:rsidR="00B41935" w:rsidRPr="00552A48" w:rsidRDefault="00B41935" w:rsidP="00881DB6">
      <w:pPr>
        <w:pStyle w:val="FootnoteText"/>
        <w:tabs>
          <w:tab w:val="left" w:pos="567"/>
        </w:tabs>
        <w:rPr>
          <w:sz w:val="16"/>
          <w:szCs w:val="16"/>
          <w:lang w:val="es-ES"/>
        </w:rPr>
      </w:pPr>
      <w:r w:rsidRPr="00CC214C">
        <w:rPr>
          <w:rStyle w:val="FootnoteReference"/>
          <w:lang w:val="es-ES"/>
        </w:rPr>
        <w:footnoteRef/>
      </w:r>
      <w:r w:rsidRPr="00CC214C">
        <w:rPr>
          <w:sz w:val="16"/>
          <w:szCs w:val="16"/>
          <w:lang w:val="es-ES"/>
        </w:rPr>
        <w:t xml:space="preserve"> </w:t>
      </w:r>
      <w:r w:rsidRPr="00CC214C">
        <w:rPr>
          <w:sz w:val="16"/>
          <w:szCs w:val="16"/>
          <w:lang w:val="es-ES"/>
        </w:rPr>
        <w:tab/>
      </w:r>
      <w:r>
        <w:rPr>
          <w:sz w:val="16"/>
          <w:szCs w:val="16"/>
          <w:lang w:val="es-ES"/>
        </w:rPr>
        <w:tab/>
      </w:r>
      <w:r w:rsidRPr="00CC214C">
        <w:rPr>
          <w:i/>
          <w:sz w:val="16"/>
          <w:szCs w:val="16"/>
          <w:lang w:val="es-ES"/>
        </w:rPr>
        <w:t>Cfr. Caso Gómez Palomino Vs. Perú.</w:t>
      </w:r>
      <w:r w:rsidRPr="00552A48">
        <w:rPr>
          <w:sz w:val="16"/>
          <w:szCs w:val="16"/>
          <w:lang w:val="es-ES"/>
        </w:rPr>
        <w:t xml:space="preserve"> </w:t>
      </w:r>
      <w:r w:rsidRPr="00552A48">
        <w:rPr>
          <w:i/>
          <w:sz w:val="16"/>
          <w:szCs w:val="16"/>
          <w:lang w:val="es-ES"/>
        </w:rPr>
        <w:t>Supervisión de Cumplimiento de Sentencia.</w:t>
      </w:r>
      <w:r w:rsidRPr="00552A48">
        <w:rPr>
          <w:sz w:val="16"/>
          <w:szCs w:val="16"/>
          <w:lang w:val="es-ES"/>
        </w:rPr>
        <w:t xml:space="preserve"> Resolución emitida por la Corte Interamericana el 5 de julio de 2011, Considerando 36.</w:t>
      </w:r>
    </w:p>
  </w:footnote>
  <w:footnote w:id="307">
    <w:p w:rsidR="00B41935" w:rsidRPr="008469B2" w:rsidRDefault="00B41935" w:rsidP="00881DB6">
      <w:pPr>
        <w:tabs>
          <w:tab w:val="left" w:pos="426"/>
        </w:tabs>
        <w:rPr>
          <w:spacing w:val="-4"/>
          <w:sz w:val="16"/>
          <w:szCs w:val="16"/>
          <w:lang w:val="es-CR"/>
        </w:rPr>
      </w:pPr>
      <w:r w:rsidRPr="00224871">
        <w:rPr>
          <w:rStyle w:val="FootnoteReference"/>
        </w:rPr>
        <w:footnoteRef/>
      </w:r>
      <w:r w:rsidRPr="00224871">
        <w:rPr>
          <w:sz w:val="16"/>
          <w:szCs w:val="16"/>
        </w:rPr>
        <w:t xml:space="preserve"> </w:t>
      </w:r>
      <w:r w:rsidRPr="00224871">
        <w:rPr>
          <w:sz w:val="16"/>
          <w:szCs w:val="16"/>
          <w:lang w:val="es-CR"/>
        </w:rPr>
        <w:tab/>
      </w:r>
      <w:r w:rsidRPr="00224871">
        <w:rPr>
          <w:i/>
          <w:sz w:val="16"/>
          <w:szCs w:val="16"/>
          <w:lang w:val="es-CR"/>
        </w:rPr>
        <w:t xml:space="preserve">Cfr. </w:t>
      </w:r>
      <w:r w:rsidRPr="00224871">
        <w:rPr>
          <w:i/>
          <w:sz w:val="16"/>
          <w:szCs w:val="16"/>
          <w:lang w:val="pt-BR"/>
        </w:rPr>
        <w:t>Caso Gangaram Panday Vs. Surinam.</w:t>
      </w:r>
      <w:r w:rsidRPr="00902BFA">
        <w:t xml:space="preserve"> </w:t>
      </w:r>
      <w:r>
        <w:rPr>
          <w:i/>
          <w:sz w:val="16"/>
          <w:szCs w:val="16"/>
          <w:lang w:val="pt-BR"/>
        </w:rPr>
        <w:t>Fondo, Reparaciones y Costas</w:t>
      </w:r>
      <w:r w:rsidRPr="00224871">
        <w:rPr>
          <w:sz w:val="16"/>
          <w:szCs w:val="16"/>
        </w:rPr>
        <w:t xml:space="preserve">. Sentencia de 4 de diciembre de 1991. Serie C No. 12, párr. 50, </w:t>
      </w:r>
      <w:r w:rsidRPr="00224871">
        <w:rPr>
          <w:rStyle w:val="Strong"/>
          <w:b w:val="0"/>
          <w:color w:val="000000"/>
          <w:sz w:val="16"/>
          <w:szCs w:val="16"/>
          <w:shd w:val="clear" w:color="auto" w:fill="FFFFFF"/>
        </w:rPr>
        <w:t xml:space="preserve">y </w:t>
      </w:r>
      <w:r w:rsidRPr="00224871">
        <w:rPr>
          <w:i/>
          <w:spacing w:val="-4"/>
          <w:sz w:val="16"/>
          <w:szCs w:val="16"/>
        </w:rPr>
        <w:t>Caso Munárriz Escobar y Otros Vs. Perú</w:t>
      </w:r>
      <w:r>
        <w:rPr>
          <w:i/>
          <w:color w:val="000000"/>
          <w:spacing w:val="-4"/>
          <w:sz w:val="16"/>
          <w:szCs w:val="16"/>
        </w:rPr>
        <w:t xml:space="preserve">, </w:t>
      </w:r>
      <w:r w:rsidRPr="003A5FAB">
        <w:rPr>
          <w:i/>
          <w:color w:val="000000"/>
          <w:spacing w:val="-4"/>
          <w:sz w:val="16"/>
          <w:szCs w:val="16"/>
        </w:rPr>
        <w:t>supra</w:t>
      </w:r>
      <w:r w:rsidRPr="00224871">
        <w:rPr>
          <w:i/>
          <w:spacing w:val="-4"/>
          <w:sz w:val="16"/>
          <w:szCs w:val="16"/>
        </w:rPr>
        <w:t>,</w:t>
      </w:r>
      <w:r w:rsidRPr="00224871">
        <w:rPr>
          <w:spacing w:val="-4"/>
          <w:sz w:val="16"/>
          <w:szCs w:val="16"/>
        </w:rPr>
        <w:t xml:space="preserve"> párr. 112.</w:t>
      </w:r>
    </w:p>
    <w:p w:rsidR="00B41935" w:rsidRPr="00257982" w:rsidRDefault="00B41935" w:rsidP="00881DB6">
      <w:pPr>
        <w:pStyle w:val="FootnoteText"/>
        <w:rPr>
          <w:b/>
          <w:i/>
          <w:sz w:val="16"/>
          <w:szCs w:val="16"/>
          <w:lang w:val="es-CR"/>
        </w:rPr>
      </w:pPr>
    </w:p>
  </w:footnote>
  <w:footnote w:id="308">
    <w:p w:rsidR="00B41935" w:rsidRPr="00552A48" w:rsidRDefault="00B41935" w:rsidP="00E26128">
      <w:pPr>
        <w:pStyle w:val="FootnoteText"/>
        <w:rPr>
          <w:sz w:val="16"/>
          <w:szCs w:val="16"/>
          <w:lang w:val="es-AR"/>
        </w:rPr>
      </w:pPr>
      <w:r w:rsidRPr="00CC214C">
        <w:rPr>
          <w:rStyle w:val="FootnoteReference"/>
        </w:rPr>
        <w:footnoteRef/>
      </w:r>
      <w:r w:rsidRPr="00CC214C">
        <w:rPr>
          <w:sz w:val="16"/>
          <w:szCs w:val="16"/>
          <w:lang w:val="es-AR"/>
        </w:rPr>
        <w:t xml:space="preserve"> </w:t>
      </w:r>
      <w:r w:rsidRPr="00CC214C">
        <w:rPr>
          <w:sz w:val="16"/>
          <w:szCs w:val="16"/>
          <w:lang w:val="es-AR"/>
        </w:rPr>
        <w:tab/>
      </w:r>
      <w:r w:rsidRPr="00E33393">
        <w:rPr>
          <w:i/>
          <w:sz w:val="16"/>
          <w:szCs w:val="16"/>
          <w:lang w:val="es-AR"/>
        </w:rPr>
        <w:t>Cfr.</w:t>
      </w:r>
      <w:r w:rsidRPr="00E33393">
        <w:rPr>
          <w:sz w:val="16"/>
          <w:szCs w:val="16"/>
          <w:lang w:val="es-AR"/>
        </w:rPr>
        <w:t xml:space="preserve"> </w:t>
      </w:r>
      <w:r w:rsidRPr="00E33393">
        <w:rPr>
          <w:i/>
          <w:sz w:val="16"/>
          <w:szCs w:val="16"/>
        </w:rPr>
        <w:t xml:space="preserve"> Caso Blake Vs. Guatemala. Fondo, Reparaciones y Costas.</w:t>
      </w:r>
      <w:r w:rsidRPr="00E33393">
        <w:rPr>
          <w:sz w:val="16"/>
          <w:szCs w:val="16"/>
        </w:rPr>
        <w:t xml:space="preserve"> Sentencia de 24 de enero de 19</w:t>
      </w:r>
      <w:r>
        <w:rPr>
          <w:sz w:val="16"/>
          <w:szCs w:val="16"/>
        </w:rPr>
        <w:t>98. Serie C No. 36, párr. 114;</w:t>
      </w:r>
      <w:r w:rsidRPr="00E33393">
        <w:rPr>
          <w:sz w:val="16"/>
          <w:szCs w:val="16"/>
        </w:rPr>
        <w:t xml:space="preserve"> </w:t>
      </w:r>
      <w:r w:rsidRPr="00E33393">
        <w:rPr>
          <w:i/>
          <w:sz w:val="16"/>
          <w:szCs w:val="16"/>
          <w:lang w:val="es-CR"/>
        </w:rPr>
        <w:t>Caso Vereda La Esperanza Vs. Colombia</w:t>
      </w:r>
      <w:r>
        <w:rPr>
          <w:i/>
          <w:sz w:val="16"/>
          <w:szCs w:val="16"/>
          <w:lang w:val="es-CR"/>
        </w:rPr>
        <w:t>, supra</w:t>
      </w:r>
      <w:r w:rsidRPr="00E33393">
        <w:rPr>
          <w:sz w:val="16"/>
          <w:szCs w:val="16"/>
          <w:lang w:val="es-CR"/>
        </w:rPr>
        <w:t xml:space="preserve">, párr. 249; </w:t>
      </w:r>
      <w:r w:rsidRPr="00E33393">
        <w:rPr>
          <w:i/>
          <w:sz w:val="16"/>
          <w:szCs w:val="16"/>
          <w:lang w:val="es-AR"/>
        </w:rPr>
        <w:t>Caso Vásquez Durand y otros Vs. Ecuador</w:t>
      </w:r>
      <w:r>
        <w:rPr>
          <w:i/>
          <w:sz w:val="16"/>
          <w:szCs w:val="16"/>
          <w:lang w:val="es-AR"/>
        </w:rPr>
        <w:t>, supra</w:t>
      </w:r>
      <w:r w:rsidRPr="00E33393">
        <w:rPr>
          <w:sz w:val="16"/>
          <w:szCs w:val="16"/>
          <w:lang w:val="es-AR"/>
        </w:rPr>
        <w:t>, párr. 182</w:t>
      </w:r>
      <w:r>
        <w:rPr>
          <w:sz w:val="16"/>
          <w:szCs w:val="16"/>
          <w:lang w:val="es-AR"/>
        </w:rPr>
        <w:t>,</w:t>
      </w:r>
      <w:r w:rsidRPr="00E33393">
        <w:rPr>
          <w:sz w:val="16"/>
          <w:szCs w:val="16"/>
          <w:lang w:val="es-AR"/>
        </w:rPr>
        <w:t xml:space="preserve"> </w:t>
      </w:r>
      <w:r w:rsidRPr="000F7525">
        <w:rPr>
          <w:sz w:val="16"/>
          <w:szCs w:val="16"/>
          <w:lang w:val="es-AR"/>
        </w:rPr>
        <w:t xml:space="preserve">y </w:t>
      </w:r>
      <w:r w:rsidRPr="000F7525">
        <w:rPr>
          <w:i/>
          <w:sz w:val="16"/>
          <w:szCs w:val="16"/>
          <w:lang w:val="es-AR"/>
        </w:rPr>
        <w:t>Caso Munárriz y otros vs Perú</w:t>
      </w:r>
      <w:r>
        <w:rPr>
          <w:i/>
          <w:color w:val="000000"/>
          <w:spacing w:val="-4"/>
          <w:sz w:val="16"/>
          <w:szCs w:val="16"/>
        </w:rPr>
        <w:t xml:space="preserve">, </w:t>
      </w:r>
      <w:r w:rsidRPr="003A5FAB">
        <w:rPr>
          <w:i/>
          <w:color w:val="000000"/>
          <w:spacing w:val="-4"/>
          <w:sz w:val="16"/>
          <w:szCs w:val="16"/>
        </w:rPr>
        <w:t>supra</w:t>
      </w:r>
      <w:r>
        <w:rPr>
          <w:i/>
          <w:color w:val="000000"/>
          <w:spacing w:val="-4"/>
          <w:sz w:val="16"/>
          <w:szCs w:val="16"/>
        </w:rPr>
        <w:t xml:space="preserve">, </w:t>
      </w:r>
      <w:r w:rsidRPr="000F7525">
        <w:rPr>
          <w:sz w:val="16"/>
          <w:szCs w:val="16"/>
          <w:lang w:val="es-AR"/>
        </w:rPr>
        <w:t>párr. 114.</w:t>
      </w:r>
    </w:p>
  </w:footnote>
  <w:footnote w:id="309">
    <w:p w:rsidR="00B41935" w:rsidRPr="00552A48" w:rsidRDefault="00B41935" w:rsidP="00E26128">
      <w:pPr>
        <w:pStyle w:val="FootnoteText"/>
        <w:rPr>
          <w:sz w:val="16"/>
          <w:szCs w:val="16"/>
          <w:lang w:val="es-AR"/>
        </w:rPr>
      </w:pPr>
      <w:r w:rsidRPr="000F7525">
        <w:rPr>
          <w:rStyle w:val="FootnoteReference"/>
        </w:rPr>
        <w:footnoteRef/>
      </w:r>
      <w:r w:rsidRPr="000F7525">
        <w:rPr>
          <w:sz w:val="16"/>
          <w:szCs w:val="16"/>
          <w:lang w:val="es-AR"/>
        </w:rPr>
        <w:t xml:space="preserve"> </w:t>
      </w:r>
      <w:r w:rsidRPr="000F7525">
        <w:rPr>
          <w:sz w:val="16"/>
          <w:szCs w:val="16"/>
          <w:lang w:val="es-AR"/>
        </w:rPr>
        <w:tab/>
      </w:r>
      <w:r w:rsidRPr="000F7525">
        <w:rPr>
          <w:i/>
          <w:sz w:val="16"/>
          <w:szCs w:val="16"/>
          <w:lang w:val="es-AR"/>
        </w:rPr>
        <w:t>Cfr.</w:t>
      </w:r>
      <w:r w:rsidRPr="000F7525">
        <w:rPr>
          <w:sz w:val="16"/>
          <w:szCs w:val="16"/>
          <w:lang w:val="es-AR"/>
        </w:rPr>
        <w:t xml:space="preserve"> Peritaje </w:t>
      </w:r>
      <w:r>
        <w:rPr>
          <w:sz w:val="16"/>
          <w:szCs w:val="16"/>
          <w:lang w:val="es-AR"/>
        </w:rPr>
        <w:t xml:space="preserve">psicológico rendido por </w:t>
      </w:r>
      <w:r w:rsidRPr="000F7525">
        <w:rPr>
          <w:sz w:val="16"/>
          <w:szCs w:val="16"/>
          <w:lang w:val="es-AR"/>
        </w:rPr>
        <w:t xml:space="preserve">Yovana Pérez Clara </w:t>
      </w:r>
      <w:r>
        <w:rPr>
          <w:sz w:val="16"/>
          <w:szCs w:val="16"/>
          <w:lang w:val="es-AR"/>
        </w:rPr>
        <w:t xml:space="preserve">mediante </w:t>
      </w:r>
      <w:r w:rsidRPr="005530D1">
        <w:rPr>
          <w:i/>
          <w:sz w:val="16"/>
          <w:szCs w:val="16"/>
          <w:lang w:val="es-AR"/>
        </w:rPr>
        <w:t>affidávit</w:t>
      </w:r>
      <w:r w:rsidRPr="000F7525">
        <w:rPr>
          <w:sz w:val="16"/>
          <w:szCs w:val="16"/>
          <w:lang w:val="es-AR"/>
        </w:rPr>
        <w:t xml:space="preserve"> ante </w:t>
      </w:r>
      <w:r>
        <w:rPr>
          <w:sz w:val="16"/>
          <w:szCs w:val="16"/>
          <w:lang w:val="es-AR"/>
        </w:rPr>
        <w:t xml:space="preserve">la </w:t>
      </w:r>
      <w:r w:rsidRPr="00B80B7B">
        <w:rPr>
          <w:sz w:val="16"/>
          <w:szCs w:val="16"/>
          <w:lang w:val="es-AR"/>
        </w:rPr>
        <w:t xml:space="preserve">Corte </w:t>
      </w:r>
      <w:r>
        <w:rPr>
          <w:sz w:val="16"/>
          <w:szCs w:val="16"/>
          <w:lang w:val="es-AR"/>
        </w:rPr>
        <w:t>el 2 de marzo de 2018</w:t>
      </w:r>
      <w:r w:rsidRPr="00B80B7B">
        <w:rPr>
          <w:sz w:val="16"/>
          <w:szCs w:val="16"/>
          <w:lang w:val="es-AR"/>
        </w:rPr>
        <w:t xml:space="preserve"> (expediente de fondo, fs.</w:t>
      </w:r>
      <w:r>
        <w:rPr>
          <w:sz w:val="16"/>
          <w:szCs w:val="16"/>
          <w:lang w:val="es-AR"/>
        </w:rPr>
        <w:t xml:space="preserve"> 879 a 886</w:t>
      </w:r>
      <w:r w:rsidRPr="000F7525">
        <w:rPr>
          <w:sz w:val="16"/>
          <w:szCs w:val="16"/>
          <w:lang w:val="es-AR"/>
        </w:rPr>
        <w:t>).</w:t>
      </w:r>
    </w:p>
  </w:footnote>
  <w:footnote w:id="310">
    <w:p w:rsidR="00B41935" w:rsidRPr="00B80B7B" w:rsidRDefault="00B41935" w:rsidP="00E26128">
      <w:pPr>
        <w:pStyle w:val="FootnoteText"/>
      </w:pPr>
      <w:r w:rsidRPr="00B80B7B">
        <w:rPr>
          <w:rStyle w:val="FootnoteReference"/>
        </w:rPr>
        <w:footnoteRef/>
      </w:r>
      <w:r>
        <w:rPr>
          <w:i/>
          <w:sz w:val="16"/>
        </w:rPr>
        <w:t xml:space="preserve"> </w:t>
      </w:r>
      <w:r>
        <w:rPr>
          <w:i/>
          <w:sz w:val="16"/>
        </w:rPr>
        <w:tab/>
      </w:r>
      <w:r w:rsidRPr="00B80B7B">
        <w:rPr>
          <w:i/>
          <w:sz w:val="16"/>
        </w:rPr>
        <w:t>Cfr</w:t>
      </w:r>
      <w:r w:rsidRPr="00B80B7B">
        <w:rPr>
          <w:sz w:val="16"/>
        </w:rPr>
        <w:t xml:space="preserve">. Declaración rendida por Ofelia Antezana Torre mediante </w:t>
      </w:r>
      <w:r w:rsidRPr="005530D1">
        <w:rPr>
          <w:i/>
          <w:sz w:val="16"/>
        </w:rPr>
        <w:t>affidávit</w:t>
      </w:r>
      <w:r w:rsidRPr="00B80B7B">
        <w:rPr>
          <w:sz w:val="16"/>
        </w:rPr>
        <w:t xml:space="preserve"> ante la Corte</w:t>
      </w:r>
      <w:r>
        <w:rPr>
          <w:sz w:val="16"/>
        </w:rPr>
        <w:t xml:space="preserve"> el 27 de febrero de 2018</w:t>
      </w:r>
      <w:r w:rsidRPr="00B80B7B">
        <w:rPr>
          <w:sz w:val="16"/>
        </w:rPr>
        <w:t xml:space="preserve"> (expediente de fondo, fs. 831 a 838).</w:t>
      </w:r>
    </w:p>
  </w:footnote>
  <w:footnote w:id="311">
    <w:p w:rsidR="00B41935" w:rsidRPr="00552A48" w:rsidRDefault="00B41935" w:rsidP="00E26128">
      <w:pPr>
        <w:pStyle w:val="FootnoteText"/>
        <w:rPr>
          <w:sz w:val="16"/>
          <w:szCs w:val="16"/>
          <w:lang w:val="es-AR"/>
        </w:rPr>
      </w:pPr>
      <w:r w:rsidRPr="00B80B7B">
        <w:rPr>
          <w:rStyle w:val="FootnoteReference"/>
        </w:rPr>
        <w:footnoteRef/>
      </w:r>
      <w:r w:rsidRPr="00B80B7B">
        <w:rPr>
          <w:sz w:val="16"/>
          <w:szCs w:val="16"/>
          <w:lang w:val="es-AR"/>
        </w:rPr>
        <w:t xml:space="preserve"> </w:t>
      </w:r>
      <w:r w:rsidRPr="00B80B7B">
        <w:rPr>
          <w:sz w:val="16"/>
          <w:szCs w:val="16"/>
          <w:lang w:val="es-AR"/>
        </w:rPr>
        <w:tab/>
      </w:r>
      <w:r w:rsidRPr="00B80B7B">
        <w:rPr>
          <w:i/>
          <w:sz w:val="16"/>
          <w:szCs w:val="16"/>
          <w:lang w:val="es-AR"/>
        </w:rPr>
        <w:t>Cfr.</w:t>
      </w:r>
      <w:r w:rsidRPr="00B80B7B">
        <w:rPr>
          <w:sz w:val="16"/>
          <w:szCs w:val="16"/>
          <w:lang w:val="es-AR"/>
        </w:rPr>
        <w:t xml:space="preserve"> Peritaje </w:t>
      </w:r>
      <w:r>
        <w:rPr>
          <w:sz w:val="16"/>
          <w:szCs w:val="16"/>
          <w:lang w:val="es-AR"/>
        </w:rPr>
        <w:t>psicológico rendido por</w:t>
      </w:r>
      <w:r w:rsidRPr="00B80B7B">
        <w:rPr>
          <w:sz w:val="16"/>
          <w:szCs w:val="16"/>
          <w:lang w:val="es-AR"/>
        </w:rPr>
        <w:t xml:space="preserve"> Yovana Pérez Clara </w:t>
      </w:r>
      <w:r>
        <w:rPr>
          <w:sz w:val="16"/>
          <w:szCs w:val="16"/>
          <w:lang w:val="es-AR"/>
        </w:rPr>
        <w:t xml:space="preserve">mediante </w:t>
      </w:r>
      <w:r w:rsidRPr="005530D1">
        <w:rPr>
          <w:i/>
          <w:sz w:val="16"/>
          <w:szCs w:val="16"/>
          <w:lang w:val="es-AR"/>
        </w:rPr>
        <w:t>affidávit</w:t>
      </w:r>
      <w:r w:rsidRPr="00B80B7B">
        <w:rPr>
          <w:sz w:val="16"/>
          <w:szCs w:val="16"/>
          <w:lang w:val="es-AR"/>
        </w:rPr>
        <w:t xml:space="preserve"> ante la Corte</w:t>
      </w:r>
      <w:r>
        <w:rPr>
          <w:sz w:val="16"/>
          <w:szCs w:val="16"/>
          <w:lang w:val="es-AR"/>
        </w:rPr>
        <w:t xml:space="preserve"> el 9 de marzo de 2018</w:t>
      </w:r>
      <w:r w:rsidRPr="00B80B7B">
        <w:rPr>
          <w:sz w:val="16"/>
          <w:szCs w:val="16"/>
          <w:lang w:val="es-AR"/>
        </w:rPr>
        <w:t xml:space="preserve"> (expediente de fondo, fs. 902 a 915).</w:t>
      </w:r>
    </w:p>
  </w:footnote>
  <w:footnote w:id="312">
    <w:p w:rsidR="00B41935" w:rsidRPr="0093511E" w:rsidRDefault="00B41935" w:rsidP="00E26128">
      <w:pPr>
        <w:rPr>
          <w:b/>
          <w:sz w:val="16"/>
          <w:szCs w:val="16"/>
          <w:lang w:val="es-ES"/>
        </w:rPr>
      </w:pPr>
      <w:r>
        <w:rPr>
          <w:rStyle w:val="FootnoteReference"/>
        </w:rPr>
        <w:footnoteRef/>
      </w:r>
      <w:r>
        <w:t xml:space="preserve"> </w:t>
      </w:r>
      <w:r>
        <w:tab/>
      </w:r>
      <w:r w:rsidRPr="0037282F">
        <w:rPr>
          <w:sz w:val="16"/>
          <w:szCs w:val="16"/>
          <w:lang w:val="es-ES"/>
        </w:rPr>
        <w:t>La Corte nota que los familiares de Teresa Díaz Aparicio fallecieron años después de su desaparición forzada. En el caso de su madre Graciela Pastor Aparicio falleció</w:t>
      </w:r>
      <w:r>
        <w:rPr>
          <w:sz w:val="16"/>
          <w:szCs w:val="16"/>
          <w:lang w:val="es-ES"/>
        </w:rPr>
        <w:t xml:space="preserve"> el 5 de noviembre de 1997, sus hermanos Roberto Levi Aparicio</w:t>
      </w:r>
      <w:r w:rsidRPr="0037282F">
        <w:rPr>
          <w:sz w:val="16"/>
          <w:szCs w:val="16"/>
          <w:lang w:val="es-ES"/>
        </w:rPr>
        <w:t xml:space="preserve"> y Federico Día</w:t>
      </w:r>
      <w:r>
        <w:rPr>
          <w:sz w:val="16"/>
          <w:szCs w:val="16"/>
          <w:lang w:val="es-ES"/>
        </w:rPr>
        <w:t>z Aparicio</w:t>
      </w:r>
      <w:r w:rsidRPr="0037282F">
        <w:rPr>
          <w:sz w:val="16"/>
          <w:szCs w:val="16"/>
          <w:lang w:val="es-ES"/>
        </w:rPr>
        <w:t>, el 21 de octubre de 2001 y el 12 de abril de 2014, respectivamente.</w:t>
      </w:r>
      <w:r w:rsidRPr="00794667">
        <w:rPr>
          <w:sz w:val="16"/>
          <w:szCs w:val="16"/>
          <w:u w:val="single"/>
          <w:lang w:val="es-ES"/>
        </w:rPr>
        <w:t xml:space="preserve"> </w:t>
      </w:r>
    </w:p>
  </w:footnote>
  <w:footnote w:id="313">
    <w:p w:rsidR="00B41935" w:rsidRPr="00F10686" w:rsidRDefault="00B41935" w:rsidP="0060330C">
      <w:pPr>
        <w:pStyle w:val="2Footnotes"/>
        <w:spacing w:before="0" w:after="0"/>
        <w:rPr>
          <w:szCs w:val="16"/>
        </w:rPr>
      </w:pPr>
      <w:r w:rsidRPr="00CC214C">
        <w:rPr>
          <w:rStyle w:val="FootnoteReference"/>
          <w:rFonts w:eastAsia="Batang"/>
        </w:rPr>
        <w:footnoteRef/>
      </w:r>
      <w:r w:rsidRPr="00CC214C">
        <w:rPr>
          <w:szCs w:val="16"/>
        </w:rPr>
        <w:t xml:space="preserve"> </w:t>
      </w:r>
      <w:r w:rsidRPr="00CC214C">
        <w:rPr>
          <w:szCs w:val="16"/>
        </w:rPr>
        <w:tab/>
      </w:r>
      <w:r w:rsidRPr="00CC214C">
        <w:rPr>
          <w:i/>
          <w:szCs w:val="16"/>
          <w:lang w:bidi="en-US"/>
        </w:rPr>
        <w:t xml:space="preserve">Cfr. </w:t>
      </w:r>
      <w:r w:rsidRPr="00552A48">
        <w:rPr>
          <w:rFonts w:cs="Verdana"/>
          <w:i/>
          <w:szCs w:val="16"/>
          <w:lang w:bidi="en-US"/>
        </w:rPr>
        <w:t>Caso Velásquez Rodríguez Vs. Honduras.</w:t>
      </w:r>
      <w:r w:rsidRPr="00552A48">
        <w:rPr>
          <w:rFonts w:cs="Verdana"/>
          <w:szCs w:val="16"/>
          <w:lang w:bidi="en-US"/>
        </w:rPr>
        <w:t xml:space="preserve"> </w:t>
      </w:r>
      <w:r w:rsidRPr="00552A48">
        <w:rPr>
          <w:rFonts w:cs="Verdana"/>
          <w:i/>
          <w:szCs w:val="16"/>
          <w:lang w:bidi="en-US"/>
        </w:rPr>
        <w:t xml:space="preserve">Reparaciones y Costas. </w:t>
      </w:r>
      <w:r w:rsidRPr="00552A48">
        <w:rPr>
          <w:rFonts w:cs="Verdana"/>
          <w:szCs w:val="16"/>
          <w:lang w:bidi="en-US"/>
        </w:rPr>
        <w:t>Sentencia de 21 de julio de 1989. Serie C No. 7, párrs. 24 y 25</w:t>
      </w:r>
      <w:r>
        <w:rPr>
          <w:rFonts w:cs="Verdana"/>
          <w:szCs w:val="16"/>
          <w:lang w:bidi="en-US"/>
        </w:rPr>
        <w:t>,</w:t>
      </w:r>
      <w:r w:rsidRPr="0068137F">
        <w:rPr>
          <w:rFonts w:cs="Verdana"/>
          <w:szCs w:val="16"/>
          <w:lang w:bidi="en-US"/>
        </w:rPr>
        <w:t xml:space="preserve"> y </w:t>
      </w:r>
      <w:r w:rsidRPr="0068137F">
        <w:rPr>
          <w:rStyle w:val="Strong"/>
          <w:rFonts w:eastAsiaTheme="majorEastAsia"/>
          <w:b w:val="0"/>
          <w:i/>
          <w:color w:val="000000"/>
          <w:szCs w:val="16"/>
          <w:shd w:val="clear" w:color="auto" w:fill="FFFFFF"/>
        </w:rPr>
        <w:t>Caso Coc Max y otros (Masacre de Xamán) Vs. Guatemala</w:t>
      </w:r>
      <w:r>
        <w:rPr>
          <w:rStyle w:val="Strong"/>
          <w:rFonts w:eastAsiaTheme="majorEastAsia"/>
          <w:b w:val="0"/>
          <w:i/>
          <w:color w:val="000000"/>
          <w:szCs w:val="16"/>
          <w:shd w:val="clear" w:color="auto" w:fill="FFFFFF"/>
        </w:rPr>
        <w:t>, supra</w:t>
      </w:r>
      <w:r w:rsidRPr="00E26128">
        <w:rPr>
          <w:rStyle w:val="Strong"/>
          <w:rFonts w:eastAsiaTheme="majorEastAsia"/>
          <w:b w:val="0"/>
          <w:color w:val="000000"/>
          <w:szCs w:val="16"/>
          <w:shd w:val="clear" w:color="auto" w:fill="FFFFFF"/>
        </w:rPr>
        <w:t>, párr. 143.</w:t>
      </w:r>
    </w:p>
  </w:footnote>
  <w:footnote w:id="314">
    <w:p w:rsidR="00B41935" w:rsidRPr="00F10686" w:rsidRDefault="00B41935" w:rsidP="0060330C">
      <w:pPr>
        <w:tabs>
          <w:tab w:val="left" w:pos="567"/>
        </w:tabs>
        <w:ind w:right="-90"/>
        <w:rPr>
          <w:sz w:val="16"/>
          <w:szCs w:val="16"/>
          <w:lang w:val="es-ES"/>
        </w:rPr>
      </w:pPr>
      <w:r w:rsidRPr="00CC214C">
        <w:rPr>
          <w:rStyle w:val="FootnoteReference"/>
          <w:rFonts w:eastAsia="MS Mincho"/>
        </w:rPr>
        <w:footnoteRef/>
      </w:r>
      <w:r w:rsidRPr="00CC214C">
        <w:rPr>
          <w:sz w:val="16"/>
          <w:szCs w:val="16"/>
          <w:lang w:val="es-ES"/>
        </w:rPr>
        <w:t xml:space="preserve"> </w:t>
      </w:r>
      <w:r w:rsidRPr="00CC214C">
        <w:rPr>
          <w:sz w:val="16"/>
          <w:szCs w:val="16"/>
          <w:lang w:val="es-ES"/>
        </w:rPr>
        <w:tab/>
      </w:r>
      <w:r w:rsidRPr="00CC214C">
        <w:rPr>
          <w:sz w:val="16"/>
          <w:szCs w:val="16"/>
          <w:lang w:val="es-ES"/>
        </w:rPr>
        <w:tab/>
      </w:r>
      <w:r w:rsidRPr="00CC214C">
        <w:rPr>
          <w:i/>
          <w:sz w:val="16"/>
          <w:szCs w:val="16"/>
          <w:lang w:val="es-ES"/>
        </w:rPr>
        <w:t>Cfr.</w:t>
      </w:r>
      <w:r w:rsidRPr="00552A48">
        <w:rPr>
          <w:bCs/>
          <w:i/>
          <w:sz w:val="16"/>
          <w:szCs w:val="16"/>
          <w:lang w:val="es-ES"/>
        </w:rPr>
        <w:t xml:space="preserve"> Caso Velásquez Rodríguez Vs. Honduras</w:t>
      </w:r>
      <w:r>
        <w:rPr>
          <w:bCs/>
          <w:i/>
          <w:sz w:val="16"/>
          <w:szCs w:val="16"/>
          <w:lang w:val="es-ES"/>
        </w:rPr>
        <w:t xml:space="preserve">. Reparaciones y Costas, </w:t>
      </w:r>
      <w:r w:rsidRPr="003A5FAB">
        <w:rPr>
          <w:i/>
          <w:sz w:val="16"/>
          <w:szCs w:val="16"/>
          <w:lang w:val="pt-BR"/>
        </w:rPr>
        <w:t>supra</w:t>
      </w:r>
      <w:r w:rsidRPr="00552A48">
        <w:rPr>
          <w:i/>
          <w:sz w:val="16"/>
          <w:szCs w:val="16"/>
          <w:lang w:val="es-ES"/>
        </w:rPr>
        <w:t xml:space="preserve">, </w:t>
      </w:r>
      <w:r w:rsidRPr="00552A48">
        <w:rPr>
          <w:sz w:val="16"/>
          <w:szCs w:val="16"/>
          <w:lang w:val="es-ES"/>
        </w:rPr>
        <w:t>párr. 26</w:t>
      </w:r>
      <w:r>
        <w:rPr>
          <w:sz w:val="16"/>
          <w:szCs w:val="16"/>
          <w:lang w:val="es-ES"/>
        </w:rPr>
        <w:t xml:space="preserve">, y </w:t>
      </w:r>
      <w:r w:rsidRPr="00C47C35">
        <w:rPr>
          <w:rStyle w:val="Strong"/>
          <w:b w:val="0"/>
          <w:i/>
          <w:color w:val="000000"/>
          <w:sz w:val="16"/>
          <w:szCs w:val="16"/>
          <w:shd w:val="clear" w:color="auto" w:fill="FFFFFF"/>
        </w:rPr>
        <w:t>Caso Coc Max y otros (Masacre de Xamán) Vs. Guatemala</w:t>
      </w:r>
      <w:r w:rsidRPr="005729CD">
        <w:rPr>
          <w:rStyle w:val="Strong"/>
          <w:b w:val="0"/>
          <w:color w:val="000000"/>
          <w:sz w:val="16"/>
          <w:szCs w:val="16"/>
          <w:shd w:val="clear" w:color="auto" w:fill="FFFFFF"/>
        </w:rPr>
        <w:t xml:space="preserve">, </w:t>
      </w:r>
      <w:r w:rsidRPr="005530D1">
        <w:rPr>
          <w:rStyle w:val="Strong"/>
          <w:b w:val="0"/>
          <w:i/>
          <w:color w:val="000000"/>
          <w:sz w:val="16"/>
          <w:szCs w:val="16"/>
          <w:shd w:val="clear" w:color="auto" w:fill="FFFFFF"/>
        </w:rPr>
        <w:t>supra</w:t>
      </w:r>
      <w:r>
        <w:rPr>
          <w:rStyle w:val="Strong"/>
          <w:b w:val="0"/>
          <w:color w:val="000000"/>
          <w:sz w:val="16"/>
          <w:szCs w:val="16"/>
          <w:shd w:val="clear" w:color="auto" w:fill="FFFFFF"/>
        </w:rPr>
        <w:t xml:space="preserve">, </w:t>
      </w:r>
      <w:r w:rsidRPr="005729CD">
        <w:rPr>
          <w:rStyle w:val="Strong"/>
          <w:b w:val="0"/>
          <w:color w:val="000000"/>
          <w:sz w:val="16"/>
          <w:szCs w:val="16"/>
          <w:shd w:val="clear" w:color="auto" w:fill="FFFFFF"/>
        </w:rPr>
        <w:t>párr. 144.</w:t>
      </w:r>
    </w:p>
  </w:footnote>
  <w:footnote w:id="315">
    <w:p w:rsidR="00B41935" w:rsidRPr="0000173B" w:rsidRDefault="00B41935" w:rsidP="0060330C">
      <w:pPr>
        <w:tabs>
          <w:tab w:val="left" w:pos="567"/>
        </w:tabs>
        <w:ind w:right="-90"/>
        <w:rPr>
          <w:sz w:val="16"/>
          <w:szCs w:val="16"/>
          <w:lang w:val="es-ES"/>
        </w:rPr>
      </w:pPr>
      <w:r w:rsidRPr="00CC214C">
        <w:rPr>
          <w:rStyle w:val="FootnoteReference"/>
          <w:rFonts w:eastAsia="MS ????"/>
        </w:rPr>
        <w:footnoteRef/>
      </w:r>
      <w:r w:rsidRPr="00CC214C">
        <w:rPr>
          <w:sz w:val="16"/>
          <w:szCs w:val="16"/>
          <w:lang w:val="es-ES"/>
        </w:rPr>
        <w:t xml:space="preserve"> </w:t>
      </w:r>
      <w:r w:rsidRPr="00CC214C">
        <w:rPr>
          <w:sz w:val="16"/>
          <w:szCs w:val="16"/>
          <w:lang w:val="es-ES"/>
        </w:rPr>
        <w:tab/>
      </w:r>
      <w:r w:rsidRPr="00CC214C">
        <w:rPr>
          <w:sz w:val="16"/>
          <w:szCs w:val="16"/>
          <w:lang w:val="es-ES"/>
        </w:rPr>
        <w:tab/>
      </w:r>
      <w:r w:rsidRPr="00CC214C">
        <w:rPr>
          <w:i/>
          <w:sz w:val="16"/>
          <w:szCs w:val="16"/>
          <w:lang w:val="es-ES"/>
        </w:rPr>
        <w:t>Cfr.</w:t>
      </w:r>
      <w:r w:rsidRPr="00552A48">
        <w:rPr>
          <w:bCs/>
          <w:i/>
          <w:sz w:val="16"/>
          <w:szCs w:val="16"/>
          <w:lang w:val="es-ES"/>
        </w:rPr>
        <w:t xml:space="preserve"> Caso Cantoral Benavides Vs. Perú. </w:t>
      </w:r>
      <w:r w:rsidRPr="00552A48">
        <w:rPr>
          <w:i/>
          <w:sz w:val="16"/>
          <w:szCs w:val="16"/>
          <w:lang w:val="es-ES"/>
        </w:rPr>
        <w:t>Reparaciones y Costas</w:t>
      </w:r>
      <w:r w:rsidRPr="00552A48">
        <w:rPr>
          <w:sz w:val="16"/>
          <w:szCs w:val="16"/>
          <w:lang w:val="es-ES"/>
        </w:rPr>
        <w:t>. Sentencia de 3 de diciembre de 2001. Serie C No. 88, párrs. 79 a 81</w:t>
      </w:r>
      <w:r>
        <w:rPr>
          <w:sz w:val="16"/>
          <w:szCs w:val="16"/>
          <w:lang w:val="es-ES"/>
        </w:rPr>
        <w:t xml:space="preserve">, y </w:t>
      </w:r>
      <w:r w:rsidRPr="00C47C35">
        <w:rPr>
          <w:rStyle w:val="Strong"/>
          <w:b w:val="0"/>
          <w:i/>
          <w:color w:val="000000"/>
          <w:sz w:val="16"/>
          <w:szCs w:val="16"/>
          <w:shd w:val="clear" w:color="auto" w:fill="FFFFFF"/>
        </w:rPr>
        <w:t>Caso Coc Max y otros (Masacre de Xamán) Vs. Guatemala</w:t>
      </w:r>
      <w:r w:rsidRPr="005729CD">
        <w:rPr>
          <w:rStyle w:val="Strong"/>
          <w:b w:val="0"/>
          <w:color w:val="000000"/>
          <w:sz w:val="16"/>
          <w:szCs w:val="16"/>
          <w:shd w:val="clear" w:color="auto" w:fill="FFFFFF"/>
        </w:rPr>
        <w:t xml:space="preserve">, </w:t>
      </w:r>
      <w:r w:rsidRPr="005530D1">
        <w:rPr>
          <w:rStyle w:val="Strong"/>
          <w:b w:val="0"/>
          <w:i/>
          <w:color w:val="000000"/>
          <w:sz w:val="16"/>
          <w:szCs w:val="16"/>
          <w:shd w:val="clear" w:color="auto" w:fill="FFFFFF"/>
        </w:rPr>
        <w:t>supra</w:t>
      </w:r>
      <w:r>
        <w:rPr>
          <w:rStyle w:val="Strong"/>
          <w:b w:val="0"/>
          <w:color w:val="000000"/>
          <w:sz w:val="16"/>
          <w:szCs w:val="16"/>
          <w:shd w:val="clear" w:color="auto" w:fill="FFFFFF"/>
        </w:rPr>
        <w:t xml:space="preserve">, </w:t>
      </w:r>
      <w:r w:rsidRPr="005729CD">
        <w:rPr>
          <w:rStyle w:val="Strong"/>
          <w:b w:val="0"/>
          <w:color w:val="000000"/>
          <w:sz w:val="16"/>
          <w:szCs w:val="16"/>
          <w:shd w:val="clear" w:color="auto" w:fill="FFFFFF"/>
        </w:rPr>
        <w:t>párr. 144.</w:t>
      </w:r>
    </w:p>
  </w:footnote>
  <w:footnote w:id="316">
    <w:p w:rsidR="00B41935" w:rsidRPr="00257982" w:rsidRDefault="00B41935" w:rsidP="0060330C">
      <w:pPr>
        <w:pStyle w:val="FootnoteText"/>
        <w:tabs>
          <w:tab w:val="left" w:pos="360"/>
        </w:tabs>
        <w:contextualSpacing/>
        <w:rPr>
          <w:sz w:val="16"/>
          <w:szCs w:val="16"/>
          <w:lang w:val="es-PR"/>
        </w:rPr>
      </w:pPr>
      <w:r w:rsidRPr="00CC214C">
        <w:rPr>
          <w:rStyle w:val="FootnoteReference"/>
          <w:lang w:val="es-PR"/>
        </w:rPr>
        <w:footnoteRef/>
      </w:r>
      <w:r w:rsidRPr="00257982">
        <w:rPr>
          <w:sz w:val="16"/>
          <w:szCs w:val="16"/>
          <w:lang w:val="es-PR"/>
        </w:rPr>
        <w:t xml:space="preserve"> </w:t>
      </w:r>
      <w:r w:rsidRPr="00257982">
        <w:rPr>
          <w:sz w:val="16"/>
          <w:szCs w:val="16"/>
          <w:lang w:val="es-PR"/>
        </w:rPr>
        <w:tab/>
      </w:r>
      <w:r w:rsidRPr="00257982">
        <w:rPr>
          <w:sz w:val="16"/>
          <w:szCs w:val="16"/>
          <w:lang w:val="es-PR"/>
        </w:rPr>
        <w:tab/>
      </w:r>
      <w:r w:rsidRPr="00257982">
        <w:rPr>
          <w:i/>
          <w:sz w:val="16"/>
          <w:szCs w:val="16"/>
          <w:lang w:val="es-PR"/>
        </w:rPr>
        <w:t xml:space="preserve">Cfr. </w:t>
      </w:r>
      <w:r w:rsidRPr="006922EE">
        <w:rPr>
          <w:rStyle w:val="FootnoteTextChar"/>
          <w:i/>
          <w:spacing w:val="-4"/>
          <w:sz w:val="16"/>
          <w:szCs w:val="16"/>
        </w:rPr>
        <w:t>Caso Ticona Estrada y otros Vs. Bolivia.</w:t>
      </w:r>
      <w:r w:rsidRPr="00257982">
        <w:rPr>
          <w:rStyle w:val="FootnoteTextChar"/>
          <w:spacing w:val="-4"/>
        </w:rPr>
        <w:t xml:space="preserve"> </w:t>
      </w:r>
      <w:r w:rsidRPr="00257982">
        <w:rPr>
          <w:i/>
          <w:spacing w:val="-4"/>
          <w:sz w:val="16"/>
          <w:szCs w:val="16"/>
        </w:rPr>
        <w:t>Fondo, Reparaciones y Costas</w:t>
      </w:r>
      <w:r w:rsidRPr="00257982">
        <w:rPr>
          <w:spacing w:val="-4"/>
          <w:sz w:val="16"/>
          <w:szCs w:val="16"/>
        </w:rPr>
        <w:t>. Sentencia de 27 de noviembre de 2008. Serie C No. 191,</w:t>
      </w:r>
      <w:r w:rsidRPr="00257982">
        <w:rPr>
          <w:rStyle w:val="FootnoteTextChar"/>
          <w:spacing w:val="-4"/>
        </w:rPr>
        <w:t xml:space="preserve"> </w:t>
      </w:r>
      <w:r w:rsidRPr="006922EE">
        <w:rPr>
          <w:rStyle w:val="FootnoteTextChar"/>
          <w:spacing w:val="-4"/>
          <w:sz w:val="16"/>
          <w:szCs w:val="16"/>
        </w:rPr>
        <w:t>párr. 110</w:t>
      </w:r>
      <w:r w:rsidRPr="0068137F">
        <w:rPr>
          <w:rFonts w:cs="Verdana"/>
          <w:sz w:val="16"/>
          <w:szCs w:val="16"/>
          <w:lang w:bidi="en-US"/>
        </w:rPr>
        <w:t xml:space="preserve">, y </w:t>
      </w:r>
      <w:r w:rsidRPr="0068137F">
        <w:rPr>
          <w:rStyle w:val="Strong"/>
          <w:b w:val="0"/>
          <w:i/>
          <w:color w:val="000000"/>
          <w:sz w:val="16"/>
          <w:szCs w:val="16"/>
          <w:shd w:val="clear" w:color="auto" w:fill="FFFFFF"/>
        </w:rPr>
        <w:t>Caso Coc Max y otros (Masacre de Xamán) Vs. Guatemala</w:t>
      </w:r>
      <w:r>
        <w:rPr>
          <w:rStyle w:val="Strong"/>
          <w:b w:val="0"/>
          <w:i/>
          <w:color w:val="000000"/>
          <w:sz w:val="16"/>
          <w:szCs w:val="16"/>
          <w:shd w:val="clear" w:color="auto" w:fill="FFFFFF"/>
        </w:rPr>
        <w:t xml:space="preserve">, supra, </w:t>
      </w:r>
      <w:r w:rsidRPr="00C47C35">
        <w:rPr>
          <w:rStyle w:val="Strong"/>
          <w:rFonts w:eastAsiaTheme="majorEastAsia"/>
          <w:b w:val="0"/>
          <w:color w:val="000000"/>
          <w:sz w:val="16"/>
          <w:szCs w:val="16"/>
          <w:shd w:val="clear" w:color="auto" w:fill="FFFFFF"/>
        </w:rPr>
        <w:t>párr. 14</w:t>
      </w:r>
      <w:r>
        <w:rPr>
          <w:rStyle w:val="Strong"/>
          <w:rFonts w:eastAsiaTheme="majorEastAsia"/>
          <w:b w:val="0"/>
          <w:color w:val="000000"/>
          <w:sz w:val="16"/>
          <w:szCs w:val="16"/>
          <w:shd w:val="clear" w:color="auto" w:fill="FFFFFF"/>
        </w:rPr>
        <w:t>4</w:t>
      </w:r>
      <w:r w:rsidRPr="006922EE">
        <w:rPr>
          <w:rStyle w:val="Strong"/>
          <w:b w:val="0"/>
          <w:color w:val="000000"/>
          <w:sz w:val="16"/>
          <w:szCs w:val="16"/>
          <w:shd w:val="clear" w:color="auto" w:fill="FFFFFF"/>
        </w:rPr>
        <w:t>.</w:t>
      </w:r>
    </w:p>
  </w:footnote>
  <w:footnote w:id="317">
    <w:p w:rsidR="00B41935" w:rsidRPr="00257982" w:rsidRDefault="00B41935" w:rsidP="0060330C">
      <w:pPr>
        <w:pStyle w:val="FootnoteText"/>
        <w:tabs>
          <w:tab w:val="left" w:pos="426"/>
        </w:tabs>
        <w:rPr>
          <w:sz w:val="16"/>
          <w:szCs w:val="16"/>
        </w:rPr>
      </w:pPr>
      <w:r w:rsidRPr="00CC214C">
        <w:rPr>
          <w:rStyle w:val="FootnoteReference"/>
        </w:rPr>
        <w:footnoteRef/>
      </w:r>
      <w:r w:rsidRPr="00257982">
        <w:rPr>
          <w:sz w:val="16"/>
          <w:szCs w:val="16"/>
        </w:rPr>
        <w:t xml:space="preserve"> </w:t>
      </w:r>
      <w:r w:rsidRPr="00257982">
        <w:rPr>
          <w:sz w:val="16"/>
          <w:szCs w:val="16"/>
        </w:rPr>
        <w:tab/>
      </w:r>
      <w:r w:rsidRPr="00257982">
        <w:rPr>
          <w:sz w:val="16"/>
          <w:szCs w:val="16"/>
        </w:rPr>
        <w:tab/>
      </w:r>
      <w:r w:rsidRPr="00257982">
        <w:rPr>
          <w:i/>
          <w:iCs/>
          <w:sz w:val="16"/>
          <w:szCs w:val="16"/>
          <w:lang w:val="es-CR"/>
        </w:rPr>
        <w:t>Cfr. Caso Neira Alegría y otros Vs. Perú. Reparaciones y Costas</w:t>
      </w:r>
      <w:r w:rsidRPr="00257982">
        <w:rPr>
          <w:sz w:val="16"/>
          <w:szCs w:val="16"/>
          <w:lang w:val="es-CR"/>
        </w:rPr>
        <w:t>. Sentencia de 19 de septiembre de 1996. Serie C No. 29, párr. 56</w:t>
      </w:r>
      <w:r w:rsidRPr="0068137F">
        <w:rPr>
          <w:rFonts w:cs="Verdana"/>
          <w:sz w:val="16"/>
          <w:szCs w:val="16"/>
          <w:lang w:bidi="en-US"/>
        </w:rPr>
        <w:t xml:space="preserve">, y </w:t>
      </w:r>
      <w:r w:rsidRPr="0068137F">
        <w:rPr>
          <w:rStyle w:val="Strong"/>
          <w:b w:val="0"/>
          <w:i/>
          <w:color w:val="000000"/>
          <w:sz w:val="16"/>
          <w:szCs w:val="16"/>
          <w:shd w:val="clear" w:color="auto" w:fill="FFFFFF"/>
        </w:rPr>
        <w:t>Caso Coc Max y otros (</w:t>
      </w:r>
      <w:r>
        <w:rPr>
          <w:rStyle w:val="Strong"/>
          <w:b w:val="0"/>
          <w:i/>
          <w:color w:val="000000"/>
          <w:sz w:val="16"/>
          <w:szCs w:val="16"/>
          <w:shd w:val="clear" w:color="auto" w:fill="FFFFFF"/>
        </w:rPr>
        <w:t>Masacre de Xamán) Vs. Guatemala</w:t>
      </w:r>
      <w:r w:rsidRPr="00C47C35">
        <w:rPr>
          <w:rStyle w:val="Strong"/>
          <w:rFonts w:eastAsiaTheme="majorEastAsia"/>
          <w:b w:val="0"/>
          <w:color w:val="000000"/>
          <w:sz w:val="16"/>
          <w:szCs w:val="16"/>
          <w:shd w:val="clear" w:color="auto" w:fill="FFFFFF"/>
        </w:rPr>
        <w:t xml:space="preserve">, </w:t>
      </w:r>
      <w:r>
        <w:rPr>
          <w:rStyle w:val="Strong"/>
          <w:rFonts w:eastAsiaTheme="majorEastAsia"/>
          <w:b w:val="0"/>
          <w:color w:val="000000"/>
          <w:sz w:val="16"/>
          <w:szCs w:val="16"/>
          <w:shd w:val="clear" w:color="auto" w:fill="FFFFFF"/>
        </w:rPr>
        <w:t xml:space="preserve">supra, </w:t>
      </w:r>
      <w:r w:rsidRPr="00C47C35">
        <w:rPr>
          <w:rStyle w:val="Strong"/>
          <w:rFonts w:eastAsiaTheme="majorEastAsia"/>
          <w:b w:val="0"/>
          <w:color w:val="000000"/>
          <w:sz w:val="16"/>
          <w:szCs w:val="16"/>
          <w:shd w:val="clear" w:color="auto" w:fill="FFFFFF"/>
        </w:rPr>
        <w:t>párr. 14</w:t>
      </w:r>
      <w:r>
        <w:rPr>
          <w:rStyle w:val="Strong"/>
          <w:rFonts w:eastAsiaTheme="majorEastAsia"/>
          <w:b w:val="0"/>
          <w:color w:val="000000"/>
          <w:sz w:val="16"/>
          <w:szCs w:val="16"/>
          <w:shd w:val="clear" w:color="auto" w:fill="FFFFFF"/>
        </w:rPr>
        <w:t>5</w:t>
      </w:r>
      <w:r w:rsidRPr="00520CC0">
        <w:rPr>
          <w:rStyle w:val="Strong"/>
          <w:b w:val="0"/>
          <w:color w:val="000000"/>
          <w:sz w:val="16"/>
          <w:szCs w:val="16"/>
          <w:shd w:val="clear" w:color="auto" w:fill="FFFFFF"/>
        </w:rPr>
        <w:t>.</w:t>
      </w:r>
      <w:r w:rsidRPr="00257982">
        <w:rPr>
          <w:sz w:val="16"/>
          <w:szCs w:val="16"/>
        </w:rPr>
        <w:tab/>
      </w:r>
    </w:p>
  </w:footnote>
  <w:footnote w:id="318">
    <w:p w:rsidR="00B41935" w:rsidRPr="00F10686" w:rsidRDefault="00B41935" w:rsidP="0060330C">
      <w:pPr>
        <w:rPr>
          <w:rFonts w:cs="Arial"/>
          <w:spacing w:val="-4"/>
          <w:sz w:val="16"/>
          <w:szCs w:val="16"/>
        </w:rPr>
      </w:pPr>
      <w:r w:rsidRPr="00CC214C">
        <w:rPr>
          <w:rStyle w:val="FootnoteReference"/>
          <w:spacing w:val="-4"/>
        </w:rPr>
        <w:footnoteRef/>
      </w:r>
      <w:r w:rsidRPr="00CC214C">
        <w:rPr>
          <w:spacing w:val="-4"/>
          <w:sz w:val="16"/>
          <w:szCs w:val="16"/>
        </w:rPr>
        <w:t xml:space="preserve"> </w:t>
      </w:r>
      <w:r w:rsidRPr="00CC214C">
        <w:rPr>
          <w:spacing w:val="-4"/>
          <w:sz w:val="16"/>
          <w:szCs w:val="16"/>
        </w:rPr>
        <w:tab/>
      </w:r>
      <w:r w:rsidRPr="00CC214C">
        <w:rPr>
          <w:rFonts w:cs="Arial"/>
          <w:i/>
          <w:spacing w:val="-4"/>
          <w:sz w:val="16"/>
          <w:szCs w:val="16"/>
        </w:rPr>
        <w:t>Cfr. Caso Vel</w:t>
      </w:r>
      <w:r w:rsidRPr="00552A48">
        <w:rPr>
          <w:rFonts w:cs="Arial"/>
          <w:i/>
          <w:spacing w:val="-4"/>
          <w:sz w:val="16"/>
          <w:szCs w:val="16"/>
        </w:rPr>
        <w:t>ásquez Rodríguez Vs. Honduras</w:t>
      </w:r>
      <w:r>
        <w:rPr>
          <w:rFonts w:cs="Arial"/>
          <w:i/>
          <w:spacing w:val="-4"/>
          <w:sz w:val="16"/>
          <w:szCs w:val="16"/>
        </w:rPr>
        <w:t xml:space="preserve">. </w:t>
      </w:r>
      <w:r>
        <w:rPr>
          <w:bCs/>
          <w:i/>
          <w:sz w:val="16"/>
          <w:szCs w:val="16"/>
          <w:lang w:val="es-ES"/>
        </w:rPr>
        <w:t>Reparaciones y Costas</w:t>
      </w:r>
      <w:r>
        <w:rPr>
          <w:rFonts w:cs="Arial"/>
          <w:i/>
          <w:spacing w:val="-4"/>
          <w:sz w:val="16"/>
          <w:szCs w:val="16"/>
        </w:rPr>
        <w:t xml:space="preserve">, </w:t>
      </w:r>
      <w:r w:rsidRPr="003A5FAB">
        <w:rPr>
          <w:i/>
          <w:sz w:val="16"/>
          <w:szCs w:val="16"/>
          <w:lang w:val="pt-BR"/>
        </w:rPr>
        <w:t>supra</w:t>
      </w:r>
      <w:r w:rsidRPr="00552A48">
        <w:rPr>
          <w:rFonts w:cs="Arial"/>
          <w:spacing w:val="-4"/>
          <w:sz w:val="16"/>
          <w:szCs w:val="16"/>
        </w:rPr>
        <w:t>, párrs. 25 y 26</w:t>
      </w:r>
      <w:r w:rsidRPr="0068137F">
        <w:rPr>
          <w:rFonts w:cs="Verdana"/>
          <w:sz w:val="16"/>
          <w:szCs w:val="16"/>
          <w:lang w:bidi="en-US"/>
        </w:rPr>
        <w:t xml:space="preserve">, y </w:t>
      </w:r>
      <w:r w:rsidRPr="0068137F">
        <w:rPr>
          <w:rStyle w:val="Strong"/>
          <w:b w:val="0"/>
          <w:i/>
          <w:color w:val="000000"/>
          <w:sz w:val="16"/>
          <w:szCs w:val="16"/>
          <w:shd w:val="clear" w:color="auto" w:fill="FFFFFF"/>
        </w:rPr>
        <w:t>Caso Coc Max y otros (Masacre de Xamán) Vs. Guatema</w:t>
      </w:r>
      <w:r>
        <w:rPr>
          <w:rStyle w:val="Strong"/>
          <w:b w:val="0"/>
          <w:i/>
          <w:color w:val="000000"/>
          <w:sz w:val="16"/>
          <w:szCs w:val="16"/>
          <w:shd w:val="clear" w:color="auto" w:fill="FFFFFF"/>
        </w:rPr>
        <w:t>la</w:t>
      </w:r>
      <w:r w:rsidRPr="00C47C35">
        <w:rPr>
          <w:rStyle w:val="Strong"/>
          <w:rFonts w:eastAsiaTheme="majorEastAsia"/>
          <w:b w:val="0"/>
          <w:color w:val="000000"/>
          <w:sz w:val="16"/>
          <w:szCs w:val="16"/>
          <w:shd w:val="clear" w:color="auto" w:fill="FFFFFF"/>
        </w:rPr>
        <w:t xml:space="preserve">, </w:t>
      </w:r>
      <w:r w:rsidRPr="005530D1">
        <w:rPr>
          <w:rStyle w:val="Strong"/>
          <w:rFonts w:eastAsiaTheme="majorEastAsia"/>
          <w:b w:val="0"/>
          <w:i/>
          <w:color w:val="000000"/>
          <w:sz w:val="16"/>
          <w:szCs w:val="16"/>
          <w:shd w:val="clear" w:color="auto" w:fill="FFFFFF"/>
        </w:rPr>
        <w:t>supra</w:t>
      </w:r>
      <w:r>
        <w:rPr>
          <w:rStyle w:val="Strong"/>
          <w:rFonts w:eastAsiaTheme="majorEastAsia"/>
          <w:b w:val="0"/>
          <w:color w:val="000000"/>
          <w:sz w:val="16"/>
          <w:szCs w:val="16"/>
          <w:shd w:val="clear" w:color="auto" w:fill="FFFFFF"/>
        </w:rPr>
        <w:t xml:space="preserve">, </w:t>
      </w:r>
      <w:r w:rsidRPr="00C47C35">
        <w:rPr>
          <w:rStyle w:val="Strong"/>
          <w:rFonts w:eastAsiaTheme="majorEastAsia"/>
          <w:b w:val="0"/>
          <w:color w:val="000000"/>
          <w:sz w:val="16"/>
          <w:szCs w:val="16"/>
          <w:shd w:val="clear" w:color="auto" w:fill="FFFFFF"/>
        </w:rPr>
        <w:t>párr. 14</w:t>
      </w:r>
      <w:r>
        <w:rPr>
          <w:rStyle w:val="Strong"/>
          <w:rFonts w:eastAsiaTheme="majorEastAsia"/>
          <w:b w:val="0"/>
          <w:color w:val="000000"/>
          <w:sz w:val="16"/>
          <w:szCs w:val="16"/>
          <w:shd w:val="clear" w:color="auto" w:fill="FFFFFF"/>
        </w:rPr>
        <w:t>5</w:t>
      </w:r>
      <w:r w:rsidRPr="00F10686">
        <w:rPr>
          <w:rFonts w:cs="Arial"/>
          <w:spacing w:val="-4"/>
          <w:sz w:val="16"/>
          <w:szCs w:val="16"/>
        </w:rPr>
        <w:t>.</w:t>
      </w:r>
    </w:p>
  </w:footnote>
  <w:footnote w:id="319">
    <w:p w:rsidR="00B41935" w:rsidRPr="00C84214" w:rsidRDefault="00B41935" w:rsidP="00661D24">
      <w:pPr>
        <w:pStyle w:val="FootnoteText"/>
        <w:tabs>
          <w:tab w:val="left" w:pos="426"/>
          <w:tab w:val="left" w:pos="567"/>
        </w:tabs>
        <w:spacing w:before="120"/>
        <w:rPr>
          <w:sz w:val="16"/>
          <w:szCs w:val="16"/>
        </w:rPr>
      </w:pPr>
      <w:r w:rsidRPr="00C84214">
        <w:rPr>
          <w:rStyle w:val="FootnoteReference"/>
        </w:rPr>
        <w:footnoteRef/>
      </w:r>
      <w:r w:rsidRPr="00C84214">
        <w:rPr>
          <w:sz w:val="16"/>
          <w:szCs w:val="16"/>
        </w:rPr>
        <w:t xml:space="preserve"> </w:t>
      </w:r>
      <w:r w:rsidRPr="00C84214">
        <w:rPr>
          <w:sz w:val="16"/>
          <w:szCs w:val="16"/>
        </w:rPr>
        <w:tab/>
      </w:r>
      <w:r>
        <w:rPr>
          <w:sz w:val="16"/>
          <w:szCs w:val="16"/>
        </w:rPr>
        <w:tab/>
      </w:r>
      <w:r>
        <w:rPr>
          <w:i/>
          <w:sz w:val="16"/>
          <w:szCs w:val="16"/>
        </w:rPr>
        <w:t xml:space="preserve">Cfr. </w:t>
      </w:r>
      <w:r w:rsidRPr="0060330C">
        <w:rPr>
          <w:rStyle w:val="Strong"/>
          <w:rFonts w:eastAsia="Times New Roman"/>
          <w:b w:val="0"/>
          <w:i/>
          <w:color w:val="000000"/>
          <w:sz w:val="16"/>
          <w:szCs w:val="16"/>
          <w:shd w:val="clear" w:color="auto" w:fill="FFFFFF"/>
          <w:lang w:val="es-CR"/>
        </w:rPr>
        <w:t>Caso Defensor de Derechos Humanos y otros Vs. Guatemala. Excepciones Preliminares, Fondo, Reparaciones y Costas.</w:t>
      </w:r>
      <w:r w:rsidRPr="0060330C">
        <w:rPr>
          <w:rStyle w:val="Strong"/>
          <w:rFonts w:eastAsia="Times New Roman"/>
          <w:b w:val="0"/>
          <w:color w:val="000000"/>
          <w:sz w:val="16"/>
          <w:szCs w:val="16"/>
          <w:shd w:val="clear" w:color="auto" w:fill="FFFFFF"/>
          <w:lang w:val="es-CR"/>
        </w:rPr>
        <w:t xml:space="preserve"> Sentencia de 28 de agosto de 2014. Serie C No. 283, párr</w:t>
      </w:r>
      <w:r w:rsidRPr="0060330C">
        <w:rPr>
          <w:rStyle w:val="Strong"/>
          <w:rFonts w:eastAsia="Times New Roman"/>
          <w:b w:val="0"/>
          <w:color w:val="000000"/>
          <w:sz w:val="16"/>
          <w:szCs w:val="16"/>
          <w:shd w:val="clear" w:color="auto" w:fill="FFFFFF"/>
        </w:rPr>
        <w:t xml:space="preserve">. 252; </w:t>
      </w:r>
      <w:r w:rsidRPr="00FD6009">
        <w:rPr>
          <w:rStyle w:val="Strong"/>
          <w:rFonts w:eastAsia="Times New Roman"/>
          <w:b w:val="0"/>
          <w:i/>
          <w:color w:val="000000"/>
          <w:sz w:val="16"/>
          <w:szCs w:val="16"/>
          <w:shd w:val="clear" w:color="auto" w:fill="FFFFFF"/>
          <w:lang w:val="es-CR"/>
        </w:rPr>
        <w:t>Caso Pacheco León y otros Vs. Honduras. Fondo, Reparaciones y Costas.</w:t>
      </w:r>
      <w:r w:rsidRPr="00FD6009">
        <w:rPr>
          <w:rStyle w:val="Strong"/>
          <w:rFonts w:eastAsia="Times New Roman"/>
          <w:b w:val="0"/>
          <w:color w:val="000000"/>
          <w:sz w:val="16"/>
          <w:szCs w:val="16"/>
          <w:shd w:val="clear" w:color="auto" w:fill="FFFFFF"/>
          <w:lang w:val="es-CR"/>
        </w:rPr>
        <w:t xml:space="preserve"> Sentencia de 15 de noviembre 2017. Serie C No. 342, párr. 194, y </w:t>
      </w:r>
      <w:r w:rsidRPr="00C5568E">
        <w:rPr>
          <w:rStyle w:val="Strong"/>
          <w:b w:val="0"/>
          <w:i/>
          <w:color w:val="000000"/>
          <w:sz w:val="16"/>
          <w:szCs w:val="16"/>
          <w:shd w:val="clear" w:color="auto" w:fill="FFFFFF"/>
        </w:rPr>
        <w:t>Caso Munárriz Escobar y otros Vs. Perú</w:t>
      </w:r>
      <w:r>
        <w:rPr>
          <w:i/>
          <w:color w:val="000000"/>
          <w:spacing w:val="-4"/>
          <w:sz w:val="16"/>
          <w:szCs w:val="16"/>
        </w:rPr>
        <w:t xml:space="preserve">, </w:t>
      </w:r>
      <w:r w:rsidRPr="003A5FAB">
        <w:rPr>
          <w:i/>
          <w:color w:val="000000"/>
          <w:spacing w:val="-4"/>
          <w:sz w:val="16"/>
          <w:szCs w:val="16"/>
        </w:rPr>
        <w:t>supra</w:t>
      </w:r>
      <w:r w:rsidRPr="00C5568E">
        <w:rPr>
          <w:rStyle w:val="Strong"/>
          <w:b w:val="0"/>
          <w:color w:val="000000"/>
          <w:sz w:val="16"/>
          <w:szCs w:val="16"/>
          <w:shd w:val="clear" w:color="auto" w:fill="FFFFFF"/>
        </w:rPr>
        <w:t>, párr. 122</w:t>
      </w:r>
      <w:r w:rsidRPr="00C5568E">
        <w:rPr>
          <w:rStyle w:val="Strong"/>
          <w:rFonts w:eastAsia="Times New Roman"/>
          <w:b w:val="0"/>
          <w:color w:val="000000"/>
          <w:sz w:val="16"/>
          <w:szCs w:val="16"/>
          <w:shd w:val="clear" w:color="auto" w:fill="FFFFFF"/>
          <w:lang w:val="es-CR"/>
        </w:rPr>
        <w:t>.</w:t>
      </w:r>
    </w:p>
  </w:footnote>
  <w:footnote w:id="320">
    <w:p w:rsidR="00B41935" w:rsidRPr="00F10686" w:rsidRDefault="00B41935" w:rsidP="0060330C">
      <w:pPr>
        <w:tabs>
          <w:tab w:val="left" w:pos="567"/>
        </w:tabs>
        <w:ind w:right="-90"/>
        <w:rPr>
          <w:sz w:val="16"/>
          <w:szCs w:val="16"/>
          <w:lang w:val="es-ES"/>
        </w:rPr>
      </w:pPr>
      <w:r w:rsidRPr="00C84214">
        <w:rPr>
          <w:rStyle w:val="FootnoteReference"/>
          <w:lang w:val="es-ES"/>
        </w:rPr>
        <w:footnoteRef/>
      </w:r>
      <w:r w:rsidRPr="00C84214">
        <w:rPr>
          <w:sz w:val="16"/>
          <w:szCs w:val="16"/>
          <w:lang w:val="es-ES"/>
        </w:rPr>
        <w:tab/>
      </w:r>
      <w:r w:rsidRPr="00C84214">
        <w:rPr>
          <w:i/>
          <w:iCs/>
          <w:sz w:val="16"/>
          <w:szCs w:val="16"/>
          <w:lang w:val="es-ES"/>
        </w:rPr>
        <w:t>Cfr.</w:t>
      </w:r>
      <w:r w:rsidRPr="00C84214">
        <w:rPr>
          <w:i/>
          <w:sz w:val="16"/>
          <w:szCs w:val="16"/>
          <w:lang w:val="es-ES"/>
        </w:rPr>
        <w:t xml:space="preserve"> </w:t>
      </w:r>
      <w:r w:rsidRPr="00794023">
        <w:rPr>
          <w:i/>
          <w:sz w:val="16"/>
          <w:szCs w:val="16"/>
          <w:lang w:val="es-ES"/>
        </w:rPr>
        <w:t xml:space="preserve">Caso del Caracazo Vs. Venezuela. Reparaciones y Costas. </w:t>
      </w:r>
      <w:r w:rsidRPr="00794023">
        <w:rPr>
          <w:sz w:val="16"/>
          <w:szCs w:val="16"/>
          <w:lang w:val="es-ES"/>
        </w:rPr>
        <w:t>Sentencia de 29 de agosto de 2002. Serie C No. 95, párr. 118</w:t>
      </w:r>
      <w:r>
        <w:rPr>
          <w:sz w:val="16"/>
          <w:szCs w:val="16"/>
          <w:lang w:val="es-ES"/>
        </w:rPr>
        <w:t>;</w:t>
      </w:r>
      <w:r w:rsidRPr="00C84214">
        <w:rPr>
          <w:sz w:val="16"/>
          <w:szCs w:val="16"/>
          <w:lang w:val="es-ES"/>
        </w:rPr>
        <w:t xml:space="preserve"> </w:t>
      </w:r>
      <w:r w:rsidRPr="0060330C">
        <w:rPr>
          <w:rStyle w:val="Strong"/>
          <w:b w:val="0"/>
          <w:i/>
          <w:color w:val="000000"/>
          <w:sz w:val="16"/>
          <w:szCs w:val="16"/>
          <w:shd w:val="clear" w:color="auto" w:fill="FFFFFF"/>
        </w:rPr>
        <w:t>Caso Tenorio Roca y otros Vs. Perú</w:t>
      </w:r>
      <w:r>
        <w:rPr>
          <w:rStyle w:val="Strong"/>
          <w:b w:val="0"/>
          <w:i/>
          <w:color w:val="000000"/>
          <w:sz w:val="16"/>
          <w:szCs w:val="16"/>
          <w:shd w:val="clear" w:color="auto" w:fill="FFFFFF"/>
        </w:rPr>
        <w:t xml:space="preserve">, </w:t>
      </w:r>
      <w:r w:rsidRPr="003A5FAB">
        <w:rPr>
          <w:rStyle w:val="Strong"/>
          <w:b w:val="0"/>
          <w:i/>
          <w:color w:val="000000"/>
          <w:sz w:val="16"/>
          <w:szCs w:val="16"/>
          <w:shd w:val="clear" w:color="auto" w:fill="FFFFFF"/>
        </w:rPr>
        <w:t>supra</w:t>
      </w:r>
      <w:r w:rsidRPr="0060330C">
        <w:rPr>
          <w:rStyle w:val="Strong"/>
          <w:b w:val="0"/>
          <w:color w:val="000000"/>
          <w:sz w:val="16"/>
          <w:szCs w:val="16"/>
          <w:shd w:val="clear" w:color="auto" w:fill="FFFFFF"/>
        </w:rPr>
        <w:t>, pár</w:t>
      </w:r>
      <w:r w:rsidRPr="00794023">
        <w:rPr>
          <w:rStyle w:val="Strong"/>
          <w:b w:val="0"/>
          <w:color w:val="000000"/>
          <w:sz w:val="16"/>
          <w:szCs w:val="16"/>
          <w:shd w:val="clear" w:color="auto" w:fill="FFFFFF"/>
        </w:rPr>
        <w:t xml:space="preserve">r. 269, </w:t>
      </w:r>
      <w:r w:rsidRPr="00323DB5">
        <w:rPr>
          <w:rStyle w:val="Strong"/>
          <w:b w:val="0"/>
          <w:i/>
          <w:color w:val="000000"/>
          <w:sz w:val="16"/>
          <w:szCs w:val="16"/>
          <w:shd w:val="clear" w:color="auto" w:fill="FFFFFF"/>
        </w:rPr>
        <w:t>y Caso Munárriz Escobar y otros Vs. Perú</w:t>
      </w:r>
      <w:r>
        <w:rPr>
          <w:i/>
          <w:color w:val="000000"/>
          <w:spacing w:val="-4"/>
          <w:sz w:val="16"/>
          <w:szCs w:val="16"/>
        </w:rPr>
        <w:t xml:space="preserve">, </w:t>
      </w:r>
      <w:r w:rsidRPr="003A5FAB">
        <w:rPr>
          <w:i/>
          <w:color w:val="000000"/>
          <w:spacing w:val="-4"/>
          <w:sz w:val="16"/>
          <w:szCs w:val="16"/>
        </w:rPr>
        <w:t>supra</w:t>
      </w:r>
      <w:r w:rsidRPr="00794023">
        <w:rPr>
          <w:rStyle w:val="Strong"/>
          <w:b w:val="0"/>
          <w:color w:val="000000"/>
          <w:sz w:val="16"/>
          <w:szCs w:val="16"/>
          <w:shd w:val="clear" w:color="auto" w:fill="FFFFFF"/>
        </w:rPr>
        <w:t>, párr. 124.</w:t>
      </w:r>
    </w:p>
  </w:footnote>
  <w:footnote w:id="321">
    <w:p w:rsidR="00B41935" w:rsidRPr="00257982" w:rsidRDefault="00B41935" w:rsidP="0060330C">
      <w:pPr>
        <w:pStyle w:val="FootnoteText"/>
        <w:tabs>
          <w:tab w:val="left" w:pos="567"/>
        </w:tabs>
        <w:ind w:right="-90"/>
        <w:rPr>
          <w:sz w:val="16"/>
          <w:szCs w:val="16"/>
          <w:lang w:val="es-ES"/>
        </w:rPr>
      </w:pPr>
      <w:r w:rsidRPr="00CC214C">
        <w:rPr>
          <w:rStyle w:val="FootnoteReference"/>
          <w:lang w:val="es-ES"/>
        </w:rPr>
        <w:footnoteRef/>
      </w:r>
      <w:r w:rsidRPr="00257982">
        <w:rPr>
          <w:sz w:val="16"/>
          <w:szCs w:val="16"/>
          <w:lang w:val="es-ES"/>
        </w:rPr>
        <w:t xml:space="preserve"> </w:t>
      </w:r>
      <w:r w:rsidRPr="00257982">
        <w:rPr>
          <w:sz w:val="16"/>
          <w:szCs w:val="16"/>
          <w:lang w:val="es-ES"/>
        </w:rPr>
        <w:tab/>
      </w:r>
      <w:r w:rsidRPr="00257982">
        <w:rPr>
          <w:i/>
          <w:sz w:val="16"/>
          <w:szCs w:val="16"/>
          <w:lang w:val="es-ES"/>
        </w:rPr>
        <w:t>Cfr. Caso del Caracazo Vs. Venezuela. Reparaciones y Costas</w:t>
      </w:r>
      <w:r w:rsidRPr="00257982">
        <w:rPr>
          <w:sz w:val="16"/>
          <w:szCs w:val="16"/>
          <w:lang w:val="es-ES"/>
        </w:rPr>
        <w:t xml:space="preserve">, </w:t>
      </w:r>
      <w:r w:rsidRPr="00492C76">
        <w:rPr>
          <w:i/>
          <w:sz w:val="16"/>
          <w:szCs w:val="16"/>
          <w:lang w:val="es-ES"/>
        </w:rPr>
        <w:t>supra</w:t>
      </w:r>
      <w:r>
        <w:rPr>
          <w:sz w:val="16"/>
          <w:szCs w:val="16"/>
          <w:lang w:val="es-ES"/>
        </w:rPr>
        <w:t xml:space="preserve">, </w:t>
      </w:r>
      <w:r w:rsidRPr="00257982">
        <w:rPr>
          <w:sz w:val="16"/>
          <w:szCs w:val="16"/>
          <w:lang w:val="es-ES"/>
        </w:rPr>
        <w:t>párrs. 122 a 124</w:t>
      </w:r>
      <w:r>
        <w:rPr>
          <w:sz w:val="16"/>
          <w:szCs w:val="16"/>
          <w:lang w:val="es-ES"/>
        </w:rPr>
        <w:t>;</w:t>
      </w:r>
      <w:r w:rsidRPr="00257982">
        <w:rPr>
          <w:sz w:val="16"/>
          <w:szCs w:val="16"/>
          <w:lang w:val="es-ES"/>
        </w:rPr>
        <w:t xml:space="preserve"> </w:t>
      </w:r>
      <w:r w:rsidRPr="0060330C">
        <w:rPr>
          <w:rStyle w:val="Strong"/>
          <w:b w:val="0"/>
          <w:i/>
          <w:color w:val="000000"/>
          <w:sz w:val="16"/>
          <w:szCs w:val="16"/>
          <w:shd w:val="clear" w:color="auto" w:fill="FFFFFF"/>
        </w:rPr>
        <w:t>Caso Tenorio Roca y otros Vs. Perú</w:t>
      </w:r>
      <w:r>
        <w:rPr>
          <w:rStyle w:val="Strong"/>
          <w:b w:val="0"/>
          <w:i/>
          <w:color w:val="000000"/>
          <w:sz w:val="16"/>
          <w:szCs w:val="16"/>
          <w:shd w:val="clear" w:color="auto" w:fill="FFFFFF"/>
        </w:rPr>
        <w:t xml:space="preserve">, </w:t>
      </w:r>
      <w:r w:rsidRPr="003A5FAB">
        <w:rPr>
          <w:rStyle w:val="Strong"/>
          <w:b w:val="0"/>
          <w:i/>
          <w:color w:val="000000"/>
          <w:sz w:val="16"/>
          <w:szCs w:val="16"/>
          <w:shd w:val="clear" w:color="auto" w:fill="FFFFFF"/>
        </w:rPr>
        <w:t>supra</w:t>
      </w:r>
      <w:r w:rsidRPr="0060330C">
        <w:rPr>
          <w:rStyle w:val="Strong"/>
          <w:b w:val="0"/>
          <w:color w:val="000000"/>
          <w:sz w:val="16"/>
          <w:szCs w:val="16"/>
          <w:shd w:val="clear" w:color="auto" w:fill="FFFFFF"/>
        </w:rPr>
        <w:t>, párr. 276</w:t>
      </w:r>
      <w:r w:rsidRPr="00C5568E">
        <w:rPr>
          <w:rStyle w:val="Strong"/>
          <w:b w:val="0"/>
          <w:color w:val="000000"/>
          <w:sz w:val="16"/>
          <w:szCs w:val="16"/>
          <w:shd w:val="clear" w:color="auto" w:fill="FFFFFF"/>
        </w:rPr>
        <w:t>, y</w:t>
      </w:r>
      <w:r w:rsidRPr="00C5568E">
        <w:rPr>
          <w:rStyle w:val="Strong"/>
          <w:b w:val="0"/>
          <w:i/>
          <w:color w:val="000000"/>
          <w:sz w:val="16"/>
          <w:szCs w:val="16"/>
          <w:shd w:val="clear" w:color="auto" w:fill="FFFFFF"/>
        </w:rPr>
        <w:t xml:space="preserve"> Caso Munárriz Escobar y otros Vs. Perú</w:t>
      </w:r>
      <w:r>
        <w:rPr>
          <w:i/>
          <w:color w:val="000000"/>
          <w:spacing w:val="-4"/>
          <w:sz w:val="16"/>
          <w:szCs w:val="16"/>
        </w:rPr>
        <w:t xml:space="preserve">, </w:t>
      </w:r>
      <w:r w:rsidRPr="003A5FAB">
        <w:rPr>
          <w:i/>
          <w:color w:val="000000"/>
          <w:spacing w:val="-4"/>
          <w:sz w:val="16"/>
          <w:szCs w:val="16"/>
        </w:rPr>
        <w:t>supra</w:t>
      </w:r>
      <w:r>
        <w:rPr>
          <w:rStyle w:val="Strong"/>
          <w:b w:val="0"/>
          <w:color w:val="000000"/>
          <w:sz w:val="16"/>
          <w:szCs w:val="16"/>
          <w:shd w:val="clear" w:color="auto" w:fill="FFFFFF"/>
        </w:rPr>
        <w:t>, párr. 125</w:t>
      </w:r>
      <w:r w:rsidRPr="00C5568E">
        <w:rPr>
          <w:rStyle w:val="Strong"/>
          <w:b w:val="0"/>
          <w:color w:val="000000"/>
          <w:sz w:val="16"/>
          <w:szCs w:val="16"/>
          <w:shd w:val="clear" w:color="auto" w:fill="FFFFFF"/>
        </w:rPr>
        <w:t>.</w:t>
      </w:r>
    </w:p>
  </w:footnote>
  <w:footnote w:id="322">
    <w:p w:rsidR="00B41935" w:rsidRPr="00257982" w:rsidRDefault="00B41935" w:rsidP="0060330C">
      <w:pPr>
        <w:pStyle w:val="FootnoteText"/>
        <w:rPr>
          <w:sz w:val="16"/>
          <w:szCs w:val="16"/>
        </w:rPr>
      </w:pPr>
      <w:r w:rsidRPr="00CC214C">
        <w:rPr>
          <w:rStyle w:val="FootnoteReference"/>
        </w:rPr>
        <w:footnoteRef/>
      </w:r>
      <w:r w:rsidRPr="00257982">
        <w:rPr>
          <w:sz w:val="16"/>
          <w:szCs w:val="16"/>
        </w:rPr>
        <w:t xml:space="preserve"> </w:t>
      </w:r>
      <w:r w:rsidRPr="00257982">
        <w:rPr>
          <w:sz w:val="16"/>
          <w:szCs w:val="16"/>
        </w:rPr>
        <w:tab/>
      </w:r>
      <w:r w:rsidRPr="00257982">
        <w:rPr>
          <w:i/>
          <w:sz w:val="16"/>
          <w:szCs w:val="16"/>
        </w:rPr>
        <w:t>Cfr. Caso Barrios Altos Vs. Perú. Reparaciones y Costas</w:t>
      </w:r>
      <w:r w:rsidRPr="00257982">
        <w:rPr>
          <w:sz w:val="16"/>
          <w:szCs w:val="16"/>
        </w:rPr>
        <w:t>. Sentencia de 30 de noviembre de 2001. Serie C No. 87, párrs. 42 y 45</w:t>
      </w:r>
      <w:r>
        <w:rPr>
          <w:sz w:val="16"/>
          <w:szCs w:val="16"/>
        </w:rPr>
        <w:t>;</w:t>
      </w:r>
      <w:r w:rsidRPr="00257982">
        <w:rPr>
          <w:sz w:val="16"/>
          <w:szCs w:val="16"/>
        </w:rPr>
        <w:t xml:space="preserve"> </w:t>
      </w:r>
      <w:r w:rsidRPr="00323DB5">
        <w:rPr>
          <w:i/>
          <w:sz w:val="16"/>
          <w:szCs w:val="16"/>
        </w:rPr>
        <w:t>Caso Vereda la Esperanza Vs. Colombia</w:t>
      </w:r>
      <w:r w:rsidRPr="00257982">
        <w:rPr>
          <w:sz w:val="16"/>
          <w:szCs w:val="16"/>
        </w:rPr>
        <w:t xml:space="preserve">, </w:t>
      </w:r>
      <w:r w:rsidRPr="00D42689">
        <w:rPr>
          <w:i/>
          <w:sz w:val="16"/>
          <w:szCs w:val="16"/>
        </w:rPr>
        <w:t>supra,</w:t>
      </w:r>
      <w:r>
        <w:rPr>
          <w:sz w:val="16"/>
          <w:szCs w:val="16"/>
        </w:rPr>
        <w:t xml:space="preserve"> </w:t>
      </w:r>
      <w:r w:rsidRPr="00257982">
        <w:rPr>
          <w:sz w:val="16"/>
          <w:szCs w:val="16"/>
        </w:rPr>
        <w:t>párr. 278</w:t>
      </w:r>
      <w:r w:rsidRPr="0068137F">
        <w:rPr>
          <w:rFonts w:cs="Verdana"/>
          <w:sz w:val="16"/>
          <w:szCs w:val="16"/>
          <w:lang w:bidi="en-US"/>
        </w:rPr>
        <w:t xml:space="preserve">, y </w:t>
      </w:r>
      <w:r w:rsidRPr="0068137F">
        <w:rPr>
          <w:rStyle w:val="Strong"/>
          <w:b w:val="0"/>
          <w:i/>
          <w:color w:val="000000"/>
          <w:sz w:val="16"/>
          <w:szCs w:val="16"/>
          <w:shd w:val="clear" w:color="auto" w:fill="FFFFFF"/>
        </w:rPr>
        <w:t>Caso Coc Max y otros (Masacre de Xamán) Vs. Guatema</w:t>
      </w:r>
      <w:r>
        <w:rPr>
          <w:rStyle w:val="Strong"/>
          <w:b w:val="0"/>
          <w:i/>
          <w:color w:val="000000"/>
          <w:sz w:val="16"/>
          <w:szCs w:val="16"/>
          <w:shd w:val="clear" w:color="auto" w:fill="FFFFFF"/>
        </w:rPr>
        <w:t>la</w:t>
      </w:r>
      <w:r w:rsidRPr="00C47C35">
        <w:rPr>
          <w:rStyle w:val="Strong"/>
          <w:rFonts w:eastAsiaTheme="majorEastAsia"/>
          <w:b w:val="0"/>
          <w:color w:val="000000"/>
          <w:sz w:val="16"/>
          <w:szCs w:val="16"/>
          <w:shd w:val="clear" w:color="auto" w:fill="FFFFFF"/>
        </w:rPr>
        <w:t xml:space="preserve">, </w:t>
      </w:r>
      <w:r w:rsidRPr="00E8710A">
        <w:rPr>
          <w:rStyle w:val="Strong"/>
          <w:rFonts w:eastAsiaTheme="majorEastAsia"/>
          <w:b w:val="0"/>
          <w:i/>
          <w:color w:val="000000"/>
          <w:sz w:val="16"/>
          <w:szCs w:val="16"/>
          <w:shd w:val="clear" w:color="auto" w:fill="FFFFFF"/>
        </w:rPr>
        <w:t>supra</w:t>
      </w:r>
      <w:r>
        <w:rPr>
          <w:rStyle w:val="Strong"/>
          <w:rFonts w:eastAsiaTheme="majorEastAsia"/>
          <w:b w:val="0"/>
          <w:color w:val="000000"/>
          <w:sz w:val="16"/>
          <w:szCs w:val="16"/>
          <w:shd w:val="clear" w:color="auto" w:fill="FFFFFF"/>
        </w:rPr>
        <w:t xml:space="preserve">, </w:t>
      </w:r>
      <w:r w:rsidRPr="00C47C35">
        <w:rPr>
          <w:rStyle w:val="Strong"/>
          <w:rFonts w:eastAsiaTheme="majorEastAsia"/>
          <w:b w:val="0"/>
          <w:color w:val="000000"/>
          <w:sz w:val="16"/>
          <w:szCs w:val="16"/>
          <w:shd w:val="clear" w:color="auto" w:fill="FFFFFF"/>
        </w:rPr>
        <w:t xml:space="preserve">párr. </w:t>
      </w:r>
      <w:r>
        <w:rPr>
          <w:rStyle w:val="Strong"/>
          <w:rFonts w:eastAsiaTheme="majorEastAsia"/>
          <w:b w:val="0"/>
          <w:color w:val="000000"/>
          <w:sz w:val="16"/>
          <w:szCs w:val="16"/>
          <w:shd w:val="clear" w:color="auto" w:fill="FFFFFF"/>
        </w:rPr>
        <w:t>155</w:t>
      </w:r>
      <w:r w:rsidRPr="00257982">
        <w:rPr>
          <w:sz w:val="16"/>
          <w:szCs w:val="16"/>
        </w:rPr>
        <w:t>.</w:t>
      </w:r>
    </w:p>
  </w:footnote>
  <w:footnote w:id="323">
    <w:p w:rsidR="00B41935" w:rsidRPr="00257982" w:rsidRDefault="00B41935" w:rsidP="0060330C">
      <w:pPr>
        <w:pStyle w:val="FootnoteText"/>
        <w:rPr>
          <w:sz w:val="16"/>
          <w:szCs w:val="16"/>
          <w:lang w:val="es-CR"/>
        </w:rPr>
      </w:pPr>
      <w:r w:rsidRPr="00CC214C">
        <w:rPr>
          <w:rStyle w:val="FootnoteReference"/>
        </w:rPr>
        <w:footnoteRef/>
      </w:r>
      <w:r w:rsidRPr="00257982">
        <w:rPr>
          <w:sz w:val="16"/>
          <w:szCs w:val="16"/>
        </w:rPr>
        <w:t xml:space="preserve"> </w:t>
      </w:r>
      <w:r w:rsidRPr="00257982">
        <w:rPr>
          <w:sz w:val="16"/>
          <w:szCs w:val="16"/>
        </w:rPr>
        <w:tab/>
      </w:r>
      <w:r>
        <w:rPr>
          <w:i/>
          <w:sz w:val="16"/>
          <w:szCs w:val="16"/>
        </w:rPr>
        <w:t xml:space="preserve">Cfr. </w:t>
      </w:r>
      <w:r w:rsidRPr="00713865">
        <w:rPr>
          <w:i/>
          <w:sz w:val="16"/>
          <w:szCs w:val="16"/>
        </w:rPr>
        <w:t>Caso Yarce y otras vs. Colombia</w:t>
      </w:r>
      <w:r>
        <w:rPr>
          <w:i/>
          <w:sz w:val="16"/>
          <w:szCs w:val="16"/>
        </w:rPr>
        <w:t>, supra</w:t>
      </w:r>
      <w:r>
        <w:rPr>
          <w:sz w:val="16"/>
          <w:szCs w:val="16"/>
        </w:rPr>
        <w:t>, párr. 340</w:t>
      </w:r>
      <w:r w:rsidRPr="0068137F">
        <w:rPr>
          <w:rFonts w:cs="Verdana"/>
          <w:sz w:val="16"/>
          <w:szCs w:val="16"/>
          <w:lang w:bidi="en-US"/>
        </w:rPr>
        <w:t xml:space="preserve">, y </w:t>
      </w:r>
      <w:r w:rsidRPr="0068137F">
        <w:rPr>
          <w:rStyle w:val="Strong"/>
          <w:b w:val="0"/>
          <w:i/>
          <w:color w:val="000000"/>
          <w:sz w:val="16"/>
          <w:szCs w:val="16"/>
          <w:shd w:val="clear" w:color="auto" w:fill="FFFFFF"/>
        </w:rPr>
        <w:t>Caso Coc Max y otros (Masacre de Xamán) Vs. Guatema</w:t>
      </w:r>
      <w:r>
        <w:rPr>
          <w:rStyle w:val="Strong"/>
          <w:b w:val="0"/>
          <w:i/>
          <w:color w:val="000000"/>
          <w:sz w:val="16"/>
          <w:szCs w:val="16"/>
          <w:shd w:val="clear" w:color="auto" w:fill="FFFFFF"/>
        </w:rPr>
        <w:t>la</w:t>
      </w:r>
      <w:r w:rsidRPr="00C47C35">
        <w:rPr>
          <w:rStyle w:val="Strong"/>
          <w:rFonts w:eastAsiaTheme="majorEastAsia"/>
          <w:b w:val="0"/>
          <w:color w:val="000000"/>
          <w:sz w:val="16"/>
          <w:szCs w:val="16"/>
          <w:shd w:val="clear" w:color="auto" w:fill="FFFFFF"/>
        </w:rPr>
        <w:t>,</w:t>
      </w:r>
      <w:r w:rsidRPr="00E8710A">
        <w:rPr>
          <w:rStyle w:val="Strong"/>
          <w:rFonts w:eastAsiaTheme="majorEastAsia"/>
          <w:b w:val="0"/>
          <w:i/>
          <w:color w:val="000000"/>
          <w:sz w:val="16"/>
          <w:szCs w:val="16"/>
          <w:shd w:val="clear" w:color="auto" w:fill="FFFFFF"/>
        </w:rPr>
        <w:t xml:space="preserve"> supra</w:t>
      </w:r>
      <w:r>
        <w:rPr>
          <w:rStyle w:val="Strong"/>
          <w:rFonts w:eastAsiaTheme="majorEastAsia"/>
          <w:b w:val="0"/>
          <w:color w:val="000000"/>
          <w:sz w:val="16"/>
          <w:szCs w:val="16"/>
          <w:shd w:val="clear" w:color="auto" w:fill="FFFFFF"/>
        </w:rPr>
        <w:t xml:space="preserve">, </w:t>
      </w:r>
      <w:r w:rsidRPr="00C47C35">
        <w:rPr>
          <w:rStyle w:val="Strong"/>
          <w:rFonts w:eastAsiaTheme="majorEastAsia"/>
          <w:b w:val="0"/>
          <w:color w:val="000000"/>
          <w:sz w:val="16"/>
          <w:szCs w:val="16"/>
          <w:shd w:val="clear" w:color="auto" w:fill="FFFFFF"/>
        </w:rPr>
        <w:t>párr. 1</w:t>
      </w:r>
      <w:r>
        <w:rPr>
          <w:rStyle w:val="Strong"/>
          <w:rFonts w:eastAsiaTheme="majorEastAsia"/>
          <w:b w:val="0"/>
          <w:color w:val="000000"/>
          <w:sz w:val="16"/>
          <w:szCs w:val="16"/>
          <w:shd w:val="clear" w:color="auto" w:fill="FFFFFF"/>
        </w:rPr>
        <w:t>55 a 157</w:t>
      </w:r>
      <w:r w:rsidRPr="00257982">
        <w:rPr>
          <w:sz w:val="16"/>
          <w:szCs w:val="16"/>
        </w:rPr>
        <w:t>.</w:t>
      </w:r>
    </w:p>
  </w:footnote>
  <w:footnote w:id="324">
    <w:p w:rsidR="00B41935" w:rsidRPr="00257982" w:rsidRDefault="00B41935" w:rsidP="0060330C">
      <w:pPr>
        <w:pStyle w:val="FootnoteText"/>
        <w:tabs>
          <w:tab w:val="left" w:pos="567"/>
        </w:tabs>
        <w:rPr>
          <w:rFonts w:eastAsia="Times New Roman"/>
          <w:sz w:val="16"/>
          <w:szCs w:val="16"/>
          <w:lang w:val="es-ES"/>
        </w:rPr>
      </w:pPr>
      <w:r w:rsidRPr="00CC214C">
        <w:rPr>
          <w:rStyle w:val="FootnoteReference"/>
          <w:lang w:val="es-ES"/>
        </w:rPr>
        <w:footnoteRef/>
      </w:r>
      <w:r w:rsidRPr="00257982">
        <w:rPr>
          <w:sz w:val="16"/>
          <w:szCs w:val="16"/>
          <w:lang w:val="es-ES"/>
        </w:rPr>
        <w:t xml:space="preserve"> </w:t>
      </w:r>
      <w:r w:rsidRPr="00257982">
        <w:rPr>
          <w:sz w:val="16"/>
          <w:szCs w:val="16"/>
          <w:lang w:val="es-ES"/>
        </w:rPr>
        <w:tab/>
      </w:r>
      <w:r w:rsidRPr="00257982">
        <w:rPr>
          <w:i/>
          <w:iCs/>
          <w:sz w:val="16"/>
          <w:szCs w:val="16"/>
          <w:lang w:val="es-ES"/>
        </w:rPr>
        <w:t>Cfr.</w:t>
      </w:r>
      <w:r w:rsidRPr="00257982">
        <w:rPr>
          <w:bCs/>
          <w:i/>
          <w:sz w:val="16"/>
          <w:szCs w:val="16"/>
          <w:lang w:val="es-ES"/>
        </w:rPr>
        <w:t xml:space="preserve"> Caso Cantoral Benavides Vs. Perú. </w:t>
      </w:r>
      <w:r w:rsidRPr="00257982">
        <w:rPr>
          <w:i/>
          <w:sz w:val="16"/>
          <w:szCs w:val="16"/>
          <w:lang w:val="es-ES"/>
        </w:rPr>
        <w:t>Reparaciones y Costas, supra</w:t>
      </w:r>
      <w:r w:rsidRPr="00257982">
        <w:rPr>
          <w:sz w:val="16"/>
          <w:szCs w:val="16"/>
          <w:lang w:val="es-ES"/>
        </w:rPr>
        <w:t>, párr. 79</w:t>
      </w:r>
      <w:r>
        <w:rPr>
          <w:sz w:val="16"/>
          <w:szCs w:val="16"/>
          <w:lang w:val="es-ES"/>
        </w:rPr>
        <w:t>;</w:t>
      </w:r>
      <w:r w:rsidRPr="00257982">
        <w:rPr>
          <w:rFonts w:cs="Verdana"/>
          <w:bCs/>
          <w:sz w:val="16"/>
          <w:szCs w:val="16"/>
          <w:lang w:val="es-ES"/>
        </w:rPr>
        <w:t xml:space="preserve"> </w:t>
      </w:r>
      <w:r w:rsidRPr="00257982">
        <w:rPr>
          <w:bCs/>
          <w:i/>
          <w:color w:val="000000"/>
          <w:sz w:val="16"/>
          <w:szCs w:val="16"/>
          <w:lang w:val="es-ES"/>
        </w:rPr>
        <w:t>Caso Tenorio</w:t>
      </w:r>
      <w:r>
        <w:rPr>
          <w:bCs/>
          <w:i/>
          <w:color w:val="000000"/>
          <w:sz w:val="16"/>
          <w:szCs w:val="16"/>
          <w:lang w:val="es-ES"/>
        </w:rPr>
        <w:t xml:space="preserve"> Roca y otros Vs. Perú</w:t>
      </w:r>
      <w:r w:rsidRPr="00257982">
        <w:rPr>
          <w:color w:val="000000"/>
          <w:sz w:val="16"/>
          <w:szCs w:val="16"/>
          <w:lang w:val="es-ES"/>
        </w:rPr>
        <w:t>,</w:t>
      </w:r>
      <w:r>
        <w:rPr>
          <w:color w:val="000000"/>
          <w:sz w:val="16"/>
          <w:szCs w:val="16"/>
          <w:lang w:val="es-ES"/>
        </w:rPr>
        <w:t xml:space="preserve"> </w:t>
      </w:r>
      <w:r w:rsidRPr="004301ED">
        <w:rPr>
          <w:i/>
          <w:color w:val="000000"/>
          <w:sz w:val="16"/>
          <w:szCs w:val="16"/>
          <w:lang w:val="es-ES"/>
        </w:rPr>
        <w:t>supra</w:t>
      </w:r>
      <w:r>
        <w:rPr>
          <w:color w:val="000000"/>
          <w:sz w:val="16"/>
          <w:szCs w:val="16"/>
          <w:lang w:val="es-ES"/>
        </w:rPr>
        <w:t>,</w:t>
      </w:r>
      <w:r w:rsidRPr="00257982">
        <w:rPr>
          <w:color w:val="000000"/>
          <w:sz w:val="16"/>
          <w:szCs w:val="16"/>
          <w:lang w:val="es-ES"/>
        </w:rPr>
        <w:t xml:space="preserve"> párr. 288</w:t>
      </w:r>
      <w:r>
        <w:rPr>
          <w:sz w:val="16"/>
          <w:szCs w:val="16"/>
          <w:lang w:val="es-ES"/>
        </w:rPr>
        <w:t xml:space="preserve">; </w:t>
      </w:r>
      <w:r w:rsidRPr="00F024DB">
        <w:rPr>
          <w:rStyle w:val="Strong"/>
          <w:b w:val="0"/>
          <w:i/>
          <w:color w:val="000000"/>
          <w:sz w:val="16"/>
          <w:szCs w:val="16"/>
          <w:shd w:val="clear" w:color="auto" w:fill="FFFFFF"/>
        </w:rPr>
        <w:t>Caso Munárriz Escobar y otros Vs. Perú</w:t>
      </w:r>
      <w:r w:rsidRPr="00F024DB">
        <w:rPr>
          <w:rStyle w:val="Strong"/>
          <w:b w:val="0"/>
          <w:color w:val="000000"/>
          <w:sz w:val="16"/>
          <w:szCs w:val="16"/>
          <w:shd w:val="clear" w:color="auto" w:fill="FFFFFF"/>
        </w:rPr>
        <w:t xml:space="preserve">, </w:t>
      </w:r>
      <w:r w:rsidRPr="003A5FAB">
        <w:rPr>
          <w:i/>
          <w:color w:val="000000"/>
          <w:spacing w:val="-4"/>
          <w:sz w:val="16"/>
          <w:szCs w:val="16"/>
        </w:rPr>
        <w:t>supra</w:t>
      </w:r>
      <w:r>
        <w:rPr>
          <w:i/>
          <w:color w:val="000000"/>
          <w:spacing w:val="-4"/>
          <w:sz w:val="16"/>
          <w:szCs w:val="16"/>
        </w:rPr>
        <w:t>,</w:t>
      </w:r>
      <w:r w:rsidRPr="00F024DB">
        <w:rPr>
          <w:rStyle w:val="Strong"/>
          <w:b w:val="0"/>
          <w:color w:val="000000"/>
          <w:sz w:val="16"/>
          <w:szCs w:val="16"/>
          <w:shd w:val="clear" w:color="auto" w:fill="FFFFFF"/>
        </w:rPr>
        <w:t xml:space="preserve"> párr. 132</w:t>
      </w:r>
      <w:r w:rsidRPr="00F024DB">
        <w:rPr>
          <w:rFonts w:cs="Verdana"/>
          <w:sz w:val="16"/>
          <w:szCs w:val="16"/>
          <w:lang w:bidi="en-US"/>
        </w:rPr>
        <w:t>,</w:t>
      </w:r>
      <w:r w:rsidRPr="0068137F">
        <w:rPr>
          <w:rFonts w:cs="Verdana"/>
          <w:sz w:val="16"/>
          <w:szCs w:val="16"/>
          <w:lang w:bidi="en-US"/>
        </w:rPr>
        <w:t xml:space="preserve"> y </w:t>
      </w:r>
      <w:r w:rsidRPr="0068137F">
        <w:rPr>
          <w:rStyle w:val="Strong"/>
          <w:b w:val="0"/>
          <w:i/>
          <w:color w:val="000000"/>
          <w:sz w:val="16"/>
          <w:szCs w:val="16"/>
          <w:shd w:val="clear" w:color="auto" w:fill="FFFFFF"/>
        </w:rPr>
        <w:t>Caso Coc Max y otros (Masacre de Xamán) Vs. Guatema</w:t>
      </w:r>
      <w:r>
        <w:rPr>
          <w:rStyle w:val="Strong"/>
          <w:b w:val="0"/>
          <w:i/>
          <w:color w:val="000000"/>
          <w:sz w:val="16"/>
          <w:szCs w:val="16"/>
          <w:shd w:val="clear" w:color="auto" w:fill="FFFFFF"/>
        </w:rPr>
        <w:t>la</w:t>
      </w:r>
      <w:r>
        <w:rPr>
          <w:i/>
          <w:color w:val="000000"/>
          <w:spacing w:val="-4"/>
          <w:sz w:val="16"/>
          <w:szCs w:val="16"/>
        </w:rPr>
        <w:t xml:space="preserve">, </w:t>
      </w:r>
      <w:r w:rsidRPr="003A5FAB">
        <w:rPr>
          <w:i/>
          <w:color w:val="000000"/>
          <w:spacing w:val="-4"/>
          <w:sz w:val="16"/>
          <w:szCs w:val="16"/>
        </w:rPr>
        <w:t>supra</w:t>
      </w:r>
      <w:r>
        <w:rPr>
          <w:rStyle w:val="Strong"/>
          <w:rFonts w:eastAsiaTheme="majorEastAsia"/>
          <w:b w:val="0"/>
          <w:color w:val="000000"/>
          <w:sz w:val="16"/>
          <w:szCs w:val="16"/>
          <w:shd w:val="clear" w:color="auto" w:fill="FFFFFF"/>
        </w:rPr>
        <w:t xml:space="preserve">, </w:t>
      </w:r>
      <w:r w:rsidRPr="00C47C35">
        <w:rPr>
          <w:rStyle w:val="Strong"/>
          <w:rFonts w:eastAsiaTheme="majorEastAsia"/>
          <w:b w:val="0"/>
          <w:color w:val="000000"/>
          <w:sz w:val="16"/>
          <w:szCs w:val="16"/>
          <w:shd w:val="clear" w:color="auto" w:fill="FFFFFF"/>
        </w:rPr>
        <w:t>párr. 1</w:t>
      </w:r>
      <w:r>
        <w:rPr>
          <w:rStyle w:val="Strong"/>
          <w:rFonts w:eastAsiaTheme="majorEastAsia"/>
          <w:b w:val="0"/>
          <w:color w:val="000000"/>
          <w:sz w:val="16"/>
          <w:szCs w:val="16"/>
          <w:shd w:val="clear" w:color="auto" w:fill="FFFFFF"/>
        </w:rPr>
        <w:t>58</w:t>
      </w:r>
      <w:r w:rsidRPr="00061497">
        <w:rPr>
          <w:rStyle w:val="Strong"/>
          <w:b w:val="0"/>
          <w:color w:val="000000"/>
          <w:sz w:val="16"/>
          <w:szCs w:val="16"/>
          <w:shd w:val="clear" w:color="auto" w:fill="FFFFFF"/>
        </w:rPr>
        <w:t>.</w:t>
      </w:r>
    </w:p>
  </w:footnote>
  <w:footnote w:id="325">
    <w:p w:rsidR="00B41935" w:rsidRPr="00257982" w:rsidRDefault="00B41935" w:rsidP="0060330C">
      <w:pPr>
        <w:pStyle w:val="FootnoteText"/>
        <w:tabs>
          <w:tab w:val="left" w:pos="567"/>
        </w:tabs>
        <w:ind w:right="-90"/>
        <w:rPr>
          <w:rFonts w:eastAsia="Times New Roman"/>
          <w:sz w:val="16"/>
          <w:szCs w:val="16"/>
          <w:lang w:val="es-ES"/>
        </w:rPr>
      </w:pPr>
      <w:r w:rsidRPr="00C5568E">
        <w:rPr>
          <w:rStyle w:val="FootnoteReference"/>
          <w:lang w:val="es-ES"/>
        </w:rPr>
        <w:footnoteRef/>
      </w:r>
      <w:r w:rsidRPr="00C5568E">
        <w:rPr>
          <w:sz w:val="16"/>
          <w:szCs w:val="16"/>
          <w:lang w:val="es-ES"/>
        </w:rPr>
        <w:t xml:space="preserve"> </w:t>
      </w:r>
      <w:r w:rsidRPr="00C5568E">
        <w:rPr>
          <w:sz w:val="16"/>
          <w:szCs w:val="16"/>
          <w:lang w:val="es-ES"/>
        </w:rPr>
        <w:tab/>
      </w:r>
      <w:r w:rsidRPr="00C5568E">
        <w:rPr>
          <w:i/>
          <w:iCs/>
          <w:sz w:val="16"/>
          <w:szCs w:val="16"/>
          <w:lang w:val="es-ES"/>
        </w:rPr>
        <w:t>Cfr.</w:t>
      </w:r>
      <w:r w:rsidRPr="00C5568E">
        <w:rPr>
          <w:bCs/>
          <w:i/>
          <w:sz w:val="16"/>
          <w:szCs w:val="16"/>
          <w:lang w:val="es-ES"/>
        </w:rPr>
        <w:t xml:space="preserve"> Caso Cantoral Benavides Vs. Perú. </w:t>
      </w:r>
      <w:r>
        <w:rPr>
          <w:i/>
          <w:sz w:val="16"/>
          <w:szCs w:val="16"/>
          <w:lang w:val="es-ES"/>
        </w:rPr>
        <w:t>Reparaciones y Costas</w:t>
      </w:r>
      <w:r w:rsidRPr="00C5568E">
        <w:rPr>
          <w:sz w:val="16"/>
          <w:szCs w:val="16"/>
          <w:lang w:val="es-ES"/>
        </w:rPr>
        <w:t xml:space="preserve">, </w:t>
      </w:r>
      <w:r w:rsidRPr="00492C76">
        <w:rPr>
          <w:i/>
          <w:sz w:val="16"/>
          <w:szCs w:val="16"/>
          <w:lang w:val="es-ES"/>
        </w:rPr>
        <w:t>supra</w:t>
      </w:r>
      <w:r>
        <w:rPr>
          <w:sz w:val="16"/>
          <w:szCs w:val="16"/>
          <w:lang w:val="es-ES"/>
        </w:rPr>
        <w:t xml:space="preserve">, </w:t>
      </w:r>
      <w:r w:rsidRPr="00C5568E">
        <w:rPr>
          <w:sz w:val="16"/>
          <w:szCs w:val="16"/>
          <w:lang w:val="es-ES"/>
        </w:rPr>
        <w:t>párr. 81;</w:t>
      </w:r>
      <w:r w:rsidRPr="00C5568E">
        <w:rPr>
          <w:rFonts w:cs="Verdana"/>
          <w:bCs/>
          <w:sz w:val="16"/>
          <w:szCs w:val="16"/>
          <w:lang w:val="es-ES"/>
        </w:rPr>
        <w:t xml:space="preserve"> </w:t>
      </w:r>
      <w:r w:rsidRPr="00C5568E">
        <w:rPr>
          <w:bCs/>
          <w:i/>
          <w:color w:val="000000"/>
          <w:sz w:val="16"/>
          <w:szCs w:val="16"/>
          <w:lang w:val="es-ES"/>
        </w:rPr>
        <w:t>Caso Tenorio Roca y otros Vs. Perú,</w:t>
      </w:r>
      <w:r>
        <w:rPr>
          <w:bCs/>
          <w:i/>
          <w:color w:val="000000"/>
          <w:sz w:val="16"/>
          <w:szCs w:val="16"/>
          <w:lang w:val="es-ES"/>
        </w:rPr>
        <w:t xml:space="preserve"> </w:t>
      </w:r>
      <w:r w:rsidRPr="003A5FAB">
        <w:rPr>
          <w:rStyle w:val="Strong"/>
          <w:b w:val="0"/>
          <w:i/>
          <w:color w:val="000000"/>
          <w:sz w:val="16"/>
          <w:szCs w:val="16"/>
          <w:shd w:val="clear" w:color="auto" w:fill="FFFFFF"/>
        </w:rPr>
        <w:t>supra</w:t>
      </w:r>
      <w:r>
        <w:rPr>
          <w:rStyle w:val="Strong"/>
          <w:b w:val="0"/>
          <w:i/>
          <w:color w:val="000000"/>
          <w:sz w:val="16"/>
          <w:szCs w:val="16"/>
          <w:shd w:val="clear" w:color="auto" w:fill="FFFFFF"/>
        </w:rPr>
        <w:t xml:space="preserve">, </w:t>
      </w:r>
      <w:r w:rsidRPr="00C5568E">
        <w:rPr>
          <w:color w:val="000000"/>
          <w:sz w:val="16"/>
          <w:szCs w:val="16"/>
          <w:lang w:val="es-ES"/>
        </w:rPr>
        <w:t>párr. 293</w:t>
      </w:r>
      <w:r w:rsidRPr="00C5568E">
        <w:rPr>
          <w:rStyle w:val="Strong"/>
          <w:b w:val="0"/>
          <w:color w:val="000000"/>
          <w:sz w:val="16"/>
          <w:szCs w:val="16"/>
          <w:shd w:val="clear" w:color="auto" w:fill="FFFFFF"/>
        </w:rPr>
        <w:t xml:space="preserve">, </w:t>
      </w:r>
      <w:r w:rsidRPr="00C5568E">
        <w:rPr>
          <w:rFonts w:cs="Verdana"/>
          <w:sz w:val="16"/>
          <w:szCs w:val="16"/>
          <w:lang w:bidi="en-US"/>
        </w:rPr>
        <w:t xml:space="preserve">y </w:t>
      </w:r>
      <w:r w:rsidRPr="00C5568E">
        <w:rPr>
          <w:rStyle w:val="Strong"/>
          <w:b w:val="0"/>
          <w:i/>
          <w:color w:val="000000"/>
          <w:sz w:val="16"/>
          <w:szCs w:val="16"/>
          <w:shd w:val="clear" w:color="auto" w:fill="FFFFFF"/>
        </w:rPr>
        <w:t>Caso Coc Max y otros (Masacre de Xamán) Vs. Guatemala</w:t>
      </w:r>
      <w:r w:rsidRPr="00C5568E">
        <w:rPr>
          <w:rStyle w:val="Strong"/>
          <w:rFonts w:eastAsiaTheme="majorEastAsia"/>
          <w:b w:val="0"/>
          <w:color w:val="000000"/>
          <w:sz w:val="16"/>
          <w:szCs w:val="16"/>
          <w:shd w:val="clear" w:color="auto" w:fill="FFFFFF"/>
        </w:rPr>
        <w:t xml:space="preserve">, </w:t>
      </w:r>
      <w:r>
        <w:rPr>
          <w:rStyle w:val="Strong"/>
          <w:rFonts w:eastAsiaTheme="majorEastAsia"/>
          <w:b w:val="0"/>
          <w:color w:val="000000"/>
          <w:sz w:val="16"/>
          <w:szCs w:val="16"/>
          <w:shd w:val="clear" w:color="auto" w:fill="FFFFFF"/>
        </w:rPr>
        <w:t xml:space="preserve">supra, </w:t>
      </w:r>
      <w:r w:rsidRPr="00C5568E">
        <w:rPr>
          <w:rStyle w:val="Strong"/>
          <w:rFonts w:eastAsiaTheme="majorEastAsia"/>
          <w:b w:val="0"/>
          <w:color w:val="000000"/>
          <w:sz w:val="16"/>
          <w:szCs w:val="16"/>
          <w:shd w:val="clear" w:color="auto" w:fill="FFFFFF"/>
        </w:rPr>
        <w:t>párr. 162</w:t>
      </w:r>
      <w:r w:rsidRPr="00C5568E">
        <w:rPr>
          <w:sz w:val="16"/>
          <w:szCs w:val="16"/>
          <w:lang w:val="es-ES"/>
        </w:rPr>
        <w:t>.</w:t>
      </w:r>
    </w:p>
  </w:footnote>
  <w:footnote w:id="326">
    <w:p w:rsidR="00B41935" w:rsidRPr="00D77E6D" w:rsidRDefault="00B41935" w:rsidP="0060330C">
      <w:pPr>
        <w:pStyle w:val="FootnoteText"/>
        <w:rPr>
          <w:sz w:val="16"/>
          <w:szCs w:val="16"/>
          <w:u w:val="single"/>
          <w:lang w:val="es-CR"/>
        </w:rPr>
      </w:pPr>
      <w:r w:rsidRPr="00CC214C">
        <w:rPr>
          <w:rStyle w:val="FootnoteReference"/>
        </w:rPr>
        <w:footnoteRef/>
      </w:r>
      <w:r>
        <w:rPr>
          <w:i/>
          <w:sz w:val="16"/>
          <w:szCs w:val="16"/>
        </w:rPr>
        <w:t xml:space="preserve">      </w:t>
      </w:r>
      <w:r w:rsidRPr="00C5568E">
        <w:rPr>
          <w:i/>
          <w:sz w:val="16"/>
          <w:szCs w:val="16"/>
        </w:rPr>
        <w:t>Cfr. Caso Cantoral Benavides Vs. Perú. Reparaciones y Costas</w:t>
      </w:r>
      <w:r>
        <w:rPr>
          <w:sz w:val="16"/>
          <w:szCs w:val="16"/>
        </w:rPr>
        <w:t xml:space="preserve">, </w:t>
      </w:r>
      <w:r w:rsidRPr="00492C76">
        <w:rPr>
          <w:i/>
          <w:sz w:val="16"/>
          <w:szCs w:val="16"/>
        </w:rPr>
        <w:t>supra</w:t>
      </w:r>
      <w:r>
        <w:rPr>
          <w:sz w:val="16"/>
          <w:szCs w:val="16"/>
        </w:rPr>
        <w:t>, párr. 81</w:t>
      </w:r>
      <w:r w:rsidRPr="00C5568E">
        <w:rPr>
          <w:color w:val="000000"/>
          <w:sz w:val="16"/>
          <w:szCs w:val="16"/>
          <w:lang w:val="es-ES"/>
        </w:rPr>
        <w:t xml:space="preserve">, y </w:t>
      </w:r>
      <w:r w:rsidRPr="00C5568E">
        <w:rPr>
          <w:rStyle w:val="Strong"/>
          <w:b w:val="0"/>
          <w:i/>
          <w:color w:val="000000"/>
          <w:sz w:val="16"/>
          <w:szCs w:val="16"/>
          <w:shd w:val="clear" w:color="auto" w:fill="FFFFFF"/>
        </w:rPr>
        <w:t>Caso Coc Max y otros (Masacre de Xamán) Vs. Guatemala</w:t>
      </w:r>
      <w:r w:rsidRPr="00C5568E">
        <w:rPr>
          <w:rStyle w:val="Strong"/>
          <w:rFonts w:eastAsiaTheme="majorEastAsia"/>
          <w:b w:val="0"/>
          <w:color w:val="000000"/>
          <w:sz w:val="16"/>
          <w:szCs w:val="16"/>
          <w:shd w:val="clear" w:color="auto" w:fill="FFFFFF"/>
        </w:rPr>
        <w:t>,</w:t>
      </w:r>
      <w:r w:rsidRPr="00E8710A">
        <w:rPr>
          <w:rStyle w:val="Strong"/>
          <w:rFonts w:eastAsiaTheme="majorEastAsia"/>
          <w:b w:val="0"/>
          <w:i/>
          <w:color w:val="000000"/>
          <w:sz w:val="16"/>
          <w:szCs w:val="16"/>
          <w:shd w:val="clear" w:color="auto" w:fill="FFFFFF"/>
        </w:rPr>
        <w:t xml:space="preserve"> supra</w:t>
      </w:r>
      <w:r>
        <w:rPr>
          <w:rStyle w:val="Strong"/>
          <w:rFonts w:eastAsiaTheme="majorEastAsia"/>
          <w:b w:val="0"/>
          <w:color w:val="000000"/>
          <w:sz w:val="16"/>
          <w:szCs w:val="16"/>
          <w:shd w:val="clear" w:color="auto" w:fill="FFFFFF"/>
        </w:rPr>
        <w:t xml:space="preserve">, </w:t>
      </w:r>
      <w:r w:rsidRPr="00C5568E">
        <w:rPr>
          <w:rStyle w:val="Strong"/>
          <w:rFonts w:eastAsiaTheme="majorEastAsia"/>
          <w:b w:val="0"/>
          <w:color w:val="000000"/>
          <w:sz w:val="16"/>
          <w:szCs w:val="16"/>
          <w:shd w:val="clear" w:color="auto" w:fill="FFFFFF"/>
        </w:rPr>
        <w:t>párr. 163</w:t>
      </w:r>
      <w:r w:rsidRPr="00C5568E">
        <w:rPr>
          <w:sz w:val="16"/>
          <w:szCs w:val="16"/>
        </w:rPr>
        <w:t xml:space="preserve">. </w:t>
      </w:r>
    </w:p>
  </w:footnote>
  <w:footnote w:id="327">
    <w:p w:rsidR="00B41935" w:rsidRPr="00FC0C0F" w:rsidRDefault="00B41935" w:rsidP="0060330C">
      <w:pPr>
        <w:pStyle w:val="FootnoteText"/>
        <w:rPr>
          <w:sz w:val="16"/>
          <w:szCs w:val="16"/>
          <w:lang w:val="es-ES_tradnl"/>
        </w:rPr>
      </w:pPr>
      <w:r w:rsidRPr="00FC0C0F">
        <w:rPr>
          <w:rStyle w:val="FootnoteReference"/>
        </w:rPr>
        <w:footnoteRef/>
      </w:r>
      <w:r w:rsidRPr="00FC0C0F">
        <w:rPr>
          <w:sz w:val="16"/>
          <w:szCs w:val="16"/>
        </w:rPr>
        <w:t xml:space="preserve"> </w:t>
      </w:r>
      <w:r w:rsidRPr="00FC0C0F">
        <w:rPr>
          <w:sz w:val="16"/>
          <w:szCs w:val="16"/>
          <w:lang w:val="es-ES_tradnl"/>
        </w:rPr>
        <w:tab/>
      </w:r>
      <w:r>
        <w:rPr>
          <w:sz w:val="16"/>
          <w:szCs w:val="16"/>
          <w:lang w:val="es-ES_tradnl"/>
        </w:rPr>
        <w:t>Al respecto</w:t>
      </w:r>
      <w:r w:rsidRPr="00FC0C0F">
        <w:rPr>
          <w:sz w:val="16"/>
          <w:szCs w:val="16"/>
          <w:lang w:val="es-ES_tradnl"/>
        </w:rPr>
        <w:t>, el Estado informó que d</w:t>
      </w:r>
      <w:r>
        <w:rPr>
          <w:sz w:val="16"/>
          <w:szCs w:val="16"/>
          <w:lang w:val="es-ES_tradnl"/>
        </w:rPr>
        <w:t xml:space="preserve">icho tipo penal fue modificado en el año </w:t>
      </w:r>
      <w:r w:rsidRPr="00FC0C0F">
        <w:rPr>
          <w:sz w:val="16"/>
          <w:szCs w:val="16"/>
          <w:lang w:val="es-ES_tradnl"/>
        </w:rPr>
        <w:t xml:space="preserve">2017. </w:t>
      </w:r>
    </w:p>
  </w:footnote>
  <w:footnote w:id="328">
    <w:p w:rsidR="00B41935" w:rsidRPr="00C62D9F" w:rsidRDefault="00B41935" w:rsidP="0060330C">
      <w:pPr>
        <w:pStyle w:val="FootnoteText"/>
      </w:pPr>
      <w:r w:rsidRPr="00C31E92">
        <w:rPr>
          <w:rStyle w:val="FootnoteReference"/>
        </w:rPr>
        <w:footnoteRef/>
      </w:r>
      <w:r w:rsidRPr="00C31E92">
        <w:t xml:space="preserve"> </w:t>
      </w:r>
      <w:r w:rsidRPr="00C31E92">
        <w:tab/>
      </w:r>
      <w:r w:rsidRPr="000E5F5B">
        <w:rPr>
          <w:sz w:val="16"/>
          <w:szCs w:val="16"/>
        </w:rPr>
        <w:t>Los representantes solicitaron las siguientes cantidades por concepto de lucro cesante, cantidad a la que se le descontó el 25% por gastos personales: para Santiago Antezana Cueto la suma de S/119,468.97 soles, equivalente a US$36,759.68; para Wilfredo Terrones Silva la suma de S/118,667.80 soles, equivalente a US$36,513.17; para Teresa Díaz Aparicio la suma de S/118,667.80 soles, equivalente a US$36,513.17; para Néstor Rojas Medina la suma de S/119,354.95 soles, equivalente a US$36,354.95 y para Cory Clodolia Tenicela Tello la suma de S/118,559.80 soles, equivalente a US$36,479.94 (expediente de prueba, anexo 68 al ESAP, fs. 4493 a 4498).</w:t>
      </w:r>
    </w:p>
  </w:footnote>
  <w:footnote w:id="329">
    <w:p w:rsidR="00B41935" w:rsidRPr="00257982" w:rsidRDefault="00B41935" w:rsidP="007C5FE5">
      <w:pPr>
        <w:pStyle w:val="FootnoteText"/>
        <w:rPr>
          <w:b/>
          <w:bCs/>
          <w:spacing w:val="-4"/>
          <w:sz w:val="16"/>
          <w:szCs w:val="16"/>
        </w:rPr>
      </w:pPr>
      <w:r w:rsidRPr="00CC214C">
        <w:rPr>
          <w:rStyle w:val="FootnoteReference"/>
          <w:spacing w:val="-4"/>
        </w:rPr>
        <w:footnoteRef/>
      </w:r>
      <w:r w:rsidRPr="00257982">
        <w:rPr>
          <w:spacing w:val="-4"/>
          <w:sz w:val="16"/>
          <w:szCs w:val="16"/>
        </w:rPr>
        <w:t xml:space="preserve"> </w:t>
      </w:r>
      <w:r w:rsidRPr="00257982">
        <w:rPr>
          <w:spacing w:val="-4"/>
          <w:sz w:val="16"/>
          <w:szCs w:val="16"/>
        </w:rPr>
        <w:tab/>
      </w:r>
      <w:r w:rsidRPr="00257982">
        <w:rPr>
          <w:i/>
          <w:spacing w:val="-4"/>
          <w:sz w:val="16"/>
          <w:szCs w:val="16"/>
        </w:rPr>
        <w:t>Cfr.</w:t>
      </w:r>
      <w:r w:rsidRPr="00257982">
        <w:rPr>
          <w:spacing w:val="-4"/>
          <w:sz w:val="16"/>
          <w:szCs w:val="16"/>
        </w:rPr>
        <w:t xml:space="preserve"> </w:t>
      </w:r>
      <w:r w:rsidRPr="00257982">
        <w:rPr>
          <w:i/>
          <w:spacing w:val="-4"/>
          <w:sz w:val="16"/>
          <w:szCs w:val="16"/>
          <w:lang w:val="es-ES"/>
        </w:rPr>
        <w:t xml:space="preserve">Caso Bámaca Velásquez Vs. Guatemala. Reparaciones y Costas. </w:t>
      </w:r>
      <w:r w:rsidRPr="00257982">
        <w:rPr>
          <w:spacing w:val="-4"/>
          <w:sz w:val="16"/>
          <w:szCs w:val="16"/>
          <w:lang w:val="es-ES"/>
        </w:rPr>
        <w:t>Sentencia de 22 de febrero de 2002. Serie C No. 91, párr. 43, y</w:t>
      </w:r>
      <w:r w:rsidRPr="00257982">
        <w:rPr>
          <w:rFonts w:cs="Verdana"/>
          <w:i/>
          <w:sz w:val="16"/>
          <w:szCs w:val="16"/>
          <w:lang w:bidi="en-US"/>
        </w:rPr>
        <w:t xml:space="preserve"> </w:t>
      </w:r>
      <w:r w:rsidRPr="00A32A78">
        <w:rPr>
          <w:rFonts w:cs="Verdana"/>
          <w:i/>
          <w:sz w:val="16"/>
          <w:szCs w:val="16"/>
          <w:lang w:bidi="en-US"/>
        </w:rPr>
        <w:t>Caso Coc Max y otros (Masacre de Xamán) Vs. Guatemala</w:t>
      </w:r>
      <w:r>
        <w:rPr>
          <w:rFonts w:cs="Verdana"/>
          <w:i/>
          <w:sz w:val="16"/>
          <w:szCs w:val="16"/>
          <w:lang w:bidi="en-US"/>
        </w:rPr>
        <w:t xml:space="preserve">, supra, </w:t>
      </w:r>
      <w:r>
        <w:rPr>
          <w:spacing w:val="-4"/>
          <w:sz w:val="16"/>
          <w:szCs w:val="16"/>
          <w:lang w:val="es-ES"/>
        </w:rPr>
        <w:t xml:space="preserve">párr. 177. </w:t>
      </w:r>
    </w:p>
  </w:footnote>
  <w:footnote w:id="330">
    <w:p w:rsidR="00B41935" w:rsidRPr="00257982" w:rsidRDefault="00B41935" w:rsidP="007C5FE5">
      <w:pPr>
        <w:pStyle w:val="FootnoteText"/>
        <w:rPr>
          <w:spacing w:val="-4"/>
          <w:sz w:val="16"/>
          <w:szCs w:val="16"/>
        </w:rPr>
      </w:pPr>
      <w:r w:rsidRPr="00CC214C">
        <w:rPr>
          <w:rStyle w:val="FootnoteReference"/>
          <w:spacing w:val="-4"/>
        </w:rPr>
        <w:footnoteRef/>
      </w:r>
      <w:r w:rsidRPr="00257982">
        <w:rPr>
          <w:spacing w:val="-4"/>
          <w:sz w:val="16"/>
          <w:szCs w:val="16"/>
        </w:rPr>
        <w:t xml:space="preserve"> </w:t>
      </w:r>
      <w:r w:rsidRPr="00257982">
        <w:rPr>
          <w:spacing w:val="-4"/>
          <w:sz w:val="16"/>
          <w:szCs w:val="16"/>
        </w:rPr>
        <w:tab/>
      </w:r>
      <w:r w:rsidRPr="00215F9E">
        <w:rPr>
          <w:i/>
          <w:spacing w:val="-4"/>
          <w:sz w:val="16"/>
          <w:szCs w:val="16"/>
        </w:rPr>
        <w:t>Cfr. Caso</w:t>
      </w:r>
      <w:r>
        <w:rPr>
          <w:i/>
          <w:spacing w:val="-4"/>
          <w:sz w:val="16"/>
          <w:szCs w:val="16"/>
        </w:rPr>
        <w:t xml:space="preserve"> Neira Alegría y otros Vs. Perú, supra</w:t>
      </w:r>
      <w:r w:rsidRPr="00215F9E">
        <w:rPr>
          <w:i/>
          <w:spacing w:val="-4"/>
          <w:sz w:val="16"/>
          <w:szCs w:val="16"/>
        </w:rPr>
        <w:t xml:space="preserve">, </w:t>
      </w:r>
      <w:r w:rsidRPr="005530D1">
        <w:rPr>
          <w:spacing w:val="-4"/>
          <w:sz w:val="16"/>
          <w:szCs w:val="16"/>
        </w:rPr>
        <w:t>párr. 56</w:t>
      </w:r>
      <w:r w:rsidRPr="00215F9E">
        <w:rPr>
          <w:i/>
          <w:spacing w:val="-4"/>
          <w:sz w:val="16"/>
          <w:szCs w:val="16"/>
        </w:rPr>
        <w:t xml:space="preserve">, </w:t>
      </w:r>
      <w:r w:rsidRPr="007A65EA">
        <w:rPr>
          <w:spacing w:val="-4"/>
          <w:sz w:val="16"/>
          <w:szCs w:val="16"/>
        </w:rPr>
        <w:t>y</w:t>
      </w:r>
      <w:r w:rsidRPr="00215F9E">
        <w:rPr>
          <w:i/>
          <w:spacing w:val="-4"/>
          <w:sz w:val="16"/>
          <w:szCs w:val="16"/>
        </w:rPr>
        <w:t xml:space="preserve"> </w:t>
      </w:r>
      <w:r w:rsidRPr="00215F9E">
        <w:rPr>
          <w:rFonts w:cs="Verdana"/>
          <w:i/>
          <w:sz w:val="16"/>
          <w:szCs w:val="16"/>
          <w:lang w:bidi="en-US"/>
        </w:rPr>
        <w:t>Caso Coc Max y otros (Masacre de Xamán) Vs. Guatemala</w:t>
      </w:r>
      <w:r>
        <w:rPr>
          <w:rFonts w:cs="Verdana"/>
          <w:i/>
          <w:sz w:val="16"/>
          <w:szCs w:val="16"/>
          <w:lang w:bidi="en-US"/>
        </w:rPr>
        <w:t>, supra</w:t>
      </w:r>
      <w:r w:rsidRPr="00215F9E">
        <w:rPr>
          <w:color w:val="000000" w:themeColor="text1"/>
          <w:spacing w:val="-4"/>
          <w:sz w:val="16"/>
          <w:szCs w:val="16"/>
        </w:rPr>
        <w:t xml:space="preserve">, </w:t>
      </w:r>
      <w:r w:rsidRPr="00215F9E">
        <w:rPr>
          <w:rFonts w:cs="Verdana"/>
          <w:sz w:val="16"/>
          <w:szCs w:val="16"/>
          <w:lang w:bidi="en-US"/>
        </w:rPr>
        <w:t>párr. 145</w:t>
      </w:r>
      <w:r w:rsidRPr="00215F9E">
        <w:rPr>
          <w:rStyle w:val="Strong"/>
          <w:b w:val="0"/>
          <w:color w:val="000000"/>
          <w:sz w:val="16"/>
          <w:szCs w:val="16"/>
        </w:rPr>
        <w:t>.</w:t>
      </w:r>
    </w:p>
  </w:footnote>
  <w:footnote w:id="331">
    <w:p w:rsidR="00B41935" w:rsidRPr="00257982" w:rsidRDefault="00B41935" w:rsidP="007C5FE5">
      <w:pPr>
        <w:pStyle w:val="FootnoteText"/>
        <w:rPr>
          <w:i/>
          <w:spacing w:val="-4"/>
          <w:sz w:val="16"/>
          <w:szCs w:val="16"/>
        </w:rPr>
      </w:pPr>
      <w:r w:rsidRPr="00CC214C">
        <w:rPr>
          <w:rStyle w:val="FootnoteReference"/>
          <w:spacing w:val="-4"/>
        </w:rPr>
        <w:footnoteRef/>
      </w:r>
      <w:r w:rsidRPr="00257982">
        <w:rPr>
          <w:spacing w:val="-4"/>
          <w:sz w:val="16"/>
          <w:szCs w:val="16"/>
        </w:rPr>
        <w:t xml:space="preserve"> </w:t>
      </w:r>
      <w:r w:rsidRPr="00257982">
        <w:rPr>
          <w:spacing w:val="-4"/>
          <w:sz w:val="16"/>
          <w:szCs w:val="16"/>
        </w:rPr>
        <w:tab/>
      </w:r>
      <w:r w:rsidRPr="00257982">
        <w:rPr>
          <w:i/>
          <w:spacing w:val="-4"/>
          <w:sz w:val="16"/>
          <w:szCs w:val="16"/>
        </w:rPr>
        <w:t xml:space="preserve">Cfr. </w:t>
      </w:r>
      <w:r w:rsidRPr="00257982">
        <w:rPr>
          <w:i/>
          <w:spacing w:val="-4"/>
          <w:sz w:val="16"/>
          <w:szCs w:val="16"/>
          <w:lang w:val="es-ES"/>
        </w:rPr>
        <w:t>Caso de los “Niños de la Calle” (Villagrán Morales y otros) Vs. Guatemala</w:t>
      </w:r>
      <w:r>
        <w:rPr>
          <w:i/>
          <w:spacing w:val="-4"/>
          <w:sz w:val="16"/>
          <w:szCs w:val="16"/>
          <w:lang w:val="es-ES"/>
        </w:rPr>
        <w:t>, supra</w:t>
      </w:r>
      <w:r w:rsidRPr="00257982">
        <w:rPr>
          <w:spacing w:val="-4"/>
          <w:sz w:val="16"/>
          <w:szCs w:val="16"/>
          <w:lang w:val="es-ES"/>
        </w:rPr>
        <w:t xml:space="preserve">, párr. </w:t>
      </w:r>
      <w:r w:rsidRPr="00257982">
        <w:rPr>
          <w:spacing w:val="-4"/>
          <w:sz w:val="16"/>
          <w:szCs w:val="16"/>
        </w:rPr>
        <w:t>84, y</w:t>
      </w:r>
      <w:r w:rsidRPr="0084538F">
        <w:t xml:space="preserve"> </w:t>
      </w:r>
      <w:r w:rsidRPr="00037A78">
        <w:rPr>
          <w:i/>
          <w:spacing w:val="-4"/>
          <w:sz w:val="16"/>
          <w:szCs w:val="16"/>
        </w:rPr>
        <w:t>Caso Coc Max y otros (Masacre de Xamán) Vs. Guatemala</w:t>
      </w:r>
      <w:r>
        <w:rPr>
          <w:i/>
          <w:spacing w:val="-4"/>
          <w:sz w:val="16"/>
          <w:szCs w:val="16"/>
        </w:rPr>
        <w:t>, supra</w:t>
      </w:r>
      <w:r w:rsidRPr="00257982">
        <w:rPr>
          <w:rFonts w:cs="Verdana"/>
          <w:sz w:val="16"/>
          <w:szCs w:val="16"/>
          <w:lang w:bidi="en-US"/>
        </w:rPr>
        <w:t xml:space="preserve">, párr. </w:t>
      </w:r>
      <w:r>
        <w:rPr>
          <w:rFonts w:cs="Verdana"/>
          <w:sz w:val="16"/>
          <w:szCs w:val="16"/>
          <w:lang w:bidi="en-US"/>
        </w:rPr>
        <w:t>189</w:t>
      </w:r>
      <w:r w:rsidRPr="00DF0029">
        <w:rPr>
          <w:rStyle w:val="Strong"/>
          <w:b w:val="0"/>
          <w:color w:val="000000"/>
          <w:sz w:val="16"/>
          <w:szCs w:val="16"/>
        </w:rPr>
        <w:t>.</w:t>
      </w:r>
    </w:p>
  </w:footnote>
  <w:footnote w:id="332">
    <w:p w:rsidR="00B41935" w:rsidRPr="00185FED" w:rsidRDefault="00B41935" w:rsidP="007C5FE5">
      <w:pPr>
        <w:pStyle w:val="FootnoteText"/>
        <w:ind w:right="-144"/>
        <w:rPr>
          <w:sz w:val="16"/>
          <w:szCs w:val="16"/>
          <w:lang w:val="es-CR"/>
        </w:rPr>
      </w:pPr>
      <w:r w:rsidRPr="00185FED">
        <w:rPr>
          <w:rStyle w:val="FootnoteReference"/>
        </w:rPr>
        <w:footnoteRef/>
      </w:r>
      <w:r w:rsidRPr="00185FED">
        <w:rPr>
          <w:sz w:val="16"/>
          <w:szCs w:val="16"/>
          <w:lang w:val="es-CR"/>
        </w:rPr>
        <w:t xml:space="preserve"> </w:t>
      </w:r>
      <w:r w:rsidRPr="00185FED">
        <w:rPr>
          <w:sz w:val="16"/>
          <w:szCs w:val="16"/>
          <w:lang w:val="es-CR"/>
        </w:rPr>
        <w:tab/>
      </w:r>
      <w:r w:rsidRPr="00185FED">
        <w:rPr>
          <w:i/>
          <w:sz w:val="16"/>
          <w:szCs w:val="16"/>
          <w:lang w:val="es-CR"/>
        </w:rPr>
        <w:t>Cfr. Caso Defensor de Derechos Huma</w:t>
      </w:r>
      <w:r>
        <w:rPr>
          <w:i/>
          <w:sz w:val="16"/>
          <w:szCs w:val="16"/>
          <w:lang w:val="es-CR"/>
        </w:rPr>
        <w:t>nos y otros Vs. Guatemala,</w:t>
      </w:r>
      <w:r w:rsidRPr="00185FED">
        <w:rPr>
          <w:sz w:val="16"/>
          <w:szCs w:val="16"/>
          <w:lang w:val="es-CR"/>
        </w:rPr>
        <w:t xml:space="preserve"> </w:t>
      </w:r>
      <w:r w:rsidRPr="00492C76">
        <w:rPr>
          <w:i/>
          <w:sz w:val="16"/>
          <w:szCs w:val="16"/>
          <w:lang w:val="es-CR"/>
        </w:rPr>
        <w:t>supra</w:t>
      </w:r>
      <w:r>
        <w:rPr>
          <w:sz w:val="16"/>
          <w:szCs w:val="16"/>
          <w:lang w:val="es-CR"/>
        </w:rPr>
        <w:t xml:space="preserve">, </w:t>
      </w:r>
      <w:r w:rsidRPr="00185FED">
        <w:rPr>
          <w:sz w:val="16"/>
          <w:szCs w:val="16"/>
          <w:lang w:val="es-CR"/>
        </w:rPr>
        <w:t>párr. 271</w:t>
      </w:r>
      <w:r>
        <w:rPr>
          <w:sz w:val="16"/>
          <w:szCs w:val="16"/>
          <w:lang w:val="es-CR"/>
        </w:rPr>
        <w:t xml:space="preserve">, y </w:t>
      </w:r>
      <w:r w:rsidRPr="00037A78">
        <w:rPr>
          <w:i/>
          <w:sz w:val="16"/>
          <w:szCs w:val="16"/>
          <w:lang w:val="es-CR"/>
        </w:rPr>
        <w:t>Caso Yarce y otras Vs. Colombia</w:t>
      </w:r>
      <w:r>
        <w:rPr>
          <w:i/>
          <w:sz w:val="16"/>
          <w:szCs w:val="16"/>
          <w:lang w:val="es-CR"/>
        </w:rPr>
        <w:t>, supra</w:t>
      </w:r>
      <w:r>
        <w:rPr>
          <w:sz w:val="16"/>
          <w:szCs w:val="16"/>
          <w:lang w:val="es-CR"/>
        </w:rPr>
        <w:t>, párr. 364.</w:t>
      </w:r>
    </w:p>
  </w:footnote>
  <w:footnote w:id="333">
    <w:p w:rsidR="00B41935" w:rsidRPr="00257982" w:rsidRDefault="00B41935" w:rsidP="007C5FE5">
      <w:pPr>
        <w:pStyle w:val="FootnoteText"/>
        <w:tabs>
          <w:tab w:val="left" w:pos="567"/>
        </w:tabs>
        <w:rPr>
          <w:sz w:val="16"/>
          <w:szCs w:val="16"/>
          <w:lang w:val="es-ES"/>
        </w:rPr>
      </w:pPr>
      <w:r w:rsidRPr="00AE7626">
        <w:rPr>
          <w:rStyle w:val="FootnoteReference"/>
          <w:lang w:val="es-ES"/>
        </w:rPr>
        <w:footnoteRef/>
      </w:r>
      <w:r w:rsidRPr="00AE7626">
        <w:rPr>
          <w:sz w:val="16"/>
          <w:szCs w:val="16"/>
          <w:lang w:val="es-ES"/>
        </w:rPr>
        <w:t xml:space="preserve"> </w:t>
      </w:r>
      <w:r w:rsidRPr="00AE7626">
        <w:rPr>
          <w:sz w:val="16"/>
          <w:szCs w:val="16"/>
          <w:lang w:val="es-ES"/>
        </w:rPr>
        <w:tab/>
      </w:r>
      <w:r>
        <w:rPr>
          <w:i/>
          <w:sz w:val="16"/>
          <w:szCs w:val="16"/>
          <w:lang w:val="es-ES"/>
        </w:rPr>
        <w:t xml:space="preserve">Cfr. </w:t>
      </w:r>
      <w:r w:rsidRPr="00AE7626">
        <w:rPr>
          <w:i/>
          <w:sz w:val="16"/>
          <w:szCs w:val="16"/>
          <w:lang w:val="es-ES"/>
        </w:rPr>
        <w:t xml:space="preserve">Caso Garrido y Baigorria Vs. Argentina. Reparaciones y Costas. </w:t>
      </w:r>
      <w:r w:rsidRPr="00AE7626">
        <w:rPr>
          <w:sz w:val="16"/>
          <w:szCs w:val="16"/>
          <w:lang w:val="es-ES"/>
        </w:rPr>
        <w:t>Sentencia de 27 de agosto de 1998. Serie C No. 39, párr. 82,</w:t>
      </w:r>
      <w:r w:rsidRPr="00AE7626">
        <w:rPr>
          <w:bCs/>
          <w:i/>
          <w:sz w:val="16"/>
          <w:szCs w:val="16"/>
          <w:lang w:val="es-ES"/>
        </w:rPr>
        <w:t xml:space="preserve"> </w:t>
      </w:r>
      <w:r w:rsidRPr="00AE7626">
        <w:rPr>
          <w:sz w:val="16"/>
          <w:szCs w:val="16"/>
          <w:lang w:val="es-ES"/>
        </w:rPr>
        <w:t xml:space="preserve">y </w:t>
      </w:r>
      <w:r w:rsidRPr="00AE7626">
        <w:rPr>
          <w:i/>
          <w:sz w:val="16"/>
          <w:szCs w:val="16"/>
          <w:lang w:val="es-ES"/>
        </w:rPr>
        <w:t xml:space="preserve">Caso Coc Max y otros (Masacre de Xamán) Vs. Guatemala, supra, </w:t>
      </w:r>
      <w:r w:rsidRPr="00AE7626">
        <w:rPr>
          <w:sz w:val="16"/>
          <w:szCs w:val="16"/>
          <w:lang w:val="es-ES"/>
        </w:rPr>
        <w:t>párr. 193.</w:t>
      </w:r>
      <w:r w:rsidRPr="004A6237" w:rsidDel="004A6237">
        <w:rPr>
          <w:sz w:val="16"/>
          <w:szCs w:val="16"/>
          <w:lang w:val="es-ES"/>
        </w:rPr>
        <w:t xml:space="preserve"> </w:t>
      </w:r>
    </w:p>
  </w:footnote>
  <w:footnote w:id="334">
    <w:p w:rsidR="00B41935" w:rsidRPr="00F10686" w:rsidRDefault="00B41935" w:rsidP="007C5FE5">
      <w:pPr>
        <w:tabs>
          <w:tab w:val="left" w:pos="567"/>
        </w:tabs>
        <w:autoSpaceDE w:val="0"/>
        <w:autoSpaceDN w:val="0"/>
        <w:rPr>
          <w:sz w:val="16"/>
          <w:szCs w:val="16"/>
          <w:lang w:val="es-ES"/>
        </w:rPr>
      </w:pPr>
      <w:r w:rsidRPr="00CC214C">
        <w:rPr>
          <w:rStyle w:val="FootnoteReference"/>
          <w:lang w:val="es-ES"/>
        </w:rPr>
        <w:footnoteRef/>
      </w:r>
      <w:r w:rsidRPr="00CC214C">
        <w:rPr>
          <w:sz w:val="16"/>
          <w:szCs w:val="16"/>
          <w:lang w:val="es-ES"/>
        </w:rPr>
        <w:t xml:space="preserve"> </w:t>
      </w:r>
      <w:r w:rsidRPr="00CC214C">
        <w:rPr>
          <w:sz w:val="16"/>
          <w:szCs w:val="16"/>
          <w:lang w:val="es-ES"/>
        </w:rPr>
        <w:tab/>
      </w:r>
      <w:r w:rsidRPr="00CC214C">
        <w:rPr>
          <w:i/>
          <w:sz w:val="16"/>
          <w:szCs w:val="16"/>
          <w:lang w:val="es-ES"/>
        </w:rPr>
        <w:t>Cfr. Caso Garrido y Baigorria Vs. Argentina. Reparaciones y Costas</w:t>
      </w:r>
      <w:r w:rsidRPr="00552A48">
        <w:rPr>
          <w:sz w:val="16"/>
          <w:szCs w:val="16"/>
          <w:lang w:val="es-ES"/>
        </w:rPr>
        <w:t>. Sentencia de 27 de agosto de 1998. Serie C No. 39, párr. 82, y</w:t>
      </w:r>
      <w:r w:rsidRPr="00552A48">
        <w:rPr>
          <w:i/>
          <w:sz w:val="16"/>
          <w:szCs w:val="16"/>
          <w:lang w:val="es-ES"/>
        </w:rPr>
        <w:t xml:space="preserve"> </w:t>
      </w:r>
      <w:r w:rsidRPr="00880756">
        <w:rPr>
          <w:i/>
          <w:sz w:val="16"/>
          <w:szCs w:val="16"/>
          <w:lang w:val="es-ES"/>
        </w:rPr>
        <w:t>Caso Coc Max y otros (Masacre de Xamán) Vs. Guatemala</w:t>
      </w:r>
      <w:r>
        <w:rPr>
          <w:i/>
          <w:sz w:val="16"/>
          <w:szCs w:val="16"/>
          <w:lang w:val="es-ES"/>
        </w:rPr>
        <w:t>, supra</w:t>
      </w:r>
      <w:r>
        <w:rPr>
          <w:sz w:val="16"/>
          <w:szCs w:val="16"/>
          <w:lang w:val="es-ES"/>
        </w:rPr>
        <w:t>, párr. 193.</w:t>
      </w:r>
      <w:r w:rsidRPr="004A6237" w:rsidDel="004A6237">
        <w:rPr>
          <w:sz w:val="16"/>
          <w:szCs w:val="16"/>
          <w:lang w:val="es-ES"/>
        </w:rPr>
        <w:t xml:space="preserve"> </w:t>
      </w:r>
    </w:p>
  </w:footnote>
  <w:footnote w:id="335">
    <w:p w:rsidR="00B41935" w:rsidRPr="00257982" w:rsidRDefault="00B41935" w:rsidP="007C5FE5">
      <w:pPr>
        <w:pStyle w:val="FootnoteText"/>
        <w:tabs>
          <w:tab w:val="left" w:pos="567"/>
        </w:tabs>
        <w:rPr>
          <w:sz w:val="16"/>
          <w:szCs w:val="16"/>
          <w:lang w:val="es-ES" w:bidi="en-US"/>
        </w:rPr>
      </w:pPr>
      <w:r w:rsidRPr="00CC214C">
        <w:rPr>
          <w:rStyle w:val="FootnoteReference"/>
          <w:lang w:val="es-ES"/>
        </w:rPr>
        <w:footnoteRef/>
      </w:r>
      <w:r w:rsidRPr="00257982">
        <w:rPr>
          <w:sz w:val="16"/>
          <w:szCs w:val="16"/>
          <w:lang w:val="es-ES"/>
        </w:rPr>
        <w:tab/>
      </w:r>
      <w:r w:rsidRPr="00257982">
        <w:rPr>
          <w:i/>
          <w:sz w:val="16"/>
          <w:szCs w:val="16"/>
          <w:lang w:val="es-ES"/>
        </w:rPr>
        <w:t>Caso Garrido y</w:t>
      </w:r>
      <w:r>
        <w:rPr>
          <w:i/>
          <w:sz w:val="16"/>
          <w:szCs w:val="16"/>
          <w:lang w:val="es-ES"/>
        </w:rPr>
        <w:t xml:space="preserve"> Baigorria Vs. Argentina, supra</w:t>
      </w:r>
      <w:r w:rsidRPr="00B554FA">
        <w:rPr>
          <w:sz w:val="16"/>
          <w:szCs w:val="16"/>
          <w:lang w:val="es-ES"/>
        </w:rPr>
        <w:t>, párr. 79, y</w:t>
      </w:r>
      <w:r w:rsidRPr="00037A78">
        <w:rPr>
          <w:sz w:val="16"/>
          <w:szCs w:val="16"/>
          <w:lang w:val="es-ES"/>
        </w:rPr>
        <w:t xml:space="preserve"> </w:t>
      </w:r>
      <w:r w:rsidRPr="00DF0029">
        <w:rPr>
          <w:i/>
          <w:sz w:val="16"/>
          <w:szCs w:val="16"/>
          <w:lang w:val="es-ES"/>
        </w:rPr>
        <w:t>Caso Coc Max y otros</w:t>
      </w:r>
      <w:r w:rsidRPr="00037A78">
        <w:rPr>
          <w:sz w:val="16"/>
          <w:szCs w:val="16"/>
          <w:lang w:val="es-ES"/>
        </w:rPr>
        <w:t xml:space="preserve"> (</w:t>
      </w:r>
      <w:r w:rsidRPr="00DF0029">
        <w:rPr>
          <w:i/>
          <w:sz w:val="16"/>
          <w:szCs w:val="16"/>
          <w:lang w:val="es-ES"/>
        </w:rPr>
        <w:t>Masacre de</w:t>
      </w:r>
      <w:r w:rsidRPr="00880756">
        <w:rPr>
          <w:i/>
          <w:sz w:val="16"/>
          <w:szCs w:val="16"/>
          <w:lang w:val="es-ES"/>
        </w:rPr>
        <w:t xml:space="preserve"> Xamán) Vs. Guatemala</w:t>
      </w:r>
      <w:r>
        <w:rPr>
          <w:i/>
          <w:sz w:val="16"/>
          <w:szCs w:val="16"/>
          <w:lang w:val="es-ES"/>
        </w:rPr>
        <w:t>, supra</w:t>
      </w:r>
      <w:r>
        <w:rPr>
          <w:sz w:val="16"/>
          <w:szCs w:val="16"/>
          <w:lang w:val="es-ES"/>
        </w:rPr>
        <w:t>, párr. 194.</w:t>
      </w:r>
      <w:r w:rsidRPr="004A6237" w:rsidDel="004A6237">
        <w:rPr>
          <w:sz w:val="16"/>
          <w:szCs w:val="16"/>
          <w:lang w:val="es-ES"/>
        </w:rPr>
        <w:t xml:space="preserve"> </w:t>
      </w:r>
    </w:p>
  </w:footnote>
  <w:footnote w:id="336">
    <w:p w:rsidR="00B41935" w:rsidRPr="00257982" w:rsidRDefault="00B41935" w:rsidP="007C5FE5">
      <w:pPr>
        <w:pStyle w:val="FootnoteText"/>
        <w:tabs>
          <w:tab w:val="left" w:pos="567"/>
        </w:tabs>
        <w:rPr>
          <w:sz w:val="16"/>
          <w:szCs w:val="16"/>
          <w:lang w:val="es-ES"/>
        </w:rPr>
      </w:pPr>
      <w:r w:rsidRPr="00CC214C">
        <w:rPr>
          <w:rStyle w:val="FootnoteReference"/>
          <w:lang w:val="es-ES"/>
        </w:rPr>
        <w:footnoteRef/>
      </w:r>
      <w:r w:rsidRPr="00257982">
        <w:rPr>
          <w:sz w:val="16"/>
          <w:szCs w:val="16"/>
          <w:lang w:val="es-ES"/>
        </w:rPr>
        <w:t xml:space="preserve"> </w:t>
      </w:r>
      <w:r w:rsidRPr="00257982">
        <w:rPr>
          <w:sz w:val="16"/>
          <w:szCs w:val="16"/>
          <w:lang w:val="es-ES"/>
        </w:rPr>
        <w:tab/>
      </w:r>
      <w:r w:rsidRPr="00257982">
        <w:rPr>
          <w:i/>
          <w:sz w:val="16"/>
          <w:szCs w:val="16"/>
          <w:lang w:val="es-ES"/>
        </w:rPr>
        <w:t>Cfr. Caso Chaparro Álvarez y Lapo Íñiguez Vs. E</w:t>
      </w:r>
      <w:r>
        <w:rPr>
          <w:i/>
          <w:sz w:val="16"/>
          <w:szCs w:val="16"/>
          <w:lang w:val="es-ES"/>
        </w:rPr>
        <w:t>c</w:t>
      </w:r>
      <w:r w:rsidRPr="00257982">
        <w:rPr>
          <w:i/>
          <w:sz w:val="16"/>
          <w:szCs w:val="16"/>
          <w:lang w:val="es-ES"/>
        </w:rPr>
        <w:t>uador. Excepciones Preliminares, Fondo, Reparaciones y Costas</w:t>
      </w:r>
      <w:r w:rsidRPr="00257982">
        <w:rPr>
          <w:sz w:val="16"/>
          <w:szCs w:val="16"/>
          <w:lang w:val="es-ES"/>
        </w:rPr>
        <w:t>. Sentencia de 21 de noviembre de 2007. Serie C No. 170, párr. 277, y</w:t>
      </w:r>
      <w:r w:rsidRPr="00257982">
        <w:rPr>
          <w:bCs/>
          <w:i/>
          <w:sz w:val="16"/>
          <w:szCs w:val="16"/>
          <w:lang w:val="es-ES"/>
        </w:rPr>
        <w:t xml:space="preserve"> </w:t>
      </w:r>
      <w:r w:rsidRPr="00DF0029">
        <w:rPr>
          <w:i/>
          <w:sz w:val="16"/>
          <w:szCs w:val="16"/>
          <w:lang w:val="es-ES"/>
        </w:rPr>
        <w:t>Caso Coc Max y otros</w:t>
      </w:r>
      <w:r w:rsidRPr="00880756">
        <w:rPr>
          <w:sz w:val="16"/>
          <w:szCs w:val="16"/>
          <w:lang w:val="es-ES"/>
        </w:rPr>
        <w:t xml:space="preserve"> (Masacre </w:t>
      </w:r>
      <w:r w:rsidRPr="00880756">
        <w:rPr>
          <w:i/>
          <w:sz w:val="16"/>
          <w:szCs w:val="16"/>
          <w:lang w:val="es-ES"/>
        </w:rPr>
        <w:t>de Xamán) Vs. Guatemala</w:t>
      </w:r>
      <w:r>
        <w:rPr>
          <w:i/>
          <w:sz w:val="16"/>
          <w:szCs w:val="16"/>
          <w:lang w:val="es-ES"/>
        </w:rPr>
        <w:t>, supra</w:t>
      </w:r>
      <w:r>
        <w:rPr>
          <w:sz w:val="16"/>
          <w:szCs w:val="16"/>
          <w:lang w:val="es-ES"/>
        </w:rPr>
        <w:t>, párr. 194.</w:t>
      </w:r>
      <w:r w:rsidRPr="004A6237" w:rsidDel="004A6237">
        <w:rPr>
          <w:sz w:val="16"/>
          <w:szCs w:val="16"/>
          <w:lang w:val="es-ES"/>
        </w:rPr>
        <w:t xml:space="preserve"> </w:t>
      </w:r>
    </w:p>
  </w:footnote>
  <w:footnote w:id="337">
    <w:p w:rsidR="00B41935" w:rsidRPr="00612741" w:rsidRDefault="00B41935" w:rsidP="007C5FE5">
      <w:pPr>
        <w:rPr>
          <w:lang w:val="es-CR"/>
        </w:rPr>
      </w:pPr>
      <w:r w:rsidRPr="00625F42">
        <w:rPr>
          <w:rStyle w:val="FootnoteReference"/>
        </w:rPr>
        <w:footnoteRef/>
      </w:r>
      <w:r w:rsidRPr="00625F42">
        <w:rPr>
          <w:sz w:val="16"/>
          <w:szCs w:val="16"/>
        </w:rPr>
        <w:t xml:space="preserve"> </w:t>
      </w:r>
      <w:r w:rsidRPr="00625F42">
        <w:rPr>
          <w:sz w:val="16"/>
          <w:szCs w:val="16"/>
          <w:lang w:val="es-CR"/>
        </w:rPr>
        <w:tab/>
        <w:t>Mediante nota de Secretaría, se informó que “</w:t>
      </w:r>
      <w:r w:rsidRPr="00625F42">
        <w:rPr>
          <w:rFonts w:cs="Mangal"/>
          <w:sz w:val="16"/>
          <w:szCs w:val="16"/>
          <w:lang w:val="es-CR"/>
        </w:rPr>
        <w:t>el monto utilizado por la Corte Interamericana de Derechos Humanos para que los beneficiarios</w:t>
      </w:r>
      <w:r>
        <w:rPr>
          <w:rFonts w:cs="Mangal"/>
          <w:sz w:val="16"/>
          <w:szCs w:val="16"/>
          <w:lang w:val="es-CR"/>
        </w:rPr>
        <w:t xml:space="preserve"> del Fondo de Asistencia Legal [de]</w:t>
      </w:r>
      <w:r w:rsidRPr="00625F42">
        <w:rPr>
          <w:rFonts w:cs="Mangal"/>
          <w:sz w:val="16"/>
          <w:szCs w:val="16"/>
          <w:lang w:val="es-CR"/>
        </w:rPr>
        <w:t xml:space="preserve"> Víctimas reciban el dinero correspondiente a hospedaje, alimentación, gastos incidentales y terminales, tiene su origen en la tabla de viáticos establecida por la Organización de los Estados Americanos (OEA). […] Por tratarse de un pago de viáticos y no de un adelanto para gastos de viaje, el Beneficiario del Fondo de Asist</w:t>
      </w:r>
      <w:r>
        <w:rPr>
          <w:rFonts w:cs="Mangal"/>
          <w:sz w:val="16"/>
          <w:szCs w:val="16"/>
          <w:lang w:val="es-CR"/>
        </w:rPr>
        <w:t>encia Legal [de]</w:t>
      </w:r>
      <w:r w:rsidRPr="00625F42">
        <w:rPr>
          <w:rFonts w:cs="Mangal"/>
          <w:sz w:val="16"/>
          <w:szCs w:val="16"/>
          <w:lang w:val="es-CR"/>
        </w:rPr>
        <w:t xml:space="preserve"> Víctimas no debe presentar posteriormente facturas de gastos por los viáticos recibidos. […] Así las cosas, se confirma que para la entrega de viáticos y registro contable es suficiente para la Corte IDH el recibo de dinero firmado por el Beneficiario del Fondo”. Igualmente, se indicó que “los gastos terminales -o de terminal aérea- se giran para que el Beneficiario del Fondo pueda cubrir los impuestos de salida o de entrada al país, así como los gastos de traslado desde y hacia la terminal aérea, ya sea en el país de origen o en el país de destino. Dichos montos también están asignados por país en la tabla suministrada por la OEA para estos efectos. […] Respecto de los declarantes de este caso, se giró a cada uno la suma de US$100.00, calculados de la siguiente manera: $35.00 correspondiente a la salida del país de origen (Perú) para asistir a la audiencia en San José; $15.00 correspondiente a la llegada al país destino (Costa Rica), $15.00 correspondiente a la salida del país destino (Costa Rica), luego de la audiencia, y $35.00 correspondiente a la llegada al país de origen (Perú)”.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203106"/>
      <w:docPartObj>
        <w:docPartGallery w:val="Page Numbers (Top of Page)"/>
        <w:docPartUnique/>
      </w:docPartObj>
    </w:sdtPr>
    <w:sdtEndPr>
      <w:rPr>
        <w:noProof/>
      </w:rPr>
    </w:sdtEndPr>
    <w:sdtContent>
      <w:p w:rsidR="00B41935" w:rsidRDefault="00B41935">
        <w:pPr>
          <w:pStyle w:val="Header"/>
          <w:jc w:val="center"/>
        </w:pPr>
        <w:r>
          <w:fldChar w:fldCharType="begin"/>
        </w:r>
        <w:r>
          <w:instrText xml:space="preserve"> PAGE   \* MERGEFORMAT </w:instrText>
        </w:r>
        <w:r>
          <w:fldChar w:fldCharType="separate"/>
        </w:r>
        <w:r w:rsidR="00E63A3E">
          <w:rPr>
            <w:noProof/>
          </w:rPr>
          <w:t>2</w:t>
        </w:r>
        <w:r>
          <w:rPr>
            <w:noProof/>
          </w:rPr>
          <w:fldChar w:fldCharType="end"/>
        </w:r>
      </w:p>
    </w:sdtContent>
  </w:sdt>
  <w:p w:rsidR="00B41935" w:rsidRDefault="00B41935" w:rsidP="0048681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6B66"/>
    <w:multiLevelType w:val="hybridMultilevel"/>
    <w:tmpl w:val="3830D59E"/>
    <w:lvl w:ilvl="0" w:tplc="4E2A0C4C">
      <w:start w:val="1"/>
      <w:numFmt w:val="decimal"/>
      <w:lvlText w:val="%1."/>
      <w:lvlJc w:val="left"/>
      <w:pPr>
        <w:ind w:left="3960" w:hanging="360"/>
      </w:pPr>
      <w:rPr>
        <w:rFonts w:ascii="Verdana" w:hAnsi="Verdana" w:hint="default"/>
        <w:b w:val="0"/>
        <w:i w:val="0"/>
        <w:strike w:val="0"/>
        <w:dstrike w:val="0"/>
        <w:color w:val="auto"/>
        <w:sz w:val="20"/>
        <w:szCs w:val="20"/>
        <w:u w:val="none"/>
        <w:effect w:val="none"/>
        <w:vertAlign w:val="baseline"/>
        <w:lang w:val="es-CR"/>
      </w:rPr>
    </w:lvl>
    <w:lvl w:ilvl="1" w:tplc="CEA4ED48">
      <w:start w:val="1"/>
      <w:numFmt w:val="upp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nsid w:val="06AA49F1"/>
    <w:multiLevelType w:val="hybridMultilevel"/>
    <w:tmpl w:val="168404EE"/>
    <w:lvl w:ilvl="0" w:tplc="5B0420A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A1DDD"/>
    <w:multiLevelType w:val="hybridMultilevel"/>
    <w:tmpl w:val="03844016"/>
    <w:lvl w:ilvl="0" w:tplc="DA684398">
      <w:start w:val="1"/>
      <w:numFmt w:val="upperLetter"/>
      <w:lvlText w:val="%1."/>
      <w:lvlJc w:val="left"/>
      <w:pPr>
        <w:ind w:left="9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6A6145"/>
    <w:multiLevelType w:val="hybridMultilevel"/>
    <w:tmpl w:val="EC88D282"/>
    <w:lvl w:ilvl="0" w:tplc="8B6C4A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82056C"/>
    <w:multiLevelType w:val="hybridMultilevel"/>
    <w:tmpl w:val="B05C4E10"/>
    <w:lvl w:ilvl="0" w:tplc="55062596">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157F73"/>
    <w:multiLevelType w:val="hybridMultilevel"/>
    <w:tmpl w:val="9A0E73E0"/>
    <w:lvl w:ilvl="0" w:tplc="0756D680">
      <w:start w:val="207"/>
      <w:numFmt w:val="decimal"/>
      <w:suff w:val="space"/>
      <w:lvlText w:val="%1."/>
      <w:lvlJc w:val="left"/>
      <w:pPr>
        <w:ind w:left="0" w:firstLine="0"/>
      </w:pPr>
      <w:rPr>
        <w:rFonts w:ascii="Verdana" w:eastAsia="Times New Roman" w:hAnsi="Verdana" w:hint="default"/>
        <w:b w:val="0"/>
        <w:bCs w:val="0"/>
        <w:i w:val="0"/>
        <w:iCs w:val="0"/>
        <w:strike w:val="0"/>
        <w:dstrike w:val="0"/>
        <w:color w:val="auto"/>
        <w:sz w:val="20"/>
        <w:szCs w:val="2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7E35B8D"/>
    <w:multiLevelType w:val="hybridMultilevel"/>
    <w:tmpl w:val="B1B644D8"/>
    <w:lvl w:ilvl="0" w:tplc="DA1C11D6">
      <w:start w:val="5"/>
      <w:numFmt w:val="decimal"/>
      <w:lvlText w:val="%1"/>
      <w:lvlJc w:val="left"/>
      <w:pPr>
        <w:ind w:left="720" w:hanging="360"/>
      </w:pPr>
      <w:rPr>
        <w:rFonts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341152"/>
    <w:multiLevelType w:val="hybridMultilevel"/>
    <w:tmpl w:val="1F8C91D4"/>
    <w:lvl w:ilvl="0" w:tplc="F90CE92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68623C"/>
    <w:multiLevelType w:val="hybridMultilevel"/>
    <w:tmpl w:val="41444250"/>
    <w:lvl w:ilvl="0" w:tplc="B8B22200">
      <w:start w:val="1"/>
      <w:numFmt w:val="upperLetter"/>
      <w:lvlText w:val="%1."/>
      <w:lvlJc w:val="left"/>
      <w:pPr>
        <w:ind w:left="1069" w:hanging="360"/>
      </w:pPr>
      <w:rPr>
        <w:sz w:val="2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9182828"/>
    <w:multiLevelType w:val="hybridMultilevel"/>
    <w:tmpl w:val="1C6467E0"/>
    <w:lvl w:ilvl="0" w:tplc="8A626076">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6144C9"/>
    <w:multiLevelType w:val="hybridMultilevel"/>
    <w:tmpl w:val="90B27FF2"/>
    <w:lvl w:ilvl="0" w:tplc="F3D835DA">
      <w:start w:val="1"/>
      <w:numFmt w:val="decimal"/>
      <w:lvlText w:val="%1."/>
      <w:lvlJc w:val="left"/>
      <w:pPr>
        <w:tabs>
          <w:tab w:val="num" w:pos="12305"/>
        </w:tabs>
      </w:pPr>
      <w:rPr>
        <w:rFonts w:ascii="Verdana" w:eastAsia="Times New Roman" w:hAnsi="Verdana"/>
        <w:b w:val="0"/>
        <w:bCs w:val="0"/>
        <w:i w:val="0"/>
        <w:iCs w:val="0"/>
        <w:strike w:val="0"/>
        <w:color w:val="auto"/>
        <w:sz w:val="20"/>
        <w:szCs w:val="20"/>
        <w:lang w:val="es-ES_tradnl"/>
      </w:rPr>
    </w:lvl>
    <w:lvl w:ilvl="1" w:tplc="C7D25ABE">
      <w:start w:val="1"/>
      <w:numFmt w:val="lowerLetter"/>
      <w:lvlText w:val="%2)"/>
      <w:lvlJc w:val="left"/>
      <w:pPr>
        <w:tabs>
          <w:tab w:val="num" w:pos="1080"/>
        </w:tabs>
        <w:ind w:left="1080" w:hanging="360"/>
      </w:pPr>
      <w:rPr>
        <w:rFonts w:hint="default"/>
        <w:b w:val="0"/>
        <w:bCs w:val="0"/>
        <w:i w:val="0"/>
        <w:iCs w:val="0"/>
        <w:sz w:val="20"/>
        <w:szCs w:val="20"/>
      </w:rPr>
    </w:lvl>
    <w:lvl w:ilvl="2" w:tplc="0409001B">
      <w:start w:val="1"/>
      <w:numFmt w:val="lowerRoman"/>
      <w:lvlText w:val="%3."/>
      <w:lvlJc w:val="right"/>
      <w:pPr>
        <w:tabs>
          <w:tab w:val="num" w:pos="1530"/>
        </w:tabs>
        <w:ind w:left="1530" w:hanging="180"/>
      </w:pPr>
      <w:rPr>
        <w:b w:val="0"/>
        <w:strike w:val="0"/>
      </w:rPr>
    </w:lvl>
    <w:lvl w:ilvl="3" w:tplc="140A001B">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14262DB"/>
    <w:multiLevelType w:val="hybridMultilevel"/>
    <w:tmpl w:val="E39C73D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A1539C"/>
    <w:multiLevelType w:val="hybridMultilevel"/>
    <w:tmpl w:val="3F502C9A"/>
    <w:lvl w:ilvl="0" w:tplc="DE1C74B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6E65998"/>
    <w:multiLevelType w:val="hybridMultilevel"/>
    <w:tmpl w:val="26806568"/>
    <w:lvl w:ilvl="0" w:tplc="DC3CAB8A">
      <w:start w:val="1"/>
      <w:numFmt w:val="decimal"/>
      <w:lvlText w:val="%1."/>
      <w:lvlJc w:val="left"/>
      <w:pPr>
        <w:ind w:left="8190" w:hanging="360"/>
      </w:pPr>
      <w:rPr>
        <w:rFonts w:ascii="Verdana" w:hAnsi="Verdana" w:hint="default"/>
        <w:b w:val="0"/>
        <w:i w:val="0"/>
        <w:strike w:val="0"/>
        <w:sz w:val="20"/>
        <w:szCs w:val="20"/>
        <w:lang w:val="es-ES"/>
      </w:rPr>
    </w:lvl>
    <w:lvl w:ilvl="1" w:tplc="1D2CABE6">
      <w:start w:val="1"/>
      <w:numFmt w:val="lowerLetter"/>
      <w:lvlText w:val="%2)"/>
      <w:lvlJc w:val="left"/>
      <w:pPr>
        <w:ind w:left="1080" w:hanging="360"/>
      </w:pPr>
      <w:rPr>
        <w:rFonts w:ascii="Verdana" w:eastAsia="Calibri" w:hAnsi="Verdana" w:cs="Calibri"/>
        <w:i w:val="0"/>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4">
    <w:nsid w:val="38C92E94"/>
    <w:multiLevelType w:val="hybridMultilevel"/>
    <w:tmpl w:val="5CD4AC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9024B8A"/>
    <w:multiLevelType w:val="hybridMultilevel"/>
    <w:tmpl w:val="220212AE"/>
    <w:lvl w:ilvl="0" w:tplc="140A0015">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6">
    <w:nsid w:val="3AC427A9"/>
    <w:multiLevelType w:val="hybridMultilevel"/>
    <w:tmpl w:val="623C2B14"/>
    <w:lvl w:ilvl="0" w:tplc="0409000F">
      <w:start w:val="1"/>
      <w:numFmt w:val="decimal"/>
      <w:lvlText w:val="%1."/>
      <w:lvlJc w:val="left"/>
      <w:pPr>
        <w:ind w:left="39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0407EB"/>
    <w:multiLevelType w:val="hybridMultilevel"/>
    <w:tmpl w:val="620CD1AA"/>
    <w:lvl w:ilvl="0" w:tplc="1F24FBDA">
      <w:start w:val="275"/>
      <w:numFmt w:val="decimal"/>
      <w:lvlText w:val="%1."/>
      <w:lvlJc w:val="left"/>
      <w:pPr>
        <w:ind w:left="795" w:hanging="435"/>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1E2E49"/>
    <w:multiLevelType w:val="hybridMultilevel"/>
    <w:tmpl w:val="220212AE"/>
    <w:lvl w:ilvl="0" w:tplc="140A0015">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9">
    <w:nsid w:val="40262633"/>
    <w:multiLevelType w:val="hybridMultilevel"/>
    <w:tmpl w:val="8AF20E02"/>
    <w:lvl w:ilvl="0" w:tplc="C6E02EA2">
      <w:start w:val="1"/>
      <w:numFmt w:val="decimal"/>
      <w:lvlText w:val="%1."/>
      <w:lvlJc w:val="left"/>
      <w:pPr>
        <w:ind w:left="720" w:hanging="360"/>
      </w:pPr>
      <w:rPr>
        <w:rFonts w:ascii="Verdana" w:eastAsiaTheme="minorHAnsi" w:hAnsi="Verdana" w:cs="Arial"/>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E731B6"/>
    <w:multiLevelType w:val="hybridMultilevel"/>
    <w:tmpl w:val="73FAD11C"/>
    <w:lvl w:ilvl="0" w:tplc="F1EA2428">
      <w:start w:val="1"/>
      <w:numFmt w:val="decimal"/>
      <w:lvlText w:val="%1."/>
      <w:lvlJc w:val="left"/>
      <w:pPr>
        <w:ind w:left="1070" w:hanging="360"/>
      </w:pPr>
      <w:rPr>
        <w:rFonts w:ascii="Verdana" w:eastAsia="Calibri" w:hAnsi="Verdana" w:hint="default"/>
        <w:b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3E06E32"/>
    <w:multiLevelType w:val="hybridMultilevel"/>
    <w:tmpl w:val="178EEAA6"/>
    <w:lvl w:ilvl="0" w:tplc="47AABC80">
      <w:start w:val="1"/>
      <w:numFmt w:val="decimal"/>
      <w:lvlText w:val="%1."/>
      <w:lvlJc w:val="left"/>
      <w:pPr>
        <w:tabs>
          <w:tab w:val="num" w:pos="5057"/>
        </w:tabs>
      </w:pPr>
      <w:rPr>
        <w:rFonts w:ascii="Verdana" w:eastAsia="Times New Roman" w:hAnsi="Verdana" w:cs="Times New Roman" w:hint="default"/>
        <w:b w:val="0"/>
        <w:i w:val="0"/>
        <w:strike w:val="0"/>
        <w:color w:val="auto"/>
        <w:sz w:val="20"/>
        <w:lang w:val="es-CR"/>
      </w:rPr>
    </w:lvl>
    <w:lvl w:ilvl="1" w:tplc="91ECB87E">
      <w:start w:val="1"/>
      <w:numFmt w:val="lowerLetter"/>
      <w:lvlText w:val="%2)"/>
      <w:lvlJc w:val="left"/>
      <w:pPr>
        <w:tabs>
          <w:tab w:val="num" w:pos="1080"/>
        </w:tabs>
        <w:ind w:left="1080" w:hanging="360"/>
      </w:pPr>
      <w:rPr>
        <w:rFonts w:cs="Times New Roman" w:hint="default"/>
        <w:b w:val="0"/>
        <w:i w:val="0"/>
        <w:sz w:val="20"/>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22">
    <w:nsid w:val="545C1473"/>
    <w:multiLevelType w:val="hybridMultilevel"/>
    <w:tmpl w:val="8D36DECE"/>
    <w:lvl w:ilvl="0" w:tplc="49D843D4">
      <w:start w:val="1"/>
      <w:numFmt w:val="upperLetter"/>
      <w:lvlText w:val="%1."/>
      <w:lvlJc w:val="left"/>
      <w:pPr>
        <w:ind w:left="720" w:hanging="360"/>
      </w:pPr>
      <w:rPr>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964712"/>
    <w:multiLevelType w:val="hybridMultilevel"/>
    <w:tmpl w:val="C682E78E"/>
    <w:lvl w:ilvl="0" w:tplc="1742AE12">
      <w:start w:val="54"/>
      <w:numFmt w:val="decimal"/>
      <w:lvlText w:val="%1."/>
      <w:lvlJc w:val="left"/>
      <w:pPr>
        <w:ind w:left="720" w:hanging="360"/>
      </w:pPr>
      <w:rPr>
        <w:rFonts w:hint="default"/>
      </w:rPr>
    </w:lvl>
    <w:lvl w:ilvl="1" w:tplc="E0C4521E">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1F5F66"/>
    <w:multiLevelType w:val="hybridMultilevel"/>
    <w:tmpl w:val="A7B8E0F0"/>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5">
    <w:nsid w:val="5D8211ED"/>
    <w:multiLevelType w:val="hybridMultilevel"/>
    <w:tmpl w:val="4FD659D4"/>
    <w:lvl w:ilvl="0" w:tplc="B63805FE">
      <w:start w:val="1"/>
      <w:numFmt w:val="lowerLetter"/>
      <w:lvlText w:val="%1)"/>
      <w:lvlJc w:val="left"/>
      <w:pPr>
        <w:ind w:left="1776" w:hanging="360"/>
      </w:pPr>
      <w:rPr>
        <w:rFonts w:cstheme="majorBidi"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6">
    <w:nsid w:val="64A904A2"/>
    <w:multiLevelType w:val="hybridMultilevel"/>
    <w:tmpl w:val="03844016"/>
    <w:lvl w:ilvl="0" w:tplc="DA684398">
      <w:start w:val="1"/>
      <w:numFmt w:val="upperLetter"/>
      <w:lvlText w:val="%1."/>
      <w:lvlJc w:val="left"/>
      <w:pPr>
        <w:ind w:left="108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657C13BE"/>
    <w:multiLevelType w:val="hybridMultilevel"/>
    <w:tmpl w:val="3A7C07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CDC02EC"/>
    <w:multiLevelType w:val="hybridMultilevel"/>
    <w:tmpl w:val="1D466138"/>
    <w:lvl w:ilvl="0" w:tplc="3D4AC65C">
      <w:start w:val="1"/>
      <w:numFmt w:val="decimal"/>
      <w:lvlText w:val="%1."/>
      <w:lvlJc w:val="left"/>
      <w:pPr>
        <w:ind w:left="927" w:hanging="360"/>
      </w:pPr>
      <w:rPr>
        <w:strike w:val="0"/>
      </w:rPr>
    </w:lvl>
    <w:lvl w:ilvl="1" w:tplc="140A0019" w:tentative="1">
      <w:start w:val="1"/>
      <w:numFmt w:val="lowerLetter"/>
      <w:lvlText w:val="%2."/>
      <w:lvlJc w:val="left"/>
      <w:pPr>
        <w:ind w:left="1260" w:hanging="360"/>
      </w:pPr>
    </w:lvl>
    <w:lvl w:ilvl="2" w:tplc="140A001B" w:tentative="1">
      <w:start w:val="1"/>
      <w:numFmt w:val="lowerRoman"/>
      <w:lvlText w:val="%3."/>
      <w:lvlJc w:val="right"/>
      <w:pPr>
        <w:ind w:left="1980" w:hanging="180"/>
      </w:pPr>
    </w:lvl>
    <w:lvl w:ilvl="3" w:tplc="140A000F" w:tentative="1">
      <w:start w:val="1"/>
      <w:numFmt w:val="decimal"/>
      <w:lvlText w:val="%4."/>
      <w:lvlJc w:val="left"/>
      <w:pPr>
        <w:ind w:left="2700" w:hanging="360"/>
      </w:pPr>
    </w:lvl>
    <w:lvl w:ilvl="4" w:tplc="140A0019" w:tentative="1">
      <w:start w:val="1"/>
      <w:numFmt w:val="lowerLetter"/>
      <w:lvlText w:val="%5."/>
      <w:lvlJc w:val="left"/>
      <w:pPr>
        <w:ind w:left="3420" w:hanging="360"/>
      </w:pPr>
    </w:lvl>
    <w:lvl w:ilvl="5" w:tplc="140A001B" w:tentative="1">
      <w:start w:val="1"/>
      <w:numFmt w:val="lowerRoman"/>
      <w:lvlText w:val="%6."/>
      <w:lvlJc w:val="right"/>
      <w:pPr>
        <w:ind w:left="4140" w:hanging="180"/>
      </w:pPr>
    </w:lvl>
    <w:lvl w:ilvl="6" w:tplc="140A000F" w:tentative="1">
      <w:start w:val="1"/>
      <w:numFmt w:val="decimal"/>
      <w:lvlText w:val="%7."/>
      <w:lvlJc w:val="left"/>
      <w:pPr>
        <w:ind w:left="4860" w:hanging="360"/>
      </w:pPr>
    </w:lvl>
    <w:lvl w:ilvl="7" w:tplc="140A0019" w:tentative="1">
      <w:start w:val="1"/>
      <w:numFmt w:val="lowerLetter"/>
      <w:lvlText w:val="%8."/>
      <w:lvlJc w:val="left"/>
      <w:pPr>
        <w:ind w:left="5580" w:hanging="360"/>
      </w:pPr>
    </w:lvl>
    <w:lvl w:ilvl="8" w:tplc="140A001B" w:tentative="1">
      <w:start w:val="1"/>
      <w:numFmt w:val="lowerRoman"/>
      <w:lvlText w:val="%9."/>
      <w:lvlJc w:val="right"/>
      <w:pPr>
        <w:ind w:left="6300" w:hanging="180"/>
      </w:pPr>
    </w:lvl>
  </w:abstractNum>
  <w:abstractNum w:abstractNumId="29">
    <w:nsid w:val="71D24B71"/>
    <w:multiLevelType w:val="hybridMultilevel"/>
    <w:tmpl w:val="21EE32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2BE3E84"/>
    <w:multiLevelType w:val="hybridMultilevel"/>
    <w:tmpl w:val="DF16F44A"/>
    <w:lvl w:ilvl="0" w:tplc="65DE536C">
      <w:start w:val="1"/>
      <w:numFmt w:val="upperLetter"/>
      <w:lvlText w:val="%1."/>
      <w:lvlJc w:val="left"/>
      <w:pPr>
        <w:ind w:left="1170" w:hanging="360"/>
      </w:pPr>
      <w:rPr>
        <w:rFonts w:ascii="Verdana" w:hAnsi="Verdana" w:hint="default"/>
        <w:b/>
        <w:color w:val="auto"/>
        <w:sz w:val="20"/>
        <w:szCs w:val="2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nsid w:val="76753A80"/>
    <w:multiLevelType w:val="hybridMultilevel"/>
    <w:tmpl w:val="5F7CA420"/>
    <w:lvl w:ilvl="0" w:tplc="F12E0F8A">
      <w:start w:val="1"/>
      <w:numFmt w:val="decimal"/>
      <w:lvlText w:val="%1."/>
      <w:lvlJc w:val="left"/>
      <w:pPr>
        <w:ind w:left="0" w:firstLine="0"/>
      </w:pPr>
      <w:rPr>
        <w:rFonts w:ascii="Verdana" w:hAnsi="Verdana" w:hint="default"/>
        <w:b w:val="0"/>
        <w:i w:val="0"/>
        <w:strike w:val="0"/>
        <w:color w:val="auto"/>
        <w:sz w:val="20"/>
        <w:szCs w:val="20"/>
        <w:vertAlign w:val="baseli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3F0893E6">
      <w:start w:val="1"/>
      <w:numFmt w:val="decimal"/>
      <w:lvlText w:val="%4."/>
      <w:lvlJc w:val="left"/>
      <w:pPr>
        <w:ind w:left="2738" w:hanging="360"/>
      </w:pPr>
    </w:lvl>
    <w:lvl w:ilvl="4" w:tplc="E7BA4BB6">
      <w:start w:val="1"/>
      <w:numFmt w:val="lowerLetter"/>
      <w:lvlText w:val="%5."/>
      <w:lvlJc w:val="left"/>
      <w:pPr>
        <w:ind w:left="3458" w:hanging="360"/>
      </w:pPr>
    </w:lvl>
    <w:lvl w:ilvl="5" w:tplc="2C0A001B" w:tentative="1">
      <w:start w:val="1"/>
      <w:numFmt w:val="lowerRoman"/>
      <w:lvlText w:val="%6."/>
      <w:lvlJc w:val="right"/>
      <w:pPr>
        <w:ind w:left="4178" w:hanging="180"/>
      </w:pPr>
    </w:lvl>
    <w:lvl w:ilvl="6" w:tplc="2C0A000F" w:tentative="1">
      <w:start w:val="1"/>
      <w:numFmt w:val="decimal"/>
      <w:lvlText w:val="%7."/>
      <w:lvlJc w:val="left"/>
      <w:pPr>
        <w:ind w:left="4898" w:hanging="360"/>
      </w:pPr>
    </w:lvl>
    <w:lvl w:ilvl="7" w:tplc="2C0A0019" w:tentative="1">
      <w:start w:val="1"/>
      <w:numFmt w:val="lowerLetter"/>
      <w:lvlText w:val="%8."/>
      <w:lvlJc w:val="left"/>
      <w:pPr>
        <w:ind w:left="5618" w:hanging="360"/>
      </w:pPr>
    </w:lvl>
    <w:lvl w:ilvl="8" w:tplc="2C0A001B" w:tentative="1">
      <w:start w:val="1"/>
      <w:numFmt w:val="lowerRoman"/>
      <w:lvlText w:val="%9."/>
      <w:lvlJc w:val="right"/>
      <w:pPr>
        <w:ind w:left="6338" w:hanging="180"/>
      </w:pPr>
    </w:lvl>
  </w:abstractNum>
  <w:abstractNum w:abstractNumId="32">
    <w:nsid w:val="7A7D511C"/>
    <w:multiLevelType w:val="hybridMultilevel"/>
    <w:tmpl w:val="A5DC8C4A"/>
    <w:lvl w:ilvl="0" w:tplc="1FDCBAE8">
      <w:start w:val="1"/>
      <w:numFmt w:val="decimal"/>
      <w:lvlText w:val="%1."/>
      <w:lvlJc w:val="left"/>
      <w:pPr>
        <w:ind w:left="360" w:hanging="360"/>
      </w:pPr>
      <w:rPr>
        <w:rFonts w:ascii="Verdana" w:hAnsi="Verdan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ACB1F54"/>
    <w:multiLevelType w:val="hybridMultilevel"/>
    <w:tmpl w:val="C1184836"/>
    <w:lvl w:ilvl="0" w:tplc="D4684B8E">
      <w:start w:val="1"/>
      <w:numFmt w:val="decimal"/>
      <w:lvlText w:val="%1."/>
      <w:lvlJc w:val="left"/>
      <w:pPr>
        <w:ind w:left="8190" w:hanging="360"/>
      </w:pPr>
      <w:rPr>
        <w:rFonts w:hint="default"/>
        <w:b w:val="0"/>
        <w:i w:val="0"/>
        <w:strike w:val="0"/>
        <w:sz w:val="20"/>
        <w:szCs w:val="20"/>
        <w:lang w:val="es-ES_tradnl"/>
      </w:rPr>
    </w:lvl>
    <w:lvl w:ilvl="1" w:tplc="04090019">
      <w:start w:val="1"/>
      <w:numFmt w:val="lowerLetter"/>
      <w:lvlText w:val="%2."/>
      <w:lvlJc w:val="left"/>
      <w:pPr>
        <w:ind w:left="8910" w:hanging="360"/>
      </w:pPr>
    </w:lvl>
    <w:lvl w:ilvl="2" w:tplc="0409001B" w:tentative="1">
      <w:start w:val="1"/>
      <w:numFmt w:val="lowerRoman"/>
      <w:lvlText w:val="%3."/>
      <w:lvlJc w:val="right"/>
      <w:pPr>
        <w:ind w:left="9630" w:hanging="180"/>
      </w:pPr>
    </w:lvl>
    <w:lvl w:ilvl="3" w:tplc="0409000F" w:tentative="1">
      <w:start w:val="1"/>
      <w:numFmt w:val="decimal"/>
      <w:lvlText w:val="%4."/>
      <w:lvlJc w:val="left"/>
      <w:pPr>
        <w:ind w:left="10350" w:hanging="360"/>
      </w:pPr>
    </w:lvl>
    <w:lvl w:ilvl="4" w:tplc="04090019" w:tentative="1">
      <w:start w:val="1"/>
      <w:numFmt w:val="lowerLetter"/>
      <w:lvlText w:val="%5."/>
      <w:lvlJc w:val="left"/>
      <w:pPr>
        <w:ind w:left="11070" w:hanging="360"/>
      </w:pPr>
    </w:lvl>
    <w:lvl w:ilvl="5" w:tplc="0409001B" w:tentative="1">
      <w:start w:val="1"/>
      <w:numFmt w:val="lowerRoman"/>
      <w:lvlText w:val="%6."/>
      <w:lvlJc w:val="right"/>
      <w:pPr>
        <w:ind w:left="11790" w:hanging="180"/>
      </w:pPr>
    </w:lvl>
    <w:lvl w:ilvl="6" w:tplc="0409000F" w:tentative="1">
      <w:start w:val="1"/>
      <w:numFmt w:val="decimal"/>
      <w:lvlText w:val="%7."/>
      <w:lvlJc w:val="left"/>
      <w:pPr>
        <w:ind w:left="12510" w:hanging="360"/>
      </w:pPr>
    </w:lvl>
    <w:lvl w:ilvl="7" w:tplc="04090019" w:tentative="1">
      <w:start w:val="1"/>
      <w:numFmt w:val="lowerLetter"/>
      <w:lvlText w:val="%8."/>
      <w:lvlJc w:val="left"/>
      <w:pPr>
        <w:ind w:left="13230" w:hanging="360"/>
      </w:pPr>
    </w:lvl>
    <w:lvl w:ilvl="8" w:tplc="0409001B" w:tentative="1">
      <w:start w:val="1"/>
      <w:numFmt w:val="lowerRoman"/>
      <w:lvlText w:val="%9."/>
      <w:lvlJc w:val="right"/>
      <w:pPr>
        <w:ind w:left="13950" w:hanging="180"/>
      </w:pPr>
    </w:lvl>
  </w:abstractNum>
  <w:abstractNum w:abstractNumId="34">
    <w:nsid w:val="7CE64D32"/>
    <w:multiLevelType w:val="hybridMultilevel"/>
    <w:tmpl w:val="E9AAC004"/>
    <w:lvl w:ilvl="0" w:tplc="84C60B70">
      <w:start w:val="1"/>
      <w:numFmt w:val="decimal"/>
      <w:lvlText w:val="%1."/>
      <w:lvlJc w:val="left"/>
      <w:pPr>
        <w:tabs>
          <w:tab w:val="num" w:pos="11028"/>
        </w:tabs>
        <w:ind w:left="0" w:firstLine="0"/>
      </w:pPr>
      <w:rPr>
        <w:rFonts w:ascii="Verdana" w:eastAsia="Times New Roman" w:hAnsi="Verdana"/>
        <w:b w:val="0"/>
        <w:bCs w:val="0"/>
        <w:i w:val="0"/>
        <w:iCs w:val="0"/>
        <w:strike w:val="0"/>
        <w:dstrike w:val="0"/>
        <w:color w:val="auto"/>
        <w:sz w:val="20"/>
        <w:szCs w:val="20"/>
        <w:u w:val="none"/>
        <w:effect w:val="none"/>
        <w:lang w:val="es-ES_tradnl"/>
      </w:rPr>
    </w:lvl>
    <w:lvl w:ilvl="1" w:tplc="140A0019">
      <w:start w:val="1"/>
      <w:numFmt w:val="lowerLetter"/>
      <w:lvlText w:val="%2)"/>
      <w:lvlJc w:val="left"/>
      <w:pPr>
        <w:tabs>
          <w:tab w:val="num" w:pos="1080"/>
        </w:tabs>
        <w:ind w:left="1080" w:hanging="360"/>
      </w:pPr>
      <w:rPr>
        <w:b w:val="0"/>
        <w:bCs w:val="0"/>
        <w:i w:val="0"/>
        <w:iCs w:val="0"/>
        <w:sz w:val="20"/>
        <w:szCs w:val="20"/>
      </w:rPr>
    </w:lvl>
    <w:lvl w:ilvl="2" w:tplc="140A001B">
      <w:start w:val="1"/>
      <w:numFmt w:val="lowerRoman"/>
      <w:lvlText w:val="%3."/>
      <w:lvlJc w:val="right"/>
      <w:pPr>
        <w:tabs>
          <w:tab w:val="num" w:pos="1530"/>
        </w:tabs>
        <w:ind w:left="1530" w:hanging="180"/>
      </w:pPr>
      <w:rPr>
        <w:b w:val="0"/>
        <w:strike w:val="0"/>
        <w:dstrike w:val="0"/>
        <w:u w:val="none"/>
        <w:effect w:val="none"/>
      </w:rPr>
    </w:lvl>
    <w:lvl w:ilvl="3" w:tplc="140A000F">
      <w:start w:val="1"/>
      <w:numFmt w:val="decimal"/>
      <w:lvlText w:val="%4."/>
      <w:lvlJc w:val="left"/>
      <w:pPr>
        <w:tabs>
          <w:tab w:val="num" w:pos="2880"/>
        </w:tabs>
        <w:ind w:left="2880" w:hanging="360"/>
      </w:pPr>
    </w:lvl>
    <w:lvl w:ilvl="4" w:tplc="140A0019">
      <w:start w:val="1"/>
      <w:numFmt w:val="lowerLetter"/>
      <w:lvlText w:val="%5."/>
      <w:lvlJc w:val="left"/>
      <w:pPr>
        <w:tabs>
          <w:tab w:val="num" w:pos="3600"/>
        </w:tabs>
        <w:ind w:left="3600" w:hanging="360"/>
      </w:pPr>
    </w:lvl>
    <w:lvl w:ilvl="5" w:tplc="140A001B">
      <w:start w:val="1"/>
      <w:numFmt w:val="lowerRoman"/>
      <w:lvlText w:val="%6."/>
      <w:lvlJc w:val="right"/>
      <w:pPr>
        <w:tabs>
          <w:tab w:val="num" w:pos="4320"/>
        </w:tabs>
        <w:ind w:left="4320" w:hanging="180"/>
      </w:pPr>
    </w:lvl>
    <w:lvl w:ilvl="6" w:tplc="140A000F">
      <w:start w:val="1"/>
      <w:numFmt w:val="decimal"/>
      <w:lvlText w:val="%7."/>
      <w:lvlJc w:val="left"/>
      <w:pPr>
        <w:tabs>
          <w:tab w:val="num" w:pos="5040"/>
        </w:tabs>
        <w:ind w:left="5040" w:hanging="360"/>
      </w:pPr>
    </w:lvl>
    <w:lvl w:ilvl="7" w:tplc="140A0019">
      <w:start w:val="1"/>
      <w:numFmt w:val="lowerLetter"/>
      <w:lvlText w:val="%8."/>
      <w:lvlJc w:val="left"/>
      <w:pPr>
        <w:tabs>
          <w:tab w:val="num" w:pos="5760"/>
        </w:tabs>
        <w:ind w:left="5760" w:hanging="360"/>
      </w:pPr>
    </w:lvl>
    <w:lvl w:ilvl="8" w:tplc="140A001B">
      <w:start w:val="1"/>
      <w:numFmt w:val="lowerRoman"/>
      <w:lvlText w:val="%9."/>
      <w:lvlJc w:val="right"/>
      <w:pPr>
        <w:tabs>
          <w:tab w:val="num" w:pos="6480"/>
        </w:tabs>
        <w:ind w:left="6480" w:hanging="180"/>
      </w:pPr>
    </w:lvl>
  </w:abstractNum>
  <w:abstractNum w:abstractNumId="35">
    <w:nsid w:val="7CFB7E5C"/>
    <w:multiLevelType w:val="hybridMultilevel"/>
    <w:tmpl w:val="D42A07E2"/>
    <w:lvl w:ilvl="0" w:tplc="AB161574">
      <w:start w:val="1"/>
      <w:numFmt w:val="upperLetter"/>
      <w:lvlText w:val="%1."/>
      <w:lvlJc w:val="left"/>
      <w:pPr>
        <w:ind w:left="1080" w:hanging="360"/>
      </w:pPr>
      <w:rPr>
        <w:rFonts w:hint="default"/>
        <w:b/>
        <w:i w:val="0"/>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6">
    <w:nsid w:val="7D5C0132"/>
    <w:multiLevelType w:val="hybridMultilevel"/>
    <w:tmpl w:val="CFAC9A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3"/>
  </w:num>
  <w:num w:numId="4">
    <w:abstractNumId w:val="19"/>
  </w:num>
  <w:num w:numId="5">
    <w:abstractNumId w:val="22"/>
  </w:num>
  <w:num w:numId="6">
    <w:abstractNumId w:val="8"/>
  </w:num>
  <w:num w:numId="7">
    <w:abstractNumId w:val="18"/>
  </w:num>
  <w:num w:numId="8">
    <w:abstractNumId w:val="16"/>
  </w:num>
  <w:num w:numId="9">
    <w:abstractNumId w:val="12"/>
  </w:num>
  <w:num w:numId="10">
    <w:abstractNumId w:val="24"/>
  </w:num>
  <w:num w:numId="11">
    <w:abstractNumId w:val="13"/>
  </w:num>
  <w:num w:numId="12">
    <w:abstractNumId w:val="0"/>
  </w:num>
  <w:num w:numId="13">
    <w:abstractNumId w:val="0"/>
    <w:lvlOverride w:ilvl="0">
      <w:startOverride w:val="6"/>
    </w:lvlOverride>
  </w:num>
  <w:num w:numId="14">
    <w:abstractNumId w:val="2"/>
  </w:num>
  <w:num w:numId="15">
    <w:abstractNumId w:val="28"/>
  </w:num>
  <w:num w:numId="16">
    <w:abstractNumId w:val="17"/>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30"/>
  </w:num>
  <w:num w:numId="20">
    <w:abstractNumId w:val="25"/>
  </w:num>
  <w:num w:numId="21">
    <w:abstractNumId w:val="10"/>
  </w:num>
  <w:num w:numId="22">
    <w:abstractNumId w:val="26"/>
  </w:num>
  <w:num w:numId="23">
    <w:abstractNumId w:val="31"/>
  </w:num>
  <w:num w:numId="24">
    <w:abstractNumId w:val="27"/>
  </w:num>
  <w:num w:numId="25">
    <w:abstractNumId w:val="29"/>
  </w:num>
  <w:num w:numId="26">
    <w:abstractNumId w:val="21"/>
  </w:num>
  <w:num w:numId="27">
    <w:abstractNumId w:val="33"/>
  </w:num>
  <w:num w:numId="28">
    <w:abstractNumId w:val="9"/>
  </w:num>
  <w:num w:numId="29">
    <w:abstractNumId w:val="11"/>
  </w:num>
  <w:num w:numId="30">
    <w:abstractNumId w:val="36"/>
  </w:num>
  <w:num w:numId="31">
    <w:abstractNumId w:val="23"/>
  </w:num>
  <w:num w:numId="32">
    <w:abstractNumId w:val="4"/>
  </w:num>
  <w:num w:numId="33">
    <w:abstractNumId w:val="7"/>
  </w:num>
  <w:num w:numId="34">
    <w:abstractNumId w:val="6"/>
  </w:num>
  <w:num w:numId="35">
    <w:abstractNumId w:val="5"/>
    <w:lvlOverride w:ilvl="0">
      <w:startOverride w:val="20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5"/>
  </w:num>
  <w:num w:numId="38">
    <w:abstractNumId w:val="35"/>
  </w:num>
  <w:num w:numId="39">
    <w:abstractNumId w:val="32"/>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sar Maslub">
    <w15:presenceInfo w15:providerId="AD" w15:userId="S-1-5-21-817481412-993182657-3041463273-50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activeWritingStyle w:appName="MSWord" w:lang="pt-BR" w:vendorID="64" w:dllVersion="131078" w:nlCheck="1" w:checkStyle="0"/>
  <w:activeWritingStyle w:appName="MSWord" w:lang="es-CR"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CO" w:vendorID="64" w:dllVersion="131078" w:nlCheck="1" w:checkStyle="1"/>
  <w:activeWritingStyle w:appName="MSWord" w:lang="es-VE" w:vendorID="64" w:dllVersion="131078" w:nlCheck="1" w:checkStyle="1"/>
  <w:activeWritingStyle w:appName="MSWord" w:lang="es-GT" w:vendorID="64" w:dllVersion="131078" w:nlCheck="1" w:checkStyle="1"/>
  <w:activeWritingStyle w:appName="MSWord" w:lang="es-CL" w:vendorID="64" w:dllVersion="131078" w:nlCheck="1" w:checkStyle="1"/>
  <w:activeWritingStyle w:appName="MSWord" w:lang="es-PR" w:vendorID="64" w:dllVersion="131078" w:nlCheck="1" w:checkStyle="1"/>
  <w:activeWritingStyle w:appName="MSWord" w:lang="en-US" w:vendorID="64" w:dllVersion="131078" w:nlCheck="1" w:checkStyle="1"/>
  <w:activeWritingStyle w:appName="MSWord" w:lang="fr-FR" w:vendorID="64" w:dllVersion="131078" w:nlCheck="1" w:checkStyle="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178"/>
    <w:rsid w:val="00000B2B"/>
    <w:rsid w:val="00000EE5"/>
    <w:rsid w:val="0000173B"/>
    <w:rsid w:val="000018E6"/>
    <w:rsid w:val="00001C91"/>
    <w:rsid w:val="000020D6"/>
    <w:rsid w:val="000023E7"/>
    <w:rsid w:val="0000267A"/>
    <w:rsid w:val="00002A04"/>
    <w:rsid w:val="00003EA0"/>
    <w:rsid w:val="00005206"/>
    <w:rsid w:val="00005368"/>
    <w:rsid w:val="00006F67"/>
    <w:rsid w:val="0000778A"/>
    <w:rsid w:val="00007F57"/>
    <w:rsid w:val="000115C5"/>
    <w:rsid w:val="00011995"/>
    <w:rsid w:val="00012252"/>
    <w:rsid w:val="000128D6"/>
    <w:rsid w:val="000143EE"/>
    <w:rsid w:val="00015650"/>
    <w:rsid w:val="000163EC"/>
    <w:rsid w:val="000173CD"/>
    <w:rsid w:val="00022115"/>
    <w:rsid w:val="0002244D"/>
    <w:rsid w:val="00022E90"/>
    <w:rsid w:val="0002352D"/>
    <w:rsid w:val="00024AFD"/>
    <w:rsid w:val="000254C1"/>
    <w:rsid w:val="0002615F"/>
    <w:rsid w:val="000265FA"/>
    <w:rsid w:val="000276E9"/>
    <w:rsid w:val="00027BCC"/>
    <w:rsid w:val="00030311"/>
    <w:rsid w:val="000309F8"/>
    <w:rsid w:val="00030C3B"/>
    <w:rsid w:val="00031021"/>
    <w:rsid w:val="00031EE0"/>
    <w:rsid w:val="000333E2"/>
    <w:rsid w:val="00033B8D"/>
    <w:rsid w:val="00034301"/>
    <w:rsid w:val="00036665"/>
    <w:rsid w:val="00040700"/>
    <w:rsid w:val="00041212"/>
    <w:rsid w:val="0004226D"/>
    <w:rsid w:val="000423CD"/>
    <w:rsid w:val="00043065"/>
    <w:rsid w:val="00044E9F"/>
    <w:rsid w:val="00045BDA"/>
    <w:rsid w:val="00046376"/>
    <w:rsid w:val="0004710F"/>
    <w:rsid w:val="000475A7"/>
    <w:rsid w:val="00047CBA"/>
    <w:rsid w:val="000500BF"/>
    <w:rsid w:val="000507A8"/>
    <w:rsid w:val="00050C22"/>
    <w:rsid w:val="00050CC4"/>
    <w:rsid w:val="00050E6A"/>
    <w:rsid w:val="00051A75"/>
    <w:rsid w:val="0005226F"/>
    <w:rsid w:val="00054145"/>
    <w:rsid w:val="00054D2A"/>
    <w:rsid w:val="0005515F"/>
    <w:rsid w:val="0006126E"/>
    <w:rsid w:val="00061497"/>
    <w:rsid w:val="000618E5"/>
    <w:rsid w:val="00061936"/>
    <w:rsid w:val="00061AB0"/>
    <w:rsid w:val="00061CB1"/>
    <w:rsid w:val="00062259"/>
    <w:rsid w:val="000623AF"/>
    <w:rsid w:val="00062A5F"/>
    <w:rsid w:val="00062EC6"/>
    <w:rsid w:val="0006374E"/>
    <w:rsid w:val="00064B44"/>
    <w:rsid w:val="00066125"/>
    <w:rsid w:val="0006689D"/>
    <w:rsid w:val="0006772E"/>
    <w:rsid w:val="00070283"/>
    <w:rsid w:val="00071106"/>
    <w:rsid w:val="000714BE"/>
    <w:rsid w:val="00071E7A"/>
    <w:rsid w:val="00072394"/>
    <w:rsid w:val="00072855"/>
    <w:rsid w:val="00073BFA"/>
    <w:rsid w:val="00073CE1"/>
    <w:rsid w:val="00075115"/>
    <w:rsid w:val="00075AC8"/>
    <w:rsid w:val="00075D75"/>
    <w:rsid w:val="000768DB"/>
    <w:rsid w:val="000771F5"/>
    <w:rsid w:val="000800D7"/>
    <w:rsid w:val="0008061F"/>
    <w:rsid w:val="00081A5D"/>
    <w:rsid w:val="00081B7A"/>
    <w:rsid w:val="0008236D"/>
    <w:rsid w:val="00082A01"/>
    <w:rsid w:val="00082DB2"/>
    <w:rsid w:val="00082FDD"/>
    <w:rsid w:val="00084A07"/>
    <w:rsid w:val="00084EAB"/>
    <w:rsid w:val="00084F61"/>
    <w:rsid w:val="0008622F"/>
    <w:rsid w:val="00086C55"/>
    <w:rsid w:val="00087470"/>
    <w:rsid w:val="000875BB"/>
    <w:rsid w:val="00087E67"/>
    <w:rsid w:val="00091257"/>
    <w:rsid w:val="000937DB"/>
    <w:rsid w:val="00093F1B"/>
    <w:rsid w:val="00095B51"/>
    <w:rsid w:val="00095B90"/>
    <w:rsid w:val="00095C4D"/>
    <w:rsid w:val="000A1748"/>
    <w:rsid w:val="000A24BC"/>
    <w:rsid w:val="000A310D"/>
    <w:rsid w:val="000A423A"/>
    <w:rsid w:val="000A54B9"/>
    <w:rsid w:val="000A6BEB"/>
    <w:rsid w:val="000B03DD"/>
    <w:rsid w:val="000B0EFB"/>
    <w:rsid w:val="000B11A2"/>
    <w:rsid w:val="000B19B1"/>
    <w:rsid w:val="000B2105"/>
    <w:rsid w:val="000B2D43"/>
    <w:rsid w:val="000B2EFD"/>
    <w:rsid w:val="000B360E"/>
    <w:rsid w:val="000B3D7E"/>
    <w:rsid w:val="000B4256"/>
    <w:rsid w:val="000B4344"/>
    <w:rsid w:val="000B550A"/>
    <w:rsid w:val="000B574F"/>
    <w:rsid w:val="000B5B7C"/>
    <w:rsid w:val="000B5E10"/>
    <w:rsid w:val="000B7F45"/>
    <w:rsid w:val="000C034E"/>
    <w:rsid w:val="000C08A4"/>
    <w:rsid w:val="000C0A61"/>
    <w:rsid w:val="000C3021"/>
    <w:rsid w:val="000C3CB4"/>
    <w:rsid w:val="000C43E3"/>
    <w:rsid w:val="000C6010"/>
    <w:rsid w:val="000C70F7"/>
    <w:rsid w:val="000C750D"/>
    <w:rsid w:val="000C75CA"/>
    <w:rsid w:val="000C7CDD"/>
    <w:rsid w:val="000D0243"/>
    <w:rsid w:val="000D0383"/>
    <w:rsid w:val="000D04AD"/>
    <w:rsid w:val="000D084E"/>
    <w:rsid w:val="000D162D"/>
    <w:rsid w:val="000D19A8"/>
    <w:rsid w:val="000D258E"/>
    <w:rsid w:val="000D29CA"/>
    <w:rsid w:val="000D32D4"/>
    <w:rsid w:val="000D6CE2"/>
    <w:rsid w:val="000D75F9"/>
    <w:rsid w:val="000D7DA6"/>
    <w:rsid w:val="000E0038"/>
    <w:rsid w:val="000E3B6F"/>
    <w:rsid w:val="000E3FB2"/>
    <w:rsid w:val="000E4533"/>
    <w:rsid w:val="000E497D"/>
    <w:rsid w:val="000E5F5B"/>
    <w:rsid w:val="000E68D2"/>
    <w:rsid w:val="000E6DE2"/>
    <w:rsid w:val="000F0860"/>
    <w:rsid w:val="000F0DD6"/>
    <w:rsid w:val="000F0FA6"/>
    <w:rsid w:val="000F1310"/>
    <w:rsid w:val="000F150A"/>
    <w:rsid w:val="000F4829"/>
    <w:rsid w:val="000F53C8"/>
    <w:rsid w:val="000F5F29"/>
    <w:rsid w:val="000F6799"/>
    <w:rsid w:val="000F682F"/>
    <w:rsid w:val="000F7525"/>
    <w:rsid w:val="0010020B"/>
    <w:rsid w:val="00100473"/>
    <w:rsid w:val="00101363"/>
    <w:rsid w:val="00101392"/>
    <w:rsid w:val="00101807"/>
    <w:rsid w:val="00101916"/>
    <w:rsid w:val="00102196"/>
    <w:rsid w:val="0010261D"/>
    <w:rsid w:val="00102653"/>
    <w:rsid w:val="0010324D"/>
    <w:rsid w:val="0010354C"/>
    <w:rsid w:val="00103816"/>
    <w:rsid w:val="00105A5B"/>
    <w:rsid w:val="00107390"/>
    <w:rsid w:val="00110058"/>
    <w:rsid w:val="001102C1"/>
    <w:rsid w:val="00110625"/>
    <w:rsid w:val="001110A8"/>
    <w:rsid w:val="00111572"/>
    <w:rsid w:val="0011200B"/>
    <w:rsid w:val="0011216A"/>
    <w:rsid w:val="0011429B"/>
    <w:rsid w:val="001144F3"/>
    <w:rsid w:val="00120ED8"/>
    <w:rsid w:val="001221C3"/>
    <w:rsid w:val="0012235A"/>
    <w:rsid w:val="00123319"/>
    <w:rsid w:val="0012353A"/>
    <w:rsid w:val="001247E6"/>
    <w:rsid w:val="00124AC9"/>
    <w:rsid w:val="00124D00"/>
    <w:rsid w:val="00124FBC"/>
    <w:rsid w:val="001259CC"/>
    <w:rsid w:val="00125F3D"/>
    <w:rsid w:val="001264C0"/>
    <w:rsid w:val="0012712F"/>
    <w:rsid w:val="001279F2"/>
    <w:rsid w:val="00127DD5"/>
    <w:rsid w:val="0013333C"/>
    <w:rsid w:val="001334E5"/>
    <w:rsid w:val="0013364F"/>
    <w:rsid w:val="001337F4"/>
    <w:rsid w:val="001338CC"/>
    <w:rsid w:val="001338F9"/>
    <w:rsid w:val="0013425F"/>
    <w:rsid w:val="001343B4"/>
    <w:rsid w:val="001345E4"/>
    <w:rsid w:val="00134CB4"/>
    <w:rsid w:val="001365AE"/>
    <w:rsid w:val="00136F14"/>
    <w:rsid w:val="00136F2F"/>
    <w:rsid w:val="001376F8"/>
    <w:rsid w:val="00137E94"/>
    <w:rsid w:val="00141302"/>
    <w:rsid w:val="00141313"/>
    <w:rsid w:val="001418E7"/>
    <w:rsid w:val="00141E11"/>
    <w:rsid w:val="0014244F"/>
    <w:rsid w:val="00142721"/>
    <w:rsid w:val="00142A37"/>
    <w:rsid w:val="00142E1F"/>
    <w:rsid w:val="00142E6E"/>
    <w:rsid w:val="00145CCA"/>
    <w:rsid w:val="001465BD"/>
    <w:rsid w:val="00147710"/>
    <w:rsid w:val="0014778A"/>
    <w:rsid w:val="001502BC"/>
    <w:rsid w:val="00150843"/>
    <w:rsid w:val="00150D5B"/>
    <w:rsid w:val="001529EE"/>
    <w:rsid w:val="00152A43"/>
    <w:rsid w:val="00153958"/>
    <w:rsid w:val="001542FE"/>
    <w:rsid w:val="0015495A"/>
    <w:rsid w:val="0015544A"/>
    <w:rsid w:val="00156FEF"/>
    <w:rsid w:val="00157C05"/>
    <w:rsid w:val="00160053"/>
    <w:rsid w:val="00160F69"/>
    <w:rsid w:val="00161262"/>
    <w:rsid w:val="00163797"/>
    <w:rsid w:val="00163802"/>
    <w:rsid w:val="00164F71"/>
    <w:rsid w:val="0016547E"/>
    <w:rsid w:val="0016585F"/>
    <w:rsid w:val="0017091A"/>
    <w:rsid w:val="00171169"/>
    <w:rsid w:val="001723C0"/>
    <w:rsid w:val="001727F8"/>
    <w:rsid w:val="00172BAE"/>
    <w:rsid w:val="00173754"/>
    <w:rsid w:val="001751C1"/>
    <w:rsid w:val="001760FE"/>
    <w:rsid w:val="00176329"/>
    <w:rsid w:val="00176A9A"/>
    <w:rsid w:val="001772B0"/>
    <w:rsid w:val="001776FF"/>
    <w:rsid w:val="00177C1A"/>
    <w:rsid w:val="00177FA8"/>
    <w:rsid w:val="00180404"/>
    <w:rsid w:val="0018349D"/>
    <w:rsid w:val="0018395C"/>
    <w:rsid w:val="00184422"/>
    <w:rsid w:val="001844ED"/>
    <w:rsid w:val="00185589"/>
    <w:rsid w:val="00185978"/>
    <w:rsid w:val="001868DA"/>
    <w:rsid w:val="00186CD1"/>
    <w:rsid w:val="00187477"/>
    <w:rsid w:val="0019099F"/>
    <w:rsid w:val="00190AB8"/>
    <w:rsid w:val="00191347"/>
    <w:rsid w:val="001914B1"/>
    <w:rsid w:val="00191774"/>
    <w:rsid w:val="00191CA6"/>
    <w:rsid w:val="00192147"/>
    <w:rsid w:val="0019277D"/>
    <w:rsid w:val="00194AA2"/>
    <w:rsid w:val="00194B65"/>
    <w:rsid w:val="0019568D"/>
    <w:rsid w:val="001959C0"/>
    <w:rsid w:val="0019600F"/>
    <w:rsid w:val="0019642A"/>
    <w:rsid w:val="001968FF"/>
    <w:rsid w:val="00196A64"/>
    <w:rsid w:val="00196F50"/>
    <w:rsid w:val="001974A6"/>
    <w:rsid w:val="001A0718"/>
    <w:rsid w:val="001A08F6"/>
    <w:rsid w:val="001A0B7C"/>
    <w:rsid w:val="001A1EDD"/>
    <w:rsid w:val="001A2DDC"/>
    <w:rsid w:val="001A372A"/>
    <w:rsid w:val="001A40BA"/>
    <w:rsid w:val="001A4CB2"/>
    <w:rsid w:val="001A6A1A"/>
    <w:rsid w:val="001A6AC5"/>
    <w:rsid w:val="001A6C90"/>
    <w:rsid w:val="001A7988"/>
    <w:rsid w:val="001B04CE"/>
    <w:rsid w:val="001B0ACA"/>
    <w:rsid w:val="001B1061"/>
    <w:rsid w:val="001B19AB"/>
    <w:rsid w:val="001B2579"/>
    <w:rsid w:val="001B3693"/>
    <w:rsid w:val="001B37B9"/>
    <w:rsid w:val="001B5CA9"/>
    <w:rsid w:val="001B7EDA"/>
    <w:rsid w:val="001C0740"/>
    <w:rsid w:val="001C36AE"/>
    <w:rsid w:val="001C3E97"/>
    <w:rsid w:val="001C63D6"/>
    <w:rsid w:val="001C66F2"/>
    <w:rsid w:val="001C79EF"/>
    <w:rsid w:val="001C7C97"/>
    <w:rsid w:val="001C7D42"/>
    <w:rsid w:val="001C7FDE"/>
    <w:rsid w:val="001D0AA7"/>
    <w:rsid w:val="001D1A32"/>
    <w:rsid w:val="001D34EB"/>
    <w:rsid w:val="001D44CD"/>
    <w:rsid w:val="001D5253"/>
    <w:rsid w:val="001E0D68"/>
    <w:rsid w:val="001E138C"/>
    <w:rsid w:val="001E19D4"/>
    <w:rsid w:val="001E2F22"/>
    <w:rsid w:val="001E4B2B"/>
    <w:rsid w:val="001E6525"/>
    <w:rsid w:val="001E687C"/>
    <w:rsid w:val="001F161F"/>
    <w:rsid w:val="001F209A"/>
    <w:rsid w:val="001F24B2"/>
    <w:rsid w:val="001F2F81"/>
    <w:rsid w:val="001F365A"/>
    <w:rsid w:val="001F43EF"/>
    <w:rsid w:val="001F4457"/>
    <w:rsid w:val="001F5240"/>
    <w:rsid w:val="001F665F"/>
    <w:rsid w:val="001F7FEC"/>
    <w:rsid w:val="002008F4"/>
    <w:rsid w:val="00202460"/>
    <w:rsid w:val="00203B4A"/>
    <w:rsid w:val="00204490"/>
    <w:rsid w:val="00205346"/>
    <w:rsid w:val="002067E7"/>
    <w:rsid w:val="0020689C"/>
    <w:rsid w:val="00206FC4"/>
    <w:rsid w:val="00207F0D"/>
    <w:rsid w:val="00211F9E"/>
    <w:rsid w:val="002121FF"/>
    <w:rsid w:val="00212DCA"/>
    <w:rsid w:val="00215A35"/>
    <w:rsid w:val="00215F9E"/>
    <w:rsid w:val="002169B7"/>
    <w:rsid w:val="00216A86"/>
    <w:rsid w:val="002173B8"/>
    <w:rsid w:val="002176EE"/>
    <w:rsid w:val="00217FEA"/>
    <w:rsid w:val="00220FCE"/>
    <w:rsid w:val="00223291"/>
    <w:rsid w:val="002238C2"/>
    <w:rsid w:val="00223EBE"/>
    <w:rsid w:val="00225046"/>
    <w:rsid w:val="0022581A"/>
    <w:rsid w:val="00226240"/>
    <w:rsid w:val="002263D8"/>
    <w:rsid w:val="00226671"/>
    <w:rsid w:val="002274B6"/>
    <w:rsid w:val="002279F4"/>
    <w:rsid w:val="00230537"/>
    <w:rsid w:val="00230694"/>
    <w:rsid w:val="00230A9D"/>
    <w:rsid w:val="0023132B"/>
    <w:rsid w:val="00231552"/>
    <w:rsid w:val="00231999"/>
    <w:rsid w:val="0023263F"/>
    <w:rsid w:val="002337A8"/>
    <w:rsid w:val="002337F3"/>
    <w:rsid w:val="00233A86"/>
    <w:rsid w:val="00233B0E"/>
    <w:rsid w:val="0023524E"/>
    <w:rsid w:val="00235CD1"/>
    <w:rsid w:val="002360B5"/>
    <w:rsid w:val="002360FE"/>
    <w:rsid w:val="00236507"/>
    <w:rsid w:val="002366E1"/>
    <w:rsid w:val="00241722"/>
    <w:rsid w:val="0024229D"/>
    <w:rsid w:val="00242FA8"/>
    <w:rsid w:val="002432EC"/>
    <w:rsid w:val="002439F6"/>
    <w:rsid w:val="0024479A"/>
    <w:rsid w:val="0024492C"/>
    <w:rsid w:val="00244BC6"/>
    <w:rsid w:val="00245A5F"/>
    <w:rsid w:val="002512BD"/>
    <w:rsid w:val="002519AF"/>
    <w:rsid w:val="0025349C"/>
    <w:rsid w:val="00253E26"/>
    <w:rsid w:val="002543BA"/>
    <w:rsid w:val="0025460F"/>
    <w:rsid w:val="00254F25"/>
    <w:rsid w:val="00256276"/>
    <w:rsid w:val="00257982"/>
    <w:rsid w:val="0025798D"/>
    <w:rsid w:val="00257FFC"/>
    <w:rsid w:val="002605FA"/>
    <w:rsid w:val="0026127A"/>
    <w:rsid w:val="002614C3"/>
    <w:rsid w:val="0026351E"/>
    <w:rsid w:val="00263CAF"/>
    <w:rsid w:val="00264368"/>
    <w:rsid w:val="00264CA0"/>
    <w:rsid w:val="002657E3"/>
    <w:rsid w:val="00266F2C"/>
    <w:rsid w:val="0026762F"/>
    <w:rsid w:val="00267F1B"/>
    <w:rsid w:val="0027035F"/>
    <w:rsid w:val="00270DF2"/>
    <w:rsid w:val="002714C1"/>
    <w:rsid w:val="00271640"/>
    <w:rsid w:val="00273386"/>
    <w:rsid w:val="00273D92"/>
    <w:rsid w:val="00274805"/>
    <w:rsid w:val="00275209"/>
    <w:rsid w:val="0027554E"/>
    <w:rsid w:val="00275BC3"/>
    <w:rsid w:val="00275EA3"/>
    <w:rsid w:val="002821D8"/>
    <w:rsid w:val="002836E2"/>
    <w:rsid w:val="00284769"/>
    <w:rsid w:val="00286EB0"/>
    <w:rsid w:val="00287192"/>
    <w:rsid w:val="002877B8"/>
    <w:rsid w:val="00290594"/>
    <w:rsid w:val="00292004"/>
    <w:rsid w:val="00292FDF"/>
    <w:rsid w:val="002933A8"/>
    <w:rsid w:val="002936FD"/>
    <w:rsid w:val="00295E9C"/>
    <w:rsid w:val="002971E5"/>
    <w:rsid w:val="002A019B"/>
    <w:rsid w:val="002A0E83"/>
    <w:rsid w:val="002A1D35"/>
    <w:rsid w:val="002A2624"/>
    <w:rsid w:val="002A2D5B"/>
    <w:rsid w:val="002A3182"/>
    <w:rsid w:val="002A4A35"/>
    <w:rsid w:val="002A5A29"/>
    <w:rsid w:val="002A5F90"/>
    <w:rsid w:val="002A610C"/>
    <w:rsid w:val="002B034F"/>
    <w:rsid w:val="002B03F5"/>
    <w:rsid w:val="002B0A60"/>
    <w:rsid w:val="002B1DED"/>
    <w:rsid w:val="002B46EF"/>
    <w:rsid w:val="002B60CA"/>
    <w:rsid w:val="002B6E44"/>
    <w:rsid w:val="002B6F1D"/>
    <w:rsid w:val="002B7A54"/>
    <w:rsid w:val="002B7C49"/>
    <w:rsid w:val="002C0117"/>
    <w:rsid w:val="002C0DB3"/>
    <w:rsid w:val="002C1F03"/>
    <w:rsid w:val="002C2F60"/>
    <w:rsid w:val="002C5CE2"/>
    <w:rsid w:val="002D072D"/>
    <w:rsid w:val="002D07B9"/>
    <w:rsid w:val="002D17D1"/>
    <w:rsid w:val="002D18F4"/>
    <w:rsid w:val="002D561E"/>
    <w:rsid w:val="002D6EF9"/>
    <w:rsid w:val="002D72FC"/>
    <w:rsid w:val="002D754D"/>
    <w:rsid w:val="002D7694"/>
    <w:rsid w:val="002D79AD"/>
    <w:rsid w:val="002E3045"/>
    <w:rsid w:val="002E36F8"/>
    <w:rsid w:val="002E48B7"/>
    <w:rsid w:val="002E5139"/>
    <w:rsid w:val="002E5A84"/>
    <w:rsid w:val="002E5A85"/>
    <w:rsid w:val="002E6B6E"/>
    <w:rsid w:val="002E6C3E"/>
    <w:rsid w:val="002E6FCC"/>
    <w:rsid w:val="002E768A"/>
    <w:rsid w:val="002E7DF4"/>
    <w:rsid w:val="002F0E1D"/>
    <w:rsid w:val="002F107D"/>
    <w:rsid w:val="002F1F1B"/>
    <w:rsid w:val="002F2FA0"/>
    <w:rsid w:val="002F2FE6"/>
    <w:rsid w:val="002F3053"/>
    <w:rsid w:val="002F3265"/>
    <w:rsid w:val="002F3DD2"/>
    <w:rsid w:val="002F4CEB"/>
    <w:rsid w:val="002F5750"/>
    <w:rsid w:val="002F6664"/>
    <w:rsid w:val="002F6C73"/>
    <w:rsid w:val="002F6DAF"/>
    <w:rsid w:val="003001AA"/>
    <w:rsid w:val="003013D0"/>
    <w:rsid w:val="00305621"/>
    <w:rsid w:val="00305AE7"/>
    <w:rsid w:val="00306F4D"/>
    <w:rsid w:val="00310772"/>
    <w:rsid w:val="003115E2"/>
    <w:rsid w:val="00311621"/>
    <w:rsid w:val="0031378C"/>
    <w:rsid w:val="00313948"/>
    <w:rsid w:val="00313CC1"/>
    <w:rsid w:val="003152FB"/>
    <w:rsid w:val="00316AC3"/>
    <w:rsid w:val="003177B6"/>
    <w:rsid w:val="003179C6"/>
    <w:rsid w:val="00317D90"/>
    <w:rsid w:val="00317F42"/>
    <w:rsid w:val="00317FBC"/>
    <w:rsid w:val="003204F7"/>
    <w:rsid w:val="0032122B"/>
    <w:rsid w:val="00321E5A"/>
    <w:rsid w:val="00322318"/>
    <w:rsid w:val="0032268D"/>
    <w:rsid w:val="00323DB5"/>
    <w:rsid w:val="0032486B"/>
    <w:rsid w:val="00324B94"/>
    <w:rsid w:val="00324DB1"/>
    <w:rsid w:val="0032530A"/>
    <w:rsid w:val="0032540B"/>
    <w:rsid w:val="003256FD"/>
    <w:rsid w:val="00327C85"/>
    <w:rsid w:val="00330772"/>
    <w:rsid w:val="00330A9B"/>
    <w:rsid w:val="00331927"/>
    <w:rsid w:val="00334D2A"/>
    <w:rsid w:val="00334DDF"/>
    <w:rsid w:val="00335007"/>
    <w:rsid w:val="00335BB0"/>
    <w:rsid w:val="00335DCD"/>
    <w:rsid w:val="00336FDD"/>
    <w:rsid w:val="00337CF8"/>
    <w:rsid w:val="003402D1"/>
    <w:rsid w:val="0034045C"/>
    <w:rsid w:val="00340680"/>
    <w:rsid w:val="00341108"/>
    <w:rsid w:val="0034285E"/>
    <w:rsid w:val="00343B94"/>
    <w:rsid w:val="00344641"/>
    <w:rsid w:val="00344A22"/>
    <w:rsid w:val="00344FAE"/>
    <w:rsid w:val="003454E5"/>
    <w:rsid w:val="003459F5"/>
    <w:rsid w:val="00346CC3"/>
    <w:rsid w:val="003471A5"/>
    <w:rsid w:val="003471EE"/>
    <w:rsid w:val="0034751D"/>
    <w:rsid w:val="00350150"/>
    <w:rsid w:val="00352B7E"/>
    <w:rsid w:val="00353516"/>
    <w:rsid w:val="00355F56"/>
    <w:rsid w:val="00356DA0"/>
    <w:rsid w:val="00357135"/>
    <w:rsid w:val="00357583"/>
    <w:rsid w:val="0035767B"/>
    <w:rsid w:val="003579A2"/>
    <w:rsid w:val="00357AAD"/>
    <w:rsid w:val="003606A1"/>
    <w:rsid w:val="0036176D"/>
    <w:rsid w:val="00361AA0"/>
    <w:rsid w:val="00363335"/>
    <w:rsid w:val="00364732"/>
    <w:rsid w:val="00364A8E"/>
    <w:rsid w:val="00365DE4"/>
    <w:rsid w:val="0036628C"/>
    <w:rsid w:val="003673E2"/>
    <w:rsid w:val="0036761C"/>
    <w:rsid w:val="00367B40"/>
    <w:rsid w:val="00367DD9"/>
    <w:rsid w:val="003701B2"/>
    <w:rsid w:val="00371D2C"/>
    <w:rsid w:val="00372635"/>
    <w:rsid w:val="0037314C"/>
    <w:rsid w:val="003736FF"/>
    <w:rsid w:val="003740D6"/>
    <w:rsid w:val="003742F3"/>
    <w:rsid w:val="0037492E"/>
    <w:rsid w:val="003749D0"/>
    <w:rsid w:val="0037547F"/>
    <w:rsid w:val="00376CA1"/>
    <w:rsid w:val="00380FE9"/>
    <w:rsid w:val="003814E2"/>
    <w:rsid w:val="00382A99"/>
    <w:rsid w:val="00384DF8"/>
    <w:rsid w:val="00384F1F"/>
    <w:rsid w:val="0038525B"/>
    <w:rsid w:val="00385D5A"/>
    <w:rsid w:val="00390625"/>
    <w:rsid w:val="003912B5"/>
    <w:rsid w:val="00391AA7"/>
    <w:rsid w:val="0039444E"/>
    <w:rsid w:val="00394AA2"/>
    <w:rsid w:val="00394D79"/>
    <w:rsid w:val="0039504D"/>
    <w:rsid w:val="003952B6"/>
    <w:rsid w:val="00395307"/>
    <w:rsid w:val="00396F8C"/>
    <w:rsid w:val="00397FFB"/>
    <w:rsid w:val="003A34D2"/>
    <w:rsid w:val="003A436F"/>
    <w:rsid w:val="003A6C18"/>
    <w:rsid w:val="003A76C0"/>
    <w:rsid w:val="003A76ED"/>
    <w:rsid w:val="003A7D20"/>
    <w:rsid w:val="003B0285"/>
    <w:rsid w:val="003B1F83"/>
    <w:rsid w:val="003B266D"/>
    <w:rsid w:val="003B2CD7"/>
    <w:rsid w:val="003B2D4F"/>
    <w:rsid w:val="003B3BC3"/>
    <w:rsid w:val="003B5EEE"/>
    <w:rsid w:val="003B61E8"/>
    <w:rsid w:val="003B668F"/>
    <w:rsid w:val="003B6BA9"/>
    <w:rsid w:val="003B7392"/>
    <w:rsid w:val="003B7D4B"/>
    <w:rsid w:val="003B7D95"/>
    <w:rsid w:val="003C1770"/>
    <w:rsid w:val="003C3373"/>
    <w:rsid w:val="003C42A2"/>
    <w:rsid w:val="003C44F3"/>
    <w:rsid w:val="003C4FFD"/>
    <w:rsid w:val="003C5FC5"/>
    <w:rsid w:val="003C63FC"/>
    <w:rsid w:val="003C7B13"/>
    <w:rsid w:val="003D07CE"/>
    <w:rsid w:val="003D0B63"/>
    <w:rsid w:val="003D1348"/>
    <w:rsid w:val="003D13D0"/>
    <w:rsid w:val="003D1B22"/>
    <w:rsid w:val="003D403D"/>
    <w:rsid w:val="003D50F1"/>
    <w:rsid w:val="003D5163"/>
    <w:rsid w:val="003D5B35"/>
    <w:rsid w:val="003D619D"/>
    <w:rsid w:val="003D622F"/>
    <w:rsid w:val="003D738C"/>
    <w:rsid w:val="003D758A"/>
    <w:rsid w:val="003D7C99"/>
    <w:rsid w:val="003E0D3D"/>
    <w:rsid w:val="003E190F"/>
    <w:rsid w:val="003E37F9"/>
    <w:rsid w:val="003E4661"/>
    <w:rsid w:val="003E4E45"/>
    <w:rsid w:val="003E50D5"/>
    <w:rsid w:val="003E52B4"/>
    <w:rsid w:val="003E5554"/>
    <w:rsid w:val="003E564C"/>
    <w:rsid w:val="003E66D0"/>
    <w:rsid w:val="003E66FC"/>
    <w:rsid w:val="003E6F95"/>
    <w:rsid w:val="003F070E"/>
    <w:rsid w:val="003F1459"/>
    <w:rsid w:val="003F2B62"/>
    <w:rsid w:val="003F488F"/>
    <w:rsid w:val="003F4894"/>
    <w:rsid w:val="003F550B"/>
    <w:rsid w:val="003F5D57"/>
    <w:rsid w:val="003F642B"/>
    <w:rsid w:val="003F67C5"/>
    <w:rsid w:val="003F6C14"/>
    <w:rsid w:val="004008FD"/>
    <w:rsid w:val="004013EF"/>
    <w:rsid w:val="0040182E"/>
    <w:rsid w:val="0040395F"/>
    <w:rsid w:val="00403AF1"/>
    <w:rsid w:val="00404E09"/>
    <w:rsid w:val="00404E5B"/>
    <w:rsid w:val="00404F4B"/>
    <w:rsid w:val="00404F99"/>
    <w:rsid w:val="00405DB6"/>
    <w:rsid w:val="0040650D"/>
    <w:rsid w:val="004066A4"/>
    <w:rsid w:val="004104B2"/>
    <w:rsid w:val="00411D82"/>
    <w:rsid w:val="00412057"/>
    <w:rsid w:val="00414B48"/>
    <w:rsid w:val="00414F50"/>
    <w:rsid w:val="00416188"/>
    <w:rsid w:val="004164E2"/>
    <w:rsid w:val="00416DF9"/>
    <w:rsid w:val="004203EA"/>
    <w:rsid w:val="004207AB"/>
    <w:rsid w:val="0042224A"/>
    <w:rsid w:val="00422365"/>
    <w:rsid w:val="004238BD"/>
    <w:rsid w:val="00423C24"/>
    <w:rsid w:val="00423CF8"/>
    <w:rsid w:val="00423D76"/>
    <w:rsid w:val="004245BB"/>
    <w:rsid w:val="00426533"/>
    <w:rsid w:val="0042772E"/>
    <w:rsid w:val="00427854"/>
    <w:rsid w:val="004301ED"/>
    <w:rsid w:val="0043077C"/>
    <w:rsid w:val="00430CBA"/>
    <w:rsid w:val="004316E4"/>
    <w:rsid w:val="00431C19"/>
    <w:rsid w:val="0043229A"/>
    <w:rsid w:val="004339AD"/>
    <w:rsid w:val="004340F9"/>
    <w:rsid w:val="00434250"/>
    <w:rsid w:val="0043472C"/>
    <w:rsid w:val="00434FB2"/>
    <w:rsid w:val="00435884"/>
    <w:rsid w:val="00435CF0"/>
    <w:rsid w:val="004365FB"/>
    <w:rsid w:val="0043694D"/>
    <w:rsid w:val="0044070F"/>
    <w:rsid w:val="004419D4"/>
    <w:rsid w:val="00442010"/>
    <w:rsid w:val="00444527"/>
    <w:rsid w:val="00445380"/>
    <w:rsid w:val="00450079"/>
    <w:rsid w:val="0045092C"/>
    <w:rsid w:val="00450C72"/>
    <w:rsid w:val="00451815"/>
    <w:rsid w:val="004525A6"/>
    <w:rsid w:val="004525F7"/>
    <w:rsid w:val="0045458B"/>
    <w:rsid w:val="00455123"/>
    <w:rsid w:val="00456188"/>
    <w:rsid w:val="00456DCA"/>
    <w:rsid w:val="00457176"/>
    <w:rsid w:val="00460C39"/>
    <w:rsid w:val="00460E0C"/>
    <w:rsid w:val="00463310"/>
    <w:rsid w:val="004635B9"/>
    <w:rsid w:val="004638BD"/>
    <w:rsid w:val="004638C7"/>
    <w:rsid w:val="00463C8A"/>
    <w:rsid w:val="00463EFD"/>
    <w:rsid w:val="00464722"/>
    <w:rsid w:val="00464967"/>
    <w:rsid w:val="00464995"/>
    <w:rsid w:val="0046648B"/>
    <w:rsid w:val="00467F12"/>
    <w:rsid w:val="0047193C"/>
    <w:rsid w:val="0047229C"/>
    <w:rsid w:val="0047428D"/>
    <w:rsid w:val="004743B4"/>
    <w:rsid w:val="00476D43"/>
    <w:rsid w:val="00480351"/>
    <w:rsid w:val="00480A10"/>
    <w:rsid w:val="00481A3C"/>
    <w:rsid w:val="00481B99"/>
    <w:rsid w:val="00481DCA"/>
    <w:rsid w:val="004842EC"/>
    <w:rsid w:val="00484681"/>
    <w:rsid w:val="00486810"/>
    <w:rsid w:val="00486B20"/>
    <w:rsid w:val="00490B31"/>
    <w:rsid w:val="00491428"/>
    <w:rsid w:val="004914C6"/>
    <w:rsid w:val="0049215C"/>
    <w:rsid w:val="00492C76"/>
    <w:rsid w:val="00492FBF"/>
    <w:rsid w:val="00494138"/>
    <w:rsid w:val="0049438A"/>
    <w:rsid w:val="00497389"/>
    <w:rsid w:val="00497976"/>
    <w:rsid w:val="004A0EFD"/>
    <w:rsid w:val="004A14E8"/>
    <w:rsid w:val="004A1D52"/>
    <w:rsid w:val="004A2020"/>
    <w:rsid w:val="004A2ADF"/>
    <w:rsid w:val="004A457B"/>
    <w:rsid w:val="004A49CA"/>
    <w:rsid w:val="004A593C"/>
    <w:rsid w:val="004A5D6B"/>
    <w:rsid w:val="004A6D26"/>
    <w:rsid w:val="004A70D8"/>
    <w:rsid w:val="004A7B29"/>
    <w:rsid w:val="004B0025"/>
    <w:rsid w:val="004B0C21"/>
    <w:rsid w:val="004B0FDC"/>
    <w:rsid w:val="004B13AF"/>
    <w:rsid w:val="004B1848"/>
    <w:rsid w:val="004B214A"/>
    <w:rsid w:val="004B32E2"/>
    <w:rsid w:val="004B653C"/>
    <w:rsid w:val="004B7F17"/>
    <w:rsid w:val="004C0A04"/>
    <w:rsid w:val="004C2E0A"/>
    <w:rsid w:val="004C345C"/>
    <w:rsid w:val="004C4819"/>
    <w:rsid w:val="004C4DA1"/>
    <w:rsid w:val="004C6D7E"/>
    <w:rsid w:val="004C6FF7"/>
    <w:rsid w:val="004D02A9"/>
    <w:rsid w:val="004D0382"/>
    <w:rsid w:val="004D0FEF"/>
    <w:rsid w:val="004D12B5"/>
    <w:rsid w:val="004D1626"/>
    <w:rsid w:val="004D2E53"/>
    <w:rsid w:val="004D2E98"/>
    <w:rsid w:val="004D38A3"/>
    <w:rsid w:val="004D3C3D"/>
    <w:rsid w:val="004D4635"/>
    <w:rsid w:val="004D48C5"/>
    <w:rsid w:val="004D4F62"/>
    <w:rsid w:val="004D5050"/>
    <w:rsid w:val="004D5420"/>
    <w:rsid w:val="004D5C1E"/>
    <w:rsid w:val="004D6C62"/>
    <w:rsid w:val="004D6FB4"/>
    <w:rsid w:val="004D757F"/>
    <w:rsid w:val="004D7923"/>
    <w:rsid w:val="004D7B36"/>
    <w:rsid w:val="004D7EDC"/>
    <w:rsid w:val="004E00BC"/>
    <w:rsid w:val="004E0398"/>
    <w:rsid w:val="004E0599"/>
    <w:rsid w:val="004E0C48"/>
    <w:rsid w:val="004E292E"/>
    <w:rsid w:val="004E2FD2"/>
    <w:rsid w:val="004E3ED8"/>
    <w:rsid w:val="004E42FE"/>
    <w:rsid w:val="004E4845"/>
    <w:rsid w:val="004E5226"/>
    <w:rsid w:val="004E52BF"/>
    <w:rsid w:val="004E6789"/>
    <w:rsid w:val="004E6B47"/>
    <w:rsid w:val="004F0C7B"/>
    <w:rsid w:val="004F1ED8"/>
    <w:rsid w:val="004F2A8E"/>
    <w:rsid w:val="004F48CE"/>
    <w:rsid w:val="004F5B91"/>
    <w:rsid w:val="004F5D9D"/>
    <w:rsid w:val="004F5EF5"/>
    <w:rsid w:val="004F694C"/>
    <w:rsid w:val="005007F4"/>
    <w:rsid w:val="0050176A"/>
    <w:rsid w:val="0050190B"/>
    <w:rsid w:val="00501AE5"/>
    <w:rsid w:val="00501E1B"/>
    <w:rsid w:val="00502001"/>
    <w:rsid w:val="00503153"/>
    <w:rsid w:val="00503DEB"/>
    <w:rsid w:val="00504326"/>
    <w:rsid w:val="005054D5"/>
    <w:rsid w:val="00506C3E"/>
    <w:rsid w:val="005070BD"/>
    <w:rsid w:val="005101FA"/>
    <w:rsid w:val="00510ED4"/>
    <w:rsid w:val="00511F39"/>
    <w:rsid w:val="0051256E"/>
    <w:rsid w:val="0051352C"/>
    <w:rsid w:val="0051365A"/>
    <w:rsid w:val="00513B45"/>
    <w:rsid w:val="0051408D"/>
    <w:rsid w:val="00515F07"/>
    <w:rsid w:val="0051639E"/>
    <w:rsid w:val="00516EB1"/>
    <w:rsid w:val="00517349"/>
    <w:rsid w:val="00517A9A"/>
    <w:rsid w:val="005202CF"/>
    <w:rsid w:val="00520345"/>
    <w:rsid w:val="00520F86"/>
    <w:rsid w:val="0052100E"/>
    <w:rsid w:val="005220DA"/>
    <w:rsid w:val="00524142"/>
    <w:rsid w:val="00524804"/>
    <w:rsid w:val="00524E8C"/>
    <w:rsid w:val="00525EBF"/>
    <w:rsid w:val="00525EC4"/>
    <w:rsid w:val="00526930"/>
    <w:rsid w:val="00526AAB"/>
    <w:rsid w:val="0053110F"/>
    <w:rsid w:val="00531C07"/>
    <w:rsid w:val="005324E4"/>
    <w:rsid w:val="00532973"/>
    <w:rsid w:val="00534195"/>
    <w:rsid w:val="005358ED"/>
    <w:rsid w:val="005365CA"/>
    <w:rsid w:val="005406F6"/>
    <w:rsid w:val="00541C84"/>
    <w:rsid w:val="0054296C"/>
    <w:rsid w:val="0054411E"/>
    <w:rsid w:val="00544C48"/>
    <w:rsid w:val="00544F6D"/>
    <w:rsid w:val="005454E8"/>
    <w:rsid w:val="00545E17"/>
    <w:rsid w:val="0054631A"/>
    <w:rsid w:val="00550EE5"/>
    <w:rsid w:val="00551D1E"/>
    <w:rsid w:val="00551DCC"/>
    <w:rsid w:val="00552A48"/>
    <w:rsid w:val="005530D1"/>
    <w:rsid w:val="005538BB"/>
    <w:rsid w:val="00553C3F"/>
    <w:rsid w:val="005550E0"/>
    <w:rsid w:val="005561CC"/>
    <w:rsid w:val="005562E9"/>
    <w:rsid w:val="005565AB"/>
    <w:rsid w:val="00557676"/>
    <w:rsid w:val="005614EA"/>
    <w:rsid w:val="005620D9"/>
    <w:rsid w:val="0056253A"/>
    <w:rsid w:val="00562C3F"/>
    <w:rsid w:val="00562D02"/>
    <w:rsid w:val="00563397"/>
    <w:rsid w:val="00563483"/>
    <w:rsid w:val="00564B18"/>
    <w:rsid w:val="00564EA0"/>
    <w:rsid w:val="00565180"/>
    <w:rsid w:val="005659EF"/>
    <w:rsid w:val="0056676F"/>
    <w:rsid w:val="00566E2D"/>
    <w:rsid w:val="00566FC9"/>
    <w:rsid w:val="00567D08"/>
    <w:rsid w:val="00570265"/>
    <w:rsid w:val="00571522"/>
    <w:rsid w:val="00571835"/>
    <w:rsid w:val="005720DC"/>
    <w:rsid w:val="005729CD"/>
    <w:rsid w:val="00573644"/>
    <w:rsid w:val="005753B9"/>
    <w:rsid w:val="00575719"/>
    <w:rsid w:val="0057610B"/>
    <w:rsid w:val="005764CE"/>
    <w:rsid w:val="00581687"/>
    <w:rsid w:val="0058173E"/>
    <w:rsid w:val="00581796"/>
    <w:rsid w:val="0058191C"/>
    <w:rsid w:val="00581D9F"/>
    <w:rsid w:val="00582621"/>
    <w:rsid w:val="00582A91"/>
    <w:rsid w:val="005838B2"/>
    <w:rsid w:val="00583C8C"/>
    <w:rsid w:val="0058404F"/>
    <w:rsid w:val="00586423"/>
    <w:rsid w:val="0058643B"/>
    <w:rsid w:val="00587ED3"/>
    <w:rsid w:val="00590221"/>
    <w:rsid w:val="0059076F"/>
    <w:rsid w:val="005924DE"/>
    <w:rsid w:val="005938C4"/>
    <w:rsid w:val="00593BB9"/>
    <w:rsid w:val="00595AF3"/>
    <w:rsid w:val="00595B12"/>
    <w:rsid w:val="00596145"/>
    <w:rsid w:val="00596775"/>
    <w:rsid w:val="00596873"/>
    <w:rsid w:val="00596929"/>
    <w:rsid w:val="005970A3"/>
    <w:rsid w:val="00597455"/>
    <w:rsid w:val="005A04D1"/>
    <w:rsid w:val="005A066E"/>
    <w:rsid w:val="005A0A71"/>
    <w:rsid w:val="005A0D21"/>
    <w:rsid w:val="005A108A"/>
    <w:rsid w:val="005A30E1"/>
    <w:rsid w:val="005A60B6"/>
    <w:rsid w:val="005A63D5"/>
    <w:rsid w:val="005A6801"/>
    <w:rsid w:val="005A76A7"/>
    <w:rsid w:val="005B0401"/>
    <w:rsid w:val="005B0442"/>
    <w:rsid w:val="005B1542"/>
    <w:rsid w:val="005B1F85"/>
    <w:rsid w:val="005B2341"/>
    <w:rsid w:val="005B3096"/>
    <w:rsid w:val="005B30E8"/>
    <w:rsid w:val="005B3C96"/>
    <w:rsid w:val="005B3E7B"/>
    <w:rsid w:val="005B40CC"/>
    <w:rsid w:val="005B4360"/>
    <w:rsid w:val="005B4597"/>
    <w:rsid w:val="005B4789"/>
    <w:rsid w:val="005B4BC8"/>
    <w:rsid w:val="005B4C88"/>
    <w:rsid w:val="005B5024"/>
    <w:rsid w:val="005B50D5"/>
    <w:rsid w:val="005B6024"/>
    <w:rsid w:val="005B6B19"/>
    <w:rsid w:val="005B712C"/>
    <w:rsid w:val="005C020D"/>
    <w:rsid w:val="005C1802"/>
    <w:rsid w:val="005C1813"/>
    <w:rsid w:val="005C1E1D"/>
    <w:rsid w:val="005C1F02"/>
    <w:rsid w:val="005C24F7"/>
    <w:rsid w:val="005C2867"/>
    <w:rsid w:val="005C2B60"/>
    <w:rsid w:val="005C3B4B"/>
    <w:rsid w:val="005C3E04"/>
    <w:rsid w:val="005C3E2D"/>
    <w:rsid w:val="005C40FD"/>
    <w:rsid w:val="005C4389"/>
    <w:rsid w:val="005C5178"/>
    <w:rsid w:val="005C531C"/>
    <w:rsid w:val="005C5818"/>
    <w:rsid w:val="005C5D09"/>
    <w:rsid w:val="005C653A"/>
    <w:rsid w:val="005C684B"/>
    <w:rsid w:val="005C7B58"/>
    <w:rsid w:val="005D06A4"/>
    <w:rsid w:val="005D106A"/>
    <w:rsid w:val="005D2833"/>
    <w:rsid w:val="005D3D30"/>
    <w:rsid w:val="005D3DD6"/>
    <w:rsid w:val="005D58AC"/>
    <w:rsid w:val="005D5929"/>
    <w:rsid w:val="005D7E25"/>
    <w:rsid w:val="005E12C4"/>
    <w:rsid w:val="005E290D"/>
    <w:rsid w:val="005E495B"/>
    <w:rsid w:val="005E54C0"/>
    <w:rsid w:val="005E5E39"/>
    <w:rsid w:val="005E5E80"/>
    <w:rsid w:val="005E639B"/>
    <w:rsid w:val="005E737B"/>
    <w:rsid w:val="005E7EF6"/>
    <w:rsid w:val="005F0DFF"/>
    <w:rsid w:val="005F0E91"/>
    <w:rsid w:val="005F1162"/>
    <w:rsid w:val="005F15F1"/>
    <w:rsid w:val="005F1FD0"/>
    <w:rsid w:val="005F1FDE"/>
    <w:rsid w:val="005F337B"/>
    <w:rsid w:val="005F3707"/>
    <w:rsid w:val="005F37F2"/>
    <w:rsid w:val="005F43CB"/>
    <w:rsid w:val="005F57B0"/>
    <w:rsid w:val="005F5CD4"/>
    <w:rsid w:val="005F6648"/>
    <w:rsid w:val="005F6D41"/>
    <w:rsid w:val="005F724B"/>
    <w:rsid w:val="005F7ABB"/>
    <w:rsid w:val="0060018F"/>
    <w:rsid w:val="00600881"/>
    <w:rsid w:val="00601657"/>
    <w:rsid w:val="006018F1"/>
    <w:rsid w:val="00601D9E"/>
    <w:rsid w:val="0060330C"/>
    <w:rsid w:val="00603D8C"/>
    <w:rsid w:val="00603EDB"/>
    <w:rsid w:val="00604570"/>
    <w:rsid w:val="00605631"/>
    <w:rsid w:val="00606A36"/>
    <w:rsid w:val="00606BD6"/>
    <w:rsid w:val="00607348"/>
    <w:rsid w:val="00607448"/>
    <w:rsid w:val="00607E42"/>
    <w:rsid w:val="00611747"/>
    <w:rsid w:val="006118E8"/>
    <w:rsid w:val="00611F53"/>
    <w:rsid w:val="00612F3C"/>
    <w:rsid w:val="0061366A"/>
    <w:rsid w:val="00613D3D"/>
    <w:rsid w:val="00613D5B"/>
    <w:rsid w:val="006142A2"/>
    <w:rsid w:val="00614897"/>
    <w:rsid w:val="00614A0B"/>
    <w:rsid w:val="00614A10"/>
    <w:rsid w:val="00614B5B"/>
    <w:rsid w:val="00614E93"/>
    <w:rsid w:val="00615855"/>
    <w:rsid w:val="006170CC"/>
    <w:rsid w:val="006173A9"/>
    <w:rsid w:val="00617CC1"/>
    <w:rsid w:val="00617F46"/>
    <w:rsid w:val="006214AF"/>
    <w:rsid w:val="00621D32"/>
    <w:rsid w:val="006222D7"/>
    <w:rsid w:val="006225EB"/>
    <w:rsid w:val="00622A1A"/>
    <w:rsid w:val="00623948"/>
    <w:rsid w:val="00624211"/>
    <w:rsid w:val="006242BB"/>
    <w:rsid w:val="00624710"/>
    <w:rsid w:val="00625F42"/>
    <w:rsid w:val="006264E1"/>
    <w:rsid w:val="00626677"/>
    <w:rsid w:val="006268D6"/>
    <w:rsid w:val="006278F4"/>
    <w:rsid w:val="006305E8"/>
    <w:rsid w:val="0063159A"/>
    <w:rsid w:val="00633B98"/>
    <w:rsid w:val="00636A41"/>
    <w:rsid w:val="00640CE0"/>
    <w:rsid w:val="0064167A"/>
    <w:rsid w:val="0064216D"/>
    <w:rsid w:val="006431B8"/>
    <w:rsid w:val="006434A6"/>
    <w:rsid w:val="00643A34"/>
    <w:rsid w:val="00643B8F"/>
    <w:rsid w:val="00645BA2"/>
    <w:rsid w:val="00645D26"/>
    <w:rsid w:val="006463F3"/>
    <w:rsid w:val="0064732C"/>
    <w:rsid w:val="006511F2"/>
    <w:rsid w:val="006511F6"/>
    <w:rsid w:val="00651870"/>
    <w:rsid w:val="006526D3"/>
    <w:rsid w:val="00652979"/>
    <w:rsid w:val="00654170"/>
    <w:rsid w:val="006547C6"/>
    <w:rsid w:val="006548BB"/>
    <w:rsid w:val="00654B2B"/>
    <w:rsid w:val="00654E6C"/>
    <w:rsid w:val="00655163"/>
    <w:rsid w:val="00656627"/>
    <w:rsid w:val="00657212"/>
    <w:rsid w:val="00657370"/>
    <w:rsid w:val="00657EA5"/>
    <w:rsid w:val="006605E7"/>
    <w:rsid w:val="00660F6A"/>
    <w:rsid w:val="00661079"/>
    <w:rsid w:val="00661B83"/>
    <w:rsid w:val="00661D24"/>
    <w:rsid w:val="006633B2"/>
    <w:rsid w:val="006635DE"/>
    <w:rsid w:val="006636EF"/>
    <w:rsid w:val="006646F4"/>
    <w:rsid w:val="00664D59"/>
    <w:rsid w:val="00665F67"/>
    <w:rsid w:val="00666D9C"/>
    <w:rsid w:val="00667138"/>
    <w:rsid w:val="0066759C"/>
    <w:rsid w:val="00667683"/>
    <w:rsid w:val="006713CE"/>
    <w:rsid w:val="00672784"/>
    <w:rsid w:val="0067396F"/>
    <w:rsid w:val="00674AF6"/>
    <w:rsid w:val="006767A1"/>
    <w:rsid w:val="00676F44"/>
    <w:rsid w:val="006771A1"/>
    <w:rsid w:val="00677480"/>
    <w:rsid w:val="0067767C"/>
    <w:rsid w:val="006804CD"/>
    <w:rsid w:val="00680901"/>
    <w:rsid w:val="0068137F"/>
    <w:rsid w:val="0068215D"/>
    <w:rsid w:val="00682ECE"/>
    <w:rsid w:val="0068448E"/>
    <w:rsid w:val="00685719"/>
    <w:rsid w:val="006860B1"/>
    <w:rsid w:val="0068701A"/>
    <w:rsid w:val="006922EE"/>
    <w:rsid w:val="0069335E"/>
    <w:rsid w:val="0069463A"/>
    <w:rsid w:val="0069469D"/>
    <w:rsid w:val="0069514F"/>
    <w:rsid w:val="00695D14"/>
    <w:rsid w:val="006968B1"/>
    <w:rsid w:val="006973C6"/>
    <w:rsid w:val="00697786"/>
    <w:rsid w:val="006A1A38"/>
    <w:rsid w:val="006A3762"/>
    <w:rsid w:val="006A388F"/>
    <w:rsid w:val="006A400D"/>
    <w:rsid w:val="006A4C8E"/>
    <w:rsid w:val="006A4F60"/>
    <w:rsid w:val="006A57D6"/>
    <w:rsid w:val="006A6D93"/>
    <w:rsid w:val="006A6DED"/>
    <w:rsid w:val="006A6F78"/>
    <w:rsid w:val="006A76E2"/>
    <w:rsid w:val="006A774A"/>
    <w:rsid w:val="006B43BE"/>
    <w:rsid w:val="006B5B18"/>
    <w:rsid w:val="006B6299"/>
    <w:rsid w:val="006B68E9"/>
    <w:rsid w:val="006B7138"/>
    <w:rsid w:val="006C05B8"/>
    <w:rsid w:val="006C0D79"/>
    <w:rsid w:val="006C0F75"/>
    <w:rsid w:val="006C1196"/>
    <w:rsid w:val="006C13A2"/>
    <w:rsid w:val="006C3195"/>
    <w:rsid w:val="006C3DE2"/>
    <w:rsid w:val="006C4E63"/>
    <w:rsid w:val="006C5CD1"/>
    <w:rsid w:val="006C5E79"/>
    <w:rsid w:val="006C626E"/>
    <w:rsid w:val="006C6A55"/>
    <w:rsid w:val="006C71FC"/>
    <w:rsid w:val="006C728F"/>
    <w:rsid w:val="006D2C91"/>
    <w:rsid w:val="006D487E"/>
    <w:rsid w:val="006D5AB8"/>
    <w:rsid w:val="006D5E52"/>
    <w:rsid w:val="006D5E9C"/>
    <w:rsid w:val="006D6A0D"/>
    <w:rsid w:val="006D6A61"/>
    <w:rsid w:val="006D7B22"/>
    <w:rsid w:val="006D7FAE"/>
    <w:rsid w:val="006E00F5"/>
    <w:rsid w:val="006E21F8"/>
    <w:rsid w:val="006E2D1A"/>
    <w:rsid w:val="006E324D"/>
    <w:rsid w:val="006E54C6"/>
    <w:rsid w:val="006E59CD"/>
    <w:rsid w:val="006E5AC2"/>
    <w:rsid w:val="006E60D6"/>
    <w:rsid w:val="006E6CAA"/>
    <w:rsid w:val="006E76EB"/>
    <w:rsid w:val="006F1EA1"/>
    <w:rsid w:val="006F3125"/>
    <w:rsid w:val="006F3A1D"/>
    <w:rsid w:val="006F3A3E"/>
    <w:rsid w:val="006F3C80"/>
    <w:rsid w:val="006F3C92"/>
    <w:rsid w:val="006F4711"/>
    <w:rsid w:val="006F4B6F"/>
    <w:rsid w:val="006F565E"/>
    <w:rsid w:val="006F744C"/>
    <w:rsid w:val="006F78DE"/>
    <w:rsid w:val="00700025"/>
    <w:rsid w:val="00700761"/>
    <w:rsid w:val="00700F97"/>
    <w:rsid w:val="00702A37"/>
    <w:rsid w:val="007033FE"/>
    <w:rsid w:val="007039CC"/>
    <w:rsid w:val="00703C50"/>
    <w:rsid w:val="0070406F"/>
    <w:rsid w:val="0070411E"/>
    <w:rsid w:val="00704A4C"/>
    <w:rsid w:val="00705A57"/>
    <w:rsid w:val="00706336"/>
    <w:rsid w:val="00706F7B"/>
    <w:rsid w:val="00710257"/>
    <w:rsid w:val="0071103E"/>
    <w:rsid w:val="00711501"/>
    <w:rsid w:val="007123ED"/>
    <w:rsid w:val="00713865"/>
    <w:rsid w:val="0071389F"/>
    <w:rsid w:val="0071646D"/>
    <w:rsid w:val="0071656F"/>
    <w:rsid w:val="00716582"/>
    <w:rsid w:val="00716687"/>
    <w:rsid w:val="007170A7"/>
    <w:rsid w:val="00717256"/>
    <w:rsid w:val="007173F1"/>
    <w:rsid w:val="00717501"/>
    <w:rsid w:val="00717595"/>
    <w:rsid w:val="00720EB1"/>
    <w:rsid w:val="00721D1E"/>
    <w:rsid w:val="00721E7E"/>
    <w:rsid w:val="00722771"/>
    <w:rsid w:val="00723412"/>
    <w:rsid w:val="00723E45"/>
    <w:rsid w:val="0072436F"/>
    <w:rsid w:val="00724650"/>
    <w:rsid w:val="007246D1"/>
    <w:rsid w:val="0072478D"/>
    <w:rsid w:val="0072674D"/>
    <w:rsid w:val="00726ED0"/>
    <w:rsid w:val="00727592"/>
    <w:rsid w:val="00730B9A"/>
    <w:rsid w:val="007310ED"/>
    <w:rsid w:val="00731DF4"/>
    <w:rsid w:val="00732944"/>
    <w:rsid w:val="007332F8"/>
    <w:rsid w:val="007348B1"/>
    <w:rsid w:val="00734D38"/>
    <w:rsid w:val="00735A1E"/>
    <w:rsid w:val="0073688B"/>
    <w:rsid w:val="00741C12"/>
    <w:rsid w:val="00741C45"/>
    <w:rsid w:val="007452CC"/>
    <w:rsid w:val="007464BD"/>
    <w:rsid w:val="00750A49"/>
    <w:rsid w:val="00750CD0"/>
    <w:rsid w:val="00751216"/>
    <w:rsid w:val="00752D69"/>
    <w:rsid w:val="00752DD6"/>
    <w:rsid w:val="00752E4B"/>
    <w:rsid w:val="00753014"/>
    <w:rsid w:val="00753039"/>
    <w:rsid w:val="00753B43"/>
    <w:rsid w:val="00754EB7"/>
    <w:rsid w:val="0075639E"/>
    <w:rsid w:val="00756EA1"/>
    <w:rsid w:val="00757011"/>
    <w:rsid w:val="00757121"/>
    <w:rsid w:val="0075725F"/>
    <w:rsid w:val="00757F19"/>
    <w:rsid w:val="00762844"/>
    <w:rsid w:val="00763504"/>
    <w:rsid w:val="007654BB"/>
    <w:rsid w:val="007656AB"/>
    <w:rsid w:val="00766D26"/>
    <w:rsid w:val="007674B3"/>
    <w:rsid w:val="0077040F"/>
    <w:rsid w:val="007704DA"/>
    <w:rsid w:val="00771401"/>
    <w:rsid w:val="00772266"/>
    <w:rsid w:val="00772AFF"/>
    <w:rsid w:val="00773678"/>
    <w:rsid w:val="00773704"/>
    <w:rsid w:val="0077509E"/>
    <w:rsid w:val="0077591E"/>
    <w:rsid w:val="00775B2F"/>
    <w:rsid w:val="00775CC4"/>
    <w:rsid w:val="007760A8"/>
    <w:rsid w:val="00776335"/>
    <w:rsid w:val="00777082"/>
    <w:rsid w:val="00780C8C"/>
    <w:rsid w:val="00782BB7"/>
    <w:rsid w:val="00783BF3"/>
    <w:rsid w:val="007841FF"/>
    <w:rsid w:val="00784917"/>
    <w:rsid w:val="00784AF4"/>
    <w:rsid w:val="007857E6"/>
    <w:rsid w:val="007858BD"/>
    <w:rsid w:val="00785C6E"/>
    <w:rsid w:val="00785C8A"/>
    <w:rsid w:val="00786E7B"/>
    <w:rsid w:val="007874CD"/>
    <w:rsid w:val="00787CB0"/>
    <w:rsid w:val="00790D78"/>
    <w:rsid w:val="00791F49"/>
    <w:rsid w:val="007920B3"/>
    <w:rsid w:val="0079267F"/>
    <w:rsid w:val="007929DC"/>
    <w:rsid w:val="00793B9A"/>
    <w:rsid w:val="00794023"/>
    <w:rsid w:val="00794667"/>
    <w:rsid w:val="0079499D"/>
    <w:rsid w:val="007949E6"/>
    <w:rsid w:val="00794F9E"/>
    <w:rsid w:val="00794FE8"/>
    <w:rsid w:val="00795874"/>
    <w:rsid w:val="00795EC1"/>
    <w:rsid w:val="00796593"/>
    <w:rsid w:val="0079727F"/>
    <w:rsid w:val="007978F2"/>
    <w:rsid w:val="00797F16"/>
    <w:rsid w:val="007A148C"/>
    <w:rsid w:val="007A1687"/>
    <w:rsid w:val="007A2268"/>
    <w:rsid w:val="007A2B2C"/>
    <w:rsid w:val="007A2D7D"/>
    <w:rsid w:val="007A302C"/>
    <w:rsid w:val="007A333E"/>
    <w:rsid w:val="007A34CE"/>
    <w:rsid w:val="007A4FCE"/>
    <w:rsid w:val="007A51E9"/>
    <w:rsid w:val="007A58E0"/>
    <w:rsid w:val="007A65EA"/>
    <w:rsid w:val="007A6AFC"/>
    <w:rsid w:val="007A6DFA"/>
    <w:rsid w:val="007A6FE6"/>
    <w:rsid w:val="007A7823"/>
    <w:rsid w:val="007A7F91"/>
    <w:rsid w:val="007B0B62"/>
    <w:rsid w:val="007B0E74"/>
    <w:rsid w:val="007B1C38"/>
    <w:rsid w:val="007B234F"/>
    <w:rsid w:val="007B2A7A"/>
    <w:rsid w:val="007B3E81"/>
    <w:rsid w:val="007B4732"/>
    <w:rsid w:val="007B525A"/>
    <w:rsid w:val="007B5E13"/>
    <w:rsid w:val="007B5FC9"/>
    <w:rsid w:val="007B6428"/>
    <w:rsid w:val="007B6645"/>
    <w:rsid w:val="007B67A5"/>
    <w:rsid w:val="007B6F15"/>
    <w:rsid w:val="007C0E50"/>
    <w:rsid w:val="007C1074"/>
    <w:rsid w:val="007C4D8A"/>
    <w:rsid w:val="007C5FE5"/>
    <w:rsid w:val="007C69FD"/>
    <w:rsid w:val="007C78B7"/>
    <w:rsid w:val="007D120A"/>
    <w:rsid w:val="007D32B5"/>
    <w:rsid w:val="007D3300"/>
    <w:rsid w:val="007D4D27"/>
    <w:rsid w:val="007D6A88"/>
    <w:rsid w:val="007D7DCB"/>
    <w:rsid w:val="007D7DF8"/>
    <w:rsid w:val="007E038C"/>
    <w:rsid w:val="007E0D4E"/>
    <w:rsid w:val="007E1FE8"/>
    <w:rsid w:val="007E270B"/>
    <w:rsid w:val="007E44B2"/>
    <w:rsid w:val="007E505B"/>
    <w:rsid w:val="007E527A"/>
    <w:rsid w:val="007E52CC"/>
    <w:rsid w:val="007E6382"/>
    <w:rsid w:val="007F0027"/>
    <w:rsid w:val="007F180F"/>
    <w:rsid w:val="007F1C0C"/>
    <w:rsid w:val="007F3348"/>
    <w:rsid w:val="007F3B9D"/>
    <w:rsid w:val="007F5383"/>
    <w:rsid w:val="007F680A"/>
    <w:rsid w:val="007F6D0F"/>
    <w:rsid w:val="007F7716"/>
    <w:rsid w:val="007F7C35"/>
    <w:rsid w:val="008041F2"/>
    <w:rsid w:val="00810B1C"/>
    <w:rsid w:val="00811C19"/>
    <w:rsid w:val="008132CF"/>
    <w:rsid w:val="008138B3"/>
    <w:rsid w:val="008146AF"/>
    <w:rsid w:val="00814725"/>
    <w:rsid w:val="00815A9F"/>
    <w:rsid w:val="0081652E"/>
    <w:rsid w:val="00817057"/>
    <w:rsid w:val="00817910"/>
    <w:rsid w:val="00817F86"/>
    <w:rsid w:val="00820094"/>
    <w:rsid w:val="008203C9"/>
    <w:rsid w:val="008208E3"/>
    <w:rsid w:val="00821337"/>
    <w:rsid w:val="00821340"/>
    <w:rsid w:val="008226D2"/>
    <w:rsid w:val="0082362D"/>
    <w:rsid w:val="00823F43"/>
    <w:rsid w:val="008244E5"/>
    <w:rsid w:val="00825491"/>
    <w:rsid w:val="008255C6"/>
    <w:rsid w:val="00825C68"/>
    <w:rsid w:val="008268F1"/>
    <w:rsid w:val="00826CCB"/>
    <w:rsid w:val="0082706B"/>
    <w:rsid w:val="0082714D"/>
    <w:rsid w:val="008271D9"/>
    <w:rsid w:val="00827DD4"/>
    <w:rsid w:val="0083051C"/>
    <w:rsid w:val="00830C61"/>
    <w:rsid w:val="00831EA9"/>
    <w:rsid w:val="008325D1"/>
    <w:rsid w:val="00833A76"/>
    <w:rsid w:val="00833AF9"/>
    <w:rsid w:val="008341F6"/>
    <w:rsid w:val="00834703"/>
    <w:rsid w:val="00834D2E"/>
    <w:rsid w:val="00835978"/>
    <w:rsid w:val="00835AD6"/>
    <w:rsid w:val="008360DE"/>
    <w:rsid w:val="008367B9"/>
    <w:rsid w:val="008407A7"/>
    <w:rsid w:val="00840D13"/>
    <w:rsid w:val="00841A22"/>
    <w:rsid w:val="00843C09"/>
    <w:rsid w:val="008443D9"/>
    <w:rsid w:val="00844A4E"/>
    <w:rsid w:val="00844C69"/>
    <w:rsid w:val="00845A0F"/>
    <w:rsid w:val="00846047"/>
    <w:rsid w:val="0084774A"/>
    <w:rsid w:val="00850659"/>
    <w:rsid w:val="008509E5"/>
    <w:rsid w:val="008509E7"/>
    <w:rsid w:val="00850C38"/>
    <w:rsid w:val="00851825"/>
    <w:rsid w:val="00851ED2"/>
    <w:rsid w:val="00852871"/>
    <w:rsid w:val="00852C8A"/>
    <w:rsid w:val="00853DF4"/>
    <w:rsid w:val="00854D7B"/>
    <w:rsid w:val="0085528D"/>
    <w:rsid w:val="00856BC6"/>
    <w:rsid w:val="00856C32"/>
    <w:rsid w:val="00856DEA"/>
    <w:rsid w:val="008572DB"/>
    <w:rsid w:val="0086025A"/>
    <w:rsid w:val="00860B40"/>
    <w:rsid w:val="00860CC1"/>
    <w:rsid w:val="00862F64"/>
    <w:rsid w:val="008637FB"/>
    <w:rsid w:val="00863DA7"/>
    <w:rsid w:val="008649CB"/>
    <w:rsid w:val="00865B13"/>
    <w:rsid w:val="00866411"/>
    <w:rsid w:val="00866D6C"/>
    <w:rsid w:val="00866F01"/>
    <w:rsid w:val="0086739D"/>
    <w:rsid w:val="0086775F"/>
    <w:rsid w:val="00871023"/>
    <w:rsid w:val="00871ABC"/>
    <w:rsid w:val="00871B3E"/>
    <w:rsid w:val="008727DB"/>
    <w:rsid w:val="00872E1F"/>
    <w:rsid w:val="00873835"/>
    <w:rsid w:val="00875CAC"/>
    <w:rsid w:val="0087647C"/>
    <w:rsid w:val="00876701"/>
    <w:rsid w:val="008802EE"/>
    <w:rsid w:val="00880412"/>
    <w:rsid w:val="00880E09"/>
    <w:rsid w:val="008817BC"/>
    <w:rsid w:val="00881DB6"/>
    <w:rsid w:val="00882A79"/>
    <w:rsid w:val="008842DF"/>
    <w:rsid w:val="008849C4"/>
    <w:rsid w:val="00884ED5"/>
    <w:rsid w:val="00887AE8"/>
    <w:rsid w:val="00887EF6"/>
    <w:rsid w:val="00887EFF"/>
    <w:rsid w:val="00890754"/>
    <w:rsid w:val="008907F7"/>
    <w:rsid w:val="00890A83"/>
    <w:rsid w:val="00890B49"/>
    <w:rsid w:val="0089136B"/>
    <w:rsid w:val="00891D6D"/>
    <w:rsid w:val="00891F4E"/>
    <w:rsid w:val="00892EAE"/>
    <w:rsid w:val="00894B87"/>
    <w:rsid w:val="00895426"/>
    <w:rsid w:val="00895645"/>
    <w:rsid w:val="00895823"/>
    <w:rsid w:val="00897AB5"/>
    <w:rsid w:val="00897BF9"/>
    <w:rsid w:val="008A0381"/>
    <w:rsid w:val="008A0AFF"/>
    <w:rsid w:val="008A117C"/>
    <w:rsid w:val="008A141A"/>
    <w:rsid w:val="008A2E8A"/>
    <w:rsid w:val="008A2F9F"/>
    <w:rsid w:val="008A705C"/>
    <w:rsid w:val="008A750B"/>
    <w:rsid w:val="008B0EF8"/>
    <w:rsid w:val="008B1F8A"/>
    <w:rsid w:val="008B22A8"/>
    <w:rsid w:val="008B3360"/>
    <w:rsid w:val="008B3918"/>
    <w:rsid w:val="008B4FBA"/>
    <w:rsid w:val="008B51E7"/>
    <w:rsid w:val="008B52B5"/>
    <w:rsid w:val="008B5D34"/>
    <w:rsid w:val="008C1AFF"/>
    <w:rsid w:val="008C2093"/>
    <w:rsid w:val="008C2983"/>
    <w:rsid w:val="008C2B8D"/>
    <w:rsid w:val="008C3368"/>
    <w:rsid w:val="008C3BC3"/>
    <w:rsid w:val="008C3C18"/>
    <w:rsid w:val="008C4E75"/>
    <w:rsid w:val="008C585C"/>
    <w:rsid w:val="008C58E8"/>
    <w:rsid w:val="008C5DE3"/>
    <w:rsid w:val="008C6237"/>
    <w:rsid w:val="008C6FF0"/>
    <w:rsid w:val="008C73B4"/>
    <w:rsid w:val="008C793C"/>
    <w:rsid w:val="008C7A4E"/>
    <w:rsid w:val="008C7A9A"/>
    <w:rsid w:val="008D05D0"/>
    <w:rsid w:val="008D19B2"/>
    <w:rsid w:val="008D632A"/>
    <w:rsid w:val="008D7C08"/>
    <w:rsid w:val="008D7CDB"/>
    <w:rsid w:val="008E02B2"/>
    <w:rsid w:val="008E1176"/>
    <w:rsid w:val="008E19BD"/>
    <w:rsid w:val="008E1D94"/>
    <w:rsid w:val="008E2180"/>
    <w:rsid w:val="008E2F75"/>
    <w:rsid w:val="008E3790"/>
    <w:rsid w:val="008E6141"/>
    <w:rsid w:val="008E6452"/>
    <w:rsid w:val="008E65B0"/>
    <w:rsid w:val="008E6948"/>
    <w:rsid w:val="008E73B7"/>
    <w:rsid w:val="008E797C"/>
    <w:rsid w:val="008F0870"/>
    <w:rsid w:val="008F0EAE"/>
    <w:rsid w:val="008F3820"/>
    <w:rsid w:val="008F3EAA"/>
    <w:rsid w:val="008F4119"/>
    <w:rsid w:val="008F4214"/>
    <w:rsid w:val="008F485D"/>
    <w:rsid w:val="008F4E6E"/>
    <w:rsid w:val="008F5B75"/>
    <w:rsid w:val="008F69D0"/>
    <w:rsid w:val="008F7D20"/>
    <w:rsid w:val="00902BFA"/>
    <w:rsid w:val="00903547"/>
    <w:rsid w:val="00904554"/>
    <w:rsid w:val="0090542D"/>
    <w:rsid w:val="00905DD1"/>
    <w:rsid w:val="00907455"/>
    <w:rsid w:val="0090766A"/>
    <w:rsid w:val="009079DD"/>
    <w:rsid w:val="00911880"/>
    <w:rsid w:val="00911972"/>
    <w:rsid w:val="0091221D"/>
    <w:rsid w:val="00913011"/>
    <w:rsid w:val="00913D5F"/>
    <w:rsid w:val="009143EB"/>
    <w:rsid w:val="00914811"/>
    <w:rsid w:val="0091731C"/>
    <w:rsid w:val="00920553"/>
    <w:rsid w:val="0092138F"/>
    <w:rsid w:val="0092184B"/>
    <w:rsid w:val="0092317F"/>
    <w:rsid w:val="00923546"/>
    <w:rsid w:val="00923F2C"/>
    <w:rsid w:val="00923FAF"/>
    <w:rsid w:val="0092667D"/>
    <w:rsid w:val="0092714C"/>
    <w:rsid w:val="00927FE0"/>
    <w:rsid w:val="00930DDD"/>
    <w:rsid w:val="009319F5"/>
    <w:rsid w:val="00931ACE"/>
    <w:rsid w:val="00932C08"/>
    <w:rsid w:val="00932F0A"/>
    <w:rsid w:val="00933E5A"/>
    <w:rsid w:val="00934940"/>
    <w:rsid w:val="00935118"/>
    <w:rsid w:val="0093511E"/>
    <w:rsid w:val="009358C9"/>
    <w:rsid w:val="00935CA1"/>
    <w:rsid w:val="00936386"/>
    <w:rsid w:val="009375C1"/>
    <w:rsid w:val="009379C7"/>
    <w:rsid w:val="00937D6E"/>
    <w:rsid w:val="009409CF"/>
    <w:rsid w:val="00940B61"/>
    <w:rsid w:val="00940F1C"/>
    <w:rsid w:val="009416CA"/>
    <w:rsid w:val="00941D4D"/>
    <w:rsid w:val="00942064"/>
    <w:rsid w:val="009422F4"/>
    <w:rsid w:val="00943D03"/>
    <w:rsid w:val="00944BD2"/>
    <w:rsid w:val="00945967"/>
    <w:rsid w:val="0094686D"/>
    <w:rsid w:val="00950743"/>
    <w:rsid w:val="00950893"/>
    <w:rsid w:val="009516DB"/>
    <w:rsid w:val="00951E06"/>
    <w:rsid w:val="0095289A"/>
    <w:rsid w:val="00953699"/>
    <w:rsid w:val="00953928"/>
    <w:rsid w:val="00953960"/>
    <w:rsid w:val="00953FFD"/>
    <w:rsid w:val="0095487D"/>
    <w:rsid w:val="00955D45"/>
    <w:rsid w:val="009561E1"/>
    <w:rsid w:val="0095653F"/>
    <w:rsid w:val="0095665B"/>
    <w:rsid w:val="00957240"/>
    <w:rsid w:val="009644B1"/>
    <w:rsid w:val="0096540E"/>
    <w:rsid w:val="0096608F"/>
    <w:rsid w:val="009662B6"/>
    <w:rsid w:val="00966BCB"/>
    <w:rsid w:val="00966EF2"/>
    <w:rsid w:val="009672E7"/>
    <w:rsid w:val="00967F82"/>
    <w:rsid w:val="009700F8"/>
    <w:rsid w:val="009705F0"/>
    <w:rsid w:val="00971603"/>
    <w:rsid w:val="009718A2"/>
    <w:rsid w:val="009718C1"/>
    <w:rsid w:val="00971F67"/>
    <w:rsid w:val="00972406"/>
    <w:rsid w:val="00972463"/>
    <w:rsid w:val="00972715"/>
    <w:rsid w:val="00973A5E"/>
    <w:rsid w:val="00973B1C"/>
    <w:rsid w:val="00973D89"/>
    <w:rsid w:val="0097402B"/>
    <w:rsid w:val="0097501B"/>
    <w:rsid w:val="00976000"/>
    <w:rsid w:val="00976887"/>
    <w:rsid w:val="0097694F"/>
    <w:rsid w:val="00976E5C"/>
    <w:rsid w:val="0097747D"/>
    <w:rsid w:val="0097788E"/>
    <w:rsid w:val="0098057A"/>
    <w:rsid w:val="009806FE"/>
    <w:rsid w:val="00980B88"/>
    <w:rsid w:val="0098152A"/>
    <w:rsid w:val="009815D9"/>
    <w:rsid w:val="009816F1"/>
    <w:rsid w:val="00981CA2"/>
    <w:rsid w:val="00982CF2"/>
    <w:rsid w:val="00983834"/>
    <w:rsid w:val="00986C71"/>
    <w:rsid w:val="00986FE3"/>
    <w:rsid w:val="00987122"/>
    <w:rsid w:val="009907FD"/>
    <w:rsid w:val="009918DD"/>
    <w:rsid w:val="00992B26"/>
    <w:rsid w:val="00993E4C"/>
    <w:rsid w:val="0099419C"/>
    <w:rsid w:val="00995DF5"/>
    <w:rsid w:val="00996E94"/>
    <w:rsid w:val="009974E9"/>
    <w:rsid w:val="009A04AA"/>
    <w:rsid w:val="009A13C9"/>
    <w:rsid w:val="009A27BB"/>
    <w:rsid w:val="009A3806"/>
    <w:rsid w:val="009A3A9B"/>
    <w:rsid w:val="009A3E75"/>
    <w:rsid w:val="009A3EEE"/>
    <w:rsid w:val="009A4E6E"/>
    <w:rsid w:val="009A569B"/>
    <w:rsid w:val="009A5ADE"/>
    <w:rsid w:val="009A5F5B"/>
    <w:rsid w:val="009A66DB"/>
    <w:rsid w:val="009A6A52"/>
    <w:rsid w:val="009A7842"/>
    <w:rsid w:val="009A7A67"/>
    <w:rsid w:val="009B14E6"/>
    <w:rsid w:val="009B14ED"/>
    <w:rsid w:val="009B2A88"/>
    <w:rsid w:val="009B3498"/>
    <w:rsid w:val="009B46CD"/>
    <w:rsid w:val="009B49D0"/>
    <w:rsid w:val="009B6028"/>
    <w:rsid w:val="009B7F89"/>
    <w:rsid w:val="009C11AA"/>
    <w:rsid w:val="009C1553"/>
    <w:rsid w:val="009C15B3"/>
    <w:rsid w:val="009C1B34"/>
    <w:rsid w:val="009C2DF7"/>
    <w:rsid w:val="009C38C8"/>
    <w:rsid w:val="009C3AAA"/>
    <w:rsid w:val="009C4B8C"/>
    <w:rsid w:val="009C4C45"/>
    <w:rsid w:val="009C4ECD"/>
    <w:rsid w:val="009C52AD"/>
    <w:rsid w:val="009C7B18"/>
    <w:rsid w:val="009C7EA7"/>
    <w:rsid w:val="009D0DCC"/>
    <w:rsid w:val="009D1E17"/>
    <w:rsid w:val="009D237B"/>
    <w:rsid w:val="009D352A"/>
    <w:rsid w:val="009D36C7"/>
    <w:rsid w:val="009D48D5"/>
    <w:rsid w:val="009D5CD9"/>
    <w:rsid w:val="009D6536"/>
    <w:rsid w:val="009D6597"/>
    <w:rsid w:val="009D75F1"/>
    <w:rsid w:val="009E099C"/>
    <w:rsid w:val="009E144C"/>
    <w:rsid w:val="009E15EA"/>
    <w:rsid w:val="009E2579"/>
    <w:rsid w:val="009E3063"/>
    <w:rsid w:val="009E3477"/>
    <w:rsid w:val="009E3A30"/>
    <w:rsid w:val="009E3F62"/>
    <w:rsid w:val="009E57E2"/>
    <w:rsid w:val="009E6A45"/>
    <w:rsid w:val="009E6C8E"/>
    <w:rsid w:val="009E7971"/>
    <w:rsid w:val="009E7CBB"/>
    <w:rsid w:val="009F069F"/>
    <w:rsid w:val="009F0E1B"/>
    <w:rsid w:val="009F1BAB"/>
    <w:rsid w:val="009F2500"/>
    <w:rsid w:val="009F2BAC"/>
    <w:rsid w:val="009F394A"/>
    <w:rsid w:val="009F3B24"/>
    <w:rsid w:val="009F475B"/>
    <w:rsid w:val="009F4F0C"/>
    <w:rsid w:val="009F5E19"/>
    <w:rsid w:val="009F6278"/>
    <w:rsid w:val="009F79E8"/>
    <w:rsid w:val="00A01462"/>
    <w:rsid w:val="00A0155D"/>
    <w:rsid w:val="00A019BD"/>
    <w:rsid w:val="00A035CD"/>
    <w:rsid w:val="00A04851"/>
    <w:rsid w:val="00A04CA8"/>
    <w:rsid w:val="00A0592B"/>
    <w:rsid w:val="00A05B16"/>
    <w:rsid w:val="00A06617"/>
    <w:rsid w:val="00A07CC3"/>
    <w:rsid w:val="00A07D4F"/>
    <w:rsid w:val="00A1069A"/>
    <w:rsid w:val="00A10B11"/>
    <w:rsid w:val="00A11713"/>
    <w:rsid w:val="00A12DF2"/>
    <w:rsid w:val="00A12E70"/>
    <w:rsid w:val="00A13E3A"/>
    <w:rsid w:val="00A144A5"/>
    <w:rsid w:val="00A14556"/>
    <w:rsid w:val="00A14CB5"/>
    <w:rsid w:val="00A154D1"/>
    <w:rsid w:val="00A15E14"/>
    <w:rsid w:val="00A16514"/>
    <w:rsid w:val="00A170F7"/>
    <w:rsid w:val="00A20151"/>
    <w:rsid w:val="00A21295"/>
    <w:rsid w:val="00A2172D"/>
    <w:rsid w:val="00A229AD"/>
    <w:rsid w:val="00A22BFB"/>
    <w:rsid w:val="00A22DDF"/>
    <w:rsid w:val="00A23C38"/>
    <w:rsid w:val="00A258D6"/>
    <w:rsid w:val="00A25D4A"/>
    <w:rsid w:val="00A31D92"/>
    <w:rsid w:val="00A31F67"/>
    <w:rsid w:val="00A32A8E"/>
    <w:rsid w:val="00A32CEE"/>
    <w:rsid w:val="00A33643"/>
    <w:rsid w:val="00A33AA1"/>
    <w:rsid w:val="00A340A6"/>
    <w:rsid w:val="00A356DC"/>
    <w:rsid w:val="00A35813"/>
    <w:rsid w:val="00A35D86"/>
    <w:rsid w:val="00A35F19"/>
    <w:rsid w:val="00A36178"/>
    <w:rsid w:val="00A37459"/>
    <w:rsid w:val="00A40F6F"/>
    <w:rsid w:val="00A43825"/>
    <w:rsid w:val="00A43E4F"/>
    <w:rsid w:val="00A44189"/>
    <w:rsid w:val="00A44F09"/>
    <w:rsid w:val="00A44FA9"/>
    <w:rsid w:val="00A4516A"/>
    <w:rsid w:val="00A45A12"/>
    <w:rsid w:val="00A45DFE"/>
    <w:rsid w:val="00A462F8"/>
    <w:rsid w:val="00A46F99"/>
    <w:rsid w:val="00A5230D"/>
    <w:rsid w:val="00A524C0"/>
    <w:rsid w:val="00A527A1"/>
    <w:rsid w:val="00A532DE"/>
    <w:rsid w:val="00A5595A"/>
    <w:rsid w:val="00A55E5D"/>
    <w:rsid w:val="00A566D3"/>
    <w:rsid w:val="00A60FC4"/>
    <w:rsid w:val="00A613B4"/>
    <w:rsid w:val="00A62FC9"/>
    <w:rsid w:val="00A63468"/>
    <w:rsid w:val="00A636CA"/>
    <w:rsid w:val="00A63E2A"/>
    <w:rsid w:val="00A6406A"/>
    <w:rsid w:val="00A64E9F"/>
    <w:rsid w:val="00A678FC"/>
    <w:rsid w:val="00A70CD2"/>
    <w:rsid w:val="00A70D45"/>
    <w:rsid w:val="00A72153"/>
    <w:rsid w:val="00A7220F"/>
    <w:rsid w:val="00A7398E"/>
    <w:rsid w:val="00A7525A"/>
    <w:rsid w:val="00A7546F"/>
    <w:rsid w:val="00A7567A"/>
    <w:rsid w:val="00A75A8F"/>
    <w:rsid w:val="00A7600C"/>
    <w:rsid w:val="00A760A3"/>
    <w:rsid w:val="00A76255"/>
    <w:rsid w:val="00A77A41"/>
    <w:rsid w:val="00A803F9"/>
    <w:rsid w:val="00A807E3"/>
    <w:rsid w:val="00A80934"/>
    <w:rsid w:val="00A81BCA"/>
    <w:rsid w:val="00A822B9"/>
    <w:rsid w:val="00A84789"/>
    <w:rsid w:val="00A850DD"/>
    <w:rsid w:val="00A852F7"/>
    <w:rsid w:val="00A86338"/>
    <w:rsid w:val="00A86391"/>
    <w:rsid w:val="00A8794F"/>
    <w:rsid w:val="00A902FD"/>
    <w:rsid w:val="00A90C46"/>
    <w:rsid w:val="00A92EC4"/>
    <w:rsid w:val="00A93607"/>
    <w:rsid w:val="00A93AE6"/>
    <w:rsid w:val="00A94073"/>
    <w:rsid w:val="00A946A0"/>
    <w:rsid w:val="00A9481F"/>
    <w:rsid w:val="00A94AE8"/>
    <w:rsid w:val="00A94C47"/>
    <w:rsid w:val="00A94E19"/>
    <w:rsid w:val="00A95A4B"/>
    <w:rsid w:val="00A95E4A"/>
    <w:rsid w:val="00A9618D"/>
    <w:rsid w:val="00A96A0E"/>
    <w:rsid w:val="00A9797D"/>
    <w:rsid w:val="00A97AE1"/>
    <w:rsid w:val="00AA0518"/>
    <w:rsid w:val="00AA088D"/>
    <w:rsid w:val="00AA0C19"/>
    <w:rsid w:val="00AA12CB"/>
    <w:rsid w:val="00AA16A1"/>
    <w:rsid w:val="00AA18DE"/>
    <w:rsid w:val="00AA20A7"/>
    <w:rsid w:val="00AA24E3"/>
    <w:rsid w:val="00AA3B16"/>
    <w:rsid w:val="00AA41B2"/>
    <w:rsid w:val="00AA518F"/>
    <w:rsid w:val="00AA5488"/>
    <w:rsid w:val="00AA5E99"/>
    <w:rsid w:val="00AA64DD"/>
    <w:rsid w:val="00AA788E"/>
    <w:rsid w:val="00AB1C10"/>
    <w:rsid w:val="00AB1F2C"/>
    <w:rsid w:val="00AB23BE"/>
    <w:rsid w:val="00AB2662"/>
    <w:rsid w:val="00AB42C2"/>
    <w:rsid w:val="00AB4364"/>
    <w:rsid w:val="00AB448C"/>
    <w:rsid w:val="00AB50A6"/>
    <w:rsid w:val="00AB55FD"/>
    <w:rsid w:val="00AC0A08"/>
    <w:rsid w:val="00AC13B2"/>
    <w:rsid w:val="00AC1951"/>
    <w:rsid w:val="00AC3257"/>
    <w:rsid w:val="00AC3D90"/>
    <w:rsid w:val="00AC594E"/>
    <w:rsid w:val="00AC71EC"/>
    <w:rsid w:val="00AC7976"/>
    <w:rsid w:val="00AD0B52"/>
    <w:rsid w:val="00AD0C4B"/>
    <w:rsid w:val="00AD0CC2"/>
    <w:rsid w:val="00AD18A6"/>
    <w:rsid w:val="00AD18E0"/>
    <w:rsid w:val="00AD22D5"/>
    <w:rsid w:val="00AD338E"/>
    <w:rsid w:val="00AD4C8C"/>
    <w:rsid w:val="00AD5CA6"/>
    <w:rsid w:val="00AD6901"/>
    <w:rsid w:val="00AD6E48"/>
    <w:rsid w:val="00AD7E54"/>
    <w:rsid w:val="00AE00BB"/>
    <w:rsid w:val="00AE1084"/>
    <w:rsid w:val="00AE10B2"/>
    <w:rsid w:val="00AE2690"/>
    <w:rsid w:val="00AE2982"/>
    <w:rsid w:val="00AE2BF6"/>
    <w:rsid w:val="00AE5539"/>
    <w:rsid w:val="00AE6E88"/>
    <w:rsid w:val="00AE7626"/>
    <w:rsid w:val="00AE7A28"/>
    <w:rsid w:val="00AF0388"/>
    <w:rsid w:val="00AF05C2"/>
    <w:rsid w:val="00AF098E"/>
    <w:rsid w:val="00AF0EE2"/>
    <w:rsid w:val="00AF1D92"/>
    <w:rsid w:val="00AF282A"/>
    <w:rsid w:val="00AF6368"/>
    <w:rsid w:val="00AF658D"/>
    <w:rsid w:val="00AF66AD"/>
    <w:rsid w:val="00AF7ED0"/>
    <w:rsid w:val="00B006A4"/>
    <w:rsid w:val="00B00ABA"/>
    <w:rsid w:val="00B00ABD"/>
    <w:rsid w:val="00B0479B"/>
    <w:rsid w:val="00B04AE3"/>
    <w:rsid w:val="00B04C06"/>
    <w:rsid w:val="00B05902"/>
    <w:rsid w:val="00B059FF"/>
    <w:rsid w:val="00B05F55"/>
    <w:rsid w:val="00B0697E"/>
    <w:rsid w:val="00B06FF4"/>
    <w:rsid w:val="00B0708F"/>
    <w:rsid w:val="00B07E2A"/>
    <w:rsid w:val="00B10BBA"/>
    <w:rsid w:val="00B11272"/>
    <w:rsid w:val="00B117EA"/>
    <w:rsid w:val="00B1272D"/>
    <w:rsid w:val="00B13085"/>
    <w:rsid w:val="00B13788"/>
    <w:rsid w:val="00B140A3"/>
    <w:rsid w:val="00B1450B"/>
    <w:rsid w:val="00B15D4F"/>
    <w:rsid w:val="00B1720D"/>
    <w:rsid w:val="00B2328D"/>
    <w:rsid w:val="00B25669"/>
    <w:rsid w:val="00B2576C"/>
    <w:rsid w:val="00B26831"/>
    <w:rsid w:val="00B26ED9"/>
    <w:rsid w:val="00B30E39"/>
    <w:rsid w:val="00B31480"/>
    <w:rsid w:val="00B31C66"/>
    <w:rsid w:val="00B32413"/>
    <w:rsid w:val="00B3468F"/>
    <w:rsid w:val="00B348B5"/>
    <w:rsid w:val="00B3580A"/>
    <w:rsid w:val="00B358E3"/>
    <w:rsid w:val="00B37DA7"/>
    <w:rsid w:val="00B37DAC"/>
    <w:rsid w:val="00B40328"/>
    <w:rsid w:val="00B41935"/>
    <w:rsid w:val="00B41CC6"/>
    <w:rsid w:val="00B41D1A"/>
    <w:rsid w:val="00B4313D"/>
    <w:rsid w:val="00B43AC9"/>
    <w:rsid w:val="00B454A2"/>
    <w:rsid w:val="00B454F3"/>
    <w:rsid w:val="00B45A51"/>
    <w:rsid w:val="00B47568"/>
    <w:rsid w:val="00B4785A"/>
    <w:rsid w:val="00B47950"/>
    <w:rsid w:val="00B50A9F"/>
    <w:rsid w:val="00B5178B"/>
    <w:rsid w:val="00B51924"/>
    <w:rsid w:val="00B525DE"/>
    <w:rsid w:val="00B526DC"/>
    <w:rsid w:val="00B53238"/>
    <w:rsid w:val="00B5409E"/>
    <w:rsid w:val="00B54804"/>
    <w:rsid w:val="00B54DCF"/>
    <w:rsid w:val="00B55220"/>
    <w:rsid w:val="00B55BC1"/>
    <w:rsid w:val="00B6034F"/>
    <w:rsid w:val="00B6084A"/>
    <w:rsid w:val="00B6099F"/>
    <w:rsid w:val="00B609DC"/>
    <w:rsid w:val="00B60DEC"/>
    <w:rsid w:val="00B61324"/>
    <w:rsid w:val="00B61734"/>
    <w:rsid w:val="00B621FE"/>
    <w:rsid w:val="00B62B73"/>
    <w:rsid w:val="00B62D29"/>
    <w:rsid w:val="00B65422"/>
    <w:rsid w:val="00B66762"/>
    <w:rsid w:val="00B66B7F"/>
    <w:rsid w:val="00B66F92"/>
    <w:rsid w:val="00B67BF2"/>
    <w:rsid w:val="00B67C32"/>
    <w:rsid w:val="00B701DC"/>
    <w:rsid w:val="00B729F6"/>
    <w:rsid w:val="00B73338"/>
    <w:rsid w:val="00B73F1E"/>
    <w:rsid w:val="00B75195"/>
    <w:rsid w:val="00B762A2"/>
    <w:rsid w:val="00B7752E"/>
    <w:rsid w:val="00B77589"/>
    <w:rsid w:val="00B80B7B"/>
    <w:rsid w:val="00B81CA7"/>
    <w:rsid w:val="00B82044"/>
    <w:rsid w:val="00B83C0E"/>
    <w:rsid w:val="00B842E2"/>
    <w:rsid w:val="00B8506C"/>
    <w:rsid w:val="00B8588B"/>
    <w:rsid w:val="00B85C7F"/>
    <w:rsid w:val="00B876DD"/>
    <w:rsid w:val="00B901E6"/>
    <w:rsid w:val="00B903D9"/>
    <w:rsid w:val="00B9074F"/>
    <w:rsid w:val="00B915CA"/>
    <w:rsid w:val="00B9167F"/>
    <w:rsid w:val="00B92AF7"/>
    <w:rsid w:val="00B94110"/>
    <w:rsid w:val="00B94289"/>
    <w:rsid w:val="00B94EFA"/>
    <w:rsid w:val="00B958E7"/>
    <w:rsid w:val="00B95AD8"/>
    <w:rsid w:val="00B95B83"/>
    <w:rsid w:val="00B95CFE"/>
    <w:rsid w:val="00B96FDA"/>
    <w:rsid w:val="00BA0C78"/>
    <w:rsid w:val="00BA1720"/>
    <w:rsid w:val="00BA2959"/>
    <w:rsid w:val="00BA2E1C"/>
    <w:rsid w:val="00BA42E1"/>
    <w:rsid w:val="00BA6BB0"/>
    <w:rsid w:val="00BA6F86"/>
    <w:rsid w:val="00BB0C02"/>
    <w:rsid w:val="00BB1186"/>
    <w:rsid w:val="00BB18F2"/>
    <w:rsid w:val="00BB221E"/>
    <w:rsid w:val="00BB25DB"/>
    <w:rsid w:val="00BB3030"/>
    <w:rsid w:val="00BB40B6"/>
    <w:rsid w:val="00BB45D2"/>
    <w:rsid w:val="00BB48FA"/>
    <w:rsid w:val="00BB527A"/>
    <w:rsid w:val="00BB5FD9"/>
    <w:rsid w:val="00BB7198"/>
    <w:rsid w:val="00BB7862"/>
    <w:rsid w:val="00BB7CB4"/>
    <w:rsid w:val="00BC01C2"/>
    <w:rsid w:val="00BC089A"/>
    <w:rsid w:val="00BC08DF"/>
    <w:rsid w:val="00BC0A84"/>
    <w:rsid w:val="00BC234E"/>
    <w:rsid w:val="00BC2EDE"/>
    <w:rsid w:val="00BC4C9F"/>
    <w:rsid w:val="00BC6F54"/>
    <w:rsid w:val="00BC7D88"/>
    <w:rsid w:val="00BD0084"/>
    <w:rsid w:val="00BD06E4"/>
    <w:rsid w:val="00BD17F3"/>
    <w:rsid w:val="00BD1BE3"/>
    <w:rsid w:val="00BD2556"/>
    <w:rsid w:val="00BD309C"/>
    <w:rsid w:val="00BD3440"/>
    <w:rsid w:val="00BD3532"/>
    <w:rsid w:val="00BD39C5"/>
    <w:rsid w:val="00BD4B28"/>
    <w:rsid w:val="00BD4EB2"/>
    <w:rsid w:val="00BD69DD"/>
    <w:rsid w:val="00BD7206"/>
    <w:rsid w:val="00BD75F5"/>
    <w:rsid w:val="00BD7E2C"/>
    <w:rsid w:val="00BE1069"/>
    <w:rsid w:val="00BE115E"/>
    <w:rsid w:val="00BE2397"/>
    <w:rsid w:val="00BE40EB"/>
    <w:rsid w:val="00BE5C7F"/>
    <w:rsid w:val="00BE6050"/>
    <w:rsid w:val="00BE6B4D"/>
    <w:rsid w:val="00BF06A4"/>
    <w:rsid w:val="00BF3F1F"/>
    <w:rsid w:val="00BF4071"/>
    <w:rsid w:val="00BF431E"/>
    <w:rsid w:val="00BF4F80"/>
    <w:rsid w:val="00BF5158"/>
    <w:rsid w:val="00BF5357"/>
    <w:rsid w:val="00BF54F4"/>
    <w:rsid w:val="00BF6827"/>
    <w:rsid w:val="00BF71D6"/>
    <w:rsid w:val="00C00175"/>
    <w:rsid w:val="00C01260"/>
    <w:rsid w:val="00C013FC"/>
    <w:rsid w:val="00C01ED4"/>
    <w:rsid w:val="00C02966"/>
    <w:rsid w:val="00C02AB8"/>
    <w:rsid w:val="00C02EED"/>
    <w:rsid w:val="00C05179"/>
    <w:rsid w:val="00C05774"/>
    <w:rsid w:val="00C05F60"/>
    <w:rsid w:val="00C0694B"/>
    <w:rsid w:val="00C078FE"/>
    <w:rsid w:val="00C1108B"/>
    <w:rsid w:val="00C1116E"/>
    <w:rsid w:val="00C11B11"/>
    <w:rsid w:val="00C123A8"/>
    <w:rsid w:val="00C129D9"/>
    <w:rsid w:val="00C12E94"/>
    <w:rsid w:val="00C12ED9"/>
    <w:rsid w:val="00C16116"/>
    <w:rsid w:val="00C16B37"/>
    <w:rsid w:val="00C1703B"/>
    <w:rsid w:val="00C1731A"/>
    <w:rsid w:val="00C17DEE"/>
    <w:rsid w:val="00C20A27"/>
    <w:rsid w:val="00C20E4F"/>
    <w:rsid w:val="00C2131A"/>
    <w:rsid w:val="00C21779"/>
    <w:rsid w:val="00C218AF"/>
    <w:rsid w:val="00C2270F"/>
    <w:rsid w:val="00C2315E"/>
    <w:rsid w:val="00C232EE"/>
    <w:rsid w:val="00C2360E"/>
    <w:rsid w:val="00C239B8"/>
    <w:rsid w:val="00C24314"/>
    <w:rsid w:val="00C24939"/>
    <w:rsid w:val="00C25089"/>
    <w:rsid w:val="00C256B5"/>
    <w:rsid w:val="00C25F20"/>
    <w:rsid w:val="00C273B7"/>
    <w:rsid w:val="00C30040"/>
    <w:rsid w:val="00C308A0"/>
    <w:rsid w:val="00C30BB3"/>
    <w:rsid w:val="00C30E8F"/>
    <w:rsid w:val="00C31E92"/>
    <w:rsid w:val="00C32397"/>
    <w:rsid w:val="00C328C0"/>
    <w:rsid w:val="00C3374F"/>
    <w:rsid w:val="00C33AF2"/>
    <w:rsid w:val="00C34A53"/>
    <w:rsid w:val="00C35E8E"/>
    <w:rsid w:val="00C3633C"/>
    <w:rsid w:val="00C3762A"/>
    <w:rsid w:val="00C4042F"/>
    <w:rsid w:val="00C42755"/>
    <w:rsid w:val="00C42772"/>
    <w:rsid w:val="00C4278A"/>
    <w:rsid w:val="00C44671"/>
    <w:rsid w:val="00C447C9"/>
    <w:rsid w:val="00C45CA5"/>
    <w:rsid w:val="00C46EB7"/>
    <w:rsid w:val="00C47334"/>
    <w:rsid w:val="00C47DF7"/>
    <w:rsid w:val="00C50DFB"/>
    <w:rsid w:val="00C5323F"/>
    <w:rsid w:val="00C5345B"/>
    <w:rsid w:val="00C536C9"/>
    <w:rsid w:val="00C53AE1"/>
    <w:rsid w:val="00C54248"/>
    <w:rsid w:val="00C54831"/>
    <w:rsid w:val="00C5568E"/>
    <w:rsid w:val="00C563D8"/>
    <w:rsid w:val="00C56B9B"/>
    <w:rsid w:val="00C56D95"/>
    <w:rsid w:val="00C57D85"/>
    <w:rsid w:val="00C57EF2"/>
    <w:rsid w:val="00C6046C"/>
    <w:rsid w:val="00C62321"/>
    <w:rsid w:val="00C62D9F"/>
    <w:rsid w:val="00C62FA4"/>
    <w:rsid w:val="00C63837"/>
    <w:rsid w:val="00C64DD8"/>
    <w:rsid w:val="00C65EA4"/>
    <w:rsid w:val="00C678FD"/>
    <w:rsid w:val="00C70C02"/>
    <w:rsid w:val="00C71092"/>
    <w:rsid w:val="00C72378"/>
    <w:rsid w:val="00C72F56"/>
    <w:rsid w:val="00C741C7"/>
    <w:rsid w:val="00C7477C"/>
    <w:rsid w:val="00C75413"/>
    <w:rsid w:val="00C75EC5"/>
    <w:rsid w:val="00C763BA"/>
    <w:rsid w:val="00C7649E"/>
    <w:rsid w:val="00C77C9D"/>
    <w:rsid w:val="00C80D54"/>
    <w:rsid w:val="00C83356"/>
    <w:rsid w:val="00C834FE"/>
    <w:rsid w:val="00C85862"/>
    <w:rsid w:val="00C87078"/>
    <w:rsid w:val="00C872B2"/>
    <w:rsid w:val="00C8753A"/>
    <w:rsid w:val="00C87A5B"/>
    <w:rsid w:val="00C90A97"/>
    <w:rsid w:val="00C90AC8"/>
    <w:rsid w:val="00C91719"/>
    <w:rsid w:val="00C91B3A"/>
    <w:rsid w:val="00C94536"/>
    <w:rsid w:val="00C95A78"/>
    <w:rsid w:val="00C969B8"/>
    <w:rsid w:val="00C96E38"/>
    <w:rsid w:val="00C974DE"/>
    <w:rsid w:val="00C976D9"/>
    <w:rsid w:val="00C97CBA"/>
    <w:rsid w:val="00CA121D"/>
    <w:rsid w:val="00CA1D12"/>
    <w:rsid w:val="00CA1FDE"/>
    <w:rsid w:val="00CA2126"/>
    <w:rsid w:val="00CA217C"/>
    <w:rsid w:val="00CA2BF5"/>
    <w:rsid w:val="00CA4620"/>
    <w:rsid w:val="00CA568E"/>
    <w:rsid w:val="00CA643F"/>
    <w:rsid w:val="00CA67F8"/>
    <w:rsid w:val="00CB0E32"/>
    <w:rsid w:val="00CB1CD0"/>
    <w:rsid w:val="00CB2BA7"/>
    <w:rsid w:val="00CB58E8"/>
    <w:rsid w:val="00CC214C"/>
    <w:rsid w:val="00CC221E"/>
    <w:rsid w:val="00CC24BC"/>
    <w:rsid w:val="00CC2976"/>
    <w:rsid w:val="00CC3312"/>
    <w:rsid w:val="00CC41CF"/>
    <w:rsid w:val="00CC4445"/>
    <w:rsid w:val="00CC47A6"/>
    <w:rsid w:val="00CC5BA5"/>
    <w:rsid w:val="00CC7434"/>
    <w:rsid w:val="00CD147B"/>
    <w:rsid w:val="00CD2CD0"/>
    <w:rsid w:val="00CD3657"/>
    <w:rsid w:val="00CD43FC"/>
    <w:rsid w:val="00CD53E9"/>
    <w:rsid w:val="00CD5A2F"/>
    <w:rsid w:val="00CD6EEC"/>
    <w:rsid w:val="00CD7261"/>
    <w:rsid w:val="00CD7292"/>
    <w:rsid w:val="00CD7584"/>
    <w:rsid w:val="00CD767C"/>
    <w:rsid w:val="00CD7E2D"/>
    <w:rsid w:val="00CE16DA"/>
    <w:rsid w:val="00CE3A43"/>
    <w:rsid w:val="00CE46C0"/>
    <w:rsid w:val="00CE6B13"/>
    <w:rsid w:val="00CE7CDE"/>
    <w:rsid w:val="00CF0949"/>
    <w:rsid w:val="00CF0CAD"/>
    <w:rsid w:val="00CF0D3D"/>
    <w:rsid w:val="00CF10DD"/>
    <w:rsid w:val="00CF24D5"/>
    <w:rsid w:val="00CF2EF9"/>
    <w:rsid w:val="00CF4F18"/>
    <w:rsid w:val="00CF52F2"/>
    <w:rsid w:val="00CF585E"/>
    <w:rsid w:val="00CF6ECF"/>
    <w:rsid w:val="00CF7E45"/>
    <w:rsid w:val="00D001DF"/>
    <w:rsid w:val="00D009B3"/>
    <w:rsid w:val="00D027E2"/>
    <w:rsid w:val="00D02B40"/>
    <w:rsid w:val="00D033C6"/>
    <w:rsid w:val="00D03AB1"/>
    <w:rsid w:val="00D03C3D"/>
    <w:rsid w:val="00D04A02"/>
    <w:rsid w:val="00D0547D"/>
    <w:rsid w:val="00D05669"/>
    <w:rsid w:val="00D05A97"/>
    <w:rsid w:val="00D067BB"/>
    <w:rsid w:val="00D06AD9"/>
    <w:rsid w:val="00D0758A"/>
    <w:rsid w:val="00D10FD9"/>
    <w:rsid w:val="00D11120"/>
    <w:rsid w:val="00D11D1F"/>
    <w:rsid w:val="00D12491"/>
    <w:rsid w:val="00D12BF9"/>
    <w:rsid w:val="00D13297"/>
    <w:rsid w:val="00D13683"/>
    <w:rsid w:val="00D13DFC"/>
    <w:rsid w:val="00D1433B"/>
    <w:rsid w:val="00D16250"/>
    <w:rsid w:val="00D1675E"/>
    <w:rsid w:val="00D169C8"/>
    <w:rsid w:val="00D1736F"/>
    <w:rsid w:val="00D20F3A"/>
    <w:rsid w:val="00D21AA6"/>
    <w:rsid w:val="00D22503"/>
    <w:rsid w:val="00D23AD2"/>
    <w:rsid w:val="00D23AE2"/>
    <w:rsid w:val="00D23B4E"/>
    <w:rsid w:val="00D24E98"/>
    <w:rsid w:val="00D25057"/>
    <w:rsid w:val="00D25C74"/>
    <w:rsid w:val="00D260C5"/>
    <w:rsid w:val="00D2620B"/>
    <w:rsid w:val="00D26213"/>
    <w:rsid w:val="00D264A2"/>
    <w:rsid w:val="00D2738F"/>
    <w:rsid w:val="00D2766E"/>
    <w:rsid w:val="00D27D9B"/>
    <w:rsid w:val="00D319D6"/>
    <w:rsid w:val="00D31C48"/>
    <w:rsid w:val="00D32955"/>
    <w:rsid w:val="00D33B60"/>
    <w:rsid w:val="00D34E05"/>
    <w:rsid w:val="00D35BC1"/>
    <w:rsid w:val="00D4002F"/>
    <w:rsid w:val="00D40E3D"/>
    <w:rsid w:val="00D4111E"/>
    <w:rsid w:val="00D42689"/>
    <w:rsid w:val="00D43805"/>
    <w:rsid w:val="00D43D2F"/>
    <w:rsid w:val="00D44D37"/>
    <w:rsid w:val="00D45E71"/>
    <w:rsid w:val="00D4649A"/>
    <w:rsid w:val="00D467B9"/>
    <w:rsid w:val="00D46DDF"/>
    <w:rsid w:val="00D4758D"/>
    <w:rsid w:val="00D502CE"/>
    <w:rsid w:val="00D50BFE"/>
    <w:rsid w:val="00D52535"/>
    <w:rsid w:val="00D526CE"/>
    <w:rsid w:val="00D5436E"/>
    <w:rsid w:val="00D5497F"/>
    <w:rsid w:val="00D54D24"/>
    <w:rsid w:val="00D55362"/>
    <w:rsid w:val="00D57E1C"/>
    <w:rsid w:val="00D57EF3"/>
    <w:rsid w:val="00D6038E"/>
    <w:rsid w:val="00D61B84"/>
    <w:rsid w:val="00D623E5"/>
    <w:rsid w:val="00D62533"/>
    <w:rsid w:val="00D6456E"/>
    <w:rsid w:val="00D64F50"/>
    <w:rsid w:val="00D65339"/>
    <w:rsid w:val="00D65B5E"/>
    <w:rsid w:val="00D66633"/>
    <w:rsid w:val="00D666F4"/>
    <w:rsid w:val="00D67019"/>
    <w:rsid w:val="00D6787E"/>
    <w:rsid w:val="00D71266"/>
    <w:rsid w:val="00D7143C"/>
    <w:rsid w:val="00D7169A"/>
    <w:rsid w:val="00D717C1"/>
    <w:rsid w:val="00D717ED"/>
    <w:rsid w:val="00D7196F"/>
    <w:rsid w:val="00D72751"/>
    <w:rsid w:val="00D7357D"/>
    <w:rsid w:val="00D73FD2"/>
    <w:rsid w:val="00D750EE"/>
    <w:rsid w:val="00D751EE"/>
    <w:rsid w:val="00D75D6F"/>
    <w:rsid w:val="00D7646B"/>
    <w:rsid w:val="00D77137"/>
    <w:rsid w:val="00D773D7"/>
    <w:rsid w:val="00D776F7"/>
    <w:rsid w:val="00D77E6D"/>
    <w:rsid w:val="00D806F2"/>
    <w:rsid w:val="00D81054"/>
    <w:rsid w:val="00D81165"/>
    <w:rsid w:val="00D8139A"/>
    <w:rsid w:val="00D8142F"/>
    <w:rsid w:val="00D81688"/>
    <w:rsid w:val="00D81889"/>
    <w:rsid w:val="00D8263A"/>
    <w:rsid w:val="00D82C50"/>
    <w:rsid w:val="00D83223"/>
    <w:rsid w:val="00D83377"/>
    <w:rsid w:val="00D83D54"/>
    <w:rsid w:val="00D847E4"/>
    <w:rsid w:val="00D85CE1"/>
    <w:rsid w:val="00D86726"/>
    <w:rsid w:val="00D907DD"/>
    <w:rsid w:val="00D90E9E"/>
    <w:rsid w:val="00D912E2"/>
    <w:rsid w:val="00D92DFF"/>
    <w:rsid w:val="00D93A2F"/>
    <w:rsid w:val="00D942E9"/>
    <w:rsid w:val="00D9519A"/>
    <w:rsid w:val="00D9640C"/>
    <w:rsid w:val="00D96E7E"/>
    <w:rsid w:val="00DA0198"/>
    <w:rsid w:val="00DA0255"/>
    <w:rsid w:val="00DA16BF"/>
    <w:rsid w:val="00DA22EF"/>
    <w:rsid w:val="00DA2C44"/>
    <w:rsid w:val="00DA2CC4"/>
    <w:rsid w:val="00DA45C9"/>
    <w:rsid w:val="00DA6D7A"/>
    <w:rsid w:val="00DB049A"/>
    <w:rsid w:val="00DB04BA"/>
    <w:rsid w:val="00DB08F8"/>
    <w:rsid w:val="00DB105F"/>
    <w:rsid w:val="00DB12D0"/>
    <w:rsid w:val="00DB1917"/>
    <w:rsid w:val="00DB1EAD"/>
    <w:rsid w:val="00DB1FC5"/>
    <w:rsid w:val="00DB21E5"/>
    <w:rsid w:val="00DB3A90"/>
    <w:rsid w:val="00DB40FD"/>
    <w:rsid w:val="00DB4225"/>
    <w:rsid w:val="00DB440C"/>
    <w:rsid w:val="00DB4C20"/>
    <w:rsid w:val="00DB4DEA"/>
    <w:rsid w:val="00DB4E19"/>
    <w:rsid w:val="00DB4F7B"/>
    <w:rsid w:val="00DB5355"/>
    <w:rsid w:val="00DB5909"/>
    <w:rsid w:val="00DB5F81"/>
    <w:rsid w:val="00DB6DFA"/>
    <w:rsid w:val="00DB7E2F"/>
    <w:rsid w:val="00DB7FA3"/>
    <w:rsid w:val="00DC0D37"/>
    <w:rsid w:val="00DC1D32"/>
    <w:rsid w:val="00DC2F3F"/>
    <w:rsid w:val="00DC40BC"/>
    <w:rsid w:val="00DC45A2"/>
    <w:rsid w:val="00DC5F60"/>
    <w:rsid w:val="00DC69CE"/>
    <w:rsid w:val="00DC6A92"/>
    <w:rsid w:val="00DC71BB"/>
    <w:rsid w:val="00DD04B5"/>
    <w:rsid w:val="00DD250B"/>
    <w:rsid w:val="00DD279F"/>
    <w:rsid w:val="00DD28BE"/>
    <w:rsid w:val="00DD5197"/>
    <w:rsid w:val="00DD5EAD"/>
    <w:rsid w:val="00DD741C"/>
    <w:rsid w:val="00DD7B31"/>
    <w:rsid w:val="00DD7E28"/>
    <w:rsid w:val="00DE086E"/>
    <w:rsid w:val="00DE18E9"/>
    <w:rsid w:val="00DE27F0"/>
    <w:rsid w:val="00DE44FA"/>
    <w:rsid w:val="00DE46E6"/>
    <w:rsid w:val="00DE5821"/>
    <w:rsid w:val="00DE5BB1"/>
    <w:rsid w:val="00DE7C7A"/>
    <w:rsid w:val="00DF0029"/>
    <w:rsid w:val="00DF0444"/>
    <w:rsid w:val="00DF059C"/>
    <w:rsid w:val="00DF0F45"/>
    <w:rsid w:val="00DF1187"/>
    <w:rsid w:val="00DF1FF7"/>
    <w:rsid w:val="00DF5ADA"/>
    <w:rsid w:val="00DF716F"/>
    <w:rsid w:val="00DF749A"/>
    <w:rsid w:val="00DF7693"/>
    <w:rsid w:val="00E00061"/>
    <w:rsid w:val="00E019F2"/>
    <w:rsid w:val="00E01DD6"/>
    <w:rsid w:val="00E02B72"/>
    <w:rsid w:val="00E03035"/>
    <w:rsid w:val="00E03497"/>
    <w:rsid w:val="00E04348"/>
    <w:rsid w:val="00E067CC"/>
    <w:rsid w:val="00E0722F"/>
    <w:rsid w:val="00E07565"/>
    <w:rsid w:val="00E101D4"/>
    <w:rsid w:val="00E10695"/>
    <w:rsid w:val="00E10B3E"/>
    <w:rsid w:val="00E111A8"/>
    <w:rsid w:val="00E1180D"/>
    <w:rsid w:val="00E11BE9"/>
    <w:rsid w:val="00E12476"/>
    <w:rsid w:val="00E125F4"/>
    <w:rsid w:val="00E12D9B"/>
    <w:rsid w:val="00E14917"/>
    <w:rsid w:val="00E15A95"/>
    <w:rsid w:val="00E1677F"/>
    <w:rsid w:val="00E16DB2"/>
    <w:rsid w:val="00E16FC8"/>
    <w:rsid w:val="00E1727B"/>
    <w:rsid w:val="00E179A4"/>
    <w:rsid w:val="00E2012B"/>
    <w:rsid w:val="00E2025E"/>
    <w:rsid w:val="00E20C7B"/>
    <w:rsid w:val="00E21249"/>
    <w:rsid w:val="00E214B6"/>
    <w:rsid w:val="00E22EF8"/>
    <w:rsid w:val="00E25514"/>
    <w:rsid w:val="00E26128"/>
    <w:rsid w:val="00E2640D"/>
    <w:rsid w:val="00E26C20"/>
    <w:rsid w:val="00E26F6C"/>
    <w:rsid w:val="00E27371"/>
    <w:rsid w:val="00E32770"/>
    <w:rsid w:val="00E32FEF"/>
    <w:rsid w:val="00E3497D"/>
    <w:rsid w:val="00E358C2"/>
    <w:rsid w:val="00E378F4"/>
    <w:rsid w:val="00E37DB2"/>
    <w:rsid w:val="00E4046E"/>
    <w:rsid w:val="00E410E7"/>
    <w:rsid w:val="00E4131D"/>
    <w:rsid w:val="00E415AE"/>
    <w:rsid w:val="00E41788"/>
    <w:rsid w:val="00E41797"/>
    <w:rsid w:val="00E41845"/>
    <w:rsid w:val="00E433AB"/>
    <w:rsid w:val="00E4380E"/>
    <w:rsid w:val="00E441DC"/>
    <w:rsid w:val="00E4484C"/>
    <w:rsid w:val="00E44BBD"/>
    <w:rsid w:val="00E454D4"/>
    <w:rsid w:val="00E45B5E"/>
    <w:rsid w:val="00E46781"/>
    <w:rsid w:val="00E475ED"/>
    <w:rsid w:val="00E479AA"/>
    <w:rsid w:val="00E505FA"/>
    <w:rsid w:val="00E50605"/>
    <w:rsid w:val="00E51340"/>
    <w:rsid w:val="00E519E6"/>
    <w:rsid w:val="00E52E3D"/>
    <w:rsid w:val="00E53061"/>
    <w:rsid w:val="00E53532"/>
    <w:rsid w:val="00E552F0"/>
    <w:rsid w:val="00E61089"/>
    <w:rsid w:val="00E6128C"/>
    <w:rsid w:val="00E61721"/>
    <w:rsid w:val="00E61EA4"/>
    <w:rsid w:val="00E6207A"/>
    <w:rsid w:val="00E621A5"/>
    <w:rsid w:val="00E63A3E"/>
    <w:rsid w:val="00E64DC3"/>
    <w:rsid w:val="00E651BA"/>
    <w:rsid w:val="00E66714"/>
    <w:rsid w:val="00E66C2A"/>
    <w:rsid w:val="00E67D02"/>
    <w:rsid w:val="00E705B2"/>
    <w:rsid w:val="00E710D2"/>
    <w:rsid w:val="00E71BBE"/>
    <w:rsid w:val="00E723A2"/>
    <w:rsid w:val="00E73114"/>
    <w:rsid w:val="00E7338F"/>
    <w:rsid w:val="00E7355C"/>
    <w:rsid w:val="00E73BA7"/>
    <w:rsid w:val="00E741D1"/>
    <w:rsid w:val="00E752FB"/>
    <w:rsid w:val="00E75943"/>
    <w:rsid w:val="00E75E91"/>
    <w:rsid w:val="00E765EA"/>
    <w:rsid w:val="00E76D58"/>
    <w:rsid w:val="00E77096"/>
    <w:rsid w:val="00E778F0"/>
    <w:rsid w:val="00E80002"/>
    <w:rsid w:val="00E81E26"/>
    <w:rsid w:val="00E820A6"/>
    <w:rsid w:val="00E82CAC"/>
    <w:rsid w:val="00E82D00"/>
    <w:rsid w:val="00E83EB3"/>
    <w:rsid w:val="00E83F2C"/>
    <w:rsid w:val="00E85766"/>
    <w:rsid w:val="00E860AF"/>
    <w:rsid w:val="00E86C23"/>
    <w:rsid w:val="00E87103"/>
    <w:rsid w:val="00E8710A"/>
    <w:rsid w:val="00E872C6"/>
    <w:rsid w:val="00E874C1"/>
    <w:rsid w:val="00E90107"/>
    <w:rsid w:val="00E90B7A"/>
    <w:rsid w:val="00E9293C"/>
    <w:rsid w:val="00E93B53"/>
    <w:rsid w:val="00E9461F"/>
    <w:rsid w:val="00E949FF"/>
    <w:rsid w:val="00E94B09"/>
    <w:rsid w:val="00E9690F"/>
    <w:rsid w:val="00E970E9"/>
    <w:rsid w:val="00E9772B"/>
    <w:rsid w:val="00E97974"/>
    <w:rsid w:val="00EA1A53"/>
    <w:rsid w:val="00EA2A7C"/>
    <w:rsid w:val="00EA3A38"/>
    <w:rsid w:val="00EA4016"/>
    <w:rsid w:val="00EA4A55"/>
    <w:rsid w:val="00EA52C0"/>
    <w:rsid w:val="00EA5843"/>
    <w:rsid w:val="00EA5CD5"/>
    <w:rsid w:val="00EA64EA"/>
    <w:rsid w:val="00EB095A"/>
    <w:rsid w:val="00EB0D7F"/>
    <w:rsid w:val="00EB288E"/>
    <w:rsid w:val="00EB4037"/>
    <w:rsid w:val="00EB47C8"/>
    <w:rsid w:val="00EB4BF0"/>
    <w:rsid w:val="00EB4C6F"/>
    <w:rsid w:val="00EC1211"/>
    <w:rsid w:val="00EC1F99"/>
    <w:rsid w:val="00EC2346"/>
    <w:rsid w:val="00EC270B"/>
    <w:rsid w:val="00EC2A43"/>
    <w:rsid w:val="00EC344B"/>
    <w:rsid w:val="00EC3E28"/>
    <w:rsid w:val="00EC3FC6"/>
    <w:rsid w:val="00EC4243"/>
    <w:rsid w:val="00EC43F4"/>
    <w:rsid w:val="00EC490E"/>
    <w:rsid w:val="00EC4FF6"/>
    <w:rsid w:val="00EC63AD"/>
    <w:rsid w:val="00EC6414"/>
    <w:rsid w:val="00EC682E"/>
    <w:rsid w:val="00EC6856"/>
    <w:rsid w:val="00ED1E37"/>
    <w:rsid w:val="00ED1ED0"/>
    <w:rsid w:val="00ED27B6"/>
    <w:rsid w:val="00ED2CF4"/>
    <w:rsid w:val="00ED2F24"/>
    <w:rsid w:val="00ED3050"/>
    <w:rsid w:val="00ED40FF"/>
    <w:rsid w:val="00ED527F"/>
    <w:rsid w:val="00EE0D10"/>
    <w:rsid w:val="00EE0D82"/>
    <w:rsid w:val="00EE1919"/>
    <w:rsid w:val="00EE19D6"/>
    <w:rsid w:val="00EE31B1"/>
    <w:rsid w:val="00EE532F"/>
    <w:rsid w:val="00EE585B"/>
    <w:rsid w:val="00EE6E4D"/>
    <w:rsid w:val="00EF03CF"/>
    <w:rsid w:val="00EF0C1D"/>
    <w:rsid w:val="00EF0E37"/>
    <w:rsid w:val="00EF24DA"/>
    <w:rsid w:val="00EF2B85"/>
    <w:rsid w:val="00EF2F48"/>
    <w:rsid w:val="00EF5D76"/>
    <w:rsid w:val="00EF6295"/>
    <w:rsid w:val="00EF6511"/>
    <w:rsid w:val="00EF6A20"/>
    <w:rsid w:val="00EF7927"/>
    <w:rsid w:val="00EF7FDE"/>
    <w:rsid w:val="00F00054"/>
    <w:rsid w:val="00F01086"/>
    <w:rsid w:val="00F0202B"/>
    <w:rsid w:val="00F024DB"/>
    <w:rsid w:val="00F02FC4"/>
    <w:rsid w:val="00F06C73"/>
    <w:rsid w:val="00F06CCE"/>
    <w:rsid w:val="00F07651"/>
    <w:rsid w:val="00F07B6F"/>
    <w:rsid w:val="00F10686"/>
    <w:rsid w:val="00F106DE"/>
    <w:rsid w:val="00F13FDF"/>
    <w:rsid w:val="00F16E1B"/>
    <w:rsid w:val="00F17A51"/>
    <w:rsid w:val="00F2053D"/>
    <w:rsid w:val="00F20596"/>
    <w:rsid w:val="00F209F4"/>
    <w:rsid w:val="00F20E17"/>
    <w:rsid w:val="00F21139"/>
    <w:rsid w:val="00F221F3"/>
    <w:rsid w:val="00F225AA"/>
    <w:rsid w:val="00F22E09"/>
    <w:rsid w:val="00F23541"/>
    <w:rsid w:val="00F23F1B"/>
    <w:rsid w:val="00F23F26"/>
    <w:rsid w:val="00F240CD"/>
    <w:rsid w:val="00F24D2E"/>
    <w:rsid w:val="00F272FE"/>
    <w:rsid w:val="00F27325"/>
    <w:rsid w:val="00F27BD1"/>
    <w:rsid w:val="00F27C53"/>
    <w:rsid w:val="00F27E95"/>
    <w:rsid w:val="00F311C9"/>
    <w:rsid w:val="00F31463"/>
    <w:rsid w:val="00F31E42"/>
    <w:rsid w:val="00F3305E"/>
    <w:rsid w:val="00F33591"/>
    <w:rsid w:val="00F34C6E"/>
    <w:rsid w:val="00F34D87"/>
    <w:rsid w:val="00F359C6"/>
    <w:rsid w:val="00F36214"/>
    <w:rsid w:val="00F3676F"/>
    <w:rsid w:val="00F37118"/>
    <w:rsid w:val="00F41687"/>
    <w:rsid w:val="00F42A91"/>
    <w:rsid w:val="00F43212"/>
    <w:rsid w:val="00F4614E"/>
    <w:rsid w:val="00F46D01"/>
    <w:rsid w:val="00F47359"/>
    <w:rsid w:val="00F47791"/>
    <w:rsid w:val="00F478D5"/>
    <w:rsid w:val="00F50046"/>
    <w:rsid w:val="00F506F2"/>
    <w:rsid w:val="00F50836"/>
    <w:rsid w:val="00F50FE5"/>
    <w:rsid w:val="00F5405C"/>
    <w:rsid w:val="00F541A4"/>
    <w:rsid w:val="00F54225"/>
    <w:rsid w:val="00F545F9"/>
    <w:rsid w:val="00F55D26"/>
    <w:rsid w:val="00F5676A"/>
    <w:rsid w:val="00F56BEA"/>
    <w:rsid w:val="00F57003"/>
    <w:rsid w:val="00F57254"/>
    <w:rsid w:val="00F57486"/>
    <w:rsid w:val="00F603ED"/>
    <w:rsid w:val="00F60CBF"/>
    <w:rsid w:val="00F633FF"/>
    <w:rsid w:val="00F63805"/>
    <w:rsid w:val="00F65108"/>
    <w:rsid w:val="00F67B80"/>
    <w:rsid w:val="00F67C34"/>
    <w:rsid w:val="00F67E74"/>
    <w:rsid w:val="00F705D2"/>
    <w:rsid w:val="00F72341"/>
    <w:rsid w:val="00F73753"/>
    <w:rsid w:val="00F73C96"/>
    <w:rsid w:val="00F7424D"/>
    <w:rsid w:val="00F75EB2"/>
    <w:rsid w:val="00F76933"/>
    <w:rsid w:val="00F807B2"/>
    <w:rsid w:val="00F8439B"/>
    <w:rsid w:val="00F84A23"/>
    <w:rsid w:val="00F8538B"/>
    <w:rsid w:val="00F86D45"/>
    <w:rsid w:val="00F87BAE"/>
    <w:rsid w:val="00F9034E"/>
    <w:rsid w:val="00F90717"/>
    <w:rsid w:val="00F91052"/>
    <w:rsid w:val="00F93B8A"/>
    <w:rsid w:val="00F9480E"/>
    <w:rsid w:val="00F956B6"/>
    <w:rsid w:val="00F9573A"/>
    <w:rsid w:val="00F95D69"/>
    <w:rsid w:val="00F97D8B"/>
    <w:rsid w:val="00FA0D59"/>
    <w:rsid w:val="00FA1305"/>
    <w:rsid w:val="00FA21E9"/>
    <w:rsid w:val="00FA2B3E"/>
    <w:rsid w:val="00FA42EF"/>
    <w:rsid w:val="00FA4CF1"/>
    <w:rsid w:val="00FA5076"/>
    <w:rsid w:val="00FA53D3"/>
    <w:rsid w:val="00FA58E1"/>
    <w:rsid w:val="00FA59B8"/>
    <w:rsid w:val="00FA601A"/>
    <w:rsid w:val="00FA7A6D"/>
    <w:rsid w:val="00FB00E6"/>
    <w:rsid w:val="00FB0F50"/>
    <w:rsid w:val="00FB157D"/>
    <w:rsid w:val="00FB2307"/>
    <w:rsid w:val="00FB3030"/>
    <w:rsid w:val="00FB338D"/>
    <w:rsid w:val="00FB3F61"/>
    <w:rsid w:val="00FB43CD"/>
    <w:rsid w:val="00FB6604"/>
    <w:rsid w:val="00FB6DA6"/>
    <w:rsid w:val="00FB724E"/>
    <w:rsid w:val="00FB75BA"/>
    <w:rsid w:val="00FC0C0F"/>
    <w:rsid w:val="00FC104C"/>
    <w:rsid w:val="00FC1C99"/>
    <w:rsid w:val="00FC299C"/>
    <w:rsid w:val="00FC29CF"/>
    <w:rsid w:val="00FC310D"/>
    <w:rsid w:val="00FC436F"/>
    <w:rsid w:val="00FC440E"/>
    <w:rsid w:val="00FC4988"/>
    <w:rsid w:val="00FC5593"/>
    <w:rsid w:val="00FC60F5"/>
    <w:rsid w:val="00FC6158"/>
    <w:rsid w:val="00FC6334"/>
    <w:rsid w:val="00FC731C"/>
    <w:rsid w:val="00FC7494"/>
    <w:rsid w:val="00FC7B13"/>
    <w:rsid w:val="00FC7B17"/>
    <w:rsid w:val="00FD110B"/>
    <w:rsid w:val="00FD1517"/>
    <w:rsid w:val="00FD1DEA"/>
    <w:rsid w:val="00FD2B16"/>
    <w:rsid w:val="00FD345C"/>
    <w:rsid w:val="00FD3E6E"/>
    <w:rsid w:val="00FD4380"/>
    <w:rsid w:val="00FD44D4"/>
    <w:rsid w:val="00FD4974"/>
    <w:rsid w:val="00FD6009"/>
    <w:rsid w:val="00FD6317"/>
    <w:rsid w:val="00FD65FC"/>
    <w:rsid w:val="00FD6ACE"/>
    <w:rsid w:val="00FD6B4D"/>
    <w:rsid w:val="00FD6E9B"/>
    <w:rsid w:val="00FE0605"/>
    <w:rsid w:val="00FE13CF"/>
    <w:rsid w:val="00FE1B68"/>
    <w:rsid w:val="00FE1BEA"/>
    <w:rsid w:val="00FE2862"/>
    <w:rsid w:val="00FE365D"/>
    <w:rsid w:val="00FE3837"/>
    <w:rsid w:val="00FE59E4"/>
    <w:rsid w:val="00FE5E7F"/>
    <w:rsid w:val="00FE6AE9"/>
    <w:rsid w:val="00FE7459"/>
    <w:rsid w:val="00FF2554"/>
    <w:rsid w:val="00FF29F8"/>
    <w:rsid w:val="00FF2F8B"/>
    <w:rsid w:val="00FF32E0"/>
    <w:rsid w:val="00FF341F"/>
    <w:rsid w:val="00FF38AC"/>
    <w:rsid w:val="00FF402F"/>
    <w:rsid w:val="00FF417A"/>
    <w:rsid w:val="00FF5058"/>
    <w:rsid w:val="00FF51C3"/>
    <w:rsid w:val="00FF5351"/>
    <w:rsid w:val="00FF56E6"/>
    <w:rsid w:val="00FF774A"/>
    <w:rsid w:val="00FF7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178"/>
    <w:pPr>
      <w:spacing w:after="0" w:line="240" w:lineRule="auto"/>
      <w:jc w:val="both"/>
    </w:pPr>
    <w:rPr>
      <w:rFonts w:ascii="Verdana" w:eastAsia="Calibri" w:hAnsi="Verdana" w:cs="Calibri"/>
      <w:sz w:val="20"/>
      <w:lang w:val="es-MX"/>
    </w:rPr>
  </w:style>
  <w:style w:type="paragraph" w:styleId="Heading1">
    <w:name w:val="heading 1"/>
    <w:basedOn w:val="Normal"/>
    <w:next w:val="Normal"/>
    <w:link w:val="Heading1Char"/>
    <w:uiPriority w:val="9"/>
    <w:qFormat/>
    <w:rsid w:val="00231552"/>
    <w:pPr>
      <w:keepNext/>
      <w:keepLines/>
      <w:spacing w:before="480"/>
      <w:outlineLvl w:val="0"/>
    </w:pPr>
    <w:rPr>
      <w:rFonts w:eastAsiaTheme="majorEastAsia" w:cstheme="majorBidi"/>
      <w:b/>
      <w:bCs/>
      <w:sz w:val="24"/>
      <w:szCs w:val="28"/>
    </w:rPr>
  </w:style>
  <w:style w:type="paragraph" w:styleId="Heading2">
    <w:name w:val="heading 2"/>
    <w:basedOn w:val="Normal"/>
    <w:next w:val="Normal"/>
    <w:link w:val="Heading2Char"/>
    <w:unhideWhenUsed/>
    <w:qFormat/>
    <w:rsid w:val="00231552"/>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31552"/>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231552"/>
    <w:pPr>
      <w:keepNext/>
      <w:keepLines/>
      <w:spacing w:before="200"/>
      <w:outlineLvl w:val="3"/>
    </w:pPr>
    <w:rPr>
      <w:rFonts w:eastAsiaTheme="majorEastAsia" w:cstheme="majorBidi"/>
      <w:bCs/>
      <w:iCs/>
    </w:rPr>
  </w:style>
  <w:style w:type="paragraph" w:styleId="Heading5">
    <w:name w:val="heading 5"/>
    <w:basedOn w:val="Normal"/>
    <w:next w:val="Normal"/>
    <w:link w:val="Heading5Char"/>
    <w:uiPriority w:val="9"/>
    <w:unhideWhenUsed/>
    <w:qFormat/>
    <w:rsid w:val="00306F4D"/>
    <w:pPr>
      <w:keepNext/>
      <w:keepLines/>
      <w:spacing w:before="200" w:line="276" w:lineRule="auto"/>
      <w:jc w:val="left"/>
      <w:outlineLvl w:val="4"/>
    </w:pPr>
    <w:rPr>
      <w:rFonts w:asciiTheme="majorHAnsi" w:eastAsiaTheme="majorEastAsia" w:hAnsiTheme="majorHAnsi" w:cstheme="majorBidi"/>
      <w:color w:val="243F60" w:themeColor="accent1" w:themeShade="7F"/>
      <w:lang w:val="es-CR"/>
    </w:rPr>
  </w:style>
  <w:style w:type="paragraph" w:styleId="Heading6">
    <w:name w:val="heading 6"/>
    <w:basedOn w:val="Normal"/>
    <w:next w:val="Normal"/>
    <w:link w:val="Heading6Char"/>
    <w:uiPriority w:val="9"/>
    <w:unhideWhenUsed/>
    <w:qFormat/>
    <w:rsid w:val="00306F4D"/>
    <w:pPr>
      <w:keepNext/>
      <w:keepLines/>
      <w:spacing w:before="200" w:line="276" w:lineRule="auto"/>
      <w:jc w:val="left"/>
      <w:outlineLvl w:val="5"/>
    </w:pPr>
    <w:rPr>
      <w:rFonts w:asciiTheme="majorHAnsi" w:eastAsiaTheme="majorEastAsia" w:hAnsiTheme="majorHAnsi" w:cstheme="majorBidi"/>
      <w:i/>
      <w:iCs/>
      <w:color w:val="243F60" w:themeColor="accent1" w:themeShade="7F"/>
      <w:lang w:val="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552"/>
    <w:rPr>
      <w:rFonts w:ascii="Verdana" w:eastAsiaTheme="majorEastAsia" w:hAnsi="Verdana" w:cstheme="majorBidi"/>
      <w:b/>
      <w:bCs/>
      <w:sz w:val="24"/>
      <w:szCs w:val="28"/>
      <w:lang w:val="es-MX"/>
    </w:rPr>
  </w:style>
  <w:style w:type="character" w:customStyle="1" w:styleId="Heading2Char">
    <w:name w:val="Heading 2 Char"/>
    <w:basedOn w:val="DefaultParagraphFont"/>
    <w:link w:val="Heading2"/>
    <w:uiPriority w:val="9"/>
    <w:rsid w:val="00231552"/>
    <w:rPr>
      <w:rFonts w:ascii="Verdana" w:eastAsiaTheme="majorEastAsia" w:hAnsi="Verdana" w:cstheme="majorBidi"/>
      <w:b/>
      <w:bCs/>
      <w:sz w:val="20"/>
      <w:szCs w:val="26"/>
      <w:lang w:val="es-MX"/>
    </w:rPr>
  </w:style>
  <w:style w:type="character" w:customStyle="1" w:styleId="Heading3Char">
    <w:name w:val="Heading 3 Char"/>
    <w:basedOn w:val="DefaultParagraphFont"/>
    <w:link w:val="Heading3"/>
    <w:uiPriority w:val="9"/>
    <w:rsid w:val="00231552"/>
    <w:rPr>
      <w:rFonts w:ascii="Verdana" w:eastAsiaTheme="majorEastAsia" w:hAnsi="Verdana" w:cstheme="majorBidi"/>
      <w:b/>
      <w:bCs/>
      <w:sz w:val="20"/>
      <w:lang w:val="es-MX"/>
    </w:rPr>
  </w:style>
  <w:style w:type="character" w:customStyle="1" w:styleId="Heading4Char">
    <w:name w:val="Heading 4 Char"/>
    <w:basedOn w:val="DefaultParagraphFont"/>
    <w:link w:val="Heading4"/>
    <w:uiPriority w:val="9"/>
    <w:rsid w:val="00231552"/>
    <w:rPr>
      <w:rFonts w:ascii="Verdana" w:eastAsiaTheme="majorEastAsia" w:hAnsi="Verdana" w:cstheme="majorBidi"/>
      <w:bCs/>
      <w:iCs/>
      <w:sz w:val="20"/>
      <w:lang w:val="es-MX"/>
    </w:rPr>
  </w:style>
  <w:style w:type="character" w:styleId="FootnoteReference">
    <w:name w:val="footnote reference"/>
    <w:aliases w:val="Texto de nota al pie,Appel note de bas de page,Footnotes refss,Footnote number,referencia nota al pie,BVI fnr,f,4_G,16 Point,Superscript 6 Point,Footnote Reference Char3,Footnote Reference Char1 Char,Footnote Reference Char Char Char"/>
    <w:basedOn w:val="DefaultParagraphFont"/>
    <w:link w:val="4GChar"/>
    <w:uiPriority w:val="99"/>
    <w:qFormat/>
    <w:rsid w:val="00A36178"/>
    <w:rPr>
      <w:rFonts w:ascii="Verdana" w:hAnsi="Verdana" w:cs="Verdana"/>
      <w:sz w:val="16"/>
      <w:szCs w:val="16"/>
      <w:vertAlign w:val="superscript"/>
    </w:rPr>
  </w:style>
  <w:style w:type="paragraph" w:customStyle="1" w:styleId="citaindirecta">
    <w:name w:val="cita indirecta"/>
    <w:basedOn w:val="Normal"/>
    <w:rsid w:val="00A36178"/>
    <w:pPr>
      <w:ind w:left="708"/>
    </w:pPr>
    <w:rPr>
      <w:rFonts w:eastAsia="Times New Roman" w:cs="Times New Roman"/>
      <w:szCs w:val="20"/>
      <w:lang w:val="es-ES_tradnl"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A36178"/>
    <w:rPr>
      <w:rFonts w:eastAsiaTheme="minorHAnsi" w:cs="Verdana"/>
      <w:sz w:val="16"/>
      <w:szCs w:val="16"/>
      <w:vertAlign w:val="superscript"/>
      <w:lang w:val="en-US"/>
    </w:rPr>
  </w:style>
  <w:style w:type="paragraph" w:styleId="NoSpacing">
    <w:name w:val="No Spacing"/>
    <w:uiPriority w:val="1"/>
    <w:qFormat/>
    <w:rsid w:val="00A36178"/>
    <w:pPr>
      <w:suppressAutoHyphens/>
      <w:spacing w:after="0" w:line="240" w:lineRule="auto"/>
    </w:pPr>
    <w:rPr>
      <w:rFonts w:ascii="Calibri" w:eastAsia="Calibri" w:hAnsi="Calibri" w:cs="Calibri"/>
      <w:lang w:val="es-AR" w:eastAsia="ar-SA"/>
    </w:rPr>
  </w:style>
  <w:style w:type="paragraph" w:styleId="Header">
    <w:name w:val="header"/>
    <w:basedOn w:val="Normal"/>
    <w:link w:val="HeaderChar"/>
    <w:uiPriority w:val="99"/>
    <w:unhideWhenUsed/>
    <w:rsid w:val="00A36178"/>
    <w:pPr>
      <w:tabs>
        <w:tab w:val="center" w:pos="4680"/>
        <w:tab w:val="right" w:pos="9360"/>
      </w:tabs>
    </w:pPr>
  </w:style>
  <w:style w:type="character" w:customStyle="1" w:styleId="HeaderChar">
    <w:name w:val="Header Char"/>
    <w:basedOn w:val="DefaultParagraphFont"/>
    <w:link w:val="Header"/>
    <w:uiPriority w:val="99"/>
    <w:rsid w:val="00A36178"/>
    <w:rPr>
      <w:rFonts w:ascii="Verdana" w:eastAsia="Calibri" w:hAnsi="Verdana" w:cs="Calibri"/>
      <w:sz w:val="20"/>
      <w:lang w:val="es-MX"/>
    </w:rPr>
  </w:style>
  <w:style w:type="paragraph" w:styleId="Footer">
    <w:name w:val="footer"/>
    <w:basedOn w:val="Normal"/>
    <w:link w:val="FooterChar"/>
    <w:uiPriority w:val="99"/>
    <w:unhideWhenUsed/>
    <w:rsid w:val="00A36178"/>
    <w:pPr>
      <w:tabs>
        <w:tab w:val="center" w:pos="4680"/>
        <w:tab w:val="right" w:pos="9360"/>
      </w:tabs>
    </w:pPr>
  </w:style>
  <w:style w:type="character" w:customStyle="1" w:styleId="FooterChar">
    <w:name w:val="Footer Char"/>
    <w:basedOn w:val="DefaultParagraphFont"/>
    <w:link w:val="Footer"/>
    <w:uiPriority w:val="99"/>
    <w:rsid w:val="00A36178"/>
    <w:rPr>
      <w:rFonts w:ascii="Verdana" w:eastAsia="Calibri" w:hAnsi="Verdana" w:cs="Calibri"/>
      <w:sz w:val="20"/>
      <w:lang w:val="es-MX"/>
    </w:rPr>
  </w:style>
  <w:style w:type="paragraph" w:styleId="ListParagraph">
    <w:name w:val="List Paragraph"/>
    <w:aliases w:val="Footnote,Colorful List - Accent 11,List Paragraph2,List Paragraph1,Párrafo de lista1,Lista vistosa - Énfasis 11,Subtle Emphasis1,Footnote1"/>
    <w:basedOn w:val="Normal"/>
    <w:link w:val="ListParagraphChar"/>
    <w:uiPriority w:val="34"/>
    <w:qFormat/>
    <w:rsid w:val="00A36178"/>
    <w:pPr>
      <w:ind w:left="720"/>
      <w:contextualSpacing/>
    </w:pPr>
  </w:style>
  <w:style w:type="paragraph" w:styleId="FootnoteText">
    <w:name w:val="footnote text"/>
    <w:aliases w:val="FA Fu,Footnote Text Char Char Char Char Char,Footnote Text Char Char Char Char,Footnote reference,Footnote Text Char Char Char,Texto nota pie Car,FA Fu Car,FA Fu Car Car,Footnote Text Cha,FA Fußnotentext,FA Fuﬂnotentext,FA Fu?notentext,Ca"/>
    <w:basedOn w:val="Normal"/>
    <w:link w:val="FootnoteTextChar"/>
    <w:unhideWhenUsed/>
    <w:qFormat/>
    <w:rsid w:val="00A36178"/>
    <w:rPr>
      <w:szCs w:val="20"/>
    </w:rPr>
  </w:style>
  <w:style w:type="character" w:customStyle="1" w:styleId="FootnoteTextChar">
    <w:name w:val="Footnote Text Char"/>
    <w:aliases w:val="FA Fu Char1,Footnote Text Char Char Char Char Char Char1,Footnote Text Char Char Char Char Char2,Footnote reference Char1,Footnote Text Char Char Char Char2,Texto nota pie Car Char1,FA Fu Car Char1,FA Fu Car Car Char1,Ca Char"/>
    <w:basedOn w:val="DefaultParagraphFont"/>
    <w:link w:val="FootnoteText"/>
    <w:qFormat/>
    <w:rsid w:val="00A36178"/>
    <w:rPr>
      <w:rFonts w:ascii="Verdana" w:eastAsia="Calibri" w:hAnsi="Verdana" w:cs="Calibri"/>
      <w:sz w:val="20"/>
      <w:szCs w:val="20"/>
      <w:lang w:val="es-MX"/>
    </w:rPr>
  </w:style>
  <w:style w:type="character" w:customStyle="1" w:styleId="ListParagraphChar">
    <w:name w:val="List Paragraph Char"/>
    <w:aliases w:val="Footnote Char,Colorful List - Accent 11 Char,List Paragraph2 Char,List Paragraph1 Char,Párrafo de lista1 Char,Lista vistosa - Énfasis 11 Char,Subtle Emphasis1 Char,Footnote1 Char"/>
    <w:link w:val="ListParagraph"/>
    <w:uiPriority w:val="34"/>
    <w:rsid w:val="00A36178"/>
    <w:rPr>
      <w:rFonts w:ascii="Verdana" w:eastAsia="Calibri" w:hAnsi="Verdana" w:cs="Calibri"/>
      <w:sz w:val="20"/>
      <w:lang w:val="es-MX"/>
    </w:rPr>
  </w:style>
  <w:style w:type="character" w:styleId="CommentReference">
    <w:name w:val="annotation reference"/>
    <w:basedOn w:val="DefaultParagraphFont"/>
    <w:uiPriority w:val="99"/>
    <w:rsid w:val="00A36178"/>
    <w:rPr>
      <w:sz w:val="16"/>
      <w:szCs w:val="16"/>
    </w:rPr>
  </w:style>
  <w:style w:type="paragraph" w:styleId="CommentText">
    <w:name w:val="annotation text"/>
    <w:basedOn w:val="Normal"/>
    <w:link w:val="CommentTextChar"/>
    <w:uiPriority w:val="99"/>
    <w:rsid w:val="00A36178"/>
    <w:pPr>
      <w:jc w:val="left"/>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A36178"/>
    <w:rPr>
      <w:rFonts w:ascii="Times New Roman" w:eastAsia="Times New Roman" w:hAnsi="Times New Roman" w:cs="Times New Roman"/>
      <w:sz w:val="20"/>
      <w:szCs w:val="20"/>
      <w:lang w:val="es-MX"/>
    </w:rPr>
  </w:style>
  <w:style w:type="paragraph" w:styleId="BalloonText">
    <w:name w:val="Balloon Text"/>
    <w:basedOn w:val="Normal"/>
    <w:link w:val="BalloonTextChar"/>
    <w:uiPriority w:val="99"/>
    <w:semiHidden/>
    <w:unhideWhenUsed/>
    <w:rsid w:val="00A36178"/>
    <w:rPr>
      <w:rFonts w:ascii="Tahoma" w:hAnsi="Tahoma" w:cs="Tahoma"/>
      <w:sz w:val="16"/>
      <w:szCs w:val="16"/>
    </w:rPr>
  </w:style>
  <w:style w:type="character" w:customStyle="1" w:styleId="BalloonTextChar">
    <w:name w:val="Balloon Text Char"/>
    <w:basedOn w:val="DefaultParagraphFont"/>
    <w:link w:val="BalloonText"/>
    <w:uiPriority w:val="99"/>
    <w:semiHidden/>
    <w:rsid w:val="00A36178"/>
    <w:rPr>
      <w:rFonts w:ascii="Tahoma" w:eastAsia="Calibri" w:hAnsi="Tahoma" w:cs="Tahoma"/>
      <w:sz w:val="16"/>
      <w:szCs w:val="16"/>
      <w:lang w:val="es-MX"/>
    </w:rPr>
  </w:style>
  <w:style w:type="character" w:styleId="Strong">
    <w:name w:val="Strong"/>
    <w:aliases w:val="Heading 2.1"/>
    <w:basedOn w:val="DefaultParagraphFont"/>
    <w:uiPriority w:val="22"/>
    <w:qFormat/>
    <w:rsid w:val="00A36178"/>
    <w:rPr>
      <w:b/>
      <w:bCs/>
    </w:rPr>
  </w:style>
  <w:style w:type="paragraph" w:styleId="TOCHeading">
    <w:name w:val="TOC Heading"/>
    <w:basedOn w:val="Heading1"/>
    <w:next w:val="Normal"/>
    <w:uiPriority w:val="39"/>
    <w:unhideWhenUsed/>
    <w:qFormat/>
    <w:rsid w:val="00A36178"/>
    <w:pPr>
      <w:spacing w:line="276" w:lineRule="auto"/>
      <w:jc w:val="left"/>
      <w:outlineLvl w:val="9"/>
    </w:pPr>
    <w:rPr>
      <w:lang w:val="en-US" w:eastAsia="ja-JP"/>
    </w:rPr>
  </w:style>
  <w:style w:type="paragraph" w:styleId="TOC1">
    <w:name w:val="toc 1"/>
    <w:basedOn w:val="Normal"/>
    <w:next w:val="Normal"/>
    <w:autoRedefine/>
    <w:uiPriority w:val="39"/>
    <w:unhideWhenUsed/>
    <w:rsid w:val="00AD0CC2"/>
    <w:pPr>
      <w:tabs>
        <w:tab w:val="right" w:leader="dot" w:pos="9394"/>
      </w:tabs>
      <w:spacing w:after="100"/>
      <w:jc w:val="center"/>
    </w:pPr>
    <w:rPr>
      <w:noProof/>
      <w:lang w:eastAsia="es-MX"/>
    </w:rPr>
  </w:style>
  <w:style w:type="paragraph" w:styleId="TOC2">
    <w:name w:val="toc 2"/>
    <w:basedOn w:val="Normal"/>
    <w:next w:val="Normal"/>
    <w:autoRedefine/>
    <w:uiPriority w:val="39"/>
    <w:unhideWhenUsed/>
    <w:rsid w:val="00C56B9B"/>
    <w:pPr>
      <w:tabs>
        <w:tab w:val="left" w:pos="650"/>
        <w:tab w:val="right" w:leader="dot" w:pos="9394"/>
      </w:tabs>
      <w:spacing w:after="100"/>
      <w:ind w:left="200"/>
    </w:pPr>
  </w:style>
  <w:style w:type="paragraph" w:styleId="TOC3">
    <w:name w:val="toc 3"/>
    <w:basedOn w:val="Normal"/>
    <w:next w:val="Normal"/>
    <w:autoRedefine/>
    <w:uiPriority w:val="39"/>
    <w:unhideWhenUsed/>
    <w:rsid w:val="00A36178"/>
    <w:pPr>
      <w:spacing w:after="100"/>
      <w:ind w:left="400"/>
    </w:pPr>
  </w:style>
  <w:style w:type="character" w:styleId="Hyperlink">
    <w:name w:val="Hyperlink"/>
    <w:basedOn w:val="DefaultParagraphFont"/>
    <w:uiPriority w:val="99"/>
    <w:unhideWhenUsed/>
    <w:rsid w:val="00A36178"/>
    <w:rPr>
      <w:color w:val="0000FF" w:themeColor="hyperlink"/>
      <w:u w:val="single"/>
    </w:rPr>
  </w:style>
  <w:style w:type="character" w:customStyle="1" w:styleId="FootnoteTextChar1">
    <w:name w:val="Footnote Text Char1"/>
    <w:aliases w:val="FA Fu Char,Footnote Text Char Char Char Char Char Char,Footnote Text Char Char Char Char Char1,Footnote reference Char,Footnote Text Char Char Char Char1,Texto nota pie Car Char,FA Fu Car Char,FA Fu Car Car Char,FA Fußnotentext Char"/>
    <w:basedOn w:val="DefaultParagraphFont"/>
    <w:uiPriority w:val="99"/>
    <w:locked/>
    <w:rsid w:val="00A36178"/>
    <w:rPr>
      <w:rFonts w:ascii="Verdana" w:eastAsia="Calibri" w:hAnsi="Verdana" w:cs="Verdana"/>
      <w:sz w:val="16"/>
      <w:szCs w:val="16"/>
      <w:lang w:val="es-ES_tradnl" w:eastAsia="es-ES"/>
    </w:rPr>
  </w:style>
  <w:style w:type="paragraph" w:customStyle="1" w:styleId="Footnotes">
    <w:name w:val="**. Footnotes"/>
    <w:basedOn w:val="FootnoteText"/>
    <w:link w:val="FootnotesChar"/>
    <w:qFormat/>
    <w:rsid w:val="00A36178"/>
    <w:pPr>
      <w:tabs>
        <w:tab w:val="left" w:pos="567"/>
      </w:tabs>
    </w:pPr>
    <w:rPr>
      <w:rFonts w:eastAsia="Times New Roman" w:cs="Palatino-Italic"/>
      <w:iCs/>
      <w:spacing w:val="-4"/>
      <w:sz w:val="16"/>
      <w:szCs w:val="16"/>
      <w:lang w:val="es-ES" w:bidi="en-US"/>
    </w:rPr>
  </w:style>
  <w:style w:type="character" w:customStyle="1" w:styleId="FootnotesChar">
    <w:name w:val="**. Footnotes Char"/>
    <w:basedOn w:val="DefaultParagraphFont"/>
    <w:link w:val="Footnotes"/>
    <w:rsid w:val="00A36178"/>
    <w:rPr>
      <w:rFonts w:ascii="Verdana" w:eastAsia="Times New Roman" w:hAnsi="Verdana" w:cs="Palatino-Italic"/>
      <w:iCs/>
      <w:spacing w:val="-4"/>
      <w:sz w:val="16"/>
      <w:szCs w:val="16"/>
      <w:lang w:val="es-ES" w:bidi="en-US"/>
    </w:rPr>
  </w:style>
  <w:style w:type="paragraph" w:customStyle="1" w:styleId="PrrafodeSentencia">
    <w:name w:val="*. Párrafo de Sentencia"/>
    <w:basedOn w:val="Normal"/>
    <w:next w:val="Normal"/>
    <w:link w:val="PrrafodeSentenciaChar"/>
    <w:qFormat/>
    <w:rsid w:val="00A36178"/>
    <w:pPr>
      <w:tabs>
        <w:tab w:val="left" w:pos="567"/>
      </w:tabs>
    </w:pPr>
    <w:rPr>
      <w:rFonts w:eastAsia="Batang" w:cs="Times New Roman"/>
      <w:spacing w:val="-4"/>
      <w:lang w:val="es-CR" w:eastAsia="es-MX"/>
    </w:rPr>
  </w:style>
  <w:style w:type="character" w:customStyle="1" w:styleId="PrrafodeSentenciaChar">
    <w:name w:val="*. Párrafo de Sentencia Char"/>
    <w:basedOn w:val="DefaultParagraphFont"/>
    <w:link w:val="PrrafodeSentencia"/>
    <w:rsid w:val="00A36178"/>
    <w:rPr>
      <w:rFonts w:ascii="Verdana" w:eastAsia="Batang" w:hAnsi="Verdana" w:cs="Times New Roman"/>
      <w:spacing w:val="-4"/>
      <w:sz w:val="20"/>
      <w:lang w:val="es-CR" w:eastAsia="es-MX"/>
    </w:rPr>
  </w:style>
  <w:style w:type="character" w:styleId="PageNumber">
    <w:name w:val="page number"/>
    <w:basedOn w:val="DefaultParagraphFont"/>
    <w:rsid w:val="00A36178"/>
  </w:style>
  <w:style w:type="paragraph" w:styleId="CommentSubject">
    <w:name w:val="annotation subject"/>
    <w:basedOn w:val="CommentText"/>
    <w:next w:val="CommentText"/>
    <w:link w:val="CommentSubjectChar"/>
    <w:uiPriority w:val="99"/>
    <w:semiHidden/>
    <w:unhideWhenUsed/>
    <w:rsid w:val="00A36178"/>
    <w:pPr>
      <w:jc w:val="both"/>
    </w:pPr>
    <w:rPr>
      <w:rFonts w:ascii="Verdana" w:eastAsia="Calibri" w:hAnsi="Verdana" w:cs="Calibri"/>
      <w:b/>
      <w:bCs/>
    </w:rPr>
  </w:style>
  <w:style w:type="character" w:customStyle="1" w:styleId="CommentSubjectChar">
    <w:name w:val="Comment Subject Char"/>
    <w:basedOn w:val="CommentTextChar"/>
    <w:link w:val="CommentSubject"/>
    <w:uiPriority w:val="99"/>
    <w:semiHidden/>
    <w:rsid w:val="00A36178"/>
    <w:rPr>
      <w:rFonts w:ascii="Verdana" w:eastAsia="Calibri" w:hAnsi="Verdana" w:cs="Calibri"/>
      <w:b/>
      <w:bCs/>
      <w:sz w:val="20"/>
      <w:szCs w:val="20"/>
      <w:lang w:val="es-MX"/>
    </w:rPr>
  </w:style>
  <w:style w:type="paragraph" w:styleId="NormalWeb">
    <w:name w:val="Normal (Web)"/>
    <w:aliases w:val="Normal (Web) Char1,Normal (Web) Char Char,Normal (Web) Char1 Char,Normal (Web) Char Char Char"/>
    <w:basedOn w:val="Normal"/>
    <w:unhideWhenUsed/>
    <w:rsid w:val="00ED527F"/>
    <w:pPr>
      <w:spacing w:before="100" w:beforeAutospacing="1" w:after="100" w:afterAutospacing="1"/>
      <w:jc w:val="left"/>
    </w:pPr>
    <w:rPr>
      <w:rFonts w:ascii="Times New Roman" w:eastAsia="Times New Roman" w:hAnsi="Times New Roman" w:cs="Times New Roman"/>
      <w:sz w:val="24"/>
      <w:szCs w:val="24"/>
      <w:lang w:val="en-US" w:eastAsia="zh-CN"/>
    </w:rPr>
  </w:style>
  <w:style w:type="paragraph" w:customStyle="1" w:styleId="Estilo1">
    <w:name w:val="Estilo1"/>
    <w:basedOn w:val="Normal"/>
    <w:link w:val="Estilo1Car"/>
    <w:qFormat/>
    <w:rsid w:val="00D623E5"/>
    <w:pPr>
      <w:spacing w:after="120"/>
      <w:ind w:left="2018" w:right="6" w:hanging="180"/>
    </w:pPr>
    <w:rPr>
      <w:rFonts w:eastAsia="Batang" w:cs="Times"/>
      <w:i/>
      <w:szCs w:val="24"/>
      <w:lang w:val="es-ES_tradnl"/>
    </w:rPr>
  </w:style>
  <w:style w:type="character" w:customStyle="1" w:styleId="Estilo1Car">
    <w:name w:val="Estilo1 Car"/>
    <w:basedOn w:val="DefaultParagraphFont"/>
    <w:link w:val="Estilo1"/>
    <w:rsid w:val="00D623E5"/>
    <w:rPr>
      <w:rFonts w:ascii="Verdana" w:eastAsia="Batang" w:hAnsi="Verdana" w:cs="Times"/>
      <w:i/>
      <w:sz w:val="20"/>
      <w:szCs w:val="24"/>
      <w:lang w:val="es-ES_tradnl"/>
    </w:rPr>
  </w:style>
  <w:style w:type="character" w:customStyle="1" w:styleId="Heading5Char">
    <w:name w:val="Heading 5 Char"/>
    <w:basedOn w:val="DefaultParagraphFont"/>
    <w:link w:val="Heading5"/>
    <w:uiPriority w:val="9"/>
    <w:rsid w:val="00306F4D"/>
    <w:rPr>
      <w:rFonts w:asciiTheme="majorHAnsi" w:eastAsiaTheme="majorEastAsia" w:hAnsiTheme="majorHAnsi" w:cstheme="majorBidi"/>
      <w:color w:val="243F60" w:themeColor="accent1" w:themeShade="7F"/>
      <w:sz w:val="20"/>
      <w:lang w:val="es-CR"/>
    </w:rPr>
  </w:style>
  <w:style w:type="character" w:customStyle="1" w:styleId="Heading6Char">
    <w:name w:val="Heading 6 Char"/>
    <w:basedOn w:val="DefaultParagraphFont"/>
    <w:link w:val="Heading6"/>
    <w:uiPriority w:val="9"/>
    <w:rsid w:val="00306F4D"/>
    <w:rPr>
      <w:rFonts w:asciiTheme="majorHAnsi" w:eastAsiaTheme="majorEastAsia" w:hAnsiTheme="majorHAnsi" w:cstheme="majorBidi"/>
      <w:i/>
      <w:iCs/>
      <w:color w:val="243F60" w:themeColor="accent1" w:themeShade="7F"/>
      <w:sz w:val="20"/>
      <w:lang w:val="es-CR"/>
    </w:rPr>
  </w:style>
  <w:style w:type="character" w:customStyle="1" w:styleId="Smbolodenotaalpie">
    <w:name w:val="Símbolo de nota al pie"/>
    <w:rsid w:val="00306F4D"/>
    <w:rPr>
      <w:rFonts w:cs="Times New Roman"/>
      <w:szCs w:val="20"/>
      <w:vertAlign w:val="superscript"/>
    </w:rPr>
  </w:style>
  <w:style w:type="paragraph" w:customStyle="1" w:styleId="Default">
    <w:name w:val="Default"/>
    <w:rsid w:val="00306F4D"/>
    <w:pPr>
      <w:autoSpaceDE w:val="0"/>
      <w:autoSpaceDN w:val="0"/>
      <w:adjustRightInd w:val="0"/>
      <w:spacing w:after="0" w:line="240" w:lineRule="auto"/>
    </w:pPr>
    <w:rPr>
      <w:rFonts w:ascii="Verdana" w:hAnsi="Verdana" w:cs="Verdana"/>
      <w:color w:val="000000"/>
      <w:sz w:val="24"/>
      <w:szCs w:val="24"/>
      <w:lang w:val="es-CR"/>
    </w:rPr>
  </w:style>
  <w:style w:type="paragraph" w:customStyle="1" w:styleId="p1">
    <w:name w:val="p1"/>
    <w:basedOn w:val="Normal"/>
    <w:rsid w:val="003459F5"/>
    <w:pPr>
      <w:jc w:val="left"/>
    </w:pPr>
    <w:rPr>
      <w:rFonts w:ascii="Times" w:eastAsiaTheme="minorHAnsi" w:hAnsi="Times" w:cs="Times New Roman"/>
      <w:sz w:val="18"/>
      <w:szCs w:val="18"/>
      <w:lang w:val="en-US"/>
    </w:rPr>
  </w:style>
  <w:style w:type="paragraph" w:customStyle="1" w:styleId="Estilo5">
    <w:name w:val="Estilo5"/>
    <w:basedOn w:val="ListParagraph"/>
    <w:qFormat/>
    <w:rsid w:val="003459F5"/>
    <w:pPr>
      <w:tabs>
        <w:tab w:val="num" w:pos="0"/>
      </w:tabs>
      <w:spacing w:after="120" w:line="216" w:lineRule="auto"/>
      <w:ind w:left="0" w:right="18"/>
      <w:contextualSpacing w:val="0"/>
    </w:pPr>
    <w:rPr>
      <w:rFonts w:eastAsia="Times New Roman" w:cs="Times New Roman"/>
      <w:spacing w:val="-2"/>
      <w:szCs w:val="20"/>
    </w:rPr>
  </w:style>
  <w:style w:type="character" w:styleId="LineNumber">
    <w:name w:val="line number"/>
    <w:basedOn w:val="DefaultParagraphFont"/>
    <w:uiPriority w:val="99"/>
    <w:semiHidden/>
    <w:unhideWhenUsed/>
    <w:rsid w:val="00E765EA"/>
  </w:style>
  <w:style w:type="paragraph" w:styleId="TOC4">
    <w:name w:val="toc 4"/>
    <w:basedOn w:val="Normal"/>
    <w:next w:val="Normal"/>
    <w:autoRedefine/>
    <w:uiPriority w:val="39"/>
    <w:unhideWhenUsed/>
    <w:rsid w:val="009B6028"/>
    <w:pPr>
      <w:spacing w:after="100" w:line="276" w:lineRule="auto"/>
      <w:ind w:left="660"/>
      <w:jc w:val="left"/>
    </w:pPr>
    <w:rPr>
      <w:rFonts w:asciiTheme="minorHAnsi" w:eastAsiaTheme="minorEastAsia" w:hAnsiTheme="minorHAnsi" w:cstheme="minorBidi"/>
      <w:sz w:val="22"/>
      <w:lang w:val="es-CR" w:eastAsia="es-CR"/>
    </w:rPr>
  </w:style>
  <w:style w:type="paragraph" w:styleId="TOC5">
    <w:name w:val="toc 5"/>
    <w:basedOn w:val="Normal"/>
    <w:next w:val="Normal"/>
    <w:autoRedefine/>
    <w:uiPriority w:val="39"/>
    <w:unhideWhenUsed/>
    <w:rsid w:val="009B6028"/>
    <w:pPr>
      <w:spacing w:after="100" w:line="276" w:lineRule="auto"/>
      <w:ind w:left="880"/>
      <w:jc w:val="left"/>
    </w:pPr>
    <w:rPr>
      <w:rFonts w:asciiTheme="minorHAnsi" w:eastAsiaTheme="minorEastAsia" w:hAnsiTheme="minorHAnsi" w:cstheme="minorBidi"/>
      <w:sz w:val="22"/>
      <w:lang w:val="es-CR" w:eastAsia="es-CR"/>
    </w:rPr>
  </w:style>
  <w:style w:type="paragraph" w:styleId="TOC6">
    <w:name w:val="toc 6"/>
    <w:basedOn w:val="Normal"/>
    <w:next w:val="Normal"/>
    <w:autoRedefine/>
    <w:uiPriority w:val="39"/>
    <w:unhideWhenUsed/>
    <w:rsid w:val="009B6028"/>
    <w:pPr>
      <w:spacing w:after="100" w:line="276" w:lineRule="auto"/>
      <w:ind w:left="1100"/>
      <w:jc w:val="left"/>
    </w:pPr>
    <w:rPr>
      <w:rFonts w:asciiTheme="minorHAnsi" w:eastAsiaTheme="minorEastAsia" w:hAnsiTheme="minorHAnsi" w:cstheme="minorBidi"/>
      <w:sz w:val="22"/>
      <w:lang w:val="es-CR" w:eastAsia="es-CR"/>
    </w:rPr>
  </w:style>
  <w:style w:type="paragraph" w:styleId="TOC7">
    <w:name w:val="toc 7"/>
    <w:basedOn w:val="Normal"/>
    <w:next w:val="Normal"/>
    <w:autoRedefine/>
    <w:uiPriority w:val="39"/>
    <w:unhideWhenUsed/>
    <w:rsid w:val="009B6028"/>
    <w:pPr>
      <w:spacing w:after="100" w:line="276" w:lineRule="auto"/>
      <w:ind w:left="1320"/>
      <w:jc w:val="left"/>
    </w:pPr>
    <w:rPr>
      <w:rFonts w:asciiTheme="minorHAnsi" w:eastAsiaTheme="minorEastAsia" w:hAnsiTheme="minorHAnsi" w:cstheme="minorBidi"/>
      <w:sz w:val="22"/>
      <w:lang w:val="es-CR" w:eastAsia="es-CR"/>
    </w:rPr>
  </w:style>
  <w:style w:type="paragraph" w:styleId="TOC8">
    <w:name w:val="toc 8"/>
    <w:basedOn w:val="Normal"/>
    <w:next w:val="Normal"/>
    <w:autoRedefine/>
    <w:uiPriority w:val="39"/>
    <w:unhideWhenUsed/>
    <w:rsid w:val="009B6028"/>
    <w:pPr>
      <w:spacing w:after="100" w:line="276" w:lineRule="auto"/>
      <w:ind w:left="1540"/>
      <w:jc w:val="left"/>
    </w:pPr>
    <w:rPr>
      <w:rFonts w:asciiTheme="minorHAnsi" w:eastAsiaTheme="minorEastAsia" w:hAnsiTheme="minorHAnsi" w:cstheme="minorBidi"/>
      <w:sz w:val="22"/>
      <w:lang w:val="es-CR" w:eastAsia="es-CR"/>
    </w:rPr>
  </w:style>
  <w:style w:type="paragraph" w:styleId="TOC9">
    <w:name w:val="toc 9"/>
    <w:basedOn w:val="Normal"/>
    <w:next w:val="Normal"/>
    <w:autoRedefine/>
    <w:uiPriority w:val="39"/>
    <w:unhideWhenUsed/>
    <w:rsid w:val="009B6028"/>
    <w:pPr>
      <w:spacing w:after="100" w:line="276" w:lineRule="auto"/>
      <w:ind w:left="1760"/>
      <w:jc w:val="left"/>
    </w:pPr>
    <w:rPr>
      <w:rFonts w:asciiTheme="minorHAnsi" w:eastAsiaTheme="minorEastAsia" w:hAnsiTheme="minorHAnsi" w:cstheme="minorBidi"/>
      <w:sz w:val="22"/>
      <w:lang w:val="es-CR" w:eastAsia="es-CR"/>
    </w:rPr>
  </w:style>
  <w:style w:type="paragraph" w:styleId="Revision">
    <w:name w:val="Revision"/>
    <w:hidden/>
    <w:uiPriority w:val="99"/>
    <w:semiHidden/>
    <w:rsid w:val="00AF098E"/>
    <w:pPr>
      <w:spacing w:after="0" w:line="240" w:lineRule="auto"/>
    </w:pPr>
    <w:rPr>
      <w:rFonts w:ascii="Verdana" w:eastAsia="Calibri" w:hAnsi="Verdana" w:cs="Calibri"/>
      <w:sz w:val="20"/>
      <w:lang w:val="es-MX"/>
    </w:rPr>
  </w:style>
  <w:style w:type="paragraph" w:customStyle="1" w:styleId="align-justify">
    <w:name w:val="align-justify"/>
    <w:basedOn w:val="Normal"/>
    <w:rsid w:val="000C3021"/>
    <w:pPr>
      <w:spacing w:before="100" w:beforeAutospacing="1" w:after="100" w:afterAutospacing="1"/>
      <w:jc w:val="left"/>
    </w:pPr>
    <w:rPr>
      <w:rFonts w:ascii="Times New Roman" w:eastAsia="Times New Roman" w:hAnsi="Times New Roman" w:cs="Times New Roman"/>
      <w:sz w:val="24"/>
      <w:szCs w:val="24"/>
      <w:lang w:val="es-CR" w:eastAsia="es-CR"/>
    </w:rPr>
  </w:style>
  <w:style w:type="character" w:customStyle="1" w:styleId="apple-style-span">
    <w:name w:val="apple-style-span"/>
    <w:basedOn w:val="DefaultParagraphFont"/>
    <w:rsid w:val="000C3021"/>
  </w:style>
  <w:style w:type="paragraph" w:customStyle="1" w:styleId="Estilo2">
    <w:name w:val="Estilo2"/>
    <w:basedOn w:val="Normal"/>
    <w:qFormat/>
    <w:rsid w:val="000C3021"/>
    <w:pPr>
      <w:tabs>
        <w:tab w:val="left" w:pos="567"/>
        <w:tab w:val="left" w:pos="1134"/>
        <w:tab w:val="num" w:pos="4767"/>
      </w:tabs>
      <w:spacing w:after="120"/>
      <w:ind w:left="4767" w:hanging="360"/>
    </w:pPr>
    <w:rPr>
      <w:rFonts w:cs="Times New Roman"/>
      <w:szCs w:val="20"/>
      <w:lang w:val="es-ES"/>
    </w:rPr>
  </w:style>
  <w:style w:type="paragraph" w:customStyle="1" w:styleId="Prrafodelista2">
    <w:name w:val="Párrafo de lista2"/>
    <w:basedOn w:val="Normal"/>
    <w:uiPriority w:val="99"/>
    <w:rsid w:val="00520345"/>
    <w:pPr>
      <w:ind w:left="720"/>
      <w:jc w:val="left"/>
    </w:pPr>
    <w:rPr>
      <w:rFonts w:eastAsia="MS Mincho" w:cs="Times New Roman"/>
      <w:szCs w:val="20"/>
      <w:lang w:val="es-ES_tradnl"/>
    </w:rPr>
  </w:style>
  <w:style w:type="character" w:customStyle="1" w:styleId="2FootnotesChar">
    <w:name w:val="2. Footnotes Char"/>
    <w:link w:val="2Footnotes"/>
    <w:locked/>
    <w:rsid w:val="00D64F50"/>
    <w:rPr>
      <w:rFonts w:ascii="Verdana" w:eastAsia="Times New Roman" w:hAnsi="Verdana" w:cs="Palatino-Italic"/>
      <w:iCs/>
      <w:sz w:val="16"/>
      <w:szCs w:val="18"/>
      <w:lang w:val="es-ES"/>
    </w:rPr>
  </w:style>
  <w:style w:type="paragraph" w:customStyle="1" w:styleId="2Footnotes">
    <w:name w:val="2. Footnotes"/>
    <w:basedOn w:val="FootnoteText"/>
    <w:link w:val="2FootnotesChar"/>
    <w:autoRedefine/>
    <w:qFormat/>
    <w:rsid w:val="00D64F50"/>
    <w:pPr>
      <w:spacing w:before="120" w:after="120"/>
    </w:pPr>
    <w:rPr>
      <w:rFonts w:eastAsia="Times New Roman" w:cs="Palatino-Italic"/>
      <w:iCs/>
      <w:sz w:val="16"/>
      <w:szCs w:val="18"/>
      <w:lang w:val="es-ES"/>
    </w:rPr>
  </w:style>
  <w:style w:type="paragraph" w:styleId="BodyText3">
    <w:name w:val="Body Text 3"/>
    <w:basedOn w:val="Normal"/>
    <w:link w:val="BodyText3Char"/>
    <w:uiPriority w:val="99"/>
    <w:unhideWhenUsed/>
    <w:rsid w:val="00211F9E"/>
    <w:pPr>
      <w:tabs>
        <w:tab w:val="left" w:pos="567"/>
      </w:tabs>
      <w:jc w:val="left"/>
    </w:pPr>
    <w:rPr>
      <w:rFonts w:eastAsia="Times New Roman" w:cs="Times New Roman"/>
      <w:b/>
      <w:color w:val="FF0000"/>
      <w:szCs w:val="20"/>
      <w:lang w:eastAsia="es-MX"/>
    </w:rPr>
  </w:style>
  <w:style w:type="character" w:customStyle="1" w:styleId="BodyText3Char">
    <w:name w:val="Body Text 3 Char"/>
    <w:basedOn w:val="DefaultParagraphFont"/>
    <w:link w:val="BodyText3"/>
    <w:uiPriority w:val="99"/>
    <w:rsid w:val="00211F9E"/>
    <w:rPr>
      <w:rFonts w:ascii="Verdana" w:eastAsia="Times New Roman" w:hAnsi="Verdana" w:cs="Times New Roman"/>
      <w:b/>
      <w:color w:val="FF0000"/>
      <w:sz w:val="20"/>
      <w:szCs w:val="20"/>
      <w:lang w:val="es-MX" w:eastAsia="es-MX"/>
    </w:rPr>
  </w:style>
  <w:style w:type="character" w:customStyle="1" w:styleId="Caracteresdenotafinal">
    <w:name w:val="Caracteres de nota final"/>
    <w:rsid w:val="007173F1"/>
    <w:rPr>
      <w:vertAlign w:val="superscript"/>
    </w:rPr>
  </w:style>
  <w:style w:type="paragraph" w:styleId="BodyText">
    <w:name w:val="Body Text"/>
    <w:basedOn w:val="Normal"/>
    <w:link w:val="BodyTextChar"/>
    <w:uiPriority w:val="99"/>
    <w:semiHidden/>
    <w:unhideWhenUsed/>
    <w:rsid w:val="00D25057"/>
    <w:pPr>
      <w:spacing w:after="120" w:line="360" w:lineRule="atLeast"/>
    </w:pPr>
    <w:rPr>
      <w:rFonts w:eastAsiaTheme="minorHAnsi" w:cs="Times New Roman"/>
      <w:sz w:val="24"/>
      <w:szCs w:val="24"/>
      <w:lang w:val="en-US"/>
    </w:rPr>
  </w:style>
  <w:style w:type="character" w:customStyle="1" w:styleId="BodyTextChar">
    <w:name w:val="Body Text Char"/>
    <w:basedOn w:val="DefaultParagraphFont"/>
    <w:link w:val="BodyText"/>
    <w:uiPriority w:val="99"/>
    <w:semiHidden/>
    <w:rsid w:val="00D25057"/>
    <w:rPr>
      <w:rFonts w:ascii="Verdana" w:hAnsi="Verdana" w:cs="Times New Roman"/>
      <w:sz w:val="24"/>
      <w:szCs w:val="24"/>
    </w:rPr>
  </w:style>
  <w:style w:type="character" w:styleId="FollowedHyperlink">
    <w:name w:val="FollowedHyperlink"/>
    <w:basedOn w:val="DefaultParagraphFont"/>
    <w:uiPriority w:val="99"/>
    <w:semiHidden/>
    <w:unhideWhenUsed/>
    <w:rsid w:val="001235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178"/>
    <w:pPr>
      <w:spacing w:after="0" w:line="240" w:lineRule="auto"/>
      <w:jc w:val="both"/>
    </w:pPr>
    <w:rPr>
      <w:rFonts w:ascii="Verdana" w:eastAsia="Calibri" w:hAnsi="Verdana" w:cs="Calibri"/>
      <w:sz w:val="20"/>
      <w:lang w:val="es-MX"/>
    </w:rPr>
  </w:style>
  <w:style w:type="paragraph" w:styleId="Heading1">
    <w:name w:val="heading 1"/>
    <w:basedOn w:val="Normal"/>
    <w:next w:val="Normal"/>
    <w:link w:val="Heading1Char"/>
    <w:uiPriority w:val="9"/>
    <w:qFormat/>
    <w:rsid w:val="00231552"/>
    <w:pPr>
      <w:keepNext/>
      <w:keepLines/>
      <w:spacing w:before="480"/>
      <w:outlineLvl w:val="0"/>
    </w:pPr>
    <w:rPr>
      <w:rFonts w:eastAsiaTheme="majorEastAsia" w:cstheme="majorBidi"/>
      <w:b/>
      <w:bCs/>
      <w:sz w:val="24"/>
      <w:szCs w:val="28"/>
    </w:rPr>
  </w:style>
  <w:style w:type="paragraph" w:styleId="Heading2">
    <w:name w:val="heading 2"/>
    <w:basedOn w:val="Normal"/>
    <w:next w:val="Normal"/>
    <w:link w:val="Heading2Char"/>
    <w:unhideWhenUsed/>
    <w:qFormat/>
    <w:rsid w:val="00231552"/>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31552"/>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231552"/>
    <w:pPr>
      <w:keepNext/>
      <w:keepLines/>
      <w:spacing w:before="200"/>
      <w:outlineLvl w:val="3"/>
    </w:pPr>
    <w:rPr>
      <w:rFonts w:eastAsiaTheme="majorEastAsia" w:cstheme="majorBidi"/>
      <w:bCs/>
      <w:iCs/>
    </w:rPr>
  </w:style>
  <w:style w:type="paragraph" w:styleId="Heading5">
    <w:name w:val="heading 5"/>
    <w:basedOn w:val="Normal"/>
    <w:next w:val="Normal"/>
    <w:link w:val="Heading5Char"/>
    <w:uiPriority w:val="9"/>
    <w:unhideWhenUsed/>
    <w:qFormat/>
    <w:rsid w:val="00306F4D"/>
    <w:pPr>
      <w:keepNext/>
      <w:keepLines/>
      <w:spacing w:before="200" w:line="276" w:lineRule="auto"/>
      <w:jc w:val="left"/>
      <w:outlineLvl w:val="4"/>
    </w:pPr>
    <w:rPr>
      <w:rFonts w:asciiTheme="majorHAnsi" w:eastAsiaTheme="majorEastAsia" w:hAnsiTheme="majorHAnsi" w:cstheme="majorBidi"/>
      <w:color w:val="243F60" w:themeColor="accent1" w:themeShade="7F"/>
      <w:lang w:val="es-CR"/>
    </w:rPr>
  </w:style>
  <w:style w:type="paragraph" w:styleId="Heading6">
    <w:name w:val="heading 6"/>
    <w:basedOn w:val="Normal"/>
    <w:next w:val="Normal"/>
    <w:link w:val="Heading6Char"/>
    <w:uiPriority w:val="9"/>
    <w:unhideWhenUsed/>
    <w:qFormat/>
    <w:rsid w:val="00306F4D"/>
    <w:pPr>
      <w:keepNext/>
      <w:keepLines/>
      <w:spacing w:before="200" w:line="276" w:lineRule="auto"/>
      <w:jc w:val="left"/>
      <w:outlineLvl w:val="5"/>
    </w:pPr>
    <w:rPr>
      <w:rFonts w:asciiTheme="majorHAnsi" w:eastAsiaTheme="majorEastAsia" w:hAnsiTheme="majorHAnsi" w:cstheme="majorBidi"/>
      <w:i/>
      <w:iCs/>
      <w:color w:val="243F60" w:themeColor="accent1" w:themeShade="7F"/>
      <w:lang w:val="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552"/>
    <w:rPr>
      <w:rFonts w:ascii="Verdana" w:eastAsiaTheme="majorEastAsia" w:hAnsi="Verdana" w:cstheme="majorBidi"/>
      <w:b/>
      <w:bCs/>
      <w:sz w:val="24"/>
      <w:szCs w:val="28"/>
      <w:lang w:val="es-MX"/>
    </w:rPr>
  </w:style>
  <w:style w:type="character" w:customStyle="1" w:styleId="Heading2Char">
    <w:name w:val="Heading 2 Char"/>
    <w:basedOn w:val="DefaultParagraphFont"/>
    <w:link w:val="Heading2"/>
    <w:uiPriority w:val="9"/>
    <w:rsid w:val="00231552"/>
    <w:rPr>
      <w:rFonts w:ascii="Verdana" w:eastAsiaTheme="majorEastAsia" w:hAnsi="Verdana" w:cstheme="majorBidi"/>
      <w:b/>
      <w:bCs/>
      <w:sz w:val="20"/>
      <w:szCs w:val="26"/>
      <w:lang w:val="es-MX"/>
    </w:rPr>
  </w:style>
  <w:style w:type="character" w:customStyle="1" w:styleId="Heading3Char">
    <w:name w:val="Heading 3 Char"/>
    <w:basedOn w:val="DefaultParagraphFont"/>
    <w:link w:val="Heading3"/>
    <w:uiPriority w:val="9"/>
    <w:rsid w:val="00231552"/>
    <w:rPr>
      <w:rFonts w:ascii="Verdana" w:eastAsiaTheme="majorEastAsia" w:hAnsi="Verdana" w:cstheme="majorBidi"/>
      <w:b/>
      <w:bCs/>
      <w:sz w:val="20"/>
      <w:lang w:val="es-MX"/>
    </w:rPr>
  </w:style>
  <w:style w:type="character" w:customStyle="1" w:styleId="Heading4Char">
    <w:name w:val="Heading 4 Char"/>
    <w:basedOn w:val="DefaultParagraphFont"/>
    <w:link w:val="Heading4"/>
    <w:uiPriority w:val="9"/>
    <w:rsid w:val="00231552"/>
    <w:rPr>
      <w:rFonts w:ascii="Verdana" w:eastAsiaTheme="majorEastAsia" w:hAnsi="Verdana" w:cstheme="majorBidi"/>
      <w:bCs/>
      <w:iCs/>
      <w:sz w:val="20"/>
      <w:lang w:val="es-MX"/>
    </w:rPr>
  </w:style>
  <w:style w:type="character" w:styleId="FootnoteReference">
    <w:name w:val="footnote reference"/>
    <w:aliases w:val="Texto de nota al pie,Appel note de bas de page,Footnotes refss,Footnote number,referencia nota al pie,BVI fnr,f,4_G,16 Point,Superscript 6 Point,Footnote Reference Char3,Footnote Reference Char1 Char,Footnote Reference Char Char Char"/>
    <w:basedOn w:val="DefaultParagraphFont"/>
    <w:link w:val="4GChar"/>
    <w:uiPriority w:val="99"/>
    <w:qFormat/>
    <w:rsid w:val="00A36178"/>
    <w:rPr>
      <w:rFonts w:ascii="Verdana" w:hAnsi="Verdana" w:cs="Verdana"/>
      <w:sz w:val="16"/>
      <w:szCs w:val="16"/>
      <w:vertAlign w:val="superscript"/>
    </w:rPr>
  </w:style>
  <w:style w:type="paragraph" w:customStyle="1" w:styleId="citaindirecta">
    <w:name w:val="cita indirecta"/>
    <w:basedOn w:val="Normal"/>
    <w:rsid w:val="00A36178"/>
    <w:pPr>
      <w:ind w:left="708"/>
    </w:pPr>
    <w:rPr>
      <w:rFonts w:eastAsia="Times New Roman" w:cs="Times New Roman"/>
      <w:szCs w:val="20"/>
      <w:lang w:val="es-ES_tradnl"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A36178"/>
    <w:rPr>
      <w:rFonts w:eastAsiaTheme="minorHAnsi" w:cs="Verdana"/>
      <w:sz w:val="16"/>
      <w:szCs w:val="16"/>
      <w:vertAlign w:val="superscript"/>
      <w:lang w:val="en-US"/>
    </w:rPr>
  </w:style>
  <w:style w:type="paragraph" w:styleId="NoSpacing">
    <w:name w:val="No Spacing"/>
    <w:uiPriority w:val="1"/>
    <w:qFormat/>
    <w:rsid w:val="00A36178"/>
    <w:pPr>
      <w:suppressAutoHyphens/>
      <w:spacing w:after="0" w:line="240" w:lineRule="auto"/>
    </w:pPr>
    <w:rPr>
      <w:rFonts w:ascii="Calibri" w:eastAsia="Calibri" w:hAnsi="Calibri" w:cs="Calibri"/>
      <w:lang w:val="es-AR" w:eastAsia="ar-SA"/>
    </w:rPr>
  </w:style>
  <w:style w:type="paragraph" w:styleId="Header">
    <w:name w:val="header"/>
    <w:basedOn w:val="Normal"/>
    <w:link w:val="HeaderChar"/>
    <w:uiPriority w:val="99"/>
    <w:unhideWhenUsed/>
    <w:rsid w:val="00A36178"/>
    <w:pPr>
      <w:tabs>
        <w:tab w:val="center" w:pos="4680"/>
        <w:tab w:val="right" w:pos="9360"/>
      </w:tabs>
    </w:pPr>
  </w:style>
  <w:style w:type="character" w:customStyle="1" w:styleId="HeaderChar">
    <w:name w:val="Header Char"/>
    <w:basedOn w:val="DefaultParagraphFont"/>
    <w:link w:val="Header"/>
    <w:uiPriority w:val="99"/>
    <w:rsid w:val="00A36178"/>
    <w:rPr>
      <w:rFonts w:ascii="Verdana" w:eastAsia="Calibri" w:hAnsi="Verdana" w:cs="Calibri"/>
      <w:sz w:val="20"/>
      <w:lang w:val="es-MX"/>
    </w:rPr>
  </w:style>
  <w:style w:type="paragraph" w:styleId="Footer">
    <w:name w:val="footer"/>
    <w:basedOn w:val="Normal"/>
    <w:link w:val="FooterChar"/>
    <w:uiPriority w:val="99"/>
    <w:unhideWhenUsed/>
    <w:rsid w:val="00A36178"/>
    <w:pPr>
      <w:tabs>
        <w:tab w:val="center" w:pos="4680"/>
        <w:tab w:val="right" w:pos="9360"/>
      </w:tabs>
    </w:pPr>
  </w:style>
  <w:style w:type="character" w:customStyle="1" w:styleId="FooterChar">
    <w:name w:val="Footer Char"/>
    <w:basedOn w:val="DefaultParagraphFont"/>
    <w:link w:val="Footer"/>
    <w:uiPriority w:val="99"/>
    <w:rsid w:val="00A36178"/>
    <w:rPr>
      <w:rFonts w:ascii="Verdana" w:eastAsia="Calibri" w:hAnsi="Verdana" w:cs="Calibri"/>
      <w:sz w:val="20"/>
      <w:lang w:val="es-MX"/>
    </w:rPr>
  </w:style>
  <w:style w:type="paragraph" w:styleId="ListParagraph">
    <w:name w:val="List Paragraph"/>
    <w:aliases w:val="Footnote,Colorful List - Accent 11,List Paragraph2,List Paragraph1,Párrafo de lista1,Lista vistosa - Énfasis 11,Subtle Emphasis1,Footnote1"/>
    <w:basedOn w:val="Normal"/>
    <w:link w:val="ListParagraphChar"/>
    <w:uiPriority w:val="34"/>
    <w:qFormat/>
    <w:rsid w:val="00A36178"/>
    <w:pPr>
      <w:ind w:left="720"/>
      <w:contextualSpacing/>
    </w:pPr>
  </w:style>
  <w:style w:type="paragraph" w:styleId="FootnoteText">
    <w:name w:val="footnote text"/>
    <w:aliases w:val="FA Fu,Footnote Text Char Char Char Char Char,Footnote Text Char Char Char Char,Footnote reference,Footnote Text Char Char Char,Texto nota pie Car,FA Fu Car,FA Fu Car Car,Footnote Text Cha,FA Fußnotentext,FA Fuﬂnotentext,FA Fu?notentext,Ca"/>
    <w:basedOn w:val="Normal"/>
    <w:link w:val="FootnoteTextChar"/>
    <w:unhideWhenUsed/>
    <w:qFormat/>
    <w:rsid w:val="00A36178"/>
    <w:rPr>
      <w:szCs w:val="20"/>
    </w:rPr>
  </w:style>
  <w:style w:type="character" w:customStyle="1" w:styleId="FootnoteTextChar">
    <w:name w:val="Footnote Text Char"/>
    <w:aliases w:val="FA Fu Char1,Footnote Text Char Char Char Char Char Char1,Footnote Text Char Char Char Char Char2,Footnote reference Char1,Footnote Text Char Char Char Char2,Texto nota pie Car Char1,FA Fu Car Char1,FA Fu Car Car Char1,Ca Char"/>
    <w:basedOn w:val="DefaultParagraphFont"/>
    <w:link w:val="FootnoteText"/>
    <w:qFormat/>
    <w:rsid w:val="00A36178"/>
    <w:rPr>
      <w:rFonts w:ascii="Verdana" w:eastAsia="Calibri" w:hAnsi="Verdana" w:cs="Calibri"/>
      <w:sz w:val="20"/>
      <w:szCs w:val="20"/>
      <w:lang w:val="es-MX"/>
    </w:rPr>
  </w:style>
  <w:style w:type="character" w:customStyle="1" w:styleId="ListParagraphChar">
    <w:name w:val="List Paragraph Char"/>
    <w:aliases w:val="Footnote Char,Colorful List - Accent 11 Char,List Paragraph2 Char,List Paragraph1 Char,Párrafo de lista1 Char,Lista vistosa - Énfasis 11 Char,Subtle Emphasis1 Char,Footnote1 Char"/>
    <w:link w:val="ListParagraph"/>
    <w:uiPriority w:val="34"/>
    <w:rsid w:val="00A36178"/>
    <w:rPr>
      <w:rFonts w:ascii="Verdana" w:eastAsia="Calibri" w:hAnsi="Verdana" w:cs="Calibri"/>
      <w:sz w:val="20"/>
      <w:lang w:val="es-MX"/>
    </w:rPr>
  </w:style>
  <w:style w:type="character" w:styleId="CommentReference">
    <w:name w:val="annotation reference"/>
    <w:basedOn w:val="DefaultParagraphFont"/>
    <w:uiPriority w:val="99"/>
    <w:rsid w:val="00A36178"/>
    <w:rPr>
      <w:sz w:val="16"/>
      <w:szCs w:val="16"/>
    </w:rPr>
  </w:style>
  <w:style w:type="paragraph" w:styleId="CommentText">
    <w:name w:val="annotation text"/>
    <w:basedOn w:val="Normal"/>
    <w:link w:val="CommentTextChar"/>
    <w:uiPriority w:val="99"/>
    <w:rsid w:val="00A36178"/>
    <w:pPr>
      <w:jc w:val="left"/>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A36178"/>
    <w:rPr>
      <w:rFonts w:ascii="Times New Roman" w:eastAsia="Times New Roman" w:hAnsi="Times New Roman" w:cs="Times New Roman"/>
      <w:sz w:val="20"/>
      <w:szCs w:val="20"/>
      <w:lang w:val="es-MX"/>
    </w:rPr>
  </w:style>
  <w:style w:type="paragraph" w:styleId="BalloonText">
    <w:name w:val="Balloon Text"/>
    <w:basedOn w:val="Normal"/>
    <w:link w:val="BalloonTextChar"/>
    <w:uiPriority w:val="99"/>
    <w:semiHidden/>
    <w:unhideWhenUsed/>
    <w:rsid w:val="00A36178"/>
    <w:rPr>
      <w:rFonts w:ascii="Tahoma" w:hAnsi="Tahoma" w:cs="Tahoma"/>
      <w:sz w:val="16"/>
      <w:szCs w:val="16"/>
    </w:rPr>
  </w:style>
  <w:style w:type="character" w:customStyle="1" w:styleId="BalloonTextChar">
    <w:name w:val="Balloon Text Char"/>
    <w:basedOn w:val="DefaultParagraphFont"/>
    <w:link w:val="BalloonText"/>
    <w:uiPriority w:val="99"/>
    <w:semiHidden/>
    <w:rsid w:val="00A36178"/>
    <w:rPr>
      <w:rFonts w:ascii="Tahoma" w:eastAsia="Calibri" w:hAnsi="Tahoma" w:cs="Tahoma"/>
      <w:sz w:val="16"/>
      <w:szCs w:val="16"/>
      <w:lang w:val="es-MX"/>
    </w:rPr>
  </w:style>
  <w:style w:type="character" w:styleId="Strong">
    <w:name w:val="Strong"/>
    <w:aliases w:val="Heading 2.1"/>
    <w:basedOn w:val="DefaultParagraphFont"/>
    <w:uiPriority w:val="22"/>
    <w:qFormat/>
    <w:rsid w:val="00A36178"/>
    <w:rPr>
      <w:b/>
      <w:bCs/>
    </w:rPr>
  </w:style>
  <w:style w:type="paragraph" w:styleId="TOCHeading">
    <w:name w:val="TOC Heading"/>
    <w:basedOn w:val="Heading1"/>
    <w:next w:val="Normal"/>
    <w:uiPriority w:val="39"/>
    <w:unhideWhenUsed/>
    <w:qFormat/>
    <w:rsid w:val="00A36178"/>
    <w:pPr>
      <w:spacing w:line="276" w:lineRule="auto"/>
      <w:jc w:val="left"/>
      <w:outlineLvl w:val="9"/>
    </w:pPr>
    <w:rPr>
      <w:lang w:val="en-US" w:eastAsia="ja-JP"/>
    </w:rPr>
  </w:style>
  <w:style w:type="paragraph" w:styleId="TOC1">
    <w:name w:val="toc 1"/>
    <w:basedOn w:val="Normal"/>
    <w:next w:val="Normal"/>
    <w:autoRedefine/>
    <w:uiPriority w:val="39"/>
    <w:unhideWhenUsed/>
    <w:rsid w:val="00AD0CC2"/>
    <w:pPr>
      <w:tabs>
        <w:tab w:val="right" w:leader="dot" w:pos="9394"/>
      </w:tabs>
      <w:spacing w:after="100"/>
      <w:jc w:val="center"/>
    </w:pPr>
    <w:rPr>
      <w:noProof/>
      <w:lang w:eastAsia="es-MX"/>
    </w:rPr>
  </w:style>
  <w:style w:type="paragraph" w:styleId="TOC2">
    <w:name w:val="toc 2"/>
    <w:basedOn w:val="Normal"/>
    <w:next w:val="Normal"/>
    <w:autoRedefine/>
    <w:uiPriority w:val="39"/>
    <w:unhideWhenUsed/>
    <w:rsid w:val="00C56B9B"/>
    <w:pPr>
      <w:tabs>
        <w:tab w:val="left" w:pos="650"/>
        <w:tab w:val="right" w:leader="dot" w:pos="9394"/>
      </w:tabs>
      <w:spacing w:after="100"/>
      <w:ind w:left="200"/>
    </w:pPr>
  </w:style>
  <w:style w:type="paragraph" w:styleId="TOC3">
    <w:name w:val="toc 3"/>
    <w:basedOn w:val="Normal"/>
    <w:next w:val="Normal"/>
    <w:autoRedefine/>
    <w:uiPriority w:val="39"/>
    <w:unhideWhenUsed/>
    <w:rsid w:val="00A36178"/>
    <w:pPr>
      <w:spacing w:after="100"/>
      <w:ind w:left="400"/>
    </w:pPr>
  </w:style>
  <w:style w:type="character" w:styleId="Hyperlink">
    <w:name w:val="Hyperlink"/>
    <w:basedOn w:val="DefaultParagraphFont"/>
    <w:uiPriority w:val="99"/>
    <w:unhideWhenUsed/>
    <w:rsid w:val="00A36178"/>
    <w:rPr>
      <w:color w:val="0000FF" w:themeColor="hyperlink"/>
      <w:u w:val="single"/>
    </w:rPr>
  </w:style>
  <w:style w:type="character" w:customStyle="1" w:styleId="FootnoteTextChar1">
    <w:name w:val="Footnote Text Char1"/>
    <w:aliases w:val="FA Fu Char,Footnote Text Char Char Char Char Char Char,Footnote Text Char Char Char Char Char1,Footnote reference Char,Footnote Text Char Char Char Char1,Texto nota pie Car Char,FA Fu Car Char,FA Fu Car Car Char,FA Fußnotentext Char"/>
    <w:basedOn w:val="DefaultParagraphFont"/>
    <w:uiPriority w:val="99"/>
    <w:locked/>
    <w:rsid w:val="00A36178"/>
    <w:rPr>
      <w:rFonts w:ascii="Verdana" w:eastAsia="Calibri" w:hAnsi="Verdana" w:cs="Verdana"/>
      <w:sz w:val="16"/>
      <w:szCs w:val="16"/>
      <w:lang w:val="es-ES_tradnl" w:eastAsia="es-ES"/>
    </w:rPr>
  </w:style>
  <w:style w:type="paragraph" w:customStyle="1" w:styleId="Footnotes">
    <w:name w:val="**. Footnotes"/>
    <w:basedOn w:val="FootnoteText"/>
    <w:link w:val="FootnotesChar"/>
    <w:qFormat/>
    <w:rsid w:val="00A36178"/>
    <w:pPr>
      <w:tabs>
        <w:tab w:val="left" w:pos="567"/>
      </w:tabs>
    </w:pPr>
    <w:rPr>
      <w:rFonts w:eastAsia="Times New Roman" w:cs="Palatino-Italic"/>
      <w:iCs/>
      <w:spacing w:val="-4"/>
      <w:sz w:val="16"/>
      <w:szCs w:val="16"/>
      <w:lang w:val="es-ES" w:bidi="en-US"/>
    </w:rPr>
  </w:style>
  <w:style w:type="character" w:customStyle="1" w:styleId="FootnotesChar">
    <w:name w:val="**. Footnotes Char"/>
    <w:basedOn w:val="DefaultParagraphFont"/>
    <w:link w:val="Footnotes"/>
    <w:rsid w:val="00A36178"/>
    <w:rPr>
      <w:rFonts w:ascii="Verdana" w:eastAsia="Times New Roman" w:hAnsi="Verdana" w:cs="Palatino-Italic"/>
      <w:iCs/>
      <w:spacing w:val="-4"/>
      <w:sz w:val="16"/>
      <w:szCs w:val="16"/>
      <w:lang w:val="es-ES" w:bidi="en-US"/>
    </w:rPr>
  </w:style>
  <w:style w:type="paragraph" w:customStyle="1" w:styleId="PrrafodeSentencia">
    <w:name w:val="*. Párrafo de Sentencia"/>
    <w:basedOn w:val="Normal"/>
    <w:next w:val="Normal"/>
    <w:link w:val="PrrafodeSentenciaChar"/>
    <w:qFormat/>
    <w:rsid w:val="00A36178"/>
    <w:pPr>
      <w:tabs>
        <w:tab w:val="left" w:pos="567"/>
      </w:tabs>
    </w:pPr>
    <w:rPr>
      <w:rFonts w:eastAsia="Batang" w:cs="Times New Roman"/>
      <w:spacing w:val="-4"/>
      <w:lang w:val="es-CR" w:eastAsia="es-MX"/>
    </w:rPr>
  </w:style>
  <w:style w:type="character" w:customStyle="1" w:styleId="PrrafodeSentenciaChar">
    <w:name w:val="*. Párrafo de Sentencia Char"/>
    <w:basedOn w:val="DefaultParagraphFont"/>
    <w:link w:val="PrrafodeSentencia"/>
    <w:rsid w:val="00A36178"/>
    <w:rPr>
      <w:rFonts w:ascii="Verdana" w:eastAsia="Batang" w:hAnsi="Verdana" w:cs="Times New Roman"/>
      <w:spacing w:val="-4"/>
      <w:sz w:val="20"/>
      <w:lang w:val="es-CR" w:eastAsia="es-MX"/>
    </w:rPr>
  </w:style>
  <w:style w:type="character" w:styleId="PageNumber">
    <w:name w:val="page number"/>
    <w:basedOn w:val="DefaultParagraphFont"/>
    <w:rsid w:val="00A36178"/>
  </w:style>
  <w:style w:type="paragraph" w:styleId="CommentSubject">
    <w:name w:val="annotation subject"/>
    <w:basedOn w:val="CommentText"/>
    <w:next w:val="CommentText"/>
    <w:link w:val="CommentSubjectChar"/>
    <w:uiPriority w:val="99"/>
    <w:semiHidden/>
    <w:unhideWhenUsed/>
    <w:rsid w:val="00A36178"/>
    <w:pPr>
      <w:jc w:val="both"/>
    </w:pPr>
    <w:rPr>
      <w:rFonts w:ascii="Verdana" w:eastAsia="Calibri" w:hAnsi="Verdana" w:cs="Calibri"/>
      <w:b/>
      <w:bCs/>
    </w:rPr>
  </w:style>
  <w:style w:type="character" w:customStyle="1" w:styleId="CommentSubjectChar">
    <w:name w:val="Comment Subject Char"/>
    <w:basedOn w:val="CommentTextChar"/>
    <w:link w:val="CommentSubject"/>
    <w:uiPriority w:val="99"/>
    <w:semiHidden/>
    <w:rsid w:val="00A36178"/>
    <w:rPr>
      <w:rFonts w:ascii="Verdana" w:eastAsia="Calibri" w:hAnsi="Verdana" w:cs="Calibri"/>
      <w:b/>
      <w:bCs/>
      <w:sz w:val="20"/>
      <w:szCs w:val="20"/>
      <w:lang w:val="es-MX"/>
    </w:rPr>
  </w:style>
  <w:style w:type="paragraph" w:styleId="NormalWeb">
    <w:name w:val="Normal (Web)"/>
    <w:aliases w:val="Normal (Web) Char1,Normal (Web) Char Char,Normal (Web) Char1 Char,Normal (Web) Char Char Char"/>
    <w:basedOn w:val="Normal"/>
    <w:unhideWhenUsed/>
    <w:rsid w:val="00ED527F"/>
    <w:pPr>
      <w:spacing w:before="100" w:beforeAutospacing="1" w:after="100" w:afterAutospacing="1"/>
      <w:jc w:val="left"/>
    </w:pPr>
    <w:rPr>
      <w:rFonts w:ascii="Times New Roman" w:eastAsia="Times New Roman" w:hAnsi="Times New Roman" w:cs="Times New Roman"/>
      <w:sz w:val="24"/>
      <w:szCs w:val="24"/>
      <w:lang w:val="en-US" w:eastAsia="zh-CN"/>
    </w:rPr>
  </w:style>
  <w:style w:type="paragraph" w:customStyle="1" w:styleId="Estilo1">
    <w:name w:val="Estilo1"/>
    <w:basedOn w:val="Normal"/>
    <w:link w:val="Estilo1Car"/>
    <w:qFormat/>
    <w:rsid w:val="00D623E5"/>
    <w:pPr>
      <w:spacing w:after="120"/>
      <w:ind w:left="2018" w:right="6" w:hanging="180"/>
    </w:pPr>
    <w:rPr>
      <w:rFonts w:eastAsia="Batang" w:cs="Times"/>
      <w:i/>
      <w:szCs w:val="24"/>
      <w:lang w:val="es-ES_tradnl"/>
    </w:rPr>
  </w:style>
  <w:style w:type="character" w:customStyle="1" w:styleId="Estilo1Car">
    <w:name w:val="Estilo1 Car"/>
    <w:basedOn w:val="DefaultParagraphFont"/>
    <w:link w:val="Estilo1"/>
    <w:rsid w:val="00D623E5"/>
    <w:rPr>
      <w:rFonts w:ascii="Verdana" w:eastAsia="Batang" w:hAnsi="Verdana" w:cs="Times"/>
      <w:i/>
      <w:sz w:val="20"/>
      <w:szCs w:val="24"/>
      <w:lang w:val="es-ES_tradnl"/>
    </w:rPr>
  </w:style>
  <w:style w:type="character" w:customStyle="1" w:styleId="Heading5Char">
    <w:name w:val="Heading 5 Char"/>
    <w:basedOn w:val="DefaultParagraphFont"/>
    <w:link w:val="Heading5"/>
    <w:uiPriority w:val="9"/>
    <w:rsid w:val="00306F4D"/>
    <w:rPr>
      <w:rFonts w:asciiTheme="majorHAnsi" w:eastAsiaTheme="majorEastAsia" w:hAnsiTheme="majorHAnsi" w:cstheme="majorBidi"/>
      <w:color w:val="243F60" w:themeColor="accent1" w:themeShade="7F"/>
      <w:sz w:val="20"/>
      <w:lang w:val="es-CR"/>
    </w:rPr>
  </w:style>
  <w:style w:type="character" w:customStyle="1" w:styleId="Heading6Char">
    <w:name w:val="Heading 6 Char"/>
    <w:basedOn w:val="DefaultParagraphFont"/>
    <w:link w:val="Heading6"/>
    <w:uiPriority w:val="9"/>
    <w:rsid w:val="00306F4D"/>
    <w:rPr>
      <w:rFonts w:asciiTheme="majorHAnsi" w:eastAsiaTheme="majorEastAsia" w:hAnsiTheme="majorHAnsi" w:cstheme="majorBidi"/>
      <w:i/>
      <w:iCs/>
      <w:color w:val="243F60" w:themeColor="accent1" w:themeShade="7F"/>
      <w:sz w:val="20"/>
      <w:lang w:val="es-CR"/>
    </w:rPr>
  </w:style>
  <w:style w:type="character" w:customStyle="1" w:styleId="Smbolodenotaalpie">
    <w:name w:val="Símbolo de nota al pie"/>
    <w:rsid w:val="00306F4D"/>
    <w:rPr>
      <w:rFonts w:cs="Times New Roman"/>
      <w:szCs w:val="20"/>
      <w:vertAlign w:val="superscript"/>
    </w:rPr>
  </w:style>
  <w:style w:type="paragraph" w:customStyle="1" w:styleId="Default">
    <w:name w:val="Default"/>
    <w:rsid w:val="00306F4D"/>
    <w:pPr>
      <w:autoSpaceDE w:val="0"/>
      <w:autoSpaceDN w:val="0"/>
      <w:adjustRightInd w:val="0"/>
      <w:spacing w:after="0" w:line="240" w:lineRule="auto"/>
    </w:pPr>
    <w:rPr>
      <w:rFonts w:ascii="Verdana" w:hAnsi="Verdana" w:cs="Verdana"/>
      <w:color w:val="000000"/>
      <w:sz w:val="24"/>
      <w:szCs w:val="24"/>
      <w:lang w:val="es-CR"/>
    </w:rPr>
  </w:style>
  <w:style w:type="paragraph" w:customStyle="1" w:styleId="p1">
    <w:name w:val="p1"/>
    <w:basedOn w:val="Normal"/>
    <w:rsid w:val="003459F5"/>
    <w:pPr>
      <w:jc w:val="left"/>
    </w:pPr>
    <w:rPr>
      <w:rFonts w:ascii="Times" w:eastAsiaTheme="minorHAnsi" w:hAnsi="Times" w:cs="Times New Roman"/>
      <w:sz w:val="18"/>
      <w:szCs w:val="18"/>
      <w:lang w:val="en-US"/>
    </w:rPr>
  </w:style>
  <w:style w:type="paragraph" w:customStyle="1" w:styleId="Estilo5">
    <w:name w:val="Estilo5"/>
    <w:basedOn w:val="ListParagraph"/>
    <w:qFormat/>
    <w:rsid w:val="003459F5"/>
    <w:pPr>
      <w:tabs>
        <w:tab w:val="num" w:pos="0"/>
      </w:tabs>
      <w:spacing w:after="120" w:line="216" w:lineRule="auto"/>
      <w:ind w:left="0" w:right="18"/>
      <w:contextualSpacing w:val="0"/>
    </w:pPr>
    <w:rPr>
      <w:rFonts w:eastAsia="Times New Roman" w:cs="Times New Roman"/>
      <w:spacing w:val="-2"/>
      <w:szCs w:val="20"/>
    </w:rPr>
  </w:style>
  <w:style w:type="character" w:styleId="LineNumber">
    <w:name w:val="line number"/>
    <w:basedOn w:val="DefaultParagraphFont"/>
    <w:uiPriority w:val="99"/>
    <w:semiHidden/>
    <w:unhideWhenUsed/>
    <w:rsid w:val="00E765EA"/>
  </w:style>
  <w:style w:type="paragraph" w:styleId="TOC4">
    <w:name w:val="toc 4"/>
    <w:basedOn w:val="Normal"/>
    <w:next w:val="Normal"/>
    <w:autoRedefine/>
    <w:uiPriority w:val="39"/>
    <w:unhideWhenUsed/>
    <w:rsid w:val="009B6028"/>
    <w:pPr>
      <w:spacing w:after="100" w:line="276" w:lineRule="auto"/>
      <w:ind w:left="660"/>
      <w:jc w:val="left"/>
    </w:pPr>
    <w:rPr>
      <w:rFonts w:asciiTheme="minorHAnsi" w:eastAsiaTheme="minorEastAsia" w:hAnsiTheme="minorHAnsi" w:cstheme="minorBidi"/>
      <w:sz w:val="22"/>
      <w:lang w:val="es-CR" w:eastAsia="es-CR"/>
    </w:rPr>
  </w:style>
  <w:style w:type="paragraph" w:styleId="TOC5">
    <w:name w:val="toc 5"/>
    <w:basedOn w:val="Normal"/>
    <w:next w:val="Normal"/>
    <w:autoRedefine/>
    <w:uiPriority w:val="39"/>
    <w:unhideWhenUsed/>
    <w:rsid w:val="009B6028"/>
    <w:pPr>
      <w:spacing w:after="100" w:line="276" w:lineRule="auto"/>
      <w:ind w:left="880"/>
      <w:jc w:val="left"/>
    </w:pPr>
    <w:rPr>
      <w:rFonts w:asciiTheme="minorHAnsi" w:eastAsiaTheme="minorEastAsia" w:hAnsiTheme="minorHAnsi" w:cstheme="minorBidi"/>
      <w:sz w:val="22"/>
      <w:lang w:val="es-CR" w:eastAsia="es-CR"/>
    </w:rPr>
  </w:style>
  <w:style w:type="paragraph" w:styleId="TOC6">
    <w:name w:val="toc 6"/>
    <w:basedOn w:val="Normal"/>
    <w:next w:val="Normal"/>
    <w:autoRedefine/>
    <w:uiPriority w:val="39"/>
    <w:unhideWhenUsed/>
    <w:rsid w:val="009B6028"/>
    <w:pPr>
      <w:spacing w:after="100" w:line="276" w:lineRule="auto"/>
      <w:ind w:left="1100"/>
      <w:jc w:val="left"/>
    </w:pPr>
    <w:rPr>
      <w:rFonts w:asciiTheme="minorHAnsi" w:eastAsiaTheme="minorEastAsia" w:hAnsiTheme="minorHAnsi" w:cstheme="minorBidi"/>
      <w:sz w:val="22"/>
      <w:lang w:val="es-CR" w:eastAsia="es-CR"/>
    </w:rPr>
  </w:style>
  <w:style w:type="paragraph" w:styleId="TOC7">
    <w:name w:val="toc 7"/>
    <w:basedOn w:val="Normal"/>
    <w:next w:val="Normal"/>
    <w:autoRedefine/>
    <w:uiPriority w:val="39"/>
    <w:unhideWhenUsed/>
    <w:rsid w:val="009B6028"/>
    <w:pPr>
      <w:spacing w:after="100" w:line="276" w:lineRule="auto"/>
      <w:ind w:left="1320"/>
      <w:jc w:val="left"/>
    </w:pPr>
    <w:rPr>
      <w:rFonts w:asciiTheme="minorHAnsi" w:eastAsiaTheme="minorEastAsia" w:hAnsiTheme="minorHAnsi" w:cstheme="minorBidi"/>
      <w:sz w:val="22"/>
      <w:lang w:val="es-CR" w:eastAsia="es-CR"/>
    </w:rPr>
  </w:style>
  <w:style w:type="paragraph" w:styleId="TOC8">
    <w:name w:val="toc 8"/>
    <w:basedOn w:val="Normal"/>
    <w:next w:val="Normal"/>
    <w:autoRedefine/>
    <w:uiPriority w:val="39"/>
    <w:unhideWhenUsed/>
    <w:rsid w:val="009B6028"/>
    <w:pPr>
      <w:spacing w:after="100" w:line="276" w:lineRule="auto"/>
      <w:ind w:left="1540"/>
      <w:jc w:val="left"/>
    </w:pPr>
    <w:rPr>
      <w:rFonts w:asciiTheme="minorHAnsi" w:eastAsiaTheme="minorEastAsia" w:hAnsiTheme="minorHAnsi" w:cstheme="minorBidi"/>
      <w:sz w:val="22"/>
      <w:lang w:val="es-CR" w:eastAsia="es-CR"/>
    </w:rPr>
  </w:style>
  <w:style w:type="paragraph" w:styleId="TOC9">
    <w:name w:val="toc 9"/>
    <w:basedOn w:val="Normal"/>
    <w:next w:val="Normal"/>
    <w:autoRedefine/>
    <w:uiPriority w:val="39"/>
    <w:unhideWhenUsed/>
    <w:rsid w:val="009B6028"/>
    <w:pPr>
      <w:spacing w:after="100" w:line="276" w:lineRule="auto"/>
      <w:ind w:left="1760"/>
      <w:jc w:val="left"/>
    </w:pPr>
    <w:rPr>
      <w:rFonts w:asciiTheme="minorHAnsi" w:eastAsiaTheme="minorEastAsia" w:hAnsiTheme="minorHAnsi" w:cstheme="minorBidi"/>
      <w:sz w:val="22"/>
      <w:lang w:val="es-CR" w:eastAsia="es-CR"/>
    </w:rPr>
  </w:style>
  <w:style w:type="paragraph" w:styleId="Revision">
    <w:name w:val="Revision"/>
    <w:hidden/>
    <w:uiPriority w:val="99"/>
    <w:semiHidden/>
    <w:rsid w:val="00AF098E"/>
    <w:pPr>
      <w:spacing w:after="0" w:line="240" w:lineRule="auto"/>
    </w:pPr>
    <w:rPr>
      <w:rFonts w:ascii="Verdana" w:eastAsia="Calibri" w:hAnsi="Verdana" w:cs="Calibri"/>
      <w:sz w:val="20"/>
      <w:lang w:val="es-MX"/>
    </w:rPr>
  </w:style>
  <w:style w:type="paragraph" w:customStyle="1" w:styleId="align-justify">
    <w:name w:val="align-justify"/>
    <w:basedOn w:val="Normal"/>
    <w:rsid w:val="000C3021"/>
    <w:pPr>
      <w:spacing w:before="100" w:beforeAutospacing="1" w:after="100" w:afterAutospacing="1"/>
      <w:jc w:val="left"/>
    </w:pPr>
    <w:rPr>
      <w:rFonts w:ascii="Times New Roman" w:eastAsia="Times New Roman" w:hAnsi="Times New Roman" w:cs="Times New Roman"/>
      <w:sz w:val="24"/>
      <w:szCs w:val="24"/>
      <w:lang w:val="es-CR" w:eastAsia="es-CR"/>
    </w:rPr>
  </w:style>
  <w:style w:type="character" w:customStyle="1" w:styleId="apple-style-span">
    <w:name w:val="apple-style-span"/>
    <w:basedOn w:val="DefaultParagraphFont"/>
    <w:rsid w:val="000C3021"/>
  </w:style>
  <w:style w:type="paragraph" w:customStyle="1" w:styleId="Estilo2">
    <w:name w:val="Estilo2"/>
    <w:basedOn w:val="Normal"/>
    <w:qFormat/>
    <w:rsid w:val="000C3021"/>
    <w:pPr>
      <w:tabs>
        <w:tab w:val="left" w:pos="567"/>
        <w:tab w:val="left" w:pos="1134"/>
        <w:tab w:val="num" w:pos="4767"/>
      </w:tabs>
      <w:spacing w:after="120"/>
      <w:ind w:left="4767" w:hanging="360"/>
    </w:pPr>
    <w:rPr>
      <w:rFonts w:cs="Times New Roman"/>
      <w:szCs w:val="20"/>
      <w:lang w:val="es-ES"/>
    </w:rPr>
  </w:style>
  <w:style w:type="paragraph" w:customStyle="1" w:styleId="Prrafodelista2">
    <w:name w:val="Párrafo de lista2"/>
    <w:basedOn w:val="Normal"/>
    <w:uiPriority w:val="99"/>
    <w:rsid w:val="00520345"/>
    <w:pPr>
      <w:ind w:left="720"/>
      <w:jc w:val="left"/>
    </w:pPr>
    <w:rPr>
      <w:rFonts w:eastAsia="MS Mincho" w:cs="Times New Roman"/>
      <w:szCs w:val="20"/>
      <w:lang w:val="es-ES_tradnl"/>
    </w:rPr>
  </w:style>
  <w:style w:type="character" w:customStyle="1" w:styleId="2FootnotesChar">
    <w:name w:val="2. Footnotes Char"/>
    <w:link w:val="2Footnotes"/>
    <w:locked/>
    <w:rsid w:val="00D64F50"/>
    <w:rPr>
      <w:rFonts w:ascii="Verdana" w:eastAsia="Times New Roman" w:hAnsi="Verdana" w:cs="Palatino-Italic"/>
      <w:iCs/>
      <w:sz w:val="16"/>
      <w:szCs w:val="18"/>
      <w:lang w:val="es-ES"/>
    </w:rPr>
  </w:style>
  <w:style w:type="paragraph" w:customStyle="1" w:styleId="2Footnotes">
    <w:name w:val="2. Footnotes"/>
    <w:basedOn w:val="FootnoteText"/>
    <w:link w:val="2FootnotesChar"/>
    <w:autoRedefine/>
    <w:qFormat/>
    <w:rsid w:val="00D64F50"/>
    <w:pPr>
      <w:spacing w:before="120" w:after="120"/>
    </w:pPr>
    <w:rPr>
      <w:rFonts w:eastAsia="Times New Roman" w:cs="Palatino-Italic"/>
      <w:iCs/>
      <w:sz w:val="16"/>
      <w:szCs w:val="18"/>
      <w:lang w:val="es-ES"/>
    </w:rPr>
  </w:style>
  <w:style w:type="paragraph" w:styleId="BodyText3">
    <w:name w:val="Body Text 3"/>
    <w:basedOn w:val="Normal"/>
    <w:link w:val="BodyText3Char"/>
    <w:uiPriority w:val="99"/>
    <w:unhideWhenUsed/>
    <w:rsid w:val="00211F9E"/>
    <w:pPr>
      <w:tabs>
        <w:tab w:val="left" w:pos="567"/>
      </w:tabs>
      <w:jc w:val="left"/>
    </w:pPr>
    <w:rPr>
      <w:rFonts w:eastAsia="Times New Roman" w:cs="Times New Roman"/>
      <w:b/>
      <w:color w:val="FF0000"/>
      <w:szCs w:val="20"/>
      <w:lang w:eastAsia="es-MX"/>
    </w:rPr>
  </w:style>
  <w:style w:type="character" w:customStyle="1" w:styleId="BodyText3Char">
    <w:name w:val="Body Text 3 Char"/>
    <w:basedOn w:val="DefaultParagraphFont"/>
    <w:link w:val="BodyText3"/>
    <w:uiPriority w:val="99"/>
    <w:rsid w:val="00211F9E"/>
    <w:rPr>
      <w:rFonts w:ascii="Verdana" w:eastAsia="Times New Roman" w:hAnsi="Verdana" w:cs="Times New Roman"/>
      <w:b/>
      <w:color w:val="FF0000"/>
      <w:sz w:val="20"/>
      <w:szCs w:val="20"/>
      <w:lang w:val="es-MX" w:eastAsia="es-MX"/>
    </w:rPr>
  </w:style>
  <w:style w:type="character" w:customStyle="1" w:styleId="Caracteresdenotafinal">
    <w:name w:val="Caracteres de nota final"/>
    <w:rsid w:val="007173F1"/>
    <w:rPr>
      <w:vertAlign w:val="superscript"/>
    </w:rPr>
  </w:style>
  <w:style w:type="paragraph" w:styleId="BodyText">
    <w:name w:val="Body Text"/>
    <w:basedOn w:val="Normal"/>
    <w:link w:val="BodyTextChar"/>
    <w:uiPriority w:val="99"/>
    <w:semiHidden/>
    <w:unhideWhenUsed/>
    <w:rsid w:val="00D25057"/>
    <w:pPr>
      <w:spacing w:after="120" w:line="360" w:lineRule="atLeast"/>
    </w:pPr>
    <w:rPr>
      <w:rFonts w:eastAsiaTheme="minorHAnsi" w:cs="Times New Roman"/>
      <w:sz w:val="24"/>
      <w:szCs w:val="24"/>
      <w:lang w:val="en-US"/>
    </w:rPr>
  </w:style>
  <w:style w:type="character" w:customStyle="1" w:styleId="BodyTextChar">
    <w:name w:val="Body Text Char"/>
    <w:basedOn w:val="DefaultParagraphFont"/>
    <w:link w:val="BodyText"/>
    <w:uiPriority w:val="99"/>
    <w:semiHidden/>
    <w:rsid w:val="00D25057"/>
    <w:rPr>
      <w:rFonts w:ascii="Verdana" w:hAnsi="Verdana" w:cs="Times New Roman"/>
      <w:sz w:val="24"/>
      <w:szCs w:val="24"/>
    </w:rPr>
  </w:style>
  <w:style w:type="character" w:styleId="FollowedHyperlink">
    <w:name w:val="FollowedHyperlink"/>
    <w:basedOn w:val="DefaultParagraphFont"/>
    <w:uiPriority w:val="99"/>
    <w:semiHidden/>
    <w:unhideWhenUsed/>
    <w:rsid w:val="001235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2972">
      <w:bodyDiv w:val="1"/>
      <w:marLeft w:val="0"/>
      <w:marRight w:val="0"/>
      <w:marTop w:val="0"/>
      <w:marBottom w:val="0"/>
      <w:divBdr>
        <w:top w:val="none" w:sz="0" w:space="0" w:color="auto"/>
        <w:left w:val="none" w:sz="0" w:space="0" w:color="auto"/>
        <w:bottom w:val="none" w:sz="0" w:space="0" w:color="auto"/>
        <w:right w:val="none" w:sz="0" w:space="0" w:color="auto"/>
      </w:divBdr>
    </w:div>
    <w:div w:id="29188450">
      <w:bodyDiv w:val="1"/>
      <w:marLeft w:val="0"/>
      <w:marRight w:val="0"/>
      <w:marTop w:val="0"/>
      <w:marBottom w:val="0"/>
      <w:divBdr>
        <w:top w:val="none" w:sz="0" w:space="0" w:color="auto"/>
        <w:left w:val="none" w:sz="0" w:space="0" w:color="auto"/>
        <w:bottom w:val="none" w:sz="0" w:space="0" w:color="auto"/>
        <w:right w:val="none" w:sz="0" w:space="0" w:color="auto"/>
      </w:divBdr>
    </w:div>
    <w:div w:id="122820703">
      <w:bodyDiv w:val="1"/>
      <w:marLeft w:val="0"/>
      <w:marRight w:val="0"/>
      <w:marTop w:val="0"/>
      <w:marBottom w:val="0"/>
      <w:divBdr>
        <w:top w:val="none" w:sz="0" w:space="0" w:color="auto"/>
        <w:left w:val="none" w:sz="0" w:space="0" w:color="auto"/>
        <w:bottom w:val="none" w:sz="0" w:space="0" w:color="auto"/>
        <w:right w:val="none" w:sz="0" w:space="0" w:color="auto"/>
      </w:divBdr>
    </w:div>
    <w:div w:id="127669579">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797646920">
      <w:bodyDiv w:val="1"/>
      <w:marLeft w:val="0"/>
      <w:marRight w:val="0"/>
      <w:marTop w:val="0"/>
      <w:marBottom w:val="0"/>
      <w:divBdr>
        <w:top w:val="none" w:sz="0" w:space="0" w:color="auto"/>
        <w:left w:val="none" w:sz="0" w:space="0" w:color="auto"/>
        <w:bottom w:val="none" w:sz="0" w:space="0" w:color="auto"/>
        <w:right w:val="none" w:sz="0" w:space="0" w:color="auto"/>
      </w:divBdr>
    </w:div>
    <w:div w:id="803503375">
      <w:bodyDiv w:val="1"/>
      <w:marLeft w:val="0"/>
      <w:marRight w:val="0"/>
      <w:marTop w:val="0"/>
      <w:marBottom w:val="0"/>
      <w:divBdr>
        <w:top w:val="none" w:sz="0" w:space="0" w:color="auto"/>
        <w:left w:val="none" w:sz="0" w:space="0" w:color="auto"/>
        <w:bottom w:val="none" w:sz="0" w:space="0" w:color="auto"/>
        <w:right w:val="none" w:sz="0" w:space="0" w:color="auto"/>
      </w:divBdr>
    </w:div>
    <w:div w:id="812916068">
      <w:bodyDiv w:val="1"/>
      <w:marLeft w:val="0"/>
      <w:marRight w:val="0"/>
      <w:marTop w:val="0"/>
      <w:marBottom w:val="0"/>
      <w:divBdr>
        <w:top w:val="none" w:sz="0" w:space="0" w:color="auto"/>
        <w:left w:val="none" w:sz="0" w:space="0" w:color="auto"/>
        <w:bottom w:val="none" w:sz="0" w:space="0" w:color="auto"/>
        <w:right w:val="none" w:sz="0" w:space="0" w:color="auto"/>
      </w:divBdr>
    </w:div>
    <w:div w:id="847981024">
      <w:bodyDiv w:val="1"/>
      <w:marLeft w:val="0"/>
      <w:marRight w:val="0"/>
      <w:marTop w:val="0"/>
      <w:marBottom w:val="0"/>
      <w:divBdr>
        <w:top w:val="none" w:sz="0" w:space="0" w:color="auto"/>
        <w:left w:val="none" w:sz="0" w:space="0" w:color="auto"/>
        <w:bottom w:val="none" w:sz="0" w:space="0" w:color="auto"/>
        <w:right w:val="none" w:sz="0" w:space="0" w:color="auto"/>
      </w:divBdr>
    </w:div>
    <w:div w:id="1428042505">
      <w:bodyDiv w:val="1"/>
      <w:marLeft w:val="0"/>
      <w:marRight w:val="0"/>
      <w:marTop w:val="0"/>
      <w:marBottom w:val="0"/>
      <w:divBdr>
        <w:top w:val="none" w:sz="0" w:space="0" w:color="auto"/>
        <w:left w:val="none" w:sz="0" w:space="0" w:color="auto"/>
        <w:bottom w:val="none" w:sz="0" w:space="0" w:color="auto"/>
        <w:right w:val="none" w:sz="0" w:space="0" w:color="auto"/>
      </w:divBdr>
    </w:div>
    <w:div w:id="1467432258">
      <w:bodyDiv w:val="1"/>
      <w:marLeft w:val="0"/>
      <w:marRight w:val="0"/>
      <w:marTop w:val="0"/>
      <w:marBottom w:val="0"/>
      <w:divBdr>
        <w:top w:val="none" w:sz="0" w:space="0" w:color="auto"/>
        <w:left w:val="none" w:sz="0" w:space="0" w:color="auto"/>
        <w:bottom w:val="none" w:sz="0" w:space="0" w:color="auto"/>
        <w:right w:val="none" w:sz="0" w:space="0" w:color="auto"/>
      </w:divBdr>
    </w:div>
    <w:div w:id="1512332367">
      <w:bodyDiv w:val="1"/>
      <w:marLeft w:val="0"/>
      <w:marRight w:val="0"/>
      <w:marTop w:val="0"/>
      <w:marBottom w:val="0"/>
      <w:divBdr>
        <w:top w:val="none" w:sz="0" w:space="0" w:color="auto"/>
        <w:left w:val="none" w:sz="0" w:space="0" w:color="auto"/>
        <w:bottom w:val="none" w:sz="0" w:space="0" w:color="auto"/>
        <w:right w:val="none" w:sz="0" w:space="0" w:color="auto"/>
      </w:divBdr>
    </w:div>
    <w:div w:id="1817409033">
      <w:bodyDiv w:val="1"/>
      <w:marLeft w:val="0"/>
      <w:marRight w:val="0"/>
      <w:marTop w:val="0"/>
      <w:marBottom w:val="0"/>
      <w:divBdr>
        <w:top w:val="none" w:sz="0" w:space="0" w:color="auto"/>
        <w:left w:val="none" w:sz="0" w:space="0" w:color="auto"/>
        <w:bottom w:val="none" w:sz="0" w:space="0" w:color="auto"/>
        <w:right w:val="none" w:sz="0" w:space="0" w:color="auto"/>
      </w:divBdr>
    </w:div>
    <w:div w:id="203063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corteidh.or.cr/docs/asuntos/terrones_fv_17.pdf" TargetMode="External"/><Relationship Id="rId7" Type="http://schemas.openxmlformats.org/officeDocument/2006/relationships/hyperlink" Target="http://www.cverdad.org.pe/ifinal/pdf/Tomo%20-%20ANEXOS/PDFSAnexo4/JUNIN.pdf" TargetMode="External"/><Relationship Id="rId2" Type="http://schemas.openxmlformats.org/officeDocument/2006/relationships/hyperlink" Target="https://www.oas.org/es/cidh/decisiones/2011/PEAD11054ES.doc" TargetMode="External"/><Relationship Id="rId1" Type="http://schemas.openxmlformats.org/officeDocument/2006/relationships/hyperlink" Target="https://www.oas.org/es/cidh/decisiones/2011/PEAD422-03ES.doc" TargetMode="External"/><Relationship Id="rId6" Type="http://schemas.openxmlformats.org/officeDocument/2006/relationships/hyperlink" Target="http://www.cverdad.org.pe/ifinal/pdf/Tomo%20-%20ANEXOS/PDFSAnexo4/ListaMuertosyDesaparecidos.pdf" TargetMode="External"/><Relationship Id="rId5" Type="http://schemas.openxmlformats.org/officeDocument/2006/relationships/hyperlink" Target="http://www.oas.org/juridico/spanish/firmas/a-51.html" TargetMode="External"/><Relationship Id="rId4" Type="http://schemas.openxmlformats.org/officeDocument/2006/relationships/hyperlink" Target="http://www.corteidh.or.cr/docs/asuntos/terrones_20_02_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8FF1A-56C7-461A-B9E9-896DEAE50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37473</Words>
  <Characters>213598</Characters>
  <Application>Microsoft Office Word</Application>
  <DocSecurity>0</DocSecurity>
  <Lines>1779</Lines>
  <Paragraphs>501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250570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Patricia Calderon</cp:lastModifiedBy>
  <cp:revision>3</cp:revision>
  <cp:lastPrinted>2018-10-30T15:25:00Z</cp:lastPrinted>
  <dcterms:created xsi:type="dcterms:W3CDTF">2018-10-30T15:07:00Z</dcterms:created>
  <dcterms:modified xsi:type="dcterms:W3CDTF">2018-10-30T15:25:00Z</dcterms:modified>
</cp:coreProperties>
</file>