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51E7A" w14:textId="4EC0E14A" w:rsidR="009403BF" w:rsidRPr="002040C8" w:rsidRDefault="006206E5" w:rsidP="004C6F25">
      <w:pPr>
        <w:pStyle w:val="Footnotes"/>
        <w:rPr>
          <w:rFonts w:eastAsia="MS Mincho"/>
        </w:rPr>
      </w:pPr>
      <w:r w:rsidRPr="002040C8">
        <w:rPr>
          <w:rFonts w:eastAsia="MS Mincho"/>
        </w:rPr>
        <w:t xml:space="preserve"> </w:t>
      </w:r>
    </w:p>
    <w:p w14:paraId="267F0E61" w14:textId="77777777" w:rsidR="009403BF" w:rsidRPr="001F751D" w:rsidRDefault="009403BF" w:rsidP="00491B00">
      <w:pPr>
        <w:pStyle w:val="Title"/>
        <w:ind w:left="-142" w:right="-4"/>
        <w:rPr>
          <w:rFonts w:eastAsia="MS Mincho"/>
          <w:lang w:val="es-ES"/>
        </w:rPr>
      </w:pPr>
    </w:p>
    <w:p w14:paraId="735773D4" w14:textId="77777777" w:rsidR="009403BF" w:rsidRPr="002040C8" w:rsidRDefault="009403BF" w:rsidP="00491B00">
      <w:pPr>
        <w:pStyle w:val="Title"/>
        <w:ind w:left="-142" w:right="-4"/>
        <w:rPr>
          <w:rFonts w:eastAsia="MS Mincho"/>
        </w:rPr>
      </w:pPr>
    </w:p>
    <w:p w14:paraId="7D038EFD" w14:textId="77777777" w:rsidR="009403BF" w:rsidRPr="002040C8" w:rsidRDefault="009403BF" w:rsidP="00491B00">
      <w:pPr>
        <w:pStyle w:val="Title"/>
        <w:ind w:left="-142" w:right="-4"/>
        <w:rPr>
          <w:rFonts w:eastAsia="MS Mincho"/>
        </w:rPr>
      </w:pPr>
    </w:p>
    <w:p w14:paraId="0C916D3C" w14:textId="77777777" w:rsidR="009403BF" w:rsidRPr="002040C8" w:rsidRDefault="009403BF" w:rsidP="00491B00">
      <w:pPr>
        <w:pStyle w:val="Title"/>
        <w:ind w:left="-142" w:right="-4"/>
        <w:rPr>
          <w:rFonts w:eastAsia="MS Mincho"/>
        </w:rPr>
      </w:pPr>
    </w:p>
    <w:p w14:paraId="42184ADF" w14:textId="77777777" w:rsidR="009403BF" w:rsidRPr="002040C8" w:rsidRDefault="009403BF" w:rsidP="00491B00">
      <w:pPr>
        <w:pStyle w:val="Title"/>
        <w:ind w:left="-142" w:right="-4"/>
        <w:rPr>
          <w:rFonts w:eastAsia="MS Mincho"/>
        </w:rPr>
      </w:pPr>
    </w:p>
    <w:p w14:paraId="38FD3011" w14:textId="77777777" w:rsidR="009403BF" w:rsidRPr="0064010A" w:rsidRDefault="009403BF" w:rsidP="00491B00">
      <w:pPr>
        <w:pStyle w:val="Title"/>
        <w:ind w:left="-142" w:right="-4"/>
        <w:rPr>
          <w:rFonts w:eastAsia="MS Mincho"/>
        </w:rPr>
      </w:pPr>
      <w:r w:rsidRPr="0064010A">
        <w:rPr>
          <w:rFonts w:eastAsia="MS Mincho"/>
        </w:rPr>
        <w:t>CORTE INTERAMERICANA DE DERECHOS HUMANOS</w:t>
      </w:r>
    </w:p>
    <w:p w14:paraId="6429DAF5" w14:textId="77777777" w:rsidR="009403BF" w:rsidRPr="0064010A" w:rsidRDefault="009403BF" w:rsidP="00491B00">
      <w:pPr>
        <w:pStyle w:val="Title"/>
        <w:ind w:left="-142" w:right="-4"/>
        <w:rPr>
          <w:rFonts w:eastAsia="MS Mincho"/>
        </w:rPr>
      </w:pPr>
    </w:p>
    <w:p w14:paraId="34C1E097" w14:textId="77777777" w:rsidR="009403BF" w:rsidRPr="0064010A" w:rsidRDefault="009403BF" w:rsidP="00491B00">
      <w:pPr>
        <w:pStyle w:val="Title"/>
        <w:tabs>
          <w:tab w:val="left" w:pos="7501"/>
        </w:tabs>
        <w:ind w:left="-142" w:right="-4"/>
        <w:rPr>
          <w:rFonts w:eastAsia="MS Mincho"/>
        </w:rPr>
      </w:pPr>
    </w:p>
    <w:p w14:paraId="0CD1D6CD" w14:textId="77777777" w:rsidR="009403BF" w:rsidRPr="0064010A" w:rsidRDefault="009403BF" w:rsidP="00491B00">
      <w:pPr>
        <w:pStyle w:val="Title"/>
        <w:ind w:left="-142" w:right="-4"/>
        <w:rPr>
          <w:rFonts w:eastAsia="MS Mincho"/>
          <w:i/>
        </w:rPr>
      </w:pPr>
    </w:p>
    <w:p w14:paraId="138F2A52" w14:textId="50CC88B8" w:rsidR="009403BF" w:rsidRPr="0064010A" w:rsidRDefault="006717B6" w:rsidP="00491B00">
      <w:pPr>
        <w:spacing w:after="120"/>
        <w:ind w:right="-4"/>
        <w:jc w:val="center"/>
        <w:rPr>
          <w:rFonts w:cs="Verdana Bold"/>
          <w:b/>
          <w:bCs/>
          <w:i/>
          <w:caps/>
          <w:szCs w:val="20"/>
        </w:rPr>
      </w:pPr>
      <w:r w:rsidRPr="0064010A">
        <w:rPr>
          <w:rFonts w:cs="Verdana Bold"/>
          <w:b/>
          <w:bCs/>
          <w:i/>
          <w:caps/>
          <w:szCs w:val="20"/>
        </w:rPr>
        <w:t xml:space="preserve">CASO </w:t>
      </w:r>
      <w:r w:rsidR="0038493D" w:rsidRPr="0064010A">
        <w:rPr>
          <w:rFonts w:cs="Verdana Bold"/>
          <w:b/>
          <w:bCs/>
          <w:i/>
          <w:caps/>
          <w:szCs w:val="20"/>
        </w:rPr>
        <w:t>ESCALERAS MEJ</w:t>
      </w:r>
      <w:r w:rsidR="00F3271F">
        <w:rPr>
          <w:rFonts w:cs="Verdana Bold"/>
          <w:b/>
          <w:bCs/>
          <w:i/>
          <w:caps/>
          <w:szCs w:val="20"/>
        </w:rPr>
        <w:t>Í</w:t>
      </w:r>
      <w:r w:rsidR="0038493D" w:rsidRPr="0064010A">
        <w:rPr>
          <w:rFonts w:cs="Verdana Bold"/>
          <w:b/>
          <w:bCs/>
          <w:i/>
          <w:caps/>
          <w:szCs w:val="20"/>
        </w:rPr>
        <w:t>A Y otros VS. HONDURAS</w:t>
      </w:r>
    </w:p>
    <w:p w14:paraId="76574688" w14:textId="77777777" w:rsidR="009403BF" w:rsidRPr="0064010A" w:rsidRDefault="009403BF" w:rsidP="00491B00">
      <w:pPr>
        <w:pStyle w:val="Title"/>
        <w:ind w:left="-142" w:right="-4"/>
        <w:rPr>
          <w:rFonts w:eastAsia="MS Mincho"/>
          <w:lang w:val="es-ES"/>
        </w:rPr>
      </w:pPr>
    </w:p>
    <w:p w14:paraId="0D39B8D5" w14:textId="77777777" w:rsidR="009403BF" w:rsidRPr="0064010A" w:rsidRDefault="009403BF" w:rsidP="00491B00">
      <w:pPr>
        <w:pStyle w:val="Title"/>
        <w:ind w:left="-142" w:right="-4"/>
        <w:rPr>
          <w:rFonts w:eastAsia="MS Mincho"/>
        </w:rPr>
      </w:pPr>
    </w:p>
    <w:p w14:paraId="69510CF1" w14:textId="60BA6B60" w:rsidR="006717B6" w:rsidRPr="0064010A" w:rsidRDefault="006717B6" w:rsidP="006717B6">
      <w:pPr>
        <w:pStyle w:val="Title"/>
        <w:ind w:left="-142" w:right="-4"/>
        <w:rPr>
          <w:rFonts w:eastAsia="MS Mincho"/>
        </w:rPr>
      </w:pPr>
      <w:r w:rsidRPr="0064010A">
        <w:rPr>
          <w:rFonts w:eastAsia="MS Mincho"/>
        </w:rPr>
        <w:t xml:space="preserve">SENTENCIA DE </w:t>
      </w:r>
      <w:r w:rsidR="008151B4">
        <w:rPr>
          <w:rFonts w:eastAsia="MS Mincho"/>
        </w:rPr>
        <w:t>26</w:t>
      </w:r>
      <w:r w:rsidR="00ED41E6" w:rsidRPr="0064010A">
        <w:rPr>
          <w:rFonts w:eastAsia="MS Mincho"/>
        </w:rPr>
        <w:t xml:space="preserve"> </w:t>
      </w:r>
      <w:r w:rsidRPr="0064010A">
        <w:rPr>
          <w:rFonts w:eastAsia="MS Mincho"/>
        </w:rPr>
        <w:t xml:space="preserve">DE </w:t>
      </w:r>
      <w:r w:rsidR="0038493D" w:rsidRPr="0064010A">
        <w:rPr>
          <w:rFonts w:eastAsia="MS Mincho"/>
        </w:rPr>
        <w:t>SEPTIEMBRE</w:t>
      </w:r>
      <w:r w:rsidRPr="0064010A">
        <w:rPr>
          <w:rFonts w:eastAsia="MS Mincho"/>
        </w:rPr>
        <w:t xml:space="preserve"> DE 2018</w:t>
      </w:r>
    </w:p>
    <w:p w14:paraId="7A748CBB" w14:textId="4A884878" w:rsidR="009403BF" w:rsidRPr="0064010A" w:rsidRDefault="009403BF" w:rsidP="00491B00">
      <w:pPr>
        <w:pStyle w:val="Title"/>
        <w:ind w:left="-142" w:right="-4"/>
        <w:rPr>
          <w:rFonts w:eastAsia="MS Mincho"/>
        </w:rPr>
      </w:pPr>
    </w:p>
    <w:p w14:paraId="6447DB77" w14:textId="77777777" w:rsidR="009569E6" w:rsidRPr="0064010A" w:rsidRDefault="009569E6" w:rsidP="00491B00">
      <w:pPr>
        <w:pStyle w:val="Title"/>
        <w:ind w:left="-142" w:right="-4"/>
        <w:rPr>
          <w:rFonts w:eastAsia="MS Mincho"/>
        </w:rPr>
      </w:pPr>
    </w:p>
    <w:p w14:paraId="34E0E0D4" w14:textId="77777777" w:rsidR="009403BF" w:rsidRPr="0064010A" w:rsidRDefault="009403BF" w:rsidP="00491B00">
      <w:pPr>
        <w:ind w:left="-142" w:right="-4"/>
        <w:rPr>
          <w:szCs w:val="20"/>
        </w:rPr>
      </w:pPr>
    </w:p>
    <w:p w14:paraId="321DF005" w14:textId="77777777" w:rsidR="009403BF" w:rsidRPr="0064010A" w:rsidRDefault="009403BF" w:rsidP="00491B00">
      <w:pPr>
        <w:ind w:left="-142" w:right="-4"/>
        <w:rPr>
          <w:szCs w:val="20"/>
        </w:rPr>
      </w:pPr>
    </w:p>
    <w:p w14:paraId="418DC2D6" w14:textId="77777777" w:rsidR="009403BF" w:rsidRPr="0064010A" w:rsidRDefault="009403BF" w:rsidP="00491B00">
      <w:pPr>
        <w:ind w:left="-142" w:right="-4"/>
        <w:rPr>
          <w:szCs w:val="20"/>
        </w:rPr>
      </w:pPr>
    </w:p>
    <w:p w14:paraId="76786F78" w14:textId="6A071281" w:rsidR="008F1678" w:rsidRPr="0064010A" w:rsidRDefault="009403BF" w:rsidP="008F1678">
      <w:pPr>
        <w:rPr>
          <w:i/>
          <w:szCs w:val="20"/>
        </w:rPr>
      </w:pPr>
      <w:r w:rsidRPr="0064010A">
        <w:rPr>
          <w:szCs w:val="20"/>
        </w:rPr>
        <w:t xml:space="preserve">En el </w:t>
      </w:r>
      <w:r w:rsidR="006717B6" w:rsidRPr="0064010A">
        <w:rPr>
          <w:i/>
          <w:szCs w:val="20"/>
        </w:rPr>
        <w:t xml:space="preserve">Caso </w:t>
      </w:r>
      <w:r w:rsidR="0038493D" w:rsidRPr="0064010A">
        <w:rPr>
          <w:i/>
          <w:szCs w:val="20"/>
        </w:rPr>
        <w:t>Escaleras Mejía y Otros</w:t>
      </w:r>
      <w:r w:rsidR="004B605F" w:rsidRPr="0064010A">
        <w:rPr>
          <w:i/>
          <w:szCs w:val="20"/>
        </w:rPr>
        <w:t>,</w:t>
      </w:r>
    </w:p>
    <w:p w14:paraId="055945BC" w14:textId="77777777" w:rsidR="009403BF" w:rsidRPr="0064010A" w:rsidRDefault="009403BF" w:rsidP="00491B00">
      <w:pPr>
        <w:ind w:right="-4"/>
        <w:rPr>
          <w:szCs w:val="20"/>
        </w:rPr>
      </w:pPr>
    </w:p>
    <w:p w14:paraId="1F11BA05" w14:textId="38431188" w:rsidR="009403BF" w:rsidRPr="0064010A" w:rsidRDefault="009403BF" w:rsidP="00491B00">
      <w:pPr>
        <w:ind w:right="-4"/>
        <w:rPr>
          <w:szCs w:val="20"/>
        </w:rPr>
      </w:pPr>
      <w:r w:rsidRPr="0064010A">
        <w:rPr>
          <w:szCs w:val="20"/>
        </w:rPr>
        <w:t>la Corte Interamericana de Derechos Humanos (en adelante “la Corte Interamericana”, “la Corte” o “el Tribunal”), integrada por los siguientes Jueces</w:t>
      </w:r>
      <w:r w:rsidR="00F65C5D" w:rsidRPr="0064010A">
        <w:rPr>
          <w:rStyle w:val="FootnoteReference"/>
          <w:lang w:val="es-CR"/>
        </w:rPr>
        <w:footnoteReference w:customMarkFollows="1" w:id="1"/>
        <w:sym w:font="Symbol" w:char="F02A"/>
      </w:r>
      <w:r w:rsidRPr="0064010A">
        <w:rPr>
          <w:szCs w:val="20"/>
        </w:rPr>
        <w:t>:</w:t>
      </w:r>
    </w:p>
    <w:p w14:paraId="061A10D6" w14:textId="77777777" w:rsidR="009403BF" w:rsidRPr="0064010A" w:rsidRDefault="009403BF" w:rsidP="00491B00">
      <w:pPr>
        <w:ind w:right="-4"/>
        <w:rPr>
          <w:szCs w:val="20"/>
        </w:rPr>
      </w:pPr>
    </w:p>
    <w:p w14:paraId="42295160" w14:textId="77777777" w:rsidR="0038493D" w:rsidRPr="0064010A" w:rsidRDefault="0038493D" w:rsidP="0038493D">
      <w:pPr>
        <w:rPr>
          <w:szCs w:val="20"/>
          <w:lang w:val="pt-BR"/>
        </w:rPr>
      </w:pPr>
      <w:r w:rsidRPr="0064010A">
        <w:rPr>
          <w:szCs w:val="20"/>
          <w:lang w:val="pt-BR"/>
        </w:rPr>
        <w:t>Eduardo Ferrer Mac-Gregor Poisot, Presidente;</w:t>
      </w:r>
    </w:p>
    <w:p w14:paraId="462399FB" w14:textId="77777777" w:rsidR="0038493D" w:rsidRPr="0064010A" w:rsidRDefault="0038493D" w:rsidP="0038493D">
      <w:pPr>
        <w:rPr>
          <w:szCs w:val="20"/>
          <w:lang w:val="es-ES"/>
        </w:rPr>
      </w:pPr>
      <w:r w:rsidRPr="0064010A">
        <w:rPr>
          <w:szCs w:val="20"/>
          <w:lang w:val="es-ES"/>
        </w:rPr>
        <w:t>Eduardo Vio Grossi, Vicepresidente;</w:t>
      </w:r>
    </w:p>
    <w:p w14:paraId="0729D29D" w14:textId="77777777" w:rsidR="0038493D" w:rsidRPr="0064010A" w:rsidRDefault="0038493D" w:rsidP="0038493D">
      <w:pPr>
        <w:rPr>
          <w:szCs w:val="20"/>
          <w:lang w:val="es-ES"/>
        </w:rPr>
      </w:pPr>
      <w:r w:rsidRPr="0064010A">
        <w:rPr>
          <w:szCs w:val="20"/>
          <w:lang w:val="es-ES"/>
        </w:rPr>
        <w:t>Humberto Antonio Sierra Porto, Juez;</w:t>
      </w:r>
    </w:p>
    <w:p w14:paraId="33E0B891" w14:textId="77777777" w:rsidR="0038493D" w:rsidRPr="0064010A" w:rsidRDefault="0038493D" w:rsidP="0038493D">
      <w:pPr>
        <w:rPr>
          <w:szCs w:val="20"/>
          <w:lang w:val="es-ES"/>
        </w:rPr>
      </w:pPr>
      <w:r w:rsidRPr="0064010A">
        <w:rPr>
          <w:szCs w:val="20"/>
          <w:lang w:val="es-ES"/>
        </w:rPr>
        <w:t>Eugenio Raúl Zaffaroni, Juez;</w:t>
      </w:r>
    </w:p>
    <w:p w14:paraId="5ED6FE4F" w14:textId="4F1566F8" w:rsidR="0038493D" w:rsidRPr="0064010A" w:rsidRDefault="0038493D" w:rsidP="0038493D">
      <w:pPr>
        <w:rPr>
          <w:szCs w:val="20"/>
          <w:lang w:val="es-ES"/>
        </w:rPr>
      </w:pPr>
      <w:r w:rsidRPr="0064010A">
        <w:rPr>
          <w:szCs w:val="20"/>
          <w:lang w:val="es-ES"/>
        </w:rPr>
        <w:t xml:space="preserve">L. Patricio Pazmiño Freire, Juez, y </w:t>
      </w:r>
    </w:p>
    <w:p w14:paraId="771D145A" w14:textId="77777777" w:rsidR="009403BF" w:rsidRPr="0064010A" w:rsidRDefault="009403BF" w:rsidP="00491B00">
      <w:pPr>
        <w:pStyle w:val="citaindirecta"/>
        <w:ind w:right="-4"/>
        <w:rPr>
          <w:lang w:val="es-ES"/>
        </w:rPr>
      </w:pPr>
    </w:p>
    <w:p w14:paraId="4CD49D9B" w14:textId="77777777" w:rsidR="009403BF" w:rsidRPr="0064010A" w:rsidRDefault="009403BF" w:rsidP="00491B00">
      <w:pPr>
        <w:ind w:right="-4"/>
        <w:rPr>
          <w:szCs w:val="20"/>
        </w:rPr>
      </w:pPr>
      <w:r w:rsidRPr="0064010A">
        <w:rPr>
          <w:szCs w:val="20"/>
        </w:rPr>
        <w:t>presentes, además,</w:t>
      </w:r>
    </w:p>
    <w:p w14:paraId="13AF3341" w14:textId="77777777" w:rsidR="009403BF" w:rsidRPr="0064010A" w:rsidRDefault="009403BF" w:rsidP="00491B00">
      <w:pPr>
        <w:ind w:right="-4"/>
        <w:rPr>
          <w:szCs w:val="20"/>
        </w:rPr>
      </w:pPr>
    </w:p>
    <w:p w14:paraId="434E0653" w14:textId="77777777" w:rsidR="009403BF" w:rsidRPr="0064010A" w:rsidRDefault="009403BF" w:rsidP="00491B00">
      <w:pPr>
        <w:ind w:right="-4" w:firstLine="708"/>
        <w:rPr>
          <w:szCs w:val="20"/>
        </w:rPr>
      </w:pPr>
      <w:r w:rsidRPr="0064010A">
        <w:rPr>
          <w:szCs w:val="20"/>
        </w:rPr>
        <w:t>Pablo Saavedra Alessandri, Secretario, y</w:t>
      </w:r>
    </w:p>
    <w:p w14:paraId="23558375" w14:textId="77777777" w:rsidR="009403BF" w:rsidRPr="0064010A" w:rsidRDefault="009403BF" w:rsidP="00491B00">
      <w:pPr>
        <w:ind w:left="708" w:right="-4"/>
        <w:rPr>
          <w:szCs w:val="20"/>
        </w:rPr>
      </w:pPr>
      <w:r w:rsidRPr="0064010A">
        <w:rPr>
          <w:szCs w:val="20"/>
        </w:rPr>
        <w:t>Emilia Segares Rodríguez, Secretaria Adjunta,</w:t>
      </w:r>
    </w:p>
    <w:p w14:paraId="22A0E929" w14:textId="77777777" w:rsidR="009403BF" w:rsidRPr="0064010A" w:rsidRDefault="009403BF" w:rsidP="00491B00">
      <w:pPr>
        <w:ind w:right="-4"/>
        <w:rPr>
          <w:szCs w:val="20"/>
        </w:rPr>
      </w:pPr>
    </w:p>
    <w:p w14:paraId="121D9294" w14:textId="6523274B" w:rsidR="009403BF" w:rsidRPr="0064010A" w:rsidRDefault="009403BF" w:rsidP="00491B00">
      <w:pPr>
        <w:ind w:right="-4"/>
        <w:rPr>
          <w:szCs w:val="20"/>
        </w:rPr>
      </w:pPr>
      <w:r w:rsidRPr="0064010A">
        <w:rPr>
          <w:szCs w:val="20"/>
        </w:rPr>
        <w:t xml:space="preserve">de conformidad con los artículos 62.3 y 63.1 de la Convención Americana sobre Derechos Humanos (en adelante, “la Convención Americana” o “la Convención”) y con los artículos 31, 32, </w:t>
      </w:r>
      <w:r w:rsidR="00F65C5D" w:rsidRPr="0064010A">
        <w:rPr>
          <w:szCs w:val="20"/>
        </w:rPr>
        <w:t xml:space="preserve">63, </w:t>
      </w:r>
      <w:r w:rsidRPr="0064010A">
        <w:rPr>
          <w:szCs w:val="20"/>
        </w:rPr>
        <w:t>65 y 67 del Reglamento de la Corte (en adelante también “el Reglamento”), dicta la presente Sentencia.</w:t>
      </w:r>
      <w:r w:rsidR="003B1D4E" w:rsidRPr="0064010A">
        <w:rPr>
          <w:szCs w:val="20"/>
        </w:rPr>
        <w:t xml:space="preserve"> </w:t>
      </w:r>
    </w:p>
    <w:p w14:paraId="138CF296" w14:textId="77777777" w:rsidR="009403BF" w:rsidRPr="0064010A" w:rsidRDefault="009403BF" w:rsidP="00491B00">
      <w:pPr>
        <w:ind w:right="-4"/>
        <w:rPr>
          <w:szCs w:val="20"/>
        </w:rPr>
      </w:pPr>
      <w:r w:rsidRPr="0064010A">
        <w:rPr>
          <w:szCs w:val="20"/>
        </w:rPr>
        <w:br w:type="page"/>
      </w:r>
    </w:p>
    <w:p w14:paraId="21432E86" w14:textId="4509D043" w:rsidR="008F1678" w:rsidRPr="0064010A" w:rsidRDefault="006717B6" w:rsidP="008F1678">
      <w:pPr>
        <w:jc w:val="center"/>
        <w:rPr>
          <w:b/>
          <w:i/>
          <w:smallCaps/>
          <w:sz w:val="18"/>
          <w:szCs w:val="20"/>
          <w:lang w:eastAsia="es-ES"/>
        </w:rPr>
      </w:pPr>
      <w:r w:rsidRPr="0064010A">
        <w:rPr>
          <w:rFonts w:cs="Verdana Bold"/>
          <w:b/>
          <w:bCs/>
          <w:i/>
          <w:caps/>
          <w:sz w:val="18"/>
          <w:szCs w:val="20"/>
        </w:rPr>
        <w:lastRenderedPageBreak/>
        <w:t xml:space="preserve">CASO </w:t>
      </w:r>
      <w:r w:rsidR="003B1D4E" w:rsidRPr="0064010A">
        <w:rPr>
          <w:rFonts w:cs="Verdana Bold"/>
          <w:b/>
          <w:bCs/>
          <w:i/>
          <w:caps/>
          <w:sz w:val="18"/>
          <w:szCs w:val="20"/>
        </w:rPr>
        <w:t>ESCALERAS MEJIA Y OTROS VS. HONDURAS</w:t>
      </w:r>
    </w:p>
    <w:p w14:paraId="295C8FD7" w14:textId="77777777" w:rsidR="009403BF" w:rsidRPr="0064010A" w:rsidRDefault="009403BF" w:rsidP="003E0964">
      <w:pPr>
        <w:pStyle w:val="Title"/>
        <w:spacing w:before="240" w:after="240"/>
        <w:ind w:left="-142" w:right="-46"/>
        <w:rPr>
          <w:rFonts w:eastAsia="MS Mincho"/>
        </w:rPr>
      </w:pPr>
      <w:r w:rsidRPr="0064010A">
        <w:rPr>
          <w:rFonts w:eastAsia="MS Mincho"/>
        </w:rPr>
        <w:t>Tabla de contenido</w:t>
      </w:r>
    </w:p>
    <w:p w14:paraId="56CC8F41" w14:textId="013FB158" w:rsidR="00835166" w:rsidRPr="00585059" w:rsidRDefault="0075672C">
      <w:pPr>
        <w:pStyle w:val="TOC1"/>
        <w:rPr>
          <w:rFonts w:asciiTheme="minorHAnsi" w:eastAsiaTheme="minorEastAsia" w:hAnsiTheme="minorHAnsi" w:cstheme="minorBidi"/>
          <w:b w:val="0"/>
          <w:noProof/>
          <w:sz w:val="20"/>
          <w:szCs w:val="22"/>
          <w:lang w:val="es-ES" w:eastAsia="es-ES"/>
        </w:rPr>
      </w:pPr>
      <w:r w:rsidRPr="001F751D">
        <w:rPr>
          <w:bCs/>
          <w:sz w:val="16"/>
          <w:szCs w:val="18"/>
        </w:rPr>
        <w:fldChar w:fldCharType="begin"/>
      </w:r>
      <w:r w:rsidRPr="001F751D">
        <w:rPr>
          <w:bCs/>
          <w:sz w:val="16"/>
          <w:szCs w:val="18"/>
        </w:rPr>
        <w:instrText xml:space="preserve"> TOC \o "1-3" \h \z \u </w:instrText>
      </w:r>
      <w:r w:rsidRPr="001F751D">
        <w:rPr>
          <w:bCs/>
          <w:sz w:val="16"/>
          <w:szCs w:val="18"/>
        </w:rPr>
        <w:fldChar w:fldCharType="separate"/>
      </w:r>
      <w:hyperlink w:anchor="_Toc525713965" w:history="1">
        <w:r w:rsidR="00835166" w:rsidRPr="001F751D">
          <w:rPr>
            <w:rStyle w:val="Hyperlink"/>
            <w:noProof/>
            <w:sz w:val="16"/>
          </w:rPr>
          <w:t>I. INTRODUCCIÓN DE LA CAUSA Y OBJETO DE LA CONTROVERSIA</w:t>
        </w:r>
        <w:r w:rsidR="00835166" w:rsidRPr="001F751D">
          <w:rPr>
            <w:noProof/>
            <w:webHidden/>
            <w:sz w:val="16"/>
          </w:rPr>
          <w:tab/>
        </w:r>
        <w:r w:rsidR="00835166" w:rsidRPr="001F751D">
          <w:rPr>
            <w:noProof/>
            <w:webHidden/>
            <w:sz w:val="16"/>
          </w:rPr>
          <w:fldChar w:fldCharType="begin"/>
        </w:r>
        <w:r w:rsidR="00835166" w:rsidRPr="001F751D">
          <w:rPr>
            <w:noProof/>
            <w:webHidden/>
            <w:sz w:val="16"/>
          </w:rPr>
          <w:instrText xml:space="preserve"> PAGEREF _Toc525713965 \h </w:instrText>
        </w:r>
        <w:r w:rsidR="00835166" w:rsidRPr="001F751D">
          <w:rPr>
            <w:noProof/>
            <w:webHidden/>
            <w:sz w:val="16"/>
          </w:rPr>
        </w:r>
        <w:r w:rsidR="00835166" w:rsidRPr="001F751D">
          <w:rPr>
            <w:noProof/>
            <w:webHidden/>
            <w:sz w:val="16"/>
          </w:rPr>
          <w:fldChar w:fldCharType="separate"/>
        </w:r>
        <w:r w:rsidR="00074B8B">
          <w:rPr>
            <w:noProof/>
            <w:webHidden/>
            <w:sz w:val="16"/>
          </w:rPr>
          <w:t>3</w:t>
        </w:r>
        <w:r w:rsidR="00835166" w:rsidRPr="001F751D">
          <w:rPr>
            <w:noProof/>
            <w:webHidden/>
            <w:sz w:val="16"/>
          </w:rPr>
          <w:fldChar w:fldCharType="end"/>
        </w:r>
      </w:hyperlink>
    </w:p>
    <w:p w14:paraId="00A0A3EF" w14:textId="59B2C4EC" w:rsidR="00835166" w:rsidRPr="00585059" w:rsidRDefault="00C4575C">
      <w:pPr>
        <w:pStyle w:val="TOC1"/>
        <w:rPr>
          <w:rFonts w:asciiTheme="minorHAnsi" w:eastAsiaTheme="minorEastAsia" w:hAnsiTheme="minorHAnsi" w:cstheme="minorBidi"/>
          <w:b w:val="0"/>
          <w:noProof/>
          <w:sz w:val="20"/>
          <w:szCs w:val="22"/>
          <w:lang w:val="es-ES" w:eastAsia="es-ES"/>
        </w:rPr>
      </w:pPr>
      <w:hyperlink w:anchor="_Toc525713966" w:history="1">
        <w:r w:rsidR="00835166" w:rsidRPr="001F751D">
          <w:rPr>
            <w:rStyle w:val="Hyperlink"/>
            <w:noProof/>
            <w:sz w:val="16"/>
          </w:rPr>
          <w:t>II. PROCEDIMIENTO ANTE LA CORTE</w:t>
        </w:r>
        <w:r w:rsidR="00835166" w:rsidRPr="001F751D">
          <w:rPr>
            <w:noProof/>
            <w:webHidden/>
            <w:sz w:val="16"/>
          </w:rPr>
          <w:tab/>
        </w:r>
        <w:r w:rsidR="00835166" w:rsidRPr="001F751D">
          <w:rPr>
            <w:noProof/>
            <w:webHidden/>
            <w:sz w:val="16"/>
          </w:rPr>
          <w:fldChar w:fldCharType="begin"/>
        </w:r>
        <w:r w:rsidR="00835166" w:rsidRPr="001F751D">
          <w:rPr>
            <w:noProof/>
            <w:webHidden/>
            <w:sz w:val="16"/>
          </w:rPr>
          <w:instrText xml:space="preserve"> PAGEREF _Toc525713966 \h </w:instrText>
        </w:r>
        <w:r w:rsidR="00835166" w:rsidRPr="001F751D">
          <w:rPr>
            <w:noProof/>
            <w:webHidden/>
            <w:sz w:val="16"/>
          </w:rPr>
        </w:r>
        <w:r w:rsidR="00835166" w:rsidRPr="001F751D">
          <w:rPr>
            <w:noProof/>
            <w:webHidden/>
            <w:sz w:val="16"/>
          </w:rPr>
          <w:fldChar w:fldCharType="separate"/>
        </w:r>
        <w:r w:rsidR="00074B8B">
          <w:rPr>
            <w:noProof/>
            <w:webHidden/>
            <w:sz w:val="16"/>
          </w:rPr>
          <w:t>4</w:t>
        </w:r>
        <w:r w:rsidR="00835166" w:rsidRPr="001F751D">
          <w:rPr>
            <w:noProof/>
            <w:webHidden/>
            <w:sz w:val="16"/>
          </w:rPr>
          <w:fldChar w:fldCharType="end"/>
        </w:r>
      </w:hyperlink>
    </w:p>
    <w:p w14:paraId="2DBDA9D8" w14:textId="4C5FF451" w:rsidR="00835166" w:rsidRPr="00585059" w:rsidRDefault="00C4575C">
      <w:pPr>
        <w:pStyle w:val="TOC1"/>
        <w:rPr>
          <w:rFonts w:asciiTheme="minorHAnsi" w:eastAsiaTheme="minorEastAsia" w:hAnsiTheme="minorHAnsi" w:cstheme="minorBidi"/>
          <w:b w:val="0"/>
          <w:noProof/>
          <w:sz w:val="20"/>
          <w:szCs w:val="22"/>
          <w:lang w:val="es-ES" w:eastAsia="es-ES"/>
        </w:rPr>
      </w:pPr>
      <w:hyperlink w:anchor="_Toc525713967" w:history="1">
        <w:r w:rsidR="00835166" w:rsidRPr="001F751D">
          <w:rPr>
            <w:rStyle w:val="Hyperlink"/>
            <w:noProof/>
            <w:sz w:val="16"/>
          </w:rPr>
          <w:t>III. COMPETENCIA</w:t>
        </w:r>
        <w:r w:rsidR="00835166" w:rsidRPr="001F751D">
          <w:rPr>
            <w:noProof/>
            <w:webHidden/>
            <w:sz w:val="16"/>
          </w:rPr>
          <w:tab/>
        </w:r>
        <w:r w:rsidR="00835166" w:rsidRPr="001F751D">
          <w:rPr>
            <w:noProof/>
            <w:webHidden/>
            <w:sz w:val="16"/>
          </w:rPr>
          <w:fldChar w:fldCharType="begin"/>
        </w:r>
        <w:r w:rsidR="00835166" w:rsidRPr="001F751D">
          <w:rPr>
            <w:noProof/>
            <w:webHidden/>
            <w:sz w:val="16"/>
          </w:rPr>
          <w:instrText xml:space="preserve"> PAGEREF _Toc525713967 \h </w:instrText>
        </w:r>
        <w:r w:rsidR="00835166" w:rsidRPr="001F751D">
          <w:rPr>
            <w:noProof/>
            <w:webHidden/>
            <w:sz w:val="16"/>
          </w:rPr>
        </w:r>
        <w:r w:rsidR="00835166" w:rsidRPr="001F751D">
          <w:rPr>
            <w:noProof/>
            <w:webHidden/>
            <w:sz w:val="16"/>
          </w:rPr>
          <w:fldChar w:fldCharType="separate"/>
        </w:r>
        <w:r w:rsidR="00074B8B">
          <w:rPr>
            <w:noProof/>
            <w:webHidden/>
            <w:sz w:val="16"/>
          </w:rPr>
          <w:t>6</w:t>
        </w:r>
        <w:r w:rsidR="00835166" w:rsidRPr="001F751D">
          <w:rPr>
            <w:noProof/>
            <w:webHidden/>
            <w:sz w:val="16"/>
          </w:rPr>
          <w:fldChar w:fldCharType="end"/>
        </w:r>
      </w:hyperlink>
    </w:p>
    <w:p w14:paraId="602988C7" w14:textId="0386DBA1" w:rsidR="00835166" w:rsidRPr="00585059" w:rsidRDefault="00C4575C">
      <w:pPr>
        <w:pStyle w:val="TOC1"/>
        <w:rPr>
          <w:rFonts w:asciiTheme="minorHAnsi" w:eastAsiaTheme="minorEastAsia" w:hAnsiTheme="minorHAnsi" w:cstheme="minorBidi"/>
          <w:b w:val="0"/>
          <w:noProof/>
          <w:sz w:val="20"/>
          <w:szCs w:val="22"/>
          <w:lang w:val="es-ES" w:eastAsia="es-ES"/>
        </w:rPr>
      </w:pPr>
      <w:hyperlink w:anchor="_Toc525713968" w:history="1">
        <w:r w:rsidR="00835166" w:rsidRPr="001F751D">
          <w:rPr>
            <w:rStyle w:val="Hyperlink"/>
            <w:noProof/>
            <w:sz w:val="16"/>
          </w:rPr>
          <w:t>IV. ACUERDO DE SOLUCIÓN AMISTOSA</w:t>
        </w:r>
        <w:r w:rsidR="00835166" w:rsidRPr="001F751D">
          <w:rPr>
            <w:noProof/>
            <w:webHidden/>
            <w:sz w:val="16"/>
          </w:rPr>
          <w:tab/>
        </w:r>
        <w:r w:rsidR="00835166" w:rsidRPr="001F751D">
          <w:rPr>
            <w:noProof/>
            <w:webHidden/>
            <w:sz w:val="16"/>
          </w:rPr>
          <w:fldChar w:fldCharType="begin"/>
        </w:r>
        <w:r w:rsidR="00835166" w:rsidRPr="001F751D">
          <w:rPr>
            <w:noProof/>
            <w:webHidden/>
            <w:sz w:val="16"/>
          </w:rPr>
          <w:instrText xml:space="preserve"> PAGEREF _Toc525713968 \h </w:instrText>
        </w:r>
        <w:r w:rsidR="00835166" w:rsidRPr="001F751D">
          <w:rPr>
            <w:noProof/>
            <w:webHidden/>
            <w:sz w:val="16"/>
          </w:rPr>
        </w:r>
        <w:r w:rsidR="00835166" w:rsidRPr="001F751D">
          <w:rPr>
            <w:noProof/>
            <w:webHidden/>
            <w:sz w:val="16"/>
          </w:rPr>
          <w:fldChar w:fldCharType="separate"/>
        </w:r>
        <w:r w:rsidR="00074B8B">
          <w:rPr>
            <w:noProof/>
            <w:webHidden/>
            <w:sz w:val="16"/>
          </w:rPr>
          <w:t>6</w:t>
        </w:r>
        <w:r w:rsidR="00835166" w:rsidRPr="001F751D">
          <w:rPr>
            <w:noProof/>
            <w:webHidden/>
            <w:sz w:val="16"/>
          </w:rPr>
          <w:fldChar w:fldCharType="end"/>
        </w:r>
      </w:hyperlink>
    </w:p>
    <w:p w14:paraId="3471204F" w14:textId="27BA97CF" w:rsidR="00835166" w:rsidRPr="00585059" w:rsidRDefault="00C4575C">
      <w:pPr>
        <w:pStyle w:val="TOC2"/>
        <w:rPr>
          <w:rFonts w:asciiTheme="minorHAnsi" w:eastAsiaTheme="minorEastAsia" w:hAnsiTheme="minorHAnsi" w:cstheme="minorBidi"/>
          <w:b w:val="0"/>
          <w:i w:val="0"/>
          <w:szCs w:val="22"/>
          <w:lang w:val="es-ES" w:eastAsia="es-ES"/>
        </w:rPr>
      </w:pPr>
      <w:hyperlink w:anchor="_Toc525713969" w:history="1">
        <w:r w:rsidR="00835166" w:rsidRPr="00585059">
          <w:rPr>
            <w:rStyle w:val="Hyperlink"/>
            <w:rFonts w:eastAsiaTheme="minorHAnsi"/>
            <w:iCs/>
            <w:sz w:val="18"/>
            <w:lang w:val="es-ES"/>
          </w:rPr>
          <w:t>A.</w:t>
        </w:r>
        <w:r w:rsidR="00835166" w:rsidRPr="00585059">
          <w:rPr>
            <w:rFonts w:asciiTheme="minorHAnsi" w:eastAsiaTheme="minorEastAsia" w:hAnsiTheme="minorHAnsi" w:cstheme="minorBidi"/>
            <w:b w:val="0"/>
            <w:i w:val="0"/>
            <w:szCs w:val="22"/>
            <w:lang w:val="es-ES" w:eastAsia="es-ES"/>
          </w:rPr>
          <w:tab/>
        </w:r>
        <w:r w:rsidR="00835166" w:rsidRPr="00585059">
          <w:rPr>
            <w:rStyle w:val="Hyperlink"/>
            <w:rFonts w:eastAsiaTheme="minorHAnsi"/>
            <w:iCs/>
            <w:sz w:val="18"/>
            <w:lang w:val="es-ES"/>
          </w:rPr>
          <w:t>El Acuerdo de solución amistosa</w:t>
        </w:r>
        <w:r w:rsidR="00835166" w:rsidRPr="00585059">
          <w:rPr>
            <w:webHidden/>
            <w:sz w:val="18"/>
          </w:rPr>
          <w:tab/>
        </w:r>
        <w:r w:rsidR="00835166" w:rsidRPr="00585059">
          <w:rPr>
            <w:webHidden/>
            <w:sz w:val="18"/>
          </w:rPr>
          <w:fldChar w:fldCharType="begin"/>
        </w:r>
        <w:r w:rsidR="00835166" w:rsidRPr="00585059">
          <w:rPr>
            <w:webHidden/>
            <w:sz w:val="18"/>
          </w:rPr>
          <w:instrText xml:space="preserve"> PAGEREF _Toc525713969 \h </w:instrText>
        </w:r>
        <w:r w:rsidR="00835166" w:rsidRPr="00585059">
          <w:rPr>
            <w:webHidden/>
            <w:sz w:val="18"/>
          </w:rPr>
        </w:r>
        <w:r w:rsidR="00835166" w:rsidRPr="00585059">
          <w:rPr>
            <w:webHidden/>
            <w:sz w:val="18"/>
          </w:rPr>
          <w:fldChar w:fldCharType="separate"/>
        </w:r>
        <w:r w:rsidR="00074B8B">
          <w:rPr>
            <w:webHidden/>
            <w:sz w:val="18"/>
          </w:rPr>
          <w:t>6</w:t>
        </w:r>
        <w:r w:rsidR="00835166" w:rsidRPr="00585059">
          <w:rPr>
            <w:webHidden/>
            <w:sz w:val="18"/>
          </w:rPr>
          <w:fldChar w:fldCharType="end"/>
        </w:r>
      </w:hyperlink>
    </w:p>
    <w:p w14:paraId="72F1490B" w14:textId="18E8C53F" w:rsidR="00835166" w:rsidRPr="00585059" w:rsidRDefault="00C4575C">
      <w:pPr>
        <w:pStyle w:val="TOC2"/>
        <w:rPr>
          <w:rFonts w:asciiTheme="minorHAnsi" w:eastAsiaTheme="minorEastAsia" w:hAnsiTheme="minorHAnsi" w:cstheme="minorBidi"/>
          <w:b w:val="0"/>
          <w:i w:val="0"/>
          <w:szCs w:val="22"/>
          <w:lang w:val="es-ES" w:eastAsia="es-ES"/>
        </w:rPr>
      </w:pPr>
      <w:hyperlink w:anchor="_Toc525713970" w:history="1">
        <w:r w:rsidR="00835166" w:rsidRPr="00585059">
          <w:rPr>
            <w:rStyle w:val="Hyperlink"/>
            <w:rFonts w:eastAsiaTheme="minorHAnsi"/>
            <w:iCs/>
            <w:sz w:val="18"/>
            <w:lang w:val="es-ES"/>
          </w:rPr>
          <w:t>B.</w:t>
        </w:r>
        <w:r w:rsidR="00835166" w:rsidRPr="00585059">
          <w:rPr>
            <w:rFonts w:asciiTheme="minorHAnsi" w:eastAsiaTheme="minorEastAsia" w:hAnsiTheme="minorHAnsi" w:cstheme="minorBidi"/>
            <w:b w:val="0"/>
            <w:i w:val="0"/>
            <w:szCs w:val="22"/>
            <w:lang w:val="es-ES" w:eastAsia="es-ES"/>
          </w:rPr>
          <w:tab/>
        </w:r>
        <w:r w:rsidR="00835166" w:rsidRPr="00585059">
          <w:rPr>
            <w:rStyle w:val="Hyperlink"/>
            <w:rFonts w:eastAsiaTheme="minorHAnsi"/>
            <w:iCs/>
            <w:sz w:val="18"/>
            <w:lang w:val="es-ES"/>
          </w:rPr>
          <w:t>Observaciones de los representantes</w:t>
        </w:r>
        <w:r w:rsidR="00835166" w:rsidRPr="00585059">
          <w:rPr>
            <w:webHidden/>
            <w:sz w:val="18"/>
          </w:rPr>
          <w:tab/>
        </w:r>
        <w:r w:rsidR="00835166" w:rsidRPr="00585059">
          <w:rPr>
            <w:webHidden/>
            <w:sz w:val="18"/>
          </w:rPr>
          <w:fldChar w:fldCharType="begin"/>
        </w:r>
        <w:r w:rsidR="00835166" w:rsidRPr="00585059">
          <w:rPr>
            <w:webHidden/>
            <w:sz w:val="18"/>
          </w:rPr>
          <w:instrText xml:space="preserve"> PAGEREF _Toc525713970 \h </w:instrText>
        </w:r>
        <w:r w:rsidR="00835166" w:rsidRPr="00585059">
          <w:rPr>
            <w:webHidden/>
            <w:sz w:val="18"/>
          </w:rPr>
        </w:r>
        <w:r w:rsidR="00835166" w:rsidRPr="00585059">
          <w:rPr>
            <w:webHidden/>
            <w:sz w:val="18"/>
          </w:rPr>
          <w:fldChar w:fldCharType="separate"/>
        </w:r>
        <w:r w:rsidR="00074B8B">
          <w:rPr>
            <w:webHidden/>
            <w:sz w:val="18"/>
          </w:rPr>
          <w:t>6</w:t>
        </w:r>
        <w:r w:rsidR="00835166" w:rsidRPr="00585059">
          <w:rPr>
            <w:webHidden/>
            <w:sz w:val="18"/>
          </w:rPr>
          <w:fldChar w:fldCharType="end"/>
        </w:r>
      </w:hyperlink>
    </w:p>
    <w:p w14:paraId="2D8C1CBD" w14:textId="2223FAC2" w:rsidR="00835166" w:rsidRPr="00585059" w:rsidRDefault="00C4575C">
      <w:pPr>
        <w:pStyle w:val="TOC2"/>
        <w:rPr>
          <w:rFonts w:asciiTheme="minorHAnsi" w:eastAsiaTheme="minorEastAsia" w:hAnsiTheme="minorHAnsi" w:cstheme="minorBidi"/>
          <w:b w:val="0"/>
          <w:i w:val="0"/>
          <w:szCs w:val="22"/>
          <w:lang w:val="es-ES" w:eastAsia="es-ES"/>
        </w:rPr>
      </w:pPr>
      <w:hyperlink w:anchor="_Toc525713971" w:history="1">
        <w:r w:rsidR="00835166" w:rsidRPr="00585059">
          <w:rPr>
            <w:rStyle w:val="Hyperlink"/>
            <w:rFonts w:eastAsiaTheme="minorHAnsi"/>
            <w:iCs/>
            <w:sz w:val="18"/>
            <w:lang w:val="es-ES"/>
          </w:rPr>
          <w:t>C.</w:t>
        </w:r>
        <w:r w:rsidR="00835166" w:rsidRPr="00585059">
          <w:rPr>
            <w:rFonts w:asciiTheme="minorHAnsi" w:eastAsiaTheme="minorEastAsia" w:hAnsiTheme="minorHAnsi" w:cstheme="minorBidi"/>
            <w:b w:val="0"/>
            <w:i w:val="0"/>
            <w:szCs w:val="22"/>
            <w:lang w:val="es-ES" w:eastAsia="es-ES"/>
          </w:rPr>
          <w:tab/>
        </w:r>
        <w:r w:rsidR="00835166" w:rsidRPr="00585059">
          <w:rPr>
            <w:rStyle w:val="Hyperlink"/>
            <w:rFonts w:eastAsiaTheme="minorHAnsi"/>
            <w:iCs/>
            <w:sz w:val="18"/>
            <w:lang w:val="es-ES"/>
          </w:rPr>
          <w:t>Observaciones de la Comisión</w:t>
        </w:r>
        <w:r w:rsidR="00835166" w:rsidRPr="00585059">
          <w:rPr>
            <w:webHidden/>
            <w:sz w:val="18"/>
          </w:rPr>
          <w:tab/>
        </w:r>
        <w:r w:rsidR="00835166" w:rsidRPr="00585059">
          <w:rPr>
            <w:webHidden/>
            <w:sz w:val="18"/>
          </w:rPr>
          <w:fldChar w:fldCharType="begin"/>
        </w:r>
        <w:r w:rsidR="00835166" w:rsidRPr="00585059">
          <w:rPr>
            <w:webHidden/>
            <w:sz w:val="18"/>
          </w:rPr>
          <w:instrText xml:space="preserve"> PAGEREF _Toc525713971 \h </w:instrText>
        </w:r>
        <w:r w:rsidR="00835166" w:rsidRPr="00585059">
          <w:rPr>
            <w:webHidden/>
            <w:sz w:val="18"/>
          </w:rPr>
        </w:r>
        <w:r w:rsidR="00835166" w:rsidRPr="00585059">
          <w:rPr>
            <w:webHidden/>
            <w:sz w:val="18"/>
          </w:rPr>
          <w:fldChar w:fldCharType="separate"/>
        </w:r>
        <w:r w:rsidR="00074B8B">
          <w:rPr>
            <w:webHidden/>
            <w:sz w:val="18"/>
          </w:rPr>
          <w:t>7</w:t>
        </w:r>
        <w:r w:rsidR="00835166" w:rsidRPr="00585059">
          <w:rPr>
            <w:webHidden/>
            <w:sz w:val="18"/>
          </w:rPr>
          <w:fldChar w:fldCharType="end"/>
        </w:r>
      </w:hyperlink>
    </w:p>
    <w:p w14:paraId="73374E28" w14:textId="107B9CAB" w:rsidR="00835166" w:rsidRPr="00585059" w:rsidRDefault="00C4575C">
      <w:pPr>
        <w:pStyle w:val="TOC2"/>
        <w:rPr>
          <w:rFonts w:asciiTheme="minorHAnsi" w:eastAsiaTheme="minorEastAsia" w:hAnsiTheme="minorHAnsi" w:cstheme="minorBidi"/>
          <w:b w:val="0"/>
          <w:i w:val="0"/>
          <w:szCs w:val="22"/>
          <w:lang w:val="es-ES" w:eastAsia="es-ES"/>
        </w:rPr>
      </w:pPr>
      <w:hyperlink w:anchor="_Toc525713972" w:history="1">
        <w:r w:rsidR="00835166" w:rsidRPr="00585059">
          <w:rPr>
            <w:rStyle w:val="Hyperlink"/>
            <w:rFonts w:eastAsiaTheme="minorHAnsi"/>
            <w:iCs/>
            <w:sz w:val="18"/>
            <w:lang w:val="es-ES"/>
          </w:rPr>
          <w:t>D.</w:t>
        </w:r>
        <w:r w:rsidR="00835166" w:rsidRPr="00585059">
          <w:rPr>
            <w:rFonts w:asciiTheme="minorHAnsi" w:eastAsiaTheme="minorEastAsia" w:hAnsiTheme="minorHAnsi" w:cstheme="minorBidi"/>
            <w:b w:val="0"/>
            <w:i w:val="0"/>
            <w:szCs w:val="22"/>
            <w:lang w:val="es-ES" w:eastAsia="es-ES"/>
          </w:rPr>
          <w:tab/>
        </w:r>
        <w:r w:rsidR="00835166" w:rsidRPr="00585059">
          <w:rPr>
            <w:rStyle w:val="Hyperlink"/>
            <w:rFonts w:eastAsiaTheme="minorHAnsi"/>
            <w:iCs/>
            <w:sz w:val="18"/>
            <w:lang w:val="es-ES"/>
          </w:rPr>
          <w:t>Consideraciones de la Corte</w:t>
        </w:r>
        <w:r w:rsidR="00835166" w:rsidRPr="00585059">
          <w:rPr>
            <w:webHidden/>
            <w:sz w:val="18"/>
          </w:rPr>
          <w:tab/>
        </w:r>
        <w:r w:rsidR="00835166" w:rsidRPr="00585059">
          <w:rPr>
            <w:webHidden/>
            <w:sz w:val="18"/>
          </w:rPr>
          <w:fldChar w:fldCharType="begin"/>
        </w:r>
        <w:r w:rsidR="00835166" w:rsidRPr="00585059">
          <w:rPr>
            <w:webHidden/>
            <w:sz w:val="18"/>
          </w:rPr>
          <w:instrText xml:space="preserve"> PAGEREF _Toc525713972 \h </w:instrText>
        </w:r>
        <w:r w:rsidR="00835166" w:rsidRPr="00585059">
          <w:rPr>
            <w:webHidden/>
            <w:sz w:val="18"/>
          </w:rPr>
        </w:r>
        <w:r w:rsidR="00835166" w:rsidRPr="00585059">
          <w:rPr>
            <w:webHidden/>
            <w:sz w:val="18"/>
          </w:rPr>
          <w:fldChar w:fldCharType="separate"/>
        </w:r>
        <w:r w:rsidR="00074B8B">
          <w:rPr>
            <w:webHidden/>
            <w:sz w:val="18"/>
          </w:rPr>
          <w:t>7</w:t>
        </w:r>
        <w:r w:rsidR="00835166" w:rsidRPr="00585059">
          <w:rPr>
            <w:webHidden/>
            <w:sz w:val="18"/>
          </w:rPr>
          <w:fldChar w:fldCharType="end"/>
        </w:r>
      </w:hyperlink>
    </w:p>
    <w:p w14:paraId="2BBE4A05" w14:textId="42336461" w:rsidR="00835166" w:rsidRPr="00585059" w:rsidRDefault="00C4575C">
      <w:pPr>
        <w:pStyle w:val="TOC1"/>
        <w:rPr>
          <w:rFonts w:asciiTheme="minorHAnsi" w:eastAsiaTheme="minorEastAsia" w:hAnsiTheme="minorHAnsi" w:cstheme="minorBidi"/>
          <w:b w:val="0"/>
          <w:noProof/>
          <w:sz w:val="20"/>
          <w:szCs w:val="22"/>
          <w:lang w:val="es-ES" w:eastAsia="es-ES"/>
        </w:rPr>
      </w:pPr>
      <w:hyperlink w:anchor="_Toc525713973" w:history="1">
        <w:r w:rsidR="00835166" w:rsidRPr="001F751D">
          <w:rPr>
            <w:rStyle w:val="Hyperlink"/>
            <w:noProof/>
            <w:sz w:val="16"/>
          </w:rPr>
          <w:t>V. HECHOS</w:t>
        </w:r>
        <w:r w:rsidR="00835166" w:rsidRPr="001F751D">
          <w:rPr>
            <w:noProof/>
            <w:webHidden/>
            <w:sz w:val="16"/>
          </w:rPr>
          <w:tab/>
        </w:r>
        <w:r w:rsidR="00835166" w:rsidRPr="001F751D">
          <w:rPr>
            <w:noProof/>
            <w:webHidden/>
            <w:sz w:val="16"/>
          </w:rPr>
          <w:fldChar w:fldCharType="begin"/>
        </w:r>
        <w:r w:rsidR="00835166" w:rsidRPr="001F751D">
          <w:rPr>
            <w:noProof/>
            <w:webHidden/>
            <w:sz w:val="16"/>
          </w:rPr>
          <w:instrText xml:space="preserve"> PAGEREF _Toc525713973 \h </w:instrText>
        </w:r>
        <w:r w:rsidR="00835166" w:rsidRPr="001F751D">
          <w:rPr>
            <w:noProof/>
            <w:webHidden/>
            <w:sz w:val="16"/>
          </w:rPr>
        </w:r>
        <w:r w:rsidR="00835166" w:rsidRPr="001F751D">
          <w:rPr>
            <w:noProof/>
            <w:webHidden/>
            <w:sz w:val="16"/>
          </w:rPr>
          <w:fldChar w:fldCharType="separate"/>
        </w:r>
        <w:r w:rsidR="00074B8B">
          <w:rPr>
            <w:noProof/>
            <w:webHidden/>
            <w:sz w:val="16"/>
          </w:rPr>
          <w:t>9</w:t>
        </w:r>
        <w:r w:rsidR="00835166" w:rsidRPr="001F751D">
          <w:rPr>
            <w:noProof/>
            <w:webHidden/>
            <w:sz w:val="16"/>
          </w:rPr>
          <w:fldChar w:fldCharType="end"/>
        </w:r>
      </w:hyperlink>
    </w:p>
    <w:p w14:paraId="3E2A7476" w14:textId="0CE5004D" w:rsidR="00835166" w:rsidRPr="00585059" w:rsidRDefault="00C4575C">
      <w:pPr>
        <w:pStyle w:val="TOC2"/>
        <w:rPr>
          <w:rFonts w:asciiTheme="minorHAnsi" w:eastAsiaTheme="minorEastAsia" w:hAnsiTheme="minorHAnsi" w:cstheme="minorBidi"/>
          <w:b w:val="0"/>
          <w:i w:val="0"/>
          <w:szCs w:val="22"/>
          <w:lang w:val="es-ES" w:eastAsia="es-ES"/>
        </w:rPr>
      </w:pPr>
      <w:hyperlink w:anchor="_Toc525713974" w:history="1">
        <w:r w:rsidR="00835166" w:rsidRPr="00585059">
          <w:rPr>
            <w:rStyle w:val="Hyperlink"/>
            <w:sz w:val="18"/>
          </w:rPr>
          <w:t>A.</w:t>
        </w:r>
        <w:r w:rsidR="00835166" w:rsidRPr="00585059">
          <w:rPr>
            <w:rFonts w:asciiTheme="minorHAnsi" w:eastAsiaTheme="minorEastAsia" w:hAnsiTheme="minorHAnsi" w:cstheme="minorBidi"/>
            <w:b w:val="0"/>
            <w:i w:val="0"/>
            <w:szCs w:val="22"/>
            <w:lang w:val="es-ES" w:eastAsia="es-ES"/>
          </w:rPr>
          <w:tab/>
        </w:r>
        <w:r w:rsidR="00835166" w:rsidRPr="00585059">
          <w:rPr>
            <w:rStyle w:val="Hyperlink"/>
            <w:sz w:val="18"/>
          </w:rPr>
          <w:t>Contexto sobre la situación de defensoras y defensores de los recursos ambientales en Honduras</w:t>
        </w:r>
        <w:r w:rsidR="00835166" w:rsidRPr="00585059">
          <w:rPr>
            <w:webHidden/>
            <w:sz w:val="18"/>
          </w:rPr>
          <w:tab/>
        </w:r>
        <w:r w:rsidR="00835166" w:rsidRPr="00585059">
          <w:rPr>
            <w:webHidden/>
            <w:sz w:val="18"/>
          </w:rPr>
          <w:fldChar w:fldCharType="begin"/>
        </w:r>
        <w:r w:rsidR="00835166" w:rsidRPr="00585059">
          <w:rPr>
            <w:webHidden/>
            <w:sz w:val="18"/>
          </w:rPr>
          <w:instrText xml:space="preserve"> PAGEREF _Toc525713974 \h </w:instrText>
        </w:r>
        <w:r w:rsidR="00835166" w:rsidRPr="00585059">
          <w:rPr>
            <w:webHidden/>
            <w:sz w:val="18"/>
          </w:rPr>
        </w:r>
        <w:r w:rsidR="00835166" w:rsidRPr="00585059">
          <w:rPr>
            <w:webHidden/>
            <w:sz w:val="18"/>
          </w:rPr>
          <w:fldChar w:fldCharType="separate"/>
        </w:r>
        <w:r w:rsidR="00074B8B">
          <w:rPr>
            <w:webHidden/>
            <w:sz w:val="18"/>
          </w:rPr>
          <w:t>9</w:t>
        </w:r>
        <w:r w:rsidR="00835166" w:rsidRPr="00585059">
          <w:rPr>
            <w:webHidden/>
            <w:sz w:val="18"/>
          </w:rPr>
          <w:fldChar w:fldCharType="end"/>
        </w:r>
      </w:hyperlink>
    </w:p>
    <w:p w14:paraId="7DC2BA1D" w14:textId="3E9EA13D" w:rsidR="00835166" w:rsidRPr="00585059" w:rsidRDefault="00C4575C">
      <w:pPr>
        <w:pStyle w:val="TOC2"/>
        <w:rPr>
          <w:rFonts w:asciiTheme="minorHAnsi" w:eastAsiaTheme="minorEastAsia" w:hAnsiTheme="minorHAnsi" w:cstheme="minorBidi"/>
          <w:b w:val="0"/>
          <w:i w:val="0"/>
          <w:szCs w:val="22"/>
          <w:lang w:val="es-ES" w:eastAsia="es-ES"/>
        </w:rPr>
      </w:pPr>
      <w:hyperlink w:anchor="_Toc525713975" w:history="1">
        <w:r w:rsidR="00835166" w:rsidRPr="00585059">
          <w:rPr>
            <w:rStyle w:val="Hyperlink"/>
            <w:sz w:val="18"/>
          </w:rPr>
          <w:t>B.</w:t>
        </w:r>
        <w:r w:rsidR="00835166" w:rsidRPr="00585059">
          <w:rPr>
            <w:rFonts w:asciiTheme="minorHAnsi" w:eastAsiaTheme="minorEastAsia" w:hAnsiTheme="minorHAnsi" w:cstheme="minorBidi"/>
            <w:b w:val="0"/>
            <w:i w:val="0"/>
            <w:szCs w:val="22"/>
            <w:lang w:val="es-ES" w:eastAsia="es-ES"/>
          </w:rPr>
          <w:tab/>
        </w:r>
        <w:r w:rsidR="00835166" w:rsidRPr="00585059">
          <w:rPr>
            <w:rStyle w:val="Hyperlink"/>
            <w:sz w:val="18"/>
          </w:rPr>
          <w:t>Sobre Carlos Escaleras Mejía y su homicidio</w:t>
        </w:r>
        <w:r w:rsidR="00835166" w:rsidRPr="00585059">
          <w:rPr>
            <w:webHidden/>
            <w:sz w:val="18"/>
          </w:rPr>
          <w:tab/>
        </w:r>
        <w:r w:rsidR="00835166" w:rsidRPr="00585059">
          <w:rPr>
            <w:webHidden/>
            <w:sz w:val="18"/>
          </w:rPr>
          <w:fldChar w:fldCharType="begin"/>
        </w:r>
        <w:r w:rsidR="00835166" w:rsidRPr="00585059">
          <w:rPr>
            <w:webHidden/>
            <w:sz w:val="18"/>
          </w:rPr>
          <w:instrText xml:space="preserve"> PAGEREF _Toc525713975 \h </w:instrText>
        </w:r>
        <w:r w:rsidR="00835166" w:rsidRPr="00585059">
          <w:rPr>
            <w:webHidden/>
            <w:sz w:val="18"/>
          </w:rPr>
        </w:r>
        <w:r w:rsidR="00835166" w:rsidRPr="00585059">
          <w:rPr>
            <w:webHidden/>
            <w:sz w:val="18"/>
          </w:rPr>
          <w:fldChar w:fldCharType="separate"/>
        </w:r>
        <w:r w:rsidR="00074B8B">
          <w:rPr>
            <w:webHidden/>
            <w:sz w:val="18"/>
          </w:rPr>
          <w:t>11</w:t>
        </w:r>
        <w:r w:rsidR="00835166" w:rsidRPr="00585059">
          <w:rPr>
            <w:webHidden/>
            <w:sz w:val="18"/>
          </w:rPr>
          <w:fldChar w:fldCharType="end"/>
        </w:r>
      </w:hyperlink>
    </w:p>
    <w:p w14:paraId="326AF647" w14:textId="1E49A81A" w:rsidR="00835166" w:rsidRPr="00585059" w:rsidRDefault="00C4575C">
      <w:pPr>
        <w:pStyle w:val="TOC2"/>
        <w:rPr>
          <w:rFonts w:asciiTheme="minorHAnsi" w:eastAsiaTheme="minorEastAsia" w:hAnsiTheme="minorHAnsi" w:cstheme="minorBidi"/>
          <w:b w:val="0"/>
          <w:i w:val="0"/>
          <w:szCs w:val="22"/>
          <w:lang w:val="es-ES" w:eastAsia="es-ES"/>
        </w:rPr>
      </w:pPr>
      <w:hyperlink w:anchor="_Toc525713976" w:history="1">
        <w:r w:rsidR="00835166" w:rsidRPr="00585059">
          <w:rPr>
            <w:rStyle w:val="Hyperlink"/>
            <w:sz w:val="18"/>
          </w:rPr>
          <w:t>C.</w:t>
        </w:r>
        <w:r w:rsidR="00835166" w:rsidRPr="00585059">
          <w:rPr>
            <w:rFonts w:asciiTheme="minorHAnsi" w:eastAsiaTheme="minorEastAsia" w:hAnsiTheme="minorHAnsi" w:cstheme="minorBidi"/>
            <w:b w:val="0"/>
            <w:i w:val="0"/>
            <w:szCs w:val="22"/>
            <w:lang w:val="es-ES" w:eastAsia="es-ES"/>
          </w:rPr>
          <w:tab/>
        </w:r>
        <w:r w:rsidR="00835166" w:rsidRPr="00585059">
          <w:rPr>
            <w:rStyle w:val="Hyperlink"/>
            <w:sz w:val="18"/>
          </w:rPr>
          <w:t>Investigación y procedimiento judicial</w:t>
        </w:r>
        <w:r w:rsidR="00835166" w:rsidRPr="00585059">
          <w:rPr>
            <w:webHidden/>
            <w:sz w:val="18"/>
          </w:rPr>
          <w:tab/>
        </w:r>
        <w:r w:rsidR="00835166" w:rsidRPr="00585059">
          <w:rPr>
            <w:webHidden/>
            <w:sz w:val="18"/>
          </w:rPr>
          <w:fldChar w:fldCharType="begin"/>
        </w:r>
        <w:r w:rsidR="00835166" w:rsidRPr="00585059">
          <w:rPr>
            <w:webHidden/>
            <w:sz w:val="18"/>
          </w:rPr>
          <w:instrText xml:space="preserve"> PAGEREF _Toc525713976 \h </w:instrText>
        </w:r>
        <w:r w:rsidR="00835166" w:rsidRPr="00585059">
          <w:rPr>
            <w:webHidden/>
            <w:sz w:val="18"/>
          </w:rPr>
        </w:r>
        <w:r w:rsidR="00835166" w:rsidRPr="00585059">
          <w:rPr>
            <w:webHidden/>
            <w:sz w:val="18"/>
          </w:rPr>
          <w:fldChar w:fldCharType="separate"/>
        </w:r>
        <w:r w:rsidR="00074B8B">
          <w:rPr>
            <w:webHidden/>
            <w:sz w:val="18"/>
          </w:rPr>
          <w:t>12</w:t>
        </w:r>
        <w:r w:rsidR="00835166" w:rsidRPr="00585059">
          <w:rPr>
            <w:webHidden/>
            <w:sz w:val="18"/>
          </w:rPr>
          <w:fldChar w:fldCharType="end"/>
        </w:r>
      </w:hyperlink>
    </w:p>
    <w:p w14:paraId="4C76D27E" w14:textId="6AF72920" w:rsidR="00835166" w:rsidRPr="00585059" w:rsidRDefault="00C4575C">
      <w:pPr>
        <w:pStyle w:val="TOC1"/>
        <w:rPr>
          <w:rFonts w:asciiTheme="minorHAnsi" w:eastAsiaTheme="minorEastAsia" w:hAnsiTheme="minorHAnsi" w:cstheme="minorBidi"/>
          <w:b w:val="0"/>
          <w:noProof/>
          <w:sz w:val="20"/>
          <w:szCs w:val="22"/>
          <w:lang w:val="es-ES" w:eastAsia="es-ES"/>
        </w:rPr>
      </w:pPr>
      <w:hyperlink w:anchor="_Toc525713977" w:history="1">
        <w:r w:rsidR="00835166" w:rsidRPr="001F751D">
          <w:rPr>
            <w:rStyle w:val="Hyperlink"/>
            <w:noProof/>
            <w:sz w:val="16"/>
            <w:lang w:val="es-ES"/>
          </w:rPr>
          <w:t>VI. CONSIDERACIONES DE LA CORTE RESPECTO DE LAS VIOLACIONES A LOS DERECHOS HUMANOS EN PERJUICIO DE CARLOS ESCALERAS MEJÍA</w:t>
        </w:r>
        <w:r w:rsidR="00835166" w:rsidRPr="001F751D">
          <w:rPr>
            <w:noProof/>
            <w:webHidden/>
            <w:sz w:val="16"/>
          </w:rPr>
          <w:tab/>
        </w:r>
        <w:r w:rsidR="00835166" w:rsidRPr="001F751D">
          <w:rPr>
            <w:noProof/>
            <w:webHidden/>
            <w:sz w:val="16"/>
          </w:rPr>
          <w:fldChar w:fldCharType="begin"/>
        </w:r>
        <w:r w:rsidR="00835166" w:rsidRPr="001F751D">
          <w:rPr>
            <w:noProof/>
            <w:webHidden/>
            <w:sz w:val="16"/>
          </w:rPr>
          <w:instrText xml:space="preserve"> PAGEREF _Toc525713977 \h </w:instrText>
        </w:r>
        <w:r w:rsidR="00835166" w:rsidRPr="001F751D">
          <w:rPr>
            <w:noProof/>
            <w:webHidden/>
            <w:sz w:val="16"/>
          </w:rPr>
        </w:r>
        <w:r w:rsidR="00835166" w:rsidRPr="001F751D">
          <w:rPr>
            <w:noProof/>
            <w:webHidden/>
            <w:sz w:val="16"/>
          </w:rPr>
          <w:fldChar w:fldCharType="separate"/>
        </w:r>
        <w:r w:rsidR="00074B8B">
          <w:rPr>
            <w:noProof/>
            <w:webHidden/>
            <w:sz w:val="16"/>
          </w:rPr>
          <w:t>13</w:t>
        </w:r>
        <w:r w:rsidR="00835166" w:rsidRPr="001F751D">
          <w:rPr>
            <w:noProof/>
            <w:webHidden/>
            <w:sz w:val="16"/>
          </w:rPr>
          <w:fldChar w:fldCharType="end"/>
        </w:r>
      </w:hyperlink>
    </w:p>
    <w:p w14:paraId="0575F74E" w14:textId="1C737C4E" w:rsidR="00835166" w:rsidRPr="00585059" w:rsidRDefault="00C4575C">
      <w:pPr>
        <w:pStyle w:val="TOC2"/>
        <w:rPr>
          <w:rFonts w:asciiTheme="minorHAnsi" w:eastAsiaTheme="minorEastAsia" w:hAnsiTheme="minorHAnsi" w:cstheme="minorBidi"/>
          <w:b w:val="0"/>
          <w:i w:val="0"/>
          <w:szCs w:val="22"/>
          <w:lang w:val="es-ES" w:eastAsia="es-ES"/>
        </w:rPr>
      </w:pPr>
      <w:hyperlink w:anchor="_Toc525713978" w:history="1">
        <w:r w:rsidR="00835166" w:rsidRPr="00585059">
          <w:rPr>
            <w:rStyle w:val="Hyperlink"/>
            <w:sz w:val="18"/>
          </w:rPr>
          <w:t>A.</w:t>
        </w:r>
        <w:r w:rsidR="00835166" w:rsidRPr="00585059">
          <w:rPr>
            <w:rFonts w:asciiTheme="minorHAnsi" w:eastAsiaTheme="minorEastAsia" w:hAnsiTheme="minorHAnsi" w:cstheme="minorBidi"/>
            <w:b w:val="0"/>
            <w:i w:val="0"/>
            <w:szCs w:val="22"/>
            <w:lang w:val="es-ES" w:eastAsia="es-ES"/>
          </w:rPr>
          <w:tab/>
        </w:r>
        <w:r w:rsidR="00835166" w:rsidRPr="00585059">
          <w:rPr>
            <w:rStyle w:val="Hyperlink"/>
            <w:sz w:val="18"/>
          </w:rPr>
          <w:t>Derecho a las garantías judiciales y protección judicial (Artículos 8.1 y 25.1 de la Convención Americana)</w:t>
        </w:r>
        <w:r w:rsidR="00835166" w:rsidRPr="00585059">
          <w:rPr>
            <w:webHidden/>
            <w:sz w:val="18"/>
          </w:rPr>
          <w:tab/>
        </w:r>
        <w:r w:rsidR="00835166" w:rsidRPr="00585059">
          <w:rPr>
            <w:webHidden/>
            <w:sz w:val="18"/>
          </w:rPr>
          <w:fldChar w:fldCharType="begin"/>
        </w:r>
        <w:r w:rsidR="00835166" w:rsidRPr="00585059">
          <w:rPr>
            <w:webHidden/>
            <w:sz w:val="18"/>
          </w:rPr>
          <w:instrText xml:space="preserve"> PAGEREF _Toc525713978 \h </w:instrText>
        </w:r>
        <w:r w:rsidR="00835166" w:rsidRPr="00585059">
          <w:rPr>
            <w:webHidden/>
            <w:sz w:val="18"/>
          </w:rPr>
        </w:r>
        <w:r w:rsidR="00835166" w:rsidRPr="00585059">
          <w:rPr>
            <w:webHidden/>
            <w:sz w:val="18"/>
          </w:rPr>
          <w:fldChar w:fldCharType="separate"/>
        </w:r>
        <w:r w:rsidR="00074B8B">
          <w:rPr>
            <w:webHidden/>
            <w:sz w:val="18"/>
          </w:rPr>
          <w:t>14</w:t>
        </w:r>
        <w:r w:rsidR="00835166" w:rsidRPr="00585059">
          <w:rPr>
            <w:webHidden/>
            <w:sz w:val="18"/>
          </w:rPr>
          <w:fldChar w:fldCharType="end"/>
        </w:r>
      </w:hyperlink>
    </w:p>
    <w:p w14:paraId="199D2269" w14:textId="32A405B0" w:rsidR="00835166" w:rsidRPr="00585059" w:rsidRDefault="00C4575C">
      <w:pPr>
        <w:pStyle w:val="TOC2"/>
        <w:rPr>
          <w:rFonts w:asciiTheme="minorHAnsi" w:eastAsiaTheme="minorEastAsia" w:hAnsiTheme="minorHAnsi" w:cstheme="minorBidi"/>
          <w:b w:val="0"/>
          <w:i w:val="0"/>
          <w:szCs w:val="22"/>
          <w:lang w:val="es-ES" w:eastAsia="es-ES"/>
        </w:rPr>
      </w:pPr>
      <w:hyperlink w:anchor="_Toc525713979" w:history="1">
        <w:r w:rsidR="00835166" w:rsidRPr="00585059">
          <w:rPr>
            <w:rStyle w:val="Hyperlink"/>
            <w:sz w:val="18"/>
          </w:rPr>
          <w:t>B.</w:t>
        </w:r>
        <w:r w:rsidR="00835166" w:rsidRPr="00585059">
          <w:rPr>
            <w:rFonts w:asciiTheme="minorHAnsi" w:eastAsiaTheme="minorEastAsia" w:hAnsiTheme="minorHAnsi" w:cstheme="minorBidi"/>
            <w:b w:val="0"/>
            <w:i w:val="0"/>
            <w:szCs w:val="22"/>
            <w:lang w:val="es-ES" w:eastAsia="es-ES"/>
          </w:rPr>
          <w:tab/>
        </w:r>
        <w:r w:rsidR="00835166" w:rsidRPr="00585059">
          <w:rPr>
            <w:rStyle w:val="Hyperlink"/>
            <w:sz w:val="18"/>
          </w:rPr>
          <w:t>Derecho a la vida (Artículo 4.1 de la Convención Americana)</w:t>
        </w:r>
        <w:r w:rsidR="00835166" w:rsidRPr="00585059">
          <w:rPr>
            <w:webHidden/>
            <w:sz w:val="18"/>
          </w:rPr>
          <w:tab/>
        </w:r>
        <w:r w:rsidR="00835166" w:rsidRPr="00585059">
          <w:rPr>
            <w:webHidden/>
            <w:sz w:val="18"/>
          </w:rPr>
          <w:fldChar w:fldCharType="begin"/>
        </w:r>
        <w:r w:rsidR="00835166" w:rsidRPr="00585059">
          <w:rPr>
            <w:webHidden/>
            <w:sz w:val="18"/>
          </w:rPr>
          <w:instrText xml:space="preserve"> PAGEREF _Toc525713979 \h </w:instrText>
        </w:r>
        <w:r w:rsidR="00835166" w:rsidRPr="00585059">
          <w:rPr>
            <w:webHidden/>
            <w:sz w:val="18"/>
          </w:rPr>
        </w:r>
        <w:r w:rsidR="00835166" w:rsidRPr="00585059">
          <w:rPr>
            <w:webHidden/>
            <w:sz w:val="18"/>
          </w:rPr>
          <w:fldChar w:fldCharType="separate"/>
        </w:r>
        <w:r w:rsidR="00074B8B">
          <w:rPr>
            <w:webHidden/>
            <w:sz w:val="18"/>
          </w:rPr>
          <w:t>15</w:t>
        </w:r>
        <w:r w:rsidR="00835166" w:rsidRPr="00585059">
          <w:rPr>
            <w:webHidden/>
            <w:sz w:val="18"/>
          </w:rPr>
          <w:fldChar w:fldCharType="end"/>
        </w:r>
      </w:hyperlink>
    </w:p>
    <w:p w14:paraId="3C3DDD07" w14:textId="5E50FD5F" w:rsidR="00835166" w:rsidRPr="00585059" w:rsidRDefault="00C4575C">
      <w:pPr>
        <w:pStyle w:val="TOC2"/>
        <w:rPr>
          <w:rFonts w:asciiTheme="minorHAnsi" w:eastAsiaTheme="minorEastAsia" w:hAnsiTheme="minorHAnsi" w:cstheme="minorBidi"/>
          <w:b w:val="0"/>
          <w:i w:val="0"/>
          <w:szCs w:val="22"/>
          <w:lang w:val="es-ES" w:eastAsia="es-ES"/>
        </w:rPr>
      </w:pPr>
      <w:hyperlink w:anchor="_Toc525713980" w:history="1">
        <w:r w:rsidR="00835166" w:rsidRPr="00585059">
          <w:rPr>
            <w:rStyle w:val="Hyperlink"/>
            <w:sz w:val="18"/>
          </w:rPr>
          <w:t>C.</w:t>
        </w:r>
        <w:r w:rsidR="00835166" w:rsidRPr="00585059">
          <w:rPr>
            <w:rFonts w:asciiTheme="minorHAnsi" w:eastAsiaTheme="minorEastAsia" w:hAnsiTheme="minorHAnsi" w:cstheme="minorBidi"/>
            <w:b w:val="0"/>
            <w:i w:val="0"/>
            <w:szCs w:val="22"/>
            <w:lang w:val="es-ES" w:eastAsia="es-ES"/>
          </w:rPr>
          <w:tab/>
        </w:r>
        <w:r w:rsidR="00835166" w:rsidRPr="00585059">
          <w:rPr>
            <w:rStyle w:val="Hyperlink"/>
            <w:sz w:val="18"/>
          </w:rPr>
          <w:t>Derecho a la integridad personal (Artículo 5.1 de la Convención Americana)</w:t>
        </w:r>
        <w:r w:rsidR="00835166" w:rsidRPr="00585059">
          <w:rPr>
            <w:webHidden/>
            <w:sz w:val="18"/>
          </w:rPr>
          <w:tab/>
        </w:r>
        <w:r w:rsidR="00835166" w:rsidRPr="00585059">
          <w:rPr>
            <w:webHidden/>
            <w:sz w:val="18"/>
          </w:rPr>
          <w:fldChar w:fldCharType="begin"/>
        </w:r>
        <w:r w:rsidR="00835166" w:rsidRPr="00585059">
          <w:rPr>
            <w:webHidden/>
            <w:sz w:val="18"/>
          </w:rPr>
          <w:instrText xml:space="preserve"> PAGEREF _Toc525713980 \h </w:instrText>
        </w:r>
        <w:r w:rsidR="00835166" w:rsidRPr="00585059">
          <w:rPr>
            <w:webHidden/>
            <w:sz w:val="18"/>
          </w:rPr>
        </w:r>
        <w:r w:rsidR="00835166" w:rsidRPr="00585059">
          <w:rPr>
            <w:webHidden/>
            <w:sz w:val="18"/>
          </w:rPr>
          <w:fldChar w:fldCharType="separate"/>
        </w:r>
        <w:r w:rsidR="00074B8B">
          <w:rPr>
            <w:webHidden/>
            <w:sz w:val="18"/>
          </w:rPr>
          <w:t>16</w:t>
        </w:r>
        <w:r w:rsidR="00835166" w:rsidRPr="00585059">
          <w:rPr>
            <w:webHidden/>
            <w:sz w:val="18"/>
          </w:rPr>
          <w:fldChar w:fldCharType="end"/>
        </w:r>
      </w:hyperlink>
    </w:p>
    <w:p w14:paraId="2C5528F1" w14:textId="171034CA" w:rsidR="00835166" w:rsidRPr="00585059" w:rsidRDefault="00C4575C">
      <w:pPr>
        <w:pStyle w:val="TOC2"/>
        <w:rPr>
          <w:rFonts w:asciiTheme="minorHAnsi" w:eastAsiaTheme="minorEastAsia" w:hAnsiTheme="minorHAnsi" w:cstheme="minorBidi"/>
          <w:b w:val="0"/>
          <w:i w:val="0"/>
          <w:szCs w:val="22"/>
          <w:lang w:val="es-ES" w:eastAsia="es-ES"/>
        </w:rPr>
      </w:pPr>
      <w:hyperlink w:anchor="_Toc525713981" w:history="1">
        <w:r w:rsidR="00835166" w:rsidRPr="00585059">
          <w:rPr>
            <w:rStyle w:val="Hyperlink"/>
            <w:sz w:val="18"/>
          </w:rPr>
          <w:t>D.</w:t>
        </w:r>
        <w:r w:rsidR="00835166" w:rsidRPr="00585059">
          <w:rPr>
            <w:rFonts w:asciiTheme="minorHAnsi" w:eastAsiaTheme="minorEastAsia" w:hAnsiTheme="minorHAnsi" w:cstheme="minorBidi"/>
            <w:b w:val="0"/>
            <w:i w:val="0"/>
            <w:szCs w:val="22"/>
            <w:lang w:val="es-ES" w:eastAsia="es-ES"/>
          </w:rPr>
          <w:tab/>
        </w:r>
        <w:r w:rsidR="00835166" w:rsidRPr="00585059">
          <w:rPr>
            <w:rStyle w:val="Hyperlink"/>
            <w:sz w:val="18"/>
          </w:rPr>
          <w:t>Derecho a la libertad de asociación y derechos políticos (Artículos 16 y 23 de la Convención Americana)</w:t>
        </w:r>
        <w:r w:rsidR="00835166" w:rsidRPr="00585059">
          <w:rPr>
            <w:webHidden/>
            <w:sz w:val="18"/>
          </w:rPr>
          <w:tab/>
        </w:r>
        <w:r w:rsidR="00835166" w:rsidRPr="00585059">
          <w:rPr>
            <w:webHidden/>
            <w:sz w:val="18"/>
          </w:rPr>
          <w:fldChar w:fldCharType="begin"/>
        </w:r>
        <w:r w:rsidR="00835166" w:rsidRPr="00585059">
          <w:rPr>
            <w:webHidden/>
            <w:sz w:val="18"/>
          </w:rPr>
          <w:instrText xml:space="preserve"> PAGEREF _Toc525713981 \h </w:instrText>
        </w:r>
        <w:r w:rsidR="00835166" w:rsidRPr="00585059">
          <w:rPr>
            <w:webHidden/>
            <w:sz w:val="18"/>
          </w:rPr>
        </w:r>
        <w:r w:rsidR="00835166" w:rsidRPr="00585059">
          <w:rPr>
            <w:webHidden/>
            <w:sz w:val="18"/>
          </w:rPr>
          <w:fldChar w:fldCharType="separate"/>
        </w:r>
        <w:r w:rsidR="00074B8B">
          <w:rPr>
            <w:webHidden/>
            <w:sz w:val="18"/>
          </w:rPr>
          <w:t>16</w:t>
        </w:r>
        <w:r w:rsidR="00835166" w:rsidRPr="00585059">
          <w:rPr>
            <w:webHidden/>
            <w:sz w:val="18"/>
          </w:rPr>
          <w:fldChar w:fldCharType="end"/>
        </w:r>
      </w:hyperlink>
    </w:p>
    <w:p w14:paraId="5A105F65" w14:textId="3A23C52C" w:rsidR="00835166" w:rsidRPr="00585059" w:rsidRDefault="00C4575C">
      <w:pPr>
        <w:pStyle w:val="TOC3"/>
        <w:rPr>
          <w:rFonts w:asciiTheme="minorHAnsi" w:eastAsiaTheme="minorEastAsia" w:hAnsiTheme="minorHAnsi" w:cstheme="minorBidi"/>
          <w:noProof/>
          <w:szCs w:val="22"/>
          <w:lang w:val="es-ES" w:eastAsia="es-ES"/>
        </w:rPr>
      </w:pPr>
      <w:hyperlink w:anchor="_Toc525713982" w:history="1">
        <w:r w:rsidR="00835166" w:rsidRPr="00585059">
          <w:rPr>
            <w:rStyle w:val="Hyperlink"/>
            <w:noProof/>
            <w:sz w:val="18"/>
            <w:lang w:val="es-CR"/>
          </w:rPr>
          <w:t>1. Consideraciones previas</w:t>
        </w:r>
        <w:r w:rsidR="00835166" w:rsidRPr="00585059">
          <w:rPr>
            <w:noProof/>
            <w:webHidden/>
            <w:sz w:val="18"/>
          </w:rPr>
          <w:tab/>
        </w:r>
        <w:r w:rsidR="00835166" w:rsidRPr="00585059">
          <w:rPr>
            <w:noProof/>
            <w:webHidden/>
            <w:sz w:val="18"/>
          </w:rPr>
          <w:fldChar w:fldCharType="begin"/>
        </w:r>
        <w:r w:rsidR="00835166" w:rsidRPr="00585059">
          <w:rPr>
            <w:noProof/>
            <w:webHidden/>
            <w:sz w:val="18"/>
          </w:rPr>
          <w:instrText xml:space="preserve"> PAGEREF _Toc525713982 \h </w:instrText>
        </w:r>
        <w:r w:rsidR="00835166" w:rsidRPr="00585059">
          <w:rPr>
            <w:noProof/>
            <w:webHidden/>
            <w:sz w:val="18"/>
          </w:rPr>
        </w:r>
        <w:r w:rsidR="00835166" w:rsidRPr="00585059">
          <w:rPr>
            <w:noProof/>
            <w:webHidden/>
            <w:sz w:val="18"/>
          </w:rPr>
          <w:fldChar w:fldCharType="separate"/>
        </w:r>
        <w:r w:rsidR="00074B8B">
          <w:rPr>
            <w:noProof/>
            <w:webHidden/>
            <w:sz w:val="18"/>
          </w:rPr>
          <w:t>16</w:t>
        </w:r>
        <w:r w:rsidR="00835166" w:rsidRPr="00585059">
          <w:rPr>
            <w:noProof/>
            <w:webHidden/>
            <w:sz w:val="18"/>
          </w:rPr>
          <w:fldChar w:fldCharType="end"/>
        </w:r>
      </w:hyperlink>
    </w:p>
    <w:p w14:paraId="41288839" w14:textId="59C635A6" w:rsidR="00835166" w:rsidRPr="00585059" w:rsidRDefault="00C4575C">
      <w:pPr>
        <w:pStyle w:val="TOC3"/>
        <w:rPr>
          <w:rFonts w:asciiTheme="minorHAnsi" w:eastAsiaTheme="minorEastAsia" w:hAnsiTheme="minorHAnsi" w:cstheme="minorBidi"/>
          <w:noProof/>
          <w:szCs w:val="22"/>
          <w:lang w:val="es-ES" w:eastAsia="es-ES"/>
        </w:rPr>
      </w:pPr>
      <w:hyperlink w:anchor="_Toc525713983" w:history="1">
        <w:r w:rsidR="00835166" w:rsidRPr="00585059">
          <w:rPr>
            <w:rStyle w:val="Hyperlink"/>
            <w:noProof/>
            <w:sz w:val="18"/>
            <w:lang w:val="es-CR"/>
          </w:rPr>
          <w:t>2. Derecho a la libertad de asociación (Artículo 16.1</w:t>
        </w:r>
        <w:r w:rsidR="00835166" w:rsidRPr="00585059">
          <w:rPr>
            <w:rStyle w:val="Hyperlink"/>
            <w:noProof/>
            <w:sz w:val="18"/>
            <w:vertAlign w:val="superscript"/>
            <w:lang w:val="es-CR"/>
          </w:rPr>
          <w:t xml:space="preserve"> </w:t>
        </w:r>
        <w:r w:rsidR="00835166" w:rsidRPr="00585059">
          <w:rPr>
            <w:rStyle w:val="Hyperlink"/>
            <w:noProof/>
            <w:sz w:val="18"/>
            <w:lang w:val="es-CR"/>
          </w:rPr>
          <w:t>de la Convención Americana)</w:t>
        </w:r>
        <w:r w:rsidR="00835166" w:rsidRPr="00585059">
          <w:rPr>
            <w:noProof/>
            <w:webHidden/>
            <w:sz w:val="18"/>
          </w:rPr>
          <w:tab/>
        </w:r>
        <w:r w:rsidR="00835166" w:rsidRPr="00585059">
          <w:rPr>
            <w:noProof/>
            <w:webHidden/>
            <w:sz w:val="18"/>
          </w:rPr>
          <w:fldChar w:fldCharType="begin"/>
        </w:r>
        <w:r w:rsidR="00835166" w:rsidRPr="00585059">
          <w:rPr>
            <w:noProof/>
            <w:webHidden/>
            <w:sz w:val="18"/>
          </w:rPr>
          <w:instrText xml:space="preserve"> PAGEREF _Toc525713983 \h </w:instrText>
        </w:r>
        <w:r w:rsidR="00835166" w:rsidRPr="00585059">
          <w:rPr>
            <w:noProof/>
            <w:webHidden/>
            <w:sz w:val="18"/>
          </w:rPr>
        </w:r>
        <w:r w:rsidR="00835166" w:rsidRPr="00585059">
          <w:rPr>
            <w:noProof/>
            <w:webHidden/>
            <w:sz w:val="18"/>
          </w:rPr>
          <w:fldChar w:fldCharType="separate"/>
        </w:r>
        <w:r w:rsidR="00074B8B">
          <w:rPr>
            <w:noProof/>
            <w:webHidden/>
            <w:sz w:val="18"/>
          </w:rPr>
          <w:t>19</w:t>
        </w:r>
        <w:r w:rsidR="00835166" w:rsidRPr="00585059">
          <w:rPr>
            <w:noProof/>
            <w:webHidden/>
            <w:sz w:val="18"/>
          </w:rPr>
          <w:fldChar w:fldCharType="end"/>
        </w:r>
      </w:hyperlink>
    </w:p>
    <w:p w14:paraId="4AFEC713" w14:textId="6DFE2DCB" w:rsidR="00835166" w:rsidRPr="00585059" w:rsidRDefault="00C4575C">
      <w:pPr>
        <w:pStyle w:val="TOC3"/>
        <w:rPr>
          <w:rFonts w:asciiTheme="minorHAnsi" w:eastAsiaTheme="minorEastAsia" w:hAnsiTheme="minorHAnsi" w:cstheme="minorBidi"/>
          <w:noProof/>
          <w:szCs w:val="22"/>
          <w:lang w:val="es-ES" w:eastAsia="es-ES"/>
        </w:rPr>
      </w:pPr>
      <w:hyperlink w:anchor="_Toc525713984" w:history="1">
        <w:r w:rsidR="00835166" w:rsidRPr="00585059">
          <w:rPr>
            <w:rStyle w:val="Hyperlink"/>
            <w:noProof/>
            <w:sz w:val="18"/>
            <w:lang w:val="es-CR"/>
          </w:rPr>
          <w:t>3. Derechos políticos (Artículo 23.1.b de la Convención Americana)</w:t>
        </w:r>
        <w:r w:rsidR="00835166" w:rsidRPr="00585059">
          <w:rPr>
            <w:noProof/>
            <w:webHidden/>
            <w:sz w:val="18"/>
          </w:rPr>
          <w:tab/>
        </w:r>
        <w:r w:rsidR="00835166" w:rsidRPr="00585059">
          <w:rPr>
            <w:noProof/>
            <w:webHidden/>
            <w:sz w:val="18"/>
          </w:rPr>
          <w:fldChar w:fldCharType="begin"/>
        </w:r>
        <w:r w:rsidR="00835166" w:rsidRPr="00585059">
          <w:rPr>
            <w:noProof/>
            <w:webHidden/>
            <w:sz w:val="18"/>
          </w:rPr>
          <w:instrText xml:space="preserve"> PAGEREF _Toc525713984 \h </w:instrText>
        </w:r>
        <w:r w:rsidR="00835166" w:rsidRPr="00585059">
          <w:rPr>
            <w:noProof/>
            <w:webHidden/>
            <w:sz w:val="18"/>
          </w:rPr>
        </w:r>
        <w:r w:rsidR="00835166" w:rsidRPr="00585059">
          <w:rPr>
            <w:noProof/>
            <w:webHidden/>
            <w:sz w:val="18"/>
          </w:rPr>
          <w:fldChar w:fldCharType="separate"/>
        </w:r>
        <w:r w:rsidR="00074B8B">
          <w:rPr>
            <w:noProof/>
            <w:webHidden/>
            <w:sz w:val="18"/>
          </w:rPr>
          <w:t>21</w:t>
        </w:r>
        <w:r w:rsidR="00835166" w:rsidRPr="00585059">
          <w:rPr>
            <w:noProof/>
            <w:webHidden/>
            <w:sz w:val="18"/>
          </w:rPr>
          <w:fldChar w:fldCharType="end"/>
        </w:r>
      </w:hyperlink>
    </w:p>
    <w:p w14:paraId="2B2811F9" w14:textId="7F19F8AF" w:rsidR="00835166" w:rsidRPr="00585059" w:rsidRDefault="00C4575C">
      <w:pPr>
        <w:pStyle w:val="TOC2"/>
        <w:rPr>
          <w:rFonts w:asciiTheme="minorHAnsi" w:eastAsiaTheme="minorEastAsia" w:hAnsiTheme="minorHAnsi" w:cstheme="minorBidi"/>
          <w:b w:val="0"/>
          <w:i w:val="0"/>
          <w:szCs w:val="22"/>
          <w:lang w:val="es-ES" w:eastAsia="es-ES"/>
        </w:rPr>
      </w:pPr>
      <w:hyperlink w:anchor="_Toc525713985" w:history="1">
        <w:r w:rsidR="00835166" w:rsidRPr="00585059">
          <w:rPr>
            <w:rStyle w:val="Hyperlink"/>
            <w:sz w:val="18"/>
          </w:rPr>
          <w:t>E.</w:t>
        </w:r>
        <w:r w:rsidR="00835166" w:rsidRPr="00585059">
          <w:rPr>
            <w:rFonts w:asciiTheme="minorHAnsi" w:eastAsiaTheme="minorEastAsia" w:hAnsiTheme="minorHAnsi" w:cstheme="minorBidi"/>
            <w:b w:val="0"/>
            <w:i w:val="0"/>
            <w:szCs w:val="22"/>
            <w:lang w:val="es-ES" w:eastAsia="es-ES"/>
          </w:rPr>
          <w:tab/>
        </w:r>
        <w:r w:rsidR="00835166" w:rsidRPr="00585059">
          <w:rPr>
            <w:rStyle w:val="Hyperlink"/>
            <w:sz w:val="18"/>
          </w:rPr>
          <w:t>Otras alegaciones</w:t>
        </w:r>
        <w:r w:rsidR="00835166" w:rsidRPr="00585059">
          <w:rPr>
            <w:webHidden/>
            <w:sz w:val="18"/>
          </w:rPr>
          <w:tab/>
        </w:r>
        <w:r w:rsidR="00835166" w:rsidRPr="00585059">
          <w:rPr>
            <w:webHidden/>
            <w:sz w:val="18"/>
          </w:rPr>
          <w:fldChar w:fldCharType="begin"/>
        </w:r>
        <w:r w:rsidR="00835166" w:rsidRPr="00585059">
          <w:rPr>
            <w:webHidden/>
            <w:sz w:val="18"/>
          </w:rPr>
          <w:instrText xml:space="preserve"> PAGEREF _Toc525713985 \h </w:instrText>
        </w:r>
        <w:r w:rsidR="00835166" w:rsidRPr="00585059">
          <w:rPr>
            <w:webHidden/>
            <w:sz w:val="18"/>
          </w:rPr>
        </w:r>
        <w:r w:rsidR="00835166" w:rsidRPr="00585059">
          <w:rPr>
            <w:webHidden/>
            <w:sz w:val="18"/>
          </w:rPr>
          <w:fldChar w:fldCharType="separate"/>
        </w:r>
        <w:r w:rsidR="00074B8B">
          <w:rPr>
            <w:webHidden/>
            <w:sz w:val="18"/>
          </w:rPr>
          <w:t>22</w:t>
        </w:r>
        <w:r w:rsidR="00835166" w:rsidRPr="00585059">
          <w:rPr>
            <w:webHidden/>
            <w:sz w:val="18"/>
          </w:rPr>
          <w:fldChar w:fldCharType="end"/>
        </w:r>
      </w:hyperlink>
    </w:p>
    <w:p w14:paraId="3B4650C7" w14:textId="495C3C79" w:rsidR="00835166" w:rsidRPr="00585059" w:rsidRDefault="00C4575C">
      <w:pPr>
        <w:pStyle w:val="TOC1"/>
        <w:rPr>
          <w:rFonts w:asciiTheme="minorHAnsi" w:eastAsiaTheme="minorEastAsia" w:hAnsiTheme="minorHAnsi" w:cstheme="minorBidi"/>
          <w:b w:val="0"/>
          <w:noProof/>
          <w:sz w:val="20"/>
          <w:szCs w:val="22"/>
          <w:lang w:val="es-ES" w:eastAsia="es-ES"/>
        </w:rPr>
      </w:pPr>
      <w:hyperlink w:anchor="_Toc525713986" w:history="1">
        <w:r w:rsidR="00835166" w:rsidRPr="001F751D">
          <w:rPr>
            <w:rStyle w:val="Hyperlink"/>
            <w:rFonts w:cs="Arial"/>
            <w:noProof/>
            <w:sz w:val="16"/>
          </w:rPr>
          <w:t xml:space="preserve">VII. </w:t>
        </w:r>
        <w:r w:rsidR="00835166" w:rsidRPr="001F751D">
          <w:rPr>
            <w:rStyle w:val="Hyperlink"/>
            <w:noProof/>
            <w:sz w:val="16"/>
          </w:rPr>
          <w:t>HOMOLOGACIÓN DEL ACUERDO DE SOLUCIÓN AMISTOSA</w:t>
        </w:r>
        <w:r w:rsidR="00835166" w:rsidRPr="001F751D">
          <w:rPr>
            <w:noProof/>
            <w:webHidden/>
            <w:sz w:val="16"/>
          </w:rPr>
          <w:tab/>
        </w:r>
        <w:r w:rsidR="00835166" w:rsidRPr="001F751D">
          <w:rPr>
            <w:noProof/>
            <w:webHidden/>
            <w:sz w:val="16"/>
          </w:rPr>
          <w:fldChar w:fldCharType="begin"/>
        </w:r>
        <w:r w:rsidR="00835166" w:rsidRPr="001F751D">
          <w:rPr>
            <w:noProof/>
            <w:webHidden/>
            <w:sz w:val="16"/>
          </w:rPr>
          <w:instrText xml:space="preserve"> PAGEREF _Toc525713986 \h </w:instrText>
        </w:r>
        <w:r w:rsidR="00835166" w:rsidRPr="001F751D">
          <w:rPr>
            <w:noProof/>
            <w:webHidden/>
            <w:sz w:val="16"/>
          </w:rPr>
        </w:r>
        <w:r w:rsidR="00835166" w:rsidRPr="001F751D">
          <w:rPr>
            <w:noProof/>
            <w:webHidden/>
            <w:sz w:val="16"/>
          </w:rPr>
          <w:fldChar w:fldCharType="separate"/>
        </w:r>
        <w:r w:rsidR="00074B8B">
          <w:rPr>
            <w:noProof/>
            <w:webHidden/>
            <w:sz w:val="16"/>
          </w:rPr>
          <w:t>22</w:t>
        </w:r>
        <w:r w:rsidR="00835166" w:rsidRPr="001F751D">
          <w:rPr>
            <w:noProof/>
            <w:webHidden/>
            <w:sz w:val="16"/>
          </w:rPr>
          <w:fldChar w:fldCharType="end"/>
        </w:r>
      </w:hyperlink>
    </w:p>
    <w:p w14:paraId="1395BB89" w14:textId="078D6A72" w:rsidR="00835166" w:rsidRPr="00585059" w:rsidRDefault="00C4575C">
      <w:pPr>
        <w:pStyle w:val="TOC1"/>
        <w:rPr>
          <w:rFonts w:asciiTheme="minorHAnsi" w:eastAsiaTheme="minorEastAsia" w:hAnsiTheme="minorHAnsi" w:cstheme="minorBidi"/>
          <w:b w:val="0"/>
          <w:noProof/>
          <w:sz w:val="20"/>
          <w:szCs w:val="22"/>
          <w:lang w:val="es-ES" w:eastAsia="es-ES"/>
        </w:rPr>
      </w:pPr>
      <w:hyperlink w:anchor="_Toc525713987" w:history="1">
        <w:r w:rsidR="00835166" w:rsidRPr="001F751D">
          <w:rPr>
            <w:rStyle w:val="Hyperlink"/>
            <w:noProof/>
            <w:sz w:val="16"/>
            <w:lang w:val="es-ES"/>
          </w:rPr>
          <w:t xml:space="preserve">VIII. REPARACIONES </w:t>
        </w:r>
        <w:r w:rsidR="00835166" w:rsidRPr="001F751D">
          <w:rPr>
            <w:rStyle w:val="Hyperlink"/>
            <w:noProof/>
            <w:sz w:val="16"/>
          </w:rPr>
          <w:t>(aplicación del artículo 63.1 de la Convención Americana)</w:t>
        </w:r>
        <w:r w:rsidR="00835166" w:rsidRPr="001F751D">
          <w:rPr>
            <w:noProof/>
            <w:webHidden/>
            <w:sz w:val="16"/>
          </w:rPr>
          <w:tab/>
        </w:r>
        <w:r w:rsidR="00835166" w:rsidRPr="001F751D">
          <w:rPr>
            <w:noProof/>
            <w:webHidden/>
            <w:sz w:val="16"/>
          </w:rPr>
          <w:fldChar w:fldCharType="begin"/>
        </w:r>
        <w:r w:rsidR="00835166" w:rsidRPr="001F751D">
          <w:rPr>
            <w:noProof/>
            <w:webHidden/>
            <w:sz w:val="16"/>
          </w:rPr>
          <w:instrText xml:space="preserve"> PAGEREF _Toc525713987 \h </w:instrText>
        </w:r>
        <w:r w:rsidR="00835166" w:rsidRPr="001F751D">
          <w:rPr>
            <w:noProof/>
            <w:webHidden/>
            <w:sz w:val="16"/>
          </w:rPr>
        </w:r>
        <w:r w:rsidR="00835166" w:rsidRPr="001F751D">
          <w:rPr>
            <w:noProof/>
            <w:webHidden/>
            <w:sz w:val="16"/>
          </w:rPr>
          <w:fldChar w:fldCharType="separate"/>
        </w:r>
        <w:r w:rsidR="00074B8B">
          <w:rPr>
            <w:noProof/>
            <w:webHidden/>
            <w:sz w:val="16"/>
          </w:rPr>
          <w:t>23</w:t>
        </w:r>
        <w:r w:rsidR="00835166" w:rsidRPr="001F751D">
          <w:rPr>
            <w:noProof/>
            <w:webHidden/>
            <w:sz w:val="16"/>
          </w:rPr>
          <w:fldChar w:fldCharType="end"/>
        </w:r>
      </w:hyperlink>
    </w:p>
    <w:p w14:paraId="7248370E" w14:textId="4ADB6B6F" w:rsidR="00835166" w:rsidRPr="00585059" w:rsidRDefault="00C4575C">
      <w:pPr>
        <w:pStyle w:val="TOC2"/>
        <w:rPr>
          <w:rFonts w:asciiTheme="minorHAnsi" w:eastAsiaTheme="minorEastAsia" w:hAnsiTheme="minorHAnsi" w:cstheme="minorBidi"/>
          <w:b w:val="0"/>
          <w:i w:val="0"/>
          <w:szCs w:val="22"/>
          <w:lang w:val="es-ES" w:eastAsia="es-ES"/>
        </w:rPr>
      </w:pPr>
      <w:hyperlink w:anchor="_Toc525713988" w:history="1">
        <w:r w:rsidR="00835166" w:rsidRPr="00585059">
          <w:rPr>
            <w:rStyle w:val="Hyperlink"/>
            <w:sz w:val="18"/>
          </w:rPr>
          <w:t>A.</w:t>
        </w:r>
        <w:r w:rsidR="00835166" w:rsidRPr="00585059">
          <w:rPr>
            <w:rFonts w:asciiTheme="minorHAnsi" w:eastAsiaTheme="minorEastAsia" w:hAnsiTheme="minorHAnsi" w:cstheme="minorBidi"/>
            <w:b w:val="0"/>
            <w:i w:val="0"/>
            <w:szCs w:val="22"/>
            <w:lang w:val="es-ES" w:eastAsia="es-ES"/>
          </w:rPr>
          <w:tab/>
        </w:r>
        <w:r w:rsidR="00835166" w:rsidRPr="00585059">
          <w:rPr>
            <w:rStyle w:val="Hyperlink"/>
            <w:sz w:val="18"/>
          </w:rPr>
          <w:t>Obligación de Investigar, y en su caso juzgar y sancionar</w:t>
        </w:r>
        <w:r w:rsidR="00835166" w:rsidRPr="00585059">
          <w:rPr>
            <w:webHidden/>
            <w:sz w:val="18"/>
          </w:rPr>
          <w:tab/>
        </w:r>
        <w:r w:rsidR="00835166" w:rsidRPr="00585059">
          <w:rPr>
            <w:webHidden/>
            <w:sz w:val="18"/>
          </w:rPr>
          <w:fldChar w:fldCharType="begin"/>
        </w:r>
        <w:r w:rsidR="00835166" w:rsidRPr="00585059">
          <w:rPr>
            <w:webHidden/>
            <w:sz w:val="18"/>
          </w:rPr>
          <w:instrText xml:space="preserve"> PAGEREF _Toc525713988 \h </w:instrText>
        </w:r>
        <w:r w:rsidR="00835166" w:rsidRPr="00585059">
          <w:rPr>
            <w:webHidden/>
            <w:sz w:val="18"/>
          </w:rPr>
        </w:r>
        <w:r w:rsidR="00835166" w:rsidRPr="00585059">
          <w:rPr>
            <w:webHidden/>
            <w:sz w:val="18"/>
          </w:rPr>
          <w:fldChar w:fldCharType="separate"/>
        </w:r>
        <w:r w:rsidR="00074B8B">
          <w:rPr>
            <w:webHidden/>
            <w:sz w:val="18"/>
          </w:rPr>
          <w:t>24</w:t>
        </w:r>
        <w:r w:rsidR="00835166" w:rsidRPr="00585059">
          <w:rPr>
            <w:webHidden/>
            <w:sz w:val="18"/>
          </w:rPr>
          <w:fldChar w:fldCharType="end"/>
        </w:r>
      </w:hyperlink>
    </w:p>
    <w:p w14:paraId="57750E71" w14:textId="7E72E17E" w:rsidR="00835166" w:rsidRPr="00585059" w:rsidRDefault="00C4575C">
      <w:pPr>
        <w:pStyle w:val="TOC3"/>
        <w:tabs>
          <w:tab w:val="left" w:pos="880"/>
        </w:tabs>
        <w:rPr>
          <w:rFonts w:asciiTheme="minorHAnsi" w:eastAsiaTheme="minorEastAsia" w:hAnsiTheme="minorHAnsi" w:cstheme="minorBidi"/>
          <w:noProof/>
          <w:szCs w:val="22"/>
          <w:lang w:val="es-ES" w:eastAsia="es-ES"/>
        </w:rPr>
      </w:pPr>
      <w:hyperlink w:anchor="_Toc525713989" w:history="1">
        <w:r w:rsidR="00835166" w:rsidRPr="00585059">
          <w:rPr>
            <w:rStyle w:val="Hyperlink"/>
            <w:noProof/>
            <w:sz w:val="18"/>
            <w:lang w:val="es-ES"/>
          </w:rPr>
          <w:t>1.</w:t>
        </w:r>
        <w:r w:rsidR="00835166" w:rsidRPr="00585059">
          <w:rPr>
            <w:rFonts w:asciiTheme="minorHAnsi" w:eastAsiaTheme="minorEastAsia" w:hAnsiTheme="minorHAnsi" w:cstheme="minorBidi"/>
            <w:noProof/>
            <w:szCs w:val="22"/>
            <w:lang w:val="es-ES" w:eastAsia="es-ES"/>
          </w:rPr>
          <w:tab/>
        </w:r>
        <w:r w:rsidR="00835166" w:rsidRPr="00585059">
          <w:rPr>
            <w:rStyle w:val="Hyperlink"/>
            <w:noProof/>
            <w:sz w:val="18"/>
            <w:lang w:val="es-ES"/>
          </w:rPr>
          <w:t>Investigación de los hechos, así como identificación, juzgamiento y sanción de los responsables</w:t>
        </w:r>
        <w:r w:rsidR="00835166" w:rsidRPr="00585059">
          <w:rPr>
            <w:noProof/>
            <w:webHidden/>
            <w:sz w:val="18"/>
          </w:rPr>
          <w:tab/>
        </w:r>
        <w:r w:rsidR="00835166" w:rsidRPr="00585059">
          <w:rPr>
            <w:noProof/>
            <w:webHidden/>
            <w:sz w:val="18"/>
          </w:rPr>
          <w:fldChar w:fldCharType="begin"/>
        </w:r>
        <w:r w:rsidR="00835166" w:rsidRPr="00585059">
          <w:rPr>
            <w:noProof/>
            <w:webHidden/>
            <w:sz w:val="18"/>
          </w:rPr>
          <w:instrText xml:space="preserve"> PAGEREF _Toc525713989 \h </w:instrText>
        </w:r>
        <w:r w:rsidR="00835166" w:rsidRPr="00585059">
          <w:rPr>
            <w:noProof/>
            <w:webHidden/>
            <w:sz w:val="18"/>
          </w:rPr>
        </w:r>
        <w:r w:rsidR="00835166" w:rsidRPr="00585059">
          <w:rPr>
            <w:noProof/>
            <w:webHidden/>
            <w:sz w:val="18"/>
          </w:rPr>
          <w:fldChar w:fldCharType="separate"/>
        </w:r>
        <w:r w:rsidR="00074B8B">
          <w:rPr>
            <w:noProof/>
            <w:webHidden/>
            <w:sz w:val="18"/>
          </w:rPr>
          <w:t>24</w:t>
        </w:r>
        <w:r w:rsidR="00835166" w:rsidRPr="00585059">
          <w:rPr>
            <w:noProof/>
            <w:webHidden/>
            <w:sz w:val="18"/>
          </w:rPr>
          <w:fldChar w:fldCharType="end"/>
        </w:r>
      </w:hyperlink>
    </w:p>
    <w:p w14:paraId="40B7F6B8" w14:textId="336B9784" w:rsidR="00835166" w:rsidRPr="00585059" w:rsidRDefault="00C4575C">
      <w:pPr>
        <w:pStyle w:val="TOC3"/>
        <w:tabs>
          <w:tab w:val="left" w:pos="880"/>
        </w:tabs>
        <w:rPr>
          <w:rFonts w:asciiTheme="minorHAnsi" w:eastAsiaTheme="minorEastAsia" w:hAnsiTheme="minorHAnsi" w:cstheme="minorBidi"/>
          <w:noProof/>
          <w:szCs w:val="22"/>
          <w:lang w:val="es-ES" w:eastAsia="es-ES"/>
        </w:rPr>
      </w:pPr>
      <w:hyperlink w:anchor="_Toc525713990" w:history="1">
        <w:r w:rsidR="00835166" w:rsidRPr="00585059">
          <w:rPr>
            <w:rStyle w:val="Hyperlink"/>
            <w:noProof/>
            <w:sz w:val="18"/>
            <w:lang w:val="es-ES"/>
          </w:rPr>
          <w:t>2.</w:t>
        </w:r>
        <w:r w:rsidR="00835166" w:rsidRPr="00585059">
          <w:rPr>
            <w:rFonts w:asciiTheme="minorHAnsi" w:eastAsiaTheme="minorEastAsia" w:hAnsiTheme="minorHAnsi" w:cstheme="minorBidi"/>
            <w:noProof/>
            <w:szCs w:val="22"/>
            <w:lang w:val="es-ES" w:eastAsia="es-ES"/>
          </w:rPr>
          <w:tab/>
        </w:r>
        <w:r w:rsidR="00835166" w:rsidRPr="00585059">
          <w:rPr>
            <w:rStyle w:val="Hyperlink"/>
            <w:noProof/>
            <w:sz w:val="18"/>
            <w:lang w:val="es-ES"/>
          </w:rPr>
          <w:t>Investigación de las irregularidades y omisiones cometidas en procesos judiciales, así como identificación, juzgamiento y sanción de los agentes estatales responsables</w:t>
        </w:r>
        <w:r w:rsidR="00835166" w:rsidRPr="00585059">
          <w:rPr>
            <w:noProof/>
            <w:webHidden/>
            <w:sz w:val="18"/>
          </w:rPr>
          <w:tab/>
        </w:r>
        <w:r w:rsidR="00835166" w:rsidRPr="00585059">
          <w:rPr>
            <w:noProof/>
            <w:webHidden/>
            <w:sz w:val="18"/>
          </w:rPr>
          <w:fldChar w:fldCharType="begin"/>
        </w:r>
        <w:r w:rsidR="00835166" w:rsidRPr="00585059">
          <w:rPr>
            <w:noProof/>
            <w:webHidden/>
            <w:sz w:val="18"/>
          </w:rPr>
          <w:instrText xml:space="preserve"> PAGEREF _Toc525713990 \h </w:instrText>
        </w:r>
        <w:r w:rsidR="00835166" w:rsidRPr="00585059">
          <w:rPr>
            <w:noProof/>
            <w:webHidden/>
            <w:sz w:val="18"/>
          </w:rPr>
        </w:r>
        <w:r w:rsidR="00835166" w:rsidRPr="00585059">
          <w:rPr>
            <w:noProof/>
            <w:webHidden/>
            <w:sz w:val="18"/>
          </w:rPr>
          <w:fldChar w:fldCharType="separate"/>
        </w:r>
        <w:r w:rsidR="00074B8B">
          <w:rPr>
            <w:noProof/>
            <w:webHidden/>
            <w:sz w:val="18"/>
          </w:rPr>
          <w:t>25</w:t>
        </w:r>
        <w:r w:rsidR="00835166" w:rsidRPr="00585059">
          <w:rPr>
            <w:noProof/>
            <w:webHidden/>
            <w:sz w:val="18"/>
          </w:rPr>
          <w:fldChar w:fldCharType="end"/>
        </w:r>
      </w:hyperlink>
    </w:p>
    <w:p w14:paraId="6C80B95F" w14:textId="41E96B8F" w:rsidR="00835166" w:rsidRPr="00585059" w:rsidRDefault="00C4575C">
      <w:pPr>
        <w:pStyle w:val="TOC2"/>
        <w:rPr>
          <w:rFonts w:asciiTheme="minorHAnsi" w:eastAsiaTheme="minorEastAsia" w:hAnsiTheme="minorHAnsi" w:cstheme="minorBidi"/>
          <w:b w:val="0"/>
          <w:i w:val="0"/>
          <w:szCs w:val="22"/>
          <w:lang w:val="es-ES" w:eastAsia="es-ES"/>
        </w:rPr>
      </w:pPr>
      <w:hyperlink w:anchor="_Toc525713991" w:history="1">
        <w:r w:rsidR="00835166" w:rsidRPr="00585059">
          <w:rPr>
            <w:rStyle w:val="Hyperlink"/>
            <w:sz w:val="18"/>
          </w:rPr>
          <w:t>B.</w:t>
        </w:r>
        <w:r w:rsidR="00835166" w:rsidRPr="00585059">
          <w:rPr>
            <w:rFonts w:asciiTheme="minorHAnsi" w:eastAsiaTheme="minorEastAsia" w:hAnsiTheme="minorHAnsi" w:cstheme="minorBidi"/>
            <w:b w:val="0"/>
            <w:i w:val="0"/>
            <w:szCs w:val="22"/>
            <w:lang w:val="es-ES" w:eastAsia="es-ES"/>
          </w:rPr>
          <w:tab/>
        </w:r>
        <w:r w:rsidR="00835166" w:rsidRPr="00585059">
          <w:rPr>
            <w:rStyle w:val="Hyperlink"/>
            <w:sz w:val="18"/>
          </w:rPr>
          <w:t>Medidas de satisfacción</w:t>
        </w:r>
        <w:r w:rsidR="00835166" w:rsidRPr="00585059">
          <w:rPr>
            <w:webHidden/>
            <w:sz w:val="18"/>
          </w:rPr>
          <w:tab/>
        </w:r>
        <w:r w:rsidR="00835166" w:rsidRPr="00585059">
          <w:rPr>
            <w:webHidden/>
            <w:sz w:val="18"/>
          </w:rPr>
          <w:fldChar w:fldCharType="begin"/>
        </w:r>
        <w:r w:rsidR="00835166" w:rsidRPr="00585059">
          <w:rPr>
            <w:webHidden/>
            <w:sz w:val="18"/>
          </w:rPr>
          <w:instrText xml:space="preserve"> PAGEREF _Toc525713991 \h </w:instrText>
        </w:r>
        <w:r w:rsidR="00835166" w:rsidRPr="00585059">
          <w:rPr>
            <w:webHidden/>
            <w:sz w:val="18"/>
          </w:rPr>
        </w:r>
        <w:r w:rsidR="00835166" w:rsidRPr="00585059">
          <w:rPr>
            <w:webHidden/>
            <w:sz w:val="18"/>
          </w:rPr>
          <w:fldChar w:fldCharType="separate"/>
        </w:r>
        <w:r w:rsidR="00074B8B">
          <w:rPr>
            <w:webHidden/>
            <w:sz w:val="18"/>
          </w:rPr>
          <w:t>25</w:t>
        </w:r>
        <w:r w:rsidR="00835166" w:rsidRPr="00585059">
          <w:rPr>
            <w:webHidden/>
            <w:sz w:val="18"/>
          </w:rPr>
          <w:fldChar w:fldCharType="end"/>
        </w:r>
      </w:hyperlink>
    </w:p>
    <w:p w14:paraId="21546B1F" w14:textId="786C8E08" w:rsidR="00835166" w:rsidRPr="00585059" w:rsidRDefault="00C4575C">
      <w:pPr>
        <w:pStyle w:val="TOC3"/>
        <w:rPr>
          <w:rFonts w:asciiTheme="minorHAnsi" w:eastAsiaTheme="minorEastAsia" w:hAnsiTheme="minorHAnsi" w:cstheme="minorBidi"/>
          <w:noProof/>
          <w:szCs w:val="22"/>
          <w:lang w:val="es-ES" w:eastAsia="es-ES"/>
        </w:rPr>
      </w:pPr>
      <w:hyperlink w:anchor="_Toc525713992" w:history="1">
        <w:r w:rsidR="00835166" w:rsidRPr="00585059">
          <w:rPr>
            <w:rStyle w:val="Hyperlink"/>
            <w:noProof/>
            <w:sz w:val="18"/>
            <w:lang w:val="es-ES"/>
          </w:rPr>
          <w:t>1. Documental televisivo</w:t>
        </w:r>
        <w:r w:rsidR="00835166" w:rsidRPr="00585059">
          <w:rPr>
            <w:noProof/>
            <w:webHidden/>
            <w:sz w:val="18"/>
          </w:rPr>
          <w:tab/>
        </w:r>
        <w:r w:rsidR="00835166" w:rsidRPr="00585059">
          <w:rPr>
            <w:noProof/>
            <w:webHidden/>
            <w:sz w:val="18"/>
          </w:rPr>
          <w:fldChar w:fldCharType="begin"/>
        </w:r>
        <w:r w:rsidR="00835166" w:rsidRPr="00585059">
          <w:rPr>
            <w:noProof/>
            <w:webHidden/>
            <w:sz w:val="18"/>
          </w:rPr>
          <w:instrText xml:space="preserve"> PAGEREF _Toc525713992 \h </w:instrText>
        </w:r>
        <w:r w:rsidR="00835166" w:rsidRPr="00585059">
          <w:rPr>
            <w:noProof/>
            <w:webHidden/>
            <w:sz w:val="18"/>
          </w:rPr>
        </w:r>
        <w:r w:rsidR="00835166" w:rsidRPr="00585059">
          <w:rPr>
            <w:noProof/>
            <w:webHidden/>
            <w:sz w:val="18"/>
          </w:rPr>
          <w:fldChar w:fldCharType="separate"/>
        </w:r>
        <w:r w:rsidR="00074B8B">
          <w:rPr>
            <w:noProof/>
            <w:webHidden/>
            <w:sz w:val="18"/>
          </w:rPr>
          <w:t>25</w:t>
        </w:r>
        <w:r w:rsidR="00835166" w:rsidRPr="00585059">
          <w:rPr>
            <w:noProof/>
            <w:webHidden/>
            <w:sz w:val="18"/>
          </w:rPr>
          <w:fldChar w:fldCharType="end"/>
        </w:r>
      </w:hyperlink>
    </w:p>
    <w:p w14:paraId="3E9E569C" w14:textId="2E1991B7" w:rsidR="00835166" w:rsidRPr="00585059" w:rsidRDefault="00C4575C">
      <w:pPr>
        <w:pStyle w:val="TOC3"/>
        <w:rPr>
          <w:rFonts w:asciiTheme="minorHAnsi" w:eastAsiaTheme="minorEastAsia" w:hAnsiTheme="minorHAnsi" w:cstheme="minorBidi"/>
          <w:noProof/>
          <w:szCs w:val="22"/>
          <w:lang w:val="es-ES" w:eastAsia="es-ES"/>
        </w:rPr>
      </w:pPr>
      <w:hyperlink w:anchor="_Toc525713993" w:history="1">
        <w:r w:rsidR="00835166" w:rsidRPr="00585059">
          <w:rPr>
            <w:rStyle w:val="Hyperlink"/>
            <w:noProof/>
            <w:sz w:val="18"/>
            <w:lang w:val="es-ES"/>
          </w:rPr>
          <w:t>2. Talleres de educación ambiental</w:t>
        </w:r>
        <w:r w:rsidR="00835166" w:rsidRPr="00585059">
          <w:rPr>
            <w:noProof/>
            <w:webHidden/>
            <w:sz w:val="18"/>
          </w:rPr>
          <w:tab/>
        </w:r>
        <w:r w:rsidR="00835166" w:rsidRPr="00585059">
          <w:rPr>
            <w:noProof/>
            <w:webHidden/>
            <w:sz w:val="18"/>
          </w:rPr>
          <w:fldChar w:fldCharType="begin"/>
        </w:r>
        <w:r w:rsidR="00835166" w:rsidRPr="00585059">
          <w:rPr>
            <w:noProof/>
            <w:webHidden/>
            <w:sz w:val="18"/>
          </w:rPr>
          <w:instrText xml:space="preserve"> PAGEREF _Toc525713993 \h </w:instrText>
        </w:r>
        <w:r w:rsidR="00835166" w:rsidRPr="00585059">
          <w:rPr>
            <w:noProof/>
            <w:webHidden/>
            <w:sz w:val="18"/>
          </w:rPr>
        </w:r>
        <w:r w:rsidR="00835166" w:rsidRPr="00585059">
          <w:rPr>
            <w:noProof/>
            <w:webHidden/>
            <w:sz w:val="18"/>
          </w:rPr>
          <w:fldChar w:fldCharType="separate"/>
        </w:r>
        <w:r w:rsidR="00074B8B">
          <w:rPr>
            <w:noProof/>
            <w:webHidden/>
            <w:sz w:val="18"/>
          </w:rPr>
          <w:t>26</w:t>
        </w:r>
        <w:r w:rsidR="00835166" w:rsidRPr="00585059">
          <w:rPr>
            <w:noProof/>
            <w:webHidden/>
            <w:sz w:val="18"/>
          </w:rPr>
          <w:fldChar w:fldCharType="end"/>
        </w:r>
      </w:hyperlink>
    </w:p>
    <w:p w14:paraId="5B6D6A0C" w14:textId="313C051F" w:rsidR="00835166" w:rsidRPr="00585059" w:rsidRDefault="00C4575C">
      <w:pPr>
        <w:pStyle w:val="TOC3"/>
        <w:rPr>
          <w:rFonts w:asciiTheme="minorHAnsi" w:eastAsiaTheme="minorEastAsia" w:hAnsiTheme="minorHAnsi" w:cstheme="minorBidi"/>
          <w:noProof/>
          <w:szCs w:val="22"/>
          <w:lang w:val="es-ES" w:eastAsia="es-ES"/>
        </w:rPr>
      </w:pPr>
      <w:hyperlink w:anchor="_Toc525713994" w:history="1">
        <w:r w:rsidR="00835166" w:rsidRPr="00585059">
          <w:rPr>
            <w:rStyle w:val="Hyperlink"/>
            <w:noProof/>
            <w:sz w:val="18"/>
            <w:lang w:val="es-ES"/>
          </w:rPr>
          <w:t>3. Fideicomiso</w:t>
        </w:r>
        <w:r w:rsidR="00835166" w:rsidRPr="00585059">
          <w:rPr>
            <w:noProof/>
            <w:webHidden/>
            <w:sz w:val="18"/>
          </w:rPr>
          <w:tab/>
        </w:r>
        <w:r w:rsidR="00835166" w:rsidRPr="00585059">
          <w:rPr>
            <w:noProof/>
            <w:webHidden/>
            <w:sz w:val="18"/>
          </w:rPr>
          <w:fldChar w:fldCharType="begin"/>
        </w:r>
        <w:r w:rsidR="00835166" w:rsidRPr="00585059">
          <w:rPr>
            <w:noProof/>
            <w:webHidden/>
            <w:sz w:val="18"/>
          </w:rPr>
          <w:instrText xml:space="preserve"> PAGEREF _Toc525713994 \h </w:instrText>
        </w:r>
        <w:r w:rsidR="00835166" w:rsidRPr="00585059">
          <w:rPr>
            <w:noProof/>
            <w:webHidden/>
            <w:sz w:val="18"/>
          </w:rPr>
        </w:r>
        <w:r w:rsidR="00835166" w:rsidRPr="00585059">
          <w:rPr>
            <w:noProof/>
            <w:webHidden/>
            <w:sz w:val="18"/>
          </w:rPr>
          <w:fldChar w:fldCharType="separate"/>
        </w:r>
        <w:r w:rsidR="00074B8B">
          <w:rPr>
            <w:noProof/>
            <w:webHidden/>
            <w:sz w:val="18"/>
          </w:rPr>
          <w:t>26</w:t>
        </w:r>
        <w:r w:rsidR="00835166" w:rsidRPr="00585059">
          <w:rPr>
            <w:noProof/>
            <w:webHidden/>
            <w:sz w:val="18"/>
          </w:rPr>
          <w:fldChar w:fldCharType="end"/>
        </w:r>
      </w:hyperlink>
    </w:p>
    <w:p w14:paraId="0F8A443A" w14:textId="3ACF15DC" w:rsidR="00835166" w:rsidRPr="00585059" w:rsidRDefault="00C4575C">
      <w:pPr>
        <w:pStyle w:val="TOC2"/>
        <w:rPr>
          <w:rFonts w:asciiTheme="minorHAnsi" w:eastAsiaTheme="minorEastAsia" w:hAnsiTheme="minorHAnsi" w:cstheme="minorBidi"/>
          <w:b w:val="0"/>
          <w:i w:val="0"/>
          <w:szCs w:val="22"/>
          <w:lang w:val="es-ES" w:eastAsia="es-ES"/>
        </w:rPr>
      </w:pPr>
      <w:hyperlink w:anchor="_Toc525713995" w:history="1">
        <w:r w:rsidR="00835166" w:rsidRPr="00585059">
          <w:rPr>
            <w:rStyle w:val="Hyperlink"/>
            <w:sz w:val="18"/>
          </w:rPr>
          <w:t>C.</w:t>
        </w:r>
        <w:r w:rsidR="00835166" w:rsidRPr="00585059">
          <w:rPr>
            <w:rFonts w:asciiTheme="minorHAnsi" w:eastAsiaTheme="minorEastAsia" w:hAnsiTheme="minorHAnsi" w:cstheme="minorBidi"/>
            <w:b w:val="0"/>
            <w:i w:val="0"/>
            <w:szCs w:val="22"/>
            <w:lang w:val="es-ES" w:eastAsia="es-ES"/>
          </w:rPr>
          <w:tab/>
        </w:r>
        <w:r w:rsidR="00835166" w:rsidRPr="00585059">
          <w:rPr>
            <w:rStyle w:val="Hyperlink"/>
            <w:sz w:val="18"/>
          </w:rPr>
          <w:t>Garantías de no repetición</w:t>
        </w:r>
        <w:r w:rsidR="00835166" w:rsidRPr="00585059">
          <w:rPr>
            <w:webHidden/>
            <w:sz w:val="18"/>
          </w:rPr>
          <w:tab/>
        </w:r>
        <w:r w:rsidR="00835166" w:rsidRPr="00585059">
          <w:rPr>
            <w:webHidden/>
            <w:sz w:val="18"/>
          </w:rPr>
          <w:fldChar w:fldCharType="begin"/>
        </w:r>
        <w:r w:rsidR="00835166" w:rsidRPr="00585059">
          <w:rPr>
            <w:webHidden/>
            <w:sz w:val="18"/>
          </w:rPr>
          <w:instrText xml:space="preserve"> PAGEREF _Toc525713995 \h </w:instrText>
        </w:r>
        <w:r w:rsidR="00835166" w:rsidRPr="00585059">
          <w:rPr>
            <w:webHidden/>
            <w:sz w:val="18"/>
          </w:rPr>
        </w:r>
        <w:r w:rsidR="00835166" w:rsidRPr="00585059">
          <w:rPr>
            <w:webHidden/>
            <w:sz w:val="18"/>
          </w:rPr>
          <w:fldChar w:fldCharType="separate"/>
        </w:r>
        <w:r w:rsidR="00074B8B">
          <w:rPr>
            <w:webHidden/>
            <w:sz w:val="18"/>
          </w:rPr>
          <w:t>26</w:t>
        </w:r>
        <w:r w:rsidR="00835166" w:rsidRPr="00585059">
          <w:rPr>
            <w:webHidden/>
            <w:sz w:val="18"/>
          </w:rPr>
          <w:fldChar w:fldCharType="end"/>
        </w:r>
      </w:hyperlink>
    </w:p>
    <w:p w14:paraId="46680DD5" w14:textId="034664FF" w:rsidR="00835166" w:rsidRPr="00585059" w:rsidRDefault="00C4575C">
      <w:pPr>
        <w:pStyle w:val="TOC3"/>
        <w:tabs>
          <w:tab w:val="left" w:pos="880"/>
        </w:tabs>
        <w:rPr>
          <w:rFonts w:asciiTheme="minorHAnsi" w:eastAsiaTheme="minorEastAsia" w:hAnsiTheme="minorHAnsi" w:cstheme="minorBidi"/>
          <w:noProof/>
          <w:szCs w:val="22"/>
          <w:lang w:val="es-ES" w:eastAsia="es-ES"/>
        </w:rPr>
      </w:pPr>
      <w:hyperlink w:anchor="_Toc525713996" w:history="1">
        <w:r w:rsidR="00835166" w:rsidRPr="00585059">
          <w:rPr>
            <w:rStyle w:val="Hyperlink"/>
            <w:noProof/>
            <w:sz w:val="18"/>
            <w:lang w:val="es-ES"/>
          </w:rPr>
          <w:t>1.</w:t>
        </w:r>
        <w:r w:rsidR="00835166" w:rsidRPr="00585059">
          <w:rPr>
            <w:rFonts w:asciiTheme="minorHAnsi" w:eastAsiaTheme="minorEastAsia" w:hAnsiTheme="minorHAnsi" w:cstheme="minorBidi"/>
            <w:noProof/>
            <w:szCs w:val="22"/>
            <w:lang w:val="es-ES" w:eastAsia="es-ES"/>
          </w:rPr>
          <w:tab/>
        </w:r>
        <w:r w:rsidR="00835166" w:rsidRPr="00585059">
          <w:rPr>
            <w:rStyle w:val="Hyperlink"/>
            <w:noProof/>
            <w:sz w:val="18"/>
            <w:lang w:val="es-ES"/>
          </w:rPr>
          <w:t>Aprobación e implementación de un protocolo de debida diligencia en la investigación de delitos cometidos en contra de personas defensoras de derechos humanos</w:t>
        </w:r>
        <w:r w:rsidR="00835166" w:rsidRPr="00585059">
          <w:rPr>
            <w:noProof/>
            <w:webHidden/>
            <w:sz w:val="18"/>
          </w:rPr>
          <w:tab/>
        </w:r>
        <w:r w:rsidR="00835166" w:rsidRPr="00585059">
          <w:rPr>
            <w:noProof/>
            <w:webHidden/>
            <w:sz w:val="18"/>
          </w:rPr>
          <w:fldChar w:fldCharType="begin"/>
        </w:r>
        <w:r w:rsidR="00835166" w:rsidRPr="00585059">
          <w:rPr>
            <w:noProof/>
            <w:webHidden/>
            <w:sz w:val="18"/>
          </w:rPr>
          <w:instrText xml:space="preserve"> PAGEREF _Toc525713996 \h </w:instrText>
        </w:r>
        <w:r w:rsidR="00835166" w:rsidRPr="00585059">
          <w:rPr>
            <w:noProof/>
            <w:webHidden/>
            <w:sz w:val="18"/>
          </w:rPr>
        </w:r>
        <w:r w:rsidR="00835166" w:rsidRPr="00585059">
          <w:rPr>
            <w:noProof/>
            <w:webHidden/>
            <w:sz w:val="18"/>
          </w:rPr>
          <w:fldChar w:fldCharType="separate"/>
        </w:r>
        <w:r w:rsidR="00074B8B">
          <w:rPr>
            <w:noProof/>
            <w:webHidden/>
            <w:sz w:val="18"/>
          </w:rPr>
          <w:t>26</w:t>
        </w:r>
        <w:r w:rsidR="00835166" w:rsidRPr="00585059">
          <w:rPr>
            <w:noProof/>
            <w:webHidden/>
            <w:sz w:val="18"/>
          </w:rPr>
          <w:fldChar w:fldCharType="end"/>
        </w:r>
      </w:hyperlink>
    </w:p>
    <w:p w14:paraId="20E77707" w14:textId="31F469BF" w:rsidR="00835166" w:rsidRPr="00585059" w:rsidRDefault="00C4575C">
      <w:pPr>
        <w:pStyle w:val="TOC3"/>
        <w:tabs>
          <w:tab w:val="left" w:pos="880"/>
        </w:tabs>
        <w:rPr>
          <w:rFonts w:asciiTheme="minorHAnsi" w:eastAsiaTheme="minorEastAsia" w:hAnsiTheme="minorHAnsi" w:cstheme="minorBidi"/>
          <w:noProof/>
          <w:szCs w:val="22"/>
          <w:lang w:val="es-ES" w:eastAsia="es-ES"/>
        </w:rPr>
      </w:pPr>
      <w:hyperlink w:anchor="_Toc525713997" w:history="1">
        <w:r w:rsidR="00835166" w:rsidRPr="00585059">
          <w:rPr>
            <w:rStyle w:val="Hyperlink"/>
            <w:noProof/>
            <w:sz w:val="18"/>
            <w:lang w:val="es-ES"/>
          </w:rPr>
          <w:t>2.</w:t>
        </w:r>
        <w:r w:rsidR="00835166" w:rsidRPr="00585059">
          <w:rPr>
            <w:rFonts w:asciiTheme="minorHAnsi" w:eastAsiaTheme="minorEastAsia" w:hAnsiTheme="minorHAnsi" w:cstheme="minorBidi"/>
            <w:noProof/>
            <w:szCs w:val="22"/>
            <w:lang w:val="es-ES" w:eastAsia="es-ES"/>
          </w:rPr>
          <w:tab/>
        </w:r>
        <w:r w:rsidR="00835166" w:rsidRPr="00585059">
          <w:rPr>
            <w:rStyle w:val="Hyperlink"/>
            <w:noProof/>
            <w:sz w:val="18"/>
            <w:lang w:val="es-ES"/>
          </w:rPr>
          <w:t>Coordinación interinstitucional para la aplicación efectiva de la Ley de Protección a Testigos</w:t>
        </w:r>
        <w:r w:rsidR="00835166" w:rsidRPr="00585059">
          <w:rPr>
            <w:noProof/>
            <w:webHidden/>
            <w:sz w:val="18"/>
          </w:rPr>
          <w:tab/>
        </w:r>
        <w:r w:rsidR="00835166" w:rsidRPr="00585059">
          <w:rPr>
            <w:noProof/>
            <w:webHidden/>
            <w:sz w:val="18"/>
          </w:rPr>
          <w:fldChar w:fldCharType="begin"/>
        </w:r>
        <w:r w:rsidR="00835166" w:rsidRPr="00585059">
          <w:rPr>
            <w:noProof/>
            <w:webHidden/>
            <w:sz w:val="18"/>
          </w:rPr>
          <w:instrText xml:space="preserve"> PAGEREF _Toc525713997 \h </w:instrText>
        </w:r>
        <w:r w:rsidR="00835166" w:rsidRPr="00585059">
          <w:rPr>
            <w:noProof/>
            <w:webHidden/>
            <w:sz w:val="18"/>
          </w:rPr>
        </w:r>
        <w:r w:rsidR="00835166" w:rsidRPr="00585059">
          <w:rPr>
            <w:noProof/>
            <w:webHidden/>
            <w:sz w:val="18"/>
          </w:rPr>
          <w:fldChar w:fldCharType="separate"/>
        </w:r>
        <w:r w:rsidR="00074B8B">
          <w:rPr>
            <w:noProof/>
            <w:webHidden/>
            <w:sz w:val="18"/>
          </w:rPr>
          <w:t>27</w:t>
        </w:r>
        <w:r w:rsidR="00835166" w:rsidRPr="00585059">
          <w:rPr>
            <w:noProof/>
            <w:webHidden/>
            <w:sz w:val="18"/>
          </w:rPr>
          <w:fldChar w:fldCharType="end"/>
        </w:r>
      </w:hyperlink>
    </w:p>
    <w:p w14:paraId="6ACE086E" w14:textId="1E073C9B" w:rsidR="00835166" w:rsidRPr="00585059" w:rsidRDefault="00C4575C">
      <w:pPr>
        <w:pStyle w:val="TOC3"/>
        <w:tabs>
          <w:tab w:val="left" w:pos="880"/>
        </w:tabs>
        <w:rPr>
          <w:rFonts w:asciiTheme="minorHAnsi" w:eastAsiaTheme="minorEastAsia" w:hAnsiTheme="minorHAnsi" w:cstheme="minorBidi"/>
          <w:noProof/>
          <w:szCs w:val="22"/>
          <w:lang w:val="es-ES" w:eastAsia="es-ES"/>
        </w:rPr>
      </w:pPr>
      <w:hyperlink w:anchor="_Toc525713998" w:history="1">
        <w:r w:rsidR="00835166" w:rsidRPr="00585059">
          <w:rPr>
            <w:rStyle w:val="Hyperlink"/>
            <w:noProof/>
            <w:sz w:val="18"/>
            <w:lang w:val="es-ES"/>
          </w:rPr>
          <w:t>3.</w:t>
        </w:r>
        <w:r w:rsidR="00835166" w:rsidRPr="00585059">
          <w:rPr>
            <w:rFonts w:asciiTheme="minorHAnsi" w:eastAsiaTheme="minorEastAsia" w:hAnsiTheme="minorHAnsi" w:cstheme="minorBidi"/>
            <w:noProof/>
            <w:szCs w:val="22"/>
            <w:lang w:val="es-ES" w:eastAsia="es-ES"/>
          </w:rPr>
          <w:tab/>
        </w:r>
        <w:r w:rsidR="00835166" w:rsidRPr="00585059">
          <w:rPr>
            <w:rStyle w:val="Hyperlink"/>
            <w:noProof/>
            <w:sz w:val="18"/>
            <w:lang w:val="es-ES"/>
          </w:rPr>
          <w:t>Coordinación interinstitucional para diligenciar las investigaciones de los delitos que se cometan contra personas defensoras de derechos humanos</w:t>
        </w:r>
        <w:r w:rsidR="00835166" w:rsidRPr="00585059">
          <w:rPr>
            <w:noProof/>
            <w:webHidden/>
            <w:sz w:val="18"/>
          </w:rPr>
          <w:tab/>
        </w:r>
        <w:r w:rsidR="00835166" w:rsidRPr="00585059">
          <w:rPr>
            <w:noProof/>
            <w:webHidden/>
            <w:sz w:val="18"/>
          </w:rPr>
          <w:fldChar w:fldCharType="begin"/>
        </w:r>
        <w:r w:rsidR="00835166" w:rsidRPr="00585059">
          <w:rPr>
            <w:noProof/>
            <w:webHidden/>
            <w:sz w:val="18"/>
          </w:rPr>
          <w:instrText xml:space="preserve"> PAGEREF _Toc525713998 \h </w:instrText>
        </w:r>
        <w:r w:rsidR="00835166" w:rsidRPr="00585059">
          <w:rPr>
            <w:noProof/>
            <w:webHidden/>
            <w:sz w:val="18"/>
          </w:rPr>
        </w:r>
        <w:r w:rsidR="00835166" w:rsidRPr="00585059">
          <w:rPr>
            <w:noProof/>
            <w:webHidden/>
            <w:sz w:val="18"/>
          </w:rPr>
          <w:fldChar w:fldCharType="separate"/>
        </w:r>
        <w:r w:rsidR="00074B8B">
          <w:rPr>
            <w:noProof/>
            <w:webHidden/>
            <w:sz w:val="18"/>
          </w:rPr>
          <w:t>28</w:t>
        </w:r>
        <w:r w:rsidR="00835166" w:rsidRPr="00585059">
          <w:rPr>
            <w:noProof/>
            <w:webHidden/>
            <w:sz w:val="18"/>
          </w:rPr>
          <w:fldChar w:fldCharType="end"/>
        </w:r>
      </w:hyperlink>
    </w:p>
    <w:p w14:paraId="7D264956" w14:textId="7BBF016C" w:rsidR="00835166" w:rsidRPr="00585059" w:rsidRDefault="00C4575C">
      <w:pPr>
        <w:pStyle w:val="TOC2"/>
        <w:rPr>
          <w:rFonts w:asciiTheme="minorHAnsi" w:eastAsiaTheme="minorEastAsia" w:hAnsiTheme="minorHAnsi" w:cstheme="minorBidi"/>
          <w:b w:val="0"/>
          <w:i w:val="0"/>
          <w:szCs w:val="22"/>
          <w:lang w:val="es-ES" w:eastAsia="es-ES"/>
        </w:rPr>
      </w:pPr>
      <w:hyperlink w:anchor="_Toc525713999" w:history="1">
        <w:r w:rsidR="00835166" w:rsidRPr="00585059">
          <w:rPr>
            <w:rStyle w:val="Hyperlink"/>
            <w:sz w:val="18"/>
          </w:rPr>
          <w:t>D.</w:t>
        </w:r>
        <w:r w:rsidR="00835166" w:rsidRPr="00585059">
          <w:rPr>
            <w:rFonts w:asciiTheme="minorHAnsi" w:eastAsiaTheme="minorEastAsia" w:hAnsiTheme="minorHAnsi" w:cstheme="minorBidi"/>
            <w:b w:val="0"/>
            <w:i w:val="0"/>
            <w:szCs w:val="22"/>
            <w:lang w:val="es-ES" w:eastAsia="es-ES"/>
          </w:rPr>
          <w:tab/>
        </w:r>
        <w:r w:rsidR="00835166" w:rsidRPr="00585059">
          <w:rPr>
            <w:rStyle w:val="Hyperlink"/>
            <w:sz w:val="18"/>
          </w:rPr>
          <w:t>Supervisión del cumplimiento del Acuerdo</w:t>
        </w:r>
        <w:r w:rsidR="00835166" w:rsidRPr="00585059">
          <w:rPr>
            <w:webHidden/>
            <w:sz w:val="18"/>
          </w:rPr>
          <w:tab/>
        </w:r>
        <w:r w:rsidR="00835166" w:rsidRPr="00585059">
          <w:rPr>
            <w:webHidden/>
            <w:sz w:val="18"/>
          </w:rPr>
          <w:fldChar w:fldCharType="begin"/>
        </w:r>
        <w:r w:rsidR="00835166" w:rsidRPr="00585059">
          <w:rPr>
            <w:webHidden/>
            <w:sz w:val="18"/>
          </w:rPr>
          <w:instrText xml:space="preserve"> PAGEREF _Toc525713999 \h </w:instrText>
        </w:r>
        <w:r w:rsidR="00835166" w:rsidRPr="00585059">
          <w:rPr>
            <w:webHidden/>
            <w:sz w:val="18"/>
          </w:rPr>
        </w:r>
        <w:r w:rsidR="00835166" w:rsidRPr="00585059">
          <w:rPr>
            <w:webHidden/>
            <w:sz w:val="18"/>
          </w:rPr>
          <w:fldChar w:fldCharType="separate"/>
        </w:r>
        <w:r w:rsidR="00074B8B">
          <w:rPr>
            <w:webHidden/>
            <w:sz w:val="18"/>
          </w:rPr>
          <w:t>28</w:t>
        </w:r>
        <w:r w:rsidR="00835166" w:rsidRPr="00585059">
          <w:rPr>
            <w:webHidden/>
            <w:sz w:val="18"/>
          </w:rPr>
          <w:fldChar w:fldCharType="end"/>
        </w:r>
      </w:hyperlink>
    </w:p>
    <w:p w14:paraId="40D85F4E" w14:textId="32333B38" w:rsidR="00835166" w:rsidRPr="00585059" w:rsidRDefault="00C4575C">
      <w:pPr>
        <w:pStyle w:val="TOC1"/>
        <w:rPr>
          <w:rFonts w:asciiTheme="minorHAnsi" w:eastAsiaTheme="minorEastAsia" w:hAnsiTheme="minorHAnsi" w:cstheme="minorBidi"/>
          <w:b w:val="0"/>
          <w:noProof/>
          <w:sz w:val="20"/>
          <w:szCs w:val="22"/>
          <w:lang w:val="es-ES" w:eastAsia="es-ES"/>
        </w:rPr>
      </w:pPr>
      <w:hyperlink w:anchor="_Toc525714000" w:history="1">
        <w:r w:rsidR="00835166" w:rsidRPr="001F751D">
          <w:rPr>
            <w:rStyle w:val="Hyperlink"/>
            <w:noProof/>
            <w:sz w:val="16"/>
          </w:rPr>
          <w:t>IX PUNTOS RESOLUTIVOS</w:t>
        </w:r>
        <w:r w:rsidR="00835166" w:rsidRPr="001F751D">
          <w:rPr>
            <w:noProof/>
            <w:webHidden/>
            <w:sz w:val="16"/>
          </w:rPr>
          <w:tab/>
        </w:r>
        <w:r w:rsidR="00835166" w:rsidRPr="001F751D">
          <w:rPr>
            <w:noProof/>
            <w:webHidden/>
            <w:sz w:val="16"/>
          </w:rPr>
          <w:fldChar w:fldCharType="begin"/>
        </w:r>
        <w:r w:rsidR="00835166" w:rsidRPr="001F751D">
          <w:rPr>
            <w:noProof/>
            <w:webHidden/>
            <w:sz w:val="16"/>
          </w:rPr>
          <w:instrText xml:space="preserve"> PAGEREF _Toc525714000 \h </w:instrText>
        </w:r>
        <w:r w:rsidR="00835166" w:rsidRPr="001F751D">
          <w:rPr>
            <w:noProof/>
            <w:webHidden/>
            <w:sz w:val="16"/>
          </w:rPr>
        </w:r>
        <w:r w:rsidR="00835166" w:rsidRPr="001F751D">
          <w:rPr>
            <w:noProof/>
            <w:webHidden/>
            <w:sz w:val="16"/>
          </w:rPr>
          <w:fldChar w:fldCharType="separate"/>
        </w:r>
        <w:r w:rsidR="00074B8B">
          <w:rPr>
            <w:noProof/>
            <w:webHidden/>
            <w:sz w:val="16"/>
          </w:rPr>
          <w:t>28</w:t>
        </w:r>
        <w:r w:rsidR="00835166" w:rsidRPr="001F751D">
          <w:rPr>
            <w:noProof/>
            <w:webHidden/>
            <w:sz w:val="16"/>
          </w:rPr>
          <w:fldChar w:fldCharType="end"/>
        </w:r>
      </w:hyperlink>
    </w:p>
    <w:p w14:paraId="0BB47F3E" w14:textId="58802FFF" w:rsidR="000F2A6F" w:rsidRPr="0064010A" w:rsidRDefault="0075672C" w:rsidP="001F751D">
      <w:pPr>
        <w:pStyle w:val="TOCHeading"/>
        <w:tabs>
          <w:tab w:val="right" w:leader="dot" w:pos="8789"/>
        </w:tabs>
        <w:ind w:right="-46"/>
        <w:rPr>
          <w:noProof/>
          <w:sz w:val="18"/>
          <w:szCs w:val="18"/>
        </w:rPr>
      </w:pPr>
      <w:r w:rsidRPr="001F751D">
        <w:rPr>
          <w:b w:val="0"/>
          <w:noProof/>
          <w:sz w:val="16"/>
          <w:szCs w:val="18"/>
        </w:rPr>
        <w:lastRenderedPageBreak/>
        <w:fldChar w:fldCharType="end"/>
      </w:r>
    </w:p>
    <w:p w14:paraId="40ADA0E6" w14:textId="77777777" w:rsidR="009569E6" w:rsidRPr="0064010A" w:rsidRDefault="00C6683F" w:rsidP="00C6683F">
      <w:pPr>
        <w:pStyle w:val="Heading1"/>
        <w:ind w:right="-4"/>
      </w:pPr>
      <w:bookmarkStart w:id="0" w:name="_Toc369989729"/>
      <w:bookmarkStart w:id="1" w:name="_Toc438132269"/>
      <w:bookmarkStart w:id="2" w:name="_Toc288744729"/>
      <w:bookmarkStart w:id="3" w:name="_Toc486693351"/>
      <w:bookmarkStart w:id="4" w:name="_Toc486842767"/>
      <w:bookmarkStart w:id="5" w:name="_Toc486842905"/>
      <w:bookmarkStart w:id="6" w:name="_Toc525713965"/>
      <w:r w:rsidRPr="0064010A">
        <w:t>I</w:t>
      </w:r>
      <w:r w:rsidRPr="0064010A">
        <w:rPr>
          <w:color w:val="FFFFFF" w:themeColor="background1"/>
        </w:rPr>
        <w:t>.</w:t>
      </w:r>
      <w:r w:rsidRPr="0064010A">
        <w:br/>
      </w:r>
      <w:r w:rsidR="009569E6" w:rsidRPr="0064010A">
        <w:t>INTRODUCCIÓN DE LA CAUSA Y OBJETO DE LA CONTROVERSIA</w:t>
      </w:r>
      <w:bookmarkEnd w:id="0"/>
      <w:bookmarkEnd w:id="1"/>
      <w:bookmarkEnd w:id="2"/>
      <w:bookmarkEnd w:id="3"/>
      <w:bookmarkEnd w:id="4"/>
      <w:bookmarkEnd w:id="5"/>
      <w:bookmarkEnd w:id="6"/>
    </w:p>
    <w:p w14:paraId="26A2CBD9" w14:textId="45F89C3A" w:rsidR="006717B6" w:rsidRPr="0064010A" w:rsidRDefault="003B1D4E" w:rsidP="00333F8E">
      <w:pPr>
        <w:pStyle w:val="ListParagraph"/>
        <w:numPr>
          <w:ilvl w:val="0"/>
          <w:numId w:val="2"/>
        </w:numPr>
        <w:spacing w:before="120" w:after="120"/>
        <w:ind w:left="0" w:right="-4" w:firstLine="0"/>
        <w:contextualSpacing w:val="0"/>
        <w:rPr>
          <w:szCs w:val="20"/>
        </w:rPr>
      </w:pPr>
      <w:r w:rsidRPr="0064010A">
        <w:rPr>
          <w:i/>
          <w:szCs w:val="20"/>
        </w:rPr>
        <w:t>El caso sometido a la Corte</w:t>
      </w:r>
      <w:r w:rsidRPr="0064010A">
        <w:rPr>
          <w:szCs w:val="20"/>
        </w:rPr>
        <w:t xml:space="preserve">.- El 22 de septiembre de 2017, de conformidad con lo dispuesto en los artículos 51 y 61 de la Convención Americana y el artículo 35 del Reglamento de la Corte, la Comisión Interamericana de Derechos Humanos (en adelante “la Comisión Interamericana” o “la Comisión”) sometió a la jurisdicción de la Corte el caso No. 12.492 “Carlos Escaleras Mejía y familia” en contra de la República de Honduras (en adelante “el Estado” o “Honduras”). La Comisión indicó que el caso se relacionaba con la responsabilidad internacional del Estado por la muerte del defensor ambientalista Carlos Escaleras Mejía ocurrida el 18 de octubre de 1997 y la situación de impunidad parcial en la que se encuentra ese hecho. Sostuvo </w:t>
      </w:r>
      <w:r w:rsidR="00745A8D" w:rsidRPr="0064010A">
        <w:rPr>
          <w:szCs w:val="20"/>
        </w:rPr>
        <w:t xml:space="preserve">asimismo </w:t>
      </w:r>
      <w:r w:rsidRPr="0064010A">
        <w:rPr>
          <w:szCs w:val="20"/>
        </w:rPr>
        <w:t xml:space="preserve">que el Estado no otorgó una respuesta judicial efectiva frente a la muerte del señor Escaleras Mejía, pues las autoridades policiales, fiscales y judiciales no adoptaron las diligencias iniciales mínimas conforme a los estándares interamericanos para este tipo de casos. </w:t>
      </w:r>
      <w:r w:rsidR="00745A8D" w:rsidRPr="0064010A">
        <w:rPr>
          <w:szCs w:val="20"/>
        </w:rPr>
        <w:t xml:space="preserve">Además indicó que el </w:t>
      </w:r>
      <w:r w:rsidRPr="0064010A">
        <w:rPr>
          <w:szCs w:val="20"/>
        </w:rPr>
        <w:t xml:space="preserve">Estado </w:t>
      </w:r>
      <w:r w:rsidR="00745A8D" w:rsidRPr="0064010A">
        <w:rPr>
          <w:szCs w:val="20"/>
        </w:rPr>
        <w:t xml:space="preserve">también era responsable </w:t>
      </w:r>
      <w:r w:rsidRPr="0064010A">
        <w:rPr>
          <w:szCs w:val="20"/>
        </w:rPr>
        <w:t xml:space="preserve">por la violación </w:t>
      </w:r>
      <w:r w:rsidR="00344312">
        <w:rPr>
          <w:szCs w:val="20"/>
        </w:rPr>
        <w:t>a</w:t>
      </w:r>
      <w:r w:rsidR="00344312" w:rsidRPr="0064010A">
        <w:rPr>
          <w:szCs w:val="20"/>
        </w:rPr>
        <w:t xml:space="preserve"> </w:t>
      </w:r>
      <w:r w:rsidRPr="0064010A">
        <w:rPr>
          <w:szCs w:val="20"/>
        </w:rPr>
        <w:t>los derechos políticos y la libertad de asociación</w:t>
      </w:r>
      <w:r w:rsidR="00745A8D" w:rsidRPr="0064010A">
        <w:rPr>
          <w:szCs w:val="20"/>
        </w:rPr>
        <w:t xml:space="preserve"> en perjuicio del señor </w:t>
      </w:r>
      <w:r w:rsidRPr="0064010A">
        <w:rPr>
          <w:szCs w:val="20"/>
        </w:rPr>
        <w:t xml:space="preserve">Carlos Escaleras Mejía, así como </w:t>
      </w:r>
      <w:r w:rsidR="00344312">
        <w:rPr>
          <w:szCs w:val="20"/>
        </w:rPr>
        <w:t xml:space="preserve">por </w:t>
      </w:r>
      <w:r w:rsidRPr="0064010A">
        <w:rPr>
          <w:szCs w:val="20"/>
        </w:rPr>
        <w:t xml:space="preserve">la violación </w:t>
      </w:r>
      <w:r w:rsidR="00344312">
        <w:rPr>
          <w:szCs w:val="20"/>
        </w:rPr>
        <w:t>a</w:t>
      </w:r>
      <w:r w:rsidR="00344312" w:rsidRPr="0064010A">
        <w:rPr>
          <w:szCs w:val="20"/>
        </w:rPr>
        <w:t xml:space="preserve"> </w:t>
      </w:r>
      <w:r w:rsidRPr="0064010A">
        <w:rPr>
          <w:szCs w:val="20"/>
        </w:rPr>
        <w:t>los derechos a la integridad personal, garantías judiciales y protección judicial en perjuicio de los familiares de Carlos Escaleras Mejía</w:t>
      </w:r>
      <w:r w:rsidRPr="0064010A">
        <w:rPr>
          <w:szCs w:val="20"/>
          <w:vertAlign w:val="superscript"/>
        </w:rPr>
        <w:footnoteReference w:id="2"/>
      </w:r>
      <w:r w:rsidR="006717B6" w:rsidRPr="0064010A">
        <w:rPr>
          <w:szCs w:val="20"/>
        </w:rPr>
        <w:t>.</w:t>
      </w:r>
      <w:r w:rsidR="00946C51" w:rsidRPr="0064010A">
        <w:rPr>
          <w:szCs w:val="20"/>
        </w:rPr>
        <w:t xml:space="preserve"> </w:t>
      </w:r>
    </w:p>
    <w:p w14:paraId="55A02593" w14:textId="77777777" w:rsidR="00070CFE" w:rsidRPr="0064010A" w:rsidRDefault="006F5C6B" w:rsidP="00DD13DA">
      <w:pPr>
        <w:pStyle w:val="ListParagraph"/>
        <w:numPr>
          <w:ilvl w:val="0"/>
          <w:numId w:val="2"/>
        </w:numPr>
        <w:spacing w:before="120" w:after="120"/>
        <w:ind w:left="0" w:right="-4" w:firstLine="0"/>
        <w:contextualSpacing w:val="0"/>
        <w:rPr>
          <w:szCs w:val="20"/>
        </w:rPr>
      </w:pPr>
      <w:bookmarkStart w:id="7" w:name="_Ref363651855"/>
      <w:r w:rsidRPr="0064010A">
        <w:rPr>
          <w:i/>
          <w:szCs w:val="20"/>
        </w:rPr>
        <w:t xml:space="preserve">Trámite ante la Comisión. </w:t>
      </w:r>
      <w:r w:rsidRPr="0064010A">
        <w:rPr>
          <w:szCs w:val="20"/>
        </w:rPr>
        <w:t>– El trámite ante la Comisión fue el siguiente:</w:t>
      </w:r>
      <w:bookmarkEnd w:id="7"/>
    </w:p>
    <w:p w14:paraId="7BCE54C9" w14:textId="04C90FB7" w:rsidR="006F5C6B" w:rsidRPr="0064010A" w:rsidRDefault="002D321E" w:rsidP="00DD13DA">
      <w:pPr>
        <w:pStyle w:val="ListParagraph"/>
        <w:numPr>
          <w:ilvl w:val="1"/>
          <w:numId w:val="1"/>
        </w:numPr>
        <w:spacing w:before="120" w:after="120"/>
        <w:ind w:left="284" w:right="-6" w:firstLine="0"/>
        <w:contextualSpacing w:val="0"/>
        <w:rPr>
          <w:szCs w:val="20"/>
        </w:rPr>
      </w:pPr>
      <w:r w:rsidRPr="0064010A">
        <w:rPr>
          <w:i/>
          <w:szCs w:val="20"/>
          <w:lang w:val="es-ES"/>
        </w:rPr>
        <w:t>Petición</w:t>
      </w:r>
      <w:r w:rsidRPr="0064010A">
        <w:rPr>
          <w:szCs w:val="20"/>
          <w:lang w:val="es-ES"/>
        </w:rPr>
        <w:t>.- El 14 de enero de 2002 la Comisión recibió una petición presentada por las organizaciones Equipo de Reflexión, Investigación y Comunicación (ERIC) y por el Centro por la Justicia y el Derecho Internacional (CEJIL) (en adelante “los peticionarios”)</w:t>
      </w:r>
      <w:r w:rsidRPr="0064010A">
        <w:rPr>
          <w:szCs w:val="20"/>
          <w:vertAlign w:val="superscript"/>
          <w:lang w:val="es-ES"/>
        </w:rPr>
        <w:footnoteReference w:id="3"/>
      </w:r>
      <w:r w:rsidR="002F6EE9" w:rsidRPr="0064010A">
        <w:rPr>
          <w:szCs w:val="20"/>
        </w:rPr>
        <w:t>.</w:t>
      </w:r>
    </w:p>
    <w:p w14:paraId="3597A1CD" w14:textId="0C5BE759" w:rsidR="006F5C6B" w:rsidRPr="0064010A" w:rsidRDefault="002D321E" w:rsidP="006717B6">
      <w:pPr>
        <w:pStyle w:val="ListParagraph"/>
        <w:numPr>
          <w:ilvl w:val="1"/>
          <w:numId w:val="1"/>
        </w:numPr>
        <w:spacing w:before="120" w:after="120"/>
        <w:ind w:left="284" w:right="-6" w:firstLine="0"/>
        <w:contextualSpacing w:val="0"/>
        <w:rPr>
          <w:szCs w:val="20"/>
        </w:rPr>
      </w:pPr>
      <w:r w:rsidRPr="0064010A">
        <w:rPr>
          <w:i/>
          <w:szCs w:val="20"/>
          <w:lang w:val="es-ES"/>
        </w:rPr>
        <w:t>Informe de Admisibilidad.-</w:t>
      </w:r>
      <w:r w:rsidRPr="0064010A">
        <w:rPr>
          <w:szCs w:val="20"/>
          <w:lang w:val="es-ES"/>
        </w:rPr>
        <w:t xml:space="preserve"> El 24 de febrero 2005 la Comisión emitió el Informe de Admisibilidad No. 15/05</w:t>
      </w:r>
      <w:r w:rsidRPr="0064010A">
        <w:rPr>
          <w:szCs w:val="20"/>
          <w:vertAlign w:val="superscript"/>
          <w:lang w:val="es-ES"/>
        </w:rPr>
        <w:footnoteReference w:id="4"/>
      </w:r>
      <w:r w:rsidR="006717B6" w:rsidRPr="0064010A">
        <w:rPr>
          <w:szCs w:val="20"/>
        </w:rPr>
        <w:t>.</w:t>
      </w:r>
    </w:p>
    <w:p w14:paraId="6E516C3A" w14:textId="682C7B7D" w:rsidR="006717B6" w:rsidRPr="0064010A" w:rsidRDefault="008E42F4" w:rsidP="006717B6">
      <w:pPr>
        <w:pStyle w:val="ListParagraph"/>
        <w:numPr>
          <w:ilvl w:val="1"/>
          <w:numId w:val="1"/>
        </w:numPr>
        <w:spacing w:before="120" w:after="120"/>
        <w:ind w:left="284" w:right="-6" w:firstLine="0"/>
        <w:contextualSpacing w:val="0"/>
        <w:rPr>
          <w:szCs w:val="20"/>
        </w:rPr>
      </w:pPr>
      <w:r w:rsidRPr="0064010A">
        <w:rPr>
          <w:i/>
          <w:szCs w:val="20"/>
          <w:lang w:val="es-ES"/>
        </w:rPr>
        <w:t>Informe de Fondo</w:t>
      </w:r>
      <w:r w:rsidRPr="0064010A">
        <w:rPr>
          <w:szCs w:val="20"/>
          <w:lang w:val="es-ES"/>
        </w:rPr>
        <w:t>.- El 17 de julio de 2014 la Comisión emitió el Informe de Fondo No. 43/14 (en adelante también “el Informe de Fondo” o “el Informe No. 43/14</w:t>
      </w:r>
      <w:r w:rsidRPr="0064010A">
        <w:rPr>
          <w:szCs w:val="20"/>
          <w:lang w:val="es-MX"/>
        </w:rPr>
        <w:t>”)</w:t>
      </w:r>
      <w:r w:rsidRPr="0064010A">
        <w:rPr>
          <w:szCs w:val="20"/>
          <w:lang w:val="es-ES"/>
        </w:rPr>
        <w:t xml:space="preserve"> en los términos del artículo 50 de la Convención Americana, en el que llegó a una serie de conclusiones</w:t>
      </w:r>
      <w:r w:rsidRPr="0064010A">
        <w:rPr>
          <w:rStyle w:val="FootnoteReference"/>
          <w:lang w:val="es-ES"/>
        </w:rPr>
        <w:footnoteReference w:id="5"/>
      </w:r>
      <w:r w:rsidRPr="0064010A">
        <w:rPr>
          <w:szCs w:val="20"/>
          <w:lang w:val="es-ES"/>
        </w:rPr>
        <w:t xml:space="preserve"> y formuló varias recomendaciones a Honduras</w:t>
      </w:r>
      <w:r w:rsidRPr="0064010A">
        <w:rPr>
          <w:rStyle w:val="FootnoteReference"/>
          <w:lang w:val="es-ES"/>
        </w:rPr>
        <w:footnoteReference w:id="6"/>
      </w:r>
      <w:r w:rsidRPr="0064010A">
        <w:t>.</w:t>
      </w:r>
    </w:p>
    <w:p w14:paraId="48B40CC1" w14:textId="77777777" w:rsidR="00462072" w:rsidRDefault="008E42F4" w:rsidP="008E42F4">
      <w:pPr>
        <w:pStyle w:val="ListParagraph"/>
        <w:numPr>
          <w:ilvl w:val="1"/>
          <w:numId w:val="1"/>
        </w:numPr>
        <w:spacing w:before="120" w:after="120"/>
        <w:ind w:left="284" w:right="-6" w:firstLine="0"/>
        <w:contextualSpacing w:val="0"/>
        <w:rPr>
          <w:szCs w:val="20"/>
        </w:rPr>
      </w:pPr>
      <w:r w:rsidRPr="0064010A">
        <w:rPr>
          <w:i/>
          <w:szCs w:val="20"/>
          <w:lang w:val="es-ES"/>
        </w:rPr>
        <w:lastRenderedPageBreak/>
        <w:t>Notificación</w:t>
      </w:r>
      <w:r w:rsidRPr="0064010A">
        <w:rPr>
          <w:i/>
          <w:szCs w:val="20"/>
          <w:lang w:val="es-MX"/>
        </w:rPr>
        <w:t xml:space="preserve"> al Estado</w:t>
      </w:r>
      <w:r w:rsidRPr="0064010A">
        <w:rPr>
          <w:szCs w:val="20"/>
          <w:lang w:val="es-MX"/>
        </w:rPr>
        <w:t>.-</w:t>
      </w:r>
      <w:r w:rsidRPr="0064010A">
        <w:rPr>
          <w:szCs w:val="20"/>
          <w:lang w:val="es-CR"/>
        </w:rPr>
        <w:t xml:space="preserve"> El Informe de Fondo fue notificado al Estado </w:t>
      </w:r>
      <w:r w:rsidRPr="0064010A">
        <w:rPr>
          <w:szCs w:val="20"/>
        </w:rPr>
        <w:t xml:space="preserve">el 15 de octubre de 2014, otorgándole un plazo de dos meses para informar sobre el cumplimiento de las recomendaciones. </w:t>
      </w:r>
    </w:p>
    <w:p w14:paraId="1DDCA483" w14:textId="43E74D93" w:rsidR="00462072" w:rsidRPr="00470455" w:rsidRDefault="00462072" w:rsidP="00470455">
      <w:pPr>
        <w:pStyle w:val="ListParagraph"/>
        <w:numPr>
          <w:ilvl w:val="1"/>
          <w:numId w:val="1"/>
        </w:numPr>
        <w:spacing w:before="120" w:after="120"/>
        <w:ind w:left="284" w:right="-6" w:firstLine="0"/>
        <w:contextualSpacing w:val="0"/>
        <w:rPr>
          <w:szCs w:val="20"/>
        </w:rPr>
      </w:pPr>
      <w:r w:rsidRPr="00B33F13">
        <w:rPr>
          <w:i/>
          <w:szCs w:val="20"/>
        </w:rPr>
        <w:t>Negociación de un acuerdo de solución</w:t>
      </w:r>
      <w:r w:rsidR="00470455" w:rsidRPr="00B33F13">
        <w:rPr>
          <w:i/>
          <w:szCs w:val="20"/>
        </w:rPr>
        <w:t xml:space="preserve"> amistosa</w:t>
      </w:r>
      <w:r w:rsidRPr="00B33F13">
        <w:rPr>
          <w:i/>
          <w:szCs w:val="20"/>
        </w:rPr>
        <w:t>.-</w:t>
      </w:r>
      <w:r w:rsidRPr="00B33F13">
        <w:rPr>
          <w:szCs w:val="20"/>
        </w:rPr>
        <w:t xml:space="preserve"> </w:t>
      </w:r>
      <w:r w:rsidR="008E42F4" w:rsidRPr="00B33F13">
        <w:rPr>
          <w:szCs w:val="20"/>
          <w:lang w:val="es-CO"/>
        </w:rPr>
        <w:t>La Comisión tomó nota de que los peticionarios y el Estado firmaron</w:t>
      </w:r>
      <w:r w:rsidRPr="00B33F13">
        <w:rPr>
          <w:szCs w:val="20"/>
          <w:lang w:val="es-CO"/>
        </w:rPr>
        <w:t xml:space="preserve"> el día 26 de agosto </w:t>
      </w:r>
      <w:r w:rsidR="00470455" w:rsidRPr="00B33F13">
        <w:rPr>
          <w:szCs w:val="20"/>
          <w:lang w:val="es-CO"/>
        </w:rPr>
        <w:t xml:space="preserve">de 2015 </w:t>
      </w:r>
      <w:r w:rsidR="008E42F4" w:rsidRPr="00B33F13">
        <w:rPr>
          <w:szCs w:val="20"/>
          <w:lang w:val="es-CO"/>
        </w:rPr>
        <w:t xml:space="preserve">un </w:t>
      </w:r>
      <w:r w:rsidR="00470455" w:rsidRPr="00B33F13">
        <w:rPr>
          <w:szCs w:val="20"/>
          <w:lang w:val="es-CO"/>
        </w:rPr>
        <w:t>“Acuerdo Amistoso de Cumplimiento a las recomendaciones realizadas por la Comisión Interamericana de Derechos Humanos en el Informe de Fondo N° 43/14”</w:t>
      </w:r>
      <w:r w:rsidR="008E42F4" w:rsidRPr="00B33F13">
        <w:rPr>
          <w:szCs w:val="20"/>
          <w:lang w:val="es-CO"/>
        </w:rPr>
        <w:t>.</w:t>
      </w:r>
      <w:r w:rsidR="008E42F4" w:rsidRPr="00470455">
        <w:rPr>
          <w:szCs w:val="20"/>
          <w:lang w:val="es-CO"/>
        </w:rPr>
        <w:t xml:space="preserve"> </w:t>
      </w:r>
      <w:r w:rsidR="00470455" w:rsidRPr="00470455">
        <w:rPr>
          <w:szCs w:val="20"/>
          <w:lang w:val="es-CO"/>
        </w:rPr>
        <w:t>Sin embargo, si bien verificó avances importantes en cuanto a las indemnizaciones y hacia el cumplimiento de las medidas de satisfacción, no se registraron avances significativos en cuanto a las investigaciones penales</w:t>
      </w:r>
      <w:r w:rsidR="00470455" w:rsidRPr="00470455">
        <w:rPr>
          <w:szCs w:val="20"/>
          <w:lang w:val="es-AR"/>
        </w:rPr>
        <w:t>.</w:t>
      </w:r>
      <w:r w:rsidR="00B33F13">
        <w:rPr>
          <w:szCs w:val="20"/>
          <w:lang w:val="es-AR"/>
        </w:rPr>
        <w:t xml:space="preserve"> En virtud de ello la Comisión prosiguió con el trámite del caso.</w:t>
      </w:r>
    </w:p>
    <w:p w14:paraId="54822C6E" w14:textId="7E3E59D6" w:rsidR="00C12AF0" w:rsidRPr="0064010A" w:rsidRDefault="00375DA4" w:rsidP="00D179EF">
      <w:pPr>
        <w:pStyle w:val="ListParagraph"/>
        <w:numPr>
          <w:ilvl w:val="0"/>
          <w:numId w:val="2"/>
        </w:numPr>
        <w:spacing w:before="120" w:after="120"/>
        <w:ind w:left="0" w:right="-4" w:firstLine="0"/>
        <w:contextualSpacing w:val="0"/>
        <w:rPr>
          <w:szCs w:val="20"/>
        </w:rPr>
      </w:pPr>
      <w:r w:rsidRPr="0064010A">
        <w:rPr>
          <w:i/>
          <w:szCs w:val="20"/>
        </w:rPr>
        <w:t>Sometimiento a la Corte. –</w:t>
      </w:r>
      <w:r w:rsidR="00FC2B45" w:rsidRPr="0064010A">
        <w:rPr>
          <w:szCs w:val="20"/>
        </w:rPr>
        <w:t xml:space="preserve"> </w:t>
      </w:r>
      <w:r w:rsidR="008E42F4" w:rsidRPr="0064010A">
        <w:rPr>
          <w:szCs w:val="20"/>
          <w:lang w:val="es-ES"/>
        </w:rPr>
        <w:t xml:space="preserve">El 22 de septiembre de 2017 la Comisión sometió el caso a la Corte, respecto de la totalidad de los hechos y violaciones de derechos humanos descritos en el Informe de Fondo No. 43/14. Solicitó a la Corte que declarara la responsabilidad internacional del Estado por las violaciones señaladas en el Informe y estableciera las medidas de reparación, sin perjuicio de tomar en consideración las ya adoptadas por el Estado en el marco del acuerdo de cumplimiento de </w:t>
      </w:r>
      <w:r w:rsidR="00A05577">
        <w:rPr>
          <w:szCs w:val="20"/>
          <w:lang w:val="es-ES"/>
        </w:rPr>
        <w:t xml:space="preserve">solución amistosa </w:t>
      </w:r>
      <w:r w:rsidR="008E42F4" w:rsidRPr="0064010A">
        <w:rPr>
          <w:szCs w:val="20"/>
          <w:lang w:val="es-ES"/>
        </w:rPr>
        <w:t>referido anteriormente</w:t>
      </w:r>
      <w:r w:rsidR="00FC2B45" w:rsidRPr="0064010A">
        <w:rPr>
          <w:szCs w:val="20"/>
        </w:rPr>
        <w:t>.</w:t>
      </w:r>
      <w:r w:rsidRPr="0064010A">
        <w:rPr>
          <w:szCs w:val="20"/>
        </w:rPr>
        <w:t xml:space="preserve"> </w:t>
      </w:r>
    </w:p>
    <w:p w14:paraId="1AD997DA" w14:textId="77777777" w:rsidR="00473A82" w:rsidRPr="0064010A" w:rsidRDefault="00C6683F" w:rsidP="00057525">
      <w:pPr>
        <w:pStyle w:val="Heading1"/>
        <w:ind w:right="-4"/>
        <w:rPr>
          <w:lang w:val="es-ES_tradnl"/>
        </w:rPr>
      </w:pPr>
      <w:bookmarkStart w:id="8" w:name="_Toc359314415"/>
      <w:bookmarkStart w:id="9" w:name="_Toc361671572"/>
      <w:bookmarkStart w:id="10" w:name="_Toc361671992"/>
      <w:bookmarkStart w:id="11" w:name="_Toc361732789"/>
      <w:bookmarkStart w:id="12" w:name="_Toc361732832"/>
      <w:bookmarkStart w:id="13" w:name="_Toc362456863"/>
      <w:bookmarkStart w:id="14" w:name="_Toc365021392"/>
      <w:bookmarkStart w:id="15" w:name="_Toc369076778"/>
      <w:bookmarkStart w:id="16" w:name="_Toc369989362"/>
      <w:bookmarkStart w:id="17" w:name="_Toc369989449"/>
      <w:bookmarkStart w:id="18" w:name="_Toc369989730"/>
      <w:bookmarkStart w:id="19" w:name="_Toc438132270"/>
      <w:bookmarkStart w:id="20" w:name="_Toc311128156"/>
      <w:bookmarkStart w:id="21" w:name="_Toc311128353"/>
      <w:bookmarkStart w:id="22" w:name="_Toc486693352"/>
      <w:bookmarkStart w:id="23" w:name="_Toc486842768"/>
      <w:bookmarkStart w:id="24" w:name="_Toc486842906"/>
      <w:bookmarkStart w:id="25" w:name="_Toc525713966"/>
      <w:r w:rsidRPr="0064010A">
        <w:rPr>
          <w:lang w:val="es-ES_tradnl"/>
        </w:rPr>
        <w:t>II</w:t>
      </w:r>
      <w:r w:rsidRPr="0064010A">
        <w:rPr>
          <w:color w:val="FFFFFF" w:themeColor="background1"/>
          <w:lang w:val="es-ES_tradnl"/>
        </w:rPr>
        <w:t>.</w:t>
      </w:r>
      <w:r w:rsidRPr="0064010A">
        <w:rPr>
          <w:lang w:val="es-ES_tradnl"/>
        </w:rPr>
        <w:br/>
      </w:r>
      <w:r w:rsidR="00473A82" w:rsidRPr="0064010A">
        <w:rPr>
          <w:lang w:val="es-ES_tradnl"/>
        </w:rPr>
        <w:t>PROCEDIMIENTO ANTE LA CORTE</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14:paraId="3C5F5984" w14:textId="306C99DA" w:rsidR="00565BE2" w:rsidRPr="0064010A" w:rsidRDefault="007E480C" w:rsidP="00DD13DA">
      <w:pPr>
        <w:pStyle w:val="Estilo1"/>
        <w:numPr>
          <w:ilvl w:val="0"/>
          <w:numId w:val="2"/>
        </w:numPr>
        <w:tabs>
          <w:tab w:val="left" w:pos="0"/>
        </w:tabs>
        <w:spacing w:before="120"/>
        <w:ind w:left="0" w:right="-4" w:firstLine="0"/>
        <w:rPr>
          <w:szCs w:val="20"/>
        </w:rPr>
      </w:pPr>
      <w:r w:rsidRPr="0064010A">
        <w:rPr>
          <w:szCs w:val="20"/>
        </w:rPr>
        <w:t>Notificación al Estado y los representantes</w:t>
      </w:r>
      <w:r w:rsidRPr="0064010A">
        <w:rPr>
          <w:szCs w:val="20"/>
          <w:vertAlign w:val="superscript"/>
        </w:rPr>
        <w:footnoteReference w:id="7"/>
      </w:r>
      <w:r w:rsidRPr="0064010A">
        <w:rPr>
          <w:szCs w:val="20"/>
        </w:rPr>
        <w:t xml:space="preserve">.- </w:t>
      </w:r>
      <w:r w:rsidRPr="0064010A">
        <w:rPr>
          <w:i w:val="0"/>
          <w:szCs w:val="20"/>
        </w:rPr>
        <w:t xml:space="preserve">El caso fue notificado a Honduras y a los representantes de las presuntas víctimas el </w:t>
      </w:r>
      <w:r w:rsidR="003C3813">
        <w:rPr>
          <w:i w:val="0"/>
          <w:szCs w:val="20"/>
        </w:rPr>
        <w:t>4</w:t>
      </w:r>
      <w:r w:rsidR="003C3813" w:rsidRPr="0064010A">
        <w:rPr>
          <w:i w:val="0"/>
          <w:szCs w:val="20"/>
        </w:rPr>
        <w:t xml:space="preserve"> </w:t>
      </w:r>
      <w:r w:rsidRPr="0064010A">
        <w:rPr>
          <w:i w:val="0"/>
          <w:szCs w:val="20"/>
        </w:rPr>
        <w:t>de diciembre de 2017</w:t>
      </w:r>
      <w:r w:rsidR="007E7F4B" w:rsidRPr="0064010A">
        <w:rPr>
          <w:i w:val="0"/>
          <w:szCs w:val="20"/>
        </w:rPr>
        <w:t>.</w:t>
      </w:r>
      <w:r w:rsidR="00565BE2" w:rsidRPr="0064010A">
        <w:rPr>
          <w:i w:val="0"/>
          <w:szCs w:val="20"/>
          <w:lang w:eastAsia="es-ES"/>
        </w:rPr>
        <w:t xml:space="preserve"> </w:t>
      </w:r>
    </w:p>
    <w:p w14:paraId="4405F55F" w14:textId="12ABDE2E" w:rsidR="00565BE2" w:rsidRPr="0064010A" w:rsidRDefault="007E480C" w:rsidP="00DD13DA">
      <w:pPr>
        <w:pStyle w:val="Estilo1"/>
        <w:numPr>
          <w:ilvl w:val="0"/>
          <w:numId w:val="2"/>
        </w:numPr>
        <w:tabs>
          <w:tab w:val="left" w:pos="0"/>
        </w:tabs>
        <w:spacing w:before="120"/>
        <w:ind w:left="0" w:right="-4" w:firstLine="0"/>
        <w:rPr>
          <w:szCs w:val="20"/>
        </w:rPr>
      </w:pPr>
      <w:r w:rsidRPr="0064010A">
        <w:rPr>
          <w:szCs w:val="20"/>
          <w:lang w:val="es-ES"/>
        </w:rPr>
        <w:t xml:space="preserve">Escrito de solicitudes, argumentos y pruebas.- </w:t>
      </w:r>
      <w:r w:rsidRPr="0064010A">
        <w:rPr>
          <w:i w:val="0"/>
          <w:szCs w:val="20"/>
          <w:lang w:val="es-ES"/>
        </w:rPr>
        <w:t xml:space="preserve">El 6 de febrero de 2018 los representantes presentaron el escrito de solicitudes, argumentos y pruebas (en adelante </w:t>
      </w:r>
      <w:r w:rsidRPr="0064010A">
        <w:rPr>
          <w:i w:val="0"/>
          <w:szCs w:val="20"/>
          <w:lang w:val="es-ES"/>
        </w:rPr>
        <w:lastRenderedPageBreak/>
        <w:t>también “escrito de solicitudes y argumentos”). Dicho escrito coincidió con el marco fáctico expuesto por la Comisión y con las alegaciones efectuadas por esta respecto de la violación de los artículos 4</w:t>
      </w:r>
      <w:r w:rsidRPr="0064010A">
        <w:rPr>
          <w:i w:val="0"/>
          <w:szCs w:val="20"/>
          <w:lang w:val="es-CR"/>
        </w:rPr>
        <w:t xml:space="preserve">.1, </w:t>
      </w:r>
      <w:r w:rsidR="00112BE9">
        <w:rPr>
          <w:i w:val="0"/>
          <w:szCs w:val="20"/>
          <w:lang w:val="es-CR"/>
        </w:rPr>
        <w:t xml:space="preserve">5, </w:t>
      </w:r>
      <w:r w:rsidRPr="0064010A">
        <w:rPr>
          <w:i w:val="0"/>
          <w:szCs w:val="20"/>
          <w:lang w:val="es-CR"/>
        </w:rPr>
        <w:t>8 y 25 de la Convención, en relación con el artículo 1.1 del mismo instrumento internacional. Agregaron que el Estado también es responsable de la violación autónoma d</w:t>
      </w:r>
      <w:r w:rsidRPr="0064010A">
        <w:rPr>
          <w:i w:val="0"/>
          <w:szCs w:val="20"/>
          <w:lang w:val="es-ES"/>
        </w:rPr>
        <w:t xml:space="preserve">el derecho a defender derechos humanos, el cual se encontraría conformado en este caso por los artículos </w:t>
      </w:r>
      <w:r w:rsidR="00C35B9E" w:rsidRPr="0064010A">
        <w:rPr>
          <w:i w:val="0"/>
          <w:szCs w:val="20"/>
          <w:lang w:val="es-ES"/>
        </w:rPr>
        <w:t>13</w:t>
      </w:r>
      <w:r w:rsidR="00C35B9E">
        <w:rPr>
          <w:i w:val="0"/>
          <w:szCs w:val="20"/>
          <w:lang w:val="es-ES"/>
        </w:rPr>
        <w:t xml:space="preserve">, </w:t>
      </w:r>
      <w:r w:rsidRPr="0064010A">
        <w:rPr>
          <w:i w:val="0"/>
          <w:szCs w:val="20"/>
          <w:lang w:val="es-ES"/>
        </w:rPr>
        <w:t xml:space="preserve">16, y 23 </w:t>
      </w:r>
      <w:r w:rsidRPr="0064010A">
        <w:rPr>
          <w:i w:val="0"/>
          <w:szCs w:val="20"/>
          <w:lang w:val="es-CR"/>
        </w:rPr>
        <w:t>de la Convención</w:t>
      </w:r>
      <w:r w:rsidRPr="0064010A">
        <w:rPr>
          <w:i w:val="0"/>
          <w:szCs w:val="20"/>
          <w:lang w:val="es-ES"/>
        </w:rPr>
        <w:t>, en relación con el artículo 1.1 del mismo instrumento, en perjuicio de Carlos Escaleras Mejía</w:t>
      </w:r>
      <w:r w:rsidR="00C050BC" w:rsidRPr="0064010A">
        <w:rPr>
          <w:i w:val="0"/>
          <w:szCs w:val="20"/>
        </w:rPr>
        <w:t>.</w:t>
      </w:r>
    </w:p>
    <w:p w14:paraId="30EA3B64" w14:textId="62666ADE" w:rsidR="00C501EA" w:rsidRPr="001E2B43" w:rsidRDefault="00C501EA" w:rsidP="001E2B43">
      <w:pPr>
        <w:pStyle w:val="Estilo1"/>
        <w:numPr>
          <w:ilvl w:val="0"/>
          <w:numId w:val="2"/>
        </w:numPr>
        <w:tabs>
          <w:tab w:val="left" w:pos="0"/>
        </w:tabs>
        <w:spacing w:before="120"/>
        <w:ind w:left="0" w:right="-4" w:firstLine="0"/>
        <w:rPr>
          <w:i w:val="0"/>
          <w:szCs w:val="20"/>
        </w:rPr>
      </w:pPr>
      <w:r w:rsidRPr="00C501EA">
        <w:t>Acuerdo de Solución Amistosa.</w:t>
      </w:r>
      <w:r w:rsidRPr="00C5206B">
        <w:rPr>
          <w:i w:val="0"/>
        </w:rPr>
        <w:t>- El 4 de mayo de 2018, estando en curso el plazo conferido al Estado para presentar su escrito de contestación al sometimiento del caso y observaciones al escrito de solicitudes y argumentos, la Corte recibió de Honduras un documento de la misma fecha denominado “</w:t>
      </w:r>
      <w:r w:rsidR="00C5206B" w:rsidRPr="00C5206B">
        <w:rPr>
          <w:i w:val="0"/>
        </w:rPr>
        <w:t xml:space="preserve">Acuerdo </w:t>
      </w:r>
      <w:r w:rsidR="00D46956">
        <w:rPr>
          <w:i w:val="0"/>
        </w:rPr>
        <w:t>de solución a</w:t>
      </w:r>
      <w:r w:rsidR="00C5206B" w:rsidRPr="00C5206B">
        <w:rPr>
          <w:i w:val="0"/>
        </w:rPr>
        <w:t>mistos</w:t>
      </w:r>
      <w:r w:rsidR="00D46956">
        <w:rPr>
          <w:i w:val="0"/>
        </w:rPr>
        <w:t>a</w:t>
      </w:r>
      <w:r w:rsidR="00C5206B" w:rsidRPr="00C5206B">
        <w:rPr>
          <w:i w:val="0"/>
        </w:rPr>
        <w:t xml:space="preserve"> </w:t>
      </w:r>
      <w:r w:rsidR="00D46956">
        <w:rPr>
          <w:i w:val="0"/>
        </w:rPr>
        <w:t xml:space="preserve">y reconocimiento de la responsabilidad del Estado en el Caso </w:t>
      </w:r>
      <w:r w:rsidR="00C5206B" w:rsidRPr="001E2B43">
        <w:rPr>
          <w:i w:val="0"/>
        </w:rPr>
        <w:t xml:space="preserve">12.492. Carlos Escaleras </w:t>
      </w:r>
      <w:r w:rsidR="00112BE9" w:rsidRPr="001E2B43">
        <w:rPr>
          <w:i w:val="0"/>
        </w:rPr>
        <w:t>Mej</w:t>
      </w:r>
      <w:r w:rsidR="00112BE9">
        <w:rPr>
          <w:i w:val="0"/>
        </w:rPr>
        <w:t>í</w:t>
      </w:r>
      <w:r w:rsidR="00112BE9" w:rsidRPr="001E2B43">
        <w:rPr>
          <w:i w:val="0"/>
        </w:rPr>
        <w:t xml:space="preserve">a </w:t>
      </w:r>
      <w:r w:rsidR="00801ABD">
        <w:rPr>
          <w:i w:val="0"/>
        </w:rPr>
        <w:t>y</w:t>
      </w:r>
      <w:r w:rsidR="00C5206B" w:rsidRPr="001E2B43">
        <w:rPr>
          <w:i w:val="0"/>
        </w:rPr>
        <w:t xml:space="preserve"> Familia</w:t>
      </w:r>
      <w:r w:rsidRPr="001E2B43">
        <w:rPr>
          <w:i w:val="0"/>
        </w:rPr>
        <w:t xml:space="preserve">” (en adelante también el “Acuerdo de arreglo amistoso”, “Acuerdo de solución amistosa” o “el Acuerdo”), suscrito por </w:t>
      </w:r>
      <w:r w:rsidR="003C3813">
        <w:rPr>
          <w:i w:val="0"/>
        </w:rPr>
        <w:t>los</w:t>
      </w:r>
      <w:r w:rsidR="003C3813" w:rsidRPr="001E2B43">
        <w:rPr>
          <w:i w:val="0"/>
        </w:rPr>
        <w:t xml:space="preserve"> </w:t>
      </w:r>
      <w:r w:rsidRPr="001E2B43">
        <w:rPr>
          <w:i w:val="0"/>
        </w:rPr>
        <w:t>representante</w:t>
      </w:r>
      <w:r w:rsidR="0054256E">
        <w:rPr>
          <w:i w:val="0"/>
        </w:rPr>
        <w:t>s</w:t>
      </w:r>
      <w:r w:rsidRPr="001E2B43">
        <w:rPr>
          <w:i w:val="0"/>
        </w:rPr>
        <w:t xml:space="preserve"> y el Estado</w:t>
      </w:r>
      <w:r w:rsidRPr="00C501EA">
        <w:rPr>
          <w:rStyle w:val="FootnoteReference"/>
          <w:i w:val="0"/>
        </w:rPr>
        <w:footnoteReference w:id="8"/>
      </w:r>
      <w:r w:rsidRPr="00C5206B">
        <w:rPr>
          <w:i w:val="0"/>
        </w:rPr>
        <w:t>.</w:t>
      </w:r>
    </w:p>
    <w:p w14:paraId="7AD57981" w14:textId="01E17DE9" w:rsidR="00565BE2" w:rsidRPr="0064010A" w:rsidRDefault="007E480C" w:rsidP="001D44C6">
      <w:pPr>
        <w:pStyle w:val="Estilo1"/>
        <w:numPr>
          <w:ilvl w:val="0"/>
          <w:numId w:val="2"/>
        </w:numPr>
        <w:tabs>
          <w:tab w:val="left" w:pos="0"/>
        </w:tabs>
        <w:spacing w:before="120"/>
        <w:ind w:left="0" w:right="-4" w:firstLine="0"/>
        <w:rPr>
          <w:szCs w:val="20"/>
        </w:rPr>
      </w:pPr>
      <w:r w:rsidRPr="0064010A">
        <w:rPr>
          <w:szCs w:val="20"/>
          <w:lang w:val="es-ES"/>
        </w:rPr>
        <w:t xml:space="preserve">Escrito de contestación.- </w:t>
      </w:r>
      <w:r w:rsidRPr="0064010A">
        <w:rPr>
          <w:i w:val="0"/>
          <w:szCs w:val="20"/>
          <w:lang w:val="es-ES"/>
        </w:rPr>
        <w:t xml:space="preserve">El 4 de mayo de 2018 el Estado de Honduras presentó su escrito de contestación al sometimiento del caso, así como de observaciones al escrito de solicitudes, argumentos y pruebas </w:t>
      </w:r>
      <w:r w:rsidR="00C501EA">
        <w:rPr>
          <w:i w:val="0"/>
          <w:szCs w:val="20"/>
          <w:lang w:val="es-ES"/>
        </w:rPr>
        <w:t>remitido</w:t>
      </w:r>
      <w:r w:rsidR="00C501EA" w:rsidRPr="0064010A">
        <w:rPr>
          <w:i w:val="0"/>
          <w:szCs w:val="20"/>
          <w:lang w:val="es-ES"/>
        </w:rPr>
        <w:t xml:space="preserve"> </w:t>
      </w:r>
      <w:r w:rsidRPr="0064010A">
        <w:rPr>
          <w:i w:val="0"/>
          <w:szCs w:val="20"/>
          <w:lang w:val="es-ES"/>
        </w:rPr>
        <w:t xml:space="preserve">por los representantes de las presuntas víctimas, en el que expuso sus consideraciones y fundamentos relacionados con las supuestas violaciones </w:t>
      </w:r>
      <w:r w:rsidR="004A39B9">
        <w:rPr>
          <w:i w:val="0"/>
          <w:szCs w:val="20"/>
          <w:lang w:val="es-ES"/>
        </w:rPr>
        <w:t>alegadas</w:t>
      </w:r>
      <w:r w:rsidR="004A39B9" w:rsidRPr="0064010A">
        <w:rPr>
          <w:i w:val="0"/>
          <w:szCs w:val="20"/>
          <w:lang w:val="es-ES"/>
        </w:rPr>
        <w:t xml:space="preserve"> </w:t>
      </w:r>
      <w:r w:rsidRPr="0064010A">
        <w:rPr>
          <w:i w:val="0"/>
          <w:szCs w:val="20"/>
          <w:lang w:val="es-ES"/>
        </w:rPr>
        <w:t xml:space="preserve">por la Comisión. En el mismo escrito, acompañó </w:t>
      </w:r>
      <w:r w:rsidR="00C501EA">
        <w:rPr>
          <w:i w:val="0"/>
          <w:szCs w:val="20"/>
          <w:lang w:val="es-ES"/>
        </w:rPr>
        <w:t>el</w:t>
      </w:r>
      <w:r w:rsidR="00C501EA" w:rsidRPr="0064010A">
        <w:rPr>
          <w:i w:val="0"/>
          <w:szCs w:val="20"/>
          <w:lang w:val="es-ES"/>
        </w:rPr>
        <w:t xml:space="preserve"> </w:t>
      </w:r>
      <w:r w:rsidRPr="0064010A">
        <w:rPr>
          <w:i w:val="0"/>
          <w:szCs w:val="20"/>
          <w:lang w:val="es-ES"/>
        </w:rPr>
        <w:t>acuerdo de solución amistosa de fecha 4 de mayo de 2018</w:t>
      </w:r>
      <w:r w:rsidR="00C501EA">
        <w:rPr>
          <w:i w:val="0"/>
          <w:szCs w:val="20"/>
          <w:lang w:val="es-ES"/>
        </w:rPr>
        <w:t xml:space="preserve"> (</w:t>
      </w:r>
      <w:r w:rsidR="00C501EA" w:rsidRPr="00C501EA">
        <w:rPr>
          <w:szCs w:val="20"/>
          <w:lang w:val="es-ES"/>
        </w:rPr>
        <w:t>supra</w:t>
      </w:r>
      <w:r w:rsidR="00C501EA">
        <w:rPr>
          <w:i w:val="0"/>
          <w:szCs w:val="20"/>
          <w:lang w:val="es-ES"/>
        </w:rPr>
        <w:t xml:space="preserve"> párr. </w:t>
      </w:r>
      <w:r w:rsidR="00C35B9E">
        <w:rPr>
          <w:i w:val="0"/>
          <w:szCs w:val="20"/>
          <w:lang w:val="es-ES"/>
        </w:rPr>
        <w:t>6)</w:t>
      </w:r>
      <w:r w:rsidR="00C35B9E" w:rsidRPr="0064010A">
        <w:rPr>
          <w:i w:val="0"/>
          <w:szCs w:val="20"/>
          <w:lang w:val="es-ES"/>
        </w:rPr>
        <w:t xml:space="preserve"> </w:t>
      </w:r>
      <w:r w:rsidRPr="0064010A">
        <w:rPr>
          <w:i w:val="0"/>
          <w:szCs w:val="20"/>
          <w:lang w:val="es-ES"/>
        </w:rPr>
        <w:t>y solicitó su homologación</w:t>
      </w:r>
      <w:r w:rsidR="003565C2" w:rsidRPr="0064010A">
        <w:rPr>
          <w:i w:val="0"/>
          <w:szCs w:val="20"/>
          <w:lang w:val="es-ES"/>
        </w:rPr>
        <w:t>.</w:t>
      </w:r>
      <w:r w:rsidR="00565BE2" w:rsidRPr="0064010A">
        <w:rPr>
          <w:i w:val="0"/>
          <w:szCs w:val="20"/>
          <w:lang w:val="es-ES"/>
        </w:rPr>
        <w:t xml:space="preserve"> </w:t>
      </w:r>
      <w:r w:rsidR="001D44C6" w:rsidRPr="0064010A">
        <w:rPr>
          <w:i w:val="0"/>
          <w:szCs w:val="20"/>
          <w:lang w:val="es-ES"/>
        </w:rPr>
        <w:t xml:space="preserve">El Estado aclaró en un escrito presentado </w:t>
      </w:r>
      <w:r w:rsidR="009E4B2F" w:rsidRPr="0064010A">
        <w:rPr>
          <w:i w:val="0"/>
          <w:szCs w:val="20"/>
          <w:lang w:val="es-ES"/>
        </w:rPr>
        <w:t xml:space="preserve">el </w:t>
      </w:r>
      <w:r w:rsidR="00FE4F37" w:rsidRPr="0064010A">
        <w:rPr>
          <w:i w:val="0"/>
          <w:szCs w:val="20"/>
          <w:lang w:val="es-ES"/>
        </w:rPr>
        <w:t>29</w:t>
      </w:r>
      <w:r w:rsidR="009E4B2F" w:rsidRPr="0064010A">
        <w:rPr>
          <w:i w:val="0"/>
          <w:szCs w:val="20"/>
          <w:lang w:val="es-ES"/>
        </w:rPr>
        <w:t xml:space="preserve"> de </w:t>
      </w:r>
      <w:r w:rsidR="00FE4F37" w:rsidRPr="0064010A">
        <w:rPr>
          <w:i w:val="0"/>
          <w:szCs w:val="20"/>
          <w:lang w:val="es-ES"/>
        </w:rPr>
        <w:t>mayo</w:t>
      </w:r>
      <w:r w:rsidR="009E4B2F" w:rsidRPr="0064010A">
        <w:rPr>
          <w:i w:val="0"/>
          <w:szCs w:val="20"/>
          <w:lang w:val="es-ES"/>
        </w:rPr>
        <w:t xml:space="preserve"> de </w:t>
      </w:r>
      <w:r w:rsidR="00FE4F37" w:rsidRPr="0064010A">
        <w:rPr>
          <w:i w:val="0"/>
          <w:szCs w:val="20"/>
          <w:lang w:val="es-ES"/>
        </w:rPr>
        <w:t>2018</w:t>
      </w:r>
      <w:r w:rsidR="001D44C6" w:rsidRPr="0064010A">
        <w:rPr>
          <w:i w:val="0"/>
          <w:szCs w:val="20"/>
          <w:lang w:val="es-ES"/>
        </w:rPr>
        <w:t xml:space="preserve"> que</w:t>
      </w:r>
      <w:r w:rsidR="001D44C6" w:rsidRPr="0064010A">
        <w:rPr>
          <w:i w:val="0"/>
          <w:szCs w:val="20"/>
        </w:rPr>
        <w:t xml:space="preserve"> “cualquier contradicción que se refleje del contenido del </w:t>
      </w:r>
      <w:r w:rsidR="001D44C6" w:rsidRPr="0064010A">
        <w:rPr>
          <w:i w:val="0"/>
          <w:szCs w:val="20"/>
          <w:lang w:eastAsia="es-ES"/>
        </w:rPr>
        <w:t>Acuerdo</w:t>
      </w:r>
      <w:r w:rsidR="001D44C6" w:rsidRPr="0064010A">
        <w:rPr>
          <w:i w:val="0"/>
          <w:szCs w:val="20"/>
        </w:rPr>
        <w:t xml:space="preserve"> de Solución Amistosa </w:t>
      </w:r>
      <w:r w:rsidR="001D44C6" w:rsidRPr="0064010A">
        <w:rPr>
          <w:i w:val="0"/>
          <w:szCs w:val="20"/>
          <w:lang w:val="es-ES"/>
        </w:rPr>
        <w:t>suscrito</w:t>
      </w:r>
      <w:r w:rsidR="001D44C6" w:rsidRPr="0064010A">
        <w:rPr>
          <w:i w:val="0"/>
          <w:szCs w:val="20"/>
        </w:rPr>
        <w:t xml:space="preserve"> el día 4 de mayo de 2018 y las alegaciones que fueron incluidas en el escrito de contestación, debe prevalecer el contenido del Acuerdo de Solución Amistosa”. </w:t>
      </w:r>
    </w:p>
    <w:p w14:paraId="2CCFEF47" w14:textId="2597A851" w:rsidR="00D371D1" w:rsidRPr="0064010A" w:rsidRDefault="001D44C6" w:rsidP="00A6348C">
      <w:pPr>
        <w:pStyle w:val="Estilo1"/>
        <w:numPr>
          <w:ilvl w:val="0"/>
          <w:numId w:val="2"/>
        </w:numPr>
        <w:tabs>
          <w:tab w:val="left" w:pos="0"/>
        </w:tabs>
        <w:spacing w:before="120"/>
        <w:ind w:left="0" w:right="-4" w:firstLine="0"/>
        <w:rPr>
          <w:i w:val="0"/>
          <w:szCs w:val="20"/>
          <w:lang w:val="es-ES"/>
        </w:rPr>
      </w:pPr>
      <w:r w:rsidRPr="0064010A">
        <w:rPr>
          <w:szCs w:val="20"/>
          <w:lang w:eastAsia="es-ES"/>
        </w:rPr>
        <w:t>Observaciones de la Comisión y de los representantes</w:t>
      </w:r>
      <w:r w:rsidRPr="0064010A">
        <w:rPr>
          <w:i w:val="0"/>
          <w:szCs w:val="20"/>
          <w:lang w:eastAsia="es-ES"/>
        </w:rPr>
        <w:t xml:space="preserve">.- </w:t>
      </w:r>
      <w:r w:rsidR="00165D30" w:rsidRPr="0064010A">
        <w:rPr>
          <w:i w:val="0"/>
          <w:szCs w:val="20"/>
          <w:lang w:eastAsia="es-ES"/>
        </w:rPr>
        <w:t xml:space="preserve">Frente a la solicitud de homologación realizada por el Estado del </w:t>
      </w:r>
      <w:r w:rsidR="00165D30" w:rsidRPr="0064010A">
        <w:rPr>
          <w:i w:val="0"/>
          <w:szCs w:val="20"/>
          <w:lang w:val="es-ES"/>
        </w:rPr>
        <w:t xml:space="preserve">acuerdo de solución amistosa, los representantes </w:t>
      </w:r>
      <w:r w:rsidR="009E4B2F" w:rsidRPr="0064010A">
        <w:rPr>
          <w:i w:val="0"/>
          <w:szCs w:val="20"/>
          <w:lang w:val="es-ES"/>
        </w:rPr>
        <w:t>y la</w:t>
      </w:r>
      <w:r w:rsidR="00165D30" w:rsidRPr="0064010A">
        <w:rPr>
          <w:i w:val="0"/>
          <w:szCs w:val="20"/>
          <w:lang w:val="es-ES"/>
        </w:rPr>
        <w:t xml:space="preserve"> Comisión </w:t>
      </w:r>
      <w:r w:rsidR="009E4B2F" w:rsidRPr="0064010A">
        <w:rPr>
          <w:i w:val="0"/>
          <w:szCs w:val="20"/>
          <w:lang w:val="es-ES"/>
        </w:rPr>
        <w:t xml:space="preserve">presentaron sus observaciones respectivas </w:t>
      </w:r>
      <w:r w:rsidR="00FE4F37" w:rsidRPr="0064010A">
        <w:rPr>
          <w:i w:val="0"/>
          <w:szCs w:val="20"/>
          <w:lang w:eastAsia="es-ES"/>
        </w:rPr>
        <w:t xml:space="preserve">el 8 </w:t>
      </w:r>
      <w:r w:rsidR="009E4B2F" w:rsidRPr="0064010A">
        <w:rPr>
          <w:i w:val="0"/>
          <w:szCs w:val="20"/>
          <w:lang w:eastAsia="es-ES"/>
        </w:rPr>
        <w:t xml:space="preserve">de </w:t>
      </w:r>
      <w:r w:rsidR="00FE4F37" w:rsidRPr="0064010A">
        <w:rPr>
          <w:i w:val="0"/>
          <w:szCs w:val="20"/>
          <w:lang w:eastAsia="es-ES"/>
        </w:rPr>
        <w:t>junio de 2018</w:t>
      </w:r>
      <w:r w:rsidR="009E4B2F" w:rsidRPr="0064010A">
        <w:rPr>
          <w:i w:val="0"/>
          <w:szCs w:val="20"/>
          <w:lang w:eastAsia="es-ES"/>
        </w:rPr>
        <w:t>.</w:t>
      </w:r>
    </w:p>
    <w:p w14:paraId="0AC73AA6" w14:textId="4E2B7694" w:rsidR="006764EB" w:rsidRPr="00B973B3" w:rsidRDefault="004A39B9" w:rsidP="00D1505B">
      <w:pPr>
        <w:pStyle w:val="Estilo1"/>
        <w:numPr>
          <w:ilvl w:val="0"/>
          <w:numId w:val="2"/>
        </w:numPr>
        <w:tabs>
          <w:tab w:val="left" w:pos="0"/>
        </w:tabs>
        <w:spacing w:before="120"/>
        <w:ind w:left="0" w:right="-4" w:firstLine="0"/>
        <w:rPr>
          <w:i w:val="0"/>
          <w:szCs w:val="20"/>
          <w:lang w:eastAsia="es-ES"/>
        </w:rPr>
      </w:pPr>
      <w:r w:rsidRPr="00B973B3">
        <w:rPr>
          <w:szCs w:val="20"/>
          <w:lang w:eastAsia="es-ES"/>
        </w:rPr>
        <w:t>Amic</w:t>
      </w:r>
      <w:r>
        <w:rPr>
          <w:szCs w:val="20"/>
          <w:lang w:eastAsia="es-ES"/>
        </w:rPr>
        <w:t>i</w:t>
      </w:r>
      <w:r w:rsidRPr="00B973B3">
        <w:rPr>
          <w:szCs w:val="20"/>
          <w:lang w:eastAsia="es-ES"/>
        </w:rPr>
        <w:t xml:space="preserve"> </w:t>
      </w:r>
      <w:r w:rsidR="006764EB" w:rsidRPr="00B973B3">
        <w:rPr>
          <w:szCs w:val="20"/>
          <w:lang w:eastAsia="es-ES"/>
        </w:rPr>
        <w:t>cur</w:t>
      </w:r>
      <w:r>
        <w:rPr>
          <w:szCs w:val="20"/>
          <w:lang w:eastAsia="es-ES"/>
        </w:rPr>
        <w:t>i</w:t>
      </w:r>
      <w:r w:rsidR="006764EB" w:rsidRPr="00B973B3">
        <w:rPr>
          <w:szCs w:val="20"/>
          <w:lang w:eastAsia="es-ES"/>
        </w:rPr>
        <w:t xml:space="preserve">ae.- </w:t>
      </w:r>
      <w:r w:rsidR="003565C2" w:rsidRPr="00B973B3">
        <w:rPr>
          <w:i w:val="0"/>
          <w:szCs w:val="20"/>
          <w:lang w:eastAsia="es-ES"/>
        </w:rPr>
        <w:t xml:space="preserve">El Tribunal recibió </w:t>
      </w:r>
      <w:r w:rsidR="002245EB" w:rsidRPr="00B973B3">
        <w:rPr>
          <w:i w:val="0"/>
          <w:szCs w:val="20"/>
          <w:lang w:eastAsia="es-ES"/>
        </w:rPr>
        <w:t xml:space="preserve">cuatro escritos de </w:t>
      </w:r>
      <w:r w:rsidR="00112BE9" w:rsidRPr="00B973B3">
        <w:rPr>
          <w:szCs w:val="20"/>
          <w:lang w:eastAsia="es-ES"/>
        </w:rPr>
        <w:t>amic</w:t>
      </w:r>
      <w:r w:rsidR="00112BE9">
        <w:rPr>
          <w:szCs w:val="20"/>
          <w:lang w:eastAsia="es-ES"/>
        </w:rPr>
        <w:t>us</w:t>
      </w:r>
      <w:r w:rsidR="00112BE9" w:rsidRPr="00B973B3">
        <w:rPr>
          <w:szCs w:val="20"/>
          <w:lang w:eastAsia="es-ES"/>
        </w:rPr>
        <w:t xml:space="preserve"> </w:t>
      </w:r>
      <w:r w:rsidR="002245EB" w:rsidRPr="00B973B3">
        <w:rPr>
          <w:szCs w:val="20"/>
          <w:lang w:eastAsia="es-ES"/>
        </w:rPr>
        <w:t>cur</w:t>
      </w:r>
      <w:r w:rsidR="00112BE9">
        <w:rPr>
          <w:szCs w:val="20"/>
          <w:lang w:eastAsia="es-ES"/>
        </w:rPr>
        <w:t>i</w:t>
      </w:r>
      <w:r w:rsidR="002245EB" w:rsidRPr="00B973B3">
        <w:rPr>
          <w:szCs w:val="20"/>
          <w:lang w:eastAsia="es-ES"/>
        </w:rPr>
        <w:t>ae</w:t>
      </w:r>
      <w:r w:rsidR="003565C2" w:rsidRPr="00B973B3">
        <w:rPr>
          <w:i w:val="0"/>
          <w:szCs w:val="20"/>
          <w:lang w:eastAsia="es-ES"/>
        </w:rPr>
        <w:t xml:space="preserve"> </w:t>
      </w:r>
      <w:r w:rsidR="003565C2" w:rsidRPr="00B973B3">
        <w:rPr>
          <w:i w:val="0"/>
          <w:szCs w:val="20"/>
          <w:lang w:val="es-CR"/>
        </w:rPr>
        <w:t>presentado</w:t>
      </w:r>
      <w:r w:rsidR="002245EB" w:rsidRPr="00B973B3">
        <w:rPr>
          <w:i w:val="0"/>
          <w:szCs w:val="20"/>
          <w:lang w:val="es-CR"/>
        </w:rPr>
        <w:t>s</w:t>
      </w:r>
      <w:r w:rsidR="003565C2" w:rsidRPr="00B973B3">
        <w:rPr>
          <w:i w:val="0"/>
          <w:szCs w:val="20"/>
          <w:lang w:val="es-CR"/>
        </w:rPr>
        <w:t xml:space="preserve"> por</w:t>
      </w:r>
      <w:r w:rsidR="002245EB" w:rsidRPr="00B973B3">
        <w:rPr>
          <w:i w:val="0"/>
          <w:szCs w:val="20"/>
          <w:lang w:val="es-CR"/>
        </w:rPr>
        <w:t>: 1)</w:t>
      </w:r>
      <w:r w:rsidR="00F077AB" w:rsidRPr="00B973B3">
        <w:rPr>
          <w:i w:val="0"/>
          <w:szCs w:val="20"/>
          <w:lang w:val="es-CR"/>
        </w:rPr>
        <w:t xml:space="preserve"> Ivonei Souza Trindade</w:t>
      </w:r>
      <w:r w:rsidR="002245EB" w:rsidRPr="00B973B3">
        <w:rPr>
          <w:rStyle w:val="FootnoteReference"/>
          <w:i w:val="0"/>
          <w:lang w:val="es-CR"/>
        </w:rPr>
        <w:footnoteReference w:id="9"/>
      </w:r>
      <w:r w:rsidR="00F077AB" w:rsidRPr="00B973B3">
        <w:rPr>
          <w:i w:val="0"/>
          <w:szCs w:val="20"/>
          <w:lang w:eastAsia="es-ES"/>
        </w:rPr>
        <w:t xml:space="preserve"> sobre el concepto de defensor de derechos </w:t>
      </w:r>
      <w:r w:rsidR="00622F45" w:rsidRPr="00B973B3">
        <w:rPr>
          <w:i w:val="0"/>
          <w:szCs w:val="20"/>
          <w:lang w:eastAsia="es-ES"/>
        </w:rPr>
        <w:t>humanos</w:t>
      </w:r>
      <w:r w:rsidR="00F077AB" w:rsidRPr="00B973B3">
        <w:rPr>
          <w:i w:val="0"/>
          <w:szCs w:val="20"/>
          <w:lang w:eastAsia="es-ES"/>
        </w:rPr>
        <w:t xml:space="preserve">, la obligación de protección a los defensores de </w:t>
      </w:r>
      <w:r w:rsidR="00C334AF" w:rsidRPr="00B973B3">
        <w:rPr>
          <w:i w:val="0"/>
          <w:szCs w:val="20"/>
          <w:lang w:eastAsia="es-ES"/>
        </w:rPr>
        <w:t>derechos</w:t>
      </w:r>
      <w:r w:rsidR="00F077AB" w:rsidRPr="00B973B3">
        <w:rPr>
          <w:i w:val="0"/>
          <w:szCs w:val="20"/>
          <w:lang w:eastAsia="es-ES"/>
        </w:rPr>
        <w:t xml:space="preserve"> humanos,</w:t>
      </w:r>
      <w:r w:rsidR="00F56B2B" w:rsidRPr="00B973B3">
        <w:rPr>
          <w:i w:val="0"/>
          <w:szCs w:val="20"/>
          <w:lang w:eastAsia="es-ES"/>
        </w:rPr>
        <w:t xml:space="preserve"> y</w:t>
      </w:r>
      <w:r w:rsidR="00F077AB" w:rsidRPr="00B973B3">
        <w:rPr>
          <w:i w:val="0"/>
          <w:szCs w:val="20"/>
          <w:lang w:eastAsia="es-ES"/>
        </w:rPr>
        <w:t xml:space="preserve"> la obligación de evitar la impunidad en casos de amenazas </w:t>
      </w:r>
      <w:r w:rsidR="00F56B2B" w:rsidRPr="00B973B3">
        <w:rPr>
          <w:i w:val="0"/>
          <w:szCs w:val="20"/>
          <w:lang w:eastAsia="es-ES"/>
        </w:rPr>
        <w:t xml:space="preserve">y </w:t>
      </w:r>
      <w:r w:rsidR="00206D5D" w:rsidRPr="00B973B3">
        <w:rPr>
          <w:i w:val="0"/>
          <w:szCs w:val="20"/>
          <w:lang w:val="es-CR"/>
        </w:rPr>
        <w:t>homicidios</w:t>
      </w:r>
      <w:r w:rsidR="00206D5D" w:rsidRPr="00B973B3">
        <w:rPr>
          <w:i w:val="0"/>
          <w:szCs w:val="20"/>
          <w:lang w:eastAsia="es-ES"/>
        </w:rPr>
        <w:t xml:space="preserve"> </w:t>
      </w:r>
      <w:r w:rsidR="00F56B2B" w:rsidRPr="00B973B3">
        <w:rPr>
          <w:i w:val="0"/>
          <w:szCs w:val="20"/>
          <w:lang w:eastAsia="es-ES"/>
        </w:rPr>
        <w:t>de defensores de derechos humanos</w:t>
      </w:r>
      <w:r w:rsidR="002245EB" w:rsidRPr="00B973B3">
        <w:rPr>
          <w:i w:val="0"/>
          <w:szCs w:val="20"/>
          <w:lang w:eastAsia="es-ES"/>
        </w:rPr>
        <w:t>; 2) Michel Forst</w:t>
      </w:r>
      <w:r w:rsidR="00C334AF" w:rsidRPr="00B973B3">
        <w:rPr>
          <w:rStyle w:val="FootnoteReference"/>
          <w:i w:val="0"/>
          <w:lang w:eastAsia="es-ES"/>
        </w:rPr>
        <w:footnoteReference w:id="10"/>
      </w:r>
      <w:r>
        <w:rPr>
          <w:i w:val="0"/>
          <w:szCs w:val="20"/>
          <w:lang w:eastAsia="es-ES"/>
        </w:rPr>
        <w:t>,</w:t>
      </w:r>
      <w:r w:rsidR="002245EB" w:rsidRPr="00B973B3">
        <w:rPr>
          <w:i w:val="0"/>
          <w:szCs w:val="20"/>
          <w:lang w:eastAsia="es-ES"/>
        </w:rPr>
        <w:t xml:space="preserve"> </w:t>
      </w:r>
      <w:r>
        <w:rPr>
          <w:i w:val="0"/>
          <w:szCs w:val="20"/>
          <w:lang w:eastAsia="es-ES"/>
        </w:rPr>
        <w:t>r</w:t>
      </w:r>
      <w:r w:rsidRPr="00B973B3">
        <w:rPr>
          <w:i w:val="0"/>
          <w:szCs w:val="20"/>
          <w:lang w:eastAsia="es-ES"/>
        </w:rPr>
        <w:t xml:space="preserve">eiterando </w:t>
      </w:r>
      <w:r w:rsidR="00C334AF" w:rsidRPr="00B973B3">
        <w:rPr>
          <w:i w:val="0"/>
          <w:szCs w:val="20"/>
          <w:lang w:eastAsia="es-ES"/>
        </w:rPr>
        <w:t>los estándares contenidos en la Declaración sobre el derecho y el deber de los individuos, los grupos y las instituciones de promover y proteger los derechos humanos y las libertades fundamentales universalmente reconocidos, así como los informes elaborados por la relatoría a su cargo en relación con la protección a los defensores de derechos humanos</w:t>
      </w:r>
      <w:r w:rsidR="00622F45" w:rsidRPr="00B973B3">
        <w:rPr>
          <w:i w:val="0"/>
          <w:szCs w:val="20"/>
          <w:lang w:eastAsia="es-ES"/>
        </w:rPr>
        <w:t>; 3) Ben Leather</w:t>
      </w:r>
      <w:r w:rsidR="00622F45" w:rsidRPr="00B973B3">
        <w:rPr>
          <w:rStyle w:val="FootnoteReference"/>
          <w:i w:val="0"/>
          <w:lang w:eastAsia="es-ES"/>
        </w:rPr>
        <w:footnoteReference w:id="11"/>
      </w:r>
      <w:r w:rsidR="00622F45" w:rsidRPr="00B973B3">
        <w:rPr>
          <w:i w:val="0"/>
          <w:szCs w:val="20"/>
          <w:lang w:eastAsia="es-ES"/>
        </w:rPr>
        <w:t xml:space="preserve"> sobre la situación y contexto de los defensores del territorio y el medio ambiente en América Latina y Honduras, el derecho de defender los derechos humanos, y los desarrollos del sistema universal e interamericano de derechos humanos, y 4) </w:t>
      </w:r>
      <w:r>
        <w:rPr>
          <w:i w:val="0"/>
          <w:szCs w:val="20"/>
          <w:lang w:eastAsia="es-ES"/>
        </w:rPr>
        <w:t>l</w:t>
      </w:r>
      <w:r w:rsidRPr="00B973B3">
        <w:rPr>
          <w:i w:val="0"/>
          <w:szCs w:val="20"/>
          <w:lang w:eastAsia="es-ES"/>
        </w:rPr>
        <w:t xml:space="preserve">a </w:t>
      </w:r>
      <w:r w:rsidR="00622F45" w:rsidRPr="00B973B3">
        <w:rPr>
          <w:i w:val="0"/>
          <w:szCs w:val="20"/>
          <w:lang w:eastAsia="es-ES"/>
        </w:rPr>
        <w:t>Clínica de Derechos Humanos de la Universidad de Santa Clara</w:t>
      </w:r>
      <w:r w:rsidR="00622F45" w:rsidRPr="00B973B3">
        <w:rPr>
          <w:rStyle w:val="FootnoteReference"/>
          <w:i w:val="0"/>
          <w:lang w:eastAsia="es-ES"/>
        </w:rPr>
        <w:footnoteReference w:id="12"/>
      </w:r>
      <w:r w:rsidR="00165717" w:rsidRPr="00B973B3">
        <w:rPr>
          <w:i w:val="0"/>
          <w:szCs w:val="20"/>
          <w:lang w:eastAsia="es-ES"/>
        </w:rPr>
        <w:t xml:space="preserve"> sobre el </w:t>
      </w:r>
      <w:r w:rsidR="00165717" w:rsidRPr="00B973B3">
        <w:rPr>
          <w:i w:val="0"/>
          <w:szCs w:val="20"/>
          <w:lang w:eastAsia="es-ES"/>
        </w:rPr>
        <w:lastRenderedPageBreak/>
        <w:t>reconocimiento del derecho a defender los derechos humanos en el derecho internacional, al contenido de ese derecho, en particular a la luz de la jurisprudencia de la Corte Interamericana, y sobre</w:t>
      </w:r>
      <w:r w:rsidR="00165717" w:rsidRPr="00B973B3">
        <w:t xml:space="preserve"> </w:t>
      </w:r>
      <w:r w:rsidR="00165717" w:rsidRPr="00B973B3">
        <w:rPr>
          <w:i w:val="0"/>
          <w:szCs w:val="20"/>
          <w:lang w:eastAsia="es-ES"/>
        </w:rPr>
        <w:t>el alcance de la obligación que tiene toda empresa de respetar el derecho a defender los derechos humanos, así como de remediar los impactos negativos que causen sus actividades en el goce de ese derecho.</w:t>
      </w:r>
    </w:p>
    <w:p w14:paraId="68046BC2" w14:textId="26312152" w:rsidR="00903B40" w:rsidRPr="0064010A" w:rsidRDefault="00903B40" w:rsidP="00565BE2">
      <w:pPr>
        <w:pStyle w:val="Estilo1"/>
        <w:numPr>
          <w:ilvl w:val="0"/>
          <w:numId w:val="2"/>
        </w:numPr>
        <w:tabs>
          <w:tab w:val="left" w:pos="0"/>
        </w:tabs>
        <w:spacing w:before="120"/>
        <w:ind w:left="0" w:right="-4" w:firstLine="0"/>
        <w:rPr>
          <w:rFonts w:cs="Verdana"/>
          <w:i w:val="0"/>
          <w:szCs w:val="20"/>
          <w:lang w:eastAsia="es-ES"/>
        </w:rPr>
      </w:pPr>
      <w:r w:rsidRPr="0064010A">
        <w:rPr>
          <w:szCs w:val="20"/>
          <w:lang w:eastAsia="es-CR"/>
        </w:rPr>
        <w:t xml:space="preserve">Deliberación del </w:t>
      </w:r>
      <w:r w:rsidRPr="0064010A">
        <w:rPr>
          <w:rFonts w:cs="Verdana"/>
          <w:szCs w:val="20"/>
          <w:lang w:eastAsia="es-ES"/>
        </w:rPr>
        <w:t>presente</w:t>
      </w:r>
      <w:r w:rsidRPr="0064010A">
        <w:rPr>
          <w:szCs w:val="20"/>
          <w:lang w:eastAsia="es-CR"/>
        </w:rPr>
        <w:t xml:space="preserve"> caso. - </w:t>
      </w:r>
      <w:r w:rsidR="003565C2" w:rsidRPr="0064010A">
        <w:rPr>
          <w:i w:val="0"/>
          <w:lang w:eastAsia="es-CR"/>
        </w:rPr>
        <w:t xml:space="preserve">La Corte inició la deliberación de la presente Sentencia el </w:t>
      </w:r>
      <w:r w:rsidR="00117EAB">
        <w:rPr>
          <w:i w:val="0"/>
          <w:lang w:eastAsia="es-CR"/>
        </w:rPr>
        <w:t>25</w:t>
      </w:r>
      <w:r w:rsidR="006412D2" w:rsidRPr="0064010A">
        <w:rPr>
          <w:i w:val="0"/>
          <w:lang w:eastAsia="es-CR"/>
        </w:rPr>
        <w:t xml:space="preserve"> </w:t>
      </w:r>
      <w:r w:rsidR="003565C2" w:rsidRPr="0064010A">
        <w:rPr>
          <w:i w:val="0"/>
          <w:lang w:eastAsia="es-CR"/>
        </w:rPr>
        <w:t xml:space="preserve">de </w:t>
      </w:r>
      <w:r w:rsidR="007E480C" w:rsidRPr="0064010A">
        <w:rPr>
          <w:i w:val="0"/>
          <w:lang w:eastAsia="es-CR"/>
        </w:rPr>
        <w:t>septiembre</w:t>
      </w:r>
      <w:r w:rsidR="003565C2" w:rsidRPr="0064010A">
        <w:rPr>
          <w:i w:val="0"/>
          <w:lang w:eastAsia="es-CR"/>
        </w:rPr>
        <w:t xml:space="preserve"> de 2018</w:t>
      </w:r>
      <w:r w:rsidR="00057525" w:rsidRPr="0064010A">
        <w:rPr>
          <w:i w:val="0"/>
          <w:szCs w:val="20"/>
          <w:lang w:eastAsia="es-CR"/>
        </w:rPr>
        <w:t>.</w:t>
      </w:r>
    </w:p>
    <w:p w14:paraId="0CA6D25D" w14:textId="77777777" w:rsidR="001B5D04" w:rsidRPr="0064010A" w:rsidRDefault="00907543" w:rsidP="00057525">
      <w:pPr>
        <w:pStyle w:val="Heading1"/>
        <w:rPr>
          <w:lang w:val="es-ES_tradnl"/>
        </w:rPr>
      </w:pPr>
      <w:bookmarkStart w:id="26" w:name="_Toc486693353"/>
      <w:bookmarkStart w:id="27" w:name="_Toc486842769"/>
      <w:bookmarkStart w:id="28" w:name="_Toc486842907"/>
      <w:bookmarkStart w:id="29" w:name="_Toc525713967"/>
      <w:r w:rsidRPr="0064010A">
        <w:rPr>
          <w:lang w:val="es-ES_tradnl"/>
        </w:rPr>
        <w:t>III</w:t>
      </w:r>
      <w:r w:rsidRPr="0064010A">
        <w:rPr>
          <w:color w:val="FFFFFF" w:themeColor="background1"/>
          <w:lang w:val="es-ES_tradnl"/>
        </w:rPr>
        <w:t>.</w:t>
      </w:r>
      <w:r w:rsidRPr="0064010A">
        <w:rPr>
          <w:lang w:val="es-ES_tradnl"/>
        </w:rPr>
        <w:br/>
      </w:r>
      <w:r w:rsidR="00206CEA" w:rsidRPr="0064010A">
        <w:rPr>
          <w:lang w:val="es-ES_tradnl"/>
        </w:rPr>
        <w:t>COMPETENCIA</w:t>
      </w:r>
      <w:bookmarkEnd w:id="26"/>
      <w:bookmarkEnd w:id="27"/>
      <w:bookmarkEnd w:id="28"/>
      <w:bookmarkEnd w:id="29"/>
    </w:p>
    <w:p w14:paraId="76E0E7F0" w14:textId="3E94B9F7" w:rsidR="000F1B02" w:rsidRPr="0064010A" w:rsidRDefault="007E480C" w:rsidP="00565BE2">
      <w:pPr>
        <w:pStyle w:val="Estilo1"/>
        <w:numPr>
          <w:ilvl w:val="0"/>
          <w:numId w:val="2"/>
        </w:numPr>
        <w:tabs>
          <w:tab w:val="left" w:pos="0"/>
        </w:tabs>
        <w:spacing w:before="120"/>
        <w:ind w:left="0" w:right="-4" w:firstLine="0"/>
        <w:rPr>
          <w:i w:val="0"/>
          <w:szCs w:val="20"/>
        </w:rPr>
      </w:pPr>
      <w:r w:rsidRPr="0064010A">
        <w:rPr>
          <w:i w:val="0"/>
          <w:szCs w:val="20"/>
        </w:rPr>
        <w:t xml:space="preserve">La Corte Interamericana es competente para conocer el presente caso, en los términos del artículo 62.3 de la Convención Americana sobre Derechos Humanos, ya que Honduras es Estado Parte de la Convención desde el </w:t>
      </w:r>
      <w:r w:rsidRPr="00716474">
        <w:rPr>
          <w:i w:val="0"/>
          <w:szCs w:val="20"/>
        </w:rPr>
        <w:t xml:space="preserve">8 </w:t>
      </w:r>
      <w:r w:rsidRPr="0064010A">
        <w:rPr>
          <w:i w:val="0"/>
          <w:szCs w:val="20"/>
        </w:rPr>
        <w:t>de septiembre de 1977 y reconoció la competencia contenciosa del Tribunal el 9 de septiembre de 1981</w:t>
      </w:r>
      <w:r w:rsidR="000F1B02" w:rsidRPr="0064010A">
        <w:rPr>
          <w:i w:val="0"/>
          <w:szCs w:val="20"/>
        </w:rPr>
        <w:t>.</w:t>
      </w:r>
    </w:p>
    <w:p w14:paraId="4E4B73A6" w14:textId="77612974" w:rsidR="00907543" w:rsidRPr="0064010A" w:rsidRDefault="0086645A" w:rsidP="00057525">
      <w:pPr>
        <w:pStyle w:val="Heading1"/>
        <w:rPr>
          <w:lang w:val="es-ES_tradnl"/>
        </w:rPr>
      </w:pPr>
      <w:bookmarkStart w:id="30" w:name="_Toc486693354"/>
      <w:bookmarkStart w:id="31" w:name="_Toc486842770"/>
      <w:bookmarkStart w:id="32" w:name="_Toc486842908"/>
      <w:bookmarkStart w:id="33" w:name="_Toc525713968"/>
      <w:bookmarkStart w:id="34" w:name="_Toc438132275"/>
      <w:bookmarkStart w:id="35" w:name="_Toc315133577"/>
      <w:bookmarkStart w:id="36" w:name="_Toc316919762"/>
      <w:bookmarkStart w:id="37" w:name="_Toc329703867"/>
      <w:bookmarkStart w:id="38" w:name="_Toc336638904"/>
      <w:bookmarkStart w:id="39" w:name="_Toc359314424"/>
      <w:bookmarkStart w:id="40" w:name="_Toc361671574"/>
      <w:bookmarkStart w:id="41" w:name="_Toc361671994"/>
      <w:bookmarkStart w:id="42" w:name="_Toc361732791"/>
      <w:bookmarkStart w:id="43" w:name="_Toc361732834"/>
      <w:bookmarkStart w:id="44" w:name="_Toc362456865"/>
      <w:bookmarkStart w:id="45" w:name="_Toc365021394"/>
      <w:bookmarkStart w:id="46" w:name="_Toc369076780"/>
      <w:bookmarkStart w:id="47" w:name="_Toc369989372"/>
      <w:bookmarkStart w:id="48" w:name="_Toc369989459"/>
      <w:bookmarkStart w:id="49" w:name="_Toc369989740"/>
      <w:bookmarkStart w:id="50" w:name="_Toc311128165"/>
      <w:bookmarkStart w:id="51" w:name="_Toc311128362"/>
      <w:bookmarkStart w:id="52" w:name="_Toc442082545"/>
      <w:r w:rsidRPr="0064010A">
        <w:rPr>
          <w:lang w:val="es-ES_tradnl"/>
        </w:rPr>
        <w:t>I</w:t>
      </w:r>
      <w:r w:rsidR="00907543" w:rsidRPr="0064010A">
        <w:rPr>
          <w:lang w:val="es-ES_tradnl"/>
        </w:rPr>
        <w:t>V</w:t>
      </w:r>
      <w:r w:rsidR="00907543" w:rsidRPr="0064010A">
        <w:rPr>
          <w:color w:val="FFFFFF" w:themeColor="background1"/>
          <w:lang w:val="es-ES_tradnl"/>
        </w:rPr>
        <w:t>.</w:t>
      </w:r>
      <w:r w:rsidR="00365E4B" w:rsidRPr="0064010A">
        <w:rPr>
          <w:lang w:val="es-ES_tradnl"/>
        </w:rPr>
        <w:br/>
      </w:r>
      <w:bookmarkEnd w:id="30"/>
      <w:bookmarkEnd w:id="31"/>
      <w:bookmarkEnd w:id="32"/>
      <w:r w:rsidR="00174F15" w:rsidRPr="0064010A">
        <w:rPr>
          <w:caps w:val="0"/>
          <w:lang w:val="es-ES_tradnl"/>
        </w:rPr>
        <w:t>ACUERDO DE SOLUCIÓN AMISTOSA</w:t>
      </w:r>
      <w:bookmarkEnd w:id="33"/>
      <w:r w:rsidR="00861837" w:rsidRPr="0064010A">
        <w:rPr>
          <w:caps w:val="0"/>
          <w:lang w:val="es-ES_tradnl"/>
        </w:rPr>
        <w:t xml:space="preserve"> </w:t>
      </w:r>
    </w:p>
    <w:p w14:paraId="09C9971A" w14:textId="447F2DAD" w:rsidR="008D6275" w:rsidRPr="0064010A" w:rsidRDefault="008D6275" w:rsidP="008D6275">
      <w:pPr>
        <w:pStyle w:val="Heading2"/>
        <w:keepNext w:val="0"/>
        <w:keepLines w:val="0"/>
        <w:numPr>
          <w:ilvl w:val="2"/>
          <w:numId w:val="2"/>
        </w:numPr>
        <w:spacing w:before="240" w:after="240" w:line="259" w:lineRule="auto"/>
        <w:ind w:left="1979" w:hanging="357"/>
        <w:rPr>
          <w:rFonts w:ascii="Verdana" w:eastAsiaTheme="minorHAnsi" w:hAnsi="Verdana" w:cstheme="minorBidi"/>
          <w:iCs/>
          <w:color w:val="auto"/>
          <w:sz w:val="20"/>
          <w:szCs w:val="20"/>
          <w:lang w:val="es-ES"/>
        </w:rPr>
      </w:pPr>
      <w:bookmarkStart w:id="53" w:name="_Toc470000703"/>
      <w:bookmarkStart w:id="54" w:name="_Toc525713969"/>
      <w:bookmarkStart w:id="55" w:name="_Toc334223053"/>
      <w:bookmarkStart w:id="56" w:name="_Toc334222796"/>
      <w:bookmarkStart w:id="57" w:name="_Toc334222738"/>
      <w:bookmarkStart w:id="58" w:name="_Toc334221483"/>
      <w:r w:rsidRPr="0064010A">
        <w:rPr>
          <w:rFonts w:ascii="Verdana" w:eastAsiaTheme="minorHAnsi" w:hAnsi="Verdana" w:cstheme="minorBidi"/>
          <w:bCs w:val="0"/>
          <w:iCs/>
          <w:color w:val="auto"/>
          <w:sz w:val="20"/>
          <w:szCs w:val="20"/>
          <w:lang w:val="es-ES"/>
        </w:rPr>
        <w:t xml:space="preserve">El </w:t>
      </w:r>
      <w:bookmarkEnd w:id="53"/>
      <w:r w:rsidRPr="0064010A">
        <w:rPr>
          <w:rFonts w:ascii="Verdana" w:eastAsiaTheme="minorHAnsi" w:hAnsi="Verdana" w:cstheme="minorBidi"/>
          <w:bCs w:val="0"/>
          <w:iCs/>
          <w:color w:val="auto"/>
          <w:sz w:val="20"/>
          <w:szCs w:val="20"/>
          <w:lang w:val="es-ES"/>
        </w:rPr>
        <w:t>Acuerdo de solución amistosa</w:t>
      </w:r>
      <w:bookmarkEnd w:id="54"/>
      <w:r w:rsidRPr="0064010A">
        <w:rPr>
          <w:rFonts w:ascii="Verdana" w:eastAsiaTheme="minorHAnsi" w:hAnsi="Verdana" w:cstheme="minorBidi"/>
          <w:iCs/>
          <w:color w:val="auto"/>
          <w:sz w:val="20"/>
          <w:szCs w:val="20"/>
          <w:lang w:val="es-ES"/>
        </w:rPr>
        <w:t xml:space="preserve"> </w:t>
      </w:r>
      <w:bookmarkEnd w:id="55"/>
      <w:bookmarkEnd w:id="56"/>
      <w:bookmarkEnd w:id="57"/>
      <w:bookmarkEnd w:id="58"/>
      <w:r w:rsidRPr="0064010A">
        <w:rPr>
          <w:rFonts w:ascii="Verdana" w:eastAsiaTheme="minorHAnsi" w:hAnsi="Verdana" w:cstheme="minorBidi"/>
          <w:iCs/>
          <w:color w:val="auto"/>
          <w:sz w:val="20"/>
          <w:szCs w:val="20"/>
          <w:lang w:val="es-ES"/>
        </w:rPr>
        <w:t xml:space="preserve"> </w:t>
      </w:r>
    </w:p>
    <w:p w14:paraId="15B68323" w14:textId="7470E839" w:rsidR="008D6275" w:rsidRPr="002A3914" w:rsidRDefault="008D6275" w:rsidP="008D6275">
      <w:pPr>
        <w:pStyle w:val="Estilo1"/>
        <w:numPr>
          <w:ilvl w:val="0"/>
          <w:numId w:val="2"/>
        </w:numPr>
        <w:tabs>
          <w:tab w:val="left" w:pos="0"/>
        </w:tabs>
        <w:spacing w:before="120"/>
        <w:ind w:left="0" w:right="-4" w:firstLine="0"/>
        <w:rPr>
          <w:bCs/>
          <w:i w:val="0"/>
          <w:szCs w:val="20"/>
        </w:rPr>
      </w:pPr>
      <w:r w:rsidRPr="002A3914">
        <w:rPr>
          <w:i w:val="0"/>
          <w:szCs w:val="20"/>
        </w:rPr>
        <w:t>En el Acuerdo de solución amistosa el Estado manifestó que los hechos que conforman su base fáctica son aquellos determinados por la Comisión en su Informe de Fondo, el cual Honduras aceptó acatar. Con base en ello, el Estado reconoció expresamente su responsabilidad por la violación de los derechos a la vida, libertad de asociación y derechos políticos (artículos 4</w:t>
      </w:r>
      <w:r w:rsidR="004A39B9">
        <w:rPr>
          <w:i w:val="0"/>
          <w:szCs w:val="20"/>
        </w:rPr>
        <w:t>.1</w:t>
      </w:r>
      <w:r w:rsidRPr="002A3914">
        <w:rPr>
          <w:i w:val="0"/>
          <w:szCs w:val="20"/>
        </w:rPr>
        <w:t>, 16</w:t>
      </w:r>
      <w:r w:rsidR="00F3271F">
        <w:rPr>
          <w:i w:val="0"/>
          <w:szCs w:val="20"/>
        </w:rPr>
        <w:t>.</w:t>
      </w:r>
      <w:r w:rsidR="004A39B9">
        <w:rPr>
          <w:i w:val="0"/>
          <w:szCs w:val="20"/>
        </w:rPr>
        <w:t>1</w:t>
      </w:r>
      <w:r w:rsidRPr="002A3914">
        <w:rPr>
          <w:i w:val="0"/>
          <w:szCs w:val="20"/>
        </w:rPr>
        <w:t xml:space="preserve"> y 23 de la Convención, en relación con el artículo 1.1 del mismo instrumento) en perjuicio de Carlos Escaleras Mejía; y los derechos a la integridad personal, garantías judiciales y protección judicial (artículos 5, 8 y 25 de la Convención, en relación con el artículo 1.1 del mismo instrumento) en perjuicio de </w:t>
      </w:r>
      <w:r w:rsidR="004A39B9">
        <w:rPr>
          <w:i w:val="0"/>
          <w:szCs w:val="20"/>
        </w:rPr>
        <w:t>sus familiares</w:t>
      </w:r>
      <w:r w:rsidRPr="002A3914">
        <w:rPr>
          <w:i w:val="0"/>
          <w:szCs w:val="20"/>
          <w:vertAlign w:val="superscript"/>
        </w:rPr>
        <w:footnoteReference w:id="13"/>
      </w:r>
      <w:r w:rsidRPr="002A3914">
        <w:rPr>
          <w:i w:val="0"/>
          <w:szCs w:val="20"/>
        </w:rPr>
        <w:t xml:space="preserve">. En el Acuerdo, el Estado hondureño efectuó además ciertas manifestaciones y se comprometió a </w:t>
      </w:r>
      <w:r w:rsidR="0021716C">
        <w:rPr>
          <w:i w:val="0"/>
          <w:szCs w:val="20"/>
        </w:rPr>
        <w:t xml:space="preserve">cumplir con </w:t>
      </w:r>
      <w:r w:rsidRPr="002A3914">
        <w:rPr>
          <w:i w:val="0"/>
          <w:szCs w:val="20"/>
        </w:rPr>
        <w:t>una serie de reparaciones. Finalmente, las partes presentaron una solicitud conjunta a la Corte a fin de que desarrolle el contenido del derecho a defender derechos humanos.</w:t>
      </w:r>
    </w:p>
    <w:p w14:paraId="667EE69F" w14:textId="53DE5116" w:rsidR="00984376" w:rsidRPr="00516A5B" w:rsidRDefault="00984376" w:rsidP="00516A5B">
      <w:pPr>
        <w:pStyle w:val="Heading2"/>
        <w:keepNext w:val="0"/>
        <w:keepLines w:val="0"/>
        <w:numPr>
          <w:ilvl w:val="5"/>
          <w:numId w:val="1"/>
        </w:numPr>
        <w:spacing w:before="240" w:after="240" w:line="259" w:lineRule="auto"/>
        <w:ind w:left="1985"/>
        <w:rPr>
          <w:rFonts w:ascii="Verdana" w:eastAsiaTheme="minorHAnsi" w:hAnsi="Verdana" w:cstheme="minorBidi"/>
          <w:bCs w:val="0"/>
          <w:iCs/>
          <w:color w:val="auto"/>
          <w:sz w:val="20"/>
          <w:szCs w:val="20"/>
          <w:lang w:val="es-ES"/>
        </w:rPr>
      </w:pPr>
      <w:bookmarkStart w:id="59" w:name="_Toc334221484"/>
      <w:bookmarkStart w:id="60" w:name="_Toc334222739"/>
      <w:bookmarkStart w:id="61" w:name="_Toc334222797"/>
      <w:bookmarkStart w:id="62" w:name="_Toc334223054"/>
      <w:bookmarkStart w:id="63" w:name="_Toc470000704"/>
      <w:bookmarkStart w:id="64" w:name="_Toc525713970"/>
      <w:bookmarkStart w:id="65" w:name="_Toc470000706"/>
      <w:bookmarkStart w:id="66" w:name="_Toc334223056"/>
      <w:bookmarkStart w:id="67" w:name="_Toc334222799"/>
      <w:bookmarkStart w:id="68" w:name="_Toc334222741"/>
      <w:bookmarkStart w:id="69" w:name="_Toc334221486"/>
      <w:r w:rsidRPr="00516A5B">
        <w:rPr>
          <w:rFonts w:ascii="Verdana" w:eastAsiaTheme="minorHAnsi" w:hAnsi="Verdana" w:cstheme="minorBidi"/>
          <w:bCs w:val="0"/>
          <w:iCs/>
          <w:color w:val="auto"/>
          <w:sz w:val="20"/>
          <w:szCs w:val="20"/>
          <w:lang w:val="es-ES"/>
        </w:rPr>
        <w:t xml:space="preserve">Observaciones </w:t>
      </w:r>
      <w:r>
        <w:rPr>
          <w:rFonts w:ascii="Verdana" w:eastAsiaTheme="minorHAnsi" w:hAnsi="Verdana" w:cstheme="minorBidi"/>
          <w:bCs w:val="0"/>
          <w:iCs/>
          <w:color w:val="auto"/>
          <w:sz w:val="20"/>
          <w:szCs w:val="20"/>
          <w:lang w:val="es-ES"/>
        </w:rPr>
        <w:t>de los</w:t>
      </w:r>
      <w:r w:rsidRPr="00516A5B">
        <w:rPr>
          <w:rFonts w:ascii="Verdana" w:eastAsiaTheme="minorHAnsi" w:hAnsi="Verdana" w:cstheme="minorBidi"/>
          <w:bCs w:val="0"/>
          <w:iCs/>
          <w:color w:val="auto"/>
          <w:sz w:val="20"/>
          <w:szCs w:val="20"/>
          <w:lang w:val="es-ES"/>
        </w:rPr>
        <w:t xml:space="preserve"> </w:t>
      </w:r>
      <w:r>
        <w:rPr>
          <w:rFonts w:ascii="Verdana" w:eastAsiaTheme="minorHAnsi" w:hAnsi="Verdana" w:cstheme="minorBidi"/>
          <w:bCs w:val="0"/>
          <w:iCs/>
          <w:color w:val="auto"/>
          <w:sz w:val="20"/>
          <w:szCs w:val="20"/>
          <w:lang w:val="es-ES"/>
        </w:rPr>
        <w:t>r</w:t>
      </w:r>
      <w:r w:rsidRPr="00516A5B">
        <w:rPr>
          <w:rFonts w:ascii="Verdana" w:eastAsiaTheme="minorHAnsi" w:hAnsi="Verdana" w:cstheme="minorBidi"/>
          <w:bCs w:val="0"/>
          <w:iCs/>
          <w:color w:val="auto"/>
          <w:sz w:val="20"/>
          <w:szCs w:val="20"/>
          <w:lang w:val="es-ES"/>
        </w:rPr>
        <w:t>epresentante</w:t>
      </w:r>
      <w:bookmarkEnd w:id="59"/>
      <w:bookmarkEnd w:id="60"/>
      <w:bookmarkEnd w:id="61"/>
      <w:bookmarkEnd w:id="62"/>
      <w:bookmarkEnd w:id="63"/>
      <w:r>
        <w:rPr>
          <w:rFonts w:ascii="Verdana" w:eastAsiaTheme="minorHAnsi" w:hAnsi="Verdana" w:cstheme="minorBidi"/>
          <w:bCs w:val="0"/>
          <w:iCs/>
          <w:color w:val="auto"/>
          <w:sz w:val="20"/>
          <w:szCs w:val="20"/>
          <w:lang w:val="es-ES"/>
        </w:rPr>
        <w:t>s</w:t>
      </w:r>
      <w:bookmarkEnd w:id="64"/>
    </w:p>
    <w:p w14:paraId="20EC5CC9" w14:textId="661FCF6D" w:rsidR="00984376" w:rsidRPr="0064010A" w:rsidRDefault="00984376" w:rsidP="00D1505B">
      <w:pPr>
        <w:pStyle w:val="Estilo1"/>
        <w:numPr>
          <w:ilvl w:val="0"/>
          <w:numId w:val="2"/>
        </w:numPr>
        <w:tabs>
          <w:tab w:val="left" w:pos="0"/>
        </w:tabs>
        <w:spacing w:before="120"/>
        <w:ind w:left="0" w:right="-4" w:firstLine="0"/>
        <w:rPr>
          <w:b/>
          <w:bCs/>
          <w:i w:val="0"/>
          <w:szCs w:val="20"/>
        </w:rPr>
      </w:pPr>
      <w:r w:rsidRPr="0064010A">
        <w:rPr>
          <w:i w:val="0"/>
          <w:szCs w:val="20"/>
        </w:rPr>
        <w:t xml:space="preserve">En sus observaciones al Acuerdo, los representantes de las presuntas víctimas confirmaron la suscripción del mismo y solicitaron a este Tribunal que, en aplicación del artículo 63 del Reglamento de la Corte Interamericana, declare que el mismo es procedente en todos sus extremos y tiene plenos efectos jurídicos. En consecuencia, pidieron al Tribunal que en la sentencia relativa a este caso </w:t>
      </w:r>
      <w:r w:rsidRPr="0064010A">
        <w:rPr>
          <w:i w:val="0"/>
          <w:szCs w:val="20"/>
          <w:lang w:val="es-ES"/>
        </w:rPr>
        <w:t>desarrolle</w:t>
      </w:r>
      <w:r w:rsidRPr="0064010A">
        <w:rPr>
          <w:i w:val="0"/>
          <w:szCs w:val="20"/>
        </w:rPr>
        <w:t xml:space="preserve"> los hechos reconocidos por el Estado, así como las violaciones cometidas en perjuicio de las víctimas, y que </w:t>
      </w:r>
      <w:r w:rsidR="00C35B9E">
        <w:rPr>
          <w:i w:val="0"/>
          <w:szCs w:val="20"/>
        </w:rPr>
        <w:t>“</w:t>
      </w:r>
      <w:r w:rsidRPr="0064010A">
        <w:rPr>
          <w:i w:val="0"/>
          <w:szCs w:val="20"/>
        </w:rPr>
        <w:t>homologue las reparaciones acordadas por las partes y dé seguimiento a su cumplimiento en el marco del proceso de supervisión de cumplimiento de sentencia</w:t>
      </w:r>
      <w:r w:rsidR="003919CB">
        <w:rPr>
          <w:i w:val="0"/>
          <w:szCs w:val="20"/>
        </w:rPr>
        <w:t>”</w:t>
      </w:r>
      <w:r w:rsidRPr="0064010A">
        <w:rPr>
          <w:i w:val="0"/>
          <w:szCs w:val="20"/>
        </w:rPr>
        <w:t xml:space="preserve">. </w:t>
      </w:r>
      <w:r w:rsidRPr="00835166">
        <w:rPr>
          <w:i w:val="0"/>
          <w:szCs w:val="20"/>
        </w:rPr>
        <w:t xml:space="preserve">En particular, instaron a que la Corte acceda a la solicitud conjunta por las partes, y desarrolle estándares en materia del derecho a defender derechos humanos en su sentencia sobre el caso de referencia. Argumentaron que el desarrollo de dichos estándares ayudaría a evitar la repetición de actos como los </w:t>
      </w:r>
      <w:r w:rsidRPr="00835166">
        <w:rPr>
          <w:i w:val="0"/>
          <w:szCs w:val="20"/>
        </w:rPr>
        <w:lastRenderedPageBreak/>
        <w:t>ocurridos en este caso, y recordaron la situación de riesgo que enfrentan las personas defensoras de derechos humanos en Honduras.</w:t>
      </w:r>
    </w:p>
    <w:p w14:paraId="40B3EEAB" w14:textId="2969801C" w:rsidR="00984376" w:rsidRPr="00516A5B" w:rsidRDefault="00984376" w:rsidP="00516A5B">
      <w:pPr>
        <w:pStyle w:val="Heading2"/>
        <w:keepNext w:val="0"/>
        <w:keepLines w:val="0"/>
        <w:numPr>
          <w:ilvl w:val="0"/>
          <w:numId w:val="15"/>
        </w:numPr>
        <w:spacing w:before="240" w:after="240" w:line="259" w:lineRule="auto"/>
        <w:ind w:left="1985"/>
        <w:rPr>
          <w:rFonts w:ascii="Verdana" w:eastAsiaTheme="minorHAnsi" w:hAnsi="Verdana" w:cstheme="minorBidi"/>
          <w:bCs w:val="0"/>
          <w:iCs/>
          <w:color w:val="auto"/>
          <w:sz w:val="20"/>
          <w:szCs w:val="20"/>
          <w:lang w:val="es-ES"/>
        </w:rPr>
      </w:pPr>
      <w:bookmarkStart w:id="70" w:name="_Toc470000705"/>
      <w:bookmarkStart w:id="71" w:name="_Toc334223055"/>
      <w:bookmarkStart w:id="72" w:name="_Toc334222798"/>
      <w:bookmarkStart w:id="73" w:name="_Toc334222740"/>
      <w:bookmarkStart w:id="74" w:name="_Toc334221485"/>
      <w:bookmarkStart w:id="75" w:name="_Toc525713971"/>
      <w:r w:rsidRPr="00516A5B">
        <w:rPr>
          <w:rFonts w:ascii="Verdana" w:eastAsiaTheme="minorHAnsi" w:hAnsi="Verdana" w:cstheme="minorBidi"/>
          <w:bCs w:val="0"/>
          <w:iCs/>
          <w:color w:val="auto"/>
          <w:sz w:val="20"/>
          <w:szCs w:val="20"/>
          <w:lang w:val="es-ES"/>
        </w:rPr>
        <w:t>Observaciones de la Comisión</w:t>
      </w:r>
      <w:bookmarkEnd w:id="70"/>
      <w:bookmarkEnd w:id="71"/>
      <w:bookmarkEnd w:id="72"/>
      <w:bookmarkEnd w:id="73"/>
      <w:bookmarkEnd w:id="74"/>
      <w:bookmarkEnd w:id="75"/>
    </w:p>
    <w:p w14:paraId="6EBD7817" w14:textId="6D658128" w:rsidR="00984376" w:rsidRPr="0064010A" w:rsidRDefault="00984376" w:rsidP="00D1505B">
      <w:pPr>
        <w:pStyle w:val="Estilo1"/>
        <w:numPr>
          <w:ilvl w:val="0"/>
          <w:numId w:val="2"/>
        </w:numPr>
        <w:tabs>
          <w:tab w:val="left" w:pos="0"/>
        </w:tabs>
        <w:spacing w:before="120"/>
        <w:ind w:left="0" w:right="-4" w:firstLine="0"/>
        <w:rPr>
          <w:i w:val="0"/>
          <w:szCs w:val="20"/>
        </w:rPr>
      </w:pPr>
      <w:r w:rsidRPr="0064010A">
        <w:rPr>
          <w:i w:val="0"/>
          <w:szCs w:val="20"/>
          <w:lang w:val="es-CR"/>
        </w:rPr>
        <w:t xml:space="preserve">Al </w:t>
      </w:r>
      <w:r w:rsidRPr="00D1505B">
        <w:rPr>
          <w:i w:val="0"/>
          <w:szCs w:val="20"/>
        </w:rPr>
        <w:t>presentar</w:t>
      </w:r>
      <w:r w:rsidRPr="0064010A">
        <w:rPr>
          <w:i w:val="0"/>
          <w:szCs w:val="20"/>
          <w:lang w:val="es-CR"/>
        </w:rPr>
        <w:t xml:space="preserve"> observaciones, la Comisión Interamericana “valor[ó</w:t>
      </w:r>
      <w:r w:rsidRPr="0064010A">
        <w:rPr>
          <w:bCs/>
          <w:i w:val="0"/>
          <w:szCs w:val="20"/>
          <w:lang w:val="es-CR"/>
        </w:rPr>
        <w:t>]</w:t>
      </w:r>
      <w:r w:rsidRPr="0064010A">
        <w:rPr>
          <w:i w:val="0"/>
          <w:szCs w:val="20"/>
          <w:lang w:val="es-CR"/>
        </w:rPr>
        <w:t xml:space="preserve"> positivamente el acuerdo alcanzado entre las partes” y “observ[ó</w:t>
      </w:r>
      <w:r w:rsidRPr="0064010A">
        <w:rPr>
          <w:bCs/>
          <w:i w:val="0"/>
          <w:szCs w:val="20"/>
          <w:lang w:val="es-CR"/>
        </w:rPr>
        <w:t>]</w:t>
      </w:r>
      <w:r w:rsidRPr="0064010A">
        <w:rPr>
          <w:i w:val="0"/>
          <w:szCs w:val="20"/>
          <w:lang w:val="es-CR"/>
        </w:rPr>
        <w:t xml:space="preserve"> que el </w:t>
      </w:r>
      <w:r w:rsidRPr="00516A5B">
        <w:rPr>
          <w:i w:val="0"/>
          <w:szCs w:val="20"/>
        </w:rPr>
        <w:t>acuerdo</w:t>
      </w:r>
      <w:r w:rsidRPr="0064010A">
        <w:rPr>
          <w:i w:val="0"/>
          <w:szCs w:val="20"/>
          <w:lang w:val="es-CR"/>
        </w:rPr>
        <w:t xml:space="preserve"> incorpora los distintos elementos de la </w:t>
      </w:r>
      <w:r w:rsidRPr="0064010A">
        <w:rPr>
          <w:i w:val="0"/>
          <w:szCs w:val="20"/>
        </w:rPr>
        <w:t>reparación</w:t>
      </w:r>
      <w:r w:rsidRPr="0064010A">
        <w:rPr>
          <w:i w:val="0"/>
          <w:szCs w:val="20"/>
          <w:lang w:val="es-CR"/>
        </w:rPr>
        <w:t xml:space="preserve"> integral y que los contenidos de cada uno de los rubros de dicha reparación fueron acordados por las partes”. Estimó que procede determinar el cese de la controversia en el presente caso, aceptar el reconocimiento de responsabilidad internacional y homologar el Acuerdo. </w:t>
      </w:r>
      <w:r w:rsidRPr="00D1505B">
        <w:rPr>
          <w:i w:val="0"/>
          <w:szCs w:val="20"/>
          <w:lang w:val="es-CR"/>
        </w:rPr>
        <w:t xml:space="preserve">Destacó también “la pertinencia de la solicitud efectuada conjuntamente por las partes en cuanto al desarrollo de los contenidos del derecho a defender los derechos humanos, como elemento relevante para fortalecer la línea jurisprudencial de la </w:t>
      </w:r>
      <w:r w:rsidR="00A85A7D">
        <w:rPr>
          <w:i w:val="0"/>
          <w:szCs w:val="20"/>
          <w:lang w:val="es-CR"/>
        </w:rPr>
        <w:t>[…]</w:t>
      </w:r>
      <w:r w:rsidR="00A85A7D" w:rsidRPr="00D1505B">
        <w:rPr>
          <w:i w:val="0"/>
          <w:szCs w:val="20"/>
          <w:lang w:val="es-CR"/>
        </w:rPr>
        <w:t xml:space="preserve"> </w:t>
      </w:r>
      <w:r w:rsidRPr="00D1505B">
        <w:rPr>
          <w:i w:val="0"/>
          <w:szCs w:val="20"/>
          <w:lang w:val="es-CR"/>
        </w:rPr>
        <w:t>Corte en la materia”.</w:t>
      </w:r>
    </w:p>
    <w:p w14:paraId="765D59EB" w14:textId="0DD04A61" w:rsidR="008D6275" w:rsidRPr="0064010A" w:rsidRDefault="008D6275" w:rsidP="00516A5B">
      <w:pPr>
        <w:pStyle w:val="Heading2"/>
        <w:keepNext w:val="0"/>
        <w:keepLines w:val="0"/>
        <w:numPr>
          <w:ilvl w:val="0"/>
          <w:numId w:val="15"/>
        </w:numPr>
        <w:spacing w:before="240" w:after="240" w:line="259" w:lineRule="auto"/>
        <w:ind w:left="1985"/>
        <w:rPr>
          <w:rFonts w:ascii="Verdana" w:eastAsiaTheme="minorHAnsi" w:hAnsi="Verdana" w:cstheme="minorBidi"/>
          <w:bCs w:val="0"/>
          <w:iCs/>
          <w:color w:val="auto"/>
          <w:sz w:val="20"/>
          <w:szCs w:val="20"/>
          <w:lang w:val="es-ES"/>
        </w:rPr>
      </w:pPr>
      <w:bookmarkStart w:id="76" w:name="_Toc525713972"/>
      <w:r w:rsidRPr="0064010A">
        <w:rPr>
          <w:rFonts w:ascii="Verdana" w:eastAsiaTheme="minorHAnsi" w:hAnsi="Verdana" w:cstheme="minorBidi"/>
          <w:bCs w:val="0"/>
          <w:iCs/>
          <w:color w:val="auto"/>
          <w:sz w:val="20"/>
          <w:szCs w:val="20"/>
          <w:lang w:val="es-ES"/>
        </w:rPr>
        <w:t>Consideraciones de la Corte</w:t>
      </w:r>
      <w:bookmarkEnd w:id="65"/>
      <w:bookmarkEnd w:id="66"/>
      <w:bookmarkEnd w:id="67"/>
      <w:bookmarkEnd w:id="68"/>
      <w:bookmarkEnd w:id="69"/>
      <w:bookmarkEnd w:id="76"/>
    </w:p>
    <w:p w14:paraId="55C22EC7" w14:textId="52711DFB" w:rsidR="008D6275" w:rsidRPr="0064010A" w:rsidRDefault="006D05FF" w:rsidP="009E4B2F">
      <w:pPr>
        <w:pStyle w:val="Estilo1"/>
        <w:numPr>
          <w:ilvl w:val="0"/>
          <w:numId w:val="2"/>
        </w:numPr>
        <w:tabs>
          <w:tab w:val="left" w:pos="0"/>
        </w:tabs>
        <w:spacing w:before="120"/>
        <w:ind w:left="0" w:right="-4" w:firstLine="0"/>
        <w:rPr>
          <w:bCs/>
          <w:i w:val="0"/>
          <w:szCs w:val="20"/>
        </w:rPr>
      </w:pPr>
      <w:r w:rsidRPr="0064010A">
        <w:rPr>
          <w:bCs/>
          <w:i w:val="0"/>
          <w:szCs w:val="20"/>
        </w:rPr>
        <w:t>En ocasiones anteriores, este Tribunal ha tenido oportunidad de examinar y valorar acuerdos de solución amistosa</w:t>
      </w:r>
      <w:r w:rsidRPr="0064010A">
        <w:rPr>
          <w:bCs/>
          <w:i w:val="0"/>
          <w:szCs w:val="20"/>
          <w:vertAlign w:val="superscript"/>
        </w:rPr>
        <w:footnoteReference w:id="14"/>
      </w:r>
      <w:r w:rsidRPr="0064010A">
        <w:rPr>
          <w:bCs/>
          <w:i w:val="0"/>
          <w:szCs w:val="20"/>
        </w:rPr>
        <w:t xml:space="preserve">. </w:t>
      </w:r>
      <w:r w:rsidRPr="0064010A">
        <w:rPr>
          <w:i w:val="0"/>
          <w:szCs w:val="20"/>
        </w:rPr>
        <w:t>Sobre ese punto, resulta útil recordar que e</w:t>
      </w:r>
      <w:r w:rsidR="008D6275" w:rsidRPr="0064010A">
        <w:rPr>
          <w:i w:val="0"/>
          <w:szCs w:val="20"/>
        </w:rPr>
        <w:t xml:space="preserve">l artículo 63 del Reglamento de la </w:t>
      </w:r>
      <w:r w:rsidR="008D6275" w:rsidRPr="0064010A">
        <w:rPr>
          <w:i w:val="0"/>
          <w:szCs w:val="20"/>
          <w:lang w:val="es-CR"/>
        </w:rPr>
        <w:t>Corte</w:t>
      </w:r>
      <w:r w:rsidR="008D6275" w:rsidRPr="0064010A">
        <w:rPr>
          <w:i w:val="0"/>
          <w:szCs w:val="20"/>
        </w:rPr>
        <w:t xml:space="preserve"> dispone que</w:t>
      </w:r>
      <w:r w:rsidR="009E4B2F" w:rsidRPr="0064010A">
        <w:rPr>
          <w:i w:val="0"/>
          <w:szCs w:val="20"/>
        </w:rPr>
        <w:t xml:space="preserve"> “</w:t>
      </w:r>
      <w:r w:rsidR="008D6275" w:rsidRPr="0064010A">
        <w:rPr>
          <w:bCs/>
          <w:i w:val="0"/>
          <w:szCs w:val="20"/>
        </w:rPr>
        <w:t xml:space="preserve">[c]uando la Comisión, las víctimas o presuntas víctimas o sus representantes, el Estado demandado y, en su caso, el Estado demandante, en un caso ante la Corte comunicaren a ésta la existencia de una solución amistosa, de un avenimiento o de otro hecho idóneo para la solución del litigio, la Corte resolverá en el momento procesal </w:t>
      </w:r>
      <w:r w:rsidR="008D6275" w:rsidRPr="0064010A">
        <w:rPr>
          <w:i w:val="0"/>
          <w:szCs w:val="20"/>
          <w:lang w:val="es-CR"/>
        </w:rPr>
        <w:t>oportuno</w:t>
      </w:r>
      <w:r w:rsidR="008D6275" w:rsidRPr="0064010A">
        <w:rPr>
          <w:bCs/>
          <w:i w:val="0"/>
          <w:szCs w:val="20"/>
        </w:rPr>
        <w:t xml:space="preserve"> sobre su procedencia y sus efectos jurídicos</w:t>
      </w:r>
      <w:r w:rsidR="009E4B2F" w:rsidRPr="0064010A">
        <w:rPr>
          <w:bCs/>
          <w:i w:val="0"/>
          <w:szCs w:val="20"/>
        </w:rPr>
        <w:t>”</w:t>
      </w:r>
      <w:r w:rsidR="008D6275" w:rsidRPr="0064010A">
        <w:rPr>
          <w:bCs/>
          <w:i w:val="0"/>
          <w:szCs w:val="20"/>
        </w:rPr>
        <w:t>.</w:t>
      </w:r>
      <w:r w:rsidRPr="0064010A">
        <w:rPr>
          <w:bCs/>
          <w:i w:val="0"/>
          <w:szCs w:val="20"/>
        </w:rPr>
        <w:t xml:space="preserve"> En consecuencia, d</w:t>
      </w:r>
      <w:r w:rsidR="008D6275" w:rsidRPr="0064010A">
        <w:rPr>
          <w:bCs/>
          <w:i w:val="0"/>
          <w:szCs w:val="20"/>
        </w:rPr>
        <w:t>e conformidad con la norma transcrita, este Tribunal deberá determinar la procedencia y efectos jurídicos del acuerdo de solución amistosa a que arribaron las partes</w:t>
      </w:r>
      <w:r w:rsidR="008D6275" w:rsidRPr="0064010A">
        <w:rPr>
          <w:bCs/>
          <w:i w:val="0"/>
          <w:szCs w:val="20"/>
          <w:vertAlign w:val="superscript"/>
        </w:rPr>
        <w:footnoteReference w:id="15"/>
      </w:r>
      <w:r w:rsidR="008D6275" w:rsidRPr="0064010A">
        <w:rPr>
          <w:bCs/>
          <w:i w:val="0"/>
          <w:szCs w:val="20"/>
        </w:rPr>
        <w:t>.</w:t>
      </w:r>
    </w:p>
    <w:p w14:paraId="15896BCD" w14:textId="5E4DA96C" w:rsidR="008D6275" w:rsidRDefault="006D05FF" w:rsidP="00F707A7">
      <w:pPr>
        <w:pStyle w:val="Estilo1"/>
        <w:numPr>
          <w:ilvl w:val="0"/>
          <w:numId w:val="2"/>
        </w:numPr>
        <w:tabs>
          <w:tab w:val="left" w:pos="0"/>
        </w:tabs>
        <w:spacing w:before="120"/>
        <w:ind w:left="0" w:right="-4" w:firstLine="0"/>
        <w:rPr>
          <w:bCs/>
          <w:i w:val="0"/>
          <w:szCs w:val="20"/>
        </w:rPr>
      </w:pPr>
      <w:r w:rsidRPr="0064010A">
        <w:rPr>
          <w:bCs/>
          <w:i w:val="0"/>
          <w:szCs w:val="20"/>
        </w:rPr>
        <w:t>El Tribunal recuerda asimismo</w:t>
      </w:r>
      <w:r w:rsidR="008D6275" w:rsidRPr="0064010A">
        <w:rPr>
          <w:bCs/>
          <w:i w:val="0"/>
          <w:szCs w:val="20"/>
        </w:rPr>
        <w:t xml:space="preserve"> </w:t>
      </w:r>
      <w:r w:rsidRPr="0064010A">
        <w:rPr>
          <w:bCs/>
          <w:i w:val="0"/>
          <w:szCs w:val="20"/>
        </w:rPr>
        <w:t xml:space="preserve">que, </w:t>
      </w:r>
      <w:r w:rsidR="008D6275" w:rsidRPr="0064010A">
        <w:rPr>
          <w:bCs/>
          <w:i w:val="0"/>
          <w:szCs w:val="20"/>
        </w:rPr>
        <w:t xml:space="preserve">según se desprende del </w:t>
      </w:r>
      <w:r w:rsidR="00403F51" w:rsidRPr="0064010A">
        <w:rPr>
          <w:bCs/>
          <w:i w:val="0"/>
          <w:szCs w:val="20"/>
        </w:rPr>
        <w:t xml:space="preserve">citado </w:t>
      </w:r>
      <w:r w:rsidR="008D6275" w:rsidRPr="0064010A">
        <w:rPr>
          <w:bCs/>
          <w:i w:val="0"/>
          <w:szCs w:val="20"/>
        </w:rPr>
        <w:t>artículo 63, es posible que en el trámite ante este Tribunal las partes alcancen acuerdos amistosos, cuya procedencia debe ser evaluada por la Corte. Arribar a este tipo de solución puede propiciar una más pronta y efectiva reparación de las víctimas del caso. Asimismo, puede contribuir con los fines del sistema interamericano de protección de los derechos humanos, especialmente con el propósito de encontrar soluciones justas a los problemas particulares y estructurales del caso</w:t>
      </w:r>
      <w:r w:rsidR="008D6275" w:rsidRPr="0064010A">
        <w:rPr>
          <w:bCs/>
          <w:i w:val="0"/>
          <w:szCs w:val="20"/>
          <w:vertAlign w:val="superscript"/>
        </w:rPr>
        <w:footnoteReference w:id="16"/>
      </w:r>
      <w:r w:rsidR="008D6275" w:rsidRPr="0064010A">
        <w:rPr>
          <w:bCs/>
          <w:i w:val="0"/>
          <w:szCs w:val="20"/>
        </w:rPr>
        <w:t xml:space="preserve">. </w:t>
      </w:r>
    </w:p>
    <w:p w14:paraId="0C0A605A" w14:textId="3E206483" w:rsidR="002E748A" w:rsidRPr="002A3914" w:rsidRDefault="00D1505B" w:rsidP="00D1505B">
      <w:pPr>
        <w:pStyle w:val="Estilo1"/>
        <w:numPr>
          <w:ilvl w:val="0"/>
          <w:numId w:val="2"/>
        </w:numPr>
        <w:tabs>
          <w:tab w:val="left" w:pos="0"/>
        </w:tabs>
        <w:spacing w:before="120"/>
        <w:ind w:left="0" w:right="-4" w:firstLine="0"/>
        <w:rPr>
          <w:rFonts w:eastAsia="Times"/>
          <w:i w:val="0"/>
          <w:lang w:val="es-CR"/>
        </w:rPr>
      </w:pPr>
      <w:r w:rsidRPr="002A3914">
        <w:rPr>
          <w:i w:val="0"/>
        </w:rPr>
        <w:t xml:space="preserve">Además esta Corte observa que de conformidad con dicho artículo </w:t>
      </w:r>
      <w:r w:rsidR="00F0042C" w:rsidRPr="002A3914">
        <w:rPr>
          <w:i w:val="0"/>
        </w:rPr>
        <w:t xml:space="preserve">así como el artículo </w:t>
      </w:r>
      <w:r w:rsidR="00F0042C" w:rsidRPr="002A3914">
        <w:rPr>
          <w:i w:val="0"/>
          <w:lang w:val="es-CR"/>
        </w:rPr>
        <w:t xml:space="preserve">64 </w:t>
      </w:r>
      <w:r w:rsidRPr="002A3914">
        <w:rPr>
          <w:i w:val="0"/>
        </w:rPr>
        <w:t>de</w:t>
      </w:r>
      <w:r w:rsidR="00F0042C" w:rsidRPr="002A3914">
        <w:rPr>
          <w:i w:val="0"/>
        </w:rPr>
        <w:t>l Reglamento</w:t>
      </w:r>
      <w:r w:rsidR="00994534" w:rsidRPr="002A3914">
        <w:rPr>
          <w:rStyle w:val="FootnoteReference"/>
          <w:i w:val="0"/>
          <w:lang w:val="es-CR"/>
        </w:rPr>
        <w:footnoteReference w:id="17"/>
      </w:r>
      <w:r w:rsidRPr="002A3914">
        <w:rPr>
          <w:i w:val="0"/>
        </w:rPr>
        <w:t xml:space="preserve"> </w:t>
      </w:r>
      <w:r w:rsidRPr="002A3914">
        <w:rPr>
          <w:i w:val="0"/>
          <w:lang w:val="es-CR"/>
        </w:rPr>
        <w:t xml:space="preserve">y en ejercicio de sus poderes de tutela judicial internacional de derechos humanos, cuestión de orden público internacional que trasciende la voluntad de las partes, </w:t>
      </w:r>
      <w:r w:rsidR="00994534">
        <w:rPr>
          <w:i w:val="0"/>
          <w:lang w:val="es-CR"/>
        </w:rPr>
        <w:t xml:space="preserve">le </w:t>
      </w:r>
      <w:r w:rsidRPr="002A3914">
        <w:rPr>
          <w:i w:val="0"/>
          <w:lang w:val="es-CR"/>
        </w:rPr>
        <w:t xml:space="preserve">incumbe velar porque </w:t>
      </w:r>
      <w:r w:rsidR="00F0042C" w:rsidRPr="002A3914">
        <w:rPr>
          <w:i w:val="0"/>
          <w:lang w:val="es-CR"/>
        </w:rPr>
        <w:t>los acuerdos de solución amistosa</w:t>
      </w:r>
      <w:r w:rsidRPr="002A3914">
        <w:rPr>
          <w:i w:val="0"/>
          <w:lang w:val="es-CR"/>
        </w:rPr>
        <w:t xml:space="preserve"> resulten aceptables para los fines que busca cumplir el sistema interamericano. En esta tarea no se limita únicamente a tomar nota </w:t>
      </w:r>
      <w:r w:rsidR="00F0042C" w:rsidRPr="002A3914">
        <w:rPr>
          <w:i w:val="0"/>
          <w:lang w:val="es-CR"/>
        </w:rPr>
        <w:t>de dicho acuerdo</w:t>
      </w:r>
      <w:r w:rsidRPr="002A3914">
        <w:rPr>
          <w:i w:val="0"/>
          <w:lang w:val="es-CR"/>
        </w:rPr>
        <w:t xml:space="preserve">, o a verificar </w:t>
      </w:r>
      <w:r w:rsidR="00F0042C" w:rsidRPr="002A3914">
        <w:rPr>
          <w:i w:val="0"/>
          <w:lang w:val="es-CR"/>
        </w:rPr>
        <w:t xml:space="preserve">que estén dadas sus </w:t>
      </w:r>
      <w:r w:rsidRPr="002A3914">
        <w:rPr>
          <w:i w:val="0"/>
          <w:lang w:val="es-CR"/>
        </w:rPr>
        <w:t xml:space="preserve">condiciones formales, sino que los debe confrontar con la naturaleza y gravedad de las violaciones </w:t>
      </w:r>
      <w:r w:rsidRPr="002A3914">
        <w:rPr>
          <w:i w:val="0"/>
          <w:lang w:val="es-CR"/>
        </w:rPr>
        <w:lastRenderedPageBreak/>
        <w:t>alegadas, las exigencias e interés de la justicia, las circunstancias particulares del caso concreto y la actitud y posición de las partes</w:t>
      </w:r>
      <w:r w:rsidR="000A2076" w:rsidRPr="001F751D">
        <w:rPr>
          <w:i w:val="0"/>
          <w:lang w:val="es-CR"/>
        </w:rPr>
        <w:t>, de manera tal que pueda precisar, en cuanto sea posible y en el ejercicio de su competencia, la verdad de lo acontecido</w:t>
      </w:r>
      <w:r w:rsidR="000A2076" w:rsidRPr="0064010A">
        <w:rPr>
          <w:bCs/>
          <w:i w:val="0"/>
          <w:szCs w:val="20"/>
          <w:vertAlign w:val="superscript"/>
        </w:rPr>
        <w:footnoteReference w:id="18"/>
      </w:r>
      <w:r w:rsidRPr="002A3914">
        <w:rPr>
          <w:i w:val="0"/>
          <w:lang w:val="es-CR"/>
        </w:rPr>
        <w:t xml:space="preserve">. En tal sentido, el </w:t>
      </w:r>
      <w:r w:rsidR="002E748A" w:rsidRPr="002A3914">
        <w:rPr>
          <w:i w:val="0"/>
          <w:lang w:val="es-CR"/>
        </w:rPr>
        <w:t xml:space="preserve">acuerdo </w:t>
      </w:r>
      <w:r w:rsidRPr="002A3914">
        <w:rPr>
          <w:i w:val="0"/>
          <w:lang w:val="es-CR"/>
        </w:rPr>
        <w:t xml:space="preserve">no puede tener por consecuencia </w:t>
      </w:r>
      <w:r w:rsidR="002E748A" w:rsidRPr="002A3914">
        <w:rPr>
          <w:i w:val="0"/>
          <w:lang w:val="es-CR"/>
        </w:rPr>
        <w:t>vulnerar, directa o indirectamente, el objeto y fin de la Convención Americana</w:t>
      </w:r>
      <w:r w:rsidRPr="002A3914">
        <w:rPr>
          <w:i w:val="0"/>
          <w:lang w:val="es-CR"/>
        </w:rPr>
        <w:t xml:space="preserve">. </w:t>
      </w:r>
    </w:p>
    <w:p w14:paraId="6D0FC80F" w14:textId="2826408C" w:rsidR="00D1505B" w:rsidRPr="002A3914" w:rsidRDefault="00D1505B" w:rsidP="00D1505B">
      <w:pPr>
        <w:pStyle w:val="Estilo1"/>
        <w:numPr>
          <w:ilvl w:val="0"/>
          <w:numId w:val="2"/>
        </w:numPr>
        <w:tabs>
          <w:tab w:val="left" w:pos="0"/>
        </w:tabs>
        <w:spacing w:before="120"/>
        <w:ind w:left="0" w:right="-4" w:firstLine="0"/>
        <w:rPr>
          <w:rFonts w:eastAsia="Times"/>
          <w:i w:val="0"/>
          <w:lang w:val="es-CR"/>
        </w:rPr>
      </w:pPr>
      <w:r w:rsidRPr="002A3914">
        <w:rPr>
          <w:rFonts w:eastAsia="Times"/>
          <w:i w:val="0"/>
          <w:lang w:val="es-CR"/>
        </w:rPr>
        <w:t xml:space="preserve">Para estos efectos, el Tribunal </w:t>
      </w:r>
      <w:r w:rsidR="00A47DC1" w:rsidRPr="002A3914">
        <w:rPr>
          <w:rFonts w:eastAsia="Times"/>
          <w:i w:val="0"/>
          <w:lang w:val="es-CR"/>
        </w:rPr>
        <w:t xml:space="preserve">debe </w:t>
      </w:r>
      <w:r w:rsidRPr="002A3914">
        <w:rPr>
          <w:rFonts w:eastAsia="Times"/>
          <w:i w:val="0"/>
          <w:lang w:val="es-CR"/>
        </w:rPr>
        <w:t>analiza</w:t>
      </w:r>
      <w:r w:rsidR="00A47DC1" w:rsidRPr="002A3914">
        <w:rPr>
          <w:rFonts w:eastAsia="Times"/>
          <w:i w:val="0"/>
          <w:lang w:val="es-CR"/>
        </w:rPr>
        <w:t>r</w:t>
      </w:r>
      <w:r w:rsidRPr="002A3914">
        <w:rPr>
          <w:rFonts w:eastAsia="Times"/>
          <w:i w:val="0"/>
          <w:lang w:val="es-CR"/>
        </w:rPr>
        <w:t xml:space="preserve"> la situación planteada en cada caso concreto</w:t>
      </w:r>
      <w:r w:rsidR="002E748A" w:rsidRPr="002A3914">
        <w:rPr>
          <w:rFonts w:eastAsia="Times"/>
          <w:i w:val="0"/>
          <w:lang w:val="es-CR"/>
        </w:rPr>
        <w:t xml:space="preserve">, procediendo a constatar que </w:t>
      </w:r>
      <w:r w:rsidR="00A47DC1" w:rsidRPr="002A3914">
        <w:rPr>
          <w:rFonts w:eastAsia="Times"/>
          <w:i w:val="0"/>
          <w:lang w:val="es-CR"/>
        </w:rPr>
        <w:t>el acuerdo, el cual puede ser presentado ante la Corte en cualquier etapa del procedimiento contencioso, se encuentra firmado por las partes</w:t>
      </w:r>
      <w:r w:rsidR="00CC12E1" w:rsidRPr="002A3914">
        <w:rPr>
          <w:rFonts w:eastAsia="Times"/>
          <w:i w:val="0"/>
          <w:lang w:val="es-CR"/>
        </w:rPr>
        <w:t xml:space="preserve">. Luego de dar traslado a las partes y a la Comisión y recabar, en su caso, sus respectivas observaciones, la Corte deberá verificar que se encuentren dados los </w:t>
      </w:r>
      <w:r w:rsidR="002E748A" w:rsidRPr="002A3914">
        <w:rPr>
          <w:rFonts w:eastAsia="Times"/>
          <w:i w:val="0"/>
          <w:lang w:val="es-CR"/>
        </w:rPr>
        <w:t xml:space="preserve">requisitos formales y materiales para </w:t>
      </w:r>
      <w:r w:rsidR="00A47DC1" w:rsidRPr="002A3914">
        <w:rPr>
          <w:rFonts w:eastAsia="Times"/>
          <w:i w:val="0"/>
          <w:lang w:val="es-CR"/>
        </w:rPr>
        <w:t xml:space="preserve">proceder a homologar el acuerdo </w:t>
      </w:r>
      <w:r w:rsidR="002A3914">
        <w:rPr>
          <w:rFonts w:eastAsia="Times"/>
          <w:i w:val="0"/>
          <w:lang w:val="es-CR"/>
        </w:rPr>
        <w:t>medi</w:t>
      </w:r>
      <w:r w:rsidR="00016FAB">
        <w:rPr>
          <w:rFonts w:eastAsia="Times"/>
          <w:i w:val="0"/>
          <w:lang w:val="es-CR"/>
        </w:rPr>
        <w:t>a</w:t>
      </w:r>
      <w:r w:rsidR="002A3914">
        <w:rPr>
          <w:rFonts w:eastAsia="Times"/>
          <w:i w:val="0"/>
          <w:lang w:val="es-CR"/>
        </w:rPr>
        <w:t>nte</w:t>
      </w:r>
      <w:r w:rsidR="00A47DC1" w:rsidRPr="002A3914">
        <w:rPr>
          <w:rFonts w:eastAsia="Times"/>
          <w:i w:val="0"/>
          <w:lang w:val="es-CR"/>
        </w:rPr>
        <w:t xml:space="preserve"> sentencia. </w:t>
      </w:r>
      <w:r w:rsidR="002E748A" w:rsidRPr="002A3914">
        <w:rPr>
          <w:rFonts w:eastAsia="Times"/>
          <w:i w:val="0"/>
          <w:lang w:val="es-CR"/>
        </w:rPr>
        <w:t xml:space="preserve"> </w:t>
      </w:r>
    </w:p>
    <w:p w14:paraId="53F95357" w14:textId="57A3F67B" w:rsidR="008D6275" w:rsidRPr="00121D4A" w:rsidRDefault="008D6275" w:rsidP="00F707A7">
      <w:pPr>
        <w:pStyle w:val="Estilo1"/>
        <w:numPr>
          <w:ilvl w:val="0"/>
          <w:numId w:val="2"/>
        </w:numPr>
        <w:tabs>
          <w:tab w:val="left" w:pos="0"/>
        </w:tabs>
        <w:spacing w:before="120"/>
        <w:ind w:left="0" w:right="-4" w:firstLine="0"/>
        <w:rPr>
          <w:bCs/>
          <w:i w:val="0"/>
          <w:szCs w:val="20"/>
          <w:lang w:val="es-CR"/>
        </w:rPr>
      </w:pPr>
      <w:r w:rsidRPr="00121D4A">
        <w:rPr>
          <w:bCs/>
          <w:i w:val="0"/>
          <w:szCs w:val="20"/>
          <w:lang w:val="es-CR"/>
        </w:rPr>
        <w:t xml:space="preserve">La Corte constata que el Acuerdo presentado contempla </w:t>
      </w:r>
      <w:r w:rsidRPr="00121D4A">
        <w:rPr>
          <w:bCs/>
          <w:i w:val="0"/>
          <w:szCs w:val="20"/>
          <w:lang w:val="es-ES"/>
        </w:rPr>
        <w:t>una solución entre las partes de la controversia planteada en cuanto a los hechos</w:t>
      </w:r>
      <w:r w:rsidRPr="00121D4A">
        <w:rPr>
          <w:bCs/>
          <w:i w:val="0"/>
          <w:szCs w:val="20"/>
          <w:lang w:val="es-CR"/>
        </w:rPr>
        <w:t xml:space="preserve"> y la determinación de violaciones de derechos humanos, al tenor de las establecidas en el Informe de Fondo, así como de las medidas de reparación. </w:t>
      </w:r>
      <w:r w:rsidR="00945CE1" w:rsidRPr="00121D4A">
        <w:rPr>
          <w:bCs/>
          <w:i w:val="0"/>
          <w:szCs w:val="20"/>
          <w:lang w:val="es-ES"/>
        </w:rPr>
        <w:t>El Tribunal</w:t>
      </w:r>
      <w:r w:rsidRPr="00121D4A">
        <w:rPr>
          <w:bCs/>
          <w:i w:val="0"/>
          <w:szCs w:val="20"/>
          <w:lang w:val="es-ES"/>
        </w:rPr>
        <w:t xml:space="preserve"> entiende que, por la </w:t>
      </w:r>
      <w:r w:rsidR="00945CE1" w:rsidRPr="00121D4A">
        <w:rPr>
          <w:bCs/>
          <w:i w:val="0"/>
          <w:szCs w:val="20"/>
          <w:lang w:val="es-ES"/>
        </w:rPr>
        <w:t>forma</w:t>
      </w:r>
      <w:r w:rsidRPr="00121D4A">
        <w:rPr>
          <w:bCs/>
          <w:i w:val="0"/>
          <w:szCs w:val="20"/>
          <w:lang w:val="es-ES"/>
        </w:rPr>
        <w:t xml:space="preserve"> en que el Estado formuló su reconocimiento de responsabilidad</w:t>
      </w:r>
      <w:r w:rsidR="00C35B9E" w:rsidRPr="00121D4A">
        <w:rPr>
          <w:bCs/>
          <w:i w:val="0"/>
          <w:szCs w:val="20"/>
          <w:lang w:val="es-ES"/>
        </w:rPr>
        <w:t xml:space="preserve">, </w:t>
      </w:r>
      <w:r w:rsidRPr="00121D4A">
        <w:rPr>
          <w:bCs/>
          <w:i w:val="0"/>
          <w:szCs w:val="20"/>
          <w:lang w:val="es-ES"/>
        </w:rPr>
        <w:t xml:space="preserve">el mismo comprende también </w:t>
      </w:r>
      <w:r w:rsidRPr="00121D4A">
        <w:rPr>
          <w:bCs/>
          <w:i w:val="0"/>
          <w:szCs w:val="20"/>
          <w:lang w:val="es-CR"/>
        </w:rPr>
        <w:t xml:space="preserve">las consideraciones de derecho que llevaron a dicho órgano a concluir que se produjeron esas violaciones en perjuicio de las víctimas de este caso. </w:t>
      </w:r>
    </w:p>
    <w:p w14:paraId="1EFF0F78" w14:textId="0E1EBE16" w:rsidR="008D6275" w:rsidRPr="0064010A" w:rsidRDefault="000145D8" w:rsidP="00F707A7">
      <w:pPr>
        <w:pStyle w:val="Estilo1"/>
        <w:numPr>
          <w:ilvl w:val="0"/>
          <w:numId w:val="2"/>
        </w:numPr>
        <w:tabs>
          <w:tab w:val="left" w:pos="0"/>
        </w:tabs>
        <w:spacing w:before="120"/>
        <w:ind w:left="0" w:right="-4" w:firstLine="0"/>
        <w:rPr>
          <w:bCs/>
          <w:i w:val="0"/>
          <w:szCs w:val="20"/>
        </w:rPr>
      </w:pPr>
      <w:r w:rsidRPr="0064010A">
        <w:rPr>
          <w:bCs/>
          <w:i w:val="0"/>
          <w:szCs w:val="20"/>
        </w:rPr>
        <w:t>Además, la Corte</w:t>
      </w:r>
      <w:r w:rsidR="008D6275" w:rsidRPr="0064010A">
        <w:rPr>
          <w:bCs/>
          <w:i w:val="0"/>
          <w:szCs w:val="20"/>
        </w:rPr>
        <w:t xml:space="preserve"> destaca la voluntad de las partes </w:t>
      </w:r>
      <w:r w:rsidR="00121D4A">
        <w:rPr>
          <w:bCs/>
          <w:i w:val="0"/>
          <w:szCs w:val="20"/>
        </w:rPr>
        <w:t>de</w:t>
      </w:r>
      <w:r w:rsidR="00121D4A" w:rsidRPr="0064010A">
        <w:rPr>
          <w:bCs/>
          <w:i w:val="0"/>
          <w:szCs w:val="20"/>
        </w:rPr>
        <w:t xml:space="preserve"> </w:t>
      </w:r>
      <w:r w:rsidR="008D6275" w:rsidRPr="0064010A">
        <w:rPr>
          <w:bCs/>
          <w:i w:val="0"/>
          <w:szCs w:val="20"/>
        </w:rPr>
        <w:t xml:space="preserve">alcanzar una solución a la controversia del presente caso y particularmente resalta el momento procesal en que lo hicieron. </w:t>
      </w:r>
      <w:r w:rsidRPr="0064010A">
        <w:rPr>
          <w:bCs/>
          <w:i w:val="0"/>
          <w:szCs w:val="20"/>
        </w:rPr>
        <w:t xml:space="preserve">En efecto, </w:t>
      </w:r>
      <w:r w:rsidR="008D6275" w:rsidRPr="0064010A">
        <w:rPr>
          <w:bCs/>
          <w:i w:val="0"/>
          <w:szCs w:val="20"/>
        </w:rPr>
        <w:t xml:space="preserve">el acuerdo de solución amistosa se produjo en </w:t>
      </w:r>
      <w:r w:rsidR="008D6275" w:rsidRPr="0064010A">
        <w:rPr>
          <w:bCs/>
          <w:i w:val="0"/>
          <w:szCs w:val="20"/>
          <w:lang w:val="es-CR"/>
        </w:rPr>
        <w:t>una</w:t>
      </w:r>
      <w:r w:rsidR="008D6275" w:rsidRPr="0064010A">
        <w:rPr>
          <w:bCs/>
          <w:i w:val="0"/>
          <w:szCs w:val="20"/>
        </w:rPr>
        <w:t xml:space="preserve"> etapa temprana del litigio ante esta Corte, puesto que fue </w:t>
      </w:r>
      <w:r w:rsidR="00121D4A">
        <w:rPr>
          <w:bCs/>
          <w:i w:val="0"/>
          <w:szCs w:val="20"/>
        </w:rPr>
        <w:t xml:space="preserve">adjuntado al </w:t>
      </w:r>
      <w:r w:rsidR="00121D4A" w:rsidRPr="0064010A">
        <w:rPr>
          <w:bCs/>
          <w:i w:val="0"/>
          <w:szCs w:val="20"/>
        </w:rPr>
        <w:t xml:space="preserve">escrito de contestación </w:t>
      </w:r>
      <w:r w:rsidR="00121D4A">
        <w:rPr>
          <w:bCs/>
          <w:i w:val="0"/>
          <w:szCs w:val="20"/>
        </w:rPr>
        <w:t xml:space="preserve">presentado </w:t>
      </w:r>
      <w:r w:rsidR="008D6275" w:rsidRPr="0064010A">
        <w:rPr>
          <w:bCs/>
          <w:i w:val="0"/>
          <w:szCs w:val="20"/>
        </w:rPr>
        <w:t xml:space="preserve">por el </w:t>
      </w:r>
      <w:r w:rsidR="008D6275" w:rsidRPr="0064010A">
        <w:rPr>
          <w:bCs/>
          <w:i w:val="0"/>
          <w:szCs w:val="20"/>
          <w:lang w:val="es-CR"/>
        </w:rPr>
        <w:t>Estado</w:t>
      </w:r>
      <w:r w:rsidR="008D6275" w:rsidRPr="0064010A">
        <w:rPr>
          <w:bCs/>
          <w:i w:val="0"/>
          <w:szCs w:val="20"/>
        </w:rPr>
        <w:t xml:space="preserve">. Ello permite a este Tribunal </w:t>
      </w:r>
      <w:r w:rsidR="000A7F2C">
        <w:rPr>
          <w:bCs/>
          <w:i w:val="0"/>
          <w:szCs w:val="20"/>
        </w:rPr>
        <w:t>emitir</w:t>
      </w:r>
      <w:r w:rsidR="008D6275" w:rsidRPr="0064010A">
        <w:rPr>
          <w:bCs/>
          <w:i w:val="0"/>
          <w:szCs w:val="20"/>
        </w:rPr>
        <w:t xml:space="preserve"> una sentencia de forma más pronta que si se hubiere llevado a término el proceso internacional. De esta </w:t>
      </w:r>
      <w:r w:rsidR="00AE595C">
        <w:rPr>
          <w:bCs/>
          <w:i w:val="0"/>
          <w:szCs w:val="20"/>
        </w:rPr>
        <w:t>manera</w:t>
      </w:r>
      <w:r w:rsidR="008D6275" w:rsidRPr="0064010A">
        <w:rPr>
          <w:bCs/>
          <w:i w:val="0"/>
          <w:szCs w:val="20"/>
        </w:rPr>
        <w:t>, la controversia en el proceso concluyó sin necesidad de efectuar una audiencia pública y sin que se llevara a cabo la etapa del procedimiento final escrito</w:t>
      </w:r>
      <w:r w:rsidR="008D6275" w:rsidRPr="0064010A">
        <w:rPr>
          <w:bCs/>
          <w:i w:val="0"/>
          <w:szCs w:val="20"/>
          <w:vertAlign w:val="superscript"/>
        </w:rPr>
        <w:footnoteReference w:id="19"/>
      </w:r>
      <w:r w:rsidR="008D6275" w:rsidRPr="0064010A">
        <w:rPr>
          <w:bCs/>
          <w:i w:val="0"/>
          <w:szCs w:val="20"/>
        </w:rPr>
        <w:t>.</w:t>
      </w:r>
    </w:p>
    <w:p w14:paraId="3A01206C" w14:textId="55C2FE3D" w:rsidR="008D6275" w:rsidRPr="0064010A" w:rsidRDefault="008D6275" w:rsidP="00F707A7">
      <w:pPr>
        <w:pStyle w:val="Estilo1"/>
        <w:numPr>
          <w:ilvl w:val="0"/>
          <w:numId w:val="2"/>
        </w:numPr>
        <w:tabs>
          <w:tab w:val="left" w:pos="0"/>
        </w:tabs>
        <w:spacing w:before="120"/>
        <w:ind w:left="0" w:right="-4" w:firstLine="0"/>
        <w:rPr>
          <w:bCs/>
          <w:i w:val="0"/>
          <w:szCs w:val="20"/>
        </w:rPr>
      </w:pPr>
      <w:r w:rsidRPr="0064010A">
        <w:rPr>
          <w:bCs/>
          <w:i w:val="0"/>
          <w:szCs w:val="20"/>
        </w:rPr>
        <w:t xml:space="preserve">De conformidad con los términos en que fue suscrito el Acuerdo, este Tribunal considera que ha cesado la </w:t>
      </w:r>
      <w:r w:rsidRPr="0064010A">
        <w:rPr>
          <w:bCs/>
          <w:i w:val="0"/>
          <w:szCs w:val="20"/>
          <w:lang w:val="es-CR"/>
        </w:rPr>
        <w:t>controversia</w:t>
      </w:r>
      <w:r w:rsidRPr="0064010A">
        <w:rPr>
          <w:bCs/>
          <w:i w:val="0"/>
          <w:szCs w:val="20"/>
        </w:rPr>
        <w:t xml:space="preserve"> sobre los hechos. Si bien lo anterior hace que no sea </w:t>
      </w:r>
      <w:r w:rsidR="00F3271F">
        <w:rPr>
          <w:bCs/>
          <w:i w:val="0"/>
          <w:szCs w:val="20"/>
        </w:rPr>
        <w:t>necesario</w:t>
      </w:r>
      <w:r w:rsidR="00F3271F" w:rsidRPr="0064010A">
        <w:rPr>
          <w:bCs/>
          <w:i w:val="0"/>
          <w:szCs w:val="20"/>
        </w:rPr>
        <w:t xml:space="preserve"> </w:t>
      </w:r>
      <w:r w:rsidRPr="0064010A">
        <w:rPr>
          <w:bCs/>
          <w:i w:val="0"/>
          <w:szCs w:val="20"/>
        </w:rPr>
        <w:t xml:space="preserve">que </w:t>
      </w:r>
      <w:r w:rsidR="0024276D" w:rsidRPr="0064010A">
        <w:rPr>
          <w:bCs/>
          <w:i w:val="0"/>
          <w:szCs w:val="20"/>
        </w:rPr>
        <w:t>se</w:t>
      </w:r>
      <w:r w:rsidRPr="0064010A">
        <w:rPr>
          <w:bCs/>
          <w:i w:val="0"/>
          <w:szCs w:val="20"/>
        </w:rPr>
        <w:t xml:space="preserve"> realice una determinación propia de hechos y </w:t>
      </w:r>
      <w:r w:rsidR="000A7F2C">
        <w:rPr>
          <w:bCs/>
          <w:i w:val="0"/>
          <w:szCs w:val="20"/>
        </w:rPr>
        <w:t xml:space="preserve">de las </w:t>
      </w:r>
      <w:r w:rsidRPr="0064010A">
        <w:rPr>
          <w:bCs/>
          <w:i w:val="0"/>
          <w:szCs w:val="20"/>
        </w:rPr>
        <w:t>consecuencias jurídicas, en aras de asegurar una mejor comprensión del caso</w:t>
      </w:r>
      <w:r w:rsidR="008677BE" w:rsidRPr="0064010A">
        <w:rPr>
          <w:bCs/>
          <w:i w:val="0"/>
          <w:szCs w:val="20"/>
        </w:rPr>
        <w:t>, y en particular a la luz de lo convenido en el Acuerdo</w:t>
      </w:r>
      <w:r w:rsidR="00C35B9E" w:rsidRPr="0064010A">
        <w:rPr>
          <w:bCs/>
          <w:i w:val="0"/>
          <w:szCs w:val="20"/>
        </w:rPr>
        <w:t xml:space="preserve">, </w:t>
      </w:r>
      <w:r w:rsidRPr="0064010A">
        <w:rPr>
          <w:bCs/>
          <w:i w:val="0"/>
          <w:szCs w:val="20"/>
        </w:rPr>
        <w:t xml:space="preserve">la Corte </w:t>
      </w:r>
      <w:r w:rsidR="008677BE" w:rsidRPr="0064010A">
        <w:rPr>
          <w:bCs/>
          <w:i w:val="0"/>
          <w:szCs w:val="20"/>
        </w:rPr>
        <w:t xml:space="preserve">estima </w:t>
      </w:r>
      <w:r w:rsidR="00F3271F">
        <w:rPr>
          <w:bCs/>
          <w:i w:val="0"/>
          <w:szCs w:val="20"/>
        </w:rPr>
        <w:t>conveniente</w:t>
      </w:r>
      <w:r w:rsidR="00F3271F" w:rsidRPr="0064010A">
        <w:rPr>
          <w:bCs/>
          <w:i w:val="0"/>
          <w:szCs w:val="20"/>
        </w:rPr>
        <w:t xml:space="preserve"> </w:t>
      </w:r>
      <w:r w:rsidRPr="0064010A">
        <w:rPr>
          <w:bCs/>
          <w:i w:val="0"/>
          <w:szCs w:val="20"/>
        </w:rPr>
        <w:t xml:space="preserve">efectuar un resumen de hechos y antecedentes pertinentes </w:t>
      </w:r>
      <w:r w:rsidR="0024276D" w:rsidRPr="0064010A">
        <w:rPr>
          <w:bCs/>
          <w:i w:val="0"/>
          <w:szCs w:val="20"/>
        </w:rPr>
        <w:t>con</w:t>
      </w:r>
      <w:r w:rsidRPr="0064010A">
        <w:rPr>
          <w:bCs/>
          <w:i w:val="0"/>
          <w:szCs w:val="20"/>
        </w:rPr>
        <w:t xml:space="preserve"> base </w:t>
      </w:r>
      <w:r w:rsidR="0024276D" w:rsidRPr="0064010A">
        <w:rPr>
          <w:bCs/>
          <w:i w:val="0"/>
          <w:szCs w:val="20"/>
        </w:rPr>
        <w:t>en</w:t>
      </w:r>
      <w:r w:rsidRPr="0064010A">
        <w:rPr>
          <w:bCs/>
          <w:i w:val="0"/>
          <w:szCs w:val="20"/>
        </w:rPr>
        <w:t xml:space="preserve"> los contenidos en el Informe </w:t>
      </w:r>
      <w:r w:rsidR="00635D25">
        <w:rPr>
          <w:bCs/>
          <w:i w:val="0"/>
          <w:szCs w:val="20"/>
        </w:rPr>
        <w:t>de Fondo</w:t>
      </w:r>
      <w:r w:rsidRPr="0064010A">
        <w:rPr>
          <w:bCs/>
          <w:i w:val="0"/>
          <w:szCs w:val="20"/>
        </w:rPr>
        <w:t xml:space="preserve"> (</w:t>
      </w:r>
      <w:r w:rsidRPr="0064010A">
        <w:rPr>
          <w:bCs/>
          <w:szCs w:val="20"/>
        </w:rPr>
        <w:t>infra</w:t>
      </w:r>
      <w:r w:rsidRPr="0064010A">
        <w:rPr>
          <w:bCs/>
          <w:i w:val="0"/>
          <w:szCs w:val="20"/>
        </w:rPr>
        <w:t xml:space="preserve"> Capítulo </w:t>
      </w:r>
      <w:r w:rsidR="00112BE9">
        <w:rPr>
          <w:bCs/>
          <w:i w:val="0"/>
          <w:szCs w:val="20"/>
        </w:rPr>
        <w:t>V</w:t>
      </w:r>
      <w:r w:rsidR="00C35B9E" w:rsidRPr="0064010A">
        <w:rPr>
          <w:bCs/>
          <w:i w:val="0"/>
          <w:szCs w:val="20"/>
        </w:rPr>
        <w:t>).</w:t>
      </w:r>
    </w:p>
    <w:p w14:paraId="5845A10E" w14:textId="0B057B88" w:rsidR="008D6275" w:rsidRPr="0064010A" w:rsidRDefault="008D6275" w:rsidP="007802E5">
      <w:pPr>
        <w:pStyle w:val="Estilo1"/>
        <w:numPr>
          <w:ilvl w:val="0"/>
          <w:numId w:val="2"/>
        </w:numPr>
        <w:tabs>
          <w:tab w:val="left" w:pos="0"/>
        </w:tabs>
        <w:spacing w:before="120"/>
        <w:ind w:left="0" w:right="-4" w:firstLine="0"/>
        <w:rPr>
          <w:i w:val="0"/>
          <w:szCs w:val="20"/>
          <w:lang w:val="es-CR"/>
        </w:rPr>
      </w:pPr>
      <w:r w:rsidRPr="0064010A">
        <w:rPr>
          <w:i w:val="0"/>
          <w:szCs w:val="20"/>
          <w:lang w:val="es-CR"/>
        </w:rPr>
        <w:t xml:space="preserve">Por otro lado, aunque el Tribunal considera que también ha cesado la controversia sobre los argumentos </w:t>
      </w:r>
      <w:r w:rsidRPr="0064010A">
        <w:rPr>
          <w:bCs/>
          <w:i w:val="0"/>
          <w:szCs w:val="20"/>
        </w:rPr>
        <w:t>relativos</w:t>
      </w:r>
      <w:r w:rsidRPr="0064010A">
        <w:rPr>
          <w:i w:val="0"/>
          <w:szCs w:val="20"/>
          <w:lang w:val="es-CR"/>
        </w:rPr>
        <w:t xml:space="preserve"> a las violaciones de los derechos a la vida, libertad de asociación y derechos políticos en perjuicio de Carlos Escaleras Mejía, y de los derechos a la integridad personal, garantías judiciales y protección judicial en perjuicio de sus familiares, se hará referencia a las violaciones de los derechos señalados, por estimarlo así necesario este Tribunal (</w:t>
      </w:r>
      <w:r w:rsidRPr="0064010A">
        <w:rPr>
          <w:szCs w:val="20"/>
          <w:lang w:val="es-CR"/>
        </w:rPr>
        <w:t>infra</w:t>
      </w:r>
      <w:r w:rsidRPr="0064010A">
        <w:rPr>
          <w:i w:val="0"/>
          <w:szCs w:val="20"/>
          <w:lang w:val="es-CR"/>
        </w:rPr>
        <w:t xml:space="preserve"> Capítulo</w:t>
      </w:r>
      <w:r w:rsidR="00112BE9">
        <w:rPr>
          <w:i w:val="0"/>
          <w:szCs w:val="20"/>
          <w:lang w:val="es-CR"/>
        </w:rPr>
        <w:t xml:space="preserve"> VI</w:t>
      </w:r>
      <w:r w:rsidR="00C35B9E" w:rsidRPr="0064010A">
        <w:rPr>
          <w:i w:val="0"/>
          <w:szCs w:val="20"/>
          <w:lang w:val="es-CR"/>
        </w:rPr>
        <w:t xml:space="preserve">). </w:t>
      </w:r>
      <w:r w:rsidRPr="00807619">
        <w:rPr>
          <w:i w:val="0"/>
          <w:szCs w:val="20"/>
          <w:lang w:val="es-CR"/>
        </w:rPr>
        <w:t>Posteriormente, se analizará el acuerdo a fin de determinar la procedencia de su homologación (</w:t>
      </w:r>
      <w:r w:rsidRPr="00807619">
        <w:rPr>
          <w:szCs w:val="20"/>
          <w:lang w:val="es-CR"/>
        </w:rPr>
        <w:t>infra</w:t>
      </w:r>
      <w:r w:rsidRPr="00807619">
        <w:rPr>
          <w:i w:val="0"/>
          <w:szCs w:val="20"/>
          <w:lang w:val="es-CR"/>
        </w:rPr>
        <w:t xml:space="preserve"> Capítulo </w:t>
      </w:r>
      <w:r w:rsidR="00C35B9E">
        <w:rPr>
          <w:i w:val="0"/>
          <w:szCs w:val="20"/>
          <w:lang w:val="es-CR"/>
        </w:rPr>
        <w:t>V</w:t>
      </w:r>
      <w:r w:rsidR="00112BE9">
        <w:rPr>
          <w:i w:val="0"/>
          <w:szCs w:val="20"/>
          <w:lang w:val="es-CR"/>
        </w:rPr>
        <w:t>II</w:t>
      </w:r>
      <w:r w:rsidR="00C35B9E" w:rsidRPr="00807619">
        <w:rPr>
          <w:i w:val="0"/>
          <w:szCs w:val="20"/>
          <w:lang w:val="es-CR"/>
        </w:rPr>
        <w:t>).</w:t>
      </w:r>
    </w:p>
    <w:p w14:paraId="52BD4F77" w14:textId="3FFF221E" w:rsidR="00F57690" w:rsidRPr="0064010A" w:rsidRDefault="00F063D8" w:rsidP="00F063D8">
      <w:pPr>
        <w:pStyle w:val="Estilo1"/>
        <w:numPr>
          <w:ilvl w:val="0"/>
          <w:numId w:val="2"/>
        </w:numPr>
        <w:tabs>
          <w:tab w:val="left" w:pos="0"/>
        </w:tabs>
        <w:spacing w:before="120"/>
        <w:ind w:left="0" w:right="-4" w:firstLine="0"/>
        <w:rPr>
          <w:bCs/>
          <w:i w:val="0"/>
          <w:szCs w:val="20"/>
          <w:lang w:val="es-CR"/>
        </w:rPr>
      </w:pPr>
      <w:r w:rsidRPr="0064010A">
        <w:rPr>
          <w:bCs/>
          <w:i w:val="0"/>
          <w:szCs w:val="20"/>
          <w:lang w:val="es-CR"/>
        </w:rPr>
        <w:t>En ese mismo sentido, l</w:t>
      </w:r>
      <w:r w:rsidR="008D6275" w:rsidRPr="0064010A">
        <w:rPr>
          <w:bCs/>
          <w:i w:val="0"/>
          <w:szCs w:val="20"/>
          <w:lang w:val="es-CR"/>
        </w:rPr>
        <w:t xml:space="preserve">a Corte observa que </w:t>
      </w:r>
      <w:r w:rsidRPr="0064010A">
        <w:rPr>
          <w:bCs/>
          <w:i w:val="0"/>
          <w:szCs w:val="20"/>
          <w:lang w:val="es-CR"/>
        </w:rPr>
        <w:t xml:space="preserve">el acuerdo de solución amistosa establece que “[a] pesar de que en el presente caso ha cesado la controversia sobre los hechos y la responsabilidad internacional del </w:t>
      </w:r>
      <w:r w:rsidRPr="0064010A">
        <w:rPr>
          <w:i w:val="0"/>
          <w:szCs w:val="20"/>
          <w:lang w:val="es-CR"/>
        </w:rPr>
        <w:t>Estado</w:t>
      </w:r>
      <w:r w:rsidRPr="0064010A">
        <w:rPr>
          <w:bCs/>
          <w:i w:val="0"/>
          <w:szCs w:val="20"/>
          <w:lang w:val="es-CR"/>
        </w:rPr>
        <w:t xml:space="preserve"> […], y que se han pactado las reparaciones correspondientes, subs</w:t>
      </w:r>
      <w:r w:rsidR="00F3271F">
        <w:rPr>
          <w:bCs/>
          <w:i w:val="0"/>
          <w:szCs w:val="20"/>
          <w:lang w:val="es-CR"/>
        </w:rPr>
        <w:t>[</w:t>
      </w:r>
      <w:r w:rsidRPr="0064010A">
        <w:rPr>
          <w:bCs/>
          <w:i w:val="0"/>
          <w:szCs w:val="20"/>
          <w:lang w:val="es-CR"/>
        </w:rPr>
        <w:t>i</w:t>
      </w:r>
      <w:r w:rsidR="00F3271F">
        <w:rPr>
          <w:bCs/>
          <w:i w:val="0"/>
          <w:szCs w:val="20"/>
          <w:lang w:val="es-CR"/>
        </w:rPr>
        <w:t>]</w:t>
      </w:r>
      <w:r w:rsidRPr="0064010A">
        <w:rPr>
          <w:bCs/>
          <w:i w:val="0"/>
          <w:szCs w:val="20"/>
          <w:lang w:val="es-CR"/>
        </w:rPr>
        <w:t xml:space="preserve">ste la necesidad de contar con jurisprudencia sobre el </w:t>
      </w:r>
      <w:r w:rsidRPr="0064010A">
        <w:rPr>
          <w:bCs/>
          <w:i w:val="0"/>
          <w:szCs w:val="20"/>
          <w:lang w:val="es-CR"/>
        </w:rPr>
        <w:lastRenderedPageBreak/>
        <w:t xml:space="preserve">contenido y los alcances del derecho a defender derechos humanos, a efectos de que hechos como los acontecidos en el presente caso no se repitan, dado que el mismo se refiere a un defensor de derechos humanos”. </w:t>
      </w:r>
    </w:p>
    <w:p w14:paraId="7F18117D" w14:textId="142F9A71" w:rsidR="008D6275" w:rsidRPr="0064010A" w:rsidRDefault="00F063D8" w:rsidP="00B347C4">
      <w:pPr>
        <w:pStyle w:val="Estilo1"/>
        <w:numPr>
          <w:ilvl w:val="0"/>
          <w:numId w:val="2"/>
        </w:numPr>
        <w:tabs>
          <w:tab w:val="left" w:pos="0"/>
        </w:tabs>
        <w:spacing w:before="120"/>
        <w:ind w:left="0" w:right="-4" w:firstLine="0"/>
        <w:rPr>
          <w:bCs/>
          <w:i w:val="0"/>
          <w:szCs w:val="20"/>
          <w:lang w:val="es-CR"/>
        </w:rPr>
      </w:pPr>
      <w:r w:rsidRPr="0064010A">
        <w:rPr>
          <w:bCs/>
          <w:i w:val="0"/>
          <w:szCs w:val="20"/>
          <w:lang w:val="es-CR"/>
        </w:rPr>
        <w:t xml:space="preserve">Sobre este punto, la Corte advierte que </w:t>
      </w:r>
      <w:r w:rsidR="008D6275" w:rsidRPr="0064010A">
        <w:rPr>
          <w:bCs/>
          <w:i w:val="0"/>
          <w:szCs w:val="20"/>
          <w:lang w:val="es-CR"/>
        </w:rPr>
        <w:t>el Informe de Fondo</w:t>
      </w:r>
      <w:r w:rsidRPr="0064010A">
        <w:rPr>
          <w:bCs/>
          <w:i w:val="0"/>
          <w:szCs w:val="20"/>
          <w:lang w:val="es-CR"/>
        </w:rPr>
        <w:t xml:space="preserve"> </w:t>
      </w:r>
      <w:r w:rsidR="008D6275" w:rsidRPr="0064010A">
        <w:rPr>
          <w:bCs/>
          <w:i w:val="0"/>
          <w:szCs w:val="20"/>
          <w:lang w:val="es-CR"/>
        </w:rPr>
        <w:t xml:space="preserve">mencionó ciertos estándares aplicables a </w:t>
      </w:r>
      <w:r w:rsidR="000F0E6A" w:rsidRPr="0064010A">
        <w:rPr>
          <w:bCs/>
          <w:i w:val="0"/>
          <w:szCs w:val="20"/>
          <w:lang w:val="es-CR"/>
        </w:rPr>
        <w:t xml:space="preserve">los defensores de derechos humanos y al derecho a defender los derechos humanos </w:t>
      </w:r>
      <w:r w:rsidR="008D6275" w:rsidRPr="0064010A">
        <w:rPr>
          <w:bCs/>
          <w:i w:val="0"/>
          <w:szCs w:val="20"/>
          <w:lang w:val="es-CR"/>
        </w:rPr>
        <w:t xml:space="preserve">a propósito del análisis sobre la violación de los derechos a las garantías judiciales y protección judicial, a la vida, a la libertad de asociación y derechos políticos. </w:t>
      </w:r>
      <w:r w:rsidR="000F0E6A" w:rsidRPr="0064010A">
        <w:rPr>
          <w:bCs/>
          <w:i w:val="0"/>
          <w:szCs w:val="20"/>
          <w:lang w:val="es-CR"/>
        </w:rPr>
        <w:t xml:space="preserve">Con posterioridad, </w:t>
      </w:r>
      <w:r w:rsidR="008D6275" w:rsidRPr="0064010A">
        <w:rPr>
          <w:bCs/>
          <w:i w:val="0"/>
          <w:szCs w:val="20"/>
          <w:lang w:val="es-CR"/>
        </w:rPr>
        <w:t>los representantes de las presuntas víctimas alegaron la violación del derecho a defender derechos humanos como un derecho constituido en el presente caso por los derechos contenidos en los artículos 13.1, 15, 16.1, 23.1.a y 25.1 de la Convención</w:t>
      </w:r>
      <w:r w:rsidR="00C35B9E" w:rsidRPr="0064010A">
        <w:rPr>
          <w:bCs/>
          <w:i w:val="0"/>
          <w:szCs w:val="20"/>
          <w:lang w:val="es-CR"/>
        </w:rPr>
        <w:t>.</w:t>
      </w:r>
    </w:p>
    <w:p w14:paraId="5963DB47" w14:textId="19E91DBE" w:rsidR="008D6275" w:rsidRPr="00C35B9E" w:rsidRDefault="008D6275">
      <w:pPr>
        <w:pStyle w:val="Estilo1"/>
        <w:numPr>
          <w:ilvl w:val="0"/>
          <w:numId w:val="2"/>
        </w:numPr>
        <w:tabs>
          <w:tab w:val="left" w:pos="0"/>
        </w:tabs>
        <w:spacing w:before="120"/>
        <w:ind w:left="0" w:right="-4" w:firstLine="0"/>
        <w:rPr>
          <w:bCs/>
          <w:i w:val="0"/>
          <w:szCs w:val="20"/>
          <w:lang w:val="es-CR"/>
        </w:rPr>
      </w:pPr>
      <w:r w:rsidRPr="00152E5A">
        <w:rPr>
          <w:bCs/>
          <w:i w:val="0"/>
          <w:szCs w:val="20"/>
          <w:lang w:val="es-CR"/>
        </w:rPr>
        <w:t xml:space="preserve">En razón de lo indicado, conforme lo solicitado por las partes </w:t>
      </w:r>
      <w:r w:rsidRPr="00152E5A">
        <w:rPr>
          <w:bCs/>
          <w:i w:val="0"/>
          <w:szCs w:val="20"/>
        </w:rPr>
        <w:t xml:space="preserve">en el Acuerdo y por considerarlo conveniente este Tribunal, se desarrollará el contenido y alcance del derecho a defender derechos humanos, </w:t>
      </w:r>
      <w:r w:rsidRPr="006A6A96">
        <w:rPr>
          <w:bCs/>
          <w:i w:val="0"/>
          <w:szCs w:val="20"/>
          <w:lang w:val="es-ES"/>
        </w:rPr>
        <w:t>toda vez que</w:t>
      </w:r>
      <w:r w:rsidRPr="00A85901">
        <w:rPr>
          <w:bCs/>
          <w:szCs w:val="20"/>
          <w:lang w:val="es-ES"/>
        </w:rPr>
        <w:t xml:space="preserve"> </w:t>
      </w:r>
      <w:r w:rsidRPr="00C35B9E">
        <w:rPr>
          <w:bCs/>
          <w:i w:val="0"/>
          <w:szCs w:val="20"/>
          <w:lang w:val="es-ES"/>
        </w:rPr>
        <w:t>la emisión de la Sentencia contribuye a la reparación de los familiares de la víctima fallecida en el caso, a evitar que se repitan hechos similares y a satisfacer los fines de la jurisdicción interamericana sobre derechos humanos</w:t>
      </w:r>
      <w:r w:rsidRPr="0064010A">
        <w:rPr>
          <w:bCs/>
          <w:i w:val="0"/>
          <w:szCs w:val="20"/>
          <w:vertAlign w:val="superscript"/>
        </w:rPr>
        <w:footnoteReference w:id="20"/>
      </w:r>
      <w:r w:rsidRPr="00C35B9E">
        <w:rPr>
          <w:bCs/>
          <w:i w:val="0"/>
          <w:szCs w:val="20"/>
        </w:rPr>
        <w:t>. Lo anterior se hará en relación con las violaciones de derechos alegadas, según se analizará más adelante (</w:t>
      </w:r>
      <w:r w:rsidRPr="00C35B9E">
        <w:rPr>
          <w:bCs/>
          <w:szCs w:val="20"/>
        </w:rPr>
        <w:t>infra</w:t>
      </w:r>
      <w:r w:rsidRPr="00C35B9E">
        <w:rPr>
          <w:bCs/>
          <w:i w:val="0"/>
          <w:szCs w:val="20"/>
        </w:rPr>
        <w:t xml:space="preserve"> Capítulo </w:t>
      </w:r>
      <w:r w:rsidR="00C35B9E">
        <w:rPr>
          <w:bCs/>
          <w:i w:val="0"/>
          <w:szCs w:val="20"/>
        </w:rPr>
        <w:t>V</w:t>
      </w:r>
      <w:r w:rsidR="00112BE9">
        <w:rPr>
          <w:bCs/>
          <w:i w:val="0"/>
          <w:szCs w:val="20"/>
        </w:rPr>
        <w:t>II</w:t>
      </w:r>
      <w:r w:rsidR="00C35B9E">
        <w:rPr>
          <w:bCs/>
          <w:i w:val="0"/>
          <w:szCs w:val="20"/>
        </w:rPr>
        <w:t>I</w:t>
      </w:r>
      <w:r w:rsidR="00C35B9E" w:rsidRPr="00C35B9E">
        <w:rPr>
          <w:bCs/>
          <w:i w:val="0"/>
          <w:szCs w:val="20"/>
        </w:rPr>
        <w:t>).</w:t>
      </w:r>
    </w:p>
    <w:p w14:paraId="68403449" w14:textId="421E0D63" w:rsidR="008D6275" w:rsidRPr="0064010A" w:rsidRDefault="008D6275" w:rsidP="00B347C4">
      <w:pPr>
        <w:pStyle w:val="Estilo1"/>
        <w:numPr>
          <w:ilvl w:val="0"/>
          <w:numId w:val="2"/>
        </w:numPr>
        <w:tabs>
          <w:tab w:val="left" w:pos="0"/>
        </w:tabs>
        <w:spacing w:before="120"/>
        <w:ind w:left="0" w:right="-4" w:firstLine="0"/>
        <w:rPr>
          <w:i w:val="0"/>
        </w:rPr>
      </w:pPr>
      <w:r w:rsidRPr="0064010A">
        <w:rPr>
          <w:bCs/>
          <w:i w:val="0"/>
          <w:szCs w:val="20"/>
          <w:lang w:val="es-ES"/>
        </w:rPr>
        <w:t>Finalmente</w:t>
      </w:r>
      <w:r w:rsidRPr="0064010A">
        <w:rPr>
          <w:bCs/>
          <w:i w:val="0"/>
          <w:szCs w:val="20"/>
        </w:rPr>
        <w:t xml:space="preserve">, la Corte valora </w:t>
      </w:r>
      <w:r w:rsidR="00152E5A">
        <w:rPr>
          <w:bCs/>
          <w:i w:val="0"/>
          <w:szCs w:val="20"/>
        </w:rPr>
        <w:t xml:space="preserve">positivamente </w:t>
      </w:r>
      <w:r w:rsidRPr="0064010A">
        <w:rPr>
          <w:bCs/>
          <w:i w:val="0"/>
          <w:szCs w:val="20"/>
        </w:rPr>
        <w:t>la voluntad de Honduras de reparar de manera integral los daños ocasionados a las víctimas por las violaciones producidas en el presente caso y evitar que se repitan tales violaciones. Respecto de las medidas de reparación descritas en el acuerdo convenido por el Estado, las víctimas y sus representantes, la Corte las analizará con el fin de determinar la procedencia de su homologación, y en su caso, su alcance y formas de ejecución (</w:t>
      </w:r>
      <w:r w:rsidRPr="0064010A">
        <w:rPr>
          <w:bCs/>
          <w:szCs w:val="20"/>
        </w:rPr>
        <w:t>infra</w:t>
      </w:r>
      <w:r w:rsidRPr="0064010A">
        <w:rPr>
          <w:bCs/>
          <w:i w:val="0"/>
          <w:szCs w:val="20"/>
        </w:rPr>
        <w:t xml:space="preserve"> Capítulo </w:t>
      </w:r>
      <w:r w:rsidR="00112BE9">
        <w:rPr>
          <w:bCs/>
          <w:i w:val="0"/>
          <w:szCs w:val="20"/>
        </w:rPr>
        <w:t>IX</w:t>
      </w:r>
      <w:r w:rsidR="00C35B9E" w:rsidRPr="0064010A">
        <w:rPr>
          <w:bCs/>
          <w:i w:val="0"/>
          <w:szCs w:val="20"/>
        </w:rPr>
        <w:t>).</w:t>
      </w:r>
    </w:p>
    <w:p w14:paraId="0957A323" w14:textId="5EFDBE74" w:rsidR="0078010D" w:rsidRPr="0064010A" w:rsidRDefault="0078010D" w:rsidP="0078010D">
      <w:pPr>
        <w:pStyle w:val="Heading1"/>
      </w:pPr>
      <w:bookmarkStart w:id="77" w:name="_Toc438132279"/>
      <w:bookmarkStart w:id="78" w:name="_Toc442082546"/>
      <w:bookmarkStart w:id="79" w:name="_Toc486693364"/>
      <w:bookmarkStart w:id="80" w:name="_Toc486842780"/>
      <w:bookmarkStart w:id="81" w:name="_Toc486842918"/>
      <w:bookmarkStart w:id="82" w:name="_Toc525713973"/>
      <w:bookmarkStart w:id="83" w:name="_Toc438132294"/>
      <w:bookmarkStart w:id="84" w:name="_Toc442082547"/>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64010A">
        <w:t>V</w:t>
      </w:r>
      <w:r w:rsidRPr="0064010A">
        <w:rPr>
          <w:color w:val="FFFFFF" w:themeColor="background1"/>
        </w:rPr>
        <w:t>.</w:t>
      </w:r>
      <w:r w:rsidR="00C22EDA" w:rsidRPr="0064010A">
        <w:br/>
      </w:r>
      <w:r w:rsidRPr="0064010A">
        <w:t>HECHOS</w:t>
      </w:r>
      <w:bookmarkEnd w:id="77"/>
      <w:bookmarkEnd w:id="78"/>
      <w:bookmarkEnd w:id="79"/>
      <w:bookmarkEnd w:id="80"/>
      <w:bookmarkEnd w:id="81"/>
      <w:bookmarkEnd w:id="82"/>
    </w:p>
    <w:bookmarkEnd w:id="83"/>
    <w:bookmarkEnd w:id="84"/>
    <w:p w14:paraId="21E18979" w14:textId="06C1739C" w:rsidR="00C304C1" w:rsidRPr="003A75CA" w:rsidRDefault="00F953BF" w:rsidP="00EB06D1">
      <w:pPr>
        <w:pStyle w:val="Estilo1"/>
        <w:numPr>
          <w:ilvl w:val="0"/>
          <w:numId w:val="2"/>
        </w:numPr>
        <w:tabs>
          <w:tab w:val="left" w:pos="0"/>
        </w:tabs>
        <w:spacing w:before="120"/>
        <w:ind w:left="0" w:right="-4" w:firstLine="0"/>
        <w:rPr>
          <w:i w:val="0"/>
          <w:szCs w:val="20"/>
          <w:lang w:val="es-CR"/>
        </w:rPr>
      </w:pPr>
      <w:r w:rsidRPr="003A75CA">
        <w:rPr>
          <w:i w:val="0"/>
          <w:szCs w:val="20"/>
          <w:lang w:val="es-CR"/>
        </w:rPr>
        <w:t>El acuerdo de solución amistosa</w:t>
      </w:r>
      <w:r w:rsidR="007B3CEC" w:rsidRPr="003A75CA">
        <w:rPr>
          <w:i w:val="0"/>
          <w:szCs w:val="20"/>
          <w:lang w:val="es-CR"/>
        </w:rPr>
        <w:t xml:space="preserve"> establece que “el Estado acepta que los hechos que conforman la base factual</w:t>
      </w:r>
      <w:r w:rsidRPr="003A75CA">
        <w:rPr>
          <w:i w:val="0"/>
          <w:szCs w:val="20"/>
          <w:lang w:val="es-CR"/>
        </w:rPr>
        <w:t xml:space="preserve"> [del mismo] y, por ende,</w:t>
      </w:r>
      <w:r w:rsidR="006400E4" w:rsidRPr="003A75CA">
        <w:rPr>
          <w:bCs/>
          <w:i w:val="0"/>
          <w:szCs w:val="20"/>
        </w:rPr>
        <w:t xml:space="preserve"> </w:t>
      </w:r>
      <w:r w:rsidRPr="003A75CA">
        <w:rPr>
          <w:bCs/>
          <w:i w:val="0"/>
          <w:szCs w:val="20"/>
        </w:rPr>
        <w:t xml:space="preserve">del </w:t>
      </w:r>
      <w:r w:rsidR="006400E4" w:rsidRPr="003A75CA">
        <w:rPr>
          <w:bCs/>
          <w:i w:val="0"/>
          <w:szCs w:val="20"/>
        </w:rPr>
        <w:t xml:space="preserve">reconocimiento de responsabilidad </w:t>
      </w:r>
      <w:r w:rsidRPr="003A75CA">
        <w:rPr>
          <w:i w:val="0"/>
          <w:szCs w:val="20"/>
          <w:lang w:val="es-CR"/>
        </w:rPr>
        <w:t xml:space="preserve">son </w:t>
      </w:r>
      <w:r w:rsidR="006400E4" w:rsidRPr="003A75CA">
        <w:rPr>
          <w:i w:val="0"/>
          <w:szCs w:val="20"/>
          <w:lang w:val="es-CR"/>
        </w:rPr>
        <w:t xml:space="preserve">aquellos hechos probados determinados por la [Comisión] en su Informe de </w:t>
      </w:r>
      <w:r w:rsidR="004C3FFD">
        <w:rPr>
          <w:i w:val="0"/>
          <w:szCs w:val="20"/>
          <w:lang w:val="es-CR"/>
        </w:rPr>
        <w:t>[F]</w:t>
      </w:r>
      <w:r w:rsidR="004C3FFD" w:rsidRPr="003A75CA">
        <w:rPr>
          <w:i w:val="0"/>
          <w:szCs w:val="20"/>
          <w:lang w:val="es-CR"/>
        </w:rPr>
        <w:t xml:space="preserve">ondo </w:t>
      </w:r>
      <w:r w:rsidR="006400E4" w:rsidRPr="003A75CA">
        <w:rPr>
          <w:i w:val="0"/>
          <w:szCs w:val="20"/>
          <w:lang w:val="es-CR"/>
        </w:rPr>
        <w:t>Nº 43/14 aprobado el 17 de julio de 2014</w:t>
      </w:r>
      <w:r w:rsidR="00EB06D1" w:rsidRPr="003A75CA">
        <w:rPr>
          <w:i w:val="0"/>
          <w:szCs w:val="20"/>
          <w:lang w:val="es-CR"/>
        </w:rPr>
        <w:t>” el cual “</w:t>
      </w:r>
      <w:r w:rsidR="006400E4" w:rsidRPr="003A75CA">
        <w:rPr>
          <w:i w:val="0"/>
          <w:szCs w:val="20"/>
          <w:lang w:val="es-CR"/>
        </w:rPr>
        <w:t xml:space="preserve">forma parte integral </w:t>
      </w:r>
      <w:r w:rsidR="00EB06D1" w:rsidRPr="003A75CA">
        <w:rPr>
          <w:i w:val="0"/>
          <w:szCs w:val="20"/>
          <w:lang w:val="es-CR"/>
        </w:rPr>
        <w:t>[del]</w:t>
      </w:r>
      <w:r w:rsidR="006400E4" w:rsidRPr="003A75CA">
        <w:rPr>
          <w:i w:val="0"/>
          <w:szCs w:val="20"/>
          <w:lang w:val="es-CR"/>
        </w:rPr>
        <w:t xml:space="preserve"> </w:t>
      </w:r>
      <w:r w:rsidR="00A85901">
        <w:rPr>
          <w:i w:val="0"/>
          <w:szCs w:val="20"/>
          <w:lang w:val="es-CR"/>
        </w:rPr>
        <w:t>[A]</w:t>
      </w:r>
      <w:r w:rsidR="006400E4" w:rsidRPr="003A75CA">
        <w:rPr>
          <w:i w:val="0"/>
          <w:szCs w:val="20"/>
          <w:lang w:val="es-CR"/>
        </w:rPr>
        <w:t>cuerdo</w:t>
      </w:r>
      <w:r w:rsidR="00EB06D1" w:rsidRPr="003A75CA">
        <w:rPr>
          <w:i w:val="0"/>
          <w:szCs w:val="20"/>
          <w:lang w:val="es-CR"/>
        </w:rPr>
        <w:t>”. En consecuencia,</w:t>
      </w:r>
      <w:r w:rsidR="004E2E3D" w:rsidRPr="003A75CA">
        <w:rPr>
          <w:i w:val="0"/>
          <w:szCs w:val="20"/>
          <w:lang w:val="es-CR"/>
        </w:rPr>
        <w:t xml:space="preserve"> tomando en cuenta lo anterior </w:t>
      </w:r>
      <w:r w:rsidR="00EB06D1" w:rsidRPr="003A75CA">
        <w:rPr>
          <w:i w:val="0"/>
          <w:szCs w:val="20"/>
          <w:lang w:val="es-CR"/>
        </w:rPr>
        <w:t xml:space="preserve">el </w:t>
      </w:r>
      <w:r w:rsidR="00C304C1" w:rsidRPr="003A75CA">
        <w:rPr>
          <w:bCs/>
          <w:i w:val="0"/>
          <w:szCs w:val="20"/>
          <w:lang w:val="es-ES"/>
        </w:rPr>
        <w:t>Tribunal</w:t>
      </w:r>
      <w:r w:rsidR="00C304C1" w:rsidRPr="003A75CA">
        <w:rPr>
          <w:i w:val="0"/>
          <w:szCs w:val="20"/>
          <w:lang w:val="es-CR"/>
        </w:rPr>
        <w:t xml:space="preserve"> se referirá sucintamente al contexto y hechos que configuraron las violaciones en el presente caso y que fueron </w:t>
      </w:r>
      <w:r w:rsidR="004C3FFD">
        <w:rPr>
          <w:i w:val="0"/>
          <w:szCs w:val="20"/>
          <w:lang w:val="es-CR"/>
        </w:rPr>
        <w:t>analizados</w:t>
      </w:r>
      <w:r w:rsidR="004C3FFD" w:rsidRPr="003A75CA">
        <w:rPr>
          <w:i w:val="0"/>
          <w:szCs w:val="20"/>
          <w:lang w:val="es-CR"/>
        </w:rPr>
        <w:t xml:space="preserve"> </w:t>
      </w:r>
      <w:r w:rsidR="00C304C1" w:rsidRPr="003A75CA">
        <w:rPr>
          <w:i w:val="0"/>
          <w:szCs w:val="20"/>
          <w:lang w:val="es-CR"/>
        </w:rPr>
        <w:t xml:space="preserve">en el capítulo IV. A. “Hechos Probados” del </w:t>
      </w:r>
      <w:r w:rsidR="00C304C1" w:rsidRPr="003A75CA">
        <w:rPr>
          <w:bCs/>
          <w:i w:val="0"/>
          <w:szCs w:val="20"/>
        </w:rPr>
        <w:t>Informe</w:t>
      </w:r>
      <w:r w:rsidR="00C304C1" w:rsidRPr="003A75CA">
        <w:rPr>
          <w:i w:val="0"/>
          <w:szCs w:val="20"/>
          <w:lang w:val="es-CR"/>
        </w:rPr>
        <w:t xml:space="preserve"> de Fondo</w:t>
      </w:r>
      <w:r w:rsidR="00F3271F">
        <w:rPr>
          <w:rStyle w:val="FootnoteReference"/>
          <w:i w:val="0"/>
          <w:lang w:val="es-CR"/>
        </w:rPr>
        <w:footnoteReference w:id="21"/>
      </w:r>
      <w:r w:rsidR="00C304C1" w:rsidRPr="003A75CA">
        <w:rPr>
          <w:i w:val="0"/>
          <w:szCs w:val="20"/>
          <w:lang w:val="es-CR"/>
        </w:rPr>
        <w:t>.</w:t>
      </w:r>
    </w:p>
    <w:p w14:paraId="435CEF6F" w14:textId="1DDE7800" w:rsidR="00BD53D7" w:rsidRPr="0064010A" w:rsidRDefault="00C304C1" w:rsidP="003D5096">
      <w:pPr>
        <w:pStyle w:val="ListParagraph"/>
        <w:numPr>
          <w:ilvl w:val="0"/>
          <w:numId w:val="6"/>
        </w:numPr>
        <w:tabs>
          <w:tab w:val="left" w:pos="567"/>
        </w:tabs>
        <w:autoSpaceDE w:val="0"/>
        <w:autoSpaceDN w:val="0"/>
        <w:adjustRightInd w:val="0"/>
        <w:spacing w:before="240" w:after="240"/>
        <w:contextualSpacing w:val="0"/>
        <w:outlineLvl w:val="1"/>
        <w:rPr>
          <w:b/>
          <w:i/>
          <w:szCs w:val="20"/>
        </w:rPr>
      </w:pPr>
      <w:bookmarkStart w:id="85" w:name="_Toc525713974"/>
      <w:bookmarkStart w:id="86" w:name="_Toc486693365"/>
      <w:bookmarkStart w:id="87" w:name="_Toc486842781"/>
      <w:bookmarkStart w:id="88" w:name="_Toc486842919"/>
      <w:r w:rsidRPr="0064010A">
        <w:rPr>
          <w:b/>
          <w:i/>
          <w:szCs w:val="20"/>
        </w:rPr>
        <w:t>Contexto</w:t>
      </w:r>
      <w:r w:rsidR="00FF0633" w:rsidRPr="0064010A">
        <w:rPr>
          <w:b/>
          <w:i/>
          <w:szCs w:val="20"/>
        </w:rPr>
        <w:t xml:space="preserve"> sobre</w:t>
      </w:r>
      <w:r w:rsidRPr="0064010A">
        <w:rPr>
          <w:b/>
          <w:i/>
          <w:szCs w:val="20"/>
        </w:rPr>
        <w:t xml:space="preserve"> </w:t>
      </w:r>
      <w:r w:rsidR="00FF0633" w:rsidRPr="0064010A">
        <w:rPr>
          <w:b/>
          <w:i/>
          <w:szCs w:val="20"/>
        </w:rPr>
        <w:t>la s</w:t>
      </w:r>
      <w:r w:rsidRPr="0064010A">
        <w:rPr>
          <w:b/>
          <w:i/>
          <w:szCs w:val="20"/>
        </w:rPr>
        <w:t>ituación de defensoras y defensores de los recursos ambientales en Honduras</w:t>
      </w:r>
      <w:bookmarkEnd w:id="85"/>
      <w:r w:rsidR="00AC65B5" w:rsidRPr="0064010A">
        <w:rPr>
          <w:b/>
          <w:i/>
          <w:szCs w:val="20"/>
        </w:rPr>
        <w:t xml:space="preserve"> </w:t>
      </w:r>
      <w:bookmarkEnd w:id="86"/>
      <w:bookmarkEnd w:id="87"/>
      <w:bookmarkEnd w:id="88"/>
    </w:p>
    <w:p w14:paraId="6D068870" w14:textId="5A0E39AD" w:rsidR="00C304C1" w:rsidRPr="0064010A" w:rsidRDefault="00C304C1" w:rsidP="00C304C1">
      <w:pPr>
        <w:pStyle w:val="Estilo1"/>
        <w:numPr>
          <w:ilvl w:val="0"/>
          <w:numId w:val="2"/>
        </w:numPr>
        <w:tabs>
          <w:tab w:val="left" w:pos="0"/>
        </w:tabs>
        <w:spacing w:before="120"/>
        <w:ind w:left="0" w:right="-4" w:firstLine="0"/>
        <w:rPr>
          <w:rFonts w:ascii="Times New Roman" w:hAnsi="Times New Roman" w:cs="Times New Roman"/>
          <w:i w:val="0"/>
          <w:sz w:val="24"/>
          <w:lang w:val="es-ES" w:eastAsia="es-ES"/>
        </w:rPr>
      </w:pPr>
      <w:r w:rsidRPr="0064010A">
        <w:rPr>
          <w:i w:val="0"/>
          <w:szCs w:val="20"/>
          <w:lang w:val="es-CR"/>
        </w:rPr>
        <w:t xml:space="preserve">Honduras cuenta con un gran patrimonio ambiental y una amplia diversidad biológica. </w:t>
      </w:r>
      <w:r w:rsidR="007B3CEC" w:rsidRPr="0064010A">
        <w:rPr>
          <w:i w:val="0"/>
          <w:szCs w:val="20"/>
          <w:lang w:val="es-CR"/>
        </w:rPr>
        <w:t>De conformidad con lo señalado por las partes y la Comisión, d</w:t>
      </w:r>
      <w:r w:rsidRPr="0064010A">
        <w:rPr>
          <w:i w:val="0"/>
          <w:szCs w:val="20"/>
          <w:lang w:val="es-CR"/>
        </w:rPr>
        <w:t xml:space="preserve">urante los últimos años </w:t>
      </w:r>
      <w:r w:rsidR="00FF0633" w:rsidRPr="0064010A">
        <w:rPr>
          <w:i w:val="0"/>
          <w:szCs w:val="20"/>
          <w:lang w:val="es-CR"/>
        </w:rPr>
        <w:t xml:space="preserve">se han reportado situaciones </w:t>
      </w:r>
      <w:r w:rsidR="007B3CEC" w:rsidRPr="0064010A">
        <w:rPr>
          <w:i w:val="0"/>
          <w:szCs w:val="20"/>
          <w:lang w:val="es-CR"/>
        </w:rPr>
        <w:t xml:space="preserve">de explotación ilegal de los mismos, las cuales han </w:t>
      </w:r>
      <w:r w:rsidRPr="0064010A">
        <w:rPr>
          <w:i w:val="0"/>
          <w:szCs w:val="20"/>
          <w:lang w:val="es-CR"/>
        </w:rPr>
        <w:t>provocado un grave deterioro a sus ecosistemas. Desde principios de la década de 1990, grupos de personas emprendieron iniciativas particulares para defender sus recursos y frenar la tala indiscriminada de bosques y</w:t>
      </w:r>
      <w:r w:rsidR="00597EB1">
        <w:rPr>
          <w:i w:val="0"/>
          <w:szCs w:val="20"/>
          <w:lang w:val="es-CR"/>
        </w:rPr>
        <w:t xml:space="preserve"> la degradación de las</w:t>
      </w:r>
      <w:r w:rsidRPr="0064010A">
        <w:rPr>
          <w:i w:val="0"/>
          <w:szCs w:val="20"/>
          <w:lang w:val="es-CR"/>
        </w:rPr>
        <w:t xml:space="preserve"> cuencas naturales. Como represalia, defensores y defensoras ambientalistas han sido víctimas de actos de </w:t>
      </w:r>
      <w:r w:rsidRPr="0064010A">
        <w:rPr>
          <w:i w:val="0"/>
          <w:szCs w:val="20"/>
          <w:lang w:val="es-CR"/>
        </w:rPr>
        <w:lastRenderedPageBreak/>
        <w:t xml:space="preserve">hostigamiento, amenazas, persecuciones y </w:t>
      </w:r>
      <w:r w:rsidR="00206D5D">
        <w:rPr>
          <w:i w:val="0"/>
          <w:szCs w:val="20"/>
          <w:lang w:val="es-CR"/>
        </w:rPr>
        <w:t>homicidios</w:t>
      </w:r>
      <w:r w:rsidRPr="0064010A">
        <w:rPr>
          <w:i w:val="0"/>
          <w:szCs w:val="20"/>
          <w:lang w:val="es-CR"/>
        </w:rPr>
        <w:t xml:space="preserve">. </w:t>
      </w:r>
      <w:r w:rsidR="007B3CEC" w:rsidRPr="0064010A">
        <w:rPr>
          <w:i w:val="0"/>
          <w:szCs w:val="20"/>
          <w:lang w:val="es-CR"/>
        </w:rPr>
        <w:t>Esta situación ha sido constata</w:t>
      </w:r>
      <w:r w:rsidR="00DB7D0C">
        <w:rPr>
          <w:i w:val="0"/>
          <w:szCs w:val="20"/>
          <w:lang w:val="es-CR"/>
        </w:rPr>
        <w:t>da</w:t>
      </w:r>
      <w:r w:rsidRPr="0064010A">
        <w:rPr>
          <w:i w:val="0"/>
          <w:szCs w:val="20"/>
          <w:lang w:val="es-CR"/>
        </w:rPr>
        <w:t xml:space="preserve"> </w:t>
      </w:r>
      <w:r w:rsidR="007B3CEC" w:rsidRPr="0064010A">
        <w:rPr>
          <w:i w:val="0"/>
          <w:szCs w:val="20"/>
          <w:lang w:val="es-CR"/>
        </w:rPr>
        <w:t xml:space="preserve">por esta Corte </w:t>
      </w:r>
      <w:r w:rsidRPr="0064010A">
        <w:rPr>
          <w:i w:val="0"/>
          <w:szCs w:val="20"/>
          <w:lang w:val="es-CR"/>
        </w:rPr>
        <w:t xml:space="preserve">en los casos </w:t>
      </w:r>
      <w:r w:rsidRPr="001F751D">
        <w:rPr>
          <w:szCs w:val="20"/>
          <w:lang w:val="es-CR"/>
        </w:rPr>
        <w:t>Kawas Fernández vs. Honduras</w:t>
      </w:r>
      <w:r w:rsidRPr="0064010A">
        <w:rPr>
          <w:i w:val="0"/>
          <w:szCs w:val="20"/>
          <w:lang w:val="es-CR"/>
        </w:rPr>
        <w:t xml:space="preserve"> y </w:t>
      </w:r>
      <w:r w:rsidRPr="001F751D">
        <w:rPr>
          <w:szCs w:val="20"/>
          <w:lang w:val="es-CR"/>
        </w:rPr>
        <w:t>Luna López vs. Honduras</w:t>
      </w:r>
      <w:r w:rsidRPr="0064010A">
        <w:rPr>
          <w:i w:val="0"/>
          <w:vertAlign w:val="superscript"/>
          <w:lang w:val="es-CR"/>
        </w:rPr>
        <w:footnoteReference w:id="22"/>
      </w:r>
      <w:r w:rsidRPr="0064010A">
        <w:rPr>
          <w:i w:val="0"/>
          <w:szCs w:val="20"/>
          <w:lang w:val="es-CR"/>
        </w:rPr>
        <w:t xml:space="preserve">, en los que ha determinado que durante la década de 1995-2005 se reportaron numerosos actos de agresión y ejecuciones de varias personas dedicadas a la defensa del medio ambiente en Honduras. En el análisis de estos casos se hizo </w:t>
      </w:r>
      <w:r w:rsidR="00824D1F" w:rsidRPr="0064010A">
        <w:rPr>
          <w:i w:val="0"/>
          <w:szCs w:val="20"/>
          <w:lang w:val="es-CR"/>
        </w:rPr>
        <w:t xml:space="preserve">incluso </w:t>
      </w:r>
      <w:r w:rsidRPr="0064010A">
        <w:rPr>
          <w:i w:val="0"/>
          <w:szCs w:val="20"/>
          <w:lang w:val="es-CR"/>
        </w:rPr>
        <w:t xml:space="preserve">referencia a la ejecución de Carlos Escaleras Mejía como líder popular del Valle del Aguán. </w:t>
      </w:r>
    </w:p>
    <w:p w14:paraId="6085947E" w14:textId="52860AF1" w:rsidR="006400E4" w:rsidRPr="0064010A" w:rsidRDefault="006400E4" w:rsidP="006400E4">
      <w:pPr>
        <w:pStyle w:val="Estilo1"/>
        <w:numPr>
          <w:ilvl w:val="0"/>
          <w:numId w:val="2"/>
        </w:numPr>
        <w:tabs>
          <w:tab w:val="left" w:pos="0"/>
        </w:tabs>
        <w:spacing w:before="120"/>
        <w:ind w:left="0" w:right="-4" w:firstLine="0"/>
        <w:rPr>
          <w:rFonts w:ascii="Times New Roman" w:hAnsi="Times New Roman" w:cs="Times New Roman"/>
          <w:i w:val="0"/>
          <w:sz w:val="24"/>
          <w:lang w:val="es-ES" w:eastAsia="es-ES"/>
        </w:rPr>
      </w:pPr>
      <w:r w:rsidRPr="0064010A">
        <w:rPr>
          <w:i w:val="0"/>
          <w:szCs w:val="20"/>
          <w:lang w:val="es-CR"/>
        </w:rPr>
        <w:t xml:space="preserve">En el caso </w:t>
      </w:r>
      <w:r w:rsidRPr="0064010A">
        <w:rPr>
          <w:szCs w:val="20"/>
          <w:lang w:val="es-CR"/>
        </w:rPr>
        <w:t>Kawas Fernández vs. Honduras</w:t>
      </w:r>
      <w:r w:rsidRPr="0064010A">
        <w:rPr>
          <w:i w:val="0"/>
          <w:szCs w:val="20"/>
          <w:lang w:val="es-CR"/>
        </w:rPr>
        <w:t xml:space="preserve"> se hizo presente que en el </w:t>
      </w:r>
      <w:r w:rsidR="00206D5D">
        <w:rPr>
          <w:i w:val="0"/>
          <w:szCs w:val="20"/>
          <w:lang w:val="es-CR"/>
        </w:rPr>
        <w:t>homicidio</w:t>
      </w:r>
      <w:r w:rsidR="00206D5D" w:rsidRPr="0064010A">
        <w:rPr>
          <w:i w:val="0"/>
          <w:szCs w:val="20"/>
          <w:lang w:val="es-CR"/>
        </w:rPr>
        <w:t xml:space="preserve"> </w:t>
      </w:r>
      <w:r w:rsidRPr="0064010A">
        <w:rPr>
          <w:i w:val="0"/>
          <w:szCs w:val="20"/>
          <w:lang w:val="es-CR"/>
        </w:rPr>
        <w:t xml:space="preserve">de Carlos Escaleras, como en el de otros defensores, si bien existían ciertas personas condenadas como responsables, no todas habían sido capturadas ni se habían identificado a </w:t>
      </w:r>
      <w:r w:rsidR="006310C6">
        <w:rPr>
          <w:i w:val="0"/>
          <w:szCs w:val="20"/>
          <w:lang w:val="es-CR"/>
        </w:rPr>
        <w:t>todos sus</w:t>
      </w:r>
      <w:r w:rsidR="006310C6" w:rsidRPr="0064010A">
        <w:rPr>
          <w:i w:val="0"/>
          <w:szCs w:val="20"/>
          <w:lang w:val="es-CR"/>
        </w:rPr>
        <w:t xml:space="preserve"> </w:t>
      </w:r>
      <w:r w:rsidRPr="0064010A">
        <w:rPr>
          <w:i w:val="0"/>
          <w:szCs w:val="20"/>
          <w:lang w:val="es-CR"/>
        </w:rPr>
        <w:t>autores</w:t>
      </w:r>
      <w:r w:rsidRPr="0064010A">
        <w:rPr>
          <w:rStyle w:val="FootnoteReference"/>
          <w:i w:val="0"/>
          <w:lang w:val="es-CR"/>
        </w:rPr>
        <w:footnoteReference w:id="23"/>
      </w:r>
      <w:r w:rsidRPr="0064010A">
        <w:rPr>
          <w:i w:val="0"/>
          <w:szCs w:val="20"/>
          <w:lang w:val="es-CR"/>
        </w:rPr>
        <w:t xml:space="preserve">. Por otra parte, en el caso </w:t>
      </w:r>
      <w:r w:rsidRPr="0064010A">
        <w:rPr>
          <w:szCs w:val="20"/>
          <w:lang w:val="es-CR"/>
        </w:rPr>
        <w:t>Luna López vs. Honduras</w:t>
      </w:r>
      <w:r w:rsidRPr="0064010A">
        <w:rPr>
          <w:i w:val="0"/>
          <w:szCs w:val="20"/>
          <w:lang w:val="es-CR"/>
        </w:rPr>
        <w:t>,</w:t>
      </w:r>
      <w:r w:rsidRPr="0064010A">
        <w:rPr>
          <w:i w:val="0"/>
          <w:szCs w:val="20"/>
        </w:rPr>
        <w:t xml:space="preserve"> la Corte constató que al momento de la muerte del activista ambiental Carlos Luna López —ocurrida en 1998, meses después de la muerte de Carlos Escaleras Mejía—, existía en Honduras una situación de especial riesgo contra la vida de defensores ambientalistas</w:t>
      </w:r>
      <w:r w:rsidRPr="0064010A">
        <w:rPr>
          <w:rStyle w:val="FootnoteReference"/>
          <w:i w:val="0"/>
        </w:rPr>
        <w:footnoteReference w:id="24"/>
      </w:r>
      <w:r w:rsidRPr="0064010A">
        <w:rPr>
          <w:i w:val="0"/>
          <w:szCs w:val="20"/>
        </w:rPr>
        <w:t>.</w:t>
      </w:r>
      <w:r w:rsidRPr="0064010A">
        <w:rPr>
          <w:rFonts w:ascii="Times New Roman" w:hAnsi="Times New Roman" w:cs="Times New Roman"/>
          <w:i w:val="0"/>
          <w:sz w:val="24"/>
          <w:lang w:val="es-ES" w:eastAsia="es-ES"/>
        </w:rPr>
        <w:t xml:space="preserve"> </w:t>
      </w:r>
    </w:p>
    <w:p w14:paraId="067F871F" w14:textId="1FABEA64" w:rsidR="006400E4" w:rsidRPr="0064010A" w:rsidRDefault="00E9197E" w:rsidP="006400E4">
      <w:pPr>
        <w:pStyle w:val="Estilo1"/>
        <w:numPr>
          <w:ilvl w:val="0"/>
          <w:numId w:val="2"/>
        </w:numPr>
        <w:tabs>
          <w:tab w:val="left" w:pos="0"/>
        </w:tabs>
        <w:spacing w:before="120"/>
        <w:ind w:left="0" w:right="-4" w:firstLine="0"/>
        <w:rPr>
          <w:rFonts w:ascii="Times New Roman" w:hAnsi="Times New Roman" w:cs="Times New Roman"/>
          <w:i w:val="0"/>
          <w:sz w:val="24"/>
          <w:lang w:val="es-ES" w:eastAsia="es-ES"/>
        </w:rPr>
      </w:pPr>
      <w:r w:rsidRPr="0064010A">
        <w:rPr>
          <w:i w:val="0"/>
        </w:rPr>
        <w:t xml:space="preserve"> </w:t>
      </w:r>
      <w:r w:rsidR="006400E4" w:rsidRPr="0064010A">
        <w:rPr>
          <w:i w:val="0"/>
          <w:szCs w:val="20"/>
          <w:lang w:val="es-CR"/>
        </w:rPr>
        <w:t>En el mismo sentido, diversos informes internacionales han evidenciado amenazas y ejecuciones de defensores de derechos humanos en Honduras que a menudo permanecen en la impunidad</w:t>
      </w:r>
      <w:r w:rsidR="006400E4" w:rsidRPr="0064010A">
        <w:rPr>
          <w:i w:val="0"/>
          <w:szCs w:val="20"/>
          <w:vertAlign w:val="superscript"/>
          <w:lang w:val="es-CR"/>
        </w:rPr>
        <w:footnoteReference w:id="25"/>
      </w:r>
      <w:r w:rsidR="006400E4" w:rsidRPr="0064010A">
        <w:rPr>
          <w:i w:val="0"/>
          <w:szCs w:val="20"/>
          <w:lang w:val="es-CR"/>
        </w:rPr>
        <w:t xml:space="preserve">. Así lo hizo, por ejemplo, la Relatora Especial sobre Ejecuciones extrajudiciales, sumarias o arbitrarias de Naciones Unidas, quien en 2002 destacó las amenazas de muerte que estaban siendo recibidas por defensores de derechos humanos en el país, e informó sobre </w:t>
      </w:r>
      <w:r w:rsidR="00206D5D">
        <w:rPr>
          <w:i w:val="0"/>
          <w:szCs w:val="20"/>
          <w:lang w:val="es-CR"/>
        </w:rPr>
        <w:t>homicidios</w:t>
      </w:r>
      <w:r w:rsidR="00206D5D" w:rsidRPr="0064010A">
        <w:rPr>
          <w:i w:val="0"/>
          <w:szCs w:val="20"/>
          <w:lang w:val="es-CR"/>
        </w:rPr>
        <w:t xml:space="preserve"> </w:t>
      </w:r>
      <w:r w:rsidR="006400E4" w:rsidRPr="0064010A">
        <w:rPr>
          <w:i w:val="0"/>
          <w:szCs w:val="20"/>
          <w:lang w:val="es-CR"/>
        </w:rPr>
        <w:t>a ecologistas que “han sido atribuidos a personas o grupos vinculados con las autoridades locales, empresarios o militares”</w:t>
      </w:r>
      <w:r w:rsidR="006400E4" w:rsidRPr="0064010A">
        <w:rPr>
          <w:rStyle w:val="FootnoteReference"/>
          <w:i w:val="0"/>
          <w:lang w:val="es-CR"/>
        </w:rPr>
        <w:footnoteReference w:id="26"/>
      </w:r>
      <w:r w:rsidR="006400E4" w:rsidRPr="0064010A">
        <w:rPr>
          <w:i w:val="0"/>
          <w:szCs w:val="20"/>
          <w:lang w:val="es-CR"/>
        </w:rPr>
        <w:t xml:space="preserve">. </w:t>
      </w:r>
    </w:p>
    <w:p w14:paraId="591B03C2" w14:textId="7B5EAC1E" w:rsidR="00EB06D1" w:rsidRPr="0064010A" w:rsidRDefault="00EB06D1" w:rsidP="00EB06D1">
      <w:pPr>
        <w:pStyle w:val="Estilo1"/>
        <w:numPr>
          <w:ilvl w:val="0"/>
          <w:numId w:val="2"/>
        </w:numPr>
        <w:tabs>
          <w:tab w:val="left" w:pos="0"/>
        </w:tabs>
        <w:spacing w:before="120"/>
        <w:ind w:left="0" w:right="-4" w:firstLine="0"/>
        <w:rPr>
          <w:b/>
          <w:i w:val="0"/>
          <w:szCs w:val="20"/>
          <w:lang w:val="es-CR"/>
        </w:rPr>
      </w:pPr>
      <w:r w:rsidRPr="0064010A">
        <w:rPr>
          <w:i w:val="0"/>
          <w:szCs w:val="20"/>
          <w:lang w:val="es-CR"/>
        </w:rPr>
        <w:t xml:space="preserve">En respuesta a la situación descrita, </w:t>
      </w:r>
      <w:r w:rsidR="00B80FC8">
        <w:rPr>
          <w:i w:val="0"/>
          <w:szCs w:val="20"/>
          <w:lang w:val="es-CR"/>
        </w:rPr>
        <w:t xml:space="preserve">en el año </w:t>
      </w:r>
      <w:r w:rsidRPr="0064010A">
        <w:rPr>
          <w:i w:val="0"/>
          <w:szCs w:val="20"/>
          <w:lang w:val="es-CR"/>
        </w:rPr>
        <w:t>2007 el Estado de Honduras creó el Grupo de Investigaciones para las Muertes de los Ambientalistas, adscrito a la Secretaría de Estado en el Despacho de Seguridad, en el cual tiene</w:t>
      </w:r>
      <w:r w:rsidR="004B27CC">
        <w:rPr>
          <w:i w:val="0"/>
          <w:szCs w:val="20"/>
          <w:lang w:val="es-CR"/>
        </w:rPr>
        <w:t xml:space="preserve"> a</w:t>
      </w:r>
      <w:r w:rsidRPr="0064010A">
        <w:rPr>
          <w:i w:val="0"/>
          <w:szCs w:val="20"/>
          <w:lang w:val="es-CR"/>
        </w:rPr>
        <w:t xml:space="preserve"> su cargo la investigación de casos relacionados con la muerte de defensores y defensoras del medio ambiente. Sin embargo, según constató la Corte en el caso </w:t>
      </w:r>
      <w:r w:rsidRPr="001F751D">
        <w:rPr>
          <w:szCs w:val="20"/>
          <w:lang w:val="es-CR"/>
        </w:rPr>
        <w:t>Kawas Fernández Vs. Honduras</w:t>
      </w:r>
      <w:r w:rsidRPr="0064010A">
        <w:rPr>
          <w:i w:val="0"/>
          <w:szCs w:val="20"/>
          <w:lang w:val="es-CR"/>
        </w:rPr>
        <w:t>, el Estado hondureño “no ha implementado una política integral tendiente a la protección de los defensores y defensoras de derechos humanos, y en particular de los defensores ambientalistas”</w:t>
      </w:r>
      <w:r w:rsidRPr="0064010A">
        <w:rPr>
          <w:rStyle w:val="FootnoteReference"/>
          <w:i w:val="0"/>
          <w:lang w:val="es-CR"/>
        </w:rPr>
        <w:footnoteReference w:id="27"/>
      </w:r>
      <w:r w:rsidRPr="0064010A">
        <w:rPr>
          <w:i w:val="0"/>
          <w:szCs w:val="20"/>
          <w:lang w:val="es-CR"/>
        </w:rPr>
        <w:t>.</w:t>
      </w:r>
    </w:p>
    <w:p w14:paraId="7C6C21E2" w14:textId="7CCEAD51" w:rsidR="00EB06D1" w:rsidRPr="0064010A" w:rsidRDefault="00EB06D1" w:rsidP="00EB06D1">
      <w:pPr>
        <w:pStyle w:val="Estilo1"/>
        <w:numPr>
          <w:ilvl w:val="0"/>
          <w:numId w:val="2"/>
        </w:numPr>
        <w:tabs>
          <w:tab w:val="left" w:pos="0"/>
        </w:tabs>
        <w:spacing w:before="120"/>
        <w:ind w:left="0" w:right="-4" w:firstLine="0"/>
        <w:rPr>
          <w:rFonts w:ascii="Times New Roman" w:hAnsi="Times New Roman" w:cs="Times New Roman"/>
          <w:i w:val="0"/>
          <w:sz w:val="24"/>
          <w:lang w:val="es-ES" w:eastAsia="es-ES"/>
        </w:rPr>
      </w:pPr>
      <w:r w:rsidRPr="0064010A">
        <w:rPr>
          <w:i w:val="0"/>
          <w:szCs w:val="20"/>
          <w:lang w:val="es-CR"/>
        </w:rPr>
        <w:t>Adicionalmente, en 2012 la Relatora Especial sobre la situación de los defensores de los derechos humanos, emitió un informe sobre su visita a Honduras, en el que observó con preocupación “el grado de violencia con que se actúa contra quienes reivindican por medios pacíficos sus derechos económicos, sociales y culturales, incluidos los derechos sobre la tierra”</w:t>
      </w:r>
      <w:r w:rsidRPr="0064010A">
        <w:rPr>
          <w:rStyle w:val="FootnoteReference"/>
          <w:i w:val="0"/>
          <w:lang w:val="es-CR"/>
        </w:rPr>
        <w:footnoteReference w:id="28"/>
      </w:r>
      <w:r w:rsidRPr="0064010A">
        <w:rPr>
          <w:i w:val="0"/>
          <w:szCs w:val="20"/>
          <w:lang w:val="es-CR"/>
        </w:rPr>
        <w:t xml:space="preserve">. Ante ese escenario, recalcó que se debe atender de forma prioritaria a la cuestión </w:t>
      </w:r>
      <w:r w:rsidRPr="0064010A">
        <w:rPr>
          <w:i w:val="0"/>
          <w:szCs w:val="20"/>
          <w:lang w:val="es-CR"/>
        </w:rPr>
        <w:lastRenderedPageBreak/>
        <w:t>de la impunidad, y ofrecer a los defensores y defensoras de derechos humanos una protección efectiva</w:t>
      </w:r>
      <w:r w:rsidRPr="0064010A">
        <w:rPr>
          <w:rStyle w:val="FootnoteReference"/>
          <w:i w:val="0"/>
          <w:lang w:val="es-CR"/>
        </w:rPr>
        <w:footnoteReference w:id="29"/>
      </w:r>
      <w:r w:rsidRPr="0064010A">
        <w:rPr>
          <w:i w:val="0"/>
          <w:szCs w:val="20"/>
          <w:lang w:val="es-CR"/>
        </w:rPr>
        <w:t xml:space="preserve">. </w:t>
      </w:r>
    </w:p>
    <w:p w14:paraId="0AC19BB8" w14:textId="1B9A173A" w:rsidR="00EB06D1" w:rsidRPr="003700E2" w:rsidRDefault="0064010A">
      <w:pPr>
        <w:pStyle w:val="Estilo1"/>
        <w:numPr>
          <w:ilvl w:val="0"/>
          <w:numId w:val="2"/>
        </w:numPr>
        <w:tabs>
          <w:tab w:val="left" w:pos="0"/>
        </w:tabs>
        <w:spacing w:before="120"/>
        <w:ind w:left="0" w:right="-4" w:firstLine="0"/>
        <w:rPr>
          <w:rFonts w:ascii="Times New Roman" w:hAnsi="Times New Roman" w:cs="Times New Roman"/>
          <w:i w:val="0"/>
          <w:sz w:val="24"/>
          <w:lang w:val="es-ES" w:eastAsia="es-ES"/>
        </w:rPr>
      </w:pPr>
      <w:r w:rsidRPr="002B191D">
        <w:rPr>
          <w:i w:val="0"/>
          <w:szCs w:val="20"/>
          <w:lang w:val="es-CR"/>
        </w:rPr>
        <w:t>Del mismo modo, l</w:t>
      </w:r>
      <w:r w:rsidR="00EB06D1" w:rsidRPr="002B191D">
        <w:rPr>
          <w:i w:val="0"/>
          <w:szCs w:val="20"/>
          <w:lang w:val="es-CR"/>
        </w:rPr>
        <w:t xml:space="preserve">a Corte </w:t>
      </w:r>
      <w:r w:rsidR="00EE1EC7" w:rsidRPr="002B191D">
        <w:rPr>
          <w:i w:val="0"/>
          <w:szCs w:val="20"/>
          <w:lang w:val="es-CR"/>
        </w:rPr>
        <w:t>adv</w:t>
      </w:r>
      <w:r w:rsidR="003700E2">
        <w:rPr>
          <w:i w:val="0"/>
          <w:szCs w:val="20"/>
          <w:lang w:val="es-CR"/>
        </w:rPr>
        <w:t>i</w:t>
      </w:r>
      <w:r w:rsidR="00EE1EC7" w:rsidRPr="002B191D">
        <w:rPr>
          <w:i w:val="0"/>
          <w:szCs w:val="20"/>
          <w:lang w:val="es-CR"/>
        </w:rPr>
        <w:t>ert</w:t>
      </w:r>
      <w:r w:rsidR="003700E2">
        <w:rPr>
          <w:i w:val="0"/>
          <w:szCs w:val="20"/>
          <w:lang w:val="es-CR"/>
        </w:rPr>
        <w:t>e</w:t>
      </w:r>
      <w:r w:rsidR="00EE1EC7" w:rsidRPr="002B191D">
        <w:rPr>
          <w:i w:val="0"/>
          <w:szCs w:val="20"/>
          <w:lang w:val="es-CR"/>
        </w:rPr>
        <w:t xml:space="preserve"> que con posterioridad a la emisión del Informe de Fondo, el cual forma parte del Acuerdo, </w:t>
      </w:r>
      <w:r w:rsidR="00EB06D1" w:rsidRPr="002B191D">
        <w:rPr>
          <w:i w:val="0"/>
          <w:szCs w:val="20"/>
          <w:lang w:val="es-CR"/>
        </w:rPr>
        <w:t xml:space="preserve">la situación de inseguridad para los defensores ambientales en Honduras se ha mantenido. </w:t>
      </w:r>
      <w:r w:rsidR="00EE1EC7" w:rsidRPr="002B191D">
        <w:rPr>
          <w:i w:val="0"/>
          <w:szCs w:val="20"/>
          <w:lang w:val="es-CR"/>
        </w:rPr>
        <w:t xml:space="preserve">Así, </w:t>
      </w:r>
      <w:r w:rsidR="00301DB2" w:rsidRPr="002B191D">
        <w:rPr>
          <w:i w:val="0"/>
          <w:szCs w:val="20"/>
          <w:lang w:val="es-CR"/>
        </w:rPr>
        <w:t>s</w:t>
      </w:r>
      <w:r w:rsidR="00EB06D1" w:rsidRPr="002B191D">
        <w:rPr>
          <w:i w:val="0"/>
          <w:szCs w:val="20"/>
          <w:lang w:val="es-CR"/>
        </w:rPr>
        <w:t xml:space="preserve">egún advirtieron </w:t>
      </w:r>
      <w:r w:rsidR="00F9336A">
        <w:rPr>
          <w:i w:val="0"/>
          <w:szCs w:val="20"/>
          <w:lang w:val="es-CR"/>
        </w:rPr>
        <w:t xml:space="preserve">en </w:t>
      </w:r>
      <w:r w:rsidR="00EB06D1" w:rsidRPr="002B191D">
        <w:rPr>
          <w:i w:val="0"/>
          <w:szCs w:val="20"/>
          <w:lang w:val="es-CR"/>
        </w:rPr>
        <w:t xml:space="preserve">el </w:t>
      </w:r>
      <w:r w:rsidR="00F9336A">
        <w:rPr>
          <w:i w:val="0"/>
          <w:szCs w:val="20"/>
          <w:lang w:val="es-CR"/>
        </w:rPr>
        <w:t xml:space="preserve">año </w:t>
      </w:r>
      <w:r w:rsidR="00EB06D1" w:rsidRPr="002B191D">
        <w:rPr>
          <w:i w:val="0"/>
          <w:szCs w:val="20"/>
          <w:lang w:val="es-CR"/>
        </w:rPr>
        <w:t xml:space="preserve">2016 el Relator Especial de la </w:t>
      </w:r>
      <w:r w:rsidR="003700E2">
        <w:rPr>
          <w:i w:val="0"/>
          <w:szCs w:val="20"/>
          <w:lang w:val="es-CR"/>
        </w:rPr>
        <w:t>Naciones Unidas</w:t>
      </w:r>
      <w:r w:rsidR="003700E2" w:rsidRPr="003700E2">
        <w:rPr>
          <w:i w:val="0"/>
        </w:rPr>
        <w:t xml:space="preserve"> </w:t>
      </w:r>
      <w:r w:rsidR="003700E2" w:rsidRPr="00CD4D9A">
        <w:rPr>
          <w:i w:val="0"/>
        </w:rPr>
        <w:t>sobre la situación de los defensores de los derechos humanos</w:t>
      </w:r>
      <w:r w:rsidR="00EB06D1" w:rsidRPr="002B191D">
        <w:rPr>
          <w:i w:val="0"/>
          <w:szCs w:val="20"/>
          <w:lang w:val="es-CR"/>
        </w:rPr>
        <w:t>, y el Relator interamericano sobre los derechos de los defensores y defensoras de derechos humanos, Honduras se ha convertido en uno de los países más peligrosos para defender derechos humanos</w:t>
      </w:r>
      <w:r w:rsidR="00EB06D1" w:rsidRPr="002B191D">
        <w:rPr>
          <w:rStyle w:val="FootnoteReference"/>
          <w:i w:val="0"/>
          <w:lang w:val="es-CR"/>
        </w:rPr>
        <w:footnoteReference w:id="30"/>
      </w:r>
      <w:r w:rsidR="00EB06D1" w:rsidRPr="002B191D">
        <w:rPr>
          <w:i w:val="0"/>
          <w:szCs w:val="20"/>
          <w:lang w:val="es-CR"/>
        </w:rPr>
        <w:t>. Además, el Relator Especial de las Naciones Unidas</w:t>
      </w:r>
      <w:r w:rsidR="003700E2">
        <w:rPr>
          <w:i w:val="0"/>
          <w:szCs w:val="20"/>
          <w:lang w:val="es-CR"/>
        </w:rPr>
        <w:t xml:space="preserve"> </w:t>
      </w:r>
      <w:r w:rsidR="003700E2" w:rsidRPr="00CD4D9A">
        <w:rPr>
          <w:i w:val="0"/>
        </w:rPr>
        <w:t>sobre la situación de los defensores de los derechos humanos</w:t>
      </w:r>
      <w:r w:rsidR="003700E2">
        <w:rPr>
          <w:rFonts w:ascii="Times New Roman" w:hAnsi="Times New Roman" w:cs="Times New Roman"/>
          <w:i w:val="0"/>
          <w:sz w:val="24"/>
          <w:lang w:val="es-ES" w:eastAsia="es-ES"/>
        </w:rPr>
        <w:t xml:space="preserve"> </w:t>
      </w:r>
      <w:r w:rsidR="00EB06D1" w:rsidRPr="003700E2">
        <w:rPr>
          <w:i w:val="0"/>
          <w:szCs w:val="20"/>
          <w:lang w:val="es-CR"/>
        </w:rPr>
        <w:t xml:space="preserve">se ha manifestado sumamente preocupado por la falta de investigaciones independientes y diligentes sobre las agresiones cometidas contra los defensores de los derechos humanos ambientales, así como por </w:t>
      </w:r>
      <w:r w:rsidR="004B27CC">
        <w:rPr>
          <w:i w:val="0"/>
          <w:szCs w:val="20"/>
          <w:lang w:val="es-CR"/>
        </w:rPr>
        <w:t xml:space="preserve">hecho que en países como Honduras </w:t>
      </w:r>
      <w:r w:rsidR="00B168C0">
        <w:rPr>
          <w:i w:val="0"/>
          <w:szCs w:val="20"/>
          <w:lang w:val="es-CR"/>
        </w:rPr>
        <w:t>la dificultad en</w:t>
      </w:r>
      <w:r w:rsidR="004B27CC">
        <w:rPr>
          <w:i w:val="0"/>
          <w:szCs w:val="20"/>
          <w:lang w:val="es-CR"/>
        </w:rPr>
        <w:t xml:space="preserve"> hacer comparecer ante la justicia a los autores y </w:t>
      </w:r>
      <w:r w:rsidR="00B168C0">
        <w:rPr>
          <w:i w:val="0"/>
          <w:szCs w:val="20"/>
          <w:lang w:val="es-CR"/>
        </w:rPr>
        <w:t xml:space="preserve">sancionarlos </w:t>
      </w:r>
      <w:r w:rsidR="004B27CC">
        <w:rPr>
          <w:i w:val="0"/>
          <w:szCs w:val="20"/>
          <w:lang w:val="es-CR"/>
        </w:rPr>
        <w:t>puede perpetuar el clima de impunidad</w:t>
      </w:r>
      <w:r w:rsidR="00EB06D1" w:rsidRPr="002B191D">
        <w:rPr>
          <w:rStyle w:val="FootnoteReference"/>
          <w:i w:val="0"/>
          <w:lang w:val="es-CR"/>
        </w:rPr>
        <w:footnoteReference w:id="31"/>
      </w:r>
      <w:r w:rsidR="00EB06D1" w:rsidRPr="003700E2">
        <w:rPr>
          <w:i w:val="0"/>
          <w:szCs w:val="20"/>
          <w:lang w:val="es-CR"/>
        </w:rPr>
        <w:t xml:space="preserve">. </w:t>
      </w:r>
    </w:p>
    <w:p w14:paraId="783EB10F" w14:textId="3142C07B" w:rsidR="00BD53D7" w:rsidRPr="0064010A" w:rsidRDefault="00D25ABE" w:rsidP="003D5096">
      <w:pPr>
        <w:pStyle w:val="ListParagraph"/>
        <w:numPr>
          <w:ilvl w:val="0"/>
          <w:numId w:val="6"/>
        </w:numPr>
        <w:tabs>
          <w:tab w:val="left" w:pos="567"/>
        </w:tabs>
        <w:autoSpaceDE w:val="0"/>
        <w:autoSpaceDN w:val="0"/>
        <w:adjustRightInd w:val="0"/>
        <w:spacing w:before="240" w:after="240"/>
        <w:contextualSpacing w:val="0"/>
        <w:outlineLvl w:val="1"/>
        <w:rPr>
          <w:b/>
          <w:i/>
          <w:szCs w:val="20"/>
        </w:rPr>
      </w:pPr>
      <w:bookmarkStart w:id="89" w:name="_Toc525713975"/>
      <w:r w:rsidRPr="0064010A">
        <w:rPr>
          <w:b/>
          <w:i/>
          <w:szCs w:val="20"/>
        </w:rPr>
        <w:t xml:space="preserve">Sobre </w:t>
      </w:r>
      <w:r w:rsidR="00704DBF" w:rsidRPr="0064010A">
        <w:rPr>
          <w:b/>
          <w:i/>
          <w:szCs w:val="20"/>
        </w:rPr>
        <w:t>Carlos Escaleras Mejía</w:t>
      </w:r>
      <w:r w:rsidR="00C31683" w:rsidRPr="0064010A">
        <w:rPr>
          <w:b/>
          <w:i/>
          <w:szCs w:val="20"/>
        </w:rPr>
        <w:t xml:space="preserve"> y su homicidio</w:t>
      </w:r>
      <w:bookmarkEnd w:id="89"/>
    </w:p>
    <w:p w14:paraId="05A2C5BE" w14:textId="74760EBA" w:rsidR="00704DBF" w:rsidRPr="0064010A" w:rsidRDefault="00704DBF" w:rsidP="00704DBF">
      <w:pPr>
        <w:pStyle w:val="Estilo1"/>
        <w:numPr>
          <w:ilvl w:val="0"/>
          <w:numId w:val="2"/>
        </w:numPr>
        <w:tabs>
          <w:tab w:val="left" w:pos="0"/>
        </w:tabs>
        <w:spacing w:before="120"/>
        <w:ind w:left="0" w:right="-4" w:firstLine="0"/>
        <w:rPr>
          <w:rFonts w:ascii="Times New Roman" w:hAnsi="Times New Roman" w:cs="Times New Roman"/>
          <w:i w:val="0"/>
          <w:sz w:val="24"/>
          <w:lang w:val="es-ES" w:eastAsia="es-ES"/>
        </w:rPr>
      </w:pPr>
      <w:bookmarkStart w:id="90" w:name="_Toc486693371"/>
      <w:bookmarkStart w:id="91" w:name="_Toc486842787"/>
      <w:bookmarkStart w:id="92" w:name="_Toc486842925"/>
      <w:r w:rsidRPr="0064010A">
        <w:rPr>
          <w:i w:val="0"/>
          <w:szCs w:val="20"/>
          <w:lang w:val="es-CR"/>
        </w:rPr>
        <w:t>Carlos Escaleras Mejía nació en la ciudad de Tocoa, departamento de Colón, el 10 de agosto de 1958. Su madre fue Ofelia Mejía Márquez y tuvo seis hermanos: Eldyn, René Alberto, Yolanda, José Andrés, Omar y Alma Indiana, todos de apellidos Escaleras Mejía. Durante sus estudios secundarios perteneció al Frente Estudiantil Revolucionario y al Movimiento Estudiantil Progresista; y posteriormente fue bachiller en promoción social. Se casó en 1979 con Marta Mercedes Alvarenga Reyes, con quien tuvo seis hijos: Douglas Arnaldo, Emerson Alexander, Carlos Andrés, Martha Agripina, Omar Josué y Alvin (quien falleció a temprana edad), todos de apellidos Escaleras Alvarenga.</w:t>
      </w:r>
      <w:r w:rsidRPr="0064010A">
        <w:rPr>
          <w:i w:val="0"/>
          <w:szCs w:val="20"/>
        </w:rPr>
        <w:t xml:space="preserve"> </w:t>
      </w:r>
    </w:p>
    <w:p w14:paraId="5FC4C3CD" w14:textId="214BBAA6" w:rsidR="008B013F" w:rsidRPr="0064010A" w:rsidRDefault="00704DBF" w:rsidP="00704DBF">
      <w:pPr>
        <w:pStyle w:val="Estilo1"/>
        <w:numPr>
          <w:ilvl w:val="0"/>
          <w:numId w:val="2"/>
        </w:numPr>
        <w:tabs>
          <w:tab w:val="left" w:pos="0"/>
        </w:tabs>
        <w:spacing w:before="120"/>
        <w:ind w:left="0" w:right="-4" w:firstLine="0"/>
        <w:rPr>
          <w:i w:val="0"/>
          <w:szCs w:val="20"/>
          <w:lang w:val="es-CR" w:eastAsia="es-ES"/>
        </w:rPr>
      </w:pPr>
      <w:r w:rsidRPr="0064010A">
        <w:rPr>
          <w:i w:val="0"/>
          <w:szCs w:val="20"/>
          <w:lang w:val="es-ES"/>
        </w:rPr>
        <w:t xml:space="preserve">Meses antes de su homicidio, el señor Escaleras </w:t>
      </w:r>
      <w:r w:rsidR="00B168C0">
        <w:rPr>
          <w:i w:val="0"/>
          <w:szCs w:val="20"/>
          <w:lang w:val="es-ES"/>
        </w:rPr>
        <w:t xml:space="preserve">Mejía </w:t>
      </w:r>
      <w:r w:rsidRPr="0064010A">
        <w:rPr>
          <w:i w:val="0"/>
          <w:szCs w:val="20"/>
          <w:lang w:val="es-ES"/>
        </w:rPr>
        <w:t xml:space="preserve">se opuso a la instalación de </w:t>
      </w:r>
      <w:r w:rsidRPr="0064010A">
        <w:rPr>
          <w:i w:val="0"/>
          <w:szCs w:val="20"/>
          <w:lang w:val="es-CR"/>
        </w:rPr>
        <w:t>una</w:t>
      </w:r>
      <w:r w:rsidRPr="0064010A">
        <w:rPr>
          <w:i w:val="0"/>
          <w:szCs w:val="20"/>
          <w:lang w:val="es-ES"/>
        </w:rPr>
        <w:t xml:space="preserve"> planta extractora de aceite de palma africana en la ribera del río Tocoa, que sería contaminado por los desechos tóxicos que se depositarían en su cauce. Dicha instalación era gestionada por el empresario </w:t>
      </w:r>
      <w:r w:rsidR="00331DF1" w:rsidRPr="0064010A">
        <w:rPr>
          <w:i w:val="0"/>
          <w:szCs w:val="20"/>
          <w:lang w:val="es-ES"/>
        </w:rPr>
        <w:t>M.F</w:t>
      </w:r>
      <w:r w:rsidRPr="0064010A">
        <w:rPr>
          <w:i w:val="0"/>
          <w:szCs w:val="20"/>
          <w:lang w:val="es-ES"/>
        </w:rPr>
        <w:t xml:space="preserve">. </w:t>
      </w:r>
      <w:r w:rsidR="00602FF0">
        <w:rPr>
          <w:i w:val="0"/>
          <w:szCs w:val="20"/>
          <w:lang w:val="es-ES"/>
        </w:rPr>
        <w:t xml:space="preserve">El </w:t>
      </w:r>
      <w:r w:rsidRPr="0064010A">
        <w:rPr>
          <w:i w:val="0"/>
          <w:szCs w:val="20"/>
          <w:lang w:val="es-ES"/>
        </w:rPr>
        <w:t>hermano de la presunta víctima,</w:t>
      </w:r>
      <w:r w:rsidR="00602FF0">
        <w:rPr>
          <w:i w:val="0"/>
          <w:szCs w:val="20"/>
          <w:lang w:val="es-ES"/>
        </w:rPr>
        <w:t xml:space="preserve"> </w:t>
      </w:r>
      <w:r w:rsidR="00602FF0" w:rsidRPr="0064010A">
        <w:rPr>
          <w:i w:val="0"/>
          <w:szCs w:val="20"/>
          <w:lang w:val="es-ES"/>
        </w:rPr>
        <w:t xml:space="preserve">René Escaleras, </w:t>
      </w:r>
      <w:r w:rsidRPr="0064010A">
        <w:rPr>
          <w:i w:val="0"/>
          <w:szCs w:val="20"/>
          <w:lang w:val="es-ES"/>
        </w:rPr>
        <w:t xml:space="preserve">manifestó que poco antes del homicidio, dicho empresario —para quien trabajaba— le pidió que hablara con </w:t>
      </w:r>
      <w:r w:rsidR="00602FF0">
        <w:rPr>
          <w:i w:val="0"/>
          <w:szCs w:val="20"/>
          <w:lang w:val="es-ES"/>
        </w:rPr>
        <w:t xml:space="preserve">Carlos </w:t>
      </w:r>
      <w:r w:rsidR="00B168C0">
        <w:rPr>
          <w:i w:val="0"/>
          <w:szCs w:val="20"/>
          <w:lang w:val="es-ES"/>
        </w:rPr>
        <w:t xml:space="preserve">Escaleras Mejía </w:t>
      </w:r>
      <w:r w:rsidRPr="0064010A">
        <w:rPr>
          <w:i w:val="0"/>
          <w:szCs w:val="20"/>
          <w:lang w:val="es-ES"/>
        </w:rPr>
        <w:t xml:space="preserve">a fin de que desistiera de </w:t>
      </w:r>
      <w:r w:rsidR="009A4C4B">
        <w:rPr>
          <w:i w:val="0"/>
          <w:szCs w:val="20"/>
          <w:lang w:val="es-ES"/>
        </w:rPr>
        <w:t>su</w:t>
      </w:r>
      <w:r w:rsidRPr="0064010A">
        <w:rPr>
          <w:i w:val="0"/>
          <w:szCs w:val="20"/>
          <w:lang w:val="es-ES"/>
        </w:rPr>
        <w:t xml:space="preserve"> lucha por el medio ambiente, ya que ello le habría provocado una pérdida millonaria por no haber podido instalar la planta procesadora de palma africana. Al conversar con su hermano, este le indicó que continuaría dirigiendo el movimiento en pro </w:t>
      </w:r>
      <w:r w:rsidR="00602FF0">
        <w:rPr>
          <w:i w:val="0"/>
          <w:szCs w:val="20"/>
          <w:lang w:val="es-ES"/>
        </w:rPr>
        <w:t xml:space="preserve">del </w:t>
      </w:r>
      <w:r w:rsidRPr="0064010A">
        <w:rPr>
          <w:i w:val="0"/>
          <w:szCs w:val="20"/>
          <w:lang w:val="es-ES"/>
        </w:rPr>
        <w:t xml:space="preserve">medio ambiente, respuesta que dio lugar a que René Escaleras fuera despedido de la empresa de </w:t>
      </w:r>
      <w:r w:rsidR="00602FF0">
        <w:rPr>
          <w:i w:val="0"/>
          <w:szCs w:val="20"/>
          <w:lang w:val="es-ES"/>
        </w:rPr>
        <w:t xml:space="preserve">M. </w:t>
      </w:r>
      <w:r w:rsidR="00331DF1" w:rsidRPr="0064010A">
        <w:rPr>
          <w:i w:val="0"/>
          <w:szCs w:val="20"/>
          <w:lang w:val="es-ES"/>
        </w:rPr>
        <w:t>F</w:t>
      </w:r>
      <w:r w:rsidRPr="0064010A">
        <w:rPr>
          <w:i w:val="0"/>
          <w:szCs w:val="20"/>
          <w:lang w:val="es-ES"/>
        </w:rPr>
        <w:t xml:space="preserve">. </w:t>
      </w:r>
      <w:r w:rsidR="00602FF0">
        <w:rPr>
          <w:i w:val="0"/>
          <w:szCs w:val="20"/>
          <w:lang w:val="es-ES"/>
        </w:rPr>
        <w:t>T</w:t>
      </w:r>
      <w:r w:rsidRPr="0064010A">
        <w:rPr>
          <w:i w:val="0"/>
          <w:szCs w:val="20"/>
          <w:lang w:val="es-ES"/>
        </w:rPr>
        <w:t>res meses después de este hecho</w:t>
      </w:r>
      <w:r w:rsidR="00000FC7">
        <w:rPr>
          <w:i w:val="0"/>
          <w:szCs w:val="20"/>
          <w:lang w:val="es-ES"/>
        </w:rPr>
        <w:t>,</w:t>
      </w:r>
      <w:r w:rsidR="00602FF0">
        <w:rPr>
          <w:i w:val="0"/>
          <w:szCs w:val="20"/>
          <w:lang w:val="es-ES"/>
        </w:rPr>
        <w:t xml:space="preserve"> </w:t>
      </w:r>
      <w:r w:rsidR="00602FF0" w:rsidRPr="0064010A">
        <w:rPr>
          <w:i w:val="0"/>
          <w:szCs w:val="20"/>
          <w:lang w:val="es-ES"/>
        </w:rPr>
        <w:t>Carlos Escaleras Mejía fue ejecutado</w:t>
      </w:r>
      <w:r w:rsidRPr="0064010A">
        <w:rPr>
          <w:i w:val="0"/>
          <w:szCs w:val="20"/>
          <w:lang w:val="es-ES"/>
        </w:rPr>
        <w:t xml:space="preserve">. </w:t>
      </w:r>
    </w:p>
    <w:p w14:paraId="12763DBB" w14:textId="4C6F19FF" w:rsidR="00BD53D7" w:rsidRPr="0064010A" w:rsidRDefault="00000FC7" w:rsidP="00016503">
      <w:pPr>
        <w:pStyle w:val="Estilo1"/>
        <w:numPr>
          <w:ilvl w:val="0"/>
          <w:numId w:val="2"/>
        </w:numPr>
        <w:tabs>
          <w:tab w:val="left" w:pos="0"/>
        </w:tabs>
        <w:spacing w:before="120"/>
        <w:ind w:left="0" w:right="-4" w:firstLine="0"/>
        <w:rPr>
          <w:i w:val="0"/>
          <w:szCs w:val="20"/>
        </w:rPr>
      </w:pPr>
      <w:r>
        <w:rPr>
          <w:i w:val="0"/>
          <w:szCs w:val="20"/>
          <w:lang w:val="es-ES"/>
        </w:rPr>
        <w:t xml:space="preserve">Carlos </w:t>
      </w:r>
      <w:r w:rsidR="00331DF1" w:rsidRPr="0064010A">
        <w:rPr>
          <w:i w:val="0"/>
          <w:szCs w:val="20"/>
          <w:lang w:val="es-ES"/>
        </w:rPr>
        <w:t xml:space="preserve">Escaleras Mejía había sido candidato para el cargo de alcalde del municipio de Tocoa por el Partido Unificación Democrática para las elecciones de noviembre de 1997. </w:t>
      </w:r>
      <w:r w:rsidR="00331DF1" w:rsidRPr="0064010A">
        <w:rPr>
          <w:i w:val="0"/>
          <w:szCs w:val="20"/>
          <w:lang w:val="es-ES"/>
        </w:rPr>
        <w:lastRenderedPageBreak/>
        <w:t>Según consta en diversas declaraciones, antes de su muerte, fue víctima de presiones, amenazas y ofertas de dinero a cambio de retirarse de la campaña electoral y del movimiento de lucha por el medio ambiente</w:t>
      </w:r>
      <w:r w:rsidR="00016503" w:rsidRPr="0064010A">
        <w:rPr>
          <w:i w:val="0"/>
          <w:szCs w:val="20"/>
          <w:lang w:val="es-ES"/>
        </w:rPr>
        <w:t xml:space="preserve">. </w:t>
      </w:r>
      <w:bookmarkEnd w:id="90"/>
      <w:bookmarkEnd w:id="91"/>
      <w:bookmarkEnd w:id="92"/>
      <w:r w:rsidR="00016503" w:rsidRPr="0064010A">
        <w:rPr>
          <w:i w:val="0"/>
          <w:szCs w:val="20"/>
          <w:lang w:val="es-ES"/>
        </w:rPr>
        <w:t xml:space="preserve">Finalmente, meses antes de morir, </w:t>
      </w:r>
      <w:r w:rsidR="00016503" w:rsidRPr="0064010A">
        <w:rPr>
          <w:i w:val="0"/>
          <w:szCs w:val="20"/>
          <w:lang w:val="es-CR"/>
        </w:rPr>
        <w:t>encabezó las protestas contra el coronel A.A., comandante del XV</w:t>
      </w:r>
      <w:r w:rsidR="00016503" w:rsidRPr="0064010A">
        <w:rPr>
          <w:i w:val="0"/>
          <w:iCs/>
          <w:szCs w:val="20"/>
          <w:lang w:val="es-CR"/>
        </w:rPr>
        <w:t xml:space="preserve"> </w:t>
      </w:r>
      <w:r w:rsidR="00016503" w:rsidRPr="0064010A">
        <w:rPr>
          <w:i w:val="0"/>
          <w:szCs w:val="20"/>
          <w:lang w:val="es-CR"/>
        </w:rPr>
        <w:t xml:space="preserve">Batallón de </w:t>
      </w:r>
      <w:r w:rsidR="00F9336A">
        <w:rPr>
          <w:i w:val="0"/>
          <w:szCs w:val="20"/>
          <w:lang w:val="es-CR"/>
        </w:rPr>
        <w:t>I</w:t>
      </w:r>
      <w:r w:rsidR="00016503" w:rsidRPr="0064010A">
        <w:rPr>
          <w:i w:val="0"/>
          <w:szCs w:val="20"/>
          <w:lang w:val="es-CR"/>
        </w:rPr>
        <w:t xml:space="preserve">nfantería, con quien tuvo conflictos directos a causa de la decisión de construir instalaciones militares donde existía una cuenca de agua que impediría el acceso al agua de los habitantes de distintas poblaciones. </w:t>
      </w:r>
    </w:p>
    <w:p w14:paraId="08B3F968" w14:textId="200CFE75" w:rsidR="00016503" w:rsidRPr="0064010A" w:rsidRDefault="00016503" w:rsidP="00016503">
      <w:pPr>
        <w:pStyle w:val="Estilo1"/>
        <w:numPr>
          <w:ilvl w:val="0"/>
          <w:numId w:val="2"/>
        </w:numPr>
        <w:tabs>
          <w:tab w:val="left" w:pos="0"/>
        </w:tabs>
        <w:spacing w:before="120"/>
        <w:ind w:left="0" w:right="-4" w:firstLine="0"/>
        <w:rPr>
          <w:b/>
          <w:i w:val="0"/>
          <w:szCs w:val="20"/>
          <w:lang w:val="es-ES"/>
        </w:rPr>
      </w:pPr>
      <w:r w:rsidRPr="0064010A">
        <w:rPr>
          <w:i w:val="0"/>
          <w:szCs w:val="20"/>
          <w:lang w:val="es-ES"/>
        </w:rPr>
        <w:t>E</w:t>
      </w:r>
      <w:r w:rsidRPr="0064010A">
        <w:rPr>
          <w:i w:val="0"/>
          <w:szCs w:val="20"/>
          <w:lang w:val="es-CR"/>
        </w:rPr>
        <w:t xml:space="preserve">l 18 de octubre de 1997 alrededor de las 6:00 pm, mientras Carlos Escaleras Mejía regresaba de la </w:t>
      </w:r>
      <w:r w:rsidRPr="0064010A">
        <w:rPr>
          <w:i w:val="0"/>
          <w:szCs w:val="20"/>
          <w:lang w:val="es-ES"/>
        </w:rPr>
        <w:t>ciudad</w:t>
      </w:r>
      <w:r w:rsidRPr="0064010A">
        <w:rPr>
          <w:i w:val="0"/>
          <w:szCs w:val="20"/>
          <w:lang w:val="es-CR"/>
        </w:rPr>
        <w:t xml:space="preserve"> de Tegucigalpa, dos personas ingresaron al negocio de la familia Escaleras denominado “Lubricentro Escaleras”. Allí fueron atendidos por la esposa de Carlos Escaleras</w:t>
      </w:r>
      <w:r w:rsidR="00B168C0">
        <w:rPr>
          <w:i w:val="0"/>
          <w:szCs w:val="20"/>
          <w:lang w:val="es-CR"/>
        </w:rPr>
        <w:t xml:space="preserve"> Mejía</w:t>
      </w:r>
      <w:r w:rsidRPr="0064010A">
        <w:rPr>
          <w:i w:val="0"/>
          <w:szCs w:val="20"/>
          <w:lang w:val="es-CR"/>
        </w:rPr>
        <w:t>, quien les vendió dos refrescos, y luego salieron. Posteriormente, el señor Escaleras llegó en una moto. Su hijo Douglas</w:t>
      </w:r>
      <w:r w:rsidR="00B168C0">
        <w:rPr>
          <w:i w:val="0"/>
          <w:szCs w:val="20"/>
          <w:lang w:val="es-CR"/>
        </w:rPr>
        <w:t xml:space="preserve"> Escaleras Alvarenga</w:t>
      </w:r>
      <w:r w:rsidRPr="0064010A">
        <w:rPr>
          <w:i w:val="0"/>
          <w:szCs w:val="20"/>
          <w:lang w:val="es-CR"/>
        </w:rPr>
        <w:t xml:space="preserve"> manifestó que dos hombres le preguntaron al vigilante del centro si la persona que acababa de llegar era Carlos Escaleras</w:t>
      </w:r>
      <w:r w:rsidR="00B168C0">
        <w:rPr>
          <w:i w:val="0"/>
          <w:szCs w:val="20"/>
          <w:lang w:val="es-CR"/>
        </w:rPr>
        <w:t xml:space="preserve"> Mejía</w:t>
      </w:r>
      <w:r w:rsidRPr="0064010A">
        <w:rPr>
          <w:i w:val="0"/>
          <w:szCs w:val="20"/>
          <w:lang w:val="es-CR"/>
        </w:rPr>
        <w:t>, a lo que él respondió afirmativamente; y que seguidamente los hombres le dispararon por la espalda. Luego de escuchar los disparos, testigos manifestaron ver a dos personas corriendo. Carlos Escaleras</w:t>
      </w:r>
      <w:r w:rsidR="00B168C0">
        <w:rPr>
          <w:i w:val="0"/>
          <w:szCs w:val="20"/>
          <w:lang w:val="es-CR"/>
        </w:rPr>
        <w:t xml:space="preserve"> Mejía</w:t>
      </w:r>
      <w:r w:rsidRPr="0064010A">
        <w:rPr>
          <w:i w:val="0"/>
          <w:szCs w:val="20"/>
          <w:lang w:val="es-CR"/>
        </w:rPr>
        <w:t xml:space="preserve"> fue trasladado al Hospital D'Antoni de La Ceiba, donde fue intervenido quirúrgicamente y, tras unas horas, falleció. </w:t>
      </w:r>
    </w:p>
    <w:p w14:paraId="7B73BC01" w14:textId="28E4ED37" w:rsidR="00016503" w:rsidRPr="002B191D" w:rsidRDefault="00016503" w:rsidP="00016503">
      <w:pPr>
        <w:pStyle w:val="Estilo1"/>
        <w:numPr>
          <w:ilvl w:val="0"/>
          <w:numId w:val="2"/>
        </w:numPr>
        <w:tabs>
          <w:tab w:val="left" w:pos="0"/>
        </w:tabs>
        <w:spacing w:before="120"/>
        <w:ind w:left="0" w:right="-4" w:firstLine="0"/>
        <w:rPr>
          <w:i w:val="0"/>
          <w:szCs w:val="20"/>
          <w:lang w:val="es-ES"/>
        </w:rPr>
      </w:pPr>
      <w:r w:rsidRPr="002B191D">
        <w:rPr>
          <w:i w:val="0"/>
          <w:szCs w:val="20"/>
          <w:lang w:val="es-ES"/>
        </w:rPr>
        <w:t>El señor Narciso Daniel Castro, quien conocía a Carlos Escaleras</w:t>
      </w:r>
      <w:r w:rsidR="003D61FF">
        <w:rPr>
          <w:i w:val="0"/>
          <w:szCs w:val="20"/>
          <w:lang w:val="es-ES"/>
        </w:rPr>
        <w:t xml:space="preserve"> Mejía</w:t>
      </w:r>
      <w:r w:rsidRPr="002B191D">
        <w:rPr>
          <w:i w:val="0"/>
          <w:szCs w:val="20"/>
          <w:lang w:val="es-ES"/>
        </w:rPr>
        <w:t>, indicó que el mismo día de su muerte, O.M. se le acercó y le confesó haber matado a alguien, y mencionó el nombre de Carlos Escaleras</w:t>
      </w:r>
      <w:r w:rsidR="003D61FF">
        <w:rPr>
          <w:i w:val="0"/>
          <w:szCs w:val="20"/>
          <w:lang w:val="es-ES"/>
        </w:rPr>
        <w:t xml:space="preserve"> Mejía</w:t>
      </w:r>
      <w:r w:rsidRPr="002B191D">
        <w:rPr>
          <w:i w:val="0"/>
          <w:szCs w:val="20"/>
          <w:lang w:val="es-ES"/>
        </w:rPr>
        <w:t xml:space="preserve">. Sostuvo que </w:t>
      </w:r>
      <w:r w:rsidR="0075634E" w:rsidRPr="002B191D">
        <w:rPr>
          <w:i w:val="0"/>
          <w:szCs w:val="20"/>
          <w:lang w:val="es-ES"/>
        </w:rPr>
        <w:t>esa persona</w:t>
      </w:r>
      <w:r w:rsidRPr="002B191D">
        <w:rPr>
          <w:i w:val="0"/>
          <w:szCs w:val="20"/>
          <w:lang w:val="es-ES"/>
        </w:rPr>
        <w:t xml:space="preserve"> le mostró un rollo de billetes y le dijo que se lo había dado O.S., quien habría estado vinculado con M.F. También indicó que previamente </w:t>
      </w:r>
      <w:r w:rsidR="00C31683" w:rsidRPr="002B191D">
        <w:rPr>
          <w:i w:val="0"/>
          <w:szCs w:val="20"/>
          <w:lang w:val="es-ES"/>
        </w:rPr>
        <w:t>O.M.</w:t>
      </w:r>
      <w:r w:rsidRPr="002B191D">
        <w:rPr>
          <w:i w:val="0"/>
          <w:szCs w:val="20"/>
          <w:lang w:val="es-ES"/>
        </w:rPr>
        <w:t xml:space="preserve"> le había contado que </w:t>
      </w:r>
      <w:r w:rsidR="003D61FF">
        <w:rPr>
          <w:i w:val="0"/>
          <w:szCs w:val="20"/>
          <w:lang w:val="es-ES"/>
        </w:rPr>
        <w:t>había asesinado</w:t>
      </w:r>
      <w:r w:rsidR="003D61FF" w:rsidRPr="002B191D">
        <w:rPr>
          <w:i w:val="0"/>
          <w:szCs w:val="20"/>
          <w:lang w:val="es-ES"/>
        </w:rPr>
        <w:t xml:space="preserve"> </w:t>
      </w:r>
      <w:r w:rsidRPr="002B191D">
        <w:rPr>
          <w:i w:val="0"/>
          <w:szCs w:val="20"/>
          <w:lang w:val="es-ES"/>
        </w:rPr>
        <w:t xml:space="preserve">a dos personas por encargo de </w:t>
      </w:r>
      <w:r w:rsidR="00C31683" w:rsidRPr="002B191D">
        <w:rPr>
          <w:i w:val="0"/>
          <w:szCs w:val="20"/>
          <w:lang w:val="es-ES"/>
        </w:rPr>
        <w:t>O.S</w:t>
      </w:r>
      <w:r w:rsidRPr="002B191D">
        <w:rPr>
          <w:i w:val="0"/>
          <w:szCs w:val="20"/>
          <w:lang w:val="es-ES"/>
        </w:rPr>
        <w:t xml:space="preserve">. Luego de la conversación con </w:t>
      </w:r>
      <w:r w:rsidR="0075634E" w:rsidRPr="002B191D">
        <w:rPr>
          <w:i w:val="0"/>
          <w:szCs w:val="20"/>
          <w:lang w:val="es-ES"/>
        </w:rPr>
        <w:t>O.M.</w:t>
      </w:r>
      <w:r w:rsidRPr="002B191D">
        <w:rPr>
          <w:i w:val="0"/>
          <w:szCs w:val="20"/>
          <w:lang w:val="es-ES"/>
        </w:rPr>
        <w:t xml:space="preserve">, el señor Castro manifestó haber recibido llamadas telefónicas en las que le dijeron que “ya s[aben] dónde se mete” y que “si abre la boca se la cierr[an]”. </w:t>
      </w:r>
      <w:r w:rsidR="00C31683" w:rsidRPr="002B191D">
        <w:rPr>
          <w:i w:val="0"/>
          <w:szCs w:val="20"/>
          <w:lang w:val="es-ES"/>
        </w:rPr>
        <w:t>O.M.</w:t>
      </w:r>
      <w:r w:rsidRPr="002B191D">
        <w:rPr>
          <w:i w:val="0"/>
          <w:szCs w:val="20"/>
          <w:lang w:val="es-ES"/>
        </w:rPr>
        <w:t xml:space="preserve"> fue asesinado el 12 de noviembre de 1997, semanas después de lo ocurrido con el señor Escaleras</w:t>
      </w:r>
      <w:r w:rsidR="003D61FF">
        <w:rPr>
          <w:i w:val="0"/>
          <w:szCs w:val="20"/>
          <w:lang w:val="es-ES"/>
        </w:rPr>
        <w:t xml:space="preserve"> Mejía</w:t>
      </w:r>
      <w:r w:rsidRPr="002B191D">
        <w:rPr>
          <w:i w:val="0"/>
          <w:szCs w:val="20"/>
          <w:lang w:val="es-ES"/>
        </w:rPr>
        <w:t>.</w:t>
      </w:r>
    </w:p>
    <w:p w14:paraId="22007F88" w14:textId="0FD64EB6" w:rsidR="00016503" w:rsidRPr="0064010A" w:rsidRDefault="00016503" w:rsidP="00016503">
      <w:pPr>
        <w:pStyle w:val="Estilo1"/>
        <w:numPr>
          <w:ilvl w:val="0"/>
          <w:numId w:val="2"/>
        </w:numPr>
        <w:tabs>
          <w:tab w:val="left" w:pos="0"/>
        </w:tabs>
        <w:spacing w:before="120"/>
        <w:ind w:left="0" w:right="-4" w:firstLine="0"/>
        <w:rPr>
          <w:b/>
          <w:i w:val="0"/>
          <w:szCs w:val="20"/>
          <w:lang w:val="es-ES"/>
        </w:rPr>
      </w:pPr>
      <w:r w:rsidRPr="0064010A">
        <w:rPr>
          <w:i w:val="0"/>
          <w:szCs w:val="20"/>
          <w:lang w:val="es-ES"/>
        </w:rPr>
        <w:t xml:space="preserve">René Escaleras manifestó que a los pocos días del </w:t>
      </w:r>
      <w:r w:rsidR="00206D5D">
        <w:rPr>
          <w:i w:val="0"/>
          <w:szCs w:val="20"/>
          <w:lang w:val="es-CR"/>
        </w:rPr>
        <w:t>homicidio</w:t>
      </w:r>
      <w:r w:rsidR="00206D5D" w:rsidRPr="0064010A">
        <w:rPr>
          <w:i w:val="0"/>
          <w:szCs w:val="20"/>
          <w:lang w:val="es-ES"/>
        </w:rPr>
        <w:t xml:space="preserve"> </w:t>
      </w:r>
      <w:r w:rsidRPr="0064010A">
        <w:rPr>
          <w:i w:val="0"/>
          <w:szCs w:val="20"/>
          <w:lang w:val="es-ES"/>
        </w:rPr>
        <w:t xml:space="preserve">de su hermano </w:t>
      </w:r>
      <w:r w:rsidR="007C4432">
        <w:rPr>
          <w:i w:val="0"/>
          <w:szCs w:val="20"/>
          <w:lang w:val="es-ES"/>
        </w:rPr>
        <w:t>se</w:t>
      </w:r>
      <w:r w:rsidRPr="0064010A">
        <w:rPr>
          <w:i w:val="0"/>
          <w:szCs w:val="20"/>
          <w:lang w:val="es-ES"/>
        </w:rPr>
        <w:t xml:space="preserve"> le pidió que elaborara una carta en nombre de la familia Escaleras desvirtuando que </w:t>
      </w:r>
      <w:r w:rsidR="00C31683" w:rsidRPr="0064010A">
        <w:rPr>
          <w:i w:val="0"/>
          <w:szCs w:val="20"/>
          <w:lang w:val="es-ES"/>
        </w:rPr>
        <w:t>M.F.</w:t>
      </w:r>
      <w:r w:rsidRPr="0064010A">
        <w:rPr>
          <w:i w:val="0"/>
          <w:szCs w:val="20"/>
          <w:lang w:val="es-ES"/>
        </w:rPr>
        <w:t xml:space="preserve"> tuviera algo que ver con la muerte de Carlos</w:t>
      </w:r>
      <w:r w:rsidR="003D61FF">
        <w:rPr>
          <w:i w:val="0"/>
          <w:szCs w:val="20"/>
          <w:lang w:val="es-ES"/>
        </w:rPr>
        <w:t xml:space="preserve"> Escaleras Mejía</w:t>
      </w:r>
      <w:r w:rsidRPr="0064010A">
        <w:rPr>
          <w:i w:val="0"/>
          <w:szCs w:val="20"/>
          <w:lang w:val="es-ES"/>
        </w:rPr>
        <w:t xml:space="preserve">, a lo cual se negó. </w:t>
      </w:r>
    </w:p>
    <w:p w14:paraId="28CF1377" w14:textId="7B8F6BB2" w:rsidR="00BD53D7" w:rsidRPr="0064010A" w:rsidRDefault="00C31683" w:rsidP="003D5096">
      <w:pPr>
        <w:pStyle w:val="ListParagraph"/>
        <w:numPr>
          <w:ilvl w:val="0"/>
          <w:numId w:val="6"/>
        </w:numPr>
        <w:tabs>
          <w:tab w:val="left" w:pos="567"/>
        </w:tabs>
        <w:autoSpaceDE w:val="0"/>
        <w:autoSpaceDN w:val="0"/>
        <w:adjustRightInd w:val="0"/>
        <w:spacing w:before="240" w:after="240"/>
        <w:contextualSpacing w:val="0"/>
        <w:outlineLvl w:val="1"/>
        <w:rPr>
          <w:b/>
          <w:i/>
          <w:szCs w:val="20"/>
        </w:rPr>
      </w:pPr>
      <w:bookmarkStart w:id="93" w:name="_Toc525713976"/>
      <w:r w:rsidRPr="0064010A">
        <w:rPr>
          <w:b/>
          <w:i/>
          <w:szCs w:val="20"/>
        </w:rPr>
        <w:t>Investigación y procedimiento judicial</w:t>
      </w:r>
      <w:bookmarkEnd w:id="93"/>
    </w:p>
    <w:p w14:paraId="5F50C517" w14:textId="46EF9939" w:rsidR="00C31683" w:rsidRPr="0064010A" w:rsidRDefault="003D61FF" w:rsidP="00C31683">
      <w:pPr>
        <w:pStyle w:val="Estilo1"/>
        <w:numPr>
          <w:ilvl w:val="0"/>
          <w:numId w:val="2"/>
        </w:numPr>
        <w:tabs>
          <w:tab w:val="left" w:pos="0"/>
        </w:tabs>
        <w:spacing w:before="120"/>
        <w:ind w:left="0" w:right="-4" w:firstLine="0"/>
        <w:rPr>
          <w:i w:val="0"/>
          <w:szCs w:val="20"/>
          <w:lang w:val="es-ES"/>
        </w:rPr>
      </w:pPr>
      <w:r>
        <w:rPr>
          <w:i w:val="0"/>
          <w:szCs w:val="20"/>
          <w:lang w:val="es-ES"/>
        </w:rPr>
        <w:t>P</w:t>
      </w:r>
      <w:r w:rsidR="00602FF0" w:rsidRPr="0064010A">
        <w:rPr>
          <w:i w:val="0"/>
          <w:szCs w:val="20"/>
          <w:lang w:val="es-ES"/>
        </w:rPr>
        <w:t>or denuncia de fecha 20 de octubre de 1997</w:t>
      </w:r>
      <w:r>
        <w:rPr>
          <w:i w:val="0"/>
          <w:szCs w:val="20"/>
          <w:lang w:val="es-ES"/>
        </w:rPr>
        <w:t>,</w:t>
      </w:r>
      <w:r w:rsidR="00602FF0">
        <w:rPr>
          <w:i w:val="0"/>
          <w:szCs w:val="20"/>
          <w:lang w:val="es-ES"/>
        </w:rPr>
        <w:t xml:space="preserve"> </w:t>
      </w:r>
      <w:r w:rsidR="00C31683" w:rsidRPr="0064010A">
        <w:rPr>
          <w:i w:val="0"/>
          <w:szCs w:val="20"/>
          <w:lang w:val="es-ES"/>
        </w:rPr>
        <w:t>se tramitó un proceso penal por la muerte de Car</w:t>
      </w:r>
      <w:r w:rsidR="00602FF0">
        <w:rPr>
          <w:i w:val="0"/>
          <w:szCs w:val="20"/>
          <w:lang w:val="es-ES"/>
        </w:rPr>
        <w:t>l</w:t>
      </w:r>
      <w:r w:rsidR="00C31683" w:rsidRPr="0064010A">
        <w:rPr>
          <w:i w:val="0"/>
          <w:szCs w:val="20"/>
          <w:lang w:val="es-ES"/>
        </w:rPr>
        <w:t>os Escaleras Mejía en la jurisdicción penal ordinaria ante el Juzgado de Letras Seccional de Tocoa</w:t>
      </w:r>
      <w:r>
        <w:rPr>
          <w:rStyle w:val="FootnoteReference"/>
          <w:i w:val="0"/>
          <w:lang w:val="es-ES"/>
        </w:rPr>
        <w:footnoteReference w:id="32"/>
      </w:r>
      <w:r w:rsidR="00C31683" w:rsidRPr="0064010A">
        <w:rPr>
          <w:i w:val="0"/>
          <w:szCs w:val="20"/>
          <w:lang w:val="es-ES"/>
        </w:rPr>
        <w:t xml:space="preserve">. </w:t>
      </w:r>
      <w:r>
        <w:rPr>
          <w:i w:val="0"/>
          <w:szCs w:val="20"/>
          <w:lang w:val="es-ES"/>
        </w:rPr>
        <w:t>Según consta en el Informe de Fondo, e</w:t>
      </w:r>
      <w:r w:rsidRPr="0064010A">
        <w:rPr>
          <w:i w:val="0"/>
          <w:szCs w:val="20"/>
          <w:lang w:val="es-ES"/>
        </w:rPr>
        <w:t xml:space="preserve">n </w:t>
      </w:r>
      <w:r w:rsidR="00C31683" w:rsidRPr="0064010A">
        <w:rPr>
          <w:i w:val="0"/>
          <w:szCs w:val="20"/>
          <w:lang w:val="es-ES"/>
        </w:rPr>
        <w:t xml:space="preserve">el transcurso del proceso, entre los años 1997 y 2011, se </w:t>
      </w:r>
      <w:r w:rsidR="00C31683" w:rsidRPr="0064010A">
        <w:rPr>
          <w:rFonts w:eastAsia="Calibri"/>
          <w:i w:val="0"/>
          <w:szCs w:val="20"/>
          <w:lang w:val="es-CR"/>
        </w:rPr>
        <w:t xml:space="preserve">llevaron a cabo </w:t>
      </w:r>
      <w:r w:rsidR="00694E55">
        <w:rPr>
          <w:rFonts w:eastAsia="Calibri"/>
          <w:i w:val="0"/>
          <w:szCs w:val="20"/>
          <w:lang w:val="es-CR"/>
        </w:rPr>
        <w:t>varias</w:t>
      </w:r>
      <w:r w:rsidR="00694E55" w:rsidRPr="0064010A">
        <w:rPr>
          <w:rFonts w:eastAsia="Calibri"/>
          <w:i w:val="0"/>
          <w:szCs w:val="20"/>
          <w:lang w:val="es-CR"/>
        </w:rPr>
        <w:t xml:space="preserve"> </w:t>
      </w:r>
      <w:r w:rsidR="00C31683" w:rsidRPr="0064010A">
        <w:rPr>
          <w:rFonts w:eastAsia="Calibri"/>
          <w:i w:val="0"/>
          <w:szCs w:val="20"/>
          <w:lang w:val="es-CR"/>
        </w:rPr>
        <w:t xml:space="preserve">diligencias probatorias y actuaciones procesales. Entre estas se encuentran la realización de una inspección judicial en el </w:t>
      </w:r>
      <w:r>
        <w:rPr>
          <w:rFonts w:eastAsia="Calibri"/>
          <w:i w:val="0"/>
          <w:szCs w:val="20"/>
          <w:lang w:val="es-CR"/>
        </w:rPr>
        <w:t>“</w:t>
      </w:r>
      <w:r w:rsidR="00C31683" w:rsidRPr="0064010A">
        <w:rPr>
          <w:rFonts w:eastAsia="Calibri"/>
          <w:i w:val="0"/>
          <w:szCs w:val="20"/>
          <w:lang w:val="es-CR"/>
        </w:rPr>
        <w:t>Lubricentro Escaleras</w:t>
      </w:r>
      <w:r>
        <w:rPr>
          <w:rFonts w:eastAsia="Calibri"/>
          <w:i w:val="0"/>
          <w:szCs w:val="20"/>
          <w:lang w:val="es-CR"/>
        </w:rPr>
        <w:t>”</w:t>
      </w:r>
      <w:r w:rsidR="00C31683" w:rsidRPr="0064010A">
        <w:rPr>
          <w:rFonts w:eastAsia="Calibri"/>
          <w:i w:val="0"/>
          <w:szCs w:val="20"/>
          <w:lang w:val="es-CR"/>
        </w:rPr>
        <w:t xml:space="preserve">, la solicitud de remisión del examen del cadáver de Carlos Escaleras </w:t>
      </w:r>
      <w:r>
        <w:rPr>
          <w:rFonts w:eastAsia="Calibri"/>
          <w:i w:val="0"/>
          <w:szCs w:val="20"/>
          <w:lang w:val="es-CR"/>
        </w:rPr>
        <w:t xml:space="preserve">Mejía </w:t>
      </w:r>
      <w:r w:rsidR="00C31683" w:rsidRPr="0064010A">
        <w:rPr>
          <w:rFonts w:eastAsia="Calibri"/>
          <w:i w:val="0"/>
          <w:szCs w:val="20"/>
          <w:lang w:val="es-CR"/>
        </w:rPr>
        <w:t xml:space="preserve">y la inspección judicial en la empresa Lexus, así como la toma de diversas declaraciones y la elaboración de informes por parte de la Dirección General de Investigación Criminal. Asimismo, se ordenó la captura de diversas personas. Entre los años 2000 y 2001 el Tribunal admitió acusación en contra de </w:t>
      </w:r>
      <w:r w:rsidR="00694E55">
        <w:rPr>
          <w:rFonts w:eastAsia="Calibri"/>
          <w:i w:val="0"/>
          <w:szCs w:val="20"/>
          <w:lang w:val="es-CR"/>
        </w:rPr>
        <w:t xml:space="preserve">varias personas como </w:t>
      </w:r>
      <w:r w:rsidR="00C31683" w:rsidRPr="0064010A">
        <w:rPr>
          <w:rFonts w:eastAsia="Calibri"/>
          <w:i w:val="0"/>
          <w:szCs w:val="20"/>
          <w:lang w:val="es-CR"/>
        </w:rPr>
        <w:t xml:space="preserve">presuntos autores </w:t>
      </w:r>
      <w:r w:rsidR="00694E55">
        <w:rPr>
          <w:rFonts w:eastAsia="Calibri"/>
          <w:i w:val="0"/>
          <w:szCs w:val="20"/>
          <w:lang w:val="es-CR"/>
        </w:rPr>
        <w:t>del homicidio del señor Escaleras</w:t>
      </w:r>
      <w:r>
        <w:rPr>
          <w:rFonts w:eastAsia="Calibri"/>
          <w:i w:val="0"/>
          <w:szCs w:val="20"/>
          <w:lang w:val="es-CR"/>
        </w:rPr>
        <w:t xml:space="preserve"> Mejía</w:t>
      </w:r>
      <w:r w:rsidR="00C31683" w:rsidRPr="0064010A">
        <w:rPr>
          <w:rFonts w:eastAsia="Calibri"/>
          <w:i w:val="0"/>
          <w:szCs w:val="20"/>
          <w:lang w:val="es-CR"/>
        </w:rPr>
        <w:t xml:space="preserve">. En el Informe consta el posterior sobreseimiento de </w:t>
      </w:r>
      <w:r w:rsidR="00694E55">
        <w:rPr>
          <w:rFonts w:eastAsia="Calibri"/>
          <w:i w:val="0"/>
          <w:szCs w:val="20"/>
          <w:lang w:val="es-CR"/>
        </w:rPr>
        <w:t>dos de esas personas</w:t>
      </w:r>
      <w:r w:rsidR="00CB524B" w:rsidRPr="0064010A">
        <w:rPr>
          <w:rFonts w:eastAsia="Calibri"/>
          <w:i w:val="0"/>
          <w:szCs w:val="20"/>
          <w:lang w:val="es-CR"/>
        </w:rPr>
        <w:t>.</w:t>
      </w:r>
      <w:r w:rsidR="00C31683" w:rsidRPr="0064010A">
        <w:rPr>
          <w:rFonts w:eastAsia="Calibri"/>
          <w:i w:val="0"/>
          <w:szCs w:val="20"/>
          <w:lang w:val="es-CR"/>
        </w:rPr>
        <w:t xml:space="preserve"> Además, se </w:t>
      </w:r>
      <w:r w:rsidR="00CB524B" w:rsidRPr="0064010A">
        <w:rPr>
          <w:rFonts w:eastAsia="Calibri"/>
          <w:i w:val="0"/>
          <w:szCs w:val="20"/>
          <w:lang w:val="es-CR"/>
        </w:rPr>
        <w:t>pudo constatar</w:t>
      </w:r>
      <w:r w:rsidR="00C31683" w:rsidRPr="0064010A">
        <w:rPr>
          <w:rFonts w:eastAsia="Calibri"/>
          <w:i w:val="0"/>
          <w:szCs w:val="20"/>
          <w:lang w:val="es-CR"/>
        </w:rPr>
        <w:t xml:space="preserve"> el nombramiento y remoción de diversos fiscales en el proceso. </w:t>
      </w:r>
    </w:p>
    <w:p w14:paraId="38A5F9BE" w14:textId="3F5FA5C7" w:rsidR="00C31683" w:rsidRPr="0064010A" w:rsidRDefault="00C31683" w:rsidP="00CB524B">
      <w:pPr>
        <w:pStyle w:val="Estilo1"/>
        <w:numPr>
          <w:ilvl w:val="0"/>
          <w:numId w:val="2"/>
        </w:numPr>
        <w:tabs>
          <w:tab w:val="left" w:pos="0"/>
        </w:tabs>
        <w:spacing w:before="120"/>
        <w:ind w:left="0" w:right="-4" w:firstLine="0"/>
        <w:rPr>
          <w:i w:val="0"/>
          <w:szCs w:val="20"/>
          <w:lang w:val="es-ES"/>
        </w:rPr>
      </w:pPr>
      <w:r w:rsidRPr="0064010A">
        <w:rPr>
          <w:i w:val="0"/>
          <w:szCs w:val="20"/>
          <w:lang w:val="es-ES"/>
        </w:rPr>
        <w:t xml:space="preserve">El 16 de octubre de 2002 el Juzgado dictó sentencia condenatoria por 17 años de prisión en contra de </w:t>
      </w:r>
      <w:r w:rsidR="00CB524B" w:rsidRPr="0064010A">
        <w:rPr>
          <w:i w:val="0"/>
          <w:szCs w:val="20"/>
          <w:lang w:val="es-ES"/>
        </w:rPr>
        <w:t>L.G.</w:t>
      </w:r>
      <w:r w:rsidRPr="0064010A">
        <w:rPr>
          <w:i w:val="0"/>
          <w:szCs w:val="20"/>
          <w:lang w:val="es-ES"/>
        </w:rPr>
        <w:t xml:space="preserve"> por el delito de </w:t>
      </w:r>
      <w:r w:rsidR="00206D5D">
        <w:rPr>
          <w:i w:val="0"/>
          <w:szCs w:val="20"/>
          <w:lang w:val="es-CR"/>
        </w:rPr>
        <w:t>homicidio</w:t>
      </w:r>
      <w:r w:rsidR="00206D5D" w:rsidRPr="0064010A">
        <w:rPr>
          <w:i w:val="0"/>
          <w:szCs w:val="20"/>
          <w:lang w:val="es-ES"/>
        </w:rPr>
        <w:t xml:space="preserve"> </w:t>
      </w:r>
      <w:r w:rsidRPr="0064010A">
        <w:rPr>
          <w:i w:val="0"/>
          <w:szCs w:val="20"/>
          <w:lang w:val="es-ES"/>
        </w:rPr>
        <w:t>en contra de Carlos Escaleras</w:t>
      </w:r>
      <w:r w:rsidR="003D61FF">
        <w:rPr>
          <w:i w:val="0"/>
          <w:szCs w:val="20"/>
          <w:lang w:val="es-ES"/>
        </w:rPr>
        <w:t xml:space="preserve"> Mejía</w:t>
      </w:r>
      <w:r w:rsidRPr="0064010A">
        <w:rPr>
          <w:i w:val="0"/>
          <w:szCs w:val="20"/>
          <w:lang w:val="es-ES"/>
        </w:rPr>
        <w:t xml:space="preserve">. Además, el 24 de agosto de 2011, el Juzgado de Letras Seccional de Tocoa dictó </w:t>
      </w:r>
      <w:r w:rsidRPr="0064010A">
        <w:rPr>
          <w:rFonts w:eastAsia="Calibri"/>
          <w:i w:val="0"/>
          <w:szCs w:val="20"/>
          <w:lang w:val="es-CR"/>
        </w:rPr>
        <w:t>sentencia</w:t>
      </w:r>
      <w:r w:rsidRPr="0064010A">
        <w:rPr>
          <w:i w:val="0"/>
          <w:szCs w:val="20"/>
          <w:lang w:val="es-ES"/>
        </w:rPr>
        <w:t xml:space="preserve"> y </w:t>
      </w:r>
      <w:r w:rsidRPr="0064010A">
        <w:rPr>
          <w:i w:val="0"/>
          <w:szCs w:val="20"/>
          <w:lang w:val="es-ES"/>
        </w:rPr>
        <w:lastRenderedPageBreak/>
        <w:t xml:space="preserve">condenó a 12 años de prisión a </w:t>
      </w:r>
      <w:r w:rsidR="00CB524B" w:rsidRPr="0064010A">
        <w:rPr>
          <w:i w:val="0"/>
          <w:szCs w:val="20"/>
          <w:lang w:val="es-ES"/>
        </w:rPr>
        <w:t>L.M.</w:t>
      </w:r>
      <w:r w:rsidRPr="0064010A">
        <w:rPr>
          <w:i w:val="0"/>
          <w:szCs w:val="20"/>
          <w:lang w:val="es-ES"/>
        </w:rPr>
        <w:t xml:space="preserve"> por ser cómplice del delito de </w:t>
      </w:r>
      <w:r w:rsidR="00206D5D">
        <w:rPr>
          <w:i w:val="0"/>
          <w:szCs w:val="20"/>
          <w:lang w:val="es-CR"/>
        </w:rPr>
        <w:t>homicidio</w:t>
      </w:r>
      <w:r w:rsidR="00206D5D" w:rsidRPr="0064010A">
        <w:rPr>
          <w:i w:val="0"/>
          <w:szCs w:val="20"/>
          <w:lang w:val="es-ES"/>
        </w:rPr>
        <w:t xml:space="preserve"> </w:t>
      </w:r>
      <w:r w:rsidRPr="0064010A">
        <w:rPr>
          <w:i w:val="0"/>
          <w:szCs w:val="20"/>
          <w:lang w:val="es-ES"/>
        </w:rPr>
        <w:t>en perjuicio del señor Carlos Escaleras Mejía. Según consta en el Informe de Fondo, la Comisión no contó con información sobre posteriores actuaciones a nivel interno.</w:t>
      </w:r>
    </w:p>
    <w:p w14:paraId="526AC790" w14:textId="5636A64A" w:rsidR="00C31683" w:rsidRPr="0064010A" w:rsidRDefault="00C31683" w:rsidP="00CB524B">
      <w:pPr>
        <w:pStyle w:val="Estilo1"/>
        <w:numPr>
          <w:ilvl w:val="0"/>
          <w:numId w:val="2"/>
        </w:numPr>
        <w:tabs>
          <w:tab w:val="left" w:pos="0"/>
        </w:tabs>
        <w:spacing w:before="120"/>
        <w:ind w:left="0" w:right="-4" w:firstLine="0"/>
        <w:rPr>
          <w:i w:val="0"/>
          <w:szCs w:val="20"/>
        </w:rPr>
      </w:pPr>
      <w:r w:rsidRPr="0064010A">
        <w:rPr>
          <w:i w:val="0"/>
          <w:szCs w:val="20"/>
        </w:rPr>
        <w:t xml:space="preserve">En virtud del reconocimiento de responsabilidad del Estado por las diligencias de </w:t>
      </w:r>
      <w:r w:rsidRPr="0064010A">
        <w:rPr>
          <w:rFonts w:eastAsia="Calibri"/>
          <w:i w:val="0"/>
          <w:szCs w:val="20"/>
          <w:lang w:val="es-CR"/>
        </w:rPr>
        <w:t>investigación</w:t>
      </w:r>
      <w:r w:rsidRPr="0064010A">
        <w:rPr>
          <w:i w:val="0"/>
          <w:szCs w:val="20"/>
        </w:rPr>
        <w:t xml:space="preserve"> en el marco del proceso ante la jurisdicción penal ordinaria, el cual fue aceptado por esta Corte</w:t>
      </w:r>
      <w:r w:rsidR="009A4C4B" w:rsidRPr="0064010A">
        <w:rPr>
          <w:i w:val="0"/>
          <w:szCs w:val="20"/>
        </w:rPr>
        <w:t xml:space="preserve">, </w:t>
      </w:r>
      <w:r w:rsidRPr="0064010A">
        <w:rPr>
          <w:i w:val="0"/>
          <w:szCs w:val="20"/>
        </w:rPr>
        <w:t xml:space="preserve">no se entrará a detallar los hechos correspondientes a </w:t>
      </w:r>
      <w:r w:rsidR="00516A5B">
        <w:rPr>
          <w:i w:val="0"/>
          <w:szCs w:val="20"/>
        </w:rPr>
        <w:t>las investigaciones y el proceso judicial</w:t>
      </w:r>
      <w:r w:rsidRPr="0064010A">
        <w:rPr>
          <w:i w:val="0"/>
          <w:szCs w:val="20"/>
        </w:rPr>
        <w:t>.</w:t>
      </w:r>
    </w:p>
    <w:p w14:paraId="3D5EC554" w14:textId="3BD0C8D2" w:rsidR="002E256A" w:rsidRPr="0064010A" w:rsidRDefault="002E256A" w:rsidP="002E256A">
      <w:pPr>
        <w:pStyle w:val="Heading1"/>
        <w:rPr>
          <w:lang w:val="es-ES"/>
        </w:rPr>
      </w:pPr>
      <w:bookmarkStart w:id="94" w:name="_Toc486693383"/>
      <w:bookmarkStart w:id="95" w:name="_Toc486842799"/>
      <w:bookmarkStart w:id="96" w:name="_Toc486842937"/>
      <w:bookmarkStart w:id="97" w:name="_Toc525713977"/>
      <w:r w:rsidRPr="0064010A">
        <w:rPr>
          <w:lang w:val="es-ES"/>
        </w:rPr>
        <w:t>V</w:t>
      </w:r>
      <w:r w:rsidR="00A730A1" w:rsidRPr="0064010A">
        <w:rPr>
          <w:lang w:val="es-ES"/>
        </w:rPr>
        <w:t>I</w:t>
      </w:r>
      <w:r w:rsidRPr="0064010A">
        <w:rPr>
          <w:color w:val="FFFFFF" w:themeColor="background1"/>
          <w:lang w:val="es-ES"/>
        </w:rPr>
        <w:t>.</w:t>
      </w:r>
      <w:r w:rsidRPr="0064010A">
        <w:rPr>
          <w:lang w:val="es-ES"/>
        </w:rPr>
        <w:br/>
      </w:r>
      <w:bookmarkEnd w:id="94"/>
      <w:bookmarkEnd w:id="95"/>
      <w:bookmarkEnd w:id="96"/>
      <w:r w:rsidR="00A730A1" w:rsidRPr="0064010A">
        <w:rPr>
          <w:lang w:val="es-ES"/>
        </w:rPr>
        <w:t>CONSIDERACIONES DE LA CORTE RESPECTO DE LAS VIOLACIONES A LOS DERECHOS HUMANOS</w:t>
      </w:r>
      <w:r w:rsidR="009A6A62" w:rsidRPr="0064010A">
        <w:rPr>
          <w:lang w:val="es-ES"/>
        </w:rPr>
        <w:t xml:space="preserve"> EN PERJUICIO DE CARLOS ESCALERAS MEJÍA</w:t>
      </w:r>
      <w:bookmarkEnd w:id="97"/>
    </w:p>
    <w:p w14:paraId="216069B1" w14:textId="752D8245" w:rsidR="00A730A1" w:rsidRDefault="00A730A1" w:rsidP="00A730A1">
      <w:pPr>
        <w:pStyle w:val="Estilo1"/>
        <w:numPr>
          <w:ilvl w:val="0"/>
          <w:numId w:val="2"/>
        </w:numPr>
        <w:tabs>
          <w:tab w:val="left" w:pos="0"/>
        </w:tabs>
        <w:spacing w:before="120"/>
        <w:ind w:left="0" w:right="-4" w:firstLine="0"/>
        <w:rPr>
          <w:rFonts w:ascii="Times New Roman" w:hAnsi="Times New Roman" w:cs="Times New Roman"/>
          <w:i w:val="0"/>
          <w:sz w:val="24"/>
          <w:lang w:val="es-ES" w:eastAsia="es-ES"/>
        </w:rPr>
      </w:pPr>
      <w:r w:rsidRPr="0064010A">
        <w:rPr>
          <w:i w:val="0"/>
          <w:szCs w:val="20"/>
          <w:lang w:val="es-ES"/>
        </w:rPr>
        <w:t>Sin perjuicio del reconocimiento de responsabilidad realizado por el Estado respecto de las violaciones que han sido descritas en el Informe de Fondo y el cese de la controversia en este proceso, la Corte, con base en el marco de su competencia y valorando la relevancia y magnitud de los hechos, estima necesario referirse a los derechos violados en el presente caso. Para ello, se hará mención a la violación de los artículos 4, 5, 8, 16, 23 y 25 de la Convención, en relación con el artículo 1.1 del mismo instrumento, según fue constatado en el Informe de Fondo</w:t>
      </w:r>
      <w:r w:rsidRPr="0064010A">
        <w:rPr>
          <w:i w:val="0"/>
          <w:vertAlign w:val="superscript"/>
          <w:lang w:val="es-CR"/>
        </w:rPr>
        <w:footnoteReference w:id="33"/>
      </w:r>
      <w:r w:rsidRPr="0064010A">
        <w:rPr>
          <w:i w:val="0"/>
          <w:szCs w:val="20"/>
          <w:lang w:val="es-ES"/>
        </w:rPr>
        <w:t xml:space="preserve">. </w:t>
      </w:r>
      <w:r w:rsidR="008C00C8">
        <w:rPr>
          <w:i w:val="0"/>
          <w:szCs w:val="20"/>
          <w:lang w:val="es-ES"/>
        </w:rPr>
        <w:t>C</w:t>
      </w:r>
      <w:r w:rsidRPr="0064010A">
        <w:rPr>
          <w:i w:val="0"/>
          <w:szCs w:val="20"/>
          <w:lang w:val="es-ES"/>
        </w:rPr>
        <w:t>onforme a la solicitud conjunta presentada</w:t>
      </w:r>
      <w:r w:rsidR="0034523E">
        <w:rPr>
          <w:i w:val="0"/>
          <w:szCs w:val="20"/>
          <w:lang w:val="es-ES"/>
        </w:rPr>
        <w:t>,</w:t>
      </w:r>
      <w:r w:rsidR="009A4C4B">
        <w:rPr>
          <w:i w:val="0"/>
          <w:szCs w:val="20"/>
          <w:lang w:val="es-ES"/>
        </w:rPr>
        <w:t xml:space="preserve"> </w:t>
      </w:r>
      <w:r w:rsidR="0034523E">
        <w:rPr>
          <w:i w:val="0"/>
          <w:szCs w:val="20"/>
          <w:lang w:val="es-CR"/>
        </w:rPr>
        <w:t>é</w:t>
      </w:r>
      <w:r w:rsidR="009A4C4B" w:rsidRPr="0064010A">
        <w:rPr>
          <w:i w:val="0"/>
          <w:szCs w:val="20"/>
          <w:lang w:val="es-CR"/>
        </w:rPr>
        <w:t>ste</w:t>
      </w:r>
      <w:r w:rsidR="008C00C8" w:rsidRPr="0064010A">
        <w:rPr>
          <w:i w:val="0"/>
          <w:szCs w:val="20"/>
          <w:lang w:val="es-CR"/>
        </w:rPr>
        <w:t xml:space="preserve"> Tribunal estima adecuado analizar el </w:t>
      </w:r>
      <w:r w:rsidR="008C00C8" w:rsidRPr="0064010A">
        <w:rPr>
          <w:i w:val="0"/>
          <w:szCs w:val="20"/>
          <w:lang w:val="es-ES"/>
        </w:rPr>
        <w:t xml:space="preserve">contenido del derecho a defender derechos humanos, </w:t>
      </w:r>
      <w:r w:rsidRPr="0064010A">
        <w:rPr>
          <w:i w:val="0"/>
          <w:szCs w:val="20"/>
          <w:lang w:val="es-CR"/>
        </w:rPr>
        <w:t>a partir de las violaciones de los citados derechos —con especial énfasis en el</w:t>
      </w:r>
      <w:r w:rsidRPr="0064010A">
        <w:rPr>
          <w:i w:val="0"/>
          <w:szCs w:val="20"/>
          <w:lang w:val="es-ES"/>
        </w:rPr>
        <w:t xml:space="preserve"> derecho a la libertad de asociación y derechos políticos, </w:t>
      </w:r>
      <w:r w:rsidRPr="0064010A">
        <w:rPr>
          <w:bCs/>
          <w:i w:val="0"/>
          <w:szCs w:val="20"/>
        </w:rPr>
        <w:t>dada la íntima relación que guardan estos con el derecho a defender derechos humanos en el caso</w:t>
      </w:r>
      <w:r w:rsidRPr="0064010A">
        <w:rPr>
          <w:i w:val="0"/>
          <w:szCs w:val="20"/>
          <w:lang w:val="es-CR"/>
        </w:rPr>
        <w:t>—</w:t>
      </w:r>
      <w:r w:rsidRPr="0064010A">
        <w:rPr>
          <w:i w:val="0"/>
          <w:szCs w:val="20"/>
          <w:lang w:val="es-ES"/>
        </w:rPr>
        <w:t>,</w:t>
      </w:r>
      <w:r w:rsidRPr="0064010A">
        <w:rPr>
          <w:i w:val="0"/>
          <w:szCs w:val="20"/>
          <w:lang w:val="es-CR"/>
        </w:rPr>
        <w:t xml:space="preserve"> a fin de contextualizarlas con la labor de </w:t>
      </w:r>
      <w:r w:rsidR="00D23049" w:rsidRPr="0064010A">
        <w:rPr>
          <w:i w:val="0"/>
          <w:szCs w:val="20"/>
          <w:lang w:val="es-CR"/>
        </w:rPr>
        <w:t xml:space="preserve">defensoras y </w:t>
      </w:r>
      <w:r w:rsidRPr="0064010A">
        <w:rPr>
          <w:i w:val="0"/>
          <w:szCs w:val="20"/>
          <w:lang w:val="es-CR"/>
        </w:rPr>
        <w:t>defensores de derechos humanos, y con la tarea de defensa que ejercía Carlos Escaleras Mejía.</w:t>
      </w:r>
      <w:r w:rsidRPr="0064010A">
        <w:rPr>
          <w:rFonts w:ascii="Times New Roman" w:hAnsi="Times New Roman" w:cs="Times New Roman"/>
          <w:i w:val="0"/>
          <w:sz w:val="24"/>
          <w:lang w:val="es-ES" w:eastAsia="es-ES"/>
        </w:rPr>
        <w:t xml:space="preserve"> </w:t>
      </w:r>
    </w:p>
    <w:p w14:paraId="24BBA85C" w14:textId="2EF3AE82" w:rsidR="00111327" w:rsidRPr="008A1EC6" w:rsidRDefault="007A3C0F" w:rsidP="00111327">
      <w:pPr>
        <w:pStyle w:val="Estilo1"/>
        <w:numPr>
          <w:ilvl w:val="0"/>
          <w:numId w:val="2"/>
        </w:numPr>
        <w:tabs>
          <w:tab w:val="left" w:pos="0"/>
        </w:tabs>
        <w:spacing w:before="120"/>
        <w:ind w:left="0" w:right="-4" w:firstLine="0"/>
        <w:rPr>
          <w:i w:val="0"/>
        </w:rPr>
      </w:pPr>
      <w:r w:rsidRPr="008A1EC6">
        <w:rPr>
          <w:i w:val="0"/>
          <w:color w:val="000000"/>
        </w:rPr>
        <w:t xml:space="preserve">En el mismo orden de ideas, la Corte estima necesario señalar que la </w:t>
      </w:r>
      <w:r w:rsidRPr="008A1EC6">
        <w:rPr>
          <w:i w:val="0"/>
          <w:szCs w:val="20"/>
          <w:lang w:val="es-ES"/>
        </w:rPr>
        <w:t>obligación</w:t>
      </w:r>
      <w:r w:rsidRPr="008A1EC6">
        <w:rPr>
          <w:i w:val="0"/>
          <w:color w:val="000000"/>
        </w:rPr>
        <w:t xml:space="preserve"> de garantizar el debido respeto a la labor de l</w:t>
      </w:r>
      <w:r w:rsidR="00320F4A" w:rsidRPr="008A1EC6">
        <w:rPr>
          <w:i w:val="0"/>
          <w:color w:val="000000"/>
        </w:rPr>
        <w:t>a</w:t>
      </w:r>
      <w:r w:rsidRPr="008A1EC6">
        <w:rPr>
          <w:i w:val="0"/>
          <w:color w:val="000000"/>
        </w:rPr>
        <w:t xml:space="preserve">s </w:t>
      </w:r>
      <w:r w:rsidR="00320F4A" w:rsidRPr="008A1EC6">
        <w:rPr>
          <w:i w:val="0"/>
          <w:color w:val="000000"/>
        </w:rPr>
        <w:t xml:space="preserve">personas que defienden </w:t>
      </w:r>
      <w:r w:rsidRPr="008A1EC6">
        <w:rPr>
          <w:i w:val="0"/>
          <w:color w:val="000000"/>
        </w:rPr>
        <w:t xml:space="preserve">derechos humanos encuentra su </w:t>
      </w:r>
      <w:r w:rsidRPr="008A1EC6">
        <w:rPr>
          <w:i w:val="0"/>
          <w:szCs w:val="20"/>
          <w:lang w:val="es-ES"/>
        </w:rPr>
        <w:t>fundamento</w:t>
      </w:r>
      <w:r w:rsidRPr="008A1EC6">
        <w:rPr>
          <w:i w:val="0"/>
          <w:color w:val="000000"/>
        </w:rPr>
        <w:t xml:space="preserve"> en los artículos 1</w:t>
      </w:r>
      <w:r w:rsidR="00320F4A" w:rsidRPr="008A1EC6">
        <w:rPr>
          <w:i w:val="0"/>
          <w:color w:val="000000"/>
        </w:rPr>
        <w:t>.1</w:t>
      </w:r>
      <w:r w:rsidRPr="008A1EC6">
        <w:rPr>
          <w:i w:val="0"/>
          <w:color w:val="000000"/>
        </w:rPr>
        <w:t xml:space="preserve"> y 2 de la Convención</w:t>
      </w:r>
      <w:r w:rsidR="008A1EC6" w:rsidRPr="008A1EC6">
        <w:rPr>
          <w:rStyle w:val="FootnoteReference"/>
          <w:i w:val="0"/>
          <w:color w:val="000000"/>
        </w:rPr>
        <w:footnoteReference w:id="34"/>
      </w:r>
      <w:r w:rsidR="008A1EC6" w:rsidRPr="008A1EC6">
        <w:rPr>
          <w:i w:val="0"/>
          <w:color w:val="000000"/>
        </w:rPr>
        <w:t xml:space="preserve">. </w:t>
      </w:r>
      <w:r w:rsidR="00320F4A" w:rsidRPr="008A1EC6">
        <w:rPr>
          <w:i w:val="0"/>
          <w:color w:val="000000"/>
        </w:rPr>
        <w:t xml:space="preserve">Para esos efectos, </w:t>
      </w:r>
      <w:r w:rsidRPr="008A1EC6">
        <w:rPr>
          <w:i w:val="0"/>
          <w:color w:val="000000"/>
        </w:rPr>
        <w:t xml:space="preserve">el Estado debe </w:t>
      </w:r>
      <w:r w:rsidR="00320F4A" w:rsidRPr="008A1EC6">
        <w:rPr>
          <w:i w:val="0"/>
          <w:color w:val="000000"/>
        </w:rPr>
        <w:t xml:space="preserve">asegurar que </w:t>
      </w:r>
      <w:r w:rsidR="00111327" w:rsidRPr="008A1EC6">
        <w:rPr>
          <w:i w:val="0"/>
          <w:color w:val="000000"/>
        </w:rPr>
        <w:t xml:space="preserve">quienes actúan como </w:t>
      </w:r>
      <w:r w:rsidR="00320F4A" w:rsidRPr="008A1EC6">
        <w:rPr>
          <w:i w:val="0"/>
        </w:rPr>
        <w:t xml:space="preserve">voceros de los grupos </w:t>
      </w:r>
      <w:r w:rsidR="00111327" w:rsidRPr="008A1EC6">
        <w:rPr>
          <w:i w:val="0"/>
        </w:rPr>
        <w:t xml:space="preserve">en situación de vulnerabilidad </w:t>
      </w:r>
      <w:r w:rsidR="00320F4A" w:rsidRPr="008A1EC6">
        <w:rPr>
          <w:i w:val="0"/>
        </w:rPr>
        <w:t xml:space="preserve">o </w:t>
      </w:r>
      <w:r w:rsidR="00111327" w:rsidRPr="008A1EC6">
        <w:rPr>
          <w:i w:val="0"/>
        </w:rPr>
        <w:t>de aquellas personas que no pueden accionar por sí mismas, puedan gozar</w:t>
      </w:r>
      <w:r w:rsidR="00111327" w:rsidRPr="008A1EC6">
        <w:rPr>
          <w:i w:val="0"/>
          <w:color w:val="000000"/>
        </w:rPr>
        <w:t xml:space="preserve"> de la protección necesaria para cumplir </w:t>
      </w:r>
      <w:r w:rsidR="001B1BA7">
        <w:rPr>
          <w:i w:val="0"/>
          <w:color w:val="000000"/>
        </w:rPr>
        <w:t xml:space="preserve">con </w:t>
      </w:r>
      <w:r w:rsidR="00111327" w:rsidRPr="008A1EC6">
        <w:rPr>
          <w:i w:val="0"/>
          <w:color w:val="000000"/>
        </w:rPr>
        <w:t xml:space="preserve">su función. </w:t>
      </w:r>
    </w:p>
    <w:p w14:paraId="026560B4" w14:textId="71442E3F" w:rsidR="00206D5D" w:rsidRPr="008A1EC6" w:rsidRDefault="00111327" w:rsidP="007A3C0F">
      <w:pPr>
        <w:pStyle w:val="Estilo1"/>
        <w:numPr>
          <w:ilvl w:val="0"/>
          <w:numId w:val="2"/>
        </w:numPr>
        <w:tabs>
          <w:tab w:val="left" w:pos="0"/>
        </w:tabs>
        <w:spacing w:before="120"/>
        <w:ind w:left="0" w:right="-4" w:firstLine="0"/>
        <w:rPr>
          <w:i w:val="0"/>
        </w:rPr>
      </w:pPr>
      <w:r w:rsidRPr="008A1EC6">
        <w:rPr>
          <w:i w:val="0"/>
          <w:color w:val="000000"/>
        </w:rPr>
        <w:t>En concordancia con lo anterior, específicamente con respecto a la posibilidad de accionar en el ámbito del sistema interamericano de derechos humanos</w:t>
      </w:r>
      <w:r w:rsidR="007A3C0F" w:rsidRPr="008A1EC6">
        <w:rPr>
          <w:i w:val="0"/>
          <w:color w:val="000000"/>
        </w:rPr>
        <w:t xml:space="preserve">, </w:t>
      </w:r>
      <w:r w:rsidR="00206D5D" w:rsidRPr="008A1EC6">
        <w:rPr>
          <w:i w:val="0"/>
          <w:color w:val="000000"/>
        </w:rPr>
        <w:t xml:space="preserve">es menester tener presente que </w:t>
      </w:r>
      <w:r w:rsidR="00FB5CE9">
        <w:rPr>
          <w:i w:val="0"/>
          <w:color w:val="000000"/>
        </w:rPr>
        <w:t xml:space="preserve">de conformidad con </w:t>
      </w:r>
      <w:r w:rsidR="00206D5D" w:rsidRPr="008A1EC6">
        <w:rPr>
          <w:i w:val="0"/>
          <w:color w:val="000000"/>
        </w:rPr>
        <w:t>el artículo 44 de la Convención</w:t>
      </w:r>
      <w:r w:rsidR="008A1EC6" w:rsidRPr="008A1EC6">
        <w:rPr>
          <w:rStyle w:val="FootnoteReference"/>
          <w:i w:val="0"/>
          <w:color w:val="000000"/>
        </w:rPr>
        <w:footnoteReference w:id="35"/>
      </w:r>
      <w:r w:rsidR="00206D5D" w:rsidRPr="008A1EC6">
        <w:rPr>
          <w:i w:val="0"/>
          <w:color w:val="000000"/>
        </w:rPr>
        <w:t xml:space="preserve"> </w:t>
      </w:r>
      <w:r w:rsidR="00FB5CE9">
        <w:rPr>
          <w:i w:val="0"/>
          <w:color w:val="000000"/>
        </w:rPr>
        <w:t xml:space="preserve">es posible </w:t>
      </w:r>
      <w:r w:rsidR="00206D5D" w:rsidRPr="008A1EC6">
        <w:rPr>
          <w:i w:val="0"/>
          <w:color w:val="000000"/>
        </w:rPr>
        <w:t xml:space="preserve">presentar </w:t>
      </w:r>
      <w:r w:rsidR="00FB5CE9">
        <w:rPr>
          <w:i w:val="0"/>
          <w:color w:val="000000"/>
        </w:rPr>
        <w:t>ante</w:t>
      </w:r>
      <w:r w:rsidR="00FB5CE9" w:rsidRPr="008A1EC6">
        <w:rPr>
          <w:i w:val="0"/>
          <w:color w:val="000000"/>
        </w:rPr>
        <w:t xml:space="preserve"> </w:t>
      </w:r>
      <w:r w:rsidR="00206D5D" w:rsidRPr="008A1EC6">
        <w:rPr>
          <w:i w:val="0"/>
          <w:color w:val="000000"/>
        </w:rPr>
        <w:t xml:space="preserve">la Comisión peticiones que contengan denuncias o quejas de violación de esta Convención por un Estado parte, aunque no </w:t>
      </w:r>
      <w:r w:rsidR="00FB5CE9">
        <w:rPr>
          <w:i w:val="0"/>
          <w:color w:val="000000"/>
        </w:rPr>
        <w:t xml:space="preserve">se trate de </w:t>
      </w:r>
      <w:r w:rsidR="00206D5D" w:rsidRPr="008A1EC6">
        <w:rPr>
          <w:i w:val="0"/>
          <w:color w:val="000000"/>
        </w:rPr>
        <w:t>la presunta víctima del caso, de donde se colige, entonces, que si no se le concediera a dicho peticionario la garantía necesaria para formular tal solicitud, en definitiva se menoscabaría el referido derecho de petición y</w:t>
      </w:r>
      <w:r w:rsidR="006A3FAD" w:rsidRPr="008A1EC6">
        <w:rPr>
          <w:i w:val="0"/>
          <w:color w:val="000000"/>
        </w:rPr>
        <w:t xml:space="preserve"> acceso a la justicia</w:t>
      </w:r>
      <w:r w:rsidR="006A3FAD" w:rsidRPr="008A1EC6">
        <w:rPr>
          <w:rStyle w:val="FootnoteReference"/>
          <w:i w:val="0"/>
          <w:color w:val="000000"/>
        </w:rPr>
        <w:footnoteReference w:id="36"/>
      </w:r>
      <w:r w:rsidR="00206D5D" w:rsidRPr="008A1EC6">
        <w:rPr>
          <w:i w:val="0"/>
          <w:color w:val="000000"/>
        </w:rPr>
        <w:t xml:space="preserve">, </w:t>
      </w:r>
      <w:r w:rsidR="003D61FF">
        <w:rPr>
          <w:i w:val="0"/>
          <w:color w:val="000000"/>
        </w:rPr>
        <w:t xml:space="preserve">y </w:t>
      </w:r>
      <w:r w:rsidR="00206D5D" w:rsidRPr="008A1EC6">
        <w:rPr>
          <w:i w:val="0"/>
          <w:color w:val="000000"/>
        </w:rPr>
        <w:t>en última instancia, los derechos de las presuntas víctimas</w:t>
      </w:r>
      <w:r w:rsidR="00835166" w:rsidRPr="008A1EC6">
        <w:rPr>
          <w:i w:val="0"/>
          <w:color w:val="000000"/>
        </w:rPr>
        <w:t>.</w:t>
      </w:r>
    </w:p>
    <w:p w14:paraId="40B5CA69" w14:textId="77777777" w:rsidR="00D23049" w:rsidRPr="0064010A" w:rsidRDefault="00D23049" w:rsidP="003D5096">
      <w:pPr>
        <w:pStyle w:val="Heading2"/>
        <w:keepLines w:val="0"/>
        <w:numPr>
          <w:ilvl w:val="0"/>
          <w:numId w:val="7"/>
        </w:numPr>
        <w:spacing w:before="240" w:after="240"/>
        <w:rPr>
          <w:rFonts w:ascii="Verdana" w:hAnsi="Verdana" w:cs="Tahoma"/>
          <w:i/>
          <w:color w:val="auto"/>
          <w:sz w:val="20"/>
          <w:lang w:eastAsia="x-none"/>
        </w:rPr>
      </w:pPr>
      <w:bookmarkStart w:id="98" w:name="_Toc525713978"/>
      <w:r w:rsidRPr="0064010A">
        <w:rPr>
          <w:rFonts w:ascii="Verdana" w:hAnsi="Verdana" w:cs="Tahoma"/>
          <w:i/>
          <w:color w:val="auto"/>
          <w:sz w:val="20"/>
          <w:lang w:eastAsia="x-none"/>
        </w:rPr>
        <w:lastRenderedPageBreak/>
        <w:t>Derecho a las garantías judiciales y protección judicial (Artículos 8.1</w:t>
      </w:r>
      <w:r w:rsidRPr="0064010A">
        <w:rPr>
          <w:rFonts w:ascii="Verdana" w:hAnsi="Verdana" w:cs="Tahoma"/>
          <w:i/>
          <w:color w:val="auto"/>
          <w:sz w:val="20"/>
          <w:vertAlign w:val="superscript"/>
          <w:lang w:eastAsia="x-none"/>
        </w:rPr>
        <w:footnoteReference w:id="37"/>
      </w:r>
      <w:r w:rsidRPr="0064010A">
        <w:rPr>
          <w:rFonts w:ascii="Verdana" w:hAnsi="Verdana" w:cs="Tahoma"/>
          <w:i/>
          <w:color w:val="auto"/>
          <w:sz w:val="20"/>
          <w:lang w:eastAsia="x-none"/>
        </w:rPr>
        <w:t xml:space="preserve"> y 25.1</w:t>
      </w:r>
      <w:r w:rsidRPr="0064010A">
        <w:rPr>
          <w:rFonts w:ascii="Verdana" w:hAnsi="Verdana" w:cs="Tahoma"/>
          <w:i/>
          <w:color w:val="auto"/>
          <w:sz w:val="20"/>
          <w:vertAlign w:val="superscript"/>
          <w:lang w:eastAsia="x-none"/>
        </w:rPr>
        <w:footnoteReference w:id="38"/>
      </w:r>
      <w:r w:rsidRPr="0064010A">
        <w:rPr>
          <w:rFonts w:ascii="Verdana" w:hAnsi="Verdana" w:cs="Tahoma"/>
          <w:i/>
          <w:color w:val="auto"/>
          <w:sz w:val="20"/>
          <w:lang w:eastAsia="x-none"/>
        </w:rPr>
        <w:t xml:space="preserve"> de la Convención Americana)</w:t>
      </w:r>
      <w:bookmarkEnd w:id="98"/>
      <w:r w:rsidRPr="0064010A">
        <w:rPr>
          <w:rFonts w:ascii="Verdana" w:hAnsi="Verdana" w:cs="Tahoma"/>
          <w:i/>
          <w:color w:val="auto"/>
          <w:sz w:val="20"/>
          <w:lang w:eastAsia="x-none"/>
        </w:rPr>
        <w:t xml:space="preserve"> </w:t>
      </w:r>
    </w:p>
    <w:p w14:paraId="28050404" w14:textId="6E54E907" w:rsidR="00D23049" w:rsidRPr="0064010A" w:rsidRDefault="00D23049" w:rsidP="00D23049">
      <w:pPr>
        <w:pStyle w:val="Estilo1"/>
        <w:numPr>
          <w:ilvl w:val="0"/>
          <w:numId w:val="2"/>
        </w:numPr>
        <w:tabs>
          <w:tab w:val="left" w:pos="0"/>
        </w:tabs>
        <w:spacing w:before="120"/>
        <w:ind w:left="0" w:right="-4" w:firstLine="0"/>
        <w:rPr>
          <w:rFonts w:ascii="Times New Roman" w:hAnsi="Times New Roman" w:cs="Times New Roman"/>
          <w:i w:val="0"/>
          <w:sz w:val="24"/>
          <w:lang w:val="es-ES" w:eastAsia="es-ES"/>
        </w:rPr>
      </w:pPr>
      <w:r w:rsidRPr="0064010A">
        <w:rPr>
          <w:i w:val="0"/>
          <w:szCs w:val="20"/>
          <w:lang w:val="es-CR"/>
        </w:rPr>
        <w:t xml:space="preserve">Respecto a la violación del derecho a las garantías judiciales y la protección judicial, el </w:t>
      </w:r>
      <w:r w:rsidRPr="0064010A">
        <w:rPr>
          <w:i w:val="0"/>
          <w:szCs w:val="20"/>
          <w:lang w:val="es-ES"/>
        </w:rPr>
        <w:t>Estado</w:t>
      </w:r>
      <w:r w:rsidRPr="0064010A">
        <w:rPr>
          <w:i w:val="0"/>
          <w:szCs w:val="20"/>
          <w:lang w:val="es-CR"/>
        </w:rPr>
        <w:t xml:space="preserve"> reconoció que es responsable por la violación de</w:t>
      </w:r>
      <w:r w:rsidR="003D61FF">
        <w:rPr>
          <w:i w:val="0"/>
          <w:szCs w:val="20"/>
          <w:lang w:val="es-CR"/>
        </w:rPr>
        <w:t xml:space="preserve"> los</w:t>
      </w:r>
      <w:r w:rsidRPr="0064010A">
        <w:rPr>
          <w:i w:val="0"/>
          <w:szCs w:val="20"/>
          <w:lang w:val="es-CR"/>
        </w:rPr>
        <w:t xml:space="preserve"> artículo</w:t>
      </w:r>
      <w:r w:rsidR="003D61FF">
        <w:rPr>
          <w:i w:val="0"/>
          <w:szCs w:val="20"/>
          <w:lang w:val="es-CR"/>
        </w:rPr>
        <w:t>s</w:t>
      </w:r>
      <w:r w:rsidRPr="0064010A">
        <w:rPr>
          <w:i w:val="0"/>
          <w:szCs w:val="20"/>
          <w:lang w:val="es-CR"/>
        </w:rPr>
        <w:t xml:space="preserve"> 8.1 y 25.1 de la Convención Americana en relación con el artículo 1.1</w:t>
      </w:r>
      <w:r w:rsidRPr="0064010A">
        <w:rPr>
          <w:i w:val="0"/>
          <w:vertAlign w:val="superscript"/>
        </w:rPr>
        <w:footnoteReference w:id="39"/>
      </w:r>
      <w:r w:rsidRPr="0064010A">
        <w:rPr>
          <w:i w:val="0"/>
          <w:szCs w:val="20"/>
          <w:lang w:val="es-CR"/>
        </w:rPr>
        <w:t xml:space="preserve"> del mismo instrumento en perjuicio de los familiares de Carlos Escaleras Mejía</w:t>
      </w:r>
      <w:r w:rsidRPr="0064010A">
        <w:rPr>
          <w:i w:val="0"/>
          <w:vertAlign w:val="superscript"/>
          <w:lang w:val="es-CR"/>
        </w:rPr>
        <w:footnoteReference w:id="40"/>
      </w:r>
      <w:r w:rsidRPr="0064010A">
        <w:rPr>
          <w:i w:val="0"/>
          <w:szCs w:val="20"/>
          <w:lang w:val="es-CR"/>
        </w:rPr>
        <w:t xml:space="preserve">, por cuanto las investigaciones y los procedimiento internos no han constituido recursos efectivos para garantizar el acceso a la justicia, determinar la verdad de los hechos, la investigación y sanción de los responsables, y la reparación de las consecuencias de las violaciones. </w:t>
      </w:r>
    </w:p>
    <w:p w14:paraId="51C54D6F" w14:textId="5D453AD4" w:rsidR="00DC4207" w:rsidRPr="0064010A" w:rsidRDefault="00D23049" w:rsidP="00DC4207">
      <w:pPr>
        <w:pStyle w:val="Estilo1"/>
        <w:numPr>
          <w:ilvl w:val="0"/>
          <w:numId w:val="2"/>
        </w:numPr>
        <w:tabs>
          <w:tab w:val="left" w:pos="0"/>
        </w:tabs>
        <w:spacing w:before="120"/>
        <w:ind w:left="0" w:right="-4" w:firstLine="0"/>
        <w:rPr>
          <w:i w:val="0"/>
          <w:szCs w:val="20"/>
        </w:rPr>
      </w:pPr>
      <w:r w:rsidRPr="0064010A">
        <w:rPr>
          <w:i w:val="0"/>
          <w:szCs w:val="20"/>
          <w:lang w:val="es-CR"/>
        </w:rPr>
        <w:t xml:space="preserve">En cuanto a las líneas de investigación, la Corte </w:t>
      </w:r>
      <w:r w:rsidR="00DC4207" w:rsidRPr="0064010A">
        <w:rPr>
          <w:i w:val="0"/>
          <w:szCs w:val="20"/>
          <w:lang w:val="es-CR"/>
        </w:rPr>
        <w:t>recuerda</w:t>
      </w:r>
      <w:r w:rsidRPr="0064010A">
        <w:rPr>
          <w:i w:val="0"/>
          <w:szCs w:val="20"/>
          <w:lang w:val="es-CR"/>
        </w:rPr>
        <w:t xml:space="preserve"> que al tratarse de la muerte de un defensor de derechos humanos, el Estado debe tomar en cuenta su actividad para identificar los intereses que pudieron verse afectados en el ejercicio de su labor. Al respecto, </w:t>
      </w:r>
      <w:r w:rsidR="00FB5CE9">
        <w:rPr>
          <w:i w:val="0"/>
          <w:szCs w:val="20"/>
          <w:lang w:val="es-CR"/>
        </w:rPr>
        <w:t xml:space="preserve">en </w:t>
      </w:r>
      <w:r w:rsidRPr="0064010A">
        <w:rPr>
          <w:i w:val="0"/>
          <w:szCs w:val="20"/>
          <w:lang w:val="es-CR"/>
        </w:rPr>
        <w:t xml:space="preserve">casos de atentados contra defensores y defensoras de derechos humanos, los Estados tienen la obligación de asegurar una justicia </w:t>
      </w:r>
      <w:r w:rsidRPr="0064010A">
        <w:rPr>
          <w:i w:val="0"/>
          <w:szCs w:val="20"/>
        </w:rPr>
        <w:t xml:space="preserve">imparcial, oportuna y oficiosa, </w:t>
      </w:r>
      <w:r w:rsidR="002B4BF8">
        <w:rPr>
          <w:i w:val="0"/>
          <w:szCs w:val="20"/>
        </w:rPr>
        <w:t xml:space="preserve">que </w:t>
      </w:r>
      <w:r w:rsidRPr="0064010A">
        <w:rPr>
          <w:i w:val="0"/>
          <w:szCs w:val="20"/>
        </w:rPr>
        <w:t>implique una búsqueda exhaustiva de toda la información para diseñar y ejecutar una investigación que conduzca al debido análisis de las hipótesis de autoría, por acción o por omisión, en diferentes niveles, explorando todas las líneas investigativas pertinentes para identificar a los autores</w:t>
      </w:r>
      <w:r w:rsidRPr="0064010A">
        <w:rPr>
          <w:i w:val="0"/>
          <w:vertAlign w:val="superscript"/>
        </w:rPr>
        <w:footnoteReference w:id="41"/>
      </w:r>
      <w:r w:rsidRPr="0064010A">
        <w:rPr>
          <w:i w:val="0"/>
          <w:szCs w:val="20"/>
        </w:rPr>
        <w:t>.</w:t>
      </w:r>
      <w:r w:rsidRPr="0064010A">
        <w:rPr>
          <w:rFonts w:ascii="Times New Roman" w:hAnsi="Times New Roman" w:cs="Times New Roman"/>
          <w:i w:val="0"/>
          <w:sz w:val="24"/>
          <w:lang w:val="es-ES" w:eastAsia="es-ES"/>
        </w:rPr>
        <w:t xml:space="preserve"> </w:t>
      </w:r>
      <w:r w:rsidR="00DC4207" w:rsidRPr="0064010A">
        <w:rPr>
          <w:i w:val="0"/>
          <w:szCs w:val="20"/>
        </w:rPr>
        <w:t xml:space="preserve">En consecuencia, ante indicios o alegaciones de que determinado hecho </w:t>
      </w:r>
      <w:r w:rsidR="00FB5CE9">
        <w:rPr>
          <w:i w:val="0"/>
          <w:szCs w:val="20"/>
        </w:rPr>
        <w:t>en contra de</w:t>
      </w:r>
      <w:r w:rsidR="00DC4207" w:rsidRPr="0064010A">
        <w:rPr>
          <w:i w:val="0"/>
          <w:szCs w:val="20"/>
        </w:rPr>
        <w:t xml:space="preserve"> un defensor o defensora de derechos humanos pudo tener como móvil justamente su labor de defensa y promoción de derechos humanos, las autoridades investigadoras deben tomar en cuenta el contexto de los hechos y sus actividades para identificar los intereses que podrían haberse visto afectados en el ejercicio de las mismas, a efectos de establecer y agotar las líneas de investigación que tengan en cuenta su labor, determinar la hipótesis del delito e identificar a los autores</w:t>
      </w:r>
      <w:r w:rsidR="00DC4207" w:rsidRPr="0064010A">
        <w:rPr>
          <w:i w:val="0"/>
          <w:vertAlign w:val="superscript"/>
        </w:rPr>
        <w:footnoteReference w:id="42"/>
      </w:r>
      <w:r w:rsidR="00DC4207" w:rsidRPr="0064010A">
        <w:rPr>
          <w:i w:val="0"/>
          <w:szCs w:val="20"/>
        </w:rPr>
        <w:t xml:space="preserve">. </w:t>
      </w:r>
    </w:p>
    <w:p w14:paraId="64097A0E" w14:textId="560E60E2" w:rsidR="00DC4207" w:rsidRPr="0064010A" w:rsidRDefault="004479B8" w:rsidP="00DC4207">
      <w:pPr>
        <w:pStyle w:val="Estilo1"/>
        <w:numPr>
          <w:ilvl w:val="0"/>
          <w:numId w:val="2"/>
        </w:numPr>
        <w:tabs>
          <w:tab w:val="left" w:pos="0"/>
        </w:tabs>
        <w:spacing w:before="120"/>
        <w:ind w:left="0" w:right="-4" w:firstLine="0"/>
        <w:rPr>
          <w:b/>
          <w:i w:val="0"/>
          <w:szCs w:val="20"/>
          <w:lang w:val="es-CR"/>
        </w:rPr>
      </w:pPr>
      <w:r w:rsidRPr="0064010A">
        <w:rPr>
          <w:i w:val="0"/>
          <w:szCs w:val="20"/>
          <w:lang w:val="es-CR"/>
        </w:rPr>
        <w:t>El Estado reconoció que d</w:t>
      </w:r>
      <w:r w:rsidR="00DC4207" w:rsidRPr="0064010A">
        <w:rPr>
          <w:i w:val="0"/>
          <w:szCs w:val="20"/>
          <w:lang w:val="es-CR"/>
        </w:rPr>
        <w:t xml:space="preserve">urante todo el proceso interno en el caso de la muerte de Carlos Escaleras existieron falencias, irregularidades y omisiones, las que contribuyeron a que las condenas existentes se dictaran con considerable dilación, a la falta de esclarecimiento del móvil del crimen y que a la fecha continúe la situación de impunidad </w:t>
      </w:r>
      <w:r w:rsidR="005C789F">
        <w:rPr>
          <w:i w:val="0"/>
          <w:szCs w:val="20"/>
          <w:lang w:val="es-CR"/>
        </w:rPr>
        <w:lastRenderedPageBreak/>
        <w:t>parcial</w:t>
      </w:r>
      <w:r w:rsidR="00DC4207" w:rsidRPr="0064010A">
        <w:rPr>
          <w:i w:val="0"/>
          <w:szCs w:val="20"/>
          <w:lang w:val="es-CR"/>
        </w:rPr>
        <w:t xml:space="preserve">. </w:t>
      </w:r>
      <w:r w:rsidR="005C789F" w:rsidRPr="001F751D">
        <w:rPr>
          <w:i w:val="0"/>
          <w:szCs w:val="20"/>
          <w:lang w:val="es-CR"/>
        </w:rPr>
        <w:t>Además</w:t>
      </w:r>
      <w:r w:rsidR="00DC4207" w:rsidRPr="0064010A">
        <w:rPr>
          <w:i w:val="0"/>
          <w:szCs w:val="20"/>
          <w:lang w:val="es-CR"/>
        </w:rPr>
        <w:t>, las autoridades no adoptaron las diligencias iniciales mínimas conforme a los estándares interamericanos.</w:t>
      </w:r>
      <w:r w:rsidR="00DC4207" w:rsidRPr="0064010A">
        <w:rPr>
          <w:b/>
          <w:i w:val="0"/>
          <w:szCs w:val="20"/>
          <w:lang w:val="es-CR"/>
        </w:rPr>
        <w:t xml:space="preserve"> </w:t>
      </w:r>
      <w:r w:rsidR="00DC4207" w:rsidRPr="0064010A">
        <w:rPr>
          <w:i w:val="0"/>
          <w:szCs w:val="20"/>
          <w:lang w:val="es-CR"/>
        </w:rPr>
        <w:t xml:space="preserve">Así, por ejemplo, </w:t>
      </w:r>
      <w:r w:rsidR="003D61FF">
        <w:rPr>
          <w:i w:val="0"/>
          <w:szCs w:val="20"/>
          <w:lang w:val="es-CR"/>
        </w:rPr>
        <w:t>el Informe de Fondo constata</w:t>
      </w:r>
      <w:r w:rsidR="00DC4207" w:rsidRPr="0064010A">
        <w:rPr>
          <w:i w:val="0"/>
          <w:szCs w:val="20"/>
          <w:lang w:val="es-CR"/>
        </w:rPr>
        <w:t xml:space="preserve"> una demora injustificada en la realización de diligencias en el lugar de los hechos, sin que se dispusieren medidas para preservar las evidencias. La inspección judicial de la escena del crimen se realizó cerca de un mes luego del </w:t>
      </w:r>
      <w:r w:rsidR="00206D5D">
        <w:rPr>
          <w:i w:val="0"/>
          <w:szCs w:val="20"/>
          <w:lang w:val="es-CR"/>
        </w:rPr>
        <w:t>homicidio</w:t>
      </w:r>
      <w:r w:rsidR="00DC4207" w:rsidRPr="0064010A">
        <w:rPr>
          <w:i w:val="0"/>
          <w:szCs w:val="20"/>
          <w:lang w:val="es-CR"/>
        </w:rPr>
        <w:t xml:space="preserve">, oportunidad en la cual se constató que los casquillos habían sido ya removidos y las huellas de sangre borradas por las lluvias. Tampoco se contó con el certificado de autopsia ni se observa </w:t>
      </w:r>
      <w:r w:rsidR="005C789F">
        <w:rPr>
          <w:i w:val="0"/>
          <w:szCs w:val="20"/>
          <w:lang w:val="es-CR"/>
        </w:rPr>
        <w:t xml:space="preserve">que se hubiese realizado </w:t>
      </w:r>
      <w:r w:rsidR="00DC4207" w:rsidRPr="0064010A">
        <w:rPr>
          <w:i w:val="0"/>
          <w:szCs w:val="20"/>
          <w:lang w:val="es-CR"/>
        </w:rPr>
        <w:t xml:space="preserve">alguna diligencia de reconstrucción de los hechos. </w:t>
      </w:r>
    </w:p>
    <w:p w14:paraId="72F2FC9E" w14:textId="43EEC622" w:rsidR="00DC4207" w:rsidRPr="0064010A" w:rsidRDefault="005C789F" w:rsidP="00DC4207">
      <w:pPr>
        <w:pStyle w:val="Estilo1"/>
        <w:numPr>
          <w:ilvl w:val="0"/>
          <w:numId w:val="2"/>
        </w:numPr>
        <w:tabs>
          <w:tab w:val="left" w:pos="0"/>
        </w:tabs>
        <w:spacing w:before="120"/>
        <w:ind w:left="0" w:right="-4" w:firstLine="0"/>
        <w:rPr>
          <w:i w:val="0"/>
          <w:szCs w:val="20"/>
          <w:lang w:val="es-CR"/>
        </w:rPr>
      </w:pPr>
      <w:r>
        <w:rPr>
          <w:i w:val="0"/>
          <w:szCs w:val="20"/>
          <w:lang w:val="es-CR"/>
        </w:rPr>
        <w:t xml:space="preserve">Por otra parte, </w:t>
      </w:r>
      <w:r w:rsidR="00DC4207" w:rsidRPr="0064010A">
        <w:rPr>
          <w:i w:val="0"/>
          <w:szCs w:val="20"/>
          <w:lang w:val="es-CR"/>
        </w:rPr>
        <w:t xml:space="preserve">en relación </w:t>
      </w:r>
      <w:r w:rsidR="00556FDC">
        <w:rPr>
          <w:i w:val="0"/>
          <w:szCs w:val="20"/>
          <w:lang w:val="es-CR"/>
        </w:rPr>
        <w:t>con las</w:t>
      </w:r>
      <w:r w:rsidR="00556FDC" w:rsidRPr="0064010A">
        <w:rPr>
          <w:i w:val="0"/>
          <w:szCs w:val="20"/>
          <w:lang w:val="es-CR"/>
        </w:rPr>
        <w:t xml:space="preserve"> </w:t>
      </w:r>
      <w:r w:rsidR="00DC4207" w:rsidRPr="0064010A">
        <w:rPr>
          <w:i w:val="0"/>
          <w:szCs w:val="20"/>
          <w:lang w:val="es-CR"/>
        </w:rPr>
        <w:t xml:space="preserve">actuaciones posteriores, se observa que durante el desarrollo de la investigación </w:t>
      </w:r>
      <w:r w:rsidR="00556FDC">
        <w:rPr>
          <w:i w:val="0"/>
          <w:szCs w:val="20"/>
          <w:lang w:val="es-CR"/>
        </w:rPr>
        <w:t>se</w:t>
      </w:r>
      <w:r w:rsidR="00DC4207" w:rsidRPr="0064010A">
        <w:rPr>
          <w:i w:val="0"/>
          <w:szCs w:val="20"/>
          <w:lang w:val="es-CR"/>
        </w:rPr>
        <w:t xml:space="preserve"> omitió practicar pruebas e impulsar </w:t>
      </w:r>
      <w:r w:rsidR="00556FDC">
        <w:rPr>
          <w:i w:val="0"/>
          <w:szCs w:val="20"/>
          <w:lang w:val="es-CR"/>
        </w:rPr>
        <w:t>e</w:t>
      </w:r>
      <w:r w:rsidR="00DC4207" w:rsidRPr="0064010A">
        <w:rPr>
          <w:i w:val="0"/>
          <w:szCs w:val="20"/>
          <w:lang w:val="es-CR"/>
        </w:rPr>
        <w:t xml:space="preserve">xhaustivamente </w:t>
      </w:r>
      <w:r w:rsidR="00556FDC">
        <w:rPr>
          <w:i w:val="0"/>
          <w:szCs w:val="20"/>
          <w:lang w:val="es-CR"/>
        </w:rPr>
        <w:t xml:space="preserve">las </w:t>
      </w:r>
      <w:r w:rsidR="00DC4207" w:rsidRPr="0064010A">
        <w:rPr>
          <w:i w:val="0"/>
          <w:szCs w:val="20"/>
          <w:lang w:val="es-CR"/>
        </w:rPr>
        <w:t>líneas de investigación que respondieran efectivamente a los indicios que vincularon a autoridades estatales, los que surgieron desde el primer momento, y que, por lo demás, se relacionaban especialmente con la labor de defensa ambiental del señor Escaleras</w:t>
      </w:r>
      <w:r w:rsidR="003D61FF">
        <w:rPr>
          <w:i w:val="0"/>
          <w:szCs w:val="20"/>
          <w:lang w:val="es-CR"/>
        </w:rPr>
        <w:t xml:space="preserve"> Mejía</w:t>
      </w:r>
      <w:r w:rsidR="00DC4207" w:rsidRPr="0064010A">
        <w:rPr>
          <w:i w:val="0"/>
          <w:szCs w:val="20"/>
          <w:lang w:val="es-CR"/>
        </w:rPr>
        <w:t xml:space="preserve">. </w:t>
      </w:r>
    </w:p>
    <w:p w14:paraId="6ED22644" w14:textId="486AF102" w:rsidR="00DC4207" w:rsidRPr="0064010A" w:rsidRDefault="00DC4207" w:rsidP="004479B8">
      <w:pPr>
        <w:pStyle w:val="Estilo1"/>
        <w:numPr>
          <w:ilvl w:val="0"/>
          <w:numId w:val="2"/>
        </w:numPr>
        <w:tabs>
          <w:tab w:val="left" w:pos="0"/>
        </w:tabs>
        <w:spacing w:before="120"/>
        <w:ind w:left="0" w:right="-4" w:firstLine="0"/>
        <w:rPr>
          <w:i w:val="0"/>
          <w:szCs w:val="20"/>
          <w:lang w:val="es-CR"/>
        </w:rPr>
      </w:pPr>
      <w:r w:rsidRPr="0064010A">
        <w:rPr>
          <w:i w:val="0"/>
          <w:szCs w:val="20"/>
          <w:lang w:val="es-CR"/>
        </w:rPr>
        <w:t xml:space="preserve">Adicionalmente, durante todo el proceso penal se asignaron alrededor de una decena de fiscales y hubo una demora injustificada en la realización de diversas diligencias, así como lapsos sin seguimiento o disposición de nuevas diligencias. De igual forma, la seguridad de algunas personas que participaron en el proceso se vio afectada, como ocurrió con el </w:t>
      </w:r>
      <w:r w:rsidR="00206D5D">
        <w:rPr>
          <w:i w:val="0"/>
          <w:szCs w:val="20"/>
          <w:lang w:val="es-CR"/>
        </w:rPr>
        <w:t>homicidio</w:t>
      </w:r>
      <w:r w:rsidR="00206D5D" w:rsidRPr="0064010A">
        <w:rPr>
          <w:i w:val="0"/>
          <w:szCs w:val="20"/>
          <w:lang w:val="es-CR"/>
        </w:rPr>
        <w:t xml:space="preserve"> </w:t>
      </w:r>
      <w:r w:rsidRPr="0064010A">
        <w:rPr>
          <w:i w:val="0"/>
          <w:szCs w:val="20"/>
          <w:lang w:val="es-CR"/>
        </w:rPr>
        <w:t xml:space="preserve">de </w:t>
      </w:r>
      <w:r w:rsidR="004479B8" w:rsidRPr="0064010A">
        <w:rPr>
          <w:i w:val="0"/>
          <w:szCs w:val="20"/>
          <w:lang w:val="es-CR"/>
        </w:rPr>
        <w:t>O.M.</w:t>
      </w:r>
      <w:r w:rsidRPr="0064010A">
        <w:rPr>
          <w:i w:val="0"/>
          <w:szCs w:val="20"/>
          <w:lang w:val="es-CR"/>
        </w:rPr>
        <w:t xml:space="preserve"> casi un mes después de sucedidos los hechos del presente caso, y las presiones recibidas por </w:t>
      </w:r>
      <w:r w:rsidR="00556FDC">
        <w:rPr>
          <w:i w:val="0"/>
          <w:szCs w:val="20"/>
          <w:lang w:val="es-CR"/>
        </w:rPr>
        <w:t>L.G.</w:t>
      </w:r>
      <w:r w:rsidRPr="0064010A">
        <w:rPr>
          <w:i w:val="0"/>
          <w:szCs w:val="20"/>
          <w:lang w:val="es-CR"/>
        </w:rPr>
        <w:t xml:space="preserve"> y por un oficial de la Dirección General de Investigación Criminal, sin que conste que las autoridades hubieren implementado medidas de protección en su favor ni ordenado investigaciones relacionadas. </w:t>
      </w:r>
    </w:p>
    <w:p w14:paraId="0F12FC10" w14:textId="5ACD5BE2" w:rsidR="00DC4207" w:rsidRPr="0064010A" w:rsidRDefault="00DC4207" w:rsidP="004479B8">
      <w:pPr>
        <w:pStyle w:val="Estilo1"/>
        <w:numPr>
          <w:ilvl w:val="0"/>
          <w:numId w:val="2"/>
        </w:numPr>
        <w:tabs>
          <w:tab w:val="left" w:pos="0"/>
        </w:tabs>
        <w:spacing w:before="120"/>
        <w:ind w:left="0" w:right="-4" w:firstLine="0"/>
        <w:rPr>
          <w:rFonts w:ascii="Times New Roman" w:hAnsi="Times New Roman" w:cs="Times New Roman"/>
          <w:i w:val="0"/>
          <w:sz w:val="24"/>
          <w:lang w:val="es-ES" w:eastAsia="es-ES"/>
        </w:rPr>
      </w:pPr>
      <w:r w:rsidRPr="0064010A">
        <w:rPr>
          <w:i w:val="0"/>
          <w:szCs w:val="20"/>
          <w:lang w:val="es-CR"/>
        </w:rPr>
        <w:t xml:space="preserve">Finalmente, el lapso que ha demorado la justicia interna en la determinación de </w:t>
      </w:r>
      <w:r w:rsidR="007672BD">
        <w:rPr>
          <w:i w:val="0"/>
          <w:szCs w:val="20"/>
          <w:lang w:val="es-CR"/>
        </w:rPr>
        <w:t xml:space="preserve">algunos de </w:t>
      </w:r>
      <w:r w:rsidRPr="0064010A">
        <w:rPr>
          <w:i w:val="0"/>
          <w:szCs w:val="20"/>
          <w:lang w:val="es-CR"/>
        </w:rPr>
        <w:t>los responsables de los hechos sobrepasa un plazo que pueda considerarse razonable para que el Estado realice las correspondientes diligencias investigativas.</w:t>
      </w:r>
      <w:r w:rsidRPr="0064010A">
        <w:rPr>
          <w:b/>
          <w:i w:val="0"/>
          <w:szCs w:val="20"/>
          <w:lang w:val="es-CR"/>
        </w:rPr>
        <w:t xml:space="preserve"> </w:t>
      </w:r>
      <w:r w:rsidRPr="0064010A">
        <w:rPr>
          <w:i w:val="0"/>
          <w:szCs w:val="20"/>
          <w:lang w:val="es-CR"/>
        </w:rPr>
        <w:t>Las</w:t>
      </w:r>
      <w:r w:rsidR="007672BD">
        <w:rPr>
          <w:i w:val="0"/>
          <w:szCs w:val="20"/>
          <w:lang w:val="es-CR"/>
        </w:rPr>
        <w:t xml:space="preserve"> </w:t>
      </w:r>
      <w:r w:rsidRPr="0064010A">
        <w:rPr>
          <w:i w:val="0"/>
          <w:szCs w:val="20"/>
          <w:lang w:val="es-CR"/>
        </w:rPr>
        <w:t>sentencias condenatorias existentes por el homicidio de Carlos Escaleras</w:t>
      </w:r>
      <w:r w:rsidR="00100F11">
        <w:rPr>
          <w:i w:val="0"/>
          <w:szCs w:val="20"/>
          <w:lang w:val="es-CR"/>
        </w:rPr>
        <w:t xml:space="preserve"> Mejía</w:t>
      </w:r>
      <w:r w:rsidRPr="0064010A">
        <w:rPr>
          <w:i w:val="0"/>
          <w:szCs w:val="20"/>
          <w:lang w:val="es-CR"/>
        </w:rPr>
        <w:t xml:space="preserve"> ocurrido el 18 de octubre de 1997, fueron dictadas el 2002 y 2011. El hecho de que a la fecha de elaboración del Informe de Fondo perdurare aún la impunidad parcial, forma parte de </w:t>
      </w:r>
      <w:r w:rsidR="007672BD">
        <w:rPr>
          <w:i w:val="0"/>
          <w:szCs w:val="20"/>
          <w:lang w:val="es-CR"/>
        </w:rPr>
        <w:t xml:space="preserve">un contexto a nivel nacional de acuerdo al cual </w:t>
      </w:r>
      <w:r w:rsidRPr="0064010A">
        <w:rPr>
          <w:i w:val="0"/>
          <w:szCs w:val="20"/>
          <w:lang w:val="es-CR"/>
        </w:rPr>
        <w:t xml:space="preserve">prevalece un alto índice de impunidad </w:t>
      </w:r>
      <w:r w:rsidR="007672BD">
        <w:rPr>
          <w:i w:val="0"/>
          <w:szCs w:val="20"/>
          <w:lang w:val="es-CR"/>
        </w:rPr>
        <w:t>por</w:t>
      </w:r>
      <w:r w:rsidR="007672BD" w:rsidRPr="0064010A">
        <w:rPr>
          <w:i w:val="0"/>
          <w:szCs w:val="20"/>
          <w:lang w:val="es-CR"/>
        </w:rPr>
        <w:t xml:space="preserve"> </w:t>
      </w:r>
      <w:r w:rsidRPr="0064010A">
        <w:rPr>
          <w:i w:val="0"/>
          <w:szCs w:val="20"/>
          <w:lang w:val="es-CR"/>
        </w:rPr>
        <w:t>hechos perpetrados contra defensores de derechos humanos, particularmente defensores ambientales, según se evidenció precedentemente en esta Sentencia (</w:t>
      </w:r>
      <w:r w:rsidRPr="0064010A">
        <w:rPr>
          <w:szCs w:val="20"/>
          <w:lang w:val="es-CR"/>
        </w:rPr>
        <w:t>supra</w:t>
      </w:r>
      <w:r w:rsidRPr="0064010A">
        <w:rPr>
          <w:i w:val="0"/>
          <w:szCs w:val="20"/>
          <w:lang w:val="es-CR"/>
        </w:rPr>
        <w:t xml:space="preserve"> párr. </w:t>
      </w:r>
      <w:r w:rsidR="00CF188B">
        <w:rPr>
          <w:i w:val="0"/>
          <w:szCs w:val="20"/>
          <w:lang w:val="es-CR"/>
        </w:rPr>
        <w:t>2</w:t>
      </w:r>
      <w:r w:rsidR="0034523E">
        <w:rPr>
          <w:i w:val="0"/>
          <w:szCs w:val="20"/>
          <w:lang w:val="es-CR"/>
        </w:rPr>
        <w:t>8</w:t>
      </w:r>
      <w:r w:rsidR="00CF188B" w:rsidRPr="0064010A">
        <w:rPr>
          <w:i w:val="0"/>
          <w:szCs w:val="20"/>
          <w:lang w:val="es-CR"/>
        </w:rPr>
        <w:t xml:space="preserve"> </w:t>
      </w:r>
      <w:r w:rsidRPr="0064010A">
        <w:rPr>
          <w:i w:val="0"/>
          <w:szCs w:val="20"/>
          <w:lang w:val="es-CR"/>
        </w:rPr>
        <w:t xml:space="preserve">a </w:t>
      </w:r>
      <w:r w:rsidR="00CF188B">
        <w:rPr>
          <w:i w:val="0"/>
          <w:szCs w:val="20"/>
          <w:lang w:val="es-CR"/>
        </w:rPr>
        <w:t>3</w:t>
      </w:r>
      <w:r w:rsidR="0034523E">
        <w:rPr>
          <w:i w:val="0"/>
          <w:szCs w:val="20"/>
          <w:lang w:val="es-CR"/>
        </w:rPr>
        <w:t>3</w:t>
      </w:r>
      <w:r w:rsidR="00CF188B" w:rsidRPr="0064010A">
        <w:rPr>
          <w:i w:val="0"/>
          <w:szCs w:val="20"/>
          <w:lang w:val="es-CR"/>
        </w:rPr>
        <w:t>).</w:t>
      </w:r>
      <w:r w:rsidR="00CF188B" w:rsidRPr="0064010A">
        <w:rPr>
          <w:rFonts w:ascii="Times New Roman" w:hAnsi="Times New Roman" w:cs="Times New Roman"/>
          <w:i w:val="0"/>
          <w:sz w:val="24"/>
          <w:lang w:val="es-ES" w:eastAsia="es-ES"/>
        </w:rPr>
        <w:t xml:space="preserve"> </w:t>
      </w:r>
    </w:p>
    <w:p w14:paraId="2BEF6C84" w14:textId="429DB61A" w:rsidR="004479B8" w:rsidRPr="0064010A" w:rsidRDefault="004479B8" w:rsidP="004479B8">
      <w:pPr>
        <w:pStyle w:val="Estilo1"/>
        <w:numPr>
          <w:ilvl w:val="0"/>
          <w:numId w:val="2"/>
        </w:numPr>
        <w:tabs>
          <w:tab w:val="left" w:pos="0"/>
        </w:tabs>
        <w:spacing w:before="120"/>
        <w:ind w:left="0" w:right="-4" w:firstLine="0"/>
        <w:rPr>
          <w:rFonts w:cs="Times New Roman"/>
          <w:i w:val="0"/>
          <w:szCs w:val="20"/>
          <w:lang w:val="es-ES" w:eastAsia="es-ES"/>
        </w:rPr>
      </w:pPr>
      <w:r w:rsidRPr="0064010A">
        <w:rPr>
          <w:rFonts w:cs="Times New Roman"/>
          <w:i w:val="0"/>
          <w:szCs w:val="20"/>
          <w:lang w:val="es-ES" w:eastAsia="es-ES"/>
        </w:rPr>
        <w:t xml:space="preserve">Por todo lo anterior, y de conformidad con lo establecido en el Acuerdo, el Estado es responsable por una violación a los artículos 8.1 y 25.1 de la Convención en relación con </w:t>
      </w:r>
      <w:r w:rsidR="00100F11">
        <w:rPr>
          <w:rFonts w:cs="Times New Roman"/>
          <w:i w:val="0"/>
          <w:szCs w:val="20"/>
          <w:lang w:val="es-ES" w:eastAsia="es-ES"/>
        </w:rPr>
        <w:t xml:space="preserve">el artículo </w:t>
      </w:r>
      <w:r w:rsidRPr="0064010A">
        <w:rPr>
          <w:rFonts w:cs="Times New Roman"/>
          <w:i w:val="0"/>
          <w:szCs w:val="20"/>
          <w:lang w:val="es-ES" w:eastAsia="es-ES"/>
        </w:rPr>
        <w:t xml:space="preserve">1.1 del mismo instrumento en perjuicio de </w:t>
      </w:r>
      <w:r w:rsidR="009A6A62" w:rsidRPr="0064010A">
        <w:rPr>
          <w:rFonts w:cs="Times New Roman"/>
          <w:i w:val="0"/>
          <w:szCs w:val="20"/>
          <w:lang w:val="es-ES" w:eastAsia="es-ES"/>
        </w:rPr>
        <w:t>los familiares de Carlos Escaleras Mejía</w:t>
      </w:r>
      <w:r w:rsidR="009A6A62" w:rsidRPr="0064010A">
        <w:rPr>
          <w:rStyle w:val="FootnoteReference"/>
          <w:i w:val="0"/>
          <w:lang w:val="es-ES" w:eastAsia="es-ES"/>
        </w:rPr>
        <w:footnoteReference w:id="43"/>
      </w:r>
      <w:r w:rsidR="009A6A62" w:rsidRPr="0064010A">
        <w:rPr>
          <w:rFonts w:cs="Times New Roman"/>
          <w:i w:val="0"/>
          <w:szCs w:val="20"/>
          <w:lang w:val="es-ES" w:eastAsia="es-ES"/>
        </w:rPr>
        <w:t>.</w:t>
      </w:r>
    </w:p>
    <w:p w14:paraId="0F5A122F" w14:textId="77777777" w:rsidR="009A6A62" w:rsidRPr="0064010A" w:rsidRDefault="009A6A62" w:rsidP="003D5096">
      <w:pPr>
        <w:pStyle w:val="Heading2"/>
        <w:keepLines w:val="0"/>
        <w:numPr>
          <w:ilvl w:val="0"/>
          <w:numId w:val="7"/>
        </w:numPr>
        <w:spacing w:before="240" w:after="240"/>
        <w:rPr>
          <w:rFonts w:ascii="Verdana" w:hAnsi="Verdana" w:cs="Tahoma"/>
          <w:i/>
          <w:color w:val="auto"/>
          <w:sz w:val="20"/>
          <w:lang w:eastAsia="x-none"/>
        </w:rPr>
      </w:pPr>
      <w:bookmarkStart w:id="99" w:name="_Toc525713979"/>
      <w:r w:rsidRPr="0064010A">
        <w:rPr>
          <w:rFonts w:ascii="Verdana" w:hAnsi="Verdana" w:cs="Tahoma"/>
          <w:i/>
          <w:color w:val="auto"/>
          <w:sz w:val="20"/>
          <w:lang w:eastAsia="x-none"/>
        </w:rPr>
        <w:t>Derecho a la vida (Artículo 4.1</w:t>
      </w:r>
      <w:r w:rsidRPr="0064010A">
        <w:rPr>
          <w:rFonts w:ascii="Verdana" w:hAnsi="Verdana" w:cs="Tahoma"/>
          <w:i/>
          <w:color w:val="auto"/>
          <w:sz w:val="20"/>
          <w:vertAlign w:val="superscript"/>
          <w:lang w:eastAsia="x-none"/>
        </w:rPr>
        <w:footnoteReference w:id="44"/>
      </w:r>
      <w:r w:rsidRPr="0064010A">
        <w:rPr>
          <w:rFonts w:ascii="Verdana" w:hAnsi="Verdana" w:cs="Tahoma"/>
          <w:i/>
          <w:color w:val="auto"/>
          <w:sz w:val="20"/>
          <w:lang w:eastAsia="x-none"/>
        </w:rPr>
        <w:t xml:space="preserve"> de la Convención Americana)</w:t>
      </w:r>
      <w:bookmarkEnd w:id="99"/>
      <w:r w:rsidRPr="0064010A">
        <w:rPr>
          <w:rFonts w:ascii="Verdana" w:hAnsi="Verdana" w:cs="Tahoma"/>
          <w:i/>
          <w:color w:val="auto"/>
          <w:sz w:val="20"/>
          <w:lang w:eastAsia="x-none"/>
        </w:rPr>
        <w:t xml:space="preserve"> </w:t>
      </w:r>
    </w:p>
    <w:p w14:paraId="5E75A5D6" w14:textId="5B1E1175" w:rsidR="005D10EE" w:rsidRPr="0064010A" w:rsidRDefault="009A6A62" w:rsidP="009A6A62">
      <w:pPr>
        <w:pStyle w:val="Estilo1"/>
        <w:numPr>
          <w:ilvl w:val="0"/>
          <w:numId w:val="2"/>
        </w:numPr>
        <w:tabs>
          <w:tab w:val="left" w:pos="0"/>
        </w:tabs>
        <w:spacing w:before="120"/>
        <w:ind w:left="0" w:right="-4" w:firstLine="0"/>
        <w:rPr>
          <w:rFonts w:ascii="Times New Roman" w:eastAsiaTheme="minorHAnsi" w:hAnsi="Times New Roman" w:cs="Times New Roman"/>
          <w:i w:val="0"/>
          <w:sz w:val="24"/>
          <w:lang w:val="es-CR" w:eastAsia="es-CR"/>
        </w:rPr>
      </w:pPr>
      <w:r w:rsidRPr="0064010A">
        <w:rPr>
          <w:i w:val="0"/>
          <w:szCs w:val="20"/>
          <w:lang w:val="es-CR"/>
        </w:rPr>
        <w:t xml:space="preserve">Respecto a la violación del derecho a la vida, el Estado reconoció que es responsable por la violación del artículo 4.1 de la Convención Americana en relación con el artículo 1.1 del mismo instrumento en perjuicio de Carlos Escaleras Mejía, debido a los indicios de participación de agentes estatales y a la falta de investigación diligente, los que permiten concluir que el Estado </w:t>
      </w:r>
      <w:r w:rsidR="0029312B">
        <w:rPr>
          <w:i w:val="0"/>
          <w:szCs w:val="20"/>
          <w:lang w:val="es-CR"/>
        </w:rPr>
        <w:t>es</w:t>
      </w:r>
      <w:r w:rsidRPr="0064010A">
        <w:rPr>
          <w:i w:val="0"/>
          <w:szCs w:val="20"/>
          <w:lang w:val="es-CR"/>
        </w:rPr>
        <w:t xml:space="preserve"> responsab</w:t>
      </w:r>
      <w:r w:rsidR="00201FA5">
        <w:rPr>
          <w:i w:val="0"/>
          <w:szCs w:val="20"/>
          <w:lang w:val="es-CR"/>
        </w:rPr>
        <w:t>le</w:t>
      </w:r>
      <w:r w:rsidRPr="0064010A">
        <w:rPr>
          <w:i w:val="0"/>
          <w:szCs w:val="20"/>
          <w:lang w:val="es-CR"/>
        </w:rPr>
        <w:t xml:space="preserve"> por la violación </w:t>
      </w:r>
      <w:r w:rsidR="0029312B">
        <w:rPr>
          <w:i w:val="0"/>
          <w:szCs w:val="20"/>
          <w:lang w:val="es-CR"/>
        </w:rPr>
        <w:t>a</w:t>
      </w:r>
      <w:r w:rsidRPr="0064010A">
        <w:rPr>
          <w:i w:val="0"/>
          <w:szCs w:val="20"/>
          <w:lang w:val="es-CR"/>
        </w:rPr>
        <w:t xml:space="preserve"> este derecho.</w:t>
      </w:r>
    </w:p>
    <w:p w14:paraId="511ADF7C" w14:textId="402CB1DA" w:rsidR="009A6A62" w:rsidRPr="0064010A" w:rsidRDefault="00C15D22" w:rsidP="00C15D22">
      <w:pPr>
        <w:pStyle w:val="Estilo1"/>
        <w:numPr>
          <w:ilvl w:val="0"/>
          <w:numId w:val="2"/>
        </w:numPr>
        <w:tabs>
          <w:tab w:val="left" w:pos="0"/>
        </w:tabs>
        <w:spacing w:before="120"/>
        <w:ind w:left="0" w:right="-4" w:firstLine="0"/>
        <w:rPr>
          <w:rFonts w:ascii="Times New Roman" w:hAnsi="Times New Roman" w:cs="Times New Roman"/>
          <w:i w:val="0"/>
          <w:sz w:val="24"/>
          <w:lang w:val="es-ES" w:eastAsia="es-ES"/>
        </w:rPr>
      </w:pPr>
      <w:r w:rsidRPr="00DC2913">
        <w:rPr>
          <w:i w:val="0"/>
          <w:szCs w:val="20"/>
          <w:lang w:val="es-CR"/>
        </w:rPr>
        <w:t xml:space="preserve">Si bien en el Informe de Fondo no se hace referencia a la relación de causalidad entre la actividad como defensor de </w:t>
      </w:r>
      <w:r w:rsidR="00DC2913" w:rsidRPr="00DC2913">
        <w:rPr>
          <w:i w:val="0"/>
          <w:szCs w:val="20"/>
          <w:lang w:val="es-CR"/>
        </w:rPr>
        <w:t>derechos humanos</w:t>
      </w:r>
      <w:r w:rsidRPr="00DC2913">
        <w:rPr>
          <w:i w:val="0"/>
          <w:szCs w:val="20"/>
          <w:lang w:val="es-CR"/>
        </w:rPr>
        <w:t xml:space="preserve"> y la vulneración al derecho a la vida</w:t>
      </w:r>
      <w:r w:rsidR="009A6A62" w:rsidRPr="00DC2913">
        <w:rPr>
          <w:i w:val="0"/>
          <w:szCs w:val="20"/>
          <w:lang w:val="es-CR"/>
        </w:rPr>
        <w:t>,</w:t>
      </w:r>
      <w:r w:rsidR="009A6A62" w:rsidRPr="0064010A">
        <w:rPr>
          <w:i w:val="0"/>
          <w:szCs w:val="20"/>
          <w:lang w:val="es-CR"/>
        </w:rPr>
        <w:t xml:space="preserve"> esta Corte estima pertinente, por tener relación con la labor de defensa desempeñada por la víctima del caso, hacer presente que su jurisprudencia ha precisado la obligación reforzada </w:t>
      </w:r>
      <w:r w:rsidR="009A6A62" w:rsidRPr="0064010A">
        <w:rPr>
          <w:i w:val="0"/>
          <w:szCs w:val="20"/>
          <w:lang w:val="es-CR"/>
        </w:rPr>
        <w:lastRenderedPageBreak/>
        <w:t>que tienen los Estados de investigar las afectaciones a los derechos de las defensoras y defensores de derechos humanos</w:t>
      </w:r>
      <w:r w:rsidR="000A1ACF" w:rsidRPr="0064010A">
        <w:rPr>
          <w:i w:val="0"/>
          <w:vertAlign w:val="superscript"/>
          <w:lang w:val="es-CR"/>
        </w:rPr>
        <w:footnoteReference w:id="45"/>
      </w:r>
      <w:r w:rsidR="009A6A62" w:rsidRPr="0064010A">
        <w:rPr>
          <w:i w:val="0"/>
          <w:szCs w:val="20"/>
          <w:lang w:val="es-CR"/>
        </w:rPr>
        <w:t xml:space="preserve">. Esta señala que los Estados </w:t>
      </w:r>
      <w:r w:rsidR="009A6A62" w:rsidRPr="0064010A">
        <w:rPr>
          <w:i w:val="0"/>
          <w:szCs w:val="20"/>
          <w:lang w:val="es-ES"/>
        </w:rPr>
        <w:t>tienen el deber de facilitar los medios necesarios para que l</w:t>
      </w:r>
      <w:r w:rsidR="00100F11">
        <w:rPr>
          <w:i w:val="0"/>
          <w:szCs w:val="20"/>
          <w:lang w:val="es-ES"/>
        </w:rPr>
        <w:t>as defensoras y</w:t>
      </w:r>
      <w:r w:rsidR="009A6A62" w:rsidRPr="0064010A">
        <w:rPr>
          <w:i w:val="0"/>
          <w:szCs w:val="20"/>
          <w:lang w:val="es-ES"/>
        </w:rPr>
        <w:t xml:space="preserve"> defensores de derechos humanos realicen libremente sus actividades; protegerlos cuando son objeto de amenazas para evitar los atentados a su vida e integridad; abstenerse de imponer obstáculos que dificulten la realización de su labor, e investigar seria y eficazmente las violaciones cometidas en su contra, combatiendo la impunidad</w:t>
      </w:r>
      <w:r w:rsidR="009A6A62" w:rsidRPr="0064010A">
        <w:rPr>
          <w:i w:val="0"/>
          <w:vertAlign w:val="superscript"/>
        </w:rPr>
        <w:footnoteReference w:id="46"/>
      </w:r>
      <w:r w:rsidR="009A6A62" w:rsidRPr="0064010A">
        <w:rPr>
          <w:i w:val="0"/>
          <w:szCs w:val="20"/>
          <w:lang w:val="es-ES"/>
        </w:rPr>
        <w:t>.</w:t>
      </w:r>
      <w:r w:rsidR="009A6A62" w:rsidRPr="0064010A">
        <w:rPr>
          <w:i w:val="0"/>
          <w:szCs w:val="20"/>
          <w:lang w:val="es-CR"/>
        </w:rPr>
        <w:t xml:space="preserve"> Esta protección especial resulta necesaria porque la defensa de los derechos humanos sólo puede ejercerse libremente cuando las personas que la realizan no son víctimas de amenazas o de cualquier tipo de agresiones físicas, psíquicas o morales u otros actos de hostigamiento</w:t>
      </w:r>
      <w:r w:rsidR="009A6A62" w:rsidRPr="0064010A">
        <w:rPr>
          <w:i w:val="0"/>
          <w:vertAlign w:val="superscript"/>
          <w:lang w:val="es-CR"/>
        </w:rPr>
        <w:footnoteReference w:id="47"/>
      </w:r>
      <w:r w:rsidR="009A6A62" w:rsidRPr="0064010A">
        <w:rPr>
          <w:i w:val="0"/>
          <w:szCs w:val="20"/>
          <w:lang w:val="es-CR"/>
        </w:rPr>
        <w:t xml:space="preserve">. </w:t>
      </w:r>
    </w:p>
    <w:p w14:paraId="637DBA04" w14:textId="77777777" w:rsidR="009A6A62" w:rsidRPr="0064010A" w:rsidRDefault="009A6A62" w:rsidP="003D5096">
      <w:pPr>
        <w:pStyle w:val="Heading2"/>
        <w:keepLines w:val="0"/>
        <w:numPr>
          <w:ilvl w:val="0"/>
          <w:numId w:val="7"/>
        </w:numPr>
        <w:spacing w:before="240" w:after="240"/>
        <w:rPr>
          <w:rFonts w:ascii="Verdana" w:hAnsi="Verdana" w:cs="Tahoma"/>
          <w:i/>
          <w:color w:val="auto"/>
          <w:sz w:val="20"/>
          <w:lang w:eastAsia="x-none"/>
        </w:rPr>
      </w:pPr>
      <w:bookmarkStart w:id="100" w:name="_Toc525713980"/>
      <w:r w:rsidRPr="0064010A">
        <w:rPr>
          <w:rFonts w:ascii="Verdana" w:hAnsi="Verdana" w:cs="Tahoma"/>
          <w:i/>
          <w:color w:val="auto"/>
          <w:sz w:val="20"/>
          <w:lang w:eastAsia="x-none"/>
        </w:rPr>
        <w:t>Derecho a la integridad personal (Artículo 5.1</w:t>
      </w:r>
      <w:r w:rsidRPr="001635F3">
        <w:rPr>
          <w:rFonts w:ascii="Verdana" w:hAnsi="Verdana" w:cs="Tahoma"/>
          <w:i/>
          <w:color w:val="auto"/>
          <w:sz w:val="20"/>
          <w:vertAlign w:val="superscript"/>
          <w:lang w:eastAsia="x-none"/>
        </w:rPr>
        <w:footnoteReference w:id="48"/>
      </w:r>
      <w:r w:rsidRPr="0064010A">
        <w:rPr>
          <w:rFonts w:ascii="Verdana" w:hAnsi="Verdana" w:cs="Tahoma"/>
          <w:i/>
          <w:color w:val="auto"/>
          <w:sz w:val="20"/>
          <w:lang w:eastAsia="x-none"/>
        </w:rPr>
        <w:t xml:space="preserve"> de la Convención Americana)</w:t>
      </w:r>
      <w:bookmarkEnd w:id="100"/>
      <w:r w:rsidRPr="0064010A">
        <w:rPr>
          <w:rFonts w:ascii="Verdana" w:hAnsi="Verdana" w:cs="Tahoma"/>
          <w:i/>
          <w:color w:val="auto"/>
          <w:sz w:val="20"/>
          <w:lang w:eastAsia="x-none"/>
        </w:rPr>
        <w:t xml:space="preserve"> </w:t>
      </w:r>
    </w:p>
    <w:p w14:paraId="43C52FC4" w14:textId="2DDE9CB2" w:rsidR="009A6A62" w:rsidRPr="0064010A" w:rsidRDefault="009A6A62" w:rsidP="0064010A">
      <w:pPr>
        <w:pStyle w:val="Estilo1"/>
        <w:numPr>
          <w:ilvl w:val="0"/>
          <w:numId w:val="2"/>
        </w:numPr>
        <w:tabs>
          <w:tab w:val="left" w:pos="0"/>
        </w:tabs>
        <w:spacing w:before="120"/>
        <w:ind w:left="0" w:right="-4" w:firstLine="0"/>
        <w:rPr>
          <w:rFonts w:ascii="Times New Roman" w:hAnsi="Times New Roman" w:cs="Times New Roman"/>
          <w:i w:val="0"/>
          <w:sz w:val="24"/>
          <w:lang w:val="es-ES" w:eastAsia="es-ES"/>
        </w:rPr>
      </w:pPr>
      <w:r w:rsidRPr="0064010A">
        <w:rPr>
          <w:rFonts w:cs="Tahoma"/>
          <w:i w:val="0"/>
          <w:lang w:eastAsia="x-none"/>
        </w:rPr>
        <w:t xml:space="preserve"> </w:t>
      </w:r>
      <w:r w:rsidRPr="0064010A">
        <w:rPr>
          <w:i w:val="0"/>
          <w:szCs w:val="20"/>
          <w:lang w:val="es-CR"/>
        </w:rPr>
        <w:t xml:space="preserve">En cuanto a la violación del derecho a la integridad personal, el Estado reconoció que es responsable por la violación del artículo 5.1 de la Convención Americana en relación con el artículo 1.1 del mismo instrumento en perjuicio de los familiares de Carlos Escalera Mejía, </w:t>
      </w:r>
      <w:r w:rsidR="003435DB">
        <w:rPr>
          <w:i w:val="0"/>
          <w:szCs w:val="20"/>
          <w:lang w:val="es-CR"/>
        </w:rPr>
        <w:t>debido</w:t>
      </w:r>
      <w:r w:rsidRPr="0064010A">
        <w:rPr>
          <w:i w:val="0"/>
          <w:szCs w:val="20"/>
          <w:lang w:val="es-CR"/>
        </w:rPr>
        <w:t xml:space="preserve"> a la angustia que han </w:t>
      </w:r>
      <w:r w:rsidR="003435DB">
        <w:rPr>
          <w:i w:val="0"/>
          <w:szCs w:val="20"/>
          <w:lang w:val="es-CR"/>
        </w:rPr>
        <w:t>experimentado</w:t>
      </w:r>
      <w:r w:rsidR="003435DB" w:rsidRPr="0064010A">
        <w:rPr>
          <w:i w:val="0"/>
          <w:szCs w:val="20"/>
          <w:lang w:val="es-CR"/>
        </w:rPr>
        <w:t xml:space="preserve"> </w:t>
      </w:r>
      <w:r w:rsidRPr="0064010A">
        <w:rPr>
          <w:i w:val="0"/>
          <w:szCs w:val="20"/>
          <w:lang w:val="es-CR"/>
        </w:rPr>
        <w:t xml:space="preserve">en la búsqueda de justicia </w:t>
      </w:r>
      <w:r w:rsidR="00100F11">
        <w:rPr>
          <w:i w:val="0"/>
          <w:szCs w:val="20"/>
          <w:lang w:val="es-CR"/>
        </w:rPr>
        <w:t xml:space="preserve">por </w:t>
      </w:r>
      <w:r w:rsidR="003435DB">
        <w:rPr>
          <w:i w:val="0"/>
          <w:szCs w:val="20"/>
          <w:lang w:val="es-CR"/>
        </w:rPr>
        <w:t>su</w:t>
      </w:r>
      <w:r w:rsidR="003435DB" w:rsidRPr="0064010A">
        <w:rPr>
          <w:i w:val="0"/>
          <w:szCs w:val="20"/>
          <w:lang w:val="es-CR"/>
        </w:rPr>
        <w:t xml:space="preserve"> </w:t>
      </w:r>
      <w:r w:rsidR="009A1F10">
        <w:rPr>
          <w:i w:val="0"/>
          <w:szCs w:val="20"/>
          <w:lang w:val="es-CR"/>
        </w:rPr>
        <w:t>muerte</w:t>
      </w:r>
      <w:r w:rsidRPr="0064010A">
        <w:rPr>
          <w:i w:val="0"/>
          <w:szCs w:val="20"/>
          <w:lang w:val="es-CR"/>
        </w:rPr>
        <w:t xml:space="preserve">, la falta de una protección efectiva, </w:t>
      </w:r>
      <w:r w:rsidR="00100F11">
        <w:rPr>
          <w:i w:val="0"/>
          <w:szCs w:val="20"/>
          <w:lang w:val="es-CR"/>
        </w:rPr>
        <w:t xml:space="preserve">así como </w:t>
      </w:r>
      <w:r w:rsidRPr="0064010A">
        <w:rPr>
          <w:i w:val="0"/>
          <w:szCs w:val="20"/>
          <w:lang w:val="es-CR"/>
        </w:rPr>
        <w:t xml:space="preserve">el profundo sufrimiento y </w:t>
      </w:r>
      <w:r w:rsidR="00100F11">
        <w:rPr>
          <w:i w:val="0"/>
          <w:szCs w:val="20"/>
          <w:lang w:val="es-CR"/>
        </w:rPr>
        <w:t xml:space="preserve">el </w:t>
      </w:r>
      <w:r w:rsidRPr="0064010A">
        <w:rPr>
          <w:i w:val="0"/>
          <w:szCs w:val="20"/>
          <w:lang w:val="es-CR"/>
        </w:rPr>
        <w:t>cambio radical en sus vidas. La pérdida de un ser querido en un contexto como el del presente caso, así como la ausencia de una investigación completa y efectiva, constituyen en sí una afectación a la integridad de los familiares del señor Escaleras Mejía</w:t>
      </w:r>
      <w:r w:rsidR="00100F11" w:rsidRPr="0064010A">
        <w:rPr>
          <w:i w:val="0"/>
          <w:szCs w:val="20"/>
          <w:vertAlign w:val="superscript"/>
          <w:lang w:val="es-CR"/>
        </w:rPr>
        <w:footnoteReference w:id="49"/>
      </w:r>
      <w:r w:rsidRPr="0064010A">
        <w:rPr>
          <w:i w:val="0"/>
          <w:szCs w:val="20"/>
          <w:lang w:val="es-CR"/>
        </w:rPr>
        <w:t xml:space="preserve">. </w:t>
      </w:r>
    </w:p>
    <w:p w14:paraId="4D0F5501" w14:textId="1BF11CDB" w:rsidR="0064010A" w:rsidRPr="0064010A" w:rsidRDefault="0064010A" w:rsidP="003D5096">
      <w:pPr>
        <w:pStyle w:val="Heading2"/>
        <w:keepLines w:val="0"/>
        <w:numPr>
          <w:ilvl w:val="0"/>
          <w:numId w:val="7"/>
        </w:numPr>
        <w:spacing w:before="240" w:after="240"/>
        <w:rPr>
          <w:rFonts w:ascii="Verdana" w:hAnsi="Verdana" w:cs="Tahoma"/>
          <w:i/>
          <w:color w:val="auto"/>
          <w:sz w:val="20"/>
          <w:lang w:eastAsia="x-none"/>
        </w:rPr>
      </w:pPr>
      <w:bookmarkStart w:id="101" w:name="_Toc525713981"/>
      <w:r w:rsidRPr="0064010A">
        <w:rPr>
          <w:rFonts w:ascii="Verdana" w:hAnsi="Verdana" w:cs="Tahoma"/>
          <w:i/>
          <w:color w:val="auto"/>
          <w:sz w:val="20"/>
          <w:lang w:eastAsia="x-none"/>
        </w:rPr>
        <w:t>Derecho a la libertad de asociación</w:t>
      </w:r>
      <w:r w:rsidR="003E6084" w:rsidRPr="003E6084">
        <w:rPr>
          <w:rFonts w:ascii="Verdana" w:hAnsi="Verdana"/>
          <w:color w:val="auto"/>
          <w:sz w:val="20"/>
          <w:szCs w:val="20"/>
          <w:vertAlign w:val="superscript"/>
          <w:lang w:val="es-CR"/>
        </w:rPr>
        <w:footnoteReference w:id="50"/>
      </w:r>
      <w:r w:rsidRPr="0064010A">
        <w:rPr>
          <w:rFonts w:ascii="Verdana" w:hAnsi="Verdana" w:cs="Tahoma"/>
          <w:i/>
          <w:color w:val="auto"/>
          <w:sz w:val="20"/>
          <w:lang w:eastAsia="x-none"/>
        </w:rPr>
        <w:t xml:space="preserve"> y derechos políticos</w:t>
      </w:r>
      <w:r w:rsidR="00D17B11" w:rsidRPr="00D17B11">
        <w:rPr>
          <w:rFonts w:ascii="Verdana" w:hAnsi="Verdana"/>
          <w:i/>
          <w:color w:val="auto"/>
          <w:sz w:val="20"/>
          <w:szCs w:val="20"/>
          <w:vertAlign w:val="superscript"/>
          <w:lang w:val="es-ES"/>
        </w:rPr>
        <w:footnoteReference w:id="51"/>
      </w:r>
      <w:r w:rsidRPr="0064010A">
        <w:rPr>
          <w:rFonts w:ascii="Verdana" w:hAnsi="Verdana" w:cs="Tahoma"/>
          <w:i/>
          <w:color w:val="auto"/>
          <w:sz w:val="20"/>
          <w:lang w:eastAsia="x-none"/>
        </w:rPr>
        <w:t xml:space="preserve"> (Artículos 16 y 23 de la Convención Americana)</w:t>
      </w:r>
      <w:bookmarkEnd w:id="101"/>
    </w:p>
    <w:p w14:paraId="7ED545EC" w14:textId="38E352F1" w:rsidR="0064010A" w:rsidRPr="0064010A" w:rsidRDefault="0064010A" w:rsidP="003E6084">
      <w:pPr>
        <w:pStyle w:val="Heading3"/>
        <w:spacing w:before="240" w:after="240"/>
        <w:ind w:firstLine="720"/>
        <w:rPr>
          <w:b w:val="0"/>
          <w:szCs w:val="20"/>
          <w:lang w:val="es-CR"/>
        </w:rPr>
      </w:pPr>
      <w:bookmarkStart w:id="102" w:name="_Toc525713982"/>
      <w:r w:rsidRPr="0064010A">
        <w:rPr>
          <w:b w:val="0"/>
          <w:szCs w:val="20"/>
          <w:lang w:val="es-CR"/>
        </w:rPr>
        <w:t>1. Consideraciones previas</w:t>
      </w:r>
      <w:bookmarkEnd w:id="102"/>
    </w:p>
    <w:p w14:paraId="56E86053" w14:textId="665F27BA" w:rsidR="0064010A" w:rsidRPr="0064010A" w:rsidRDefault="0064010A" w:rsidP="001F751D">
      <w:pPr>
        <w:pStyle w:val="Estilo1"/>
        <w:numPr>
          <w:ilvl w:val="0"/>
          <w:numId w:val="2"/>
        </w:numPr>
        <w:tabs>
          <w:tab w:val="left" w:pos="0"/>
        </w:tabs>
        <w:spacing w:before="120"/>
        <w:ind w:left="0" w:right="-4" w:firstLine="0"/>
        <w:rPr>
          <w:i w:val="0"/>
          <w:szCs w:val="20"/>
          <w:lang w:val="es-ES"/>
        </w:rPr>
      </w:pPr>
      <w:r w:rsidRPr="0064010A">
        <w:rPr>
          <w:i w:val="0"/>
          <w:szCs w:val="20"/>
          <w:lang w:val="es-CR"/>
        </w:rPr>
        <w:t>La</w:t>
      </w:r>
      <w:r w:rsidRPr="0064010A">
        <w:rPr>
          <w:i w:val="0"/>
          <w:szCs w:val="20"/>
        </w:rPr>
        <w:t xml:space="preserve"> Corte ha destacado en variadas ocasiones la importancia de la labor de las defensoras y </w:t>
      </w:r>
      <w:r w:rsidRPr="0064010A">
        <w:rPr>
          <w:i w:val="0"/>
          <w:szCs w:val="20"/>
          <w:lang w:val="es-CR"/>
        </w:rPr>
        <w:t>defensores</w:t>
      </w:r>
      <w:r w:rsidRPr="0064010A">
        <w:rPr>
          <w:i w:val="0"/>
          <w:szCs w:val="20"/>
        </w:rPr>
        <w:t xml:space="preserve"> de derechos humanos, al considerarla fundamental para el fortalecimiento de la democracia y el Estado de Derecho</w:t>
      </w:r>
      <w:r w:rsidRPr="0064010A">
        <w:rPr>
          <w:i w:val="0"/>
          <w:szCs w:val="20"/>
          <w:vertAlign w:val="superscript"/>
        </w:rPr>
        <w:footnoteReference w:id="52"/>
      </w:r>
      <w:r w:rsidRPr="0064010A">
        <w:rPr>
          <w:i w:val="0"/>
          <w:szCs w:val="20"/>
        </w:rPr>
        <w:t xml:space="preserve">, lo que justifica un deber especial </w:t>
      </w:r>
      <w:r w:rsidRPr="0064010A">
        <w:rPr>
          <w:i w:val="0"/>
          <w:szCs w:val="20"/>
        </w:rPr>
        <w:lastRenderedPageBreak/>
        <w:t>de protección por parte de los Estados</w:t>
      </w:r>
      <w:r w:rsidRPr="0064010A">
        <w:rPr>
          <w:i w:val="0"/>
          <w:szCs w:val="20"/>
          <w:vertAlign w:val="superscript"/>
        </w:rPr>
        <w:footnoteReference w:id="53"/>
      </w:r>
      <w:r w:rsidRPr="0064010A">
        <w:rPr>
          <w:i w:val="0"/>
          <w:szCs w:val="20"/>
        </w:rPr>
        <w:t xml:space="preserve">. Además la Corte ha señalado que el respeto por los derechos humanos en un Estado democrático depende en gran parte de las garantías efectivas y adecuadas de que gocen los defensores de los derechos humanos para desplegar libremente sus </w:t>
      </w:r>
      <w:r w:rsidRPr="001F751D">
        <w:rPr>
          <w:i w:val="0"/>
          <w:szCs w:val="20"/>
          <w:lang w:val="es-ES"/>
        </w:rPr>
        <w:t>actividades</w:t>
      </w:r>
      <w:r w:rsidRPr="0064010A">
        <w:rPr>
          <w:i w:val="0"/>
          <w:szCs w:val="20"/>
        </w:rPr>
        <w:t>, y que es conveniente prestar especial atención a las acciones que limiten u obstaculicen el trabajo de los defensores de derechos humanos</w:t>
      </w:r>
      <w:r w:rsidRPr="0064010A">
        <w:rPr>
          <w:i w:val="0"/>
          <w:szCs w:val="20"/>
          <w:vertAlign w:val="superscript"/>
        </w:rPr>
        <w:footnoteReference w:id="54"/>
      </w:r>
      <w:r w:rsidRPr="0064010A">
        <w:rPr>
          <w:i w:val="0"/>
          <w:szCs w:val="20"/>
        </w:rPr>
        <w:t xml:space="preserve">. </w:t>
      </w:r>
      <w:r w:rsidRPr="0064010A">
        <w:rPr>
          <w:i w:val="0"/>
          <w:szCs w:val="20"/>
          <w:lang w:val="es-CR"/>
        </w:rPr>
        <w:t>Dada</w:t>
      </w:r>
      <w:r w:rsidRPr="0064010A">
        <w:rPr>
          <w:i w:val="0"/>
          <w:szCs w:val="20"/>
        </w:rPr>
        <w:t xml:space="preserve"> la relevancia de su rol en la sociedad, los defensores y defensoras de derechos humanos </w:t>
      </w:r>
      <w:r w:rsidR="001049A6" w:rsidRPr="001049A6">
        <w:rPr>
          <w:i w:val="0"/>
          <w:szCs w:val="20"/>
        </w:rPr>
        <w:t>contribuyen de manera esencial a la observancia de los derechos humanos</w:t>
      </w:r>
      <w:r w:rsidRPr="0064010A">
        <w:rPr>
          <w:i w:val="0"/>
          <w:szCs w:val="20"/>
          <w:vertAlign w:val="superscript"/>
          <w:lang w:val="es-CR"/>
        </w:rPr>
        <w:footnoteReference w:id="55"/>
      </w:r>
      <w:r w:rsidRPr="0064010A">
        <w:rPr>
          <w:i w:val="0"/>
          <w:szCs w:val="20"/>
        </w:rPr>
        <w:t xml:space="preserve"> y </w:t>
      </w:r>
      <w:r w:rsidR="001049A6">
        <w:rPr>
          <w:i w:val="0"/>
          <w:szCs w:val="20"/>
        </w:rPr>
        <w:t xml:space="preserve">son </w:t>
      </w:r>
      <w:r w:rsidRPr="0064010A">
        <w:rPr>
          <w:i w:val="0"/>
          <w:szCs w:val="20"/>
        </w:rPr>
        <w:t xml:space="preserve">actores </w:t>
      </w:r>
      <w:r w:rsidR="000F288B">
        <w:rPr>
          <w:i w:val="0"/>
          <w:szCs w:val="20"/>
        </w:rPr>
        <w:t xml:space="preserve">que complementan el rol de los Estados y </w:t>
      </w:r>
      <w:r w:rsidRPr="0064010A">
        <w:rPr>
          <w:i w:val="0"/>
          <w:szCs w:val="20"/>
        </w:rPr>
        <w:t>del sistema interamericano</w:t>
      </w:r>
      <w:r w:rsidR="000F288B">
        <w:rPr>
          <w:i w:val="0"/>
          <w:szCs w:val="20"/>
        </w:rPr>
        <w:t xml:space="preserve"> en su conjunto</w:t>
      </w:r>
      <w:r w:rsidRPr="0064010A">
        <w:rPr>
          <w:i w:val="0"/>
          <w:szCs w:val="20"/>
          <w:vertAlign w:val="superscript"/>
        </w:rPr>
        <w:footnoteReference w:id="56"/>
      </w:r>
      <w:r w:rsidRPr="0064010A">
        <w:rPr>
          <w:i w:val="0"/>
          <w:szCs w:val="20"/>
          <w:lang w:val="es-CR"/>
        </w:rPr>
        <w:t>.</w:t>
      </w:r>
      <w:r w:rsidR="001049A6">
        <w:rPr>
          <w:i w:val="0"/>
          <w:szCs w:val="20"/>
          <w:lang w:val="es-CR"/>
        </w:rPr>
        <w:t xml:space="preserve"> </w:t>
      </w:r>
    </w:p>
    <w:p w14:paraId="2BC43814" w14:textId="1680EEB4" w:rsidR="0064010A" w:rsidRPr="0064010A" w:rsidRDefault="00C15D22" w:rsidP="0064010A">
      <w:pPr>
        <w:pStyle w:val="Estilo1"/>
        <w:numPr>
          <w:ilvl w:val="0"/>
          <w:numId w:val="2"/>
        </w:numPr>
        <w:tabs>
          <w:tab w:val="left" w:pos="0"/>
        </w:tabs>
        <w:spacing w:before="120"/>
        <w:ind w:left="0" w:right="-4" w:firstLine="0"/>
        <w:rPr>
          <w:i w:val="0"/>
          <w:szCs w:val="20"/>
          <w:lang w:val="es-ES"/>
        </w:rPr>
      </w:pPr>
      <w:r>
        <w:rPr>
          <w:i w:val="0"/>
          <w:szCs w:val="20"/>
        </w:rPr>
        <w:t>Cabe señalar que con posterioridad a los hechos del presente caso</w:t>
      </w:r>
      <w:r w:rsidR="0064010A" w:rsidRPr="0064010A">
        <w:rPr>
          <w:i w:val="0"/>
          <w:szCs w:val="20"/>
        </w:rPr>
        <w:t xml:space="preserve">, la Asamblea General de las Naciones Unidas aprobó en 1998 la Declaración </w:t>
      </w:r>
      <w:r w:rsidR="0064010A" w:rsidRPr="0064010A">
        <w:rPr>
          <w:i w:val="0"/>
          <w:szCs w:val="20"/>
          <w:lang w:val="es-ES"/>
        </w:rPr>
        <w:t xml:space="preserve">de las Naciones Unidas sobre el derecho y el deber de los individuos, los grupos y las instituciones de promover y proteger los derechos humanos y las libertades fundamentales universalmente reconocidos (en adelante, la “Declaración de Defensores” o “Declaración”). Esta Declaración en su artículo 1 </w:t>
      </w:r>
      <w:r w:rsidR="00AE0607">
        <w:rPr>
          <w:i w:val="0"/>
          <w:szCs w:val="20"/>
          <w:lang w:val="es-ES"/>
        </w:rPr>
        <w:t>reconoce</w:t>
      </w:r>
      <w:r w:rsidR="00AE0607" w:rsidRPr="0064010A">
        <w:rPr>
          <w:i w:val="0"/>
          <w:szCs w:val="20"/>
          <w:lang w:val="es-ES"/>
        </w:rPr>
        <w:t xml:space="preserve"> </w:t>
      </w:r>
      <w:r w:rsidR="0064010A" w:rsidRPr="0064010A">
        <w:rPr>
          <w:i w:val="0"/>
          <w:szCs w:val="20"/>
          <w:lang w:val="es-ES"/>
        </w:rPr>
        <w:t>el derecho a defender los derechos humanos, al establecer que “toda persona tiene derecho, individual o colectivamente, a promover y procurar la protección y realización de los derechos humanos y las libertades fundamentales en los planos nacional e internacional”</w:t>
      </w:r>
      <w:r w:rsidR="0064010A" w:rsidRPr="0064010A">
        <w:rPr>
          <w:i w:val="0"/>
          <w:szCs w:val="20"/>
          <w:vertAlign w:val="superscript"/>
        </w:rPr>
        <w:footnoteReference w:id="57"/>
      </w:r>
      <w:r w:rsidR="0064010A" w:rsidRPr="0064010A">
        <w:rPr>
          <w:i w:val="0"/>
          <w:szCs w:val="20"/>
          <w:lang w:val="es-ES"/>
        </w:rPr>
        <w:t xml:space="preserve">. </w:t>
      </w:r>
    </w:p>
    <w:p w14:paraId="21A82EA2" w14:textId="1BEA0AF2" w:rsidR="0064010A" w:rsidRPr="0064010A" w:rsidRDefault="0064010A" w:rsidP="0064010A">
      <w:pPr>
        <w:pStyle w:val="Estilo1"/>
        <w:numPr>
          <w:ilvl w:val="0"/>
          <w:numId w:val="2"/>
        </w:numPr>
        <w:tabs>
          <w:tab w:val="left" w:pos="0"/>
        </w:tabs>
        <w:spacing w:before="120"/>
        <w:ind w:left="0" w:right="-4" w:firstLine="0"/>
        <w:rPr>
          <w:i w:val="0"/>
          <w:szCs w:val="20"/>
          <w:lang w:val="es-CR"/>
        </w:rPr>
      </w:pPr>
      <w:r w:rsidRPr="0064010A">
        <w:rPr>
          <w:i w:val="0"/>
          <w:szCs w:val="20"/>
          <w:lang w:val="es-CR"/>
        </w:rPr>
        <w:t xml:space="preserve">La Declaración de Defensores establece la necesidad de proporcionar apoyo y protección a los defensores de los derechos humanos en el ejercicio de su labor. No establece derechos </w:t>
      </w:r>
      <w:r w:rsidR="00AE0607">
        <w:rPr>
          <w:i w:val="0"/>
          <w:szCs w:val="20"/>
          <w:lang w:val="es-CR"/>
        </w:rPr>
        <w:t xml:space="preserve">distintos a los que ya se encuentran reconocidos en diversos instrumentos </w:t>
      </w:r>
      <w:r w:rsidRPr="0064010A">
        <w:rPr>
          <w:i w:val="0"/>
          <w:szCs w:val="20"/>
          <w:lang w:val="es-CR"/>
        </w:rPr>
        <w:t xml:space="preserve">sino que articula </w:t>
      </w:r>
      <w:r w:rsidRPr="0064010A">
        <w:rPr>
          <w:i w:val="0"/>
          <w:szCs w:val="20"/>
          <w:lang w:val="es-ES"/>
        </w:rPr>
        <w:t>los</w:t>
      </w:r>
      <w:r w:rsidRPr="0064010A">
        <w:rPr>
          <w:i w:val="0"/>
          <w:szCs w:val="20"/>
          <w:lang w:val="es-CR"/>
        </w:rPr>
        <w:t xml:space="preserve"> ya existentes a fin de que sea más </w:t>
      </w:r>
      <w:r w:rsidR="00C15D22">
        <w:rPr>
          <w:i w:val="0"/>
          <w:szCs w:val="20"/>
          <w:lang w:val="es-CR"/>
        </w:rPr>
        <w:t>sencillo</w:t>
      </w:r>
      <w:r w:rsidRPr="0064010A">
        <w:rPr>
          <w:i w:val="0"/>
          <w:szCs w:val="20"/>
          <w:lang w:val="es-CR"/>
        </w:rPr>
        <w:t xml:space="preserve"> aplicarlos a la función y situación práctica de los defensores. Así, sus artículos 5, 6, 7, 8, 9, 11, 12 y 13 contienen disposiciones específicas para la protección de los defensores de los derechos humanos, por ejemplo el derecho a formar asociaciones u organizaciones; a reunirse o manifestarse pacíficamente; a desarrollar y debatir ideas y principios nuevos; a presentar críticas y propuestas a órganos y organismos gubernamentales y organizaciones que se ocupan de asuntos públicos</w:t>
      </w:r>
      <w:r w:rsidR="0069422B">
        <w:rPr>
          <w:i w:val="0"/>
          <w:szCs w:val="20"/>
          <w:lang w:val="es-CR"/>
        </w:rPr>
        <w:t>, o</w:t>
      </w:r>
      <w:r w:rsidRPr="0064010A">
        <w:rPr>
          <w:i w:val="0"/>
          <w:szCs w:val="20"/>
          <w:lang w:val="es-CR"/>
        </w:rPr>
        <w:t xml:space="preserve"> a disponer de recursos eficaces, entre otros.</w:t>
      </w:r>
    </w:p>
    <w:p w14:paraId="4C11CEBF" w14:textId="6C5FAFBA" w:rsidR="0064010A" w:rsidRPr="00536D5E" w:rsidRDefault="0064010A" w:rsidP="0029312B">
      <w:pPr>
        <w:pStyle w:val="Estilo1"/>
        <w:numPr>
          <w:ilvl w:val="0"/>
          <w:numId w:val="2"/>
        </w:numPr>
        <w:tabs>
          <w:tab w:val="left" w:pos="0"/>
        </w:tabs>
        <w:spacing w:before="120"/>
        <w:ind w:left="0" w:right="-4" w:firstLine="0"/>
        <w:rPr>
          <w:i w:val="0"/>
          <w:szCs w:val="20"/>
          <w:lang w:val="es-CR"/>
        </w:rPr>
      </w:pPr>
      <w:r w:rsidRPr="00536D5E">
        <w:rPr>
          <w:i w:val="0"/>
          <w:szCs w:val="20"/>
          <w:lang w:val="es-CR"/>
        </w:rPr>
        <w:t xml:space="preserve">A partir del reconocimiento del derecho a defender derechos humanos por parte de la Asamblea General de </w:t>
      </w:r>
      <w:r w:rsidR="0069422B" w:rsidRPr="00536D5E">
        <w:rPr>
          <w:i w:val="0"/>
          <w:szCs w:val="20"/>
          <w:lang w:val="es-CR"/>
        </w:rPr>
        <w:t>Naciones Unidas</w:t>
      </w:r>
      <w:r w:rsidRPr="00536D5E">
        <w:rPr>
          <w:i w:val="0"/>
          <w:szCs w:val="20"/>
          <w:lang w:val="es-CR"/>
        </w:rPr>
        <w:t>, este ha sido reconocido también en los sistemas regionales de protección a los derechos humanos, tanto en el plano interamericano</w:t>
      </w:r>
      <w:r w:rsidRPr="00536D5E">
        <w:rPr>
          <w:i w:val="0"/>
          <w:szCs w:val="20"/>
          <w:vertAlign w:val="superscript"/>
          <w:lang w:val="es-CR"/>
        </w:rPr>
        <w:footnoteReference w:id="58"/>
      </w:r>
      <w:r w:rsidRPr="00536D5E">
        <w:rPr>
          <w:i w:val="0"/>
          <w:szCs w:val="20"/>
          <w:lang w:val="es-CR"/>
        </w:rPr>
        <w:t>, como a nivel europeo</w:t>
      </w:r>
      <w:r w:rsidRPr="00536D5E">
        <w:rPr>
          <w:i w:val="0"/>
          <w:szCs w:val="20"/>
          <w:vertAlign w:val="superscript"/>
          <w:lang w:val="es-CR"/>
        </w:rPr>
        <w:footnoteReference w:id="59"/>
      </w:r>
      <w:r w:rsidRPr="00536D5E">
        <w:rPr>
          <w:i w:val="0"/>
          <w:szCs w:val="20"/>
          <w:lang w:val="es-CR"/>
        </w:rPr>
        <w:t xml:space="preserve"> y africano</w:t>
      </w:r>
      <w:r w:rsidRPr="00536D5E">
        <w:rPr>
          <w:i w:val="0"/>
          <w:szCs w:val="20"/>
          <w:vertAlign w:val="superscript"/>
          <w:lang w:val="es-CR"/>
        </w:rPr>
        <w:footnoteReference w:id="60"/>
      </w:r>
      <w:r w:rsidR="0069422B" w:rsidRPr="00536D5E">
        <w:rPr>
          <w:i w:val="0"/>
          <w:szCs w:val="20"/>
          <w:lang w:val="es-CR"/>
        </w:rPr>
        <w:t>,</w:t>
      </w:r>
      <w:r w:rsidRPr="00536D5E">
        <w:rPr>
          <w:i w:val="0"/>
          <w:szCs w:val="20"/>
          <w:lang w:val="es-CR"/>
        </w:rPr>
        <w:t xml:space="preserve"> así como en el derecho nacional hondureño</w:t>
      </w:r>
      <w:r w:rsidRPr="00536D5E">
        <w:rPr>
          <w:i w:val="0"/>
          <w:szCs w:val="20"/>
          <w:vertAlign w:val="superscript"/>
          <w:lang w:val="es-CR"/>
        </w:rPr>
        <w:footnoteReference w:id="61"/>
      </w:r>
      <w:r w:rsidRPr="00536D5E">
        <w:rPr>
          <w:i w:val="0"/>
          <w:szCs w:val="20"/>
          <w:lang w:val="es-CR"/>
        </w:rPr>
        <w:t>.</w:t>
      </w:r>
      <w:r w:rsidR="00C15D22" w:rsidRPr="00536D5E">
        <w:rPr>
          <w:i w:val="0"/>
          <w:szCs w:val="20"/>
          <w:lang w:val="es-CR"/>
        </w:rPr>
        <w:t xml:space="preserve"> </w:t>
      </w:r>
    </w:p>
    <w:p w14:paraId="623563AE" w14:textId="52416914" w:rsidR="0064010A" w:rsidRPr="0029312B" w:rsidRDefault="0064010A" w:rsidP="0029312B">
      <w:pPr>
        <w:pStyle w:val="Estilo1"/>
        <w:numPr>
          <w:ilvl w:val="0"/>
          <w:numId w:val="2"/>
        </w:numPr>
        <w:tabs>
          <w:tab w:val="left" w:pos="0"/>
        </w:tabs>
        <w:spacing w:before="120"/>
        <w:ind w:left="0" w:right="-4" w:firstLine="0"/>
        <w:rPr>
          <w:i w:val="0"/>
          <w:szCs w:val="20"/>
          <w:lang w:val="es-CR"/>
        </w:rPr>
      </w:pPr>
      <w:r w:rsidRPr="0029312B">
        <w:rPr>
          <w:i w:val="0"/>
          <w:szCs w:val="20"/>
          <w:lang w:val="es-ES"/>
        </w:rPr>
        <w:lastRenderedPageBreak/>
        <w:t xml:space="preserve">Sin perjuicio de su reconocimiento, las normas interamericanas existentes hasta el momento no establecen un único derecho que garantice la labor de promoción y protección de los derechos </w:t>
      </w:r>
      <w:r w:rsidRPr="0029312B">
        <w:rPr>
          <w:i w:val="0"/>
          <w:szCs w:val="20"/>
          <w:lang w:val="es-CR"/>
        </w:rPr>
        <w:t>humanos</w:t>
      </w:r>
      <w:r w:rsidRPr="0029312B">
        <w:rPr>
          <w:i w:val="0"/>
          <w:szCs w:val="20"/>
          <w:lang w:val="es-ES"/>
        </w:rPr>
        <w:t xml:space="preserve">. Por el contrario, establecen componentes de múltiples derechos cuya garantía permite que se materialice la labor de las defensoras y defensores. </w:t>
      </w:r>
      <w:r w:rsidRPr="0029312B">
        <w:rPr>
          <w:i w:val="0"/>
          <w:szCs w:val="20"/>
          <w:lang w:val="es-CR"/>
        </w:rPr>
        <w:t xml:space="preserve">Así, el derecho a defender derechos humanos y el deber correlativo de los Estados de protegerlo, guardan relación con el goce de varios derechos contenidos en la Declaración Americana de los Derechos y Deberes del Hombre y en la Convención Americana, tales como la vida, integridad personal, libertad de expresión, de asociación, garantías </w:t>
      </w:r>
      <w:r w:rsidRPr="003E6084">
        <w:rPr>
          <w:i w:val="0"/>
          <w:szCs w:val="20"/>
          <w:lang w:val="es-ES"/>
        </w:rPr>
        <w:t>judiciales</w:t>
      </w:r>
      <w:r w:rsidRPr="0029312B">
        <w:rPr>
          <w:i w:val="0"/>
          <w:szCs w:val="20"/>
          <w:lang w:val="es-CR"/>
        </w:rPr>
        <w:t xml:space="preserve"> y protección judicial. Estas garantías, en su conjunto, constituyen el vehículo de realización de este derecho, y permiten un ejercicio libre de las actividades de defensa y promoción de derechos humanos, puesto que solo cuando los defensores y defensoras cuentan con una apropiada protección de sus derechos pueden buscar libremente la protección de los derechos de otras personas. De esta manera, una actuación en contra de una persona defensora en represalia a sus actividades puede conllevar la violación de múltiples derechos expresamente reconocidos en los instrumentos interamericanos. </w:t>
      </w:r>
      <w:r w:rsidR="00CB2C6B">
        <w:rPr>
          <w:i w:val="0"/>
          <w:szCs w:val="20"/>
          <w:lang w:val="es-CR"/>
        </w:rPr>
        <w:t>Al respecto</w:t>
      </w:r>
      <w:r w:rsidRPr="0029312B">
        <w:rPr>
          <w:i w:val="0"/>
          <w:szCs w:val="20"/>
          <w:lang w:val="es-CR"/>
        </w:rPr>
        <w:t xml:space="preserve">, </w:t>
      </w:r>
      <w:r w:rsidR="00CB2C6B">
        <w:rPr>
          <w:i w:val="0"/>
          <w:szCs w:val="20"/>
          <w:lang w:val="es-CR"/>
        </w:rPr>
        <w:t>esta</w:t>
      </w:r>
      <w:r w:rsidR="00CB2C6B" w:rsidRPr="0029312B">
        <w:rPr>
          <w:i w:val="0"/>
          <w:szCs w:val="20"/>
          <w:lang w:val="es-CR"/>
        </w:rPr>
        <w:t xml:space="preserve"> </w:t>
      </w:r>
      <w:r w:rsidRPr="0029312B">
        <w:rPr>
          <w:i w:val="0"/>
          <w:szCs w:val="20"/>
          <w:lang w:val="es-CR"/>
        </w:rPr>
        <w:t>Corte se ha pronunciado respecto de la protección debida a la actividad de defensa y promoción de derechos humanos en relación con varios derechos de la persona que lo ejerce</w:t>
      </w:r>
      <w:r w:rsidRPr="0029312B">
        <w:rPr>
          <w:i w:val="0"/>
          <w:szCs w:val="20"/>
          <w:vertAlign w:val="superscript"/>
          <w:lang w:val="es-CR"/>
        </w:rPr>
        <w:footnoteReference w:id="62"/>
      </w:r>
      <w:r w:rsidRPr="0029312B">
        <w:rPr>
          <w:i w:val="0"/>
          <w:szCs w:val="20"/>
          <w:lang w:val="es-CR"/>
        </w:rPr>
        <w:t>.</w:t>
      </w:r>
    </w:p>
    <w:p w14:paraId="353DF270" w14:textId="67135E6D" w:rsidR="0064010A" w:rsidRPr="00E6006E" w:rsidRDefault="003E6084" w:rsidP="003E6084">
      <w:pPr>
        <w:pStyle w:val="Estilo1"/>
        <w:numPr>
          <w:ilvl w:val="0"/>
          <w:numId w:val="2"/>
        </w:numPr>
        <w:tabs>
          <w:tab w:val="left" w:pos="0"/>
        </w:tabs>
        <w:spacing w:before="120"/>
        <w:ind w:left="0" w:right="-4" w:firstLine="0"/>
        <w:rPr>
          <w:i w:val="0"/>
          <w:szCs w:val="20"/>
          <w:lang w:val="es-CR"/>
        </w:rPr>
      </w:pPr>
      <w:r>
        <w:rPr>
          <w:i w:val="0"/>
          <w:szCs w:val="20"/>
          <w:lang w:val="es-CR"/>
        </w:rPr>
        <w:lastRenderedPageBreak/>
        <w:t xml:space="preserve">De ese modo, </w:t>
      </w:r>
      <w:r w:rsidR="004E53F5">
        <w:rPr>
          <w:i w:val="0"/>
          <w:szCs w:val="20"/>
          <w:lang w:val="es-CR"/>
        </w:rPr>
        <w:t>el Tribunal</w:t>
      </w:r>
      <w:r w:rsidR="004E53F5" w:rsidRPr="003E6084">
        <w:rPr>
          <w:i w:val="0"/>
          <w:szCs w:val="20"/>
          <w:lang w:val="es-CR"/>
        </w:rPr>
        <w:t xml:space="preserve"> </w:t>
      </w:r>
      <w:r w:rsidR="0064010A" w:rsidRPr="003E6084">
        <w:rPr>
          <w:i w:val="0"/>
          <w:szCs w:val="20"/>
          <w:lang w:val="es-CR"/>
        </w:rPr>
        <w:t xml:space="preserve">ha reconocido la relación existente entre ciertos derechos, como los derechos políticos, la libertad de expresión, el derecho de reunión y la libertad de asociación, por ser de importancia </w:t>
      </w:r>
      <w:r w:rsidR="0064010A" w:rsidRPr="003E6084">
        <w:rPr>
          <w:i w:val="0"/>
          <w:szCs w:val="20"/>
          <w:lang w:val="es-ES"/>
        </w:rPr>
        <w:t>esencial</w:t>
      </w:r>
      <w:r w:rsidR="0064010A" w:rsidRPr="003E6084">
        <w:rPr>
          <w:i w:val="0"/>
          <w:szCs w:val="20"/>
          <w:lang w:val="es-CR"/>
        </w:rPr>
        <w:t xml:space="preserve"> dentro del sistema interamericano al estar estrechamente interrelacionados para posibilitar, en conjunto, el juego democrático</w:t>
      </w:r>
      <w:r w:rsidR="0064010A" w:rsidRPr="003E6084">
        <w:rPr>
          <w:i w:val="0"/>
          <w:szCs w:val="20"/>
          <w:vertAlign w:val="superscript"/>
          <w:lang w:val="es-CR"/>
        </w:rPr>
        <w:footnoteReference w:id="63"/>
      </w:r>
      <w:r w:rsidR="0064010A" w:rsidRPr="003E6084">
        <w:rPr>
          <w:i w:val="0"/>
          <w:szCs w:val="20"/>
          <w:lang w:val="es-CR"/>
        </w:rPr>
        <w:t xml:space="preserve">. Estos derechos tienen especial vinculación con </w:t>
      </w:r>
      <w:r w:rsidR="0064010A" w:rsidRPr="003E6084">
        <w:rPr>
          <w:i w:val="0"/>
          <w:szCs w:val="20"/>
        </w:rPr>
        <w:t>la labor de las defensoras y defensores de derechos humanos, la que es considerada “fundamental para el fortalecimiento de la democracia y el Estado de Derecho”</w:t>
      </w:r>
      <w:r w:rsidR="0064010A" w:rsidRPr="003E6084">
        <w:rPr>
          <w:rStyle w:val="FootnoteReference"/>
          <w:i w:val="0"/>
        </w:rPr>
        <w:footnoteReference w:id="64"/>
      </w:r>
      <w:r w:rsidR="0064010A" w:rsidRPr="003E6084">
        <w:rPr>
          <w:i w:val="0"/>
          <w:szCs w:val="20"/>
        </w:rPr>
        <w:t xml:space="preserve">. </w:t>
      </w:r>
    </w:p>
    <w:p w14:paraId="248A7F91" w14:textId="219E194B" w:rsidR="0064010A" w:rsidRPr="003E6084" w:rsidRDefault="0064010A" w:rsidP="003E6084">
      <w:pPr>
        <w:pStyle w:val="Heading3"/>
        <w:spacing w:before="240" w:after="240"/>
        <w:ind w:firstLine="720"/>
        <w:rPr>
          <w:b w:val="0"/>
          <w:szCs w:val="20"/>
          <w:lang w:val="es-CR"/>
        </w:rPr>
      </w:pPr>
      <w:bookmarkStart w:id="103" w:name="_Toc525713983"/>
      <w:r w:rsidRPr="003E6084">
        <w:rPr>
          <w:b w:val="0"/>
          <w:szCs w:val="20"/>
          <w:lang w:val="es-CR"/>
        </w:rPr>
        <w:t>2. Derecho a la libertad de asociación (Artículo 16.1</w:t>
      </w:r>
      <w:r w:rsidRPr="003E6084">
        <w:rPr>
          <w:b w:val="0"/>
          <w:szCs w:val="20"/>
          <w:vertAlign w:val="superscript"/>
          <w:lang w:val="es-CR"/>
        </w:rPr>
        <w:t xml:space="preserve"> </w:t>
      </w:r>
      <w:r w:rsidRPr="003E6084">
        <w:rPr>
          <w:b w:val="0"/>
          <w:szCs w:val="20"/>
          <w:lang w:val="es-CR"/>
        </w:rPr>
        <w:t>de la Convención Americana)</w:t>
      </w:r>
      <w:bookmarkEnd w:id="103"/>
      <w:r w:rsidRPr="003E6084">
        <w:rPr>
          <w:b w:val="0"/>
          <w:szCs w:val="20"/>
          <w:lang w:val="es-CR"/>
        </w:rPr>
        <w:t xml:space="preserve"> </w:t>
      </w:r>
    </w:p>
    <w:p w14:paraId="704C9F16" w14:textId="27C50A6B" w:rsidR="0064010A" w:rsidRPr="003E6084" w:rsidRDefault="0064010A" w:rsidP="003E6084">
      <w:pPr>
        <w:pStyle w:val="Estilo1"/>
        <w:numPr>
          <w:ilvl w:val="0"/>
          <w:numId w:val="2"/>
        </w:numPr>
        <w:tabs>
          <w:tab w:val="left" w:pos="0"/>
        </w:tabs>
        <w:spacing w:before="120"/>
        <w:ind w:left="0" w:right="-4" w:firstLine="0"/>
        <w:rPr>
          <w:b/>
          <w:i w:val="0"/>
          <w:szCs w:val="20"/>
        </w:rPr>
      </w:pPr>
      <w:r w:rsidRPr="003E6084">
        <w:rPr>
          <w:i w:val="0"/>
          <w:szCs w:val="20"/>
          <w:lang w:val="es-CR"/>
        </w:rPr>
        <w:t xml:space="preserve">En cuanto a la violación </w:t>
      </w:r>
      <w:r w:rsidRPr="00C15D22">
        <w:rPr>
          <w:i w:val="0"/>
          <w:szCs w:val="20"/>
          <w:lang w:val="es-CR"/>
        </w:rPr>
        <w:t>del derecho a la libertad de asociación, el Estado</w:t>
      </w:r>
      <w:r w:rsidRPr="003E6084">
        <w:rPr>
          <w:i w:val="0"/>
          <w:szCs w:val="20"/>
          <w:lang w:val="es-CR"/>
        </w:rPr>
        <w:t xml:space="preserve"> reconoció que es responsable por la violación del artículo 16 de la Convención en perjuicio de Carlos Escalera Mejía, debido a que no investig</w:t>
      </w:r>
      <w:r w:rsidR="000C0227">
        <w:rPr>
          <w:i w:val="0"/>
          <w:szCs w:val="20"/>
          <w:lang w:val="es-CR"/>
        </w:rPr>
        <w:t>ó</w:t>
      </w:r>
      <w:r w:rsidRPr="003E6084">
        <w:rPr>
          <w:i w:val="0"/>
          <w:szCs w:val="20"/>
          <w:lang w:val="es-CR"/>
        </w:rPr>
        <w:t xml:space="preserve"> seria y eficazmente los hechos relacionados con su </w:t>
      </w:r>
      <w:r w:rsidR="00206D5D">
        <w:rPr>
          <w:i w:val="0"/>
          <w:szCs w:val="20"/>
          <w:lang w:val="es-CR"/>
        </w:rPr>
        <w:t>homicidio</w:t>
      </w:r>
      <w:r w:rsidR="00206D5D" w:rsidRPr="003E6084">
        <w:rPr>
          <w:i w:val="0"/>
          <w:szCs w:val="20"/>
          <w:lang w:val="es-CR"/>
        </w:rPr>
        <w:t xml:space="preserve"> </w:t>
      </w:r>
      <w:r w:rsidRPr="003E6084">
        <w:rPr>
          <w:i w:val="0"/>
          <w:szCs w:val="20"/>
          <w:lang w:val="es-CR"/>
        </w:rPr>
        <w:t>con el fin de identificar a los responsables, que incluían agentes estatales.</w:t>
      </w:r>
      <w:r w:rsidRPr="003E6084">
        <w:rPr>
          <w:b/>
          <w:i w:val="0"/>
          <w:szCs w:val="20"/>
          <w:lang w:val="es-CR"/>
        </w:rPr>
        <w:t xml:space="preserve"> </w:t>
      </w:r>
      <w:r w:rsidR="0039376E" w:rsidRPr="0039376E">
        <w:rPr>
          <w:i w:val="0"/>
          <w:szCs w:val="20"/>
          <w:lang w:val="es-CR"/>
        </w:rPr>
        <w:t>Además, señaló que</w:t>
      </w:r>
      <w:r w:rsidRPr="003E6084">
        <w:rPr>
          <w:i w:val="0"/>
          <w:szCs w:val="20"/>
          <w:lang w:val="es-CR"/>
        </w:rPr>
        <w:t xml:space="preserve"> la falta de seguimiento de líneas de investigación relacionadas con la labor de defensa de los derechos humanos mediante las organizaciones de las que era miembro, considerando además los indicios de participación de agentes estatales, tiene efectos en la determinación de la responsabilidad del Estado hondureño.</w:t>
      </w:r>
      <w:r w:rsidRPr="003E6084">
        <w:rPr>
          <w:b/>
          <w:i w:val="0"/>
          <w:szCs w:val="20"/>
          <w:lang w:val="es-CR"/>
        </w:rPr>
        <w:t xml:space="preserve"> </w:t>
      </w:r>
    </w:p>
    <w:p w14:paraId="467FFEC9" w14:textId="1E04C7C3" w:rsidR="0064010A" w:rsidRPr="003E6084" w:rsidRDefault="0039376E" w:rsidP="003E6084">
      <w:pPr>
        <w:pStyle w:val="Estilo1"/>
        <w:numPr>
          <w:ilvl w:val="0"/>
          <w:numId w:val="2"/>
        </w:numPr>
        <w:tabs>
          <w:tab w:val="left" w:pos="0"/>
        </w:tabs>
        <w:spacing w:before="120"/>
        <w:ind w:left="0" w:right="-4" w:firstLine="0"/>
        <w:rPr>
          <w:b/>
          <w:i w:val="0"/>
          <w:szCs w:val="20"/>
        </w:rPr>
      </w:pPr>
      <w:r>
        <w:rPr>
          <w:i w:val="0"/>
          <w:szCs w:val="20"/>
        </w:rPr>
        <w:t>Este Tribunal ha indicado</w:t>
      </w:r>
      <w:r w:rsidR="0064010A" w:rsidRPr="003E6084">
        <w:rPr>
          <w:i w:val="0"/>
          <w:szCs w:val="20"/>
        </w:rPr>
        <w:t xml:space="preserve"> que el artículo 16.1 de la Convención implica el derecho y libertad de </w:t>
      </w:r>
      <w:r w:rsidR="0064010A" w:rsidRPr="003E6084">
        <w:rPr>
          <w:i w:val="0"/>
          <w:szCs w:val="20"/>
          <w:lang w:val="es-CR"/>
        </w:rPr>
        <w:t>asociarse</w:t>
      </w:r>
      <w:r w:rsidR="0064010A" w:rsidRPr="003E6084">
        <w:rPr>
          <w:i w:val="0"/>
          <w:szCs w:val="20"/>
        </w:rPr>
        <w:t xml:space="preserve"> sin intervención de autoridades públicas que limiten o dificulten ese derecho (obligación negativa), así como el deber estatal de prevenir los atentados contra la misma, proteger a quienes la ejercen e investigar las violaciones de dicha libertad (obligaciones positivas)</w:t>
      </w:r>
      <w:r w:rsidR="0064010A" w:rsidRPr="003E6084">
        <w:rPr>
          <w:i w:val="0"/>
          <w:szCs w:val="20"/>
          <w:vertAlign w:val="superscript"/>
        </w:rPr>
        <w:footnoteReference w:id="65"/>
      </w:r>
      <w:r w:rsidR="0064010A" w:rsidRPr="003E6084">
        <w:rPr>
          <w:i w:val="0"/>
          <w:szCs w:val="20"/>
        </w:rPr>
        <w:t>. En ese sentido, la Corte recuerda que la libertad de asociación solo puede ejercerse en una situación en la que se respete y garantice plenamente los derechos humanos, en particular los relativos a la vida y a la seguridad de la persona</w:t>
      </w:r>
      <w:r w:rsidR="0064010A" w:rsidRPr="003E6084">
        <w:rPr>
          <w:i w:val="0"/>
          <w:szCs w:val="20"/>
          <w:vertAlign w:val="superscript"/>
        </w:rPr>
        <w:footnoteReference w:id="66"/>
      </w:r>
      <w:r w:rsidR="0064010A" w:rsidRPr="003E6084">
        <w:rPr>
          <w:i w:val="0"/>
          <w:szCs w:val="20"/>
        </w:rPr>
        <w:t>. U</w:t>
      </w:r>
      <w:r w:rsidR="0064010A" w:rsidRPr="003E6084">
        <w:rPr>
          <w:i w:val="0"/>
          <w:szCs w:val="20"/>
          <w:lang w:val="es-CR"/>
        </w:rPr>
        <w:t>na afectación al derecho a la vida atribuible al Estado podría generar, a su vez, una violación del artículo 16.1 de la Convención Americana, cuando la misma encuentre como motivo el ejercicio legítimo del derecho a la libertad de asociación de la víctima</w:t>
      </w:r>
      <w:r w:rsidR="0064010A" w:rsidRPr="003E6084">
        <w:rPr>
          <w:i w:val="0"/>
          <w:szCs w:val="20"/>
          <w:vertAlign w:val="superscript"/>
          <w:lang w:val="es-CR"/>
        </w:rPr>
        <w:footnoteReference w:id="67"/>
      </w:r>
      <w:r w:rsidR="0064010A" w:rsidRPr="003E6084">
        <w:rPr>
          <w:i w:val="0"/>
          <w:szCs w:val="20"/>
          <w:lang w:val="es-CR"/>
        </w:rPr>
        <w:t>.</w:t>
      </w:r>
    </w:p>
    <w:p w14:paraId="375E3F29" w14:textId="4C2863FD" w:rsidR="0064010A" w:rsidRPr="00D2383E" w:rsidRDefault="0064010A" w:rsidP="003E6084">
      <w:pPr>
        <w:pStyle w:val="Estilo1"/>
        <w:numPr>
          <w:ilvl w:val="0"/>
          <w:numId w:val="2"/>
        </w:numPr>
        <w:tabs>
          <w:tab w:val="left" w:pos="0"/>
        </w:tabs>
        <w:spacing w:before="120"/>
        <w:ind w:left="0" w:right="-4" w:firstLine="0"/>
        <w:rPr>
          <w:b/>
          <w:i w:val="0"/>
          <w:szCs w:val="20"/>
        </w:rPr>
      </w:pPr>
      <w:r w:rsidRPr="003E6084">
        <w:rPr>
          <w:i w:val="0"/>
          <w:szCs w:val="20"/>
        </w:rPr>
        <w:t>De las obligaciones positivas referidas se deriva la obligación estatal de garantizar que quienes defienden derechos humanos puedan ejercer libremente su libertad de asociación sin temor de que serán sujetos a violencia alguna, puesto que, de lo contrario, se podría disminuir la capacidad de organizarse para la protección de sus intereses</w:t>
      </w:r>
      <w:r w:rsidRPr="003E6084">
        <w:rPr>
          <w:i w:val="0"/>
          <w:szCs w:val="20"/>
          <w:vertAlign w:val="superscript"/>
        </w:rPr>
        <w:footnoteReference w:id="68"/>
      </w:r>
      <w:r w:rsidRPr="003E6084">
        <w:rPr>
          <w:i w:val="0"/>
          <w:szCs w:val="20"/>
        </w:rPr>
        <w:t>, los que, en definitiva, son intereses de la sociedad toda</w:t>
      </w:r>
      <w:r w:rsidRPr="003E6084">
        <w:rPr>
          <w:i w:val="0"/>
          <w:szCs w:val="20"/>
          <w:vertAlign w:val="superscript"/>
        </w:rPr>
        <w:footnoteReference w:id="69"/>
      </w:r>
      <w:r w:rsidRPr="003E6084">
        <w:rPr>
          <w:i w:val="0"/>
          <w:szCs w:val="20"/>
        </w:rPr>
        <w:t>.</w:t>
      </w:r>
    </w:p>
    <w:p w14:paraId="0C59A2AB" w14:textId="160DFBCC" w:rsidR="00D2383E" w:rsidRPr="00773222" w:rsidRDefault="00103EF5" w:rsidP="003E6084">
      <w:pPr>
        <w:pStyle w:val="Estilo1"/>
        <w:numPr>
          <w:ilvl w:val="0"/>
          <w:numId w:val="2"/>
        </w:numPr>
        <w:tabs>
          <w:tab w:val="left" w:pos="0"/>
        </w:tabs>
        <w:spacing w:before="120"/>
        <w:ind w:left="0" w:right="-4" w:firstLine="0"/>
        <w:rPr>
          <w:i w:val="0"/>
          <w:szCs w:val="20"/>
        </w:rPr>
      </w:pPr>
      <w:r w:rsidRPr="00773222">
        <w:rPr>
          <w:i w:val="0"/>
          <w:szCs w:val="20"/>
        </w:rPr>
        <w:t xml:space="preserve">Por otro lado, el Tribunal advierte que existe una estrecha relación entre el derecho a la libertad de asociación y el ejercicio de otros derechos. Tal es el caso del derecho a un </w:t>
      </w:r>
      <w:r w:rsidRPr="00773222">
        <w:rPr>
          <w:i w:val="0"/>
          <w:szCs w:val="20"/>
        </w:rPr>
        <w:lastRenderedPageBreak/>
        <w:t xml:space="preserve">medio ambiente sano el cual tal como lo ha reconocido la Corte en la Opinión Consultiva 23, se desprende del contenido del artículo 26 de la Convención Americana así como </w:t>
      </w:r>
      <w:r w:rsidRPr="00773222">
        <w:rPr>
          <w:i w:val="0"/>
          <w:szCs w:val="20"/>
          <w:lang w:val="es-ES"/>
        </w:rPr>
        <w:t>del</w:t>
      </w:r>
      <w:r w:rsidR="00D2383E" w:rsidRPr="00773222">
        <w:rPr>
          <w:i w:val="0"/>
          <w:szCs w:val="20"/>
          <w:lang w:val="es-ES"/>
        </w:rPr>
        <w:t xml:space="preserve"> Protocolo Adicional a la Convención Americana sobre Derechos Humanos en materia de Derechos Económicos, Sociales y Culturales </w:t>
      </w:r>
      <w:r w:rsidR="00100F11">
        <w:rPr>
          <w:i w:val="0"/>
          <w:szCs w:val="20"/>
          <w:lang w:val="es-ES"/>
        </w:rPr>
        <w:t>(</w:t>
      </w:r>
      <w:r w:rsidR="00D2383E" w:rsidRPr="00773222">
        <w:rPr>
          <w:i w:val="0"/>
          <w:szCs w:val="20"/>
          <w:lang w:val="es-ES"/>
        </w:rPr>
        <w:t>Protocolo de San Salvador</w:t>
      </w:r>
      <w:r w:rsidR="00100F11">
        <w:rPr>
          <w:i w:val="0"/>
          <w:szCs w:val="20"/>
          <w:lang w:val="es-ES"/>
        </w:rPr>
        <w:t>)</w:t>
      </w:r>
      <w:r w:rsidR="00D2383E" w:rsidRPr="00773222">
        <w:rPr>
          <w:i w:val="0"/>
          <w:szCs w:val="20"/>
          <w:vertAlign w:val="superscript"/>
          <w:lang w:val="es-ES"/>
        </w:rPr>
        <w:footnoteReference w:id="70"/>
      </w:r>
      <w:r w:rsidR="00D2383E" w:rsidRPr="00773222">
        <w:rPr>
          <w:i w:val="0"/>
          <w:szCs w:val="20"/>
          <w:lang w:val="es-ES"/>
        </w:rPr>
        <w:t>.</w:t>
      </w:r>
    </w:p>
    <w:p w14:paraId="35A9CF14" w14:textId="33CCF6E2" w:rsidR="0064010A" w:rsidRPr="00B0519A" w:rsidRDefault="0064010A" w:rsidP="003E6084">
      <w:pPr>
        <w:pStyle w:val="Estilo1"/>
        <w:numPr>
          <w:ilvl w:val="0"/>
          <w:numId w:val="2"/>
        </w:numPr>
        <w:tabs>
          <w:tab w:val="left" w:pos="0"/>
        </w:tabs>
        <w:spacing w:before="120"/>
        <w:ind w:left="0" w:right="-4" w:firstLine="0"/>
        <w:rPr>
          <w:b/>
          <w:i w:val="0"/>
          <w:szCs w:val="20"/>
        </w:rPr>
      </w:pPr>
      <w:r w:rsidRPr="00B0519A">
        <w:rPr>
          <w:i w:val="0"/>
          <w:szCs w:val="20"/>
        </w:rPr>
        <w:t>En el plano universal, el derecho a la libertad de asociación se encuentra garantizado por la Declaración Universal de Derechos Humanos y el Pacto Internacional de Derechos Civiles y Políticos</w:t>
      </w:r>
      <w:r w:rsidRPr="00B0519A">
        <w:rPr>
          <w:i w:val="0"/>
          <w:szCs w:val="20"/>
          <w:vertAlign w:val="superscript"/>
        </w:rPr>
        <w:footnoteReference w:id="71"/>
      </w:r>
      <w:r w:rsidRPr="00B0519A">
        <w:rPr>
          <w:i w:val="0"/>
          <w:szCs w:val="20"/>
        </w:rPr>
        <w:t>. Además, la Declaración de Naciones Unidas sobre Defensores reafirma que, a fin de promover los derechos humanos y las libertades fundamentales, todas las personas tienen derecho a formar organizaciones, asociaciones o grupos no gubernamentales, y a afiliarse o a participar en ellos</w:t>
      </w:r>
      <w:r w:rsidRPr="00B0519A">
        <w:rPr>
          <w:i w:val="0"/>
          <w:szCs w:val="20"/>
          <w:vertAlign w:val="superscript"/>
        </w:rPr>
        <w:footnoteReference w:id="72"/>
      </w:r>
      <w:r w:rsidRPr="00B0519A">
        <w:rPr>
          <w:i w:val="0"/>
          <w:szCs w:val="20"/>
        </w:rPr>
        <w:t>.</w:t>
      </w:r>
    </w:p>
    <w:p w14:paraId="4E79FB2C" w14:textId="6B0DDB90" w:rsidR="0064010A" w:rsidRPr="003E6084" w:rsidRDefault="0064010A" w:rsidP="003E6084">
      <w:pPr>
        <w:pStyle w:val="Estilo1"/>
        <w:numPr>
          <w:ilvl w:val="0"/>
          <w:numId w:val="2"/>
        </w:numPr>
        <w:tabs>
          <w:tab w:val="left" w:pos="0"/>
        </w:tabs>
        <w:spacing w:before="120"/>
        <w:ind w:left="0" w:right="-4" w:firstLine="0"/>
        <w:rPr>
          <w:b/>
          <w:i w:val="0"/>
          <w:szCs w:val="20"/>
        </w:rPr>
      </w:pPr>
      <w:r w:rsidRPr="003E6084">
        <w:rPr>
          <w:i w:val="0"/>
          <w:szCs w:val="20"/>
          <w:lang w:val="es-ES"/>
        </w:rPr>
        <w:t>La labor de defensor de derechos humanos de Carlos Escaleras</w:t>
      </w:r>
      <w:r w:rsidR="00100F11">
        <w:rPr>
          <w:i w:val="0"/>
          <w:szCs w:val="20"/>
          <w:lang w:val="es-ES"/>
        </w:rPr>
        <w:t xml:space="preserve"> Mejía</w:t>
      </w:r>
      <w:r w:rsidRPr="003E6084">
        <w:rPr>
          <w:i w:val="0"/>
          <w:szCs w:val="20"/>
          <w:lang w:val="es-ES"/>
        </w:rPr>
        <w:t xml:space="preserve">, particularmente del medio ambiente, así como su participación activa en la Coordinadora de Organizaciones Populares del Aguán como fundador y presidente, organización que denunció y se opuso a actividades de ciertas empresas que dañaban el medio ambiente y el ecosistema, se encuentran dentro del marco fáctico establecido </w:t>
      </w:r>
      <w:r w:rsidR="00D17B11">
        <w:rPr>
          <w:i w:val="0"/>
          <w:szCs w:val="20"/>
          <w:lang w:val="es-ES"/>
        </w:rPr>
        <w:t>en el</w:t>
      </w:r>
      <w:r w:rsidRPr="003E6084">
        <w:rPr>
          <w:i w:val="0"/>
          <w:szCs w:val="20"/>
          <w:lang w:val="es-ES"/>
        </w:rPr>
        <w:t xml:space="preserve"> Informe de Fondo </w:t>
      </w:r>
      <w:r w:rsidR="00D17B11">
        <w:rPr>
          <w:i w:val="0"/>
          <w:szCs w:val="20"/>
          <w:lang w:val="es-ES"/>
        </w:rPr>
        <w:t>el cual es parte integrante del acuerdo suscripto por el Estado</w:t>
      </w:r>
      <w:r w:rsidR="00B57652" w:rsidRPr="003E6084">
        <w:rPr>
          <w:i w:val="0"/>
          <w:szCs w:val="20"/>
          <w:lang w:val="es-ES"/>
        </w:rPr>
        <w:t xml:space="preserve">. </w:t>
      </w:r>
    </w:p>
    <w:p w14:paraId="38A596B5" w14:textId="0DBDB3C9" w:rsidR="0064010A" w:rsidRPr="003E6084" w:rsidRDefault="0064010A" w:rsidP="003E6084">
      <w:pPr>
        <w:pStyle w:val="Estilo1"/>
        <w:numPr>
          <w:ilvl w:val="0"/>
          <w:numId w:val="2"/>
        </w:numPr>
        <w:tabs>
          <w:tab w:val="left" w:pos="0"/>
        </w:tabs>
        <w:spacing w:before="120"/>
        <w:ind w:left="0" w:right="-4" w:firstLine="0"/>
        <w:rPr>
          <w:b/>
          <w:i w:val="0"/>
          <w:szCs w:val="20"/>
        </w:rPr>
      </w:pPr>
      <w:r w:rsidRPr="003E6084">
        <w:rPr>
          <w:i w:val="0"/>
          <w:szCs w:val="20"/>
          <w:lang w:val="es-ES"/>
        </w:rPr>
        <w:t>En atención a las consideraciones expuestas, la Corte estima que la afectación al derecho a la vida del señor Escaleras</w:t>
      </w:r>
      <w:r w:rsidR="00100F11">
        <w:rPr>
          <w:i w:val="0"/>
          <w:szCs w:val="20"/>
          <w:lang w:val="es-ES"/>
        </w:rPr>
        <w:t xml:space="preserve"> Mejía</w:t>
      </w:r>
      <w:r w:rsidRPr="003E6084">
        <w:rPr>
          <w:i w:val="0"/>
          <w:szCs w:val="20"/>
          <w:lang w:val="es-ES"/>
        </w:rPr>
        <w:t xml:space="preserve"> por parte del Estado, basada en la existencia de indicios de participación estatal y la falta de una investigación diligente que aborde adecuadamente las líneas de investigación vinculadas con su labor de defensa ambiental, importa en este caso también una afectación directa al derecho a la libertad de asociación del señor Carlos Escaleras Mejía. Lo anterior toda vez que existen indicios de que el atentado contra su vida se produjo con razón del ejercicio legítimo de la libertad de asociación mediante la cual desarrollaba su labor de defensa ambiental, particularmente su lucha contra la construcción de una planta extractora cerca del río de Tocoa y contra el establecimiento de una base militar en la cuenca del mismo río, indicios que se encuentran contenidos en el Informe de Fondo y fueron reconocidos por el Estado.  </w:t>
      </w:r>
    </w:p>
    <w:p w14:paraId="439381C9" w14:textId="1AE613CE" w:rsidR="0064010A" w:rsidRPr="00D17B11" w:rsidRDefault="0064010A" w:rsidP="00D17B11">
      <w:pPr>
        <w:pStyle w:val="Estilo1"/>
        <w:numPr>
          <w:ilvl w:val="0"/>
          <w:numId w:val="2"/>
        </w:numPr>
        <w:tabs>
          <w:tab w:val="left" w:pos="0"/>
        </w:tabs>
        <w:spacing w:before="120"/>
        <w:ind w:left="0" w:right="-4" w:firstLine="0"/>
        <w:rPr>
          <w:b/>
          <w:i w:val="0"/>
          <w:szCs w:val="20"/>
        </w:rPr>
      </w:pPr>
      <w:r w:rsidRPr="00D17B11">
        <w:rPr>
          <w:i w:val="0"/>
          <w:szCs w:val="20"/>
          <w:lang w:val="es-CR"/>
        </w:rPr>
        <w:t>Además de la afectación individual del derecho a la libertad de asociación de Carlos Escaleras Mejía, resulta indudable que el temor causado en virtud de actos en contra de la vida de personas defensoras de derechos humanos causa también un efecto amedrentador sobre las otras personas que se dedican a la defensa de los derechos humanos</w:t>
      </w:r>
      <w:r w:rsidRPr="00D17B11">
        <w:rPr>
          <w:i w:val="0"/>
          <w:szCs w:val="20"/>
          <w:vertAlign w:val="superscript"/>
          <w:lang w:val="es-CR"/>
        </w:rPr>
        <w:footnoteReference w:id="73"/>
      </w:r>
      <w:r w:rsidRPr="00D17B11">
        <w:rPr>
          <w:i w:val="0"/>
          <w:szCs w:val="20"/>
          <w:lang w:val="es-CR"/>
        </w:rPr>
        <w:t>, particularmente del medio ambiente sano, consecuencia que se acentúa y agrava por la impunidad en que se mantienen los hechos</w:t>
      </w:r>
      <w:r w:rsidRPr="00D17B11">
        <w:rPr>
          <w:i w:val="0"/>
          <w:szCs w:val="20"/>
          <w:vertAlign w:val="superscript"/>
          <w:lang w:val="es-CR"/>
        </w:rPr>
        <w:footnoteReference w:id="74"/>
      </w:r>
      <w:r w:rsidRPr="00D17B11">
        <w:rPr>
          <w:i w:val="0"/>
          <w:szCs w:val="20"/>
          <w:lang w:val="es-CR"/>
        </w:rPr>
        <w:t xml:space="preserve">. </w:t>
      </w:r>
    </w:p>
    <w:p w14:paraId="0CE6C24E" w14:textId="384BF64F" w:rsidR="0064010A" w:rsidRPr="00B0519A" w:rsidRDefault="0064010A" w:rsidP="00D17B11">
      <w:pPr>
        <w:pStyle w:val="Estilo1"/>
        <w:numPr>
          <w:ilvl w:val="0"/>
          <w:numId w:val="2"/>
        </w:numPr>
        <w:tabs>
          <w:tab w:val="left" w:pos="0"/>
        </w:tabs>
        <w:spacing w:before="120"/>
        <w:ind w:left="0" w:right="-4" w:firstLine="0"/>
        <w:rPr>
          <w:b/>
          <w:i w:val="0"/>
          <w:szCs w:val="20"/>
        </w:rPr>
      </w:pPr>
      <w:r w:rsidRPr="00B0519A">
        <w:rPr>
          <w:i w:val="0"/>
          <w:szCs w:val="20"/>
          <w:lang w:val="es-CR"/>
        </w:rPr>
        <w:t xml:space="preserve">Este efecto social de intimidación, dada la importancia de la labor realizada por los defensores y defensoras de derechos humanos, causa un severo perjuicio para la </w:t>
      </w:r>
      <w:r w:rsidRPr="00B0519A">
        <w:rPr>
          <w:i w:val="0"/>
          <w:szCs w:val="20"/>
          <w:lang w:val="es-CR"/>
        </w:rPr>
        <w:lastRenderedPageBreak/>
        <w:t xml:space="preserve">comunidad en su conjunto, puesto que </w:t>
      </w:r>
      <w:r w:rsidRPr="00B0519A">
        <w:rPr>
          <w:i w:val="0"/>
          <w:szCs w:val="20"/>
        </w:rPr>
        <w:t xml:space="preserve">cuando se pretende silenciar o inhibir la labor de las personas defensoras de derechos humanos, además de vulnerarse sus garantías personales, se niega a la ciudadanía la posibilidad de obtener justicia por violaciones a derechos humanos, la verificación social de su cumplimiento, y el apoyo y acompañamiento de víctimas. </w:t>
      </w:r>
    </w:p>
    <w:p w14:paraId="0BB8EC5A" w14:textId="38F64EEB" w:rsidR="0064010A" w:rsidRPr="00D17B11" w:rsidRDefault="0064010A" w:rsidP="00D17B11">
      <w:pPr>
        <w:pStyle w:val="Heading3"/>
        <w:spacing w:before="240" w:after="240"/>
        <w:ind w:firstLine="720"/>
        <w:rPr>
          <w:b w:val="0"/>
          <w:szCs w:val="20"/>
          <w:lang w:val="es-CR"/>
        </w:rPr>
      </w:pPr>
      <w:r w:rsidRPr="00D17B11">
        <w:rPr>
          <w:b w:val="0"/>
          <w:szCs w:val="20"/>
          <w:lang w:val="es-CR"/>
        </w:rPr>
        <w:tab/>
      </w:r>
      <w:bookmarkStart w:id="104" w:name="_Toc525713984"/>
      <w:r w:rsidRPr="00D17B11">
        <w:rPr>
          <w:b w:val="0"/>
          <w:szCs w:val="20"/>
          <w:lang w:val="es-CR"/>
        </w:rPr>
        <w:t>3.</w:t>
      </w:r>
      <w:r w:rsidR="00D17B11">
        <w:rPr>
          <w:b w:val="0"/>
          <w:szCs w:val="20"/>
          <w:lang w:val="es-CR"/>
        </w:rPr>
        <w:t xml:space="preserve"> </w:t>
      </w:r>
      <w:r w:rsidRPr="00D17B11">
        <w:rPr>
          <w:b w:val="0"/>
          <w:szCs w:val="20"/>
          <w:lang w:val="es-CR"/>
        </w:rPr>
        <w:t>Derechos políticos (Artículo 23.1.b de la Convención Americana)</w:t>
      </w:r>
      <w:bookmarkEnd w:id="104"/>
    </w:p>
    <w:p w14:paraId="504FED25" w14:textId="70BD8751" w:rsidR="0064010A" w:rsidRPr="00D17B11" w:rsidRDefault="00D17B11" w:rsidP="00D17B11">
      <w:pPr>
        <w:pStyle w:val="Estilo1"/>
        <w:numPr>
          <w:ilvl w:val="0"/>
          <w:numId w:val="2"/>
        </w:numPr>
        <w:tabs>
          <w:tab w:val="left" w:pos="0"/>
        </w:tabs>
        <w:spacing w:before="120"/>
        <w:ind w:left="0" w:right="-4" w:firstLine="0"/>
        <w:rPr>
          <w:b/>
          <w:i w:val="0"/>
          <w:szCs w:val="20"/>
          <w:lang w:val="es-CR"/>
        </w:rPr>
      </w:pPr>
      <w:r w:rsidRPr="00D17B11">
        <w:rPr>
          <w:i w:val="0"/>
          <w:szCs w:val="20"/>
          <w:lang w:val="es-ES"/>
        </w:rPr>
        <w:t>E</w:t>
      </w:r>
      <w:r w:rsidR="0064010A" w:rsidRPr="00D17B11">
        <w:rPr>
          <w:i w:val="0"/>
          <w:szCs w:val="20"/>
          <w:lang w:val="es-ES"/>
        </w:rPr>
        <w:t xml:space="preserve">l Estado reconoció que </w:t>
      </w:r>
      <w:r w:rsidRPr="00D17B11">
        <w:rPr>
          <w:i w:val="0"/>
          <w:szCs w:val="20"/>
          <w:lang w:val="es-ES"/>
        </w:rPr>
        <w:t>era</w:t>
      </w:r>
      <w:r w:rsidR="0064010A" w:rsidRPr="00D17B11">
        <w:rPr>
          <w:i w:val="0"/>
          <w:szCs w:val="20"/>
          <w:lang w:val="es-ES"/>
        </w:rPr>
        <w:t xml:space="preserve"> responsable por la violación del artículo 23.1.b de la Convención Americana en perjuicio de Carlos Escalera Mejía, debido a que los actos de </w:t>
      </w:r>
      <w:r w:rsidR="0064010A" w:rsidRPr="00D17B11">
        <w:rPr>
          <w:i w:val="0"/>
          <w:szCs w:val="20"/>
        </w:rPr>
        <w:t>hostigamiento</w:t>
      </w:r>
      <w:r w:rsidR="0064010A" w:rsidRPr="00D17B11">
        <w:rPr>
          <w:i w:val="0"/>
          <w:szCs w:val="20"/>
          <w:lang w:val="es-ES"/>
        </w:rPr>
        <w:t xml:space="preserve"> y amenazas </w:t>
      </w:r>
      <w:r w:rsidR="008878D1">
        <w:rPr>
          <w:i w:val="0"/>
          <w:szCs w:val="20"/>
          <w:lang w:val="es-ES"/>
        </w:rPr>
        <w:t xml:space="preserve">que sufrió </w:t>
      </w:r>
      <w:r w:rsidR="0064010A" w:rsidRPr="00D17B11">
        <w:rPr>
          <w:i w:val="0"/>
          <w:szCs w:val="20"/>
          <w:lang w:val="es-ES"/>
        </w:rPr>
        <w:t xml:space="preserve">habrían tenido su origen en su participación como candidato a las elecciones y su labor de defensa de derechos humanos. En la misma línea de análisis que respecto del derecho a la vida, la falta de seguimiento a las líneas de investigación relacionadas con el móvil de su participación política y su labor de defensa de derechos humanos, así como los indicios de participación de agentes estatales, tienen efectos en el análisis de la responsabilidad del Estado respecto de sus derechos políticos. </w:t>
      </w:r>
    </w:p>
    <w:p w14:paraId="45615DFC" w14:textId="0EED2E59" w:rsidR="00BC6B30" w:rsidRPr="00BC6B30" w:rsidRDefault="00BC6B30" w:rsidP="00BC6B30">
      <w:pPr>
        <w:pStyle w:val="Estilo1"/>
        <w:numPr>
          <w:ilvl w:val="0"/>
          <w:numId w:val="2"/>
        </w:numPr>
        <w:tabs>
          <w:tab w:val="left" w:pos="0"/>
        </w:tabs>
        <w:spacing w:before="120"/>
        <w:ind w:left="0" w:right="-4" w:firstLine="0"/>
        <w:rPr>
          <w:b/>
          <w:i w:val="0"/>
          <w:szCs w:val="20"/>
          <w:lang w:val="es-CR"/>
        </w:rPr>
      </w:pPr>
      <w:r w:rsidRPr="00BC6B30">
        <w:rPr>
          <w:i w:val="0"/>
          <w:szCs w:val="20"/>
          <w:lang w:val="es-CR"/>
        </w:rPr>
        <w:t>Esta</w:t>
      </w:r>
      <w:r w:rsidRPr="00BC6B30">
        <w:rPr>
          <w:i w:val="0"/>
          <w:szCs w:val="20"/>
          <w:lang w:val="es-ES"/>
        </w:rPr>
        <w:t xml:space="preserve"> Corte estima que el artículo 23 de la Convención protege no solo el derecho a ser elegido, sino además el derecho a tener una oportunidad real de ejercer el cargo para el cual el funcionario ha sido electo</w:t>
      </w:r>
      <w:r w:rsidRPr="00BC6B30">
        <w:rPr>
          <w:i w:val="0"/>
          <w:szCs w:val="20"/>
          <w:vertAlign w:val="superscript"/>
          <w:lang w:val="es-ES"/>
        </w:rPr>
        <w:footnoteReference w:id="75"/>
      </w:r>
      <w:r w:rsidRPr="00BC6B30">
        <w:rPr>
          <w:i w:val="0"/>
          <w:szCs w:val="20"/>
          <w:lang w:val="es-ES"/>
        </w:rPr>
        <w:t>, lo que constituye un derecho individual y a su vez colectivo. Al respecto, la Corte ha considerado que en el desarrollo de una participación política representativa, los elegidos ejercen su función en representación de una colectividad, lo cual se expresa tanto en el derecho del individuo que ejerce el mandato o designación (participación directa) como en el derecho de la colectividad a ser representada</w:t>
      </w:r>
      <w:r w:rsidRPr="00BC6B30">
        <w:rPr>
          <w:i w:val="0"/>
          <w:szCs w:val="20"/>
          <w:vertAlign w:val="superscript"/>
          <w:lang w:val="es-ES"/>
        </w:rPr>
        <w:footnoteReference w:id="76"/>
      </w:r>
      <w:r w:rsidRPr="00BC6B30">
        <w:rPr>
          <w:i w:val="0"/>
          <w:szCs w:val="20"/>
          <w:lang w:val="es-ES"/>
        </w:rPr>
        <w:t>.</w:t>
      </w:r>
    </w:p>
    <w:p w14:paraId="254983FA" w14:textId="184F7D75" w:rsidR="0064010A" w:rsidRPr="00D17B11" w:rsidRDefault="00BC6B30" w:rsidP="00D17B11">
      <w:pPr>
        <w:pStyle w:val="Estilo1"/>
        <w:numPr>
          <w:ilvl w:val="0"/>
          <w:numId w:val="2"/>
        </w:numPr>
        <w:tabs>
          <w:tab w:val="left" w:pos="0"/>
        </w:tabs>
        <w:spacing w:before="120"/>
        <w:ind w:left="0" w:right="-4" w:firstLine="0"/>
        <w:rPr>
          <w:b/>
          <w:i w:val="0"/>
          <w:szCs w:val="20"/>
          <w:lang w:val="es-CR"/>
        </w:rPr>
      </w:pPr>
      <w:r>
        <w:rPr>
          <w:i w:val="0"/>
          <w:szCs w:val="20"/>
          <w:lang w:val="es-CR"/>
        </w:rPr>
        <w:t>Al respecto, cabe recordar que l</w:t>
      </w:r>
      <w:r w:rsidR="0064010A" w:rsidRPr="00D17B11">
        <w:rPr>
          <w:i w:val="0"/>
          <w:szCs w:val="20"/>
          <w:lang w:val="es-ES"/>
        </w:rPr>
        <w:t>a Carta Democrática Interamericana enfatiza la importancia de la participación ciudadana como un proceso permanente que refuerza a la democracia, al señalar que “la democracia representativa se refuerza y profundiza con la participación permanente, ética y responsable de la ciudadanía en un marco de legalidad conforme al respectivo orden constitucional”</w:t>
      </w:r>
      <w:r w:rsidR="0064010A" w:rsidRPr="00D17B11">
        <w:rPr>
          <w:i w:val="0"/>
          <w:szCs w:val="20"/>
          <w:vertAlign w:val="superscript"/>
          <w:lang w:val="es-ES"/>
        </w:rPr>
        <w:footnoteReference w:id="77"/>
      </w:r>
      <w:r w:rsidR="0064010A" w:rsidRPr="00D17B11">
        <w:rPr>
          <w:i w:val="0"/>
          <w:szCs w:val="20"/>
          <w:lang w:val="es-ES"/>
        </w:rPr>
        <w:t>.</w:t>
      </w:r>
    </w:p>
    <w:p w14:paraId="1058D801" w14:textId="66DF9492" w:rsidR="0064010A" w:rsidRPr="00BC6B30" w:rsidRDefault="0064010A" w:rsidP="00BC6B30">
      <w:pPr>
        <w:pStyle w:val="Estilo1"/>
        <w:numPr>
          <w:ilvl w:val="0"/>
          <w:numId w:val="2"/>
        </w:numPr>
        <w:tabs>
          <w:tab w:val="left" w:pos="0"/>
        </w:tabs>
        <w:spacing w:before="120"/>
        <w:ind w:left="0" w:right="-4" w:firstLine="0"/>
        <w:rPr>
          <w:b/>
          <w:i w:val="0"/>
          <w:szCs w:val="20"/>
          <w:lang w:val="es-CR"/>
        </w:rPr>
      </w:pPr>
      <w:r w:rsidRPr="00BC6B30">
        <w:rPr>
          <w:i w:val="0"/>
          <w:szCs w:val="20"/>
          <w:lang w:val="es-ES"/>
        </w:rPr>
        <w:t>En consonancia con lo anterior, la Corte considera que este derecho constituye un fin en sí mismo y un medio elemental en las sociedades democráticas para garantizar los demás derechos humanos previstos en la Convención Americana de Derechos Humanos</w:t>
      </w:r>
      <w:r w:rsidRPr="00BC6B30">
        <w:rPr>
          <w:i w:val="0"/>
          <w:szCs w:val="20"/>
          <w:vertAlign w:val="superscript"/>
          <w:lang w:val="es-ES"/>
        </w:rPr>
        <w:footnoteReference w:id="78"/>
      </w:r>
      <w:r w:rsidRPr="00BC6B30">
        <w:rPr>
          <w:i w:val="0"/>
          <w:szCs w:val="20"/>
          <w:lang w:val="es-ES"/>
        </w:rPr>
        <w:t xml:space="preserve">. </w:t>
      </w:r>
      <w:r w:rsidRPr="00BC6B30">
        <w:rPr>
          <w:i w:val="0"/>
          <w:szCs w:val="20"/>
          <w:lang w:val="es-CR"/>
        </w:rPr>
        <w:t>En definitiva, los derechos políticos y su ejercicio propician el fortalecimiento de la democracia y el pluralismo político</w:t>
      </w:r>
      <w:r w:rsidRPr="00BC6B30">
        <w:rPr>
          <w:i w:val="0"/>
          <w:szCs w:val="20"/>
          <w:vertAlign w:val="superscript"/>
          <w:lang w:val="es-CR"/>
        </w:rPr>
        <w:footnoteReference w:id="79"/>
      </w:r>
      <w:r w:rsidRPr="00BC6B30">
        <w:rPr>
          <w:i w:val="0"/>
          <w:szCs w:val="20"/>
          <w:lang w:val="es-CR"/>
        </w:rPr>
        <w:t xml:space="preserve">. </w:t>
      </w:r>
    </w:p>
    <w:p w14:paraId="6B44C26A" w14:textId="7DE08082" w:rsidR="0064010A" w:rsidRPr="00BC6B30" w:rsidRDefault="0064010A" w:rsidP="00BC6B30">
      <w:pPr>
        <w:pStyle w:val="Estilo1"/>
        <w:numPr>
          <w:ilvl w:val="0"/>
          <w:numId w:val="2"/>
        </w:numPr>
        <w:tabs>
          <w:tab w:val="left" w:pos="0"/>
        </w:tabs>
        <w:spacing w:before="120"/>
        <w:ind w:left="0" w:right="-4" w:firstLine="0"/>
        <w:rPr>
          <w:i w:val="0"/>
          <w:szCs w:val="20"/>
          <w:lang w:val="es-ES"/>
        </w:rPr>
      </w:pPr>
      <w:r w:rsidRPr="00BC6B30">
        <w:rPr>
          <w:i w:val="0"/>
          <w:szCs w:val="20"/>
          <w:lang w:val="es-ES"/>
        </w:rPr>
        <w:t>Por su parte, el artículo 8 de la Declaración de Defensores establece que:</w:t>
      </w:r>
    </w:p>
    <w:p w14:paraId="47E34F86" w14:textId="77777777" w:rsidR="0064010A" w:rsidRDefault="0064010A" w:rsidP="001F751D">
      <w:pPr>
        <w:spacing w:before="120" w:after="120"/>
        <w:ind w:left="850" w:right="619"/>
        <w:rPr>
          <w:sz w:val="16"/>
          <w:szCs w:val="20"/>
          <w:lang w:val="es-ES"/>
        </w:rPr>
      </w:pPr>
      <w:r>
        <w:rPr>
          <w:sz w:val="16"/>
          <w:szCs w:val="20"/>
          <w:lang w:val="es-ES"/>
        </w:rPr>
        <w:t>1. Toda persona tiene derecho, individual o colectivamente, a tener la oportunidad efectiva, sobre una base no discriminatoria, de participar en el gobierno de su país y en la gestión de los asuntos públicos.</w:t>
      </w:r>
    </w:p>
    <w:p w14:paraId="766E9A9F" w14:textId="77777777" w:rsidR="0064010A" w:rsidRDefault="0064010A" w:rsidP="001F751D">
      <w:pPr>
        <w:spacing w:before="120" w:after="120"/>
        <w:ind w:left="850" w:right="619"/>
        <w:rPr>
          <w:b/>
          <w:szCs w:val="20"/>
          <w:lang w:val="es-CR"/>
        </w:rPr>
      </w:pPr>
      <w:r>
        <w:rPr>
          <w:sz w:val="16"/>
          <w:szCs w:val="20"/>
          <w:lang w:val="es-ES"/>
        </w:rPr>
        <w:lastRenderedPageBreak/>
        <w:t>2. Ese derecho comprende, entre otras cosas, el que tiene toda persona, individual o colectivamente, a presentar a los órganos y organismos gubernamentales y organizaciones que se ocupan de los asuntos públicos, críticas y propuestas para mejorar su funcionamiento, y a llamar la atención sobre cualquier aspecto de su labor que pueda obstaculizar o impedir la promoción, protección y realización de los derechos humanos y las libertades fundamentales</w:t>
      </w:r>
      <w:r w:rsidRPr="00BC6B30">
        <w:rPr>
          <w:sz w:val="16"/>
          <w:szCs w:val="20"/>
          <w:vertAlign w:val="superscript"/>
          <w:lang w:val="es-ES"/>
        </w:rPr>
        <w:footnoteReference w:id="80"/>
      </w:r>
      <w:r w:rsidRPr="00BC6B30">
        <w:rPr>
          <w:sz w:val="16"/>
          <w:szCs w:val="20"/>
          <w:lang w:val="es-ES"/>
        </w:rPr>
        <w:t>.</w:t>
      </w:r>
      <w:r>
        <w:rPr>
          <w:b/>
          <w:szCs w:val="20"/>
          <w:lang w:val="es-CR"/>
        </w:rPr>
        <w:t xml:space="preserve"> </w:t>
      </w:r>
    </w:p>
    <w:p w14:paraId="79DD815B" w14:textId="5FAF0CB6" w:rsidR="0064010A" w:rsidRPr="0083135E" w:rsidRDefault="00BC6B30" w:rsidP="0083135E">
      <w:pPr>
        <w:pStyle w:val="Estilo1"/>
        <w:numPr>
          <w:ilvl w:val="0"/>
          <w:numId w:val="2"/>
        </w:numPr>
        <w:tabs>
          <w:tab w:val="left" w:pos="0"/>
        </w:tabs>
        <w:spacing w:before="120"/>
        <w:ind w:left="0" w:right="-4" w:firstLine="0"/>
        <w:rPr>
          <w:i w:val="0"/>
          <w:szCs w:val="20"/>
          <w:lang w:val="es-ES"/>
        </w:rPr>
      </w:pPr>
      <w:r w:rsidRPr="0083135E">
        <w:rPr>
          <w:i w:val="0"/>
          <w:szCs w:val="20"/>
          <w:lang w:val="es-CR"/>
        </w:rPr>
        <w:t xml:space="preserve">En este sentido, la Corte entiende </w:t>
      </w:r>
      <w:r w:rsidR="000C0227">
        <w:rPr>
          <w:i w:val="0"/>
          <w:szCs w:val="20"/>
          <w:lang w:val="es-CR"/>
        </w:rPr>
        <w:t xml:space="preserve">que </w:t>
      </w:r>
      <w:r w:rsidR="0064010A" w:rsidRPr="0083135E">
        <w:rPr>
          <w:i w:val="0"/>
          <w:szCs w:val="20"/>
          <w:lang w:val="es-ES"/>
        </w:rPr>
        <w:t xml:space="preserve">la participación política es uno de los derechos por medio de los cuales es posible ejercer la labor de defensa de los derechos humanos. En </w:t>
      </w:r>
      <w:r w:rsidR="0083135E" w:rsidRPr="0083135E">
        <w:rPr>
          <w:i w:val="0"/>
          <w:szCs w:val="20"/>
          <w:lang w:val="es-ES"/>
        </w:rPr>
        <w:t>este</w:t>
      </w:r>
      <w:r w:rsidR="0064010A" w:rsidRPr="0083135E">
        <w:rPr>
          <w:i w:val="0"/>
          <w:szCs w:val="20"/>
          <w:lang w:val="es-ES"/>
        </w:rPr>
        <w:t xml:space="preserve"> </w:t>
      </w:r>
      <w:r w:rsidR="00A2042A">
        <w:rPr>
          <w:i w:val="0"/>
          <w:szCs w:val="20"/>
          <w:lang w:val="es-ES"/>
        </w:rPr>
        <w:t xml:space="preserve">caso, </w:t>
      </w:r>
      <w:r w:rsidR="0064010A" w:rsidRPr="0083135E">
        <w:rPr>
          <w:i w:val="0"/>
          <w:szCs w:val="20"/>
          <w:lang w:val="es-ES"/>
        </w:rPr>
        <w:t>Carlos Escaleras</w:t>
      </w:r>
      <w:r w:rsidR="00DE0618">
        <w:rPr>
          <w:i w:val="0"/>
          <w:szCs w:val="20"/>
          <w:lang w:val="es-ES"/>
        </w:rPr>
        <w:t xml:space="preserve"> Mejía</w:t>
      </w:r>
      <w:r w:rsidR="0064010A" w:rsidRPr="0083135E">
        <w:rPr>
          <w:i w:val="0"/>
          <w:szCs w:val="20"/>
          <w:lang w:val="es-ES"/>
        </w:rPr>
        <w:t xml:space="preserve">, reconocido defensor ambiental de la región del valle del Aguán, fue candidato para el cargo de alcalde del municipio de Tocoa por el Partido de Unificación Democrática para las elecciones del mes de noviembre de 1997, </w:t>
      </w:r>
      <w:r w:rsidR="00B57652">
        <w:rPr>
          <w:i w:val="0"/>
          <w:szCs w:val="20"/>
          <w:lang w:val="es-ES"/>
        </w:rPr>
        <w:t>siendo</w:t>
      </w:r>
      <w:r w:rsidR="0064010A" w:rsidRPr="0083135E">
        <w:rPr>
          <w:i w:val="0"/>
          <w:szCs w:val="20"/>
          <w:lang w:val="es-ES"/>
        </w:rPr>
        <w:t xml:space="preserve"> asesinado aproximadamente un mes antes de los comicios. </w:t>
      </w:r>
      <w:r w:rsidR="00942AC0" w:rsidRPr="001F751D">
        <w:rPr>
          <w:i w:val="0"/>
          <w:szCs w:val="20"/>
          <w:lang w:val="es-ES"/>
        </w:rPr>
        <w:t xml:space="preserve">En los hechos de este caso se dio por probado que </w:t>
      </w:r>
      <w:r w:rsidR="0064010A" w:rsidRPr="0083135E">
        <w:rPr>
          <w:i w:val="0"/>
          <w:szCs w:val="20"/>
          <w:lang w:val="es-ES"/>
        </w:rPr>
        <w:t>semanas antes de su muerte el señor Escaleras</w:t>
      </w:r>
      <w:r w:rsidR="00DE0618">
        <w:rPr>
          <w:i w:val="0"/>
          <w:szCs w:val="20"/>
          <w:lang w:val="es-ES"/>
        </w:rPr>
        <w:t xml:space="preserve"> Mejía</w:t>
      </w:r>
      <w:r w:rsidR="0064010A" w:rsidRPr="0083135E">
        <w:rPr>
          <w:i w:val="0"/>
          <w:szCs w:val="20"/>
          <w:lang w:val="es-ES"/>
        </w:rPr>
        <w:t xml:space="preserve"> fue víctima de presiones, amenazas y ofertas de dinero a fin de que retirara su candidatura electoral</w:t>
      </w:r>
      <w:r w:rsidR="00942AC0">
        <w:rPr>
          <w:i w:val="0"/>
          <w:szCs w:val="20"/>
          <w:lang w:val="es-ES"/>
        </w:rPr>
        <w:t xml:space="preserve"> </w:t>
      </w:r>
      <w:r w:rsidR="0064010A" w:rsidRPr="0083135E">
        <w:rPr>
          <w:i w:val="0"/>
          <w:szCs w:val="20"/>
          <w:lang w:val="es-ES"/>
        </w:rPr>
        <w:t>(</w:t>
      </w:r>
      <w:r w:rsidR="0064010A" w:rsidRPr="000C705E">
        <w:rPr>
          <w:szCs w:val="20"/>
          <w:lang w:val="es-ES"/>
        </w:rPr>
        <w:t>supra</w:t>
      </w:r>
      <w:r w:rsidR="0064010A" w:rsidRPr="0083135E">
        <w:rPr>
          <w:i w:val="0"/>
          <w:szCs w:val="20"/>
          <w:lang w:val="es-ES"/>
        </w:rPr>
        <w:t xml:space="preserve"> párr. </w:t>
      </w:r>
      <w:r w:rsidR="00B57652">
        <w:rPr>
          <w:i w:val="0"/>
          <w:szCs w:val="20"/>
          <w:lang w:val="es-ES"/>
        </w:rPr>
        <w:t>3</w:t>
      </w:r>
      <w:r w:rsidR="00201786">
        <w:rPr>
          <w:i w:val="0"/>
          <w:szCs w:val="20"/>
          <w:lang w:val="es-ES"/>
        </w:rPr>
        <w:t>6</w:t>
      </w:r>
      <w:r w:rsidR="00B57652" w:rsidRPr="0083135E">
        <w:rPr>
          <w:i w:val="0"/>
          <w:szCs w:val="20"/>
          <w:lang w:val="es-ES"/>
        </w:rPr>
        <w:t xml:space="preserve">). </w:t>
      </w:r>
    </w:p>
    <w:p w14:paraId="41B8788B" w14:textId="360ED5B0" w:rsidR="0064010A" w:rsidRPr="0083135E" w:rsidRDefault="0064010A" w:rsidP="0083135E">
      <w:pPr>
        <w:pStyle w:val="Estilo1"/>
        <w:numPr>
          <w:ilvl w:val="0"/>
          <w:numId w:val="2"/>
        </w:numPr>
        <w:tabs>
          <w:tab w:val="left" w:pos="0"/>
        </w:tabs>
        <w:spacing w:before="120"/>
        <w:ind w:left="0" w:right="-4" w:firstLine="0"/>
        <w:rPr>
          <w:i w:val="0"/>
          <w:szCs w:val="20"/>
          <w:lang w:val="es-ES"/>
        </w:rPr>
      </w:pPr>
      <w:r w:rsidRPr="0083135E">
        <w:rPr>
          <w:i w:val="0"/>
          <w:szCs w:val="20"/>
          <w:lang w:val="es-ES"/>
        </w:rPr>
        <w:t xml:space="preserve">En </w:t>
      </w:r>
      <w:r w:rsidRPr="0083135E">
        <w:rPr>
          <w:i w:val="0"/>
          <w:szCs w:val="20"/>
          <w:lang w:val="es-CR"/>
        </w:rPr>
        <w:t>razón</w:t>
      </w:r>
      <w:r w:rsidRPr="0083135E">
        <w:rPr>
          <w:i w:val="0"/>
          <w:szCs w:val="20"/>
          <w:lang w:val="es-ES"/>
        </w:rPr>
        <w:t xml:space="preserve"> de lo anterior, es dable suponer para este Tribunal que los actos de hostigamiento, amenazas y ofertas de dinero recibidos por el señor Escaleras Mejía antes de su </w:t>
      </w:r>
      <w:r w:rsidR="0083135E">
        <w:rPr>
          <w:i w:val="0"/>
          <w:szCs w:val="20"/>
          <w:lang w:val="es-ES"/>
        </w:rPr>
        <w:t>homicidio</w:t>
      </w:r>
      <w:r w:rsidRPr="0083135E">
        <w:rPr>
          <w:i w:val="0"/>
          <w:szCs w:val="20"/>
          <w:lang w:val="es-ES"/>
        </w:rPr>
        <w:t xml:space="preserve"> tienen su origen en su candidatura a alcalde y en su labor de defensa del medio ambiente. Así, tratándose de la muerte de un defensor ambiental, quien además era candidato a un cargo político, y teniendo en cuenta los actos de los cuales fue objeto, el Estado debe tomar en cuenta dichas actividades a fin de identificar los intereses que podrían haber sido afectados en el ejercicio de su labor, y con ello, determinar el móvil y responsables del crimen. </w:t>
      </w:r>
    </w:p>
    <w:p w14:paraId="5CF54955" w14:textId="4665E84A" w:rsidR="0064010A" w:rsidRPr="0083135E" w:rsidRDefault="0064010A" w:rsidP="0083135E">
      <w:pPr>
        <w:pStyle w:val="Estilo1"/>
        <w:numPr>
          <w:ilvl w:val="0"/>
          <w:numId w:val="2"/>
        </w:numPr>
        <w:tabs>
          <w:tab w:val="left" w:pos="0"/>
        </w:tabs>
        <w:spacing w:before="120"/>
        <w:ind w:left="0" w:right="-4" w:firstLine="0"/>
        <w:rPr>
          <w:rFonts w:ascii="Times New Roman" w:hAnsi="Times New Roman" w:cs="Times New Roman"/>
          <w:i w:val="0"/>
          <w:sz w:val="24"/>
          <w:lang w:val="es-ES" w:eastAsia="es-ES"/>
        </w:rPr>
      </w:pPr>
      <w:r w:rsidRPr="0083135E">
        <w:rPr>
          <w:i w:val="0"/>
          <w:szCs w:val="20"/>
          <w:lang w:val="es-ES"/>
        </w:rPr>
        <w:t>En atención a lo antes expuesto, y en la misma línea que lo considerado respecto del derecho a la libertad de asociación</w:t>
      </w:r>
      <w:r w:rsidR="00B57652" w:rsidRPr="0083135E">
        <w:rPr>
          <w:i w:val="0"/>
          <w:szCs w:val="20"/>
          <w:lang w:val="es-ES"/>
        </w:rPr>
        <w:t xml:space="preserve">, </w:t>
      </w:r>
      <w:r w:rsidRPr="0083135E">
        <w:rPr>
          <w:i w:val="0"/>
          <w:szCs w:val="20"/>
          <w:lang w:val="es-ES"/>
        </w:rPr>
        <w:t xml:space="preserve">la Corte </w:t>
      </w:r>
      <w:r w:rsidR="0083135E">
        <w:rPr>
          <w:i w:val="0"/>
          <w:szCs w:val="20"/>
          <w:lang w:val="es-ES"/>
        </w:rPr>
        <w:t>encuentra</w:t>
      </w:r>
      <w:r w:rsidRPr="0083135E">
        <w:rPr>
          <w:i w:val="0"/>
          <w:szCs w:val="20"/>
          <w:lang w:val="es-ES"/>
        </w:rPr>
        <w:t xml:space="preserve"> que la afectación al derecho a la vida del señor Escaleras </w:t>
      </w:r>
      <w:r w:rsidR="00DE0618">
        <w:rPr>
          <w:i w:val="0"/>
          <w:szCs w:val="20"/>
          <w:lang w:val="es-ES"/>
        </w:rPr>
        <w:t xml:space="preserve">Mejía </w:t>
      </w:r>
      <w:r w:rsidRPr="0083135E">
        <w:rPr>
          <w:i w:val="0"/>
          <w:szCs w:val="20"/>
          <w:lang w:val="es-ES"/>
        </w:rPr>
        <w:t xml:space="preserve">por parte del Estado, basada en la existencia de indicios de participación estatal y la falta de una investigación diligente, importa en este caso también una afectación directa a los derechos políticos del señor Carlos Escaleras Mejía. Lo anterior toda vez que existen indicios de que el atentado contra su vida se produjo con razón del ejercicio legítimo de sus derechos políticos, </w:t>
      </w:r>
      <w:r w:rsidRPr="00E20F40">
        <w:rPr>
          <w:i w:val="0"/>
          <w:szCs w:val="20"/>
          <w:lang w:val="es-ES"/>
        </w:rPr>
        <w:t>particularmente el derecho a ser elegido</w:t>
      </w:r>
      <w:r w:rsidRPr="0083135E">
        <w:rPr>
          <w:i w:val="0"/>
          <w:szCs w:val="20"/>
          <w:lang w:val="es-ES"/>
        </w:rPr>
        <w:t>, y su labor de defensa ambiental, indicios que se encuentran contenidos en el Informe de Fondo y fueron reconocidos por el Estado</w:t>
      </w:r>
      <w:r w:rsidR="0083135E">
        <w:rPr>
          <w:i w:val="0"/>
          <w:szCs w:val="20"/>
          <w:lang w:val="es-ES"/>
        </w:rPr>
        <w:t xml:space="preserve"> en el Acuerdo</w:t>
      </w:r>
      <w:r w:rsidRPr="0083135E">
        <w:rPr>
          <w:i w:val="0"/>
          <w:szCs w:val="20"/>
          <w:lang w:val="es-ES"/>
        </w:rPr>
        <w:t xml:space="preserve">. </w:t>
      </w:r>
    </w:p>
    <w:p w14:paraId="079EC040" w14:textId="6B4ED58B" w:rsidR="0083135E" w:rsidRPr="008B5208" w:rsidRDefault="0083135E" w:rsidP="003D5096">
      <w:pPr>
        <w:pStyle w:val="Heading2"/>
        <w:keepLines w:val="0"/>
        <w:numPr>
          <w:ilvl w:val="0"/>
          <w:numId w:val="7"/>
        </w:numPr>
        <w:spacing w:before="240" w:after="240"/>
        <w:rPr>
          <w:rFonts w:ascii="Verdana" w:hAnsi="Verdana" w:cs="Tahoma"/>
          <w:i/>
          <w:color w:val="auto"/>
          <w:sz w:val="20"/>
          <w:lang w:eastAsia="x-none"/>
        </w:rPr>
      </w:pPr>
      <w:bookmarkStart w:id="105" w:name="_Toc525713985"/>
      <w:r w:rsidRPr="008B5208">
        <w:rPr>
          <w:rFonts w:ascii="Verdana" w:hAnsi="Verdana" w:cs="Tahoma"/>
          <w:i/>
          <w:color w:val="auto"/>
          <w:sz w:val="20"/>
          <w:lang w:eastAsia="x-none"/>
        </w:rPr>
        <w:t>Otras alegaciones</w:t>
      </w:r>
      <w:bookmarkEnd w:id="105"/>
    </w:p>
    <w:p w14:paraId="4B4993FE" w14:textId="1B193F22" w:rsidR="00C86B69" w:rsidRPr="00280232" w:rsidRDefault="00280232" w:rsidP="008B5208">
      <w:pPr>
        <w:pStyle w:val="Estilo1"/>
        <w:numPr>
          <w:ilvl w:val="0"/>
          <w:numId w:val="2"/>
        </w:numPr>
        <w:tabs>
          <w:tab w:val="left" w:pos="0"/>
        </w:tabs>
        <w:spacing w:before="120"/>
        <w:ind w:left="0" w:right="-4" w:firstLine="0"/>
        <w:rPr>
          <w:i w:val="0"/>
          <w:szCs w:val="20"/>
        </w:rPr>
      </w:pPr>
      <w:r w:rsidRPr="00280232">
        <w:rPr>
          <w:i w:val="0"/>
          <w:szCs w:val="20"/>
          <w:lang w:val="es-ES"/>
        </w:rPr>
        <w:t>De conformidad al tenor del Acuerdo de Solución Amistosa presentado por las partes, así como de las observaciones presentadas por los representantes de las presuntas víctimas (</w:t>
      </w:r>
      <w:r w:rsidRPr="000C705E">
        <w:rPr>
          <w:szCs w:val="20"/>
          <w:lang w:val="es-ES"/>
        </w:rPr>
        <w:t>supra</w:t>
      </w:r>
      <w:r w:rsidRPr="00280232">
        <w:rPr>
          <w:i w:val="0"/>
          <w:szCs w:val="20"/>
          <w:lang w:val="es-ES"/>
        </w:rPr>
        <w:t xml:space="preserve"> párr. </w:t>
      </w:r>
      <w:r w:rsidR="00DE0618">
        <w:rPr>
          <w:i w:val="0"/>
          <w:szCs w:val="20"/>
          <w:lang w:val="es-ES"/>
        </w:rPr>
        <w:t>8</w:t>
      </w:r>
      <w:r w:rsidR="00B57652" w:rsidRPr="00280232">
        <w:rPr>
          <w:i w:val="0"/>
          <w:szCs w:val="20"/>
          <w:lang w:val="es-ES"/>
        </w:rPr>
        <w:t xml:space="preserve">), </w:t>
      </w:r>
      <w:r w:rsidRPr="00280232">
        <w:rPr>
          <w:i w:val="0"/>
          <w:szCs w:val="20"/>
          <w:lang w:val="es-ES"/>
        </w:rPr>
        <w:t xml:space="preserve">los que se remiten expresamente a los hechos y violaciones alegadas por la Comisión en el Informe de Fondo, esta Corte no se pronunciará acerca de las restantes violaciones alegadas </w:t>
      </w:r>
      <w:r w:rsidRPr="00280232">
        <w:rPr>
          <w:i w:val="0"/>
          <w:szCs w:val="20"/>
          <w:lang w:val="es-CR"/>
        </w:rPr>
        <w:t>—</w:t>
      </w:r>
      <w:r w:rsidRPr="00280232">
        <w:rPr>
          <w:i w:val="0"/>
          <w:szCs w:val="20"/>
          <w:lang w:val="es-ES"/>
        </w:rPr>
        <w:t>tales son, el derecho a ser oídos por un juez imparcial y el derecho a defender derechos humanos como derecho autónomo—, puesto que exceden del ámbito de la voluntad manifestada por las partes para efectos de la solución amistosa del caso</w:t>
      </w:r>
      <w:r w:rsidR="00C86B69" w:rsidRPr="00280232">
        <w:rPr>
          <w:i w:val="0"/>
          <w:szCs w:val="20"/>
        </w:rPr>
        <w:t xml:space="preserve">. </w:t>
      </w:r>
    </w:p>
    <w:p w14:paraId="6D06C8C3" w14:textId="6217EDB0" w:rsidR="00577335" w:rsidRPr="0064010A" w:rsidRDefault="004C1C13" w:rsidP="00577335">
      <w:pPr>
        <w:pStyle w:val="Heading1"/>
        <w:rPr>
          <w:rFonts w:cs="Arial"/>
        </w:rPr>
      </w:pPr>
      <w:bookmarkStart w:id="106" w:name="_Toc486693391"/>
      <w:bookmarkStart w:id="107" w:name="_Toc486842811"/>
      <w:bookmarkStart w:id="108" w:name="_Toc486842945"/>
      <w:bookmarkStart w:id="109" w:name="_Toc525713986"/>
      <w:r w:rsidRPr="0064010A">
        <w:rPr>
          <w:rFonts w:cs="Arial"/>
          <w:caps w:val="0"/>
        </w:rPr>
        <w:t>VI</w:t>
      </w:r>
      <w:r w:rsidR="00DC0962" w:rsidRPr="0064010A">
        <w:rPr>
          <w:rFonts w:cs="Arial"/>
          <w:caps w:val="0"/>
        </w:rPr>
        <w:t>I</w:t>
      </w:r>
      <w:r w:rsidRPr="0064010A">
        <w:rPr>
          <w:rFonts w:cs="Arial"/>
          <w:caps w:val="0"/>
          <w:color w:val="FFFFFF" w:themeColor="background1"/>
        </w:rPr>
        <w:t>.</w:t>
      </w:r>
      <w:r w:rsidRPr="0064010A">
        <w:rPr>
          <w:rFonts w:cs="Arial"/>
          <w:caps w:val="0"/>
        </w:rPr>
        <w:br/>
      </w:r>
      <w:bookmarkStart w:id="110" w:name="_Toc470000720"/>
      <w:bookmarkEnd w:id="106"/>
      <w:bookmarkEnd w:id="107"/>
      <w:bookmarkEnd w:id="108"/>
      <w:r w:rsidR="00280232">
        <w:t>HOMOLOGACIÓN</w:t>
      </w:r>
      <w:bookmarkEnd w:id="110"/>
      <w:r w:rsidR="00280232">
        <w:t xml:space="preserve"> DEL ACUERDO DE SOLUCIÓN AMISTOSA</w:t>
      </w:r>
      <w:bookmarkEnd w:id="109"/>
    </w:p>
    <w:p w14:paraId="249F0361" w14:textId="5E4D825A" w:rsidR="00212AAF" w:rsidRPr="00212AAF" w:rsidRDefault="00212AAF" w:rsidP="00212AAF">
      <w:pPr>
        <w:pStyle w:val="Estilo1"/>
        <w:numPr>
          <w:ilvl w:val="0"/>
          <w:numId w:val="2"/>
        </w:numPr>
        <w:tabs>
          <w:tab w:val="left" w:pos="0"/>
        </w:tabs>
        <w:spacing w:before="120"/>
        <w:ind w:left="0" w:right="-4" w:firstLine="0"/>
        <w:rPr>
          <w:i w:val="0"/>
          <w:szCs w:val="20"/>
          <w:lang w:val="es-ES"/>
        </w:rPr>
      </w:pPr>
      <w:r w:rsidRPr="00212AAF">
        <w:rPr>
          <w:i w:val="0"/>
          <w:szCs w:val="20"/>
          <w:lang w:val="es-ES"/>
        </w:rPr>
        <w:t>Como ya se ha adelantado, los términos del Acuerdo incluyen un reconocimiento efectuado por el Estado respecto de las violaciones a los derechos humanos indicadas por la Comisión Interamericana en el Informe de Fondo (</w:t>
      </w:r>
      <w:r w:rsidRPr="000C705E">
        <w:rPr>
          <w:szCs w:val="20"/>
          <w:lang w:val="es-ES"/>
        </w:rPr>
        <w:t>supra</w:t>
      </w:r>
      <w:r w:rsidRPr="00212AAF">
        <w:rPr>
          <w:i w:val="0"/>
          <w:szCs w:val="20"/>
          <w:lang w:val="es-ES"/>
        </w:rPr>
        <w:t xml:space="preserve"> párr. </w:t>
      </w:r>
      <w:r w:rsidR="00B57652">
        <w:rPr>
          <w:i w:val="0"/>
          <w:szCs w:val="20"/>
          <w:lang w:val="es-ES"/>
        </w:rPr>
        <w:t>2</w:t>
      </w:r>
      <w:r w:rsidR="00B57652" w:rsidRPr="00212AAF">
        <w:rPr>
          <w:i w:val="0"/>
          <w:szCs w:val="20"/>
          <w:lang w:val="es-ES"/>
        </w:rPr>
        <w:t xml:space="preserve">). </w:t>
      </w:r>
      <w:r w:rsidRPr="00212AAF">
        <w:rPr>
          <w:i w:val="0"/>
          <w:szCs w:val="20"/>
          <w:lang w:val="es-ES"/>
        </w:rPr>
        <w:t xml:space="preserve">En razón de lo anterior, la </w:t>
      </w:r>
      <w:r w:rsidRPr="00212AAF">
        <w:rPr>
          <w:i w:val="0"/>
          <w:szCs w:val="20"/>
          <w:lang w:val="es-ES"/>
        </w:rPr>
        <w:lastRenderedPageBreak/>
        <w:t>Corte considera que ha cesado la controversia sobre los hechos (</w:t>
      </w:r>
      <w:r w:rsidRPr="000C705E">
        <w:rPr>
          <w:szCs w:val="20"/>
          <w:lang w:val="es-ES"/>
        </w:rPr>
        <w:t>supra</w:t>
      </w:r>
      <w:r w:rsidRPr="00212AAF">
        <w:rPr>
          <w:i w:val="0"/>
          <w:szCs w:val="20"/>
          <w:lang w:val="es-ES"/>
        </w:rPr>
        <w:t xml:space="preserve"> párr. </w:t>
      </w:r>
      <w:r w:rsidR="00B57652">
        <w:rPr>
          <w:i w:val="0"/>
          <w:szCs w:val="20"/>
          <w:lang w:val="es-ES"/>
        </w:rPr>
        <w:t>21</w:t>
      </w:r>
      <w:r w:rsidR="00B57652" w:rsidRPr="00212AAF">
        <w:rPr>
          <w:i w:val="0"/>
          <w:szCs w:val="20"/>
          <w:lang w:val="es-ES"/>
        </w:rPr>
        <w:t xml:space="preserve">). </w:t>
      </w:r>
      <w:r w:rsidRPr="00212AAF">
        <w:rPr>
          <w:i w:val="0"/>
          <w:szCs w:val="20"/>
          <w:lang w:val="es-ES"/>
        </w:rPr>
        <w:t xml:space="preserve">Asimismo, este Tribunal entiende que ha cesado la controversia sobre los argumentos relativos a las violaciones de los derechos consagrados en los artículos 4.1 (derecho a la vida), 16.1 (derecho a la libertad de asociación) y 23.1.b (derechos políticos) de la Convención Americana en relación con el artículo 1.1 del mismo instrumento internacional, en perjuicio de Carlos Escaleras Mejía; y artículos 5.1 (derecho a la integridad personal), 8.1 y 25.1 (derechos a las garantías judiciales y la protección judicial), </w:t>
      </w:r>
      <w:r w:rsidR="00DE0618">
        <w:rPr>
          <w:i w:val="0"/>
          <w:szCs w:val="20"/>
          <w:lang w:val="es-ES"/>
        </w:rPr>
        <w:t xml:space="preserve">en perjuicio </w:t>
      </w:r>
      <w:r w:rsidRPr="00212AAF">
        <w:rPr>
          <w:i w:val="0"/>
          <w:szCs w:val="20"/>
          <w:lang w:val="es-ES"/>
        </w:rPr>
        <w:t>de los familiares de Carlos Escaleras</w:t>
      </w:r>
      <w:r w:rsidR="00DE0618">
        <w:rPr>
          <w:i w:val="0"/>
          <w:szCs w:val="20"/>
          <w:lang w:val="es-ES"/>
        </w:rPr>
        <w:t xml:space="preserve"> Mejía</w:t>
      </w:r>
      <w:r w:rsidR="006D0389">
        <w:rPr>
          <w:rStyle w:val="FootnoteReference"/>
          <w:i w:val="0"/>
          <w:lang w:val="es-ES"/>
        </w:rPr>
        <w:footnoteReference w:id="81"/>
      </w:r>
      <w:r w:rsidR="006D0389">
        <w:rPr>
          <w:i w:val="0"/>
          <w:szCs w:val="20"/>
          <w:lang w:val="es-ES"/>
        </w:rPr>
        <w:t>.</w:t>
      </w:r>
      <w:r w:rsidR="006D0389" w:rsidRPr="00212AAF">
        <w:rPr>
          <w:i w:val="0"/>
          <w:szCs w:val="20"/>
          <w:lang w:val="es-ES"/>
        </w:rPr>
        <w:t xml:space="preserve"> </w:t>
      </w:r>
    </w:p>
    <w:p w14:paraId="63DCCFF1" w14:textId="1E5CE8AB" w:rsidR="00212AAF" w:rsidRPr="00773222" w:rsidRDefault="00212AAF" w:rsidP="00212AAF">
      <w:pPr>
        <w:pStyle w:val="Estilo1"/>
        <w:numPr>
          <w:ilvl w:val="0"/>
          <w:numId w:val="2"/>
        </w:numPr>
        <w:tabs>
          <w:tab w:val="left" w:pos="0"/>
        </w:tabs>
        <w:spacing w:before="120"/>
        <w:ind w:left="0" w:right="-4" w:firstLine="0"/>
        <w:rPr>
          <w:i w:val="0"/>
          <w:szCs w:val="20"/>
          <w:lang w:val="es-ES"/>
        </w:rPr>
      </w:pPr>
      <w:r w:rsidRPr="00773222">
        <w:rPr>
          <w:i w:val="0"/>
          <w:szCs w:val="20"/>
          <w:lang w:val="es-ES"/>
        </w:rPr>
        <w:t>La Corte estima que el reconocimiento realizado por el Estado constituye una contribución positiva al desarrollo de este proceso y a la vigencia de los principios que inspiran la Convención Americana. Asimismo, la Comisión Interamericana ha valorado el Acuerdo alcanzado por las partes, y ha considerado procedente la homologación solicitada (</w:t>
      </w:r>
      <w:r w:rsidRPr="00773222">
        <w:rPr>
          <w:szCs w:val="20"/>
          <w:lang w:val="es-ES"/>
        </w:rPr>
        <w:t>supra</w:t>
      </w:r>
      <w:r w:rsidRPr="00773222">
        <w:rPr>
          <w:i w:val="0"/>
          <w:szCs w:val="20"/>
          <w:lang w:val="es-ES"/>
        </w:rPr>
        <w:t xml:space="preserve"> párr. </w:t>
      </w:r>
      <w:r w:rsidR="00201786">
        <w:rPr>
          <w:i w:val="0"/>
          <w:szCs w:val="20"/>
          <w:lang w:val="es-ES"/>
        </w:rPr>
        <w:t>1</w:t>
      </w:r>
      <w:r w:rsidR="00DE0618">
        <w:rPr>
          <w:i w:val="0"/>
          <w:szCs w:val="20"/>
          <w:lang w:val="es-ES"/>
        </w:rPr>
        <w:t>4</w:t>
      </w:r>
      <w:r w:rsidR="00B57652" w:rsidRPr="00773222">
        <w:rPr>
          <w:i w:val="0"/>
          <w:szCs w:val="20"/>
          <w:lang w:val="es-ES"/>
        </w:rPr>
        <w:t xml:space="preserve">). </w:t>
      </w:r>
      <w:r w:rsidR="001943AC" w:rsidRPr="00773222">
        <w:rPr>
          <w:i w:val="0"/>
          <w:szCs w:val="20"/>
          <w:lang w:val="es-ES"/>
        </w:rPr>
        <w:t>E</w:t>
      </w:r>
      <w:r w:rsidRPr="00773222">
        <w:rPr>
          <w:i w:val="0"/>
          <w:szCs w:val="20"/>
          <w:lang w:val="es-ES"/>
        </w:rPr>
        <w:t xml:space="preserve">ste Tribunal considera que </w:t>
      </w:r>
      <w:r w:rsidR="001943AC" w:rsidRPr="00773222">
        <w:rPr>
          <w:i w:val="0"/>
          <w:szCs w:val="20"/>
          <w:lang w:val="es-ES"/>
        </w:rPr>
        <w:t xml:space="preserve">el Acuerdo </w:t>
      </w:r>
      <w:r w:rsidRPr="00773222">
        <w:rPr>
          <w:i w:val="0"/>
          <w:szCs w:val="20"/>
          <w:lang w:val="es-ES"/>
        </w:rPr>
        <w:t>de solución</w:t>
      </w:r>
      <w:r w:rsidR="001943AC" w:rsidRPr="00773222">
        <w:rPr>
          <w:i w:val="0"/>
          <w:szCs w:val="20"/>
          <w:lang w:val="es-ES"/>
        </w:rPr>
        <w:t xml:space="preserve"> amistosa cumple con los requisitos de forma y materiales mencionados </w:t>
      </w:r>
      <w:r w:rsidR="001943AC" w:rsidRPr="00773222">
        <w:rPr>
          <w:szCs w:val="20"/>
          <w:lang w:val="es-ES"/>
        </w:rPr>
        <w:t>supra</w:t>
      </w:r>
      <w:r w:rsidR="001943AC" w:rsidRPr="00773222">
        <w:rPr>
          <w:i w:val="0"/>
          <w:szCs w:val="20"/>
          <w:lang w:val="es-ES"/>
        </w:rPr>
        <w:t xml:space="preserve">, en la medida que el mismo ha sido suscripto por las partes en la controversia las cuales tuvieron la oportunidad de presentar sus observaciones, que </w:t>
      </w:r>
      <w:r w:rsidR="007057F9" w:rsidRPr="00773222">
        <w:rPr>
          <w:i w:val="0"/>
          <w:szCs w:val="20"/>
          <w:lang w:val="es-ES"/>
        </w:rPr>
        <w:t xml:space="preserve">el mismo </w:t>
      </w:r>
      <w:r w:rsidR="001943AC" w:rsidRPr="00773222">
        <w:rPr>
          <w:i w:val="0"/>
          <w:szCs w:val="20"/>
          <w:lang w:val="es-ES"/>
        </w:rPr>
        <w:t xml:space="preserve">pone fin a la controversia sobre hechos, derechos y reparaciones, y </w:t>
      </w:r>
      <w:r w:rsidR="007057F9" w:rsidRPr="00773222">
        <w:rPr>
          <w:i w:val="0"/>
          <w:szCs w:val="20"/>
          <w:lang w:val="es-ES"/>
        </w:rPr>
        <w:t>que su contenido es compatible con el objeto y fin de la Convención. En consecuencia</w:t>
      </w:r>
      <w:r w:rsidR="00DE0618">
        <w:rPr>
          <w:i w:val="0"/>
          <w:szCs w:val="20"/>
          <w:lang w:val="es-ES"/>
        </w:rPr>
        <w:t>,</w:t>
      </w:r>
      <w:r w:rsidR="007057F9" w:rsidRPr="00773222">
        <w:rPr>
          <w:i w:val="0"/>
          <w:szCs w:val="20"/>
          <w:lang w:val="es-ES"/>
        </w:rPr>
        <w:t xml:space="preserve"> se homologa el Acuerdo alcanzado por las partes </w:t>
      </w:r>
      <w:r w:rsidR="00773222" w:rsidRPr="00773222">
        <w:rPr>
          <w:i w:val="0"/>
          <w:szCs w:val="20"/>
          <w:lang w:val="es-ES"/>
        </w:rPr>
        <w:t>mediante la presente Sentencia</w:t>
      </w:r>
      <w:r w:rsidR="007057F9" w:rsidRPr="00773222">
        <w:rPr>
          <w:i w:val="0"/>
          <w:szCs w:val="20"/>
          <w:lang w:val="es-ES"/>
        </w:rPr>
        <w:t>.</w:t>
      </w:r>
      <w:r w:rsidRPr="00773222">
        <w:rPr>
          <w:i w:val="0"/>
          <w:szCs w:val="20"/>
          <w:lang w:val="es-ES"/>
        </w:rPr>
        <w:t xml:space="preserve"> </w:t>
      </w:r>
    </w:p>
    <w:p w14:paraId="292238A1" w14:textId="73C46159" w:rsidR="00212AAF" w:rsidRPr="00212AAF" w:rsidRDefault="00212AAF" w:rsidP="00212AAF">
      <w:pPr>
        <w:pStyle w:val="Estilo1"/>
        <w:numPr>
          <w:ilvl w:val="0"/>
          <w:numId w:val="2"/>
        </w:numPr>
        <w:tabs>
          <w:tab w:val="left" w:pos="0"/>
        </w:tabs>
        <w:spacing w:before="120"/>
        <w:ind w:left="0" w:right="-4" w:firstLine="0"/>
        <w:rPr>
          <w:rFonts w:ascii="Times New Roman" w:hAnsi="Times New Roman" w:cs="Times New Roman"/>
          <w:i w:val="0"/>
          <w:sz w:val="24"/>
          <w:lang w:val="es-ES" w:eastAsia="es-ES"/>
        </w:rPr>
      </w:pPr>
      <w:r w:rsidRPr="00212AAF">
        <w:rPr>
          <w:i w:val="0"/>
          <w:szCs w:val="20"/>
          <w:lang w:val="es-ES"/>
        </w:rPr>
        <w:t>Las medidas de reparación acordadas quedan comprendidas en la homologación del Acuerdo. Sin perjuicio de ello, la Corte las analizará con el fin de determinar su alcance y formas de ejecución, a la luz de los criterios fijados en su jurisprudencia y en relación con la naturaleza, objeto y fin de la obligación de reparar integralmente los daños ocasionados a las víctimas</w:t>
      </w:r>
      <w:r w:rsidRPr="00212AAF">
        <w:rPr>
          <w:i w:val="0"/>
          <w:vertAlign w:val="superscript"/>
          <w:lang w:val="es-ES"/>
        </w:rPr>
        <w:footnoteReference w:id="82"/>
      </w:r>
      <w:r w:rsidRPr="00212AAF">
        <w:rPr>
          <w:i w:val="0"/>
          <w:szCs w:val="20"/>
          <w:lang w:val="es-ES"/>
        </w:rPr>
        <w:t>. Las medidas de reparación acordadas, por lo tanto, deberán ser cumplidas en los términos de la presente Sentencia, conforme se indica seguidamente.</w:t>
      </w:r>
      <w:r w:rsidRPr="00212AAF">
        <w:rPr>
          <w:rFonts w:ascii="Times New Roman" w:hAnsi="Times New Roman" w:cs="Times New Roman"/>
          <w:i w:val="0"/>
          <w:sz w:val="24"/>
          <w:lang w:val="es-ES" w:eastAsia="es-ES"/>
        </w:rPr>
        <w:t xml:space="preserve"> </w:t>
      </w:r>
    </w:p>
    <w:p w14:paraId="4EC19449" w14:textId="599A6292" w:rsidR="00232F75" w:rsidRPr="0064010A" w:rsidRDefault="003859B5" w:rsidP="00057525">
      <w:pPr>
        <w:pStyle w:val="Heading1"/>
      </w:pPr>
      <w:bookmarkStart w:id="111" w:name="_Toc442082558"/>
      <w:bookmarkStart w:id="112" w:name="_Toc486693409"/>
      <w:bookmarkStart w:id="113" w:name="_Toc486842829"/>
      <w:bookmarkStart w:id="114" w:name="_Toc486842963"/>
      <w:bookmarkStart w:id="115" w:name="_Toc525713987"/>
      <w:r w:rsidRPr="0064010A">
        <w:rPr>
          <w:lang w:val="es-ES"/>
        </w:rPr>
        <w:t>VIII</w:t>
      </w:r>
      <w:r w:rsidR="00907543" w:rsidRPr="0064010A">
        <w:rPr>
          <w:color w:val="FFFFFF" w:themeColor="background1"/>
          <w:lang w:val="es-ES"/>
        </w:rPr>
        <w:t>.</w:t>
      </w:r>
      <w:r w:rsidR="00907543" w:rsidRPr="0064010A">
        <w:rPr>
          <w:lang w:val="es-ES"/>
        </w:rPr>
        <w:br/>
      </w:r>
      <w:r w:rsidR="00232F75" w:rsidRPr="0064010A">
        <w:rPr>
          <w:lang w:val="es-ES"/>
        </w:rPr>
        <w:t>REPARACIONES</w:t>
      </w:r>
      <w:bookmarkStart w:id="116" w:name="_Toc442082559"/>
      <w:bookmarkEnd w:id="111"/>
      <w:r w:rsidR="00907543" w:rsidRPr="0064010A">
        <w:rPr>
          <w:lang w:val="es-ES"/>
        </w:rPr>
        <w:br/>
      </w:r>
      <w:r w:rsidR="00907543" w:rsidRPr="0064010A">
        <w:t>(</w:t>
      </w:r>
      <w:r w:rsidR="00C04DD2" w:rsidRPr="0064010A">
        <w:rPr>
          <w:caps w:val="0"/>
        </w:rPr>
        <w:t>aplicación del artículo 63.1 de la Convención Americana</w:t>
      </w:r>
      <w:r w:rsidR="00907543" w:rsidRPr="0064010A">
        <w:t>)</w:t>
      </w:r>
      <w:bookmarkEnd w:id="112"/>
      <w:bookmarkEnd w:id="113"/>
      <w:bookmarkEnd w:id="114"/>
      <w:bookmarkEnd w:id="115"/>
      <w:bookmarkEnd w:id="116"/>
    </w:p>
    <w:p w14:paraId="06D9C916" w14:textId="6D56A8C8" w:rsidR="00E842FD" w:rsidRDefault="00F85F3F" w:rsidP="00E232AB">
      <w:pPr>
        <w:pStyle w:val="Estilo1"/>
        <w:numPr>
          <w:ilvl w:val="0"/>
          <w:numId w:val="2"/>
        </w:numPr>
        <w:tabs>
          <w:tab w:val="left" w:pos="0"/>
        </w:tabs>
        <w:spacing w:before="120"/>
        <w:ind w:left="0" w:right="-4" w:firstLine="0"/>
        <w:rPr>
          <w:i w:val="0"/>
          <w:szCs w:val="20"/>
          <w:lang w:bidi="en-US"/>
        </w:rPr>
      </w:pPr>
      <w:r w:rsidRPr="00E232AB">
        <w:rPr>
          <w:i w:val="0"/>
          <w:szCs w:val="20"/>
          <w:lang w:val="es-CR"/>
        </w:rPr>
        <w:t>En el Acuerdo de solución amistosa, el Estado y los representantes acordaron la reparación integral de las víctimas mediante el cumplimiento de una serie de medidas, respecto de las cuales solicitaron su homologación y supervisión de cumplimiento</w:t>
      </w:r>
      <w:r w:rsidR="00D406F1" w:rsidRPr="00E232AB">
        <w:rPr>
          <w:i w:val="0"/>
          <w:szCs w:val="20"/>
          <w:lang w:bidi="en-US"/>
        </w:rPr>
        <w:t>.</w:t>
      </w:r>
      <w:r w:rsidR="0013545F">
        <w:rPr>
          <w:i w:val="0"/>
          <w:szCs w:val="20"/>
          <w:lang w:bidi="en-US"/>
        </w:rPr>
        <w:t xml:space="preserve"> </w:t>
      </w:r>
      <w:r w:rsidR="00E078FF">
        <w:rPr>
          <w:i w:val="0"/>
          <w:szCs w:val="20"/>
          <w:lang w:bidi="en-US"/>
        </w:rPr>
        <w:t xml:space="preserve">Del mismo modo, el Tribunal nota que según consta en el texto del </w:t>
      </w:r>
      <w:r w:rsidR="00DE0618">
        <w:rPr>
          <w:i w:val="0"/>
          <w:szCs w:val="20"/>
          <w:lang w:bidi="en-US"/>
        </w:rPr>
        <w:t>A</w:t>
      </w:r>
      <w:r w:rsidR="00E078FF">
        <w:rPr>
          <w:i w:val="0"/>
          <w:szCs w:val="20"/>
          <w:lang w:bidi="en-US"/>
        </w:rPr>
        <w:t>cuerdo de solución amistosa, varias de las medidas de reparación que fueron establecidas por las partes han sido cumplidas</w:t>
      </w:r>
      <w:r w:rsidR="00AA5902">
        <w:rPr>
          <w:i w:val="0"/>
          <w:szCs w:val="20"/>
          <w:lang w:bidi="en-US"/>
        </w:rPr>
        <w:t xml:space="preserve"> “en su totalidad”</w:t>
      </w:r>
      <w:r w:rsidR="00E078FF">
        <w:rPr>
          <w:i w:val="0"/>
          <w:szCs w:val="20"/>
          <w:lang w:bidi="en-US"/>
        </w:rPr>
        <w:t xml:space="preserve"> por el Estado. </w:t>
      </w:r>
      <w:r w:rsidR="00E842FD">
        <w:rPr>
          <w:i w:val="0"/>
          <w:szCs w:val="20"/>
          <w:lang w:bidi="en-US"/>
        </w:rPr>
        <w:t xml:space="preserve">Esas medidas se refieren a: a) </w:t>
      </w:r>
      <w:r w:rsidR="00AA5902">
        <w:rPr>
          <w:i w:val="0"/>
          <w:szCs w:val="20"/>
          <w:lang w:bidi="en-US"/>
        </w:rPr>
        <w:t>R</w:t>
      </w:r>
      <w:r w:rsidR="00E842FD">
        <w:rPr>
          <w:i w:val="0"/>
          <w:szCs w:val="20"/>
          <w:lang w:bidi="en-US"/>
        </w:rPr>
        <w:t xml:space="preserve">emodelación de la Plaza en el centro de Tocoa; b) </w:t>
      </w:r>
      <w:r w:rsidR="00AA5902">
        <w:rPr>
          <w:i w:val="0"/>
          <w:szCs w:val="20"/>
          <w:lang w:bidi="en-US"/>
        </w:rPr>
        <w:t>A</w:t>
      </w:r>
      <w:r w:rsidR="00E842FD">
        <w:rPr>
          <w:i w:val="0"/>
          <w:szCs w:val="20"/>
          <w:lang w:bidi="en-US"/>
        </w:rPr>
        <w:t xml:space="preserve">cto público de reconocimiento de responsabilidad; c) </w:t>
      </w:r>
      <w:r w:rsidR="00B31F8D">
        <w:rPr>
          <w:i w:val="0"/>
          <w:szCs w:val="20"/>
          <w:lang w:bidi="en-US"/>
        </w:rPr>
        <w:t>nombre del Parque Nacional “Montaña de Botaderos, Carlos Escaleras Mejía”</w:t>
      </w:r>
      <w:r w:rsidR="00AA5902">
        <w:rPr>
          <w:i w:val="0"/>
          <w:szCs w:val="20"/>
          <w:lang w:bidi="en-US"/>
        </w:rPr>
        <w:t xml:space="preserve">; d) nombramiento del Aula de la Universidad Nacional Autónoma de Honduras (UNAH) con el nombre de Carlos Escaleras Mejía; </w:t>
      </w:r>
      <w:r w:rsidR="00E842FD">
        <w:rPr>
          <w:i w:val="0"/>
          <w:szCs w:val="20"/>
          <w:lang w:bidi="en-US"/>
        </w:rPr>
        <w:t xml:space="preserve">e) </w:t>
      </w:r>
      <w:r w:rsidR="00AA5902">
        <w:rPr>
          <w:i w:val="0"/>
          <w:szCs w:val="20"/>
          <w:lang w:bidi="en-US"/>
        </w:rPr>
        <w:t>r</w:t>
      </w:r>
      <w:r w:rsidR="00E842FD">
        <w:rPr>
          <w:i w:val="0"/>
          <w:szCs w:val="20"/>
          <w:lang w:bidi="en-US"/>
        </w:rPr>
        <w:t>eparación pecuniaria</w:t>
      </w:r>
      <w:r w:rsidR="00AA5902">
        <w:rPr>
          <w:i w:val="0"/>
          <w:szCs w:val="20"/>
          <w:lang w:bidi="en-US"/>
        </w:rPr>
        <w:t xml:space="preserve"> a los familiares de Carlos Escaleras Mejía, y </w:t>
      </w:r>
      <w:r w:rsidR="00E842FD">
        <w:rPr>
          <w:i w:val="0"/>
          <w:szCs w:val="20"/>
          <w:lang w:bidi="en-US"/>
        </w:rPr>
        <w:t xml:space="preserve">f) costas y gastos. </w:t>
      </w:r>
      <w:r w:rsidR="00E078FF">
        <w:rPr>
          <w:i w:val="0"/>
          <w:szCs w:val="20"/>
          <w:lang w:bidi="en-US"/>
        </w:rPr>
        <w:t>En consecuencia, la Corte no se referirá</w:t>
      </w:r>
      <w:r w:rsidR="00E842FD">
        <w:rPr>
          <w:i w:val="0"/>
          <w:szCs w:val="20"/>
          <w:lang w:bidi="en-US"/>
        </w:rPr>
        <w:t>, ni supervisará el cumplimiento de</w:t>
      </w:r>
      <w:r w:rsidR="00E078FF">
        <w:rPr>
          <w:i w:val="0"/>
          <w:szCs w:val="20"/>
          <w:lang w:bidi="en-US"/>
        </w:rPr>
        <w:t xml:space="preserve"> esas medidas puesto que las partes han </w:t>
      </w:r>
      <w:r w:rsidR="00E842FD">
        <w:rPr>
          <w:i w:val="0"/>
          <w:szCs w:val="20"/>
          <w:lang w:bidi="en-US"/>
        </w:rPr>
        <w:t xml:space="preserve">expresado que éstas se habían hecho efectivas. </w:t>
      </w:r>
    </w:p>
    <w:p w14:paraId="736293AD" w14:textId="6C040238" w:rsidR="00F80DDB" w:rsidRDefault="00865C37" w:rsidP="00E232AB">
      <w:pPr>
        <w:pStyle w:val="Estilo1"/>
        <w:numPr>
          <w:ilvl w:val="0"/>
          <w:numId w:val="2"/>
        </w:numPr>
        <w:tabs>
          <w:tab w:val="left" w:pos="0"/>
        </w:tabs>
        <w:spacing w:before="120"/>
        <w:ind w:left="0" w:right="-4" w:firstLine="0"/>
        <w:rPr>
          <w:i w:val="0"/>
          <w:szCs w:val="20"/>
          <w:lang w:bidi="en-US"/>
        </w:rPr>
      </w:pPr>
      <w:r>
        <w:rPr>
          <w:i w:val="0"/>
          <w:szCs w:val="20"/>
          <w:lang w:bidi="en-US"/>
        </w:rPr>
        <w:lastRenderedPageBreak/>
        <w:t>A continuación se detallan las distintas medidas de reparación que fueron establecidas por las partes en el acuerdo de solución amistosa</w:t>
      </w:r>
      <w:r w:rsidR="00E078FF">
        <w:rPr>
          <w:i w:val="0"/>
          <w:szCs w:val="20"/>
          <w:lang w:bidi="en-US"/>
        </w:rPr>
        <w:t xml:space="preserve"> y que aún se encuentran pendientes de cumplimiento</w:t>
      </w:r>
      <w:r>
        <w:rPr>
          <w:i w:val="0"/>
          <w:szCs w:val="20"/>
          <w:lang w:bidi="en-US"/>
        </w:rPr>
        <w:t>.</w:t>
      </w:r>
    </w:p>
    <w:p w14:paraId="2A2582C8" w14:textId="2170AE80" w:rsidR="009E550C" w:rsidRDefault="009E550C" w:rsidP="00D432A7">
      <w:pPr>
        <w:pStyle w:val="Heading2"/>
        <w:keepLines w:val="0"/>
        <w:numPr>
          <w:ilvl w:val="0"/>
          <w:numId w:val="16"/>
        </w:numPr>
        <w:spacing w:before="240" w:after="240"/>
        <w:rPr>
          <w:rFonts w:ascii="Verdana" w:hAnsi="Verdana" w:cs="Tahoma"/>
          <w:i/>
          <w:color w:val="auto"/>
          <w:sz w:val="20"/>
          <w:lang w:eastAsia="x-none"/>
        </w:rPr>
      </w:pPr>
      <w:bookmarkStart w:id="117" w:name="_Toc525713988"/>
      <w:r>
        <w:rPr>
          <w:rFonts w:ascii="Verdana" w:hAnsi="Verdana" w:cs="Tahoma"/>
          <w:i/>
          <w:color w:val="auto"/>
          <w:sz w:val="20"/>
          <w:lang w:eastAsia="x-none"/>
        </w:rPr>
        <w:t>Obligación de Investigar, y en su caso juzgar y sancionar</w:t>
      </w:r>
      <w:bookmarkEnd w:id="117"/>
    </w:p>
    <w:p w14:paraId="7C16F1BE" w14:textId="5D202A1B" w:rsidR="009E550C" w:rsidRPr="001F00B4" w:rsidRDefault="009E550C" w:rsidP="009E550C">
      <w:pPr>
        <w:pStyle w:val="Heading3"/>
        <w:numPr>
          <w:ilvl w:val="0"/>
          <w:numId w:val="11"/>
        </w:numPr>
        <w:spacing w:after="100" w:afterAutospacing="1"/>
        <w:rPr>
          <w:b w:val="0"/>
          <w:szCs w:val="20"/>
          <w:lang w:val="es-ES"/>
        </w:rPr>
      </w:pPr>
      <w:bookmarkStart w:id="118" w:name="_Toc525713989"/>
      <w:r w:rsidRPr="001F00B4">
        <w:rPr>
          <w:b w:val="0"/>
          <w:szCs w:val="20"/>
          <w:lang w:val="es-ES"/>
        </w:rPr>
        <w:t xml:space="preserve">Investigación de los hechos, así como identificación, juzgamiento y sanción de los responsables </w:t>
      </w:r>
      <w:bookmarkEnd w:id="118"/>
    </w:p>
    <w:p w14:paraId="174503FB" w14:textId="1841A712" w:rsidR="009E550C" w:rsidRPr="00816C50" w:rsidRDefault="009E550C" w:rsidP="009E550C">
      <w:pPr>
        <w:pStyle w:val="Estilo1"/>
        <w:numPr>
          <w:ilvl w:val="0"/>
          <w:numId w:val="2"/>
        </w:numPr>
        <w:tabs>
          <w:tab w:val="left" w:pos="0"/>
        </w:tabs>
        <w:spacing w:before="120"/>
        <w:ind w:left="0" w:right="-4" w:firstLine="0"/>
        <w:rPr>
          <w:i w:val="0"/>
          <w:szCs w:val="20"/>
          <w:lang w:val="es-ES"/>
        </w:rPr>
      </w:pPr>
      <w:r w:rsidRPr="00816C50">
        <w:rPr>
          <w:i w:val="0"/>
          <w:szCs w:val="20"/>
          <w:lang w:val="es-ES"/>
        </w:rPr>
        <w:t>En el Acuerdo, bajo el acápite de “Garantías de no repetición”, el Estado hondureño “se compromet[ió</w:t>
      </w:r>
      <w:r w:rsidRPr="00816C50">
        <w:rPr>
          <w:i w:val="0"/>
          <w:szCs w:val="20"/>
          <w:lang w:val="es-CO"/>
        </w:rPr>
        <w:t>]</w:t>
      </w:r>
      <w:r w:rsidRPr="00816C50">
        <w:rPr>
          <w:i w:val="0"/>
          <w:szCs w:val="20"/>
          <w:lang w:val="es-ES"/>
        </w:rPr>
        <w:t xml:space="preserve"> a realizar y proseguir de modo diligente todas las investigaciones y actuaciones necesarias para deslindar responsabilidades y esclarecer por completo los hechos que constituyen la base del presente acuerdo, y en su caso, juzgar y sancionar la comisión de los delitos cometidos”. En cumplimiento de ello, el Estado “deberá remover todos los obstáculos, de facto y de jure, que mantengan la impunidad”.</w:t>
      </w:r>
      <w:r w:rsidRPr="00816C50">
        <w:rPr>
          <w:szCs w:val="20"/>
          <w:lang w:val="es-ES"/>
        </w:rPr>
        <w:t xml:space="preserve"> </w:t>
      </w:r>
      <w:r w:rsidRPr="00816C50">
        <w:rPr>
          <w:i w:val="0"/>
          <w:szCs w:val="20"/>
          <w:lang w:val="es-ES"/>
        </w:rPr>
        <w:t>El Estado se comprometió a que las diligencias de investigación estarán a cargo de la Fiscalía Especial de Derechos Humanos de Honduras, la cual ya conformó un grupo especial interinstitucional de trabajo, compuesto por ocho fiscales y ocho investigadores.</w:t>
      </w:r>
      <w:r>
        <w:rPr>
          <w:i w:val="0"/>
          <w:szCs w:val="20"/>
          <w:lang w:val="es-ES"/>
        </w:rPr>
        <w:t xml:space="preserve"> </w:t>
      </w:r>
      <w:r w:rsidRPr="00816C50">
        <w:rPr>
          <w:i w:val="0"/>
          <w:szCs w:val="20"/>
          <w:lang w:val="es-ES"/>
        </w:rPr>
        <w:t xml:space="preserve">Además, el Estado se obligó a, en un plazo de seis meses, “brindar un informe detallado que demuestre el avance hacia el objetivo de justicia”; así como a “establecer un plan estratégico para continuar con la investigación de los hechos, que incluya un cronograma de ejecución del mismo, y cuente con la dotación financiera suficiente para llevarlo a cabo”. </w:t>
      </w:r>
    </w:p>
    <w:p w14:paraId="4DB674B2" w14:textId="18E3B8A2" w:rsidR="009E550C" w:rsidRPr="00816C50" w:rsidRDefault="009E550C" w:rsidP="009E550C">
      <w:pPr>
        <w:pStyle w:val="Estilo1"/>
        <w:numPr>
          <w:ilvl w:val="0"/>
          <w:numId w:val="2"/>
        </w:numPr>
        <w:tabs>
          <w:tab w:val="left" w:pos="0"/>
        </w:tabs>
        <w:spacing w:before="120"/>
        <w:ind w:left="0" w:right="-4" w:firstLine="0"/>
        <w:rPr>
          <w:i w:val="0"/>
          <w:szCs w:val="20"/>
          <w:lang w:val="es-ES"/>
        </w:rPr>
      </w:pPr>
      <w:r w:rsidRPr="00816C50">
        <w:rPr>
          <w:i w:val="0"/>
          <w:szCs w:val="20"/>
          <w:lang w:val="es-ES"/>
        </w:rPr>
        <w:t>El Acuerdo indica asimismo que “[e</w:t>
      </w:r>
      <w:r w:rsidRPr="00816C50">
        <w:rPr>
          <w:i w:val="0"/>
          <w:szCs w:val="20"/>
          <w:lang w:val="es-CO"/>
        </w:rPr>
        <w:t>]</w:t>
      </w:r>
      <w:r w:rsidRPr="00816C50">
        <w:rPr>
          <w:i w:val="0"/>
          <w:szCs w:val="20"/>
          <w:lang w:val="es-ES"/>
        </w:rPr>
        <w:t xml:space="preserve">n caso de que a partir del análisis detallado de la prueba se determine que ha ocurrido una cosa juzgada fraudulenta en los términos establecidos por la </w:t>
      </w:r>
      <w:r w:rsidR="00201786" w:rsidRPr="002A26D9">
        <w:rPr>
          <w:i w:val="0"/>
          <w:szCs w:val="20"/>
          <w:lang w:val="es-ES"/>
        </w:rPr>
        <w:t>jurisprudencia</w:t>
      </w:r>
      <w:r w:rsidR="00201786" w:rsidRPr="00816C50">
        <w:rPr>
          <w:i w:val="0"/>
          <w:szCs w:val="20"/>
          <w:lang w:val="es-ES"/>
        </w:rPr>
        <w:t xml:space="preserve"> </w:t>
      </w:r>
      <w:r w:rsidRPr="00816C50">
        <w:rPr>
          <w:i w:val="0"/>
          <w:szCs w:val="20"/>
          <w:lang w:val="es-ES"/>
        </w:rPr>
        <w:t>interamericana”, Honduras se oblig</w:t>
      </w:r>
      <w:r w:rsidR="006E1F0D">
        <w:rPr>
          <w:i w:val="0"/>
          <w:szCs w:val="20"/>
          <w:lang w:val="es-ES"/>
        </w:rPr>
        <w:t>a</w:t>
      </w:r>
      <w:r w:rsidRPr="00816C50">
        <w:rPr>
          <w:i w:val="0"/>
          <w:szCs w:val="20"/>
          <w:lang w:val="es-ES"/>
        </w:rPr>
        <w:t xml:space="preserve"> a “revocar cualquier decisión producto del fraude y proceder a investigar, juzgar y sancionar a la totalidad de los autores </w:t>
      </w:r>
      <w:r w:rsidR="00074B8B">
        <w:rPr>
          <w:i w:val="0"/>
          <w:szCs w:val="20"/>
          <w:lang w:val="es-ES"/>
        </w:rPr>
        <w:t>[…]</w:t>
      </w:r>
      <w:r w:rsidRPr="00816C50">
        <w:rPr>
          <w:i w:val="0"/>
          <w:szCs w:val="20"/>
          <w:lang w:val="es-ES"/>
        </w:rPr>
        <w:t xml:space="preserve"> del </w:t>
      </w:r>
      <w:r w:rsidR="00206D5D">
        <w:rPr>
          <w:i w:val="0"/>
          <w:szCs w:val="20"/>
          <w:lang w:val="es-CR"/>
        </w:rPr>
        <w:t>homicidio</w:t>
      </w:r>
      <w:r w:rsidR="00206D5D" w:rsidRPr="00816C50">
        <w:rPr>
          <w:i w:val="0"/>
          <w:szCs w:val="20"/>
          <w:lang w:val="es-ES"/>
        </w:rPr>
        <w:t xml:space="preserve"> </w:t>
      </w:r>
      <w:r w:rsidRPr="00816C50">
        <w:rPr>
          <w:i w:val="0"/>
          <w:szCs w:val="20"/>
          <w:lang w:val="es-ES"/>
        </w:rPr>
        <w:t>del defensor Carlos Escaleras”.</w:t>
      </w:r>
    </w:p>
    <w:p w14:paraId="6BA7B990" w14:textId="77777777" w:rsidR="009E550C" w:rsidRPr="00816C50" w:rsidRDefault="009E550C" w:rsidP="009E550C">
      <w:pPr>
        <w:pStyle w:val="Estilo1"/>
        <w:numPr>
          <w:ilvl w:val="0"/>
          <w:numId w:val="2"/>
        </w:numPr>
        <w:tabs>
          <w:tab w:val="left" w:pos="0"/>
        </w:tabs>
        <w:spacing w:before="120"/>
        <w:ind w:left="0" w:right="-4" w:firstLine="0"/>
        <w:rPr>
          <w:i w:val="0"/>
          <w:szCs w:val="20"/>
          <w:lang w:val="es-ES"/>
        </w:rPr>
      </w:pPr>
      <w:r w:rsidRPr="00816C50">
        <w:rPr>
          <w:i w:val="0"/>
          <w:szCs w:val="20"/>
          <w:lang w:val="es-ES"/>
        </w:rPr>
        <w:t>Además, el Estado reconoció en el Acuerdo el derecho de las víctimas a participar, consultar y acceder al expediente de investigación, ya sea por sí mismas o por medio de sus representantes, con las limitaciones contenidas en los tratados internacionales y la legislación interna para la protección de derechos de terceros. El Estado reconoció que “los familiares del señor Carlos Escaleras Mejía tendrán el derecho de estar informados sobre las diligencias realizadas, así como del resultado de las investigaciones”. En concreto, el Estado se comprometió a “informar a los familiares y sus representantes, al menos cada seis (6) meses sobre los avances y resultados de la investigación, brindando un informe con las acciones tomadas”.</w:t>
      </w:r>
    </w:p>
    <w:p w14:paraId="75E2CD41" w14:textId="65AC373F" w:rsidR="009E550C" w:rsidRPr="00D432A7" w:rsidRDefault="009E550C" w:rsidP="00D432A7">
      <w:pPr>
        <w:pStyle w:val="Estilo1"/>
        <w:numPr>
          <w:ilvl w:val="0"/>
          <w:numId w:val="2"/>
        </w:numPr>
        <w:tabs>
          <w:tab w:val="left" w:pos="0"/>
        </w:tabs>
        <w:spacing w:before="120"/>
        <w:ind w:left="0" w:right="-4" w:firstLine="0"/>
        <w:rPr>
          <w:rFonts w:asciiTheme="minorHAnsi" w:hAnsiTheme="minorHAnsi"/>
          <w:i w:val="0"/>
          <w:sz w:val="22"/>
          <w:szCs w:val="22"/>
          <w:lang w:val="pl-PL"/>
        </w:rPr>
      </w:pPr>
      <w:r w:rsidRPr="00D432A7">
        <w:rPr>
          <w:i w:val="0"/>
          <w:szCs w:val="20"/>
        </w:rPr>
        <w:t xml:space="preserve">La Corte recuerda que el Estado reconoció su responsabilidad por las violaciones a los derechos a las garantías judiciales y a la protección judicial debido a que no investigó los hechos del caso dentro de un plazo razonable y con la debida diligencia. En este sentido, esta Corte reitera que </w:t>
      </w:r>
      <w:r w:rsidRPr="00D432A7">
        <w:rPr>
          <w:i w:val="0"/>
          <w:szCs w:val="20"/>
          <w:lang w:val="es-CR"/>
        </w:rPr>
        <w:t>el deber de investigar es una obligación de medios y no de resultado, que debe ser asumida por el Estado como un deber jurídico propio y no como una simple formalidad condenada de antemano a ser infructuosa</w:t>
      </w:r>
      <w:r w:rsidRPr="001F00B4">
        <w:rPr>
          <w:i w:val="0"/>
          <w:szCs w:val="20"/>
          <w:vertAlign w:val="superscript"/>
          <w:lang w:val="es-CR"/>
        </w:rPr>
        <w:footnoteReference w:id="83"/>
      </w:r>
      <w:r w:rsidRPr="00D432A7">
        <w:rPr>
          <w:i w:val="0"/>
          <w:szCs w:val="20"/>
          <w:lang w:val="es-CR"/>
        </w:rPr>
        <w:t xml:space="preserve">. </w:t>
      </w:r>
      <w:r w:rsidRPr="00D432A7">
        <w:rPr>
          <w:i w:val="0"/>
          <w:szCs w:val="20"/>
          <w:lang w:val="es-ES"/>
        </w:rPr>
        <w:t xml:space="preserve">Este Tribunal valora positivamente </w:t>
      </w:r>
      <w:r w:rsidRPr="00D432A7">
        <w:rPr>
          <w:i w:val="0"/>
          <w:szCs w:val="20"/>
          <w:lang w:val="pl-PL"/>
        </w:rPr>
        <w:t xml:space="preserve">la voluntad demostrada por el Estado de esclarecer las circunstancias del caso e identificar y en su caso sancionar a los responsables, razón por la cual homologa la presente medida en los términos acordados por las partes. </w:t>
      </w:r>
    </w:p>
    <w:p w14:paraId="18E930C0" w14:textId="77777777" w:rsidR="009E550C" w:rsidRPr="001F00B4" w:rsidRDefault="009E550C" w:rsidP="009E550C">
      <w:pPr>
        <w:pStyle w:val="Heading3"/>
        <w:numPr>
          <w:ilvl w:val="0"/>
          <w:numId w:val="11"/>
        </w:numPr>
        <w:spacing w:after="100" w:afterAutospacing="1"/>
        <w:rPr>
          <w:b w:val="0"/>
          <w:szCs w:val="20"/>
          <w:lang w:val="es-ES"/>
        </w:rPr>
      </w:pPr>
      <w:bookmarkStart w:id="119" w:name="_Toc525713990"/>
      <w:r w:rsidRPr="001F00B4">
        <w:rPr>
          <w:b w:val="0"/>
          <w:szCs w:val="20"/>
          <w:lang w:val="es-ES"/>
        </w:rPr>
        <w:lastRenderedPageBreak/>
        <w:t>Investigación de las irregularidades y omisiones cometidas en procesos judiciales, así como identificación, juzgamiento y sanción de los agentes estatales responsables</w:t>
      </w:r>
      <w:bookmarkEnd w:id="119"/>
    </w:p>
    <w:p w14:paraId="44FFEC13" w14:textId="2C82BD2E" w:rsidR="009E550C" w:rsidRPr="001F00B4" w:rsidRDefault="009E550C" w:rsidP="009E550C">
      <w:pPr>
        <w:pStyle w:val="Estilo1"/>
        <w:numPr>
          <w:ilvl w:val="0"/>
          <w:numId w:val="2"/>
        </w:numPr>
        <w:tabs>
          <w:tab w:val="left" w:pos="0"/>
        </w:tabs>
        <w:spacing w:before="120"/>
        <w:ind w:left="0" w:right="-4" w:firstLine="0"/>
        <w:rPr>
          <w:i w:val="0"/>
          <w:szCs w:val="20"/>
          <w:lang w:val="es-ES"/>
        </w:rPr>
      </w:pPr>
      <w:r w:rsidRPr="001F00B4">
        <w:rPr>
          <w:i w:val="0"/>
          <w:szCs w:val="20"/>
          <w:lang w:val="es-ES"/>
        </w:rPr>
        <w:t xml:space="preserve">Honduras se comprometió </w:t>
      </w:r>
      <w:r w:rsidR="006E1F0D">
        <w:rPr>
          <w:i w:val="0"/>
          <w:szCs w:val="20"/>
          <w:lang w:val="es-ES"/>
        </w:rPr>
        <w:t xml:space="preserve">en el Acuerdo </w:t>
      </w:r>
      <w:r w:rsidRPr="001F00B4">
        <w:rPr>
          <w:i w:val="0"/>
          <w:szCs w:val="20"/>
          <w:lang w:val="es-ES"/>
        </w:rPr>
        <w:t xml:space="preserve">a que la investigación a la que se hace </w:t>
      </w:r>
      <w:r w:rsidRPr="001F00B4">
        <w:rPr>
          <w:i w:val="0"/>
          <w:szCs w:val="20"/>
        </w:rPr>
        <w:t>referencia</w:t>
      </w:r>
      <w:r w:rsidRPr="001F00B4">
        <w:rPr>
          <w:i w:val="0"/>
          <w:szCs w:val="20"/>
          <w:lang w:val="es-ES"/>
        </w:rPr>
        <w:t xml:space="preserve"> en los párrafos precedentes deberá incluir también “las acciones y omisiones que se realizaron en perjuicio de las víctimas y que generaron la responsabilidad internacional del Estado hondureño”. El arreglo amistoso indicó también que “[e</w:t>
      </w:r>
      <w:r w:rsidRPr="001F00B4">
        <w:rPr>
          <w:i w:val="0"/>
          <w:szCs w:val="20"/>
          <w:lang w:val="es-CO"/>
        </w:rPr>
        <w:t>]</w:t>
      </w:r>
      <w:r w:rsidRPr="001F00B4">
        <w:rPr>
          <w:i w:val="0"/>
          <w:szCs w:val="20"/>
          <w:lang w:val="es-ES"/>
        </w:rPr>
        <w:t xml:space="preserve">n caso de que a partir del análisis detallado de la prueba se determine que ha ocurrido una cosa juzgada fraudulenta en los términos establecidos por la </w:t>
      </w:r>
      <w:r w:rsidR="00201786" w:rsidRPr="001F751D">
        <w:rPr>
          <w:i w:val="0"/>
          <w:szCs w:val="20"/>
          <w:lang w:val="es-ES"/>
        </w:rPr>
        <w:t>jurisprudencia</w:t>
      </w:r>
      <w:r w:rsidR="00201786" w:rsidRPr="00816C50">
        <w:rPr>
          <w:i w:val="0"/>
          <w:szCs w:val="20"/>
          <w:lang w:val="es-ES"/>
        </w:rPr>
        <w:t xml:space="preserve"> </w:t>
      </w:r>
      <w:r w:rsidRPr="001F00B4">
        <w:rPr>
          <w:i w:val="0"/>
          <w:szCs w:val="20"/>
          <w:lang w:val="es-ES"/>
        </w:rPr>
        <w:t>interamericana”, el Estado se compromet</w:t>
      </w:r>
      <w:r>
        <w:rPr>
          <w:i w:val="0"/>
          <w:szCs w:val="20"/>
          <w:lang w:val="es-ES"/>
        </w:rPr>
        <w:t>e</w:t>
      </w:r>
      <w:r w:rsidRPr="001F00B4">
        <w:rPr>
          <w:i w:val="0"/>
          <w:szCs w:val="20"/>
          <w:lang w:val="es-ES"/>
        </w:rPr>
        <w:t xml:space="preserve"> a investigar y sancionar a las personas responsables de obstruir la justicia.</w:t>
      </w:r>
    </w:p>
    <w:p w14:paraId="291062D4" w14:textId="77777777" w:rsidR="009E550C" w:rsidRPr="001F00B4" w:rsidRDefault="009E550C" w:rsidP="009E550C">
      <w:pPr>
        <w:pStyle w:val="Estilo1"/>
        <w:numPr>
          <w:ilvl w:val="0"/>
          <w:numId w:val="2"/>
        </w:numPr>
        <w:tabs>
          <w:tab w:val="left" w:pos="0"/>
        </w:tabs>
        <w:spacing w:before="120"/>
        <w:ind w:left="0" w:right="-4" w:firstLine="0"/>
        <w:rPr>
          <w:i w:val="0"/>
          <w:szCs w:val="20"/>
          <w:lang w:val="es-ES"/>
        </w:rPr>
      </w:pPr>
      <w:r w:rsidRPr="001F00B4">
        <w:rPr>
          <w:i w:val="0"/>
          <w:szCs w:val="20"/>
          <w:lang w:val="es-ES"/>
        </w:rPr>
        <w:t>En relación con la investigación de obstáculos en la investigación y obstrucción de la justicia, el Estado hondureño se comprometió a que “[e</w:t>
      </w:r>
      <w:r w:rsidRPr="001F00B4">
        <w:rPr>
          <w:i w:val="0"/>
          <w:szCs w:val="20"/>
          <w:lang w:val="es-CO"/>
        </w:rPr>
        <w:t>]</w:t>
      </w:r>
      <w:r w:rsidRPr="001F00B4">
        <w:rPr>
          <w:i w:val="0"/>
          <w:szCs w:val="20"/>
          <w:lang w:val="es-ES"/>
        </w:rPr>
        <w:t xml:space="preserve">n un plazo de tres (3) meses como máximo desde la fecha de la firma del presente acuerdo, la Unidad Especial Investigativa en Materia de Derechos Humanos del Ministerio Público, rendirá a las víctimas y sus representantes un informe sobre el análisis del expediente, que deberá incluir un detalle de las acciones y omisiones de funcionarios públicos que tuvieron como consecuencia la denegación de justicia y las acciones de denuncia que correspondan (de naturaleza penal, civil o disciplinaria)”. Además, en caso de que corresponda, el Estado asumió el compromiso de que en el plazo de 18 meses deberá haber presentado las denuncias respectivas y se comprometió a “dar seguimiento a las mismas hasta obtener la sanción efectiva de los responsables de la denegación de justicia”. En el Acuerdo se convino que dicho plazo podrá ser prorrogable por mutuo acuerdo entre el Estado y los representantes de las víctimas que lo suscribieron. En el caso de que Honduras descarte la existencia de responsabilidad alguna “deberá justificar este criterio con base en los estándares interamericanos”. En caso de desacuerdo al respecto, se acordó que esta Corte sería informada a fin de dirimir si se ha cumplido o no con esta medida. </w:t>
      </w:r>
    </w:p>
    <w:p w14:paraId="74AC3541" w14:textId="77777777" w:rsidR="009E550C" w:rsidRPr="001F00B4" w:rsidRDefault="009E550C" w:rsidP="009E550C">
      <w:pPr>
        <w:pStyle w:val="Estilo1"/>
        <w:numPr>
          <w:ilvl w:val="0"/>
          <w:numId w:val="2"/>
        </w:numPr>
        <w:tabs>
          <w:tab w:val="left" w:pos="0"/>
        </w:tabs>
        <w:spacing w:before="120"/>
        <w:ind w:left="0" w:right="-4" w:firstLine="0"/>
        <w:rPr>
          <w:i w:val="0"/>
          <w:szCs w:val="20"/>
          <w:lang w:val="es-ES"/>
        </w:rPr>
      </w:pPr>
      <w:r w:rsidRPr="001F00B4">
        <w:rPr>
          <w:i w:val="0"/>
          <w:szCs w:val="20"/>
          <w:lang w:val="es-ES"/>
        </w:rPr>
        <w:t xml:space="preserve">La Corte homologa la presente medida en los términos acordados por las partes, y destaca la importancia de la investigación de las omisiones y obstrucciones a la justicia por parte de agentes estatales dadas las irregularidades en la investigación que generaron la impunidad parcial en el presente caso, según se desarrolló </w:t>
      </w:r>
      <w:r w:rsidRPr="00EF0680">
        <w:rPr>
          <w:szCs w:val="20"/>
          <w:lang w:val="es-ES"/>
        </w:rPr>
        <w:t>supra</w:t>
      </w:r>
      <w:r w:rsidRPr="001F00B4">
        <w:rPr>
          <w:i w:val="0"/>
          <w:szCs w:val="20"/>
          <w:lang w:val="es-ES"/>
        </w:rPr>
        <w:t>.</w:t>
      </w:r>
    </w:p>
    <w:p w14:paraId="3DF442A4" w14:textId="4A284B7F" w:rsidR="00E232AB" w:rsidRPr="00E232AB" w:rsidRDefault="00E232AB" w:rsidP="00D432A7">
      <w:pPr>
        <w:pStyle w:val="Heading2"/>
        <w:keepLines w:val="0"/>
        <w:numPr>
          <w:ilvl w:val="0"/>
          <w:numId w:val="16"/>
        </w:numPr>
        <w:spacing w:before="240" w:after="240"/>
        <w:rPr>
          <w:rFonts w:ascii="Verdana" w:hAnsi="Verdana" w:cs="Tahoma"/>
          <w:i/>
          <w:color w:val="auto"/>
          <w:sz w:val="20"/>
          <w:lang w:eastAsia="x-none"/>
        </w:rPr>
      </w:pPr>
      <w:bookmarkStart w:id="120" w:name="_Toc525713991"/>
      <w:r w:rsidRPr="00E232AB">
        <w:rPr>
          <w:rFonts w:ascii="Verdana" w:hAnsi="Verdana" w:cs="Tahoma"/>
          <w:i/>
          <w:color w:val="auto"/>
          <w:sz w:val="20"/>
          <w:lang w:eastAsia="x-none"/>
        </w:rPr>
        <w:t>Medidas de satisfacción</w:t>
      </w:r>
      <w:bookmarkEnd w:id="120"/>
      <w:r w:rsidRPr="00E232AB">
        <w:rPr>
          <w:rFonts w:ascii="Verdana" w:hAnsi="Verdana" w:cs="Tahoma"/>
          <w:i/>
          <w:color w:val="auto"/>
          <w:sz w:val="20"/>
          <w:lang w:eastAsia="x-none"/>
        </w:rPr>
        <w:t xml:space="preserve"> </w:t>
      </w:r>
    </w:p>
    <w:p w14:paraId="5EAD5F53" w14:textId="586A09F8" w:rsidR="00E232AB" w:rsidRPr="00E232AB" w:rsidRDefault="00E232AB" w:rsidP="00E232AB">
      <w:pPr>
        <w:pStyle w:val="Heading3"/>
        <w:spacing w:after="100" w:afterAutospacing="1"/>
        <w:ind w:firstLine="720"/>
        <w:rPr>
          <w:b w:val="0"/>
          <w:szCs w:val="20"/>
          <w:lang w:val="es-ES"/>
        </w:rPr>
      </w:pPr>
      <w:bookmarkStart w:id="121" w:name="_Toc525713992"/>
      <w:r w:rsidRPr="00E232AB">
        <w:rPr>
          <w:b w:val="0"/>
          <w:szCs w:val="20"/>
          <w:lang w:val="es-ES"/>
        </w:rPr>
        <w:t>1. Documental televisivo</w:t>
      </w:r>
      <w:bookmarkEnd w:id="121"/>
    </w:p>
    <w:p w14:paraId="3C2ED383" w14:textId="51FFF146" w:rsidR="00E232AB" w:rsidRPr="00E232AB" w:rsidRDefault="00E232AB" w:rsidP="00A2739F">
      <w:pPr>
        <w:pStyle w:val="Estilo1"/>
        <w:numPr>
          <w:ilvl w:val="0"/>
          <w:numId w:val="2"/>
        </w:numPr>
        <w:tabs>
          <w:tab w:val="left" w:pos="0"/>
        </w:tabs>
        <w:spacing w:before="120"/>
        <w:ind w:left="0" w:right="-4" w:firstLine="0"/>
        <w:rPr>
          <w:i w:val="0"/>
          <w:szCs w:val="20"/>
          <w:lang w:val="es-CO"/>
        </w:rPr>
      </w:pPr>
      <w:r w:rsidRPr="00E232AB">
        <w:rPr>
          <w:i w:val="0"/>
          <w:szCs w:val="20"/>
          <w:lang w:val="es-CO"/>
        </w:rPr>
        <w:t xml:space="preserve">En el Acuerdo de solución amistosa, bajo el acápite de “Medidas de satisfacción”, se hizo presente que el Estado de Honduras, con la participación y consentimiento de los familiares del </w:t>
      </w:r>
      <w:r w:rsidRPr="00A2739F">
        <w:rPr>
          <w:i w:val="0"/>
          <w:szCs w:val="20"/>
          <w:lang w:val="es-ES"/>
        </w:rPr>
        <w:t>señor</w:t>
      </w:r>
      <w:r w:rsidRPr="00E232AB">
        <w:rPr>
          <w:i w:val="0"/>
          <w:szCs w:val="20"/>
          <w:lang w:val="es-CO"/>
        </w:rPr>
        <w:t xml:space="preserve"> </w:t>
      </w:r>
      <w:r w:rsidRPr="00E232AB">
        <w:rPr>
          <w:i w:val="0"/>
          <w:szCs w:val="20"/>
          <w:lang w:val="es-CR"/>
        </w:rPr>
        <w:t>Escaleras</w:t>
      </w:r>
      <w:r w:rsidRPr="00E232AB">
        <w:rPr>
          <w:i w:val="0"/>
          <w:szCs w:val="20"/>
          <w:lang w:val="es-CO"/>
        </w:rPr>
        <w:t xml:space="preserve"> y de ERIC-SJ, elaboró un documental con una duración de diez minutos sobre la vida de Carlos Escaleras y su labor como activista y defensor de los recursos naturales. Como medida de satisfacción, el Estado se comprometió a que “transmitirá por una (1) vez en el canal 8 del Estado, Televisión Nacional de Honduras, la cual será comunicada con antelación a la transmisión para la atención de los familiares y sus </w:t>
      </w:r>
      <w:r w:rsidR="00DE0618">
        <w:rPr>
          <w:i w:val="0"/>
          <w:szCs w:val="20"/>
          <w:lang w:val="es-CO"/>
        </w:rPr>
        <w:t>re</w:t>
      </w:r>
      <w:r w:rsidRPr="00E232AB">
        <w:rPr>
          <w:i w:val="0"/>
          <w:szCs w:val="20"/>
          <w:lang w:val="es-CO"/>
        </w:rPr>
        <w:t xml:space="preserve">presentantes”. </w:t>
      </w:r>
    </w:p>
    <w:p w14:paraId="6B7512B1" w14:textId="5DC1B139" w:rsidR="00E232AB" w:rsidRPr="00E232AB" w:rsidRDefault="00E232AB" w:rsidP="00A2739F">
      <w:pPr>
        <w:pStyle w:val="Estilo1"/>
        <w:numPr>
          <w:ilvl w:val="0"/>
          <w:numId w:val="2"/>
        </w:numPr>
        <w:tabs>
          <w:tab w:val="left" w:pos="0"/>
        </w:tabs>
        <w:spacing w:before="120"/>
        <w:ind w:left="0" w:right="-4" w:firstLine="0"/>
        <w:rPr>
          <w:i w:val="0"/>
          <w:szCs w:val="20"/>
          <w:lang w:val="es-CR"/>
        </w:rPr>
      </w:pPr>
      <w:r w:rsidRPr="00E232AB">
        <w:rPr>
          <w:i w:val="0"/>
          <w:szCs w:val="20"/>
          <w:lang w:val="es-CR"/>
        </w:rPr>
        <w:t xml:space="preserve">La Corte </w:t>
      </w:r>
      <w:r w:rsidRPr="00E232AB">
        <w:rPr>
          <w:i w:val="0"/>
          <w:szCs w:val="20"/>
          <w:lang w:val="es-ES"/>
        </w:rPr>
        <w:t xml:space="preserve">homologa la </w:t>
      </w:r>
      <w:r w:rsidRPr="00E232AB">
        <w:rPr>
          <w:i w:val="0"/>
          <w:szCs w:val="20"/>
          <w:lang w:val="es-CO"/>
        </w:rPr>
        <w:t>presente</w:t>
      </w:r>
      <w:r w:rsidRPr="00E232AB">
        <w:rPr>
          <w:i w:val="0"/>
          <w:szCs w:val="20"/>
          <w:lang w:val="es-ES"/>
        </w:rPr>
        <w:t xml:space="preserve"> medida en los términos acordados por las partes, dada la </w:t>
      </w:r>
      <w:r w:rsidRPr="00E232AB">
        <w:rPr>
          <w:i w:val="0"/>
          <w:szCs w:val="20"/>
          <w:lang w:val="es-CR"/>
        </w:rPr>
        <w:t>importancia de la reivindicación de la memoria y dignidad del señor Escaleras</w:t>
      </w:r>
      <w:r w:rsidR="00DE0618">
        <w:rPr>
          <w:i w:val="0"/>
          <w:szCs w:val="20"/>
          <w:lang w:val="es-CR"/>
        </w:rPr>
        <w:t xml:space="preserve"> Mejía</w:t>
      </w:r>
      <w:r w:rsidRPr="00E232AB">
        <w:rPr>
          <w:i w:val="0"/>
          <w:szCs w:val="20"/>
          <w:lang w:val="es-ES"/>
        </w:rPr>
        <w:t xml:space="preserve">. A fin de </w:t>
      </w:r>
      <w:r>
        <w:rPr>
          <w:i w:val="0"/>
          <w:szCs w:val="20"/>
          <w:lang w:val="es-ES"/>
        </w:rPr>
        <w:t>hacer efectiva</w:t>
      </w:r>
      <w:r w:rsidRPr="00E232AB">
        <w:rPr>
          <w:i w:val="0"/>
          <w:szCs w:val="20"/>
          <w:lang w:val="es-ES"/>
        </w:rPr>
        <w:t xml:space="preserve"> la medida de reparación, teniendo en consideración que el documental ya fue elaborado</w:t>
      </w:r>
      <w:r w:rsidR="00DE0618">
        <w:rPr>
          <w:i w:val="0"/>
          <w:szCs w:val="20"/>
          <w:lang w:val="es-ES"/>
        </w:rPr>
        <w:t>,</w:t>
      </w:r>
      <w:r w:rsidRPr="00E232AB">
        <w:rPr>
          <w:i w:val="0"/>
          <w:szCs w:val="20"/>
          <w:lang w:val="es-ES"/>
        </w:rPr>
        <w:t xml:space="preserve"> la presente medida deb</w:t>
      </w:r>
      <w:r>
        <w:rPr>
          <w:i w:val="0"/>
          <w:szCs w:val="20"/>
          <w:lang w:val="es-ES"/>
        </w:rPr>
        <w:t>e</w:t>
      </w:r>
      <w:r w:rsidRPr="00E232AB">
        <w:rPr>
          <w:i w:val="0"/>
          <w:szCs w:val="20"/>
          <w:lang w:val="es-ES"/>
        </w:rPr>
        <w:t xml:space="preserve"> ser cumplida dentro del término de seis meses desde la notificación de </w:t>
      </w:r>
      <w:r>
        <w:rPr>
          <w:i w:val="0"/>
          <w:szCs w:val="20"/>
          <w:lang w:val="es-ES"/>
        </w:rPr>
        <w:t>esta</w:t>
      </w:r>
      <w:r w:rsidRPr="00E232AB">
        <w:rPr>
          <w:i w:val="0"/>
          <w:szCs w:val="20"/>
          <w:lang w:val="es-ES"/>
        </w:rPr>
        <w:t xml:space="preserve"> Sentencia.</w:t>
      </w:r>
    </w:p>
    <w:p w14:paraId="055B02CC" w14:textId="45E0815A" w:rsidR="00E232AB" w:rsidRPr="00816C50" w:rsidRDefault="00AA5902" w:rsidP="00816C50">
      <w:pPr>
        <w:pStyle w:val="Heading3"/>
        <w:spacing w:after="100" w:afterAutospacing="1"/>
        <w:ind w:firstLine="720"/>
        <w:rPr>
          <w:b w:val="0"/>
          <w:szCs w:val="20"/>
          <w:lang w:val="es-ES"/>
        </w:rPr>
      </w:pPr>
      <w:bookmarkStart w:id="122" w:name="_Toc525713993"/>
      <w:r>
        <w:rPr>
          <w:b w:val="0"/>
          <w:szCs w:val="20"/>
          <w:lang w:val="es-ES"/>
        </w:rPr>
        <w:lastRenderedPageBreak/>
        <w:t>2</w:t>
      </w:r>
      <w:r w:rsidR="00B31F8D">
        <w:rPr>
          <w:b w:val="0"/>
          <w:szCs w:val="20"/>
          <w:lang w:val="es-ES"/>
        </w:rPr>
        <w:t xml:space="preserve">. </w:t>
      </w:r>
      <w:r w:rsidR="00E232AB" w:rsidRPr="00816C50">
        <w:rPr>
          <w:b w:val="0"/>
          <w:szCs w:val="20"/>
          <w:lang w:val="es-ES"/>
        </w:rPr>
        <w:t>Talleres de educación ambiental</w:t>
      </w:r>
      <w:bookmarkEnd w:id="122"/>
    </w:p>
    <w:p w14:paraId="0F86EE34" w14:textId="4963AACF" w:rsidR="00E232AB" w:rsidRPr="00816C50" w:rsidRDefault="00E232AB" w:rsidP="00A2739F">
      <w:pPr>
        <w:pStyle w:val="Estilo1"/>
        <w:numPr>
          <w:ilvl w:val="0"/>
          <w:numId w:val="2"/>
        </w:numPr>
        <w:tabs>
          <w:tab w:val="left" w:pos="0"/>
        </w:tabs>
        <w:spacing w:before="120"/>
        <w:ind w:left="0" w:right="-4" w:firstLine="0"/>
        <w:rPr>
          <w:b/>
          <w:i w:val="0"/>
          <w:szCs w:val="20"/>
          <w:lang w:val="es-CO"/>
        </w:rPr>
      </w:pPr>
      <w:r w:rsidRPr="00816C50">
        <w:rPr>
          <w:i w:val="0"/>
          <w:szCs w:val="20"/>
          <w:lang w:val="es-ES"/>
        </w:rPr>
        <w:t xml:space="preserve">En el Acuerdo, bajo el acápite de “Medidas de satisfacción”, el Estado se comprometió a que, por medio del Departamento de Educación, Comunicación, Ambiente y Salud (DECOAS), “continuará implementando el proceso de capacitación en temáticas ambientales a docentes del área de secundaria, hasta culminar el </w:t>
      </w:r>
      <w:r w:rsidR="00DE0618">
        <w:rPr>
          <w:i w:val="0"/>
          <w:szCs w:val="20"/>
          <w:lang w:val="es-ES"/>
        </w:rPr>
        <w:t xml:space="preserve">año </w:t>
      </w:r>
      <w:r w:rsidRPr="00816C50">
        <w:rPr>
          <w:i w:val="0"/>
          <w:szCs w:val="20"/>
          <w:lang w:val="es-ES"/>
        </w:rPr>
        <w:t>2018”. Manifestaron que el objetivo de ello “es que los docentes, a su vez, puedan aplicar en las aulas, las Guías Metodológicas de Gestión de Riesgo y Educación Ambiental, cumpliendo con la planificación de estas capacitaciones por el plazo acordado, de la manera que ya se ha estado haciendo”. Además, “el Estado presentará un informe que indique la cantidad de docentes formados y las regiones a las que pertenecen, la metodología utilizada para impartir las capacitaciones, la duración de las mismas, y un informe sobre los resultados obtenidos”. Finalmente, Honduras “se compromete a proveer la suficiente dotación financiera para asegurar el desarrollo de las capacitaciones hasta finalizar el año 2018”.</w:t>
      </w:r>
    </w:p>
    <w:p w14:paraId="466D0D2B" w14:textId="2D47EFFC" w:rsidR="00E232AB" w:rsidRPr="00816C50" w:rsidRDefault="00E232AB" w:rsidP="00A2739F">
      <w:pPr>
        <w:pStyle w:val="Estilo1"/>
        <w:numPr>
          <w:ilvl w:val="0"/>
          <w:numId w:val="2"/>
        </w:numPr>
        <w:tabs>
          <w:tab w:val="left" w:pos="0"/>
        </w:tabs>
        <w:spacing w:before="120"/>
        <w:ind w:left="0" w:right="-4" w:firstLine="0"/>
        <w:rPr>
          <w:b/>
          <w:i w:val="0"/>
          <w:szCs w:val="20"/>
          <w:lang w:val="es-CO"/>
        </w:rPr>
      </w:pPr>
      <w:r w:rsidRPr="00816C50">
        <w:rPr>
          <w:i w:val="0"/>
          <w:szCs w:val="20"/>
          <w:lang w:val="es-ES"/>
        </w:rPr>
        <w:t xml:space="preserve">La Corte valora positivamente la realización de los talleres de educación ambiental, lo que constituye una forma de reivindicación de la causa ambiental a la que se vinculaba la labor de defensa de derechos humanos de Carlos Escaleras Mejía. En atención a lo anterior, homologa la presente medida en los términos acordados por las partes. </w:t>
      </w:r>
      <w:r w:rsidR="00816C50" w:rsidRPr="00816C50">
        <w:rPr>
          <w:i w:val="0"/>
          <w:szCs w:val="20"/>
          <w:lang w:val="es-ES"/>
        </w:rPr>
        <w:t>E</w:t>
      </w:r>
      <w:r w:rsidRPr="00816C50">
        <w:rPr>
          <w:i w:val="0"/>
          <w:szCs w:val="20"/>
          <w:lang w:val="es-ES"/>
        </w:rPr>
        <w:t xml:space="preserve">l informe al que se hace referencia en el párrafo anterior deberá </w:t>
      </w:r>
      <w:r w:rsidR="00816C50" w:rsidRPr="00816C50">
        <w:rPr>
          <w:i w:val="0"/>
          <w:szCs w:val="20"/>
          <w:lang w:val="es-ES"/>
        </w:rPr>
        <w:t xml:space="preserve">ser remitido </w:t>
      </w:r>
      <w:r w:rsidRPr="00816C50">
        <w:rPr>
          <w:i w:val="0"/>
          <w:szCs w:val="20"/>
          <w:lang w:val="es-ES"/>
        </w:rPr>
        <w:t xml:space="preserve">dentro del término de seis meses una vez finalizadas las </w:t>
      </w:r>
      <w:r w:rsidR="00816C50" w:rsidRPr="00816C50">
        <w:rPr>
          <w:i w:val="0"/>
          <w:szCs w:val="20"/>
          <w:lang w:val="es-ES"/>
        </w:rPr>
        <w:t xml:space="preserve">referidas </w:t>
      </w:r>
      <w:r w:rsidRPr="00816C50">
        <w:rPr>
          <w:i w:val="0"/>
          <w:szCs w:val="20"/>
          <w:lang w:val="es-ES"/>
        </w:rPr>
        <w:t>capacitaciones.</w:t>
      </w:r>
    </w:p>
    <w:p w14:paraId="609F0103" w14:textId="50CF2286" w:rsidR="00E232AB" w:rsidRPr="00816C50" w:rsidRDefault="00E232AB" w:rsidP="00816C50">
      <w:pPr>
        <w:pStyle w:val="Heading3"/>
        <w:spacing w:after="100" w:afterAutospacing="1"/>
        <w:ind w:firstLine="720"/>
        <w:rPr>
          <w:b w:val="0"/>
          <w:szCs w:val="20"/>
          <w:lang w:val="es-ES"/>
        </w:rPr>
      </w:pPr>
      <w:bookmarkStart w:id="123" w:name="_Toc525713994"/>
      <w:r w:rsidRPr="00816C50">
        <w:rPr>
          <w:b w:val="0"/>
          <w:szCs w:val="20"/>
          <w:lang w:val="es-ES"/>
        </w:rPr>
        <w:t>3. Fideicomiso</w:t>
      </w:r>
      <w:bookmarkEnd w:id="123"/>
    </w:p>
    <w:p w14:paraId="4EF6BA7D" w14:textId="7BEE3A46" w:rsidR="00E232AB" w:rsidRPr="00816C50" w:rsidRDefault="00E232AB" w:rsidP="00A2739F">
      <w:pPr>
        <w:pStyle w:val="Estilo1"/>
        <w:numPr>
          <w:ilvl w:val="0"/>
          <w:numId w:val="2"/>
        </w:numPr>
        <w:tabs>
          <w:tab w:val="left" w:pos="0"/>
        </w:tabs>
        <w:spacing w:before="120"/>
        <w:ind w:left="0" w:right="-4" w:firstLine="0"/>
        <w:rPr>
          <w:b/>
          <w:i w:val="0"/>
          <w:szCs w:val="20"/>
          <w:lang w:val="es-ES"/>
        </w:rPr>
      </w:pPr>
      <w:r w:rsidRPr="00816C50">
        <w:rPr>
          <w:i w:val="0"/>
          <w:szCs w:val="20"/>
          <w:lang w:val="es-ES"/>
        </w:rPr>
        <w:t>Bajo el acápite de “Medidas de satisfacción” del Acuerdo de solución amistosa, el Estado y los representantes hicieron presente que “[p</w:t>
      </w:r>
      <w:r w:rsidRPr="00816C50">
        <w:rPr>
          <w:i w:val="0"/>
          <w:szCs w:val="20"/>
          <w:lang w:val="es-CO"/>
        </w:rPr>
        <w:t>]</w:t>
      </w:r>
      <w:r w:rsidRPr="00816C50">
        <w:rPr>
          <w:i w:val="0"/>
          <w:szCs w:val="20"/>
          <w:lang w:val="es-ES"/>
        </w:rPr>
        <w:t>ara garantizar la educación secundaria y universitaria de los jóvenes hijos de Carlos Escaleras[:</w:t>
      </w:r>
      <w:r w:rsidRPr="00816C50">
        <w:rPr>
          <w:i w:val="0"/>
          <w:szCs w:val="20"/>
          <w:lang w:val="es-CO"/>
        </w:rPr>
        <w:t>]</w:t>
      </w:r>
      <w:r w:rsidRPr="00816C50">
        <w:rPr>
          <w:i w:val="0"/>
          <w:szCs w:val="20"/>
          <w:lang w:val="es-ES"/>
        </w:rPr>
        <w:t xml:space="preserve"> Marta Agripina y Douglas Arnaldo Escaleras Alvarenga”, el Estado hondureño creó un fideicomiso por un monto de 30,000 dólares americanos, el que fue firmado con fecha 28 de septiembre de 2017 por la Procuraduría General de la República y ambos hijos de Carlos Escaleras </w:t>
      </w:r>
      <w:r w:rsidR="00DE0618">
        <w:rPr>
          <w:i w:val="0"/>
          <w:szCs w:val="20"/>
          <w:lang w:val="es-ES"/>
        </w:rPr>
        <w:t xml:space="preserve">Mejía </w:t>
      </w:r>
      <w:r w:rsidRPr="00816C50">
        <w:rPr>
          <w:i w:val="0"/>
          <w:szCs w:val="20"/>
          <w:lang w:val="es-ES"/>
        </w:rPr>
        <w:t>como fideicomitentes, y el Banco de Desarrollo Rural como fiduciario. El Estado se comprometió a cumplir los términos pactados en el citado fideicomiso, que forma</w:t>
      </w:r>
      <w:r w:rsidR="00DE0618">
        <w:rPr>
          <w:i w:val="0"/>
          <w:szCs w:val="20"/>
          <w:lang w:val="es-ES"/>
        </w:rPr>
        <w:t>n</w:t>
      </w:r>
      <w:r w:rsidRPr="00816C50">
        <w:rPr>
          <w:i w:val="0"/>
          <w:szCs w:val="20"/>
          <w:lang w:val="es-ES"/>
        </w:rPr>
        <w:t xml:space="preserve"> parte integral del Acuerdo.</w:t>
      </w:r>
    </w:p>
    <w:p w14:paraId="6A5D248D" w14:textId="1B127770" w:rsidR="00E232AB" w:rsidRPr="00816C50" w:rsidRDefault="00E232AB" w:rsidP="00A2739F">
      <w:pPr>
        <w:pStyle w:val="Estilo1"/>
        <w:numPr>
          <w:ilvl w:val="0"/>
          <w:numId w:val="2"/>
        </w:numPr>
        <w:tabs>
          <w:tab w:val="left" w:pos="0"/>
        </w:tabs>
        <w:spacing w:before="120"/>
        <w:ind w:left="0" w:right="-4" w:firstLine="0"/>
        <w:rPr>
          <w:b/>
          <w:i w:val="0"/>
          <w:szCs w:val="20"/>
          <w:lang w:val="es-ES"/>
        </w:rPr>
      </w:pPr>
      <w:r w:rsidRPr="00816C50">
        <w:rPr>
          <w:i w:val="0"/>
          <w:szCs w:val="20"/>
          <w:lang w:val="es-ES"/>
        </w:rPr>
        <w:t>La Corte valora positivamente el compromiso asumido por Honduras dirigido a que las víctimas Mart</w:t>
      </w:r>
      <w:r w:rsidR="00201786">
        <w:rPr>
          <w:i w:val="0"/>
          <w:szCs w:val="20"/>
          <w:lang w:val="es-ES"/>
        </w:rPr>
        <w:t>h</w:t>
      </w:r>
      <w:r w:rsidRPr="00816C50">
        <w:rPr>
          <w:i w:val="0"/>
          <w:szCs w:val="20"/>
          <w:lang w:val="es-ES"/>
        </w:rPr>
        <w:t>a Agripina y Douglas Arnaldo, ambos de apellidos Escaleras Alvarenga, puedan recibir educación tanto a nivel secundario como universitario, y homologa dicha medida en los términos acordados por las partes.</w:t>
      </w:r>
    </w:p>
    <w:p w14:paraId="76896180" w14:textId="2B644089" w:rsidR="001F00B4" w:rsidRPr="001F00B4" w:rsidRDefault="001F00B4" w:rsidP="00D432A7">
      <w:pPr>
        <w:pStyle w:val="Heading2"/>
        <w:keepLines w:val="0"/>
        <w:numPr>
          <w:ilvl w:val="0"/>
          <w:numId w:val="16"/>
        </w:numPr>
        <w:spacing w:before="240" w:after="240"/>
        <w:rPr>
          <w:rFonts w:ascii="Verdana" w:hAnsi="Verdana" w:cs="Tahoma"/>
          <w:i/>
          <w:color w:val="auto"/>
          <w:sz w:val="20"/>
          <w:lang w:eastAsia="x-none"/>
        </w:rPr>
      </w:pPr>
      <w:bookmarkStart w:id="124" w:name="_Toc525713995"/>
      <w:r w:rsidRPr="001F00B4">
        <w:rPr>
          <w:rFonts w:ascii="Verdana" w:hAnsi="Verdana" w:cs="Tahoma"/>
          <w:i/>
          <w:color w:val="auto"/>
          <w:sz w:val="20"/>
          <w:lang w:eastAsia="x-none"/>
        </w:rPr>
        <w:t>Garantías de no repetición</w:t>
      </w:r>
      <w:bookmarkEnd w:id="124"/>
    </w:p>
    <w:p w14:paraId="64920304" w14:textId="4F50A858" w:rsidR="00E232AB" w:rsidRPr="001F00B4" w:rsidRDefault="00E232AB" w:rsidP="003D5096">
      <w:pPr>
        <w:pStyle w:val="Heading3"/>
        <w:numPr>
          <w:ilvl w:val="0"/>
          <w:numId w:val="12"/>
        </w:numPr>
        <w:spacing w:after="100" w:afterAutospacing="1"/>
        <w:rPr>
          <w:b w:val="0"/>
          <w:szCs w:val="20"/>
          <w:lang w:val="es-ES"/>
        </w:rPr>
      </w:pPr>
      <w:bookmarkStart w:id="125" w:name="_Toc525713996"/>
      <w:r w:rsidRPr="001F00B4">
        <w:rPr>
          <w:b w:val="0"/>
          <w:szCs w:val="20"/>
          <w:lang w:val="es-ES"/>
        </w:rPr>
        <w:t>Aprobación e implementación de un protocolo de debida diligencia en la investigación de delitos cometidos en contra de personas defensoras de derechos humanos</w:t>
      </w:r>
      <w:bookmarkEnd w:id="125"/>
    </w:p>
    <w:p w14:paraId="508A9096" w14:textId="3479371B" w:rsidR="00E232AB" w:rsidRPr="001F00B4" w:rsidRDefault="00E232AB" w:rsidP="00A2739F">
      <w:pPr>
        <w:pStyle w:val="Estilo1"/>
        <w:numPr>
          <w:ilvl w:val="0"/>
          <w:numId w:val="2"/>
        </w:numPr>
        <w:tabs>
          <w:tab w:val="left" w:pos="0"/>
        </w:tabs>
        <w:spacing w:before="120"/>
        <w:ind w:left="0" w:right="-4" w:firstLine="0"/>
        <w:rPr>
          <w:i w:val="0"/>
          <w:szCs w:val="20"/>
          <w:lang w:val="es-ES"/>
        </w:rPr>
      </w:pPr>
      <w:r w:rsidRPr="001F00B4">
        <w:rPr>
          <w:i w:val="0"/>
          <w:szCs w:val="20"/>
          <w:lang w:val="es-ES"/>
        </w:rPr>
        <w:t xml:space="preserve">En el Acuerdo de solución amistosa el Estado reconoció la situación de riesgo que viven las personas defensoras de derechos humanos en Honduras, por lo cual se comprometió a “aprobar e implementar un protocolo de debida diligencia para la investigación de crímenes cometidos en contra de defensores y defensoras de derechos humanos”. Este protocolo deberá incorporar como mínimo: i) los riesgos inherentes a la labor de defensa de los derechos humanos; ii) el contexto en el cual desarrollan su trabajo las personas defensoras de derechos humanos; iii) la perspectiva de género e intercultural en la investigación de los delitos involucrados; y iv) las mejores prácticas y estándares </w:t>
      </w:r>
      <w:r w:rsidRPr="001F00B4">
        <w:rPr>
          <w:i w:val="0"/>
          <w:szCs w:val="20"/>
          <w:lang w:val="es-ES"/>
        </w:rPr>
        <w:lastRenderedPageBreak/>
        <w:t xml:space="preserve">internacionales sobre debida diligencia según el tipo de delito (por ejemplo, ejecuciones extrajudiciales, </w:t>
      </w:r>
      <w:r w:rsidR="00206D5D">
        <w:rPr>
          <w:i w:val="0"/>
          <w:szCs w:val="20"/>
          <w:lang w:val="es-CR"/>
        </w:rPr>
        <w:t>homicidios</w:t>
      </w:r>
      <w:r w:rsidRPr="001F00B4">
        <w:rPr>
          <w:i w:val="0"/>
          <w:szCs w:val="20"/>
          <w:lang w:val="es-ES"/>
        </w:rPr>
        <w:t>, tortura y amenazas).</w:t>
      </w:r>
    </w:p>
    <w:p w14:paraId="6ED9A60D" w14:textId="71781235" w:rsidR="00E232AB" w:rsidRPr="001F00B4" w:rsidRDefault="00E232AB" w:rsidP="00A2739F">
      <w:pPr>
        <w:pStyle w:val="Estilo1"/>
        <w:numPr>
          <w:ilvl w:val="0"/>
          <w:numId w:val="2"/>
        </w:numPr>
        <w:tabs>
          <w:tab w:val="left" w:pos="0"/>
        </w:tabs>
        <w:spacing w:before="120"/>
        <w:ind w:left="0" w:right="-4" w:firstLine="0"/>
        <w:rPr>
          <w:i w:val="0"/>
          <w:szCs w:val="20"/>
          <w:lang w:val="es-ES"/>
        </w:rPr>
      </w:pPr>
      <w:r w:rsidRPr="001F00B4">
        <w:rPr>
          <w:i w:val="0"/>
          <w:szCs w:val="20"/>
          <w:lang w:val="es-ES"/>
        </w:rPr>
        <w:t xml:space="preserve">Para la </w:t>
      </w:r>
      <w:r w:rsidR="001F00B4" w:rsidRPr="001F00B4">
        <w:rPr>
          <w:i w:val="0"/>
          <w:szCs w:val="20"/>
          <w:lang w:val="es-ES"/>
        </w:rPr>
        <w:t>elaboración</w:t>
      </w:r>
      <w:r w:rsidRPr="001F00B4">
        <w:rPr>
          <w:i w:val="0"/>
          <w:szCs w:val="20"/>
          <w:lang w:val="es-ES"/>
        </w:rPr>
        <w:t xml:space="preserve"> del protocolo, el Estado se comprometió a contar con “un grupo integrado por miembros de la Fiscalía Especial de delitos contra la vida, Fiscalía Especial de Derechos Humanos de</w:t>
      </w:r>
      <w:r w:rsidR="00DE0618">
        <w:rPr>
          <w:i w:val="0"/>
          <w:szCs w:val="20"/>
          <w:lang w:val="es-ES"/>
        </w:rPr>
        <w:t>l</w:t>
      </w:r>
      <w:r w:rsidRPr="001F00B4">
        <w:rPr>
          <w:i w:val="0"/>
          <w:szCs w:val="20"/>
          <w:lang w:val="es-ES"/>
        </w:rPr>
        <w:t xml:space="preserve"> Módulo Estratégico de Persecución Penal (MPP) de la Unidad de Convenios y Asuntos Internacionales del Ministerio Público, y especialistas en protocolos de investigación”. Además, se comprometió a permitir la incorporación de personal del Alto Comisionado de las Naciones Unidas para los Derechos Humanos (OACNUDH) en Honduras como apoyo técnico. El Estado se obligó a gestionar la dotación presupuestaria necesaria para asegurar el trabajo del grupo mencionado. </w:t>
      </w:r>
    </w:p>
    <w:p w14:paraId="2EC43F94" w14:textId="0D57EABA" w:rsidR="00E232AB" w:rsidRPr="001F00B4" w:rsidRDefault="00E232AB" w:rsidP="00A2739F">
      <w:pPr>
        <w:pStyle w:val="Estilo1"/>
        <w:numPr>
          <w:ilvl w:val="0"/>
          <w:numId w:val="2"/>
        </w:numPr>
        <w:tabs>
          <w:tab w:val="left" w:pos="0"/>
        </w:tabs>
        <w:spacing w:before="120"/>
        <w:ind w:left="0" w:right="-4" w:firstLine="0"/>
        <w:rPr>
          <w:i w:val="0"/>
          <w:szCs w:val="20"/>
          <w:lang w:val="es-ES"/>
        </w:rPr>
      </w:pPr>
      <w:r w:rsidRPr="001F00B4">
        <w:rPr>
          <w:i w:val="0"/>
          <w:szCs w:val="20"/>
          <w:lang w:val="es-ES"/>
        </w:rPr>
        <w:t>El citado Acuerdo contempló el compromiso del Estado de informar a las víctimas y sus representantes cada cuatro meses acerca de los avances en la elaboración del protocolo descrito. Su borrador se socializará con organizaciones especializadas que se determinarán de manera conjunta, las que podrán presentar recomendaciones u observaciones que el Estado deberá tomar en cuenta. En caso de no incorporarlas, el Estado deberá razonar justificadamente los motivos. Este protocolo se aprobará e implementará en un plazo máximo de 18 meses desde la firma del acuerdo, es decir, desde el 4 de mayo de 2018.</w:t>
      </w:r>
    </w:p>
    <w:p w14:paraId="39C7D82C" w14:textId="7E60D362" w:rsidR="00E232AB" w:rsidRPr="001F00B4" w:rsidRDefault="00E232AB" w:rsidP="00A2739F">
      <w:pPr>
        <w:pStyle w:val="Estilo1"/>
        <w:numPr>
          <w:ilvl w:val="0"/>
          <w:numId w:val="2"/>
        </w:numPr>
        <w:tabs>
          <w:tab w:val="left" w:pos="0"/>
        </w:tabs>
        <w:spacing w:before="120"/>
        <w:ind w:left="0" w:right="-4" w:firstLine="0"/>
        <w:rPr>
          <w:i w:val="0"/>
          <w:szCs w:val="20"/>
          <w:lang w:val="es-ES"/>
        </w:rPr>
      </w:pPr>
      <w:r w:rsidRPr="001F00B4">
        <w:rPr>
          <w:i w:val="0"/>
          <w:szCs w:val="20"/>
          <w:lang w:val="es-ES"/>
        </w:rPr>
        <w:t>Por último, el Estado se comprometió a que, luego de 18 meses desde la entrada en vigencia del protocolo, “presentará un informe final sobre las acciones adoptadas para la implementación efectiva y el estado de cumplimiento del protocolo[,</w:t>
      </w:r>
      <w:r w:rsidRPr="001F00B4">
        <w:rPr>
          <w:i w:val="0"/>
          <w:szCs w:val="20"/>
          <w:lang w:val="es-CO"/>
        </w:rPr>
        <w:t>]</w:t>
      </w:r>
      <w:r w:rsidRPr="001F00B4">
        <w:rPr>
          <w:i w:val="0"/>
          <w:szCs w:val="20"/>
          <w:lang w:val="es-ES"/>
        </w:rPr>
        <w:t xml:space="preserve"> incluyendo estadísticas sobre los casos investigados y las etapas en las que se encuentran”.</w:t>
      </w:r>
    </w:p>
    <w:p w14:paraId="42BCEDCB" w14:textId="62D7F68D" w:rsidR="00E232AB" w:rsidRPr="001F00B4" w:rsidRDefault="00E232AB" w:rsidP="00A2739F">
      <w:pPr>
        <w:pStyle w:val="Estilo1"/>
        <w:numPr>
          <w:ilvl w:val="0"/>
          <w:numId w:val="2"/>
        </w:numPr>
        <w:tabs>
          <w:tab w:val="left" w:pos="0"/>
        </w:tabs>
        <w:spacing w:before="120"/>
        <w:ind w:left="0" w:right="-4" w:firstLine="0"/>
        <w:rPr>
          <w:i w:val="0"/>
          <w:szCs w:val="20"/>
          <w:lang w:val="es-ES"/>
        </w:rPr>
      </w:pPr>
      <w:r w:rsidRPr="001F00B4">
        <w:rPr>
          <w:i w:val="0"/>
          <w:szCs w:val="20"/>
          <w:lang w:val="es-ES"/>
        </w:rPr>
        <w:t xml:space="preserve">La Corte homologa la presente medida en los términos acordados por las partes, y valora la voluntad del Estado de elaborar un protocolo de investigación para estos casos, habida cuenta de las deficiencias investigativas en este caso que fueron reconocidas por el Estado, así como la situación de riesgo en la que se encuentran los defensores ambientales en Honduras y la impunidad general en la que se encuentran los crímenes cometidos contra </w:t>
      </w:r>
      <w:r w:rsidR="00DE0618">
        <w:rPr>
          <w:i w:val="0"/>
          <w:szCs w:val="20"/>
          <w:lang w:val="es-ES"/>
        </w:rPr>
        <w:t>é</w:t>
      </w:r>
      <w:r w:rsidRPr="001F00B4">
        <w:rPr>
          <w:i w:val="0"/>
          <w:szCs w:val="20"/>
          <w:lang w:val="es-ES"/>
        </w:rPr>
        <w:t>stos, según fue reconocido en el marco fáctico</w:t>
      </w:r>
      <w:r w:rsidR="001F00B4" w:rsidRPr="001F00B4">
        <w:rPr>
          <w:i w:val="0"/>
          <w:szCs w:val="20"/>
          <w:lang w:val="es-ES"/>
        </w:rPr>
        <w:t xml:space="preserve"> descrito.</w:t>
      </w:r>
    </w:p>
    <w:p w14:paraId="64FB6E78" w14:textId="7219DFAF" w:rsidR="00E232AB" w:rsidRPr="001F00B4" w:rsidRDefault="00E232AB" w:rsidP="003D5096">
      <w:pPr>
        <w:pStyle w:val="Heading3"/>
        <w:numPr>
          <w:ilvl w:val="0"/>
          <w:numId w:val="12"/>
        </w:numPr>
        <w:spacing w:after="100" w:afterAutospacing="1"/>
        <w:rPr>
          <w:b w:val="0"/>
          <w:szCs w:val="20"/>
          <w:lang w:val="es-ES"/>
        </w:rPr>
      </w:pPr>
      <w:bookmarkStart w:id="126" w:name="_Toc525713997"/>
      <w:r w:rsidRPr="001F00B4">
        <w:rPr>
          <w:b w:val="0"/>
          <w:szCs w:val="20"/>
          <w:lang w:val="es-ES"/>
        </w:rPr>
        <w:t>Coordinación interinstitucional para la aplicación efectiva de la Ley de Protección a Testigos</w:t>
      </w:r>
      <w:bookmarkEnd w:id="126"/>
    </w:p>
    <w:p w14:paraId="1CC9D6C0" w14:textId="183ABA22" w:rsidR="00E232AB" w:rsidRPr="001F00B4" w:rsidRDefault="00E232AB" w:rsidP="00A2739F">
      <w:pPr>
        <w:pStyle w:val="Estilo1"/>
        <w:numPr>
          <w:ilvl w:val="0"/>
          <w:numId w:val="2"/>
        </w:numPr>
        <w:tabs>
          <w:tab w:val="left" w:pos="0"/>
        </w:tabs>
        <w:spacing w:before="120"/>
        <w:ind w:left="0" w:right="-4" w:firstLine="0"/>
        <w:rPr>
          <w:i w:val="0"/>
          <w:szCs w:val="20"/>
          <w:lang w:val="es-ES"/>
        </w:rPr>
      </w:pPr>
      <w:r w:rsidRPr="001F00B4">
        <w:rPr>
          <w:i w:val="0"/>
          <w:szCs w:val="20"/>
          <w:lang w:val="es-ES"/>
        </w:rPr>
        <w:t>El Estado manifestó en el Acuerdo que en Honduras se encuentra vigente la Ley de Protección a Testigos en el Proceso Penal</w:t>
      </w:r>
      <w:r w:rsidRPr="001F00B4">
        <w:rPr>
          <w:i w:val="0"/>
          <w:szCs w:val="20"/>
          <w:vertAlign w:val="superscript"/>
          <w:lang w:val="es-ES"/>
        </w:rPr>
        <w:footnoteReference w:id="84"/>
      </w:r>
      <w:r w:rsidRPr="001F00B4">
        <w:rPr>
          <w:i w:val="0"/>
          <w:szCs w:val="20"/>
          <w:lang w:val="es-ES"/>
        </w:rPr>
        <w:t>, la que crea un sistema de protección, adscrito al Ministerio Público, para que las personas que deben presentar testimonio en investigaciones penales lo hagan bajo un régimen que les asegure su integridad física y la de sus familiares. El Estado agregó que, en marco del arreglo amistoso de cumplimiento de las recomendaciones</w:t>
      </w:r>
      <w:r w:rsidR="00B57652" w:rsidRPr="001F00B4">
        <w:rPr>
          <w:i w:val="0"/>
          <w:szCs w:val="20"/>
          <w:lang w:val="es-ES"/>
        </w:rPr>
        <w:t xml:space="preserve">, </w:t>
      </w:r>
      <w:r w:rsidRPr="001F00B4">
        <w:rPr>
          <w:i w:val="0"/>
          <w:szCs w:val="20"/>
          <w:lang w:val="es-ES"/>
        </w:rPr>
        <w:t>creó una Comisión conformada por personas nombradas por las organizaciones representantes de las víctimas y funcionarios del Ministerio Público, cuya misión consistió en analizar la Ley, evaluar su efectividad y proponer reformas a la misma. Indicó que del trabajo de esta Comisión emanó el Reglamento Especial de la Ley de Protección a Testigos en el Proceso Penal</w:t>
      </w:r>
      <w:r w:rsidRPr="001F00B4">
        <w:rPr>
          <w:i w:val="0"/>
          <w:szCs w:val="20"/>
          <w:vertAlign w:val="superscript"/>
          <w:lang w:val="es-ES"/>
        </w:rPr>
        <w:footnoteReference w:id="85"/>
      </w:r>
      <w:r w:rsidRPr="001F00B4">
        <w:rPr>
          <w:i w:val="0"/>
          <w:szCs w:val="20"/>
          <w:lang w:val="es-ES"/>
        </w:rPr>
        <w:t>.</w:t>
      </w:r>
    </w:p>
    <w:p w14:paraId="06403F79" w14:textId="2DB66AC0" w:rsidR="00E232AB" w:rsidRPr="001F00B4" w:rsidRDefault="00E232AB" w:rsidP="00A2739F">
      <w:pPr>
        <w:pStyle w:val="Estilo1"/>
        <w:numPr>
          <w:ilvl w:val="0"/>
          <w:numId w:val="2"/>
        </w:numPr>
        <w:tabs>
          <w:tab w:val="left" w:pos="0"/>
        </w:tabs>
        <w:spacing w:before="120"/>
        <w:ind w:left="0" w:right="-4" w:firstLine="0"/>
        <w:rPr>
          <w:i w:val="0"/>
          <w:szCs w:val="20"/>
          <w:lang w:val="es-ES"/>
        </w:rPr>
      </w:pPr>
      <w:r w:rsidRPr="001F00B4">
        <w:rPr>
          <w:i w:val="0"/>
          <w:szCs w:val="20"/>
          <w:lang w:val="es-ES"/>
        </w:rPr>
        <w:t>En concreto, el Estado se comprometió a que, en un plazo de seis meses contados a partir de la firma del Acuerdo —es decir, 4 de mayo de 2018— “las organizaciones podrán hacer observaciones que el Estado se compromete a valorar” a fin de incorporarlas. “En caso de no incorporar las observaciones y no realizar las reformas correspondientes, el Estado deberá razonar justificadamente los motivos”.</w:t>
      </w:r>
    </w:p>
    <w:p w14:paraId="69CFAF84" w14:textId="2003688B" w:rsidR="00E232AB" w:rsidRPr="001F00B4" w:rsidRDefault="00E232AB" w:rsidP="00A2739F">
      <w:pPr>
        <w:pStyle w:val="Estilo1"/>
        <w:numPr>
          <w:ilvl w:val="0"/>
          <w:numId w:val="2"/>
        </w:numPr>
        <w:tabs>
          <w:tab w:val="left" w:pos="0"/>
        </w:tabs>
        <w:spacing w:before="120"/>
        <w:ind w:left="0" w:right="-4" w:firstLine="0"/>
        <w:rPr>
          <w:i w:val="0"/>
          <w:szCs w:val="20"/>
          <w:lang w:val="es-ES"/>
        </w:rPr>
      </w:pPr>
      <w:r w:rsidRPr="001F00B4">
        <w:rPr>
          <w:i w:val="0"/>
          <w:szCs w:val="20"/>
          <w:lang w:val="es-ES"/>
        </w:rPr>
        <w:lastRenderedPageBreak/>
        <w:t xml:space="preserve">La Corte valora la creación la Comisión referida en el párrafo </w:t>
      </w:r>
      <w:r w:rsidR="00375613">
        <w:rPr>
          <w:i w:val="0"/>
          <w:szCs w:val="20"/>
          <w:lang w:val="es-ES"/>
        </w:rPr>
        <w:t>98</w:t>
      </w:r>
      <w:r w:rsidR="00375613" w:rsidRPr="001F00B4">
        <w:rPr>
          <w:i w:val="0"/>
          <w:szCs w:val="20"/>
          <w:lang w:val="es-ES"/>
        </w:rPr>
        <w:t xml:space="preserve"> </w:t>
      </w:r>
      <w:r w:rsidRPr="001F00B4">
        <w:rPr>
          <w:i w:val="0"/>
          <w:szCs w:val="20"/>
          <w:lang w:val="es-ES"/>
        </w:rPr>
        <w:t xml:space="preserve">a propósito del Acuerdo de cumplimiento de recomendaciones de la Comisión Interamericana, </w:t>
      </w:r>
      <w:r w:rsidR="002A2142">
        <w:rPr>
          <w:i w:val="0"/>
          <w:szCs w:val="20"/>
          <w:lang w:val="es-ES"/>
        </w:rPr>
        <w:t xml:space="preserve">así como </w:t>
      </w:r>
      <w:r w:rsidRPr="001F00B4">
        <w:rPr>
          <w:i w:val="0"/>
          <w:szCs w:val="20"/>
          <w:lang w:val="es-ES"/>
        </w:rPr>
        <w:t xml:space="preserve">el compromiso reflejado en la dictación del Reglamento Especial y reconoce la necesidad de la efectiva implementación de la Ley de Protección a Testigos. El Tribunal homologa la presente medida en los términos acordados por las partes. </w:t>
      </w:r>
    </w:p>
    <w:p w14:paraId="5F8D3B62" w14:textId="22A6BFD4" w:rsidR="00E232AB" w:rsidRPr="001F00B4" w:rsidRDefault="00E232AB" w:rsidP="003D5096">
      <w:pPr>
        <w:pStyle w:val="Heading3"/>
        <w:numPr>
          <w:ilvl w:val="0"/>
          <w:numId w:val="12"/>
        </w:numPr>
        <w:spacing w:after="100" w:afterAutospacing="1"/>
        <w:rPr>
          <w:b w:val="0"/>
          <w:szCs w:val="20"/>
          <w:lang w:val="es-ES"/>
        </w:rPr>
      </w:pPr>
      <w:bookmarkStart w:id="127" w:name="_Toc525713998"/>
      <w:r w:rsidRPr="001F00B4">
        <w:rPr>
          <w:b w:val="0"/>
          <w:szCs w:val="20"/>
          <w:lang w:val="es-ES"/>
        </w:rPr>
        <w:t>Coordinación interinstitucional para diligenciar las investigaciones de los delitos que se cometan contra personas defensoras de derechos humanos</w:t>
      </w:r>
      <w:bookmarkEnd w:id="127"/>
    </w:p>
    <w:p w14:paraId="482C1609" w14:textId="770C019C" w:rsidR="00E232AB" w:rsidRPr="001F00B4" w:rsidRDefault="00E232AB" w:rsidP="00A2739F">
      <w:pPr>
        <w:pStyle w:val="Estilo1"/>
        <w:numPr>
          <w:ilvl w:val="0"/>
          <w:numId w:val="2"/>
        </w:numPr>
        <w:tabs>
          <w:tab w:val="left" w:pos="0"/>
        </w:tabs>
        <w:spacing w:before="120"/>
        <w:ind w:left="0" w:right="-4" w:firstLine="0"/>
        <w:rPr>
          <w:i w:val="0"/>
          <w:szCs w:val="20"/>
          <w:lang w:val="es-ES"/>
        </w:rPr>
      </w:pPr>
      <w:r w:rsidRPr="001F00B4">
        <w:rPr>
          <w:i w:val="0"/>
          <w:szCs w:val="20"/>
          <w:lang w:val="es-ES"/>
        </w:rPr>
        <w:t>En el Acuerdo de solución amistosa el Estado manifestó que el 15 de mayo de 2015 aprobó la Ley de Protección para las y los Defensores de Derechos Humanos, Periodistas, Comunicadores Sociales y Operadores de Justicia</w:t>
      </w:r>
      <w:r w:rsidRPr="001F00B4">
        <w:rPr>
          <w:i w:val="0"/>
          <w:szCs w:val="20"/>
          <w:vertAlign w:val="superscript"/>
          <w:lang w:val="es-ES"/>
        </w:rPr>
        <w:footnoteReference w:id="86"/>
      </w:r>
      <w:r w:rsidRPr="001F00B4">
        <w:rPr>
          <w:i w:val="0"/>
          <w:szCs w:val="20"/>
          <w:lang w:val="es-ES"/>
        </w:rPr>
        <w:t xml:space="preserve">, la que cuenta con un Reglamento General. En el mismo Acuerdo, el Estado hondureño reconoció que “el deber de protección a defensores y defensoras de derechos humanos incluye la obligación de ejecutar acciones tendientes a eliminar situaciones de riesgo que afectan a estas personas, entre ellas, la investigación de los hechos delictivos ejecutados en su contra, desde una perspectiva que considere el contexto de su labor y que cuente siempre con su consentimiento”. </w:t>
      </w:r>
    </w:p>
    <w:p w14:paraId="5E5645A3" w14:textId="02AB0C85" w:rsidR="00E232AB" w:rsidRPr="001F00B4" w:rsidRDefault="00E232AB" w:rsidP="00A2739F">
      <w:pPr>
        <w:pStyle w:val="Estilo1"/>
        <w:numPr>
          <w:ilvl w:val="0"/>
          <w:numId w:val="2"/>
        </w:numPr>
        <w:tabs>
          <w:tab w:val="left" w:pos="0"/>
        </w:tabs>
        <w:spacing w:before="120"/>
        <w:ind w:left="0" w:right="-4" w:firstLine="0"/>
        <w:rPr>
          <w:i w:val="0"/>
          <w:szCs w:val="20"/>
          <w:lang w:val="es-ES"/>
        </w:rPr>
      </w:pPr>
      <w:r w:rsidRPr="001F00B4">
        <w:rPr>
          <w:i w:val="0"/>
          <w:szCs w:val="20"/>
          <w:lang w:val="es-ES"/>
        </w:rPr>
        <w:t>El Estado se obligó a “realizar una propuesta para mejorar la coordinación interinstitucional”, en atención a que el Ministerio Público es integrante del Consejo Nacional de Protección de Defensores y Defensoras de Derechos Humanos, así como integrante del Comité Técnico del Sistema Nacional de Protección. Esta propuesta “será presentada a las organizaciones representantes de las víctimas en un plazo de cinco (5) meses, contados a partir de la firma del presente Acuerdo”. Además, se comprometió a “valorar las observaciones e implementar el mecanismo de fortalecimiento en un tiempo no mayor a doce (12) meses contados a partir de la recepción de observaciones. En caso de no incorporar las observaciones realizadas, el Estado deberá razonar justificadamente los motivos”.</w:t>
      </w:r>
    </w:p>
    <w:p w14:paraId="2EBA6D69" w14:textId="57696DED" w:rsidR="00E232AB" w:rsidRPr="001F00B4" w:rsidRDefault="00E232AB" w:rsidP="00A2739F">
      <w:pPr>
        <w:pStyle w:val="Estilo1"/>
        <w:numPr>
          <w:ilvl w:val="0"/>
          <w:numId w:val="2"/>
        </w:numPr>
        <w:tabs>
          <w:tab w:val="left" w:pos="0"/>
        </w:tabs>
        <w:spacing w:before="120"/>
        <w:ind w:left="0" w:right="-4" w:firstLine="0"/>
        <w:rPr>
          <w:i w:val="0"/>
          <w:szCs w:val="20"/>
          <w:lang w:val="es-ES"/>
        </w:rPr>
      </w:pPr>
      <w:r w:rsidRPr="001F00B4">
        <w:rPr>
          <w:i w:val="0"/>
          <w:szCs w:val="20"/>
          <w:lang w:val="es-ES"/>
        </w:rPr>
        <w:t xml:space="preserve">La Corte valora positivamente la aprobación de la Ley de Protección para las y los Defensores de Derechos Humanos, Periodistas, Comunicadores Sociales y Operadores de Justicia, y el compromiso estatal de realizar una propuesta para mejorar la coordinación interinstitucional, razón por la cual homologa la presente medida en los términos acordados por la partes. </w:t>
      </w:r>
      <w:bookmarkStart w:id="128" w:name="_Toc470000732"/>
    </w:p>
    <w:p w14:paraId="41041DE6" w14:textId="2E349C51" w:rsidR="00E232AB" w:rsidRPr="003D5096" w:rsidRDefault="00E232AB" w:rsidP="00A2739F">
      <w:pPr>
        <w:pStyle w:val="Heading2"/>
        <w:keepLines w:val="0"/>
        <w:numPr>
          <w:ilvl w:val="0"/>
          <w:numId w:val="16"/>
        </w:numPr>
        <w:spacing w:before="240" w:after="240"/>
        <w:rPr>
          <w:rFonts w:ascii="Verdana" w:hAnsi="Verdana" w:cs="Tahoma"/>
          <w:i/>
          <w:color w:val="auto"/>
          <w:sz w:val="20"/>
          <w:lang w:eastAsia="x-none"/>
        </w:rPr>
      </w:pPr>
      <w:bookmarkStart w:id="129" w:name="_Toc525713999"/>
      <w:r w:rsidRPr="003D5096">
        <w:rPr>
          <w:rFonts w:ascii="Verdana" w:hAnsi="Verdana" w:cs="Tahoma"/>
          <w:i/>
          <w:color w:val="auto"/>
          <w:sz w:val="20"/>
          <w:lang w:eastAsia="x-none"/>
        </w:rPr>
        <w:t>Supervisión del cumplimiento del Acuerdo</w:t>
      </w:r>
      <w:bookmarkEnd w:id="128"/>
      <w:bookmarkEnd w:id="129"/>
    </w:p>
    <w:p w14:paraId="3C1B2DAA" w14:textId="584B795A" w:rsidR="00E232AB" w:rsidRPr="00B53A61" w:rsidRDefault="00E232AB" w:rsidP="00A2739F">
      <w:pPr>
        <w:pStyle w:val="Estilo1"/>
        <w:numPr>
          <w:ilvl w:val="0"/>
          <w:numId w:val="2"/>
        </w:numPr>
        <w:tabs>
          <w:tab w:val="left" w:pos="0"/>
        </w:tabs>
        <w:spacing w:before="120"/>
        <w:ind w:left="0" w:right="-4" w:firstLine="0"/>
        <w:rPr>
          <w:i w:val="0"/>
          <w:szCs w:val="20"/>
          <w:lang w:val="es-ES"/>
        </w:rPr>
      </w:pPr>
      <w:r w:rsidRPr="00B53A61">
        <w:rPr>
          <w:i w:val="0"/>
          <w:szCs w:val="20"/>
          <w:lang w:val="es-ES"/>
        </w:rPr>
        <w:t xml:space="preserve">En el marco del proceso de supervisión de cumplimiento de la presente Sentencia, la Corte determina que supervisará el cumplimiento de todas las medidas acordadas por las partes. El Acuerdo de arreglo amistoso suscrito entre los representantes a nombre de las víctimas y el Estado ha sido homologado por la presente Sentencia, razón por la cual cualquier controversia o diferencia que se suscite en razón del mismo será́ dilucidada por este Tribunal. </w:t>
      </w:r>
    </w:p>
    <w:p w14:paraId="79E63E4C" w14:textId="23A8D443" w:rsidR="00E232AB" w:rsidRDefault="00E232AB" w:rsidP="00E232AB">
      <w:pPr>
        <w:pStyle w:val="Heading1"/>
        <w:rPr>
          <w:szCs w:val="32"/>
          <w:lang w:val="es-ES_tradnl"/>
        </w:rPr>
      </w:pPr>
      <w:bookmarkStart w:id="130" w:name="_Toc324426965"/>
      <w:bookmarkStart w:id="131" w:name="_Toc525714000"/>
      <w:r>
        <w:t>IX</w:t>
      </w:r>
      <w:r w:rsidR="00152E5A" w:rsidRPr="001F751D">
        <w:rPr>
          <w:color w:val="FFFFFF" w:themeColor="background1"/>
        </w:rPr>
        <w:t>.</w:t>
      </w:r>
      <w:r>
        <w:br/>
        <w:t>PUNTOS RESOLUTIVOS</w:t>
      </w:r>
      <w:bookmarkEnd w:id="130"/>
      <w:bookmarkEnd w:id="131"/>
    </w:p>
    <w:p w14:paraId="681B135F" w14:textId="21A6FA17" w:rsidR="00E232AB" w:rsidRPr="00B53A61" w:rsidRDefault="00B53A61" w:rsidP="00A2739F">
      <w:pPr>
        <w:pStyle w:val="Estilo1"/>
        <w:numPr>
          <w:ilvl w:val="0"/>
          <w:numId w:val="2"/>
        </w:numPr>
        <w:tabs>
          <w:tab w:val="left" w:pos="0"/>
        </w:tabs>
        <w:spacing w:before="120"/>
        <w:ind w:left="0" w:right="-4" w:firstLine="0"/>
        <w:rPr>
          <w:i w:val="0"/>
          <w:szCs w:val="20"/>
        </w:rPr>
      </w:pPr>
      <w:r w:rsidRPr="00B53A61">
        <w:rPr>
          <w:i w:val="0"/>
          <w:szCs w:val="20"/>
        </w:rPr>
        <w:t>Por tanto</w:t>
      </w:r>
      <w:r>
        <w:rPr>
          <w:i w:val="0"/>
          <w:szCs w:val="20"/>
        </w:rPr>
        <w:t>,</w:t>
      </w:r>
    </w:p>
    <w:p w14:paraId="71C30118" w14:textId="77777777" w:rsidR="00E232AB" w:rsidRDefault="00E232AB" w:rsidP="00E232AB">
      <w:pPr>
        <w:rPr>
          <w:b/>
          <w:szCs w:val="20"/>
        </w:rPr>
      </w:pPr>
      <w:r>
        <w:rPr>
          <w:b/>
          <w:szCs w:val="20"/>
        </w:rPr>
        <w:t>LA CORTE</w:t>
      </w:r>
    </w:p>
    <w:p w14:paraId="610DF0E6" w14:textId="77777777" w:rsidR="00E232AB" w:rsidRDefault="00E232AB" w:rsidP="00E232AB">
      <w:pPr>
        <w:rPr>
          <w:b/>
          <w:szCs w:val="20"/>
        </w:rPr>
      </w:pPr>
    </w:p>
    <w:p w14:paraId="6EDF9912" w14:textId="77777777" w:rsidR="00E232AB" w:rsidRDefault="00E232AB" w:rsidP="00E232AB">
      <w:pPr>
        <w:rPr>
          <w:b/>
          <w:bCs/>
          <w:szCs w:val="20"/>
        </w:rPr>
      </w:pPr>
      <w:r>
        <w:rPr>
          <w:b/>
          <w:bCs/>
          <w:szCs w:val="20"/>
        </w:rPr>
        <w:t>DECIDE,</w:t>
      </w:r>
    </w:p>
    <w:p w14:paraId="13002880" w14:textId="77777777" w:rsidR="00E232AB" w:rsidRDefault="00E232AB" w:rsidP="00E232AB">
      <w:pPr>
        <w:rPr>
          <w:b/>
          <w:bCs/>
          <w:szCs w:val="20"/>
        </w:rPr>
      </w:pPr>
    </w:p>
    <w:p w14:paraId="081E6BA1" w14:textId="775E8739" w:rsidR="00E232AB" w:rsidRDefault="00E232AB" w:rsidP="00E232AB">
      <w:pPr>
        <w:rPr>
          <w:szCs w:val="20"/>
        </w:rPr>
      </w:pPr>
      <w:r>
        <w:rPr>
          <w:szCs w:val="20"/>
        </w:rPr>
        <w:t xml:space="preserve">por </w:t>
      </w:r>
      <w:r w:rsidR="00291826">
        <w:rPr>
          <w:szCs w:val="20"/>
        </w:rPr>
        <w:t>unanimidad</w:t>
      </w:r>
      <w:r>
        <w:rPr>
          <w:szCs w:val="20"/>
        </w:rPr>
        <w:t>,</w:t>
      </w:r>
      <w:r w:rsidR="00EF0680">
        <w:rPr>
          <w:szCs w:val="20"/>
        </w:rPr>
        <w:t xml:space="preserve"> que:</w:t>
      </w:r>
    </w:p>
    <w:p w14:paraId="17866DC3" w14:textId="0AE713DC" w:rsidR="00E232AB" w:rsidRDefault="00E232AB" w:rsidP="00EF0680">
      <w:pPr>
        <w:pStyle w:val="ListParagraph"/>
        <w:numPr>
          <w:ilvl w:val="0"/>
          <w:numId w:val="13"/>
        </w:numPr>
        <w:spacing w:before="120" w:after="120"/>
        <w:ind w:left="0" w:firstLine="0"/>
        <w:contextualSpacing w:val="0"/>
        <w:rPr>
          <w:szCs w:val="20"/>
        </w:rPr>
      </w:pPr>
      <w:r w:rsidRPr="00B53A61">
        <w:rPr>
          <w:szCs w:val="20"/>
        </w:rPr>
        <w:t xml:space="preserve">Homologar, en los términos de la presente Sentencia, el acuerdo de solución amistosa suscrito entre el Estado de Honduras y los representantes de las víctimas, presentado </w:t>
      </w:r>
      <w:r w:rsidR="00DE0618">
        <w:rPr>
          <w:szCs w:val="20"/>
        </w:rPr>
        <w:t xml:space="preserve">por el Estado </w:t>
      </w:r>
      <w:r w:rsidRPr="00B53A61">
        <w:rPr>
          <w:szCs w:val="20"/>
        </w:rPr>
        <w:t xml:space="preserve">a la Corte en conjunto con su escrito de contestación, en los términos del Capítulo VII de la presente Sentencia. </w:t>
      </w:r>
    </w:p>
    <w:p w14:paraId="1B2D81F2" w14:textId="7A242795" w:rsidR="00E232AB" w:rsidRDefault="00E232AB" w:rsidP="00EF0680">
      <w:pPr>
        <w:pStyle w:val="ListParagraph"/>
        <w:numPr>
          <w:ilvl w:val="0"/>
          <w:numId w:val="13"/>
        </w:numPr>
        <w:ind w:left="0" w:firstLine="0"/>
        <w:rPr>
          <w:szCs w:val="20"/>
        </w:rPr>
      </w:pPr>
      <w:r>
        <w:rPr>
          <w:szCs w:val="20"/>
        </w:rPr>
        <w:t>Aceptar el reconocimiento de responsabilidad internacional efectuado por el Estado en dicho Acuerdo.</w:t>
      </w:r>
    </w:p>
    <w:p w14:paraId="3BDEEBEB" w14:textId="77777777" w:rsidR="00E232AB" w:rsidRDefault="00E232AB" w:rsidP="00E232AB">
      <w:pPr>
        <w:rPr>
          <w:szCs w:val="20"/>
        </w:rPr>
      </w:pPr>
    </w:p>
    <w:p w14:paraId="07910510" w14:textId="77777777" w:rsidR="00E232AB" w:rsidRDefault="00E232AB" w:rsidP="00E232AB">
      <w:pPr>
        <w:rPr>
          <w:b/>
          <w:bCs/>
          <w:szCs w:val="20"/>
        </w:rPr>
      </w:pPr>
      <w:r>
        <w:rPr>
          <w:b/>
          <w:bCs/>
          <w:szCs w:val="20"/>
        </w:rPr>
        <w:t>DECLARA,</w:t>
      </w:r>
    </w:p>
    <w:p w14:paraId="617BE14C" w14:textId="77777777" w:rsidR="00E232AB" w:rsidRDefault="00E232AB" w:rsidP="00E232AB">
      <w:pPr>
        <w:rPr>
          <w:szCs w:val="20"/>
        </w:rPr>
      </w:pPr>
    </w:p>
    <w:p w14:paraId="687EFA12" w14:textId="0DEF0E41" w:rsidR="00E232AB" w:rsidRDefault="00E232AB" w:rsidP="00E232AB">
      <w:pPr>
        <w:rPr>
          <w:szCs w:val="20"/>
        </w:rPr>
      </w:pPr>
      <w:r>
        <w:rPr>
          <w:szCs w:val="20"/>
        </w:rPr>
        <w:t xml:space="preserve">por </w:t>
      </w:r>
      <w:r w:rsidR="00291826">
        <w:rPr>
          <w:szCs w:val="20"/>
        </w:rPr>
        <w:t>unanimidad</w:t>
      </w:r>
      <w:r>
        <w:rPr>
          <w:szCs w:val="20"/>
        </w:rPr>
        <w:t>, que:</w:t>
      </w:r>
    </w:p>
    <w:p w14:paraId="6A4C8018" w14:textId="77777777" w:rsidR="00E232AB" w:rsidRDefault="00E232AB" w:rsidP="00E232AB">
      <w:pPr>
        <w:rPr>
          <w:szCs w:val="20"/>
        </w:rPr>
      </w:pPr>
    </w:p>
    <w:p w14:paraId="13DB06B7" w14:textId="3F2EC8EF" w:rsidR="00E232AB" w:rsidRPr="00291826" w:rsidRDefault="00291826" w:rsidP="000A75AE">
      <w:pPr>
        <w:pStyle w:val="ListParagraph"/>
        <w:numPr>
          <w:ilvl w:val="0"/>
          <w:numId w:val="13"/>
        </w:numPr>
        <w:spacing w:before="120" w:after="120"/>
        <w:ind w:left="0" w:firstLine="0"/>
        <w:contextualSpacing w:val="0"/>
        <w:rPr>
          <w:szCs w:val="20"/>
        </w:rPr>
      </w:pPr>
      <w:r w:rsidRPr="00291826">
        <w:rPr>
          <w:szCs w:val="20"/>
        </w:rPr>
        <w:t>En consecuencia</w:t>
      </w:r>
      <w:r w:rsidR="00E232AB" w:rsidRPr="00291826">
        <w:rPr>
          <w:szCs w:val="20"/>
        </w:rPr>
        <w:t xml:space="preserve">, </w:t>
      </w:r>
      <w:r w:rsidR="000A75AE" w:rsidRPr="00291826">
        <w:rPr>
          <w:szCs w:val="20"/>
        </w:rPr>
        <w:t xml:space="preserve">el Estado violó </w:t>
      </w:r>
      <w:r w:rsidR="00E232AB" w:rsidRPr="00291826">
        <w:rPr>
          <w:szCs w:val="20"/>
        </w:rPr>
        <w:t xml:space="preserve">los derechos a la vida, libertad de asociación y derechos políticos, </w:t>
      </w:r>
      <w:r w:rsidR="00A2739F" w:rsidRPr="00291826">
        <w:rPr>
          <w:szCs w:val="20"/>
        </w:rPr>
        <w:t xml:space="preserve">contenidos </w:t>
      </w:r>
      <w:r w:rsidR="00E232AB" w:rsidRPr="00291826">
        <w:rPr>
          <w:szCs w:val="20"/>
        </w:rPr>
        <w:t>en los artículos 4.1, 16.1 y 23.1 de la Convención Americana sobre Derechos Humanos, en relación con el artículo 1.1 del mismo instrumento internacional, en perjuicio de Carlos Escaleras Mejías.</w:t>
      </w:r>
    </w:p>
    <w:p w14:paraId="549D66D5" w14:textId="2D156D11" w:rsidR="00E232AB" w:rsidRDefault="00291826" w:rsidP="00EF0680">
      <w:pPr>
        <w:pStyle w:val="ListParagraph"/>
        <w:numPr>
          <w:ilvl w:val="0"/>
          <w:numId w:val="13"/>
        </w:numPr>
        <w:spacing w:before="120" w:after="120"/>
        <w:ind w:left="0" w:firstLine="0"/>
        <w:contextualSpacing w:val="0"/>
        <w:rPr>
          <w:szCs w:val="20"/>
          <w:lang w:val="es-CR"/>
        </w:rPr>
      </w:pPr>
      <w:r w:rsidRPr="00291826">
        <w:rPr>
          <w:szCs w:val="20"/>
        </w:rPr>
        <w:t>En consecuencia</w:t>
      </w:r>
      <w:r w:rsidR="000A75AE" w:rsidRPr="00291826">
        <w:rPr>
          <w:szCs w:val="20"/>
        </w:rPr>
        <w:t>, el Estado violó</w:t>
      </w:r>
      <w:r w:rsidR="000A75AE">
        <w:rPr>
          <w:szCs w:val="20"/>
        </w:rPr>
        <w:t xml:space="preserve"> </w:t>
      </w:r>
      <w:r w:rsidR="00E232AB">
        <w:rPr>
          <w:szCs w:val="20"/>
        </w:rPr>
        <w:t xml:space="preserve">los derechos a la integridad personal, garantías judiciales y protección judicial, establecidos en los artículos 5.1, 8.1 y 25.1 de la Convención Americana sobre Derechos Humanos, en relación con el artículo 1.1 del mismo instrumento internacional, en perjuicio de los familiares de Carlos Escaleras Mejía, estos son, </w:t>
      </w:r>
      <w:r w:rsidR="00E232AB">
        <w:rPr>
          <w:szCs w:val="20"/>
          <w:lang w:val="es-ES"/>
        </w:rPr>
        <w:t>su madre Ofelia Mejía Márquez; su esposa Marta Mercedes Alvarenga Reyes; sus hijos e hijas Douglas Arnaldo, Emerson Alexander, Carlos Andrés, Martha Agripina y Omar Josué, todos de apellidos Escaleras Alvarenga; y sus hermanos y hermanas Eldyn, René Alberto, Yolanda, José Andrés, Omar y Alma Indiana, todos de apellidos Escaleras Mejía.</w:t>
      </w:r>
    </w:p>
    <w:p w14:paraId="357ED6BE" w14:textId="77777777" w:rsidR="00E232AB" w:rsidRDefault="00E232AB" w:rsidP="00E232AB">
      <w:pPr>
        <w:rPr>
          <w:szCs w:val="20"/>
          <w:lang w:val="es-CR"/>
        </w:rPr>
      </w:pPr>
    </w:p>
    <w:p w14:paraId="5E00F6F0" w14:textId="77777777" w:rsidR="00E232AB" w:rsidRDefault="00E232AB" w:rsidP="00E232AB">
      <w:pPr>
        <w:rPr>
          <w:b/>
          <w:szCs w:val="20"/>
          <w:lang w:val="es-CR"/>
        </w:rPr>
      </w:pPr>
      <w:r>
        <w:rPr>
          <w:b/>
          <w:szCs w:val="20"/>
          <w:lang w:val="es-CR"/>
        </w:rPr>
        <w:t>Y DISPONE</w:t>
      </w:r>
    </w:p>
    <w:p w14:paraId="660E2CB4" w14:textId="77777777" w:rsidR="00E232AB" w:rsidRDefault="00E232AB" w:rsidP="00E232AB">
      <w:pPr>
        <w:rPr>
          <w:b/>
          <w:szCs w:val="20"/>
          <w:lang w:val="es-CR"/>
        </w:rPr>
      </w:pPr>
    </w:p>
    <w:p w14:paraId="48D5D539" w14:textId="7ABFD0A8" w:rsidR="00E232AB" w:rsidRDefault="00E232AB" w:rsidP="00E232AB">
      <w:pPr>
        <w:rPr>
          <w:szCs w:val="20"/>
          <w:lang w:val="es-CR"/>
        </w:rPr>
      </w:pPr>
      <w:r>
        <w:rPr>
          <w:szCs w:val="20"/>
          <w:lang w:val="es-CR"/>
        </w:rPr>
        <w:t xml:space="preserve">por </w:t>
      </w:r>
      <w:r w:rsidR="00291826">
        <w:rPr>
          <w:szCs w:val="20"/>
          <w:lang w:val="es-CR"/>
        </w:rPr>
        <w:t>unanimidad</w:t>
      </w:r>
      <w:r>
        <w:rPr>
          <w:szCs w:val="20"/>
          <w:lang w:val="es-CR"/>
        </w:rPr>
        <w:t>, que:</w:t>
      </w:r>
    </w:p>
    <w:p w14:paraId="4E61D1C2" w14:textId="77777777" w:rsidR="00E232AB" w:rsidRDefault="00E232AB" w:rsidP="00E232AB">
      <w:pPr>
        <w:rPr>
          <w:szCs w:val="20"/>
          <w:lang w:val="es-CR"/>
        </w:rPr>
      </w:pPr>
    </w:p>
    <w:p w14:paraId="19B8E874" w14:textId="25806572" w:rsidR="00E232AB" w:rsidRDefault="00E232AB" w:rsidP="00EF0680">
      <w:pPr>
        <w:pStyle w:val="ListParagraph"/>
        <w:numPr>
          <w:ilvl w:val="0"/>
          <w:numId w:val="13"/>
        </w:numPr>
        <w:spacing w:before="120" w:after="120"/>
        <w:ind w:left="0" w:firstLine="0"/>
        <w:contextualSpacing w:val="0"/>
        <w:rPr>
          <w:szCs w:val="20"/>
          <w:lang w:val="es-CR"/>
        </w:rPr>
      </w:pPr>
      <w:r>
        <w:rPr>
          <w:szCs w:val="20"/>
          <w:lang w:val="es-CR"/>
        </w:rPr>
        <w:t xml:space="preserve">Esta Sentencia homologatoria constituye por sí misma una forma de reparación. </w:t>
      </w:r>
    </w:p>
    <w:p w14:paraId="65BA6FF9" w14:textId="6E6F35C5" w:rsidR="00E232AB" w:rsidRDefault="00291826" w:rsidP="00EF0680">
      <w:pPr>
        <w:pStyle w:val="ListParagraph"/>
        <w:numPr>
          <w:ilvl w:val="0"/>
          <w:numId w:val="13"/>
        </w:numPr>
        <w:spacing w:before="120" w:after="120"/>
        <w:ind w:left="0" w:firstLine="0"/>
        <w:contextualSpacing w:val="0"/>
        <w:rPr>
          <w:szCs w:val="20"/>
          <w:lang w:val="es-ES"/>
        </w:rPr>
      </w:pPr>
      <w:r w:rsidRPr="00291826">
        <w:rPr>
          <w:szCs w:val="20"/>
          <w:lang w:val="es-ES"/>
        </w:rPr>
        <w:t>En consecuencia</w:t>
      </w:r>
      <w:r w:rsidR="00E232AB">
        <w:rPr>
          <w:szCs w:val="20"/>
          <w:lang w:val="es-ES"/>
        </w:rPr>
        <w:t>, el Estado debe:</w:t>
      </w:r>
    </w:p>
    <w:p w14:paraId="3C668863" w14:textId="562C828B" w:rsidR="00E232AB" w:rsidRDefault="00E232AB" w:rsidP="00EF0680">
      <w:pPr>
        <w:spacing w:before="120" w:after="120"/>
        <w:ind w:left="708"/>
        <w:rPr>
          <w:szCs w:val="20"/>
          <w:lang w:val="es-ES"/>
        </w:rPr>
      </w:pPr>
      <w:r>
        <w:rPr>
          <w:szCs w:val="20"/>
          <w:lang w:val="es-ES"/>
        </w:rPr>
        <w:t xml:space="preserve">a) Transmitir el documental elaborado sobre la vida y labor de Carlos Escaleras </w:t>
      </w:r>
      <w:r w:rsidR="00DE0618">
        <w:rPr>
          <w:szCs w:val="20"/>
          <w:lang w:val="es-ES"/>
        </w:rPr>
        <w:t xml:space="preserve">Mejía </w:t>
      </w:r>
      <w:r>
        <w:rPr>
          <w:szCs w:val="20"/>
          <w:lang w:val="es-ES"/>
        </w:rPr>
        <w:t xml:space="preserve">como activista de derechos humanos, en los términos de los párrafos </w:t>
      </w:r>
      <w:r w:rsidR="00A15E90">
        <w:rPr>
          <w:szCs w:val="20"/>
          <w:lang w:val="es-ES"/>
        </w:rPr>
        <w:t xml:space="preserve">92 </w:t>
      </w:r>
      <w:r>
        <w:rPr>
          <w:szCs w:val="20"/>
          <w:lang w:val="es-ES"/>
        </w:rPr>
        <w:t xml:space="preserve">y </w:t>
      </w:r>
      <w:r w:rsidR="00A15E90">
        <w:rPr>
          <w:szCs w:val="20"/>
          <w:lang w:val="es-ES"/>
        </w:rPr>
        <w:t xml:space="preserve">93 </w:t>
      </w:r>
      <w:r>
        <w:rPr>
          <w:szCs w:val="20"/>
          <w:lang w:val="es-ES"/>
        </w:rPr>
        <w:t>de la presente Sentencia;</w:t>
      </w:r>
    </w:p>
    <w:p w14:paraId="448B0B24" w14:textId="45EA248F" w:rsidR="00E232AB" w:rsidRDefault="00E232AB" w:rsidP="00EF0680">
      <w:pPr>
        <w:spacing w:before="120" w:after="120"/>
        <w:ind w:left="708"/>
        <w:rPr>
          <w:szCs w:val="20"/>
          <w:lang w:val="es-ES"/>
        </w:rPr>
      </w:pPr>
      <w:r>
        <w:rPr>
          <w:szCs w:val="20"/>
          <w:lang w:val="es-ES"/>
        </w:rPr>
        <w:t xml:space="preserve">b) Continuar implementando el proceso de capacitación en temáticas ambientales a docentes del área secundaria, de conformidad con lo señalado en </w:t>
      </w:r>
      <w:r w:rsidR="00DE0618">
        <w:rPr>
          <w:szCs w:val="20"/>
          <w:lang w:val="es-ES"/>
        </w:rPr>
        <w:t>los párrafos</w:t>
      </w:r>
      <w:r>
        <w:rPr>
          <w:szCs w:val="20"/>
          <w:lang w:val="es-ES"/>
        </w:rPr>
        <w:t xml:space="preserve"> </w:t>
      </w:r>
      <w:r w:rsidR="00A15E90">
        <w:rPr>
          <w:szCs w:val="20"/>
          <w:lang w:val="es-ES"/>
        </w:rPr>
        <w:t xml:space="preserve">94 </w:t>
      </w:r>
      <w:r w:rsidR="00C9116F">
        <w:rPr>
          <w:szCs w:val="20"/>
          <w:lang w:val="es-ES"/>
        </w:rPr>
        <w:t xml:space="preserve">y </w:t>
      </w:r>
      <w:r w:rsidR="00A15E90">
        <w:rPr>
          <w:szCs w:val="20"/>
          <w:lang w:val="es-ES"/>
        </w:rPr>
        <w:t>95</w:t>
      </w:r>
      <w:r w:rsidR="00C9116F">
        <w:rPr>
          <w:szCs w:val="20"/>
          <w:lang w:val="es-ES"/>
        </w:rPr>
        <w:t xml:space="preserve">; </w:t>
      </w:r>
      <w:r>
        <w:rPr>
          <w:szCs w:val="20"/>
          <w:lang w:val="es-ES"/>
        </w:rPr>
        <w:t xml:space="preserve">y presentar el informe referido en el párrafo </w:t>
      </w:r>
      <w:r w:rsidR="00DE0618">
        <w:rPr>
          <w:szCs w:val="20"/>
          <w:lang w:val="es-ES"/>
        </w:rPr>
        <w:t xml:space="preserve">94 </w:t>
      </w:r>
      <w:r w:rsidR="00EF0680">
        <w:rPr>
          <w:szCs w:val="20"/>
          <w:lang w:val="es-ES"/>
        </w:rPr>
        <w:t>de la presente Sentencia</w:t>
      </w:r>
      <w:r>
        <w:rPr>
          <w:szCs w:val="20"/>
          <w:lang w:val="es-ES"/>
        </w:rPr>
        <w:t>;</w:t>
      </w:r>
    </w:p>
    <w:p w14:paraId="2537415E" w14:textId="0B773625" w:rsidR="00E232AB" w:rsidRDefault="00E232AB" w:rsidP="00EF0680">
      <w:pPr>
        <w:spacing w:before="120" w:after="120"/>
        <w:ind w:left="708"/>
        <w:rPr>
          <w:szCs w:val="20"/>
          <w:lang w:val="es-ES"/>
        </w:rPr>
      </w:pPr>
      <w:r>
        <w:rPr>
          <w:szCs w:val="20"/>
          <w:lang w:val="es-ES"/>
        </w:rPr>
        <w:t>c) Cumplir los términos pactados en el fideicomiso constituido en favor de los hijos de Carlos Escaleras</w:t>
      </w:r>
      <w:r w:rsidR="00DE0618">
        <w:rPr>
          <w:szCs w:val="20"/>
          <w:lang w:val="es-ES"/>
        </w:rPr>
        <w:t xml:space="preserve"> Mejía</w:t>
      </w:r>
      <w:r>
        <w:rPr>
          <w:szCs w:val="20"/>
          <w:lang w:val="es-ES"/>
        </w:rPr>
        <w:t>, Marta Agripina Escaleras Alvarenga y Douglas Arnaldo</w:t>
      </w:r>
      <w:r w:rsidR="00DE0618">
        <w:rPr>
          <w:szCs w:val="20"/>
          <w:lang w:val="es-ES"/>
        </w:rPr>
        <w:t>, ambos de apellidos</w:t>
      </w:r>
      <w:r>
        <w:rPr>
          <w:szCs w:val="20"/>
          <w:lang w:val="es-ES"/>
        </w:rPr>
        <w:t xml:space="preserve"> Escaleras Alvarenga, con el fin de garantizar su educación secundaria y universitaria, de conformidad con lo descrito en los párrafos </w:t>
      </w:r>
      <w:r w:rsidR="00A15E90">
        <w:rPr>
          <w:szCs w:val="20"/>
          <w:lang w:val="es-ES"/>
        </w:rPr>
        <w:t xml:space="preserve">96 </w:t>
      </w:r>
      <w:r>
        <w:rPr>
          <w:szCs w:val="20"/>
          <w:lang w:val="es-ES"/>
        </w:rPr>
        <w:t xml:space="preserve">y </w:t>
      </w:r>
      <w:r w:rsidR="00A15E90">
        <w:rPr>
          <w:szCs w:val="20"/>
          <w:lang w:val="es-ES"/>
        </w:rPr>
        <w:t xml:space="preserve">97 </w:t>
      </w:r>
      <w:r w:rsidR="00EF0680">
        <w:rPr>
          <w:szCs w:val="20"/>
          <w:lang w:val="es-ES"/>
        </w:rPr>
        <w:t>de la presente Sentencia</w:t>
      </w:r>
      <w:r>
        <w:rPr>
          <w:szCs w:val="20"/>
          <w:lang w:val="es-ES"/>
        </w:rPr>
        <w:t>;</w:t>
      </w:r>
    </w:p>
    <w:p w14:paraId="53D36C18" w14:textId="2ABF58BF" w:rsidR="00E232AB" w:rsidRDefault="00E232AB" w:rsidP="00EF0680">
      <w:pPr>
        <w:spacing w:before="120" w:after="120"/>
        <w:ind w:left="708"/>
        <w:rPr>
          <w:szCs w:val="20"/>
          <w:lang w:val="es-ES"/>
        </w:rPr>
      </w:pPr>
      <w:r>
        <w:rPr>
          <w:szCs w:val="20"/>
          <w:lang w:val="es-ES"/>
        </w:rPr>
        <w:t xml:space="preserve">d) Realizar y proseguir de modo diligente todas las investigaciones y actuaciones necesarias para deslindar responsabilidades, esclarecer por completo los hechos y en </w:t>
      </w:r>
      <w:r>
        <w:rPr>
          <w:szCs w:val="20"/>
          <w:lang w:val="es-ES"/>
        </w:rPr>
        <w:lastRenderedPageBreak/>
        <w:t xml:space="preserve">su caso juzgar y sancionar a los responsables. En cumplimiento de ello, deberá remover los obstáculos que mantengan la impunidad, permitir la participación de las víctimas y brindar un informe sobre el avance de las investigaciones, según lo indicado en los párrafos </w:t>
      </w:r>
      <w:r w:rsidR="00DE0618">
        <w:rPr>
          <w:szCs w:val="20"/>
          <w:lang w:val="es-ES"/>
        </w:rPr>
        <w:t xml:space="preserve">85 </w:t>
      </w:r>
      <w:r w:rsidR="00A2739F">
        <w:rPr>
          <w:szCs w:val="20"/>
          <w:lang w:val="es-ES"/>
        </w:rPr>
        <w:t xml:space="preserve">a </w:t>
      </w:r>
      <w:r w:rsidR="00DE0618">
        <w:rPr>
          <w:szCs w:val="20"/>
          <w:lang w:val="es-ES"/>
        </w:rPr>
        <w:t xml:space="preserve">88 </w:t>
      </w:r>
      <w:r w:rsidR="00EF0680">
        <w:rPr>
          <w:szCs w:val="20"/>
          <w:lang w:val="es-ES"/>
        </w:rPr>
        <w:t>de la presente Sentencia</w:t>
      </w:r>
      <w:r>
        <w:rPr>
          <w:szCs w:val="20"/>
          <w:lang w:val="es-ES"/>
        </w:rPr>
        <w:t>.</w:t>
      </w:r>
    </w:p>
    <w:p w14:paraId="70E6B05A" w14:textId="3E7DB57F" w:rsidR="00E232AB" w:rsidRDefault="00E232AB" w:rsidP="00EF0680">
      <w:pPr>
        <w:spacing w:before="120" w:after="120"/>
        <w:ind w:left="708"/>
        <w:rPr>
          <w:szCs w:val="20"/>
          <w:lang w:val="es-ES"/>
        </w:rPr>
      </w:pPr>
      <w:r>
        <w:rPr>
          <w:szCs w:val="20"/>
          <w:lang w:val="es-ES"/>
        </w:rPr>
        <w:t xml:space="preserve">e) Iniciar y conducir de modo diligente la investigación sobre los obstáculos y obstrucciones que se realizaron en perjuicio de las víctimas y que generaron la responsabilidad internacional del Estado hondureño, y sancionar, según corresponda, a los agentes estatales responsables, en los términos señalados en los párrafos </w:t>
      </w:r>
      <w:r w:rsidR="00A15E90">
        <w:rPr>
          <w:szCs w:val="20"/>
          <w:lang w:val="es-ES"/>
        </w:rPr>
        <w:t xml:space="preserve">89 </w:t>
      </w:r>
      <w:r>
        <w:rPr>
          <w:szCs w:val="20"/>
          <w:lang w:val="es-ES"/>
        </w:rPr>
        <w:t xml:space="preserve">a </w:t>
      </w:r>
      <w:r w:rsidR="00A15E90">
        <w:rPr>
          <w:szCs w:val="20"/>
          <w:lang w:val="es-ES"/>
        </w:rPr>
        <w:t xml:space="preserve">91 </w:t>
      </w:r>
      <w:r>
        <w:rPr>
          <w:szCs w:val="20"/>
          <w:lang w:val="es-ES"/>
        </w:rPr>
        <w:t>de la presente Sentencia;</w:t>
      </w:r>
    </w:p>
    <w:p w14:paraId="5D087284" w14:textId="4046EB45" w:rsidR="00E232AB" w:rsidRDefault="00E232AB" w:rsidP="00EF0680">
      <w:pPr>
        <w:spacing w:before="120" w:after="120"/>
        <w:ind w:left="708"/>
        <w:rPr>
          <w:szCs w:val="20"/>
          <w:lang w:val="es-ES"/>
        </w:rPr>
      </w:pPr>
      <w:r>
        <w:rPr>
          <w:szCs w:val="20"/>
          <w:lang w:val="es-ES"/>
        </w:rPr>
        <w:t xml:space="preserve">f) Aprobar e implementar un protocolo de debida diligencia para la investigación de crímenes cometidos contra defensores y defensoras de derechos humanos, de acuerdo a los términos contenidos en los párrafos </w:t>
      </w:r>
      <w:r w:rsidR="00A15E90">
        <w:rPr>
          <w:szCs w:val="20"/>
          <w:lang w:val="es-ES"/>
        </w:rPr>
        <w:t xml:space="preserve">98 </w:t>
      </w:r>
      <w:r>
        <w:rPr>
          <w:szCs w:val="20"/>
          <w:lang w:val="es-ES"/>
        </w:rPr>
        <w:t xml:space="preserve">a </w:t>
      </w:r>
      <w:r w:rsidR="00A15E90">
        <w:rPr>
          <w:szCs w:val="20"/>
          <w:lang w:val="es-ES"/>
        </w:rPr>
        <w:t>102</w:t>
      </w:r>
      <w:r w:rsidR="00A2739F">
        <w:rPr>
          <w:szCs w:val="20"/>
          <w:lang w:val="es-ES"/>
        </w:rPr>
        <w:t xml:space="preserve">. </w:t>
      </w:r>
      <w:r>
        <w:rPr>
          <w:szCs w:val="20"/>
          <w:lang w:val="es-ES"/>
        </w:rPr>
        <w:t xml:space="preserve">Así también, informar acerca de las acciones adoptadas para la implementación del protocolo y su estado de cumplimiento, según lo referido en el párrafo </w:t>
      </w:r>
      <w:r w:rsidR="00A15E90">
        <w:rPr>
          <w:szCs w:val="20"/>
          <w:lang w:val="es-ES"/>
        </w:rPr>
        <w:t xml:space="preserve">101 </w:t>
      </w:r>
      <w:r>
        <w:rPr>
          <w:szCs w:val="20"/>
          <w:lang w:val="es-ES"/>
        </w:rPr>
        <w:t>de la presente Sentencia;</w:t>
      </w:r>
    </w:p>
    <w:p w14:paraId="281E1B87" w14:textId="0A993816" w:rsidR="00E232AB" w:rsidRDefault="00E232AB" w:rsidP="00EF0680">
      <w:pPr>
        <w:spacing w:before="120" w:after="120"/>
        <w:ind w:left="708"/>
        <w:rPr>
          <w:szCs w:val="20"/>
          <w:lang w:val="es-ES"/>
        </w:rPr>
      </w:pPr>
      <w:r>
        <w:rPr>
          <w:szCs w:val="20"/>
          <w:lang w:val="es-ES"/>
        </w:rPr>
        <w:t xml:space="preserve">g) Recibir y en su caso incorporar observaciones de organizaciones relativas a la Comisión Interinstitucional para la aplicación efectiva de la Ley de Protección a Testigos, en los términos descritos en los párrafos </w:t>
      </w:r>
      <w:r w:rsidR="00994FF9">
        <w:rPr>
          <w:szCs w:val="20"/>
          <w:lang w:val="es-ES"/>
        </w:rPr>
        <w:t xml:space="preserve">103 </w:t>
      </w:r>
      <w:r>
        <w:rPr>
          <w:szCs w:val="20"/>
          <w:lang w:val="es-ES"/>
        </w:rPr>
        <w:t xml:space="preserve">a </w:t>
      </w:r>
      <w:r w:rsidR="00994FF9">
        <w:rPr>
          <w:szCs w:val="20"/>
          <w:lang w:val="es-ES"/>
        </w:rPr>
        <w:t xml:space="preserve">105 </w:t>
      </w:r>
      <w:r w:rsidR="00EF0680">
        <w:rPr>
          <w:szCs w:val="20"/>
          <w:lang w:val="es-ES"/>
        </w:rPr>
        <w:t>de la presente Sentencia</w:t>
      </w:r>
      <w:r>
        <w:rPr>
          <w:szCs w:val="20"/>
          <w:lang w:val="es-ES"/>
        </w:rPr>
        <w:t>;</w:t>
      </w:r>
    </w:p>
    <w:p w14:paraId="2612E143" w14:textId="08DB4AF0" w:rsidR="00E232AB" w:rsidRDefault="00E232AB" w:rsidP="00EF0680">
      <w:pPr>
        <w:spacing w:before="120" w:after="120"/>
        <w:ind w:left="708"/>
        <w:rPr>
          <w:szCs w:val="20"/>
          <w:lang w:val="es-ES"/>
        </w:rPr>
      </w:pPr>
      <w:r>
        <w:rPr>
          <w:szCs w:val="20"/>
          <w:lang w:val="es-ES"/>
        </w:rPr>
        <w:t xml:space="preserve">h) Realizar una propuesta para mejorar la coordinación interinstitucional para diligenciar las investigaciones de los delitos que se cometan contra personas defensoras de derechos humanos, de acuerdo a los términos de los párrafos </w:t>
      </w:r>
      <w:r w:rsidR="00A15E90">
        <w:rPr>
          <w:szCs w:val="20"/>
          <w:lang w:val="es-ES"/>
        </w:rPr>
        <w:t xml:space="preserve">106 </w:t>
      </w:r>
      <w:r>
        <w:rPr>
          <w:szCs w:val="20"/>
          <w:lang w:val="es-ES"/>
        </w:rPr>
        <w:t xml:space="preserve">a </w:t>
      </w:r>
      <w:r w:rsidR="00A15E90">
        <w:rPr>
          <w:szCs w:val="20"/>
          <w:lang w:val="es-ES"/>
        </w:rPr>
        <w:t xml:space="preserve">108 </w:t>
      </w:r>
      <w:r w:rsidR="00EF0680">
        <w:rPr>
          <w:szCs w:val="20"/>
          <w:lang w:val="es-ES"/>
        </w:rPr>
        <w:t>de la presente Sentencia</w:t>
      </w:r>
      <w:r>
        <w:rPr>
          <w:szCs w:val="20"/>
          <w:lang w:val="es-ES"/>
        </w:rPr>
        <w:t>;</w:t>
      </w:r>
    </w:p>
    <w:p w14:paraId="3D588B4D" w14:textId="5A51A1AC" w:rsidR="00E232AB" w:rsidRDefault="00E232AB" w:rsidP="00EF0680">
      <w:pPr>
        <w:pStyle w:val="ListParagraph"/>
        <w:numPr>
          <w:ilvl w:val="0"/>
          <w:numId w:val="13"/>
        </w:numPr>
        <w:spacing w:before="120" w:after="120"/>
        <w:ind w:left="0" w:firstLine="0"/>
        <w:contextualSpacing w:val="0"/>
        <w:rPr>
          <w:szCs w:val="20"/>
          <w:lang w:val="es-CR"/>
        </w:rPr>
      </w:pPr>
      <w:r>
        <w:rPr>
          <w:szCs w:val="20"/>
          <w:lang w:val="es-CR"/>
        </w:rPr>
        <w:t xml:space="preserve">El </w:t>
      </w:r>
      <w:r w:rsidRPr="00EF0680">
        <w:rPr>
          <w:szCs w:val="20"/>
          <w:lang w:val="es-ES"/>
        </w:rPr>
        <w:t>Estado</w:t>
      </w:r>
      <w:r>
        <w:rPr>
          <w:szCs w:val="20"/>
          <w:lang w:val="es-CR"/>
        </w:rPr>
        <w:t xml:space="preserve"> debe, dentro del plazo de un año contado a partir de la notificación de esta Sentencia, rendir al Tribunal un informe sobre las medidas adoptadas para cumplir con la misma.</w:t>
      </w:r>
      <w:r>
        <w:rPr>
          <w:szCs w:val="20"/>
          <w:lang w:val="es-ES"/>
        </w:rPr>
        <w:t xml:space="preserve"> </w:t>
      </w:r>
    </w:p>
    <w:p w14:paraId="08E4D926" w14:textId="08B43694" w:rsidR="00E232AB" w:rsidRDefault="00E232AB" w:rsidP="00EF0680">
      <w:pPr>
        <w:pStyle w:val="ListParagraph"/>
        <w:numPr>
          <w:ilvl w:val="0"/>
          <w:numId w:val="13"/>
        </w:numPr>
        <w:spacing w:before="120" w:after="120"/>
        <w:ind w:left="0" w:firstLine="0"/>
        <w:contextualSpacing w:val="0"/>
        <w:rPr>
          <w:szCs w:val="20"/>
          <w:lang w:val="es-CR"/>
        </w:rPr>
      </w:pPr>
      <w:r>
        <w:rPr>
          <w:szCs w:val="20"/>
          <w:lang w:val="es-ES"/>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5BD3BF81" w14:textId="77777777" w:rsidR="00E232AB" w:rsidRDefault="00E232AB" w:rsidP="00E232AB">
      <w:pPr>
        <w:rPr>
          <w:szCs w:val="20"/>
          <w:lang w:val="es-CR"/>
        </w:rPr>
      </w:pPr>
    </w:p>
    <w:p w14:paraId="6566A3E8" w14:textId="2336CC0A" w:rsidR="00E232AB" w:rsidRDefault="00E232AB" w:rsidP="00E232AB">
      <w:pPr>
        <w:spacing w:before="120" w:after="120"/>
        <w:rPr>
          <w:szCs w:val="20"/>
          <w:lang w:val="es-CR"/>
        </w:rPr>
      </w:pPr>
      <w:r>
        <w:rPr>
          <w:szCs w:val="20"/>
          <w:lang w:val="es-CR"/>
        </w:rPr>
        <w:t xml:space="preserve">Redactada en español en San José, Costa Rica, el </w:t>
      </w:r>
      <w:r w:rsidR="00D7674C">
        <w:rPr>
          <w:szCs w:val="20"/>
          <w:lang w:val="es-CR"/>
        </w:rPr>
        <w:t>2</w:t>
      </w:r>
      <w:r w:rsidR="00291826">
        <w:rPr>
          <w:szCs w:val="20"/>
          <w:lang w:val="es-CR"/>
        </w:rPr>
        <w:t>6</w:t>
      </w:r>
      <w:r w:rsidRPr="00E232AB">
        <w:rPr>
          <w:szCs w:val="20"/>
          <w:lang w:val="es-CR"/>
        </w:rPr>
        <w:t xml:space="preserve"> de septiembre de 2018.</w:t>
      </w:r>
    </w:p>
    <w:p w14:paraId="2DAAF8A3" w14:textId="03ACBC5D" w:rsidR="00E232AB" w:rsidRDefault="00E232AB" w:rsidP="00E232AB">
      <w:pPr>
        <w:rPr>
          <w:szCs w:val="20"/>
          <w:lang w:val="pt-BR"/>
        </w:rPr>
      </w:pPr>
      <w:r>
        <w:rPr>
          <w:szCs w:val="20"/>
          <w:lang w:val="es-CR"/>
        </w:rPr>
        <w:t xml:space="preserve">Sentencia. Caso Escaleras Mejía y familia Vs. </w:t>
      </w:r>
      <w:r>
        <w:rPr>
          <w:szCs w:val="20"/>
          <w:lang w:val="pt-BR"/>
        </w:rPr>
        <w:t>Honduras.</w:t>
      </w:r>
    </w:p>
    <w:p w14:paraId="7CB381D6" w14:textId="77777777" w:rsidR="00C4575C" w:rsidRDefault="00C4575C" w:rsidP="00E232AB">
      <w:pPr>
        <w:rPr>
          <w:szCs w:val="20"/>
          <w:lang w:val="pt-BR"/>
        </w:rPr>
      </w:pPr>
    </w:p>
    <w:p w14:paraId="0D88E79B" w14:textId="77777777" w:rsidR="00C4575C" w:rsidRDefault="00C4575C" w:rsidP="00E232AB">
      <w:pPr>
        <w:rPr>
          <w:szCs w:val="20"/>
          <w:lang w:val="pt-BR"/>
        </w:rPr>
      </w:pPr>
    </w:p>
    <w:p w14:paraId="5829D855" w14:textId="77777777" w:rsidR="00C4575C" w:rsidRDefault="00C4575C" w:rsidP="00E232AB">
      <w:pPr>
        <w:rPr>
          <w:szCs w:val="20"/>
          <w:lang w:val="pt-BR"/>
        </w:rPr>
      </w:pPr>
    </w:p>
    <w:p w14:paraId="585D2977" w14:textId="77777777" w:rsidR="00C4575C" w:rsidRDefault="00C4575C" w:rsidP="00E232AB">
      <w:pPr>
        <w:rPr>
          <w:szCs w:val="20"/>
          <w:lang w:val="pt-BR"/>
        </w:rPr>
      </w:pPr>
    </w:p>
    <w:p w14:paraId="090CAC5A" w14:textId="77777777" w:rsidR="00C4575C" w:rsidRDefault="00C4575C" w:rsidP="00E232AB">
      <w:pPr>
        <w:rPr>
          <w:szCs w:val="20"/>
          <w:lang w:val="pt-BR"/>
        </w:rPr>
      </w:pPr>
    </w:p>
    <w:p w14:paraId="463C9E4F" w14:textId="77777777" w:rsidR="00C4575C" w:rsidRDefault="00C4575C" w:rsidP="00E232AB">
      <w:pPr>
        <w:rPr>
          <w:szCs w:val="20"/>
          <w:lang w:val="pt-BR"/>
        </w:rPr>
      </w:pPr>
    </w:p>
    <w:p w14:paraId="1E921D95" w14:textId="77777777" w:rsidR="00C4575C" w:rsidRDefault="00C4575C" w:rsidP="00E232AB">
      <w:pPr>
        <w:rPr>
          <w:szCs w:val="20"/>
          <w:lang w:val="pt-BR"/>
        </w:rPr>
      </w:pPr>
    </w:p>
    <w:p w14:paraId="6685B1A5" w14:textId="77777777" w:rsidR="00C4575C" w:rsidRDefault="00C4575C" w:rsidP="00E232AB">
      <w:pPr>
        <w:rPr>
          <w:szCs w:val="20"/>
          <w:lang w:val="pt-BR"/>
        </w:rPr>
      </w:pPr>
    </w:p>
    <w:p w14:paraId="31FD02F3" w14:textId="77777777" w:rsidR="00C4575C" w:rsidRDefault="00C4575C" w:rsidP="00E232AB">
      <w:pPr>
        <w:rPr>
          <w:szCs w:val="20"/>
          <w:lang w:val="pt-BR"/>
        </w:rPr>
      </w:pPr>
    </w:p>
    <w:p w14:paraId="5266EF5B" w14:textId="77777777" w:rsidR="00C4575C" w:rsidRDefault="00C4575C" w:rsidP="00E232AB">
      <w:pPr>
        <w:rPr>
          <w:szCs w:val="20"/>
          <w:lang w:val="pt-BR"/>
        </w:rPr>
      </w:pPr>
    </w:p>
    <w:p w14:paraId="51F9500C" w14:textId="77777777" w:rsidR="00C4575C" w:rsidRDefault="00C4575C" w:rsidP="00E232AB">
      <w:pPr>
        <w:rPr>
          <w:szCs w:val="20"/>
          <w:lang w:val="pt-BR"/>
        </w:rPr>
      </w:pPr>
    </w:p>
    <w:p w14:paraId="6480BBF7" w14:textId="77777777" w:rsidR="00C4575C" w:rsidRDefault="00C4575C" w:rsidP="00E232AB">
      <w:pPr>
        <w:rPr>
          <w:szCs w:val="20"/>
          <w:lang w:val="pt-BR"/>
        </w:rPr>
      </w:pPr>
    </w:p>
    <w:p w14:paraId="39B7EA3E" w14:textId="77777777" w:rsidR="00C4575C" w:rsidRDefault="00C4575C" w:rsidP="00E232AB">
      <w:pPr>
        <w:rPr>
          <w:szCs w:val="20"/>
          <w:lang w:val="pt-BR"/>
        </w:rPr>
      </w:pPr>
    </w:p>
    <w:p w14:paraId="5FA21B7F" w14:textId="77777777" w:rsidR="00C4575C" w:rsidRDefault="00C4575C" w:rsidP="00E232AB">
      <w:pPr>
        <w:rPr>
          <w:szCs w:val="20"/>
          <w:lang w:val="pt-BR"/>
        </w:rPr>
      </w:pPr>
    </w:p>
    <w:p w14:paraId="6905C235" w14:textId="77777777" w:rsidR="00C4575C" w:rsidRDefault="00C4575C" w:rsidP="00E232AB">
      <w:pPr>
        <w:rPr>
          <w:szCs w:val="20"/>
          <w:lang w:val="pt-BR"/>
        </w:rPr>
      </w:pPr>
    </w:p>
    <w:p w14:paraId="78527726" w14:textId="77777777" w:rsidR="00C4575C" w:rsidRDefault="00C4575C" w:rsidP="00E232AB">
      <w:pPr>
        <w:rPr>
          <w:szCs w:val="20"/>
          <w:lang w:val="pt-BR"/>
        </w:rPr>
      </w:pPr>
    </w:p>
    <w:p w14:paraId="09FA8982" w14:textId="77777777" w:rsidR="00C4575C" w:rsidRPr="00F31649" w:rsidRDefault="00C4575C" w:rsidP="00C4575C">
      <w:pPr>
        <w:keepNext/>
        <w:outlineLvl w:val="0"/>
        <w:rPr>
          <w:lang w:val="es-CR"/>
        </w:rPr>
      </w:pPr>
      <w:r w:rsidRPr="00F31649">
        <w:rPr>
          <w:lang w:val="es-ES"/>
        </w:rPr>
        <w:lastRenderedPageBreak/>
        <w:t xml:space="preserve">Corte IDH. </w:t>
      </w:r>
      <w:r>
        <w:rPr>
          <w:i/>
          <w:lang w:val="es-ES"/>
        </w:rPr>
        <w:t>Caso Escaleras Mejí</w:t>
      </w:r>
      <w:r w:rsidRPr="00F31649">
        <w:rPr>
          <w:i/>
          <w:lang w:val="es-ES"/>
        </w:rPr>
        <w:t xml:space="preserve">a y </w:t>
      </w:r>
      <w:r>
        <w:rPr>
          <w:i/>
          <w:lang w:val="es-ES"/>
        </w:rPr>
        <w:t>otros</w:t>
      </w:r>
      <w:r w:rsidRPr="00F31649">
        <w:rPr>
          <w:i/>
          <w:lang w:val="es-ES"/>
        </w:rPr>
        <w:t xml:space="preserve"> Vs. Honduras.</w:t>
      </w:r>
      <w:r>
        <w:rPr>
          <w:lang w:val="es-ES"/>
        </w:rPr>
        <w:t xml:space="preserve"> Sentencia de 26</w:t>
      </w:r>
      <w:r w:rsidRPr="00F31649">
        <w:rPr>
          <w:lang w:val="es-ES"/>
        </w:rPr>
        <w:t xml:space="preserve"> de septiembre de 2018.</w:t>
      </w:r>
    </w:p>
    <w:p w14:paraId="6B79EE9B" w14:textId="77777777" w:rsidR="00C4575C" w:rsidRPr="00A31FBC" w:rsidRDefault="00C4575C" w:rsidP="00C4575C">
      <w:pPr>
        <w:jc w:val="center"/>
        <w:rPr>
          <w:lang w:val="es-CR"/>
        </w:rPr>
      </w:pPr>
    </w:p>
    <w:p w14:paraId="3FC39ADB" w14:textId="77777777" w:rsidR="00C4575C" w:rsidRPr="00F31649" w:rsidRDefault="00C4575C" w:rsidP="00C4575C">
      <w:pPr>
        <w:jc w:val="center"/>
        <w:rPr>
          <w:lang w:val="es-ES"/>
        </w:rPr>
      </w:pPr>
    </w:p>
    <w:p w14:paraId="4E18A8A3" w14:textId="77777777" w:rsidR="00C4575C" w:rsidRPr="00F31649" w:rsidRDefault="00C4575C" w:rsidP="00C4575C">
      <w:pPr>
        <w:jc w:val="center"/>
        <w:rPr>
          <w:lang w:val="es-ES"/>
        </w:rPr>
      </w:pPr>
    </w:p>
    <w:p w14:paraId="230A5054" w14:textId="77777777" w:rsidR="00C4575C" w:rsidRPr="00F31649" w:rsidRDefault="00C4575C" w:rsidP="00C4575C">
      <w:pPr>
        <w:jc w:val="center"/>
        <w:rPr>
          <w:lang w:val="es-ES"/>
        </w:rPr>
      </w:pPr>
    </w:p>
    <w:p w14:paraId="5DB87B8F" w14:textId="77777777" w:rsidR="00C4575C" w:rsidRPr="00F31649" w:rsidRDefault="00C4575C" w:rsidP="00C4575C">
      <w:pPr>
        <w:jc w:val="center"/>
        <w:rPr>
          <w:lang w:val="es-ES"/>
        </w:rPr>
      </w:pPr>
    </w:p>
    <w:p w14:paraId="0968FD03" w14:textId="77777777" w:rsidR="00C4575C" w:rsidRPr="00F31649" w:rsidRDefault="00C4575C" w:rsidP="00C4575C">
      <w:pPr>
        <w:jc w:val="center"/>
        <w:rPr>
          <w:lang w:val="es-ES"/>
        </w:rPr>
      </w:pPr>
    </w:p>
    <w:p w14:paraId="1BBF0A53" w14:textId="77777777" w:rsidR="00C4575C" w:rsidRPr="00F31649" w:rsidRDefault="00C4575C" w:rsidP="00C4575C">
      <w:pPr>
        <w:jc w:val="center"/>
        <w:rPr>
          <w:lang w:val="es-ES"/>
        </w:rPr>
      </w:pPr>
      <w:r w:rsidRPr="00F31649">
        <w:rPr>
          <w:lang w:val="es-ES"/>
        </w:rPr>
        <w:t xml:space="preserve">Eduardo Ferrer Mac-Gregor Poisot </w:t>
      </w:r>
    </w:p>
    <w:p w14:paraId="0AFBC867" w14:textId="77777777" w:rsidR="00C4575C" w:rsidRPr="00F31649" w:rsidRDefault="00C4575C" w:rsidP="00C4575C">
      <w:pPr>
        <w:jc w:val="center"/>
        <w:rPr>
          <w:lang w:val="es-ES"/>
        </w:rPr>
      </w:pPr>
      <w:r w:rsidRPr="00F31649">
        <w:rPr>
          <w:lang w:val="es-ES"/>
        </w:rPr>
        <w:t xml:space="preserve">Presidente </w:t>
      </w:r>
    </w:p>
    <w:p w14:paraId="7843DE5F" w14:textId="77777777" w:rsidR="00C4575C" w:rsidRPr="00F31649" w:rsidRDefault="00C4575C" w:rsidP="00C4575C">
      <w:pPr>
        <w:rPr>
          <w:lang w:val="es-ES"/>
        </w:rPr>
      </w:pPr>
    </w:p>
    <w:p w14:paraId="5EB6E33D" w14:textId="77777777" w:rsidR="00C4575C" w:rsidRPr="00F31649" w:rsidRDefault="00C4575C" w:rsidP="00C4575C">
      <w:pPr>
        <w:rPr>
          <w:lang w:val="es-ES"/>
        </w:rPr>
      </w:pPr>
    </w:p>
    <w:p w14:paraId="29387740" w14:textId="77777777" w:rsidR="00C4575C" w:rsidRPr="00F31649" w:rsidRDefault="00C4575C" w:rsidP="00C4575C">
      <w:pPr>
        <w:rPr>
          <w:lang w:val="es-ES"/>
        </w:rPr>
      </w:pPr>
    </w:p>
    <w:p w14:paraId="76438ECA" w14:textId="77777777" w:rsidR="00C4575C" w:rsidRPr="00F31649" w:rsidRDefault="00C4575C" w:rsidP="00C4575C">
      <w:pPr>
        <w:rPr>
          <w:lang w:val="es-ES"/>
        </w:rPr>
      </w:pPr>
    </w:p>
    <w:p w14:paraId="18C9D299" w14:textId="77777777" w:rsidR="00C4575C" w:rsidRPr="00F31649" w:rsidRDefault="00C4575C" w:rsidP="00C4575C">
      <w:pPr>
        <w:rPr>
          <w:lang w:val="es-ES"/>
        </w:rPr>
      </w:pPr>
    </w:p>
    <w:p w14:paraId="11A0EAC3" w14:textId="77777777" w:rsidR="00C4575C" w:rsidRPr="00F31649" w:rsidRDefault="00C4575C" w:rsidP="00C4575C">
      <w:pPr>
        <w:rPr>
          <w:lang w:val="es-ES"/>
        </w:rPr>
      </w:pPr>
    </w:p>
    <w:p w14:paraId="655AF0A3" w14:textId="77777777" w:rsidR="00C4575C" w:rsidRPr="00F31649" w:rsidRDefault="00C4575C" w:rsidP="00C4575C">
      <w:pPr>
        <w:rPr>
          <w:lang w:val="es-ES"/>
        </w:rPr>
      </w:pPr>
      <w:r w:rsidRPr="00F31649">
        <w:rPr>
          <w:lang w:val="es-ES"/>
        </w:rPr>
        <w:t>Eduardo Vio Grossi</w:t>
      </w:r>
      <w:r w:rsidRPr="00F31649">
        <w:rPr>
          <w:lang w:val="es-ES"/>
        </w:rPr>
        <w:tab/>
      </w:r>
      <w:r w:rsidRPr="00F31649">
        <w:rPr>
          <w:lang w:val="es-ES"/>
        </w:rPr>
        <w:tab/>
      </w:r>
      <w:r w:rsidRPr="00F31649">
        <w:rPr>
          <w:lang w:val="es-ES"/>
        </w:rPr>
        <w:tab/>
      </w:r>
      <w:r w:rsidRPr="00F31649">
        <w:rPr>
          <w:lang w:val="es-ES"/>
        </w:rPr>
        <w:tab/>
      </w:r>
      <w:r w:rsidRPr="00F31649">
        <w:rPr>
          <w:lang w:val="es-ES"/>
        </w:rPr>
        <w:tab/>
      </w:r>
      <w:r w:rsidRPr="00F31649">
        <w:rPr>
          <w:lang w:val="es-ES"/>
        </w:rPr>
        <w:tab/>
        <w:t xml:space="preserve">        </w:t>
      </w:r>
      <w:r>
        <w:rPr>
          <w:lang w:val="es-ES"/>
        </w:rPr>
        <w:t>H</w:t>
      </w:r>
      <w:r w:rsidRPr="00F31649">
        <w:rPr>
          <w:lang w:val="es-ES"/>
        </w:rPr>
        <w:t>umberto A. Sierra Porto</w:t>
      </w:r>
    </w:p>
    <w:p w14:paraId="6CCE8716" w14:textId="77777777" w:rsidR="00C4575C" w:rsidRPr="00F31649" w:rsidRDefault="00C4575C" w:rsidP="00C4575C">
      <w:pPr>
        <w:rPr>
          <w:lang w:val="es-ES"/>
        </w:rPr>
      </w:pPr>
    </w:p>
    <w:p w14:paraId="4A214A15" w14:textId="77777777" w:rsidR="00C4575C" w:rsidRPr="00F31649" w:rsidRDefault="00C4575C" w:rsidP="00C4575C">
      <w:pPr>
        <w:rPr>
          <w:lang w:val="es-ES"/>
        </w:rPr>
      </w:pPr>
    </w:p>
    <w:p w14:paraId="7A23E177" w14:textId="77777777" w:rsidR="00C4575C" w:rsidRPr="00F31649" w:rsidRDefault="00C4575C" w:rsidP="00C4575C">
      <w:pPr>
        <w:rPr>
          <w:lang w:val="es-ES"/>
        </w:rPr>
      </w:pPr>
    </w:p>
    <w:p w14:paraId="4D8D8A44" w14:textId="77777777" w:rsidR="00C4575C" w:rsidRPr="00F31649" w:rsidRDefault="00C4575C" w:rsidP="00C4575C">
      <w:pPr>
        <w:rPr>
          <w:lang w:val="es-ES"/>
        </w:rPr>
      </w:pPr>
    </w:p>
    <w:p w14:paraId="49FE2C18" w14:textId="77777777" w:rsidR="00C4575C" w:rsidRPr="00F31649" w:rsidRDefault="00C4575C" w:rsidP="00C4575C">
      <w:pPr>
        <w:rPr>
          <w:lang w:val="es-ES"/>
        </w:rPr>
      </w:pPr>
    </w:p>
    <w:p w14:paraId="36EE62F2" w14:textId="77777777" w:rsidR="00C4575C" w:rsidRPr="00F31649" w:rsidRDefault="00C4575C" w:rsidP="00C4575C">
      <w:pPr>
        <w:rPr>
          <w:lang w:val="es-ES"/>
        </w:rPr>
      </w:pPr>
    </w:p>
    <w:p w14:paraId="7256A9AA" w14:textId="77777777" w:rsidR="00C4575C" w:rsidRPr="00F31649" w:rsidRDefault="00C4575C" w:rsidP="00C4575C">
      <w:pPr>
        <w:jc w:val="center"/>
        <w:rPr>
          <w:lang w:val="es-ES"/>
        </w:rPr>
      </w:pPr>
      <w:r w:rsidRPr="00F31649">
        <w:rPr>
          <w:lang w:val="es-ES"/>
        </w:rPr>
        <w:t>Eugenio Raúl Zaffaroni</w:t>
      </w:r>
      <w:r w:rsidRPr="00F31649">
        <w:rPr>
          <w:lang w:val="es-ES"/>
        </w:rPr>
        <w:tab/>
      </w:r>
      <w:r w:rsidRPr="00F31649">
        <w:rPr>
          <w:lang w:val="es-ES"/>
        </w:rPr>
        <w:tab/>
      </w:r>
      <w:r w:rsidRPr="00F31649">
        <w:rPr>
          <w:lang w:val="es-ES"/>
        </w:rPr>
        <w:tab/>
      </w:r>
      <w:r w:rsidRPr="00F31649">
        <w:rPr>
          <w:lang w:val="es-ES"/>
        </w:rPr>
        <w:tab/>
      </w:r>
      <w:r w:rsidRPr="00F31649">
        <w:rPr>
          <w:lang w:val="es-ES"/>
        </w:rPr>
        <w:tab/>
        <w:t xml:space="preserve">        </w:t>
      </w:r>
      <w:r>
        <w:rPr>
          <w:lang w:val="es-ES"/>
        </w:rPr>
        <w:t>L</w:t>
      </w:r>
      <w:r w:rsidRPr="00F31649">
        <w:rPr>
          <w:lang w:val="es-ES"/>
        </w:rPr>
        <w:t>. Patricio Pazmiño Freire</w:t>
      </w:r>
    </w:p>
    <w:p w14:paraId="01B7D11A" w14:textId="77777777" w:rsidR="00C4575C" w:rsidRPr="00F31649" w:rsidRDefault="00C4575C" w:rsidP="00C4575C">
      <w:pPr>
        <w:rPr>
          <w:lang w:val="es-ES"/>
        </w:rPr>
      </w:pPr>
    </w:p>
    <w:p w14:paraId="03DD8CF8" w14:textId="77777777" w:rsidR="00C4575C" w:rsidRPr="00F31649" w:rsidRDefault="00C4575C" w:rsidP="00C4575C">
      <w:pPr>
        <w:rPr>
          <w:lang w:val="es-ES"/>
        </w:rPr>
      </w:pPr>
    </w:p>
    <w:p w14:paraId="6575B440" w14:textId="77777777" w:rsidR="00C4575C" w:rsidRPr="00F31649" w:rsidRDefault="00C4575C" w:rsidP="00C4575C">
      <w:pPr>
        <w:rPr>
          <w:lang w:val="es-ES"/>
        </w:rPr>
      </w:pPr>
    </w:p>
    <w:p w14:paraId="6F90E7E4" w14:textId="77777777" w:rsidR="00C4575C" w:rsidRPr="00F31649" w:rsidRDefault="00C4575C" w:rsidP="00C4575C">
      <w:pPr>
        <w:rPr>
          <w:lang w:val="es-ES"/>
        </w:rPr>
      </w:pPr>
    </w:p>
    <w:p w14:paraId="251CF690" w14:textId="77777777" w:rsidR="00C4575C" w:rsidRPr="00F31649" w:rsidRDefault="00C4575C" w:rsidP="00C4575C">
      <w:pPr>
        <w:rPr>
          <w:lang w:val="es-CR"/>
        </w:rPr>
      </w:pPr>
    </w:p>
    <w:p w14:paraId="632BB8F8" w14:textId="77777777" w:rsidR="00C4575C" w:rsidRPr="00F31649" w:rsidRDefault="00C4575C" w:rsidP="00C4575C">
      <w:pPr>
        <w:rPr>
          <w:lang w:val="es-ES"/>
        </w:rPr>
      </w:pPr>
    </w:p>
    <w:p w14:paraId="1F63E6F3" w14:textId="77777777" w:rsidR="00C4575C" w:rsidRPr="00F31649" w:rsidRDefault="00C4575C" w:rsidP="00C4575C">
      <w:pPr>
        <w:jc w:val="center"/>
        <w:rPr>
          <w:lang w:val="es-ES"/>
        </w:rPr>
      </w:pPr>
      <w:r w:rsidRPr="00F31649">
        <w:rPr>
          <w:lang w:val="es-ES"/>
        </w:rPr>
        <w:t>Pablo Saavedra Alessandri</w:t>
      </w:r>
    </w:p>
    <w:p w14:paraId="569FBE7C" w14:textId="77777777" w:rsidR="00C4575C" w:rsidRPr="00F31649" w:rsidRDefault="00C4575C" w:rsidP="00C4575C">
      <w:pPr>
        <w:jc w:val="center"/>
        <w:rPr>
          <w:lang w:val="es-ES"/>
        </w:rPr>
      </w:pPr>
      <w:r w:rsidRPr="00F31649">
        <w:rPr>
          <w:lang w:val="es-ES"/>
        </w:rPr>
        <w:t>Secretario</w:t>
      </w:r>
    </w:p>
    <w:p w14:paraId="495B7C74" w14:textId="77777777" w:rsidR="00C4575C" w:rsidRPr="00F31649" w:rsidRDefault="00C4575C" w:rsidP="00C4575C">
      <w:pPr>
        <w:rPr>
          <w:lang w:val="es-ES"/>
        </w:rPr>
      </w:pPr>
    </w:p>
    <w:p w14:paraId="55C24D13" w14:textId="77777777" w:rsidR="00C4575C" w:rsidRPr="00F31649" w:rsidRDefault="00C4575C" w:rsidP="00C4575C">
      <w:pPr>
        <w:pStyle w:val="FootnoteText"/>
        <w:rPr>
          <w:lang w:val="es-ES"/>
        </w:rPr>
      </w:pPr>
    </w:p>
    <w:p w14:paraId="007C8084" w14:textId="77777777" w:rsidR="00C4575C" w:rsidRPr="00F31649" w:rsidRDefault="00C4575C" w:rsidP="00C4575C">
      <w:pPr>
        <w:pStyle w:val="FootnoteText"/>
        <w:rPr>
          <w:lang w:val="es-ES"/>
        </w:rPr>
      </w:pPr>
      <w:bookmarkStart w:id="132" w:name="_GoBack"/>
      <w:bookmarkEnd w:id="132"/>
    </w:p>
    <w:p w14:paraId="435B094A" w14:textId="77777777" w:rsidR="00C4575C" w:rsidRPr="00F31649" w:rsidRDefault="00C4575C" w:rsidP="00C4575C">
      <w:pPr>
        <w:pStyle w:val="FootnoteText"/>
        <w:rPr>
          <w:lang w:val="es-ES"/>
        </w:rPr>
      </w:pPr>
    </w:p>
    <w:p w14:paraId="168044B6" w14:textId="77777777" w:rsidR="00C4575C" w:rsidRPr="00F31649" w:rsidRDefault="00C4575C" w:rsidP="00C4575C">
      <w:pPr>
        <w:rPr>
          <w:lang w:val="es-ES"/>
        </w:rPr>
      </w:pPr>
      <w:r w:rsidRPr="00F31649">
        <w:rPr>
          <w:lang w:val="es-ES"/>
        </w:rPr>
        <w:t>Comuníquese y ejecútese,</w:t>
      </w:r>
    </w:p>
    <w:p w14:paraId="02E9D67A" w14:textId="77777777" w:rsidR="00C4575C" w:rsidRPr="00F31649" w:rsidRDefault="00C4575C" w:rsidP="00C4575C">
      <w:pPr>
        <w:rPr>
          <w:lang w:val="es-ES"/>
        </w:rPr>
      </w:pPr>
    </w:p>
    <w:p w14:paraId="5FD5C209" w14:textId="77777777" w:rsidR="00C4575C" w:rsidRPr="00F31649" w:rsidRDefault="00C4575C" w:rsidP="00C4575C">
      <w:pPr>
        <w:rPr>
          <w:lang w:val="es-ES"/>
        </w:rPr>
      </w:pPr>
    </w:p>
    <w:p w14:paraId="2681CA8F" w14:textId="77777777" w:rsidR="00C4575C" w:rsidRPr="00F31649" w:rsidRDefault="00C4575C" w:rsidP="00C4575C">
      <w:pPr>
        <w:rPr>
          <w:lang w:val="es-ES"/>
        </w:rPr>
      </w:pPr>
    </w:p>
    <w:p w14:paraId="5C44A105" w14:textId="77777777" w:rsidR="00C4575C" w:rsidRPr="00F31649" w:rsidRDefault="00C4575C" w:rsidP="00C4575C">
      <w:pPr>
        <w:rPr>
          <w:lang w:val="es-ES"/>
        </w:rPr>
      </w:pPr>
    </w:p>
    <w:p w14:paraId="4FE22B2F" w14:textId="77777777" w:rsidR="00C4575C" w:rsidRPr="00F31649" w:rsidRDefault="00C4575C" w:rsidP="00C4575C">
      <w:pPr>
        <w:ind w:left="4956"/>
        <w:jc w:val="center"/>
        <w:rPr>
          <w:lang w:val="es-ES"/>
        </w:rPr>
      </w:pPr>
      <w:r w:rsidRPr="00F31649">
        <w:rPr>
          <w:lang w:val="es-ES"/>
        </w:rPr>
        <w:t>Eduardo Ferrer Mac-Gregor Poisot</w:t>
      </w:r>
    </w:p>
    <w:p w14:paraId="329F9945" w14:textId="77777777" w:rsidR="00C4575C" w:rsidRPr="00F31649" w:rsidRDefault="00C4575C" w:rsidP="00C4575C">
      <w:pPr>
        <w:ind w:left="4956"/>
        <w:jc w:val="center"/>
        <w:rPr>
          <w:lang w:val="es-ES"/>
        </w:rPr>
      </w:pPr>
      <w:r w:rsidRPr="00F31649">
        <w:rPr>
          <w:lang w:val="es-ES"/>
        </w:rPr>
        <w:t>Presidente</w:t>
      </w:r>
    </w:p>
    <w:p w14:paraId="2FC7B4D3" w14:textId="77777777" w:rsidR="00C4575C" w:rsidRPr="00F31649" w:rsidRDefault="00C4575C" w:rsidP="00C4575C">
      <w:pPr>
        <w:rPr>
          <w:lang w:val="es-ES"/>
        </w:rPr>
      </w:pPr>
    </w:p>
    <w:p w14:paraId="1B70C471" w14:textId="77777777" w:rsidR="00C4575C" w:rsidRPr="00F31649" w:rsidRDefault="00C4575C" w:rsidP="00C4575C">
      <w:pPr>
        <w:rPr>
          <w:lang w:val="es-ES"/>
        </w:rPr>
      </w:pPr>
    </w:p>
    <w:p w14:paraId="502CE8F5" w14:textId="77777777" w:rsidR="00C4575C" w:rsidRPr="00F31649" w:rsidRDefault="00C4575C" w:rsidP="00C4575C">
      <w:pPr>
        <w:rPr>
          <w:lang w:val="es-ES"/>
        </w:rPr>
      </w:pPr>
    </w:p>
    <w:p w14:paraId="65F1EAE6" w14:textId="77777777" w:rsidR="00C4575C" w:rsidRPr="00F31649" w:rsidRDefault="00C4575C" w:rsidP="00C4575C">
      <w:pPr>
        <w:rPr>
          <w:lang w:val="es-ES"/>
        </w:rPr>
      </w:pPr>
    </w:p>
    <w:p w14:paraId="0CCD68FA" w14:textId="77777777" w:rsidR="00C4575C" w:rsidRPr="00F31649" w:rsidRDefault="00C4575C" w:rsidP="00C4575C">
      <w:pPr>
        <w:rPr>
          <w:lang w:val="es-ES"/>
        </w:rPr>
      </w:pPr>
    </w:p>
    <w:p w14:paraId="3F40F61E" w14:textId="77777777" w:rsidR="00C4575C" w:rsidRPr="00F31649" w:rsidRDefault="00C4575C" w:rsidP="00C4575C">
      <w:pPr>
        <w:rPr>
          <w:lang w:val="es-ES"/>
        </w:rPr>
      </w:pPr>
      <w:r w:rsidRPr="00F31649">
        <w:rPr>
          <w:lang w:val="es-ES"/>
        </w:rPr>
        <w:t>Pablo Saavedra Alessandri</w:t>
      </w:r>
    </w:p>
    <w:p w14:paraId="3A2EB8B0" w14:textId="77777777" w:rsidR="00C4575C" w:rsidRPr="00F31649" w:rsidRDefault="00C4575C" w:rsidP="00C4575C">
      <w:pPr>
        <w:rPr>
          <w:lang w:val="es-CR"/>
        </w:rPr>
      </w:pPr>
      <w:r w:rsidRPr="00F31649">
        <w:rPr>
          <w:lang w:val="es-ES"/>
        </w:rPr>
        <w:tab/>
      </w:r>
      <w:r w:rsidRPr="00F31649">
        <w:rPr>
          <w:lang w:val="es-CR"/>
        </w:rPr>
        <w:t>Secretario</w:t>
      </w:r>
    </w:p>
    <w:p w14:paraId="0EB1E418" w14:textId="77777777" w:rsidR="00C4575C" w:rsidRDefault="00C4575C" w:rsidP="00E232AB">
      <w:pPr>
        <w:rPr>
          <w:szCs w:val="20"/>
          <w:lang w:val="pt-BR"/>
        </w:rPr>
      </w:pPr>
    </w:p>
    <w:sectPr w:rsidR="00C4575C" w:rsidSect="004E037F">
      <w:headerReference w:type="default" r:id="rId9"/>
      <w:footerReference w:type="even" r:id="rId10"/>
      <w:footerReference w:type="default" r:id="rId11"/>
      <w:footnotePr>
        <w:numRestart w:val="eachSect"/>
      </w:footnotePr>
      <w:type w:val="continuous"/>
      <w:pgSz w:w="12240" w:h="15840" w:code="1"/>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C3B11" w14:textId="77777777" w:rsidR="007E0A24" w:rsidRDefault="007E0A24" w:rsidP="009403BF">
      <w:r>
        <w:separator/>
      </w:r>
    </w:p>
  </w:endnote>
  <w:endnote w:type="continuationSeparator" w:id="0">
    <w:p w14:paraId="4810F150" w14:textId="77777777" w:rsidR="007E0A24" w:rsidRDefault="007E0A24" w:rsidP="0094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charset w:val="00"/>
    <w:family w:val="roman"/>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pple Chancery">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Verdana Bold">
    <w:altName w:val="Times New Roman"/>
    <w:panose1 w:val="020B0804030504040204"/>
    <w:charset w:val="00"/>
    <w:family w:val="auto"/>
    <w:pitch w:val="variable"/>
    <w:sig w:usb0="00000001" w:usb1="4000205B" w:usb2="00000010" w:usb3="00000000" w:csb0="0000019F" w:csb1="00000000"/>
  </w:font>
  <w:font w:name="Microsoft Sans Serif">
    <w:panose1 w:val="020B0604020202020204"/>
    <w:charset w:val="00"/>
    <w:family w:val="swiss"/>
    <w:pitch w:val="variable"/>
    <w:sig w:usb0="E1002AFF" w:usb1="C0000002" w:usb2="00000008" w:usb3="00000000" w:csb0="000101FF" w:csb1="00000000"/>
  </w:font>
  <w:font w:name="Verdana-Italic">
    <w:altName w:val="Verdana"/>
    <w:panose1 w:val="00000000000000000000"/>
    <w:charset w:val="4D"/>
    <w:family w:val="auto"/>
    <w:notTrueType/>
    <w:pitch w:val="default"/>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00D69" w14:textId="77777777" w:rsidR="0054256E" w:rsidRDefault="0054256E" w:rsidP="00D205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DF3F79" w14:textId="77777777" w:rsidR="0054256E" w:rsidRDefault="0054256E" w:rsidP="00D205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792166"/>
      <w:docPartObj>
        <w:docPartGallery w:val="Page Numbers (Top of Page)"/>
        <w:docPartUnique/>
      </w:docPartObj>
    </w:sdtPr>
    <w:sdtEndPr>
      <w:rPr>
        <w:noProof/>
      </w:rPr>
    </w:sdtEndPr>
    <w:sdtContent>
      <w:p w14:paraId="23C221D5" w14:textId="77777777" w:rsidR="0054256E" w:rsidRDefault="0054256E" w:rsidP="00F9155D">
        <w:pPr>
          <w:pStyle w:val="Header"/>
          <w:jc w:val="center"/>
        </w:pPr>
        <w:r>
          <w:t>-</w:t>
        </w:r>
        <w:r>
          <w:fldChar w:fldCharType="begin"/>
        </w:r>
        <w:r>
          <w:instrText xml:space="preserve"> PAGE   \* MERGEFORMAT </w:instrText>
        </w:r>
        <w:r>
          <w:fldChar w:fldCharType="separate"/>
        </w:r>
        <w:r w:rsidR="00C4575C">
          <w:rPr>
            <w:noProof/>
          </w:rPr>
          <w:t>31</w:t>
        </w:r>
        <w:r>
          <w:rPr>
            <w:noProof/>
          </w:rPr>
          <w:fldChar w:fldCharType="end"/>
        </w:r>
        <w:r>
          <w:rPr>
            <w:noProof/>
          </w:rPr>
          <w:t>-</w:t>
        </w:r>
      </w:p>
    </w:sdtContent>
  </w:sdt>
  <w:p w14:paraId="563DCC8C" w14:textId="77777777" w:rsidR="0054256E" w:rsidRDefault="0054256E" w:rsidP="00D205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6B77E" w14:textId="77777777" w:rsidR="007E0A24" w:rsidRDefault="007E0A24" w:rsidP="009403BF">
      <w:r>
        <w:separator/>
      </w:r>
    </w:p>
  </w:footnote>
  <w:footnote w:type="continuationSeparator" w:id="0">
    <w:p w14:paraId="523A85A7" w14:textId="77777777" w:rsidR="007E0A24" w:rsidRDefault="007E0A24" w:rsidP="009403BF">
      <w:r>
        <w:continuationSeparator/>
      </w:r>
    </w:p>
  </w:footnote>
  <w:footnote w:id="1">
    <w:p w14:paraId="000458D0" w14:textId="4D4C3EE4" w:rsidR="0054256E" w:rsidRPr="008F7BB8" w:rsidRDefault="0054256E" w:rsidP="00F65C5D">
      <w:pPr>
        <w:pStyle w:val="FootnoteText"/>
        <w:rPr>
          <w:szCs w:val="16"/>
        </w:rPr>
      </w:pPr>
      <w:r w:rsidRPr="008F7BB8">
        <w:rPr>
          <w:rFonts w:cs="Microsoft Sans Serif"/>
          <w:spacing w:val="-4"/>
          <w:szCs w:val="16"/>
          <w:vertAlign w:val="superscript"/>
          <w:lang w:val="es-PR"/>
        </w:rPr>
        <w:t xml:space="preserve">* </w:t>
      </w:r>
      <w:r w:rsidRPr="008F7BB8">
        <w:rPr>
          <w:rFonts w:cs="Microsoft Sans Serif"/>
          <w:spacing w:val="-4"/>
          <w:szCs w:val="16"/>
          <w:vertAlign w:val="superscript"/>
          <w:lang w:val="es-PR"/>
        </w:rPr>
        <w:tab/>
      </w:r>
      <w:r w:rsidRPr="008F7BB8">
        <w:rPr>
          <w:szCs w:val="16"/>
        </w:rPr>
        <w:t xml:space="preserve">La Jueza Elizabeth Odio Benito, por razones de fuerza mayor aceptadas por el Pleno del Tribunal, no participó en la deliberación y firma de la presente Sentencia. </w:t>
      </w:r>
    </w:p>
  </w:footnote>
  <w:footnote w:id="2">
    <w:p w14:paraId="143D66ED" w14:textId="3989D771" w:rsidR="0054256E" w:rsidRPr="008F7BB8" w:rsidRDefault="0054256E" w:rsidP="003B1D4E">
      <w:pPr>
        <w:pStyle w:val="FootnoteText"/>
        <w:rPr>
          <w:color w:val="000000" w:themeColor="text1"/>
          <w:szCs w:val="16"/>
          <w:lang w:val="es-CR"/>
        </w:rPr>
      </w:pPr>
      <w:r w:rsidRPr="008F7BB8">
        <w:rPr>
          <w:rStyle w:val="FootnoteReference"/>
          <w:color w:val="000000" w:themeColor="text1"/>
          <w:szCs w:val="16"/>
        </w:rPr>
        <w:footnoteRef/>
      </w:r>
      <w:r w:rsidRPr="008F7BB8">
        <w:rPr>
          <w:color w:val="000000" w:themeColor="text1"/>
          <w:szCs w:val="16"/>
        </w:rPr>
        <w:t xml:space="preserve"> </w:t>
      </w:r>
      <w:r w:rsidRPr="008F7BB8">
        <w:rPr>
          <w:color w:val="000000" w:themeColor="text1"/>
          <w:szCs w:val="16"/>
        </w:rPr>
        <w:tab/>
        <w:t>Los familiares de Carlos Escaleras que figuran como presuntas víctimas en el Informe de Fondo son: su madre Ofelia Mejía; su esposa Martha Alvarenga Reyes; sus hijos e hijas Douglas Arnaldo, Emerson Alexander, Carlos Andrés, Marta Agripina y Omar Josué Escaleras; y sus hermanos y hermanas Eldin, René, Yolanda, Andrés, Omar y Alma, todos de apellido Mejía Alvarenga. Sin embargo, en virtud de la aclaración efectuada por los representantes de las presuntas víctimas en su escrito de solicitudes, argumentos y pruebas, y según certificados de matrimonio y nacimiento acompañados, se considerará como correcta individualización de los familiares de Carlos Escaleras la siguiente: su madre Ofelia Mejía Márquez; su esposa Marta Mercedes Alvarenga Reyes; sus hijos e hijas Douglas Arnaldo, Emerson Alexander, Carlos Andrés, Martha Agripina y Omar Josué, todos de apellidos Escaleras Alvarenga; y sus hermanos y hermanas Eldyn, René Alberto, Yolanda, José Andrés, Omar y Alma Indiana, todos de apellidos Escaleras Mejía.</w:t>
      </w:r>
    </w:p>
  </w:footnote>
  <w:footnote w:id="3">
    <w:p w14:paraId="06161F74" w14:textId="19C160DC" w:rsidR="0054256E" w:rsidRPr="008F7BB8" w:rsidRDefault="0054256E" w:rsidP="002D321E">
      <w:pPr>
        <w:pStyle w:val="FootnoteText"/>
        <w:rPr>
          <w:szCs w:val="16"/>
          <w:lang w:val="es-CR"/>
        </w:rPr>
      </w:pPr>
      <w:r w:rsidRPr="008F7BB8">
        <w:rPr>
          <w:rStyle w:val="FootnoteReference"/>
          <w:szCs w:val="16"/>
        </w:rPr>
        <w:footnoteRef/>
      </w:r>
      <w:r w:rsidRPr="008F7BB8">
        <w:rPr>
          <w:szCs w:val="16"/>
        </w:rPr>
        <w:t xml:space="preserve"> </w:t>
      </w:r>
      <w:r w:rsidRPr="008F7BB8">
        <w:rPr>
          <w:szCs w:val="16"/>
        </w:rPr>
        <w:tab/>
        <w:t>La Comisión le asignó a la petición el No. 59-03.</w:t>
      </w:r>
    </w:p>
  </w:footnote>
  <w:footnote w:id="4">
    <w:p w14:paraId="3CC6FD80" w14:textId="1138C113" w:rsidR="0054256E" w:rsidRPr="003D58B9" w:rsidRDefault="0054256E" w:rsidP="002D321E">
      <w:pPr>
        <w:pStyle w:val="FootnoteText"/>
        <w:rPr>
          <w:szCs w:val="16"/>
          <w:lang w:val="es-CR"/>
        </w:rPr>
      </w:pPr>
      <w:r w:rsidRPr="008F7BB8">
        <w:rPr>
          <w:rStyle w:val="FootnoteReference"/>
          <w:szCs w:val="16"/>
        </w:rPr>
        <w:footnoteRef/>
      </w:r>
      <w:r w:rsidRPr="008F7BB8">
        <w:rPr>
          <w:szCs w:val="16"/>
        </w:rPr>
        <w:t xml:space="preserve"> </w:t>
      </w:r>
      <w:r w:rsidRPr="008F7BB8">
        <w:rPr>
          <w:szCs w:val="16"/>
        </w:rPr>
        <w:tab/>
      </w:r>
      <w:r w:rsidRPr="008F7BB8">
        <w:rPr>
          <w:szCs w:val="16"/>
          <w:lang w:val="es-CR"/>
        </w:rPr>
        <w:t>En dicho Informe, la Comisión declaró la admisibilidad de la petición referente al caso de “Carlos Escaleras Mejía”, por la presunta violación de los derechos a la vida, garantías judiciales y protección judicial, contenidos en los artículos 4,</w:t>
      </w:r>
      <w:r w:rsidRPr="00585059">
        <w:rPr>
          <w:szCs w:val="16"/>
          <w:lang w:val="es-CR"/>
        </w:rPr>
        <w:t xml:space="preserve"> 5.1, 5.2, 8.1 y 25.1 de la Convención Americana, en conexión con el artículo 1.1 del mismo instrumento.</w:t>
      </w:r>
    </w:p>
  </w:footnote>
  <w:footnote w:id="5">
    <w:p w14:paraId="4C274DF3" w14:textId="5CD3386F" w:rsidR="0054256E" w:rsidRPr="001C67D3" w:rsidRDefault="0054256E">
      <w:pPr>
        <w:pStyle w:val="FootnoteText"/>
        <w:rPr>
          <w:szCs w:val="16"/>
        </w:rPr>
      </w:pPr>
      <w:r w:rsidRPr="001C67D3">
        <w:rPr>
          <w:rStyle w:val="FootnoteReference"/>
          <w:szCs w:val="16"/>
        </w:rPr>
        <w:footnoteRef/>
      </w:r>
      <w:r w:rsidRPr="001C67D3">
        <w:rPr>
          <w:szCs w:val="16"/>
        </w:rPr>
        <w:t xml:space="preserve"> </w:t>
      </w:r>
      <w:r w:rsidRPr="001C67D3">
        <w:rPr>
          <w:szCs w:val="16"/>
        </w:rPr>
        <w:tab/>
      </w:r>
      <w:r w:rsidRPr="001C67D3">
        <w:rPr>
          <w:szCs w:val="16"/>
          <w:lang w:val="es-MX"/>
        </w:rPr>
        <w:t xml:space="preserve">Afirmó que Honduras era responsable por </w:t>
      </w:r>
      <w:r w:rsidRPr="001C67D3">
        <w:rPr>
          <w:szCs w:val="16"/>
          <w:lang w:val="es-AR"/>
        </w:rPr>
        <w:t xml:space="preserve">la violación al </w:t>
      </w:r>
      <w:r w:rsidRPr="00585059">
        <w:rPr>
          <w:szCs w:val="16"/>
          <w:lang w:val="es-CR"/>
        </w:rPr>
        <w:t>derecho a la vida establecido en el</w:t>
      </w:r>
      <w:r w:rsidRPr="003D58B9">
        <w:rPr>
          <w:szCs w:val="16"/>
          <w:lang w:val="es-CR"/>
        </w:rPr>
        <w:t xml:space="preserve"> artículo 4.1 de la Convención Americana, en relación con el artículo 1.1</w:t>
      </w:r>
      <w:r w:rsidRPr="008F1E4F">
        <w:rPr>
          <w:szCs w:val="16"/>
          <w:lang w:val="es-CR"/>
        </w:rPr>
        <w:t xml:space="preserve"> del mismo instrumento</w:t>
      </w:r>
      <w:r w:rsidRPr="00C478A6">
        <w:rPr>
          <w:szCs w:val="16"/>
          <w:lang w:val="es-CR"/>
        </w:rPr>
        <w:t xml:space="preserve"> en perjuicio de Carlos Escaleras Mejía,</w:t>
      </w:r>
      <w:r w:rsidRPr="004B27CC">
        <w:rPr>
          <w:szCs w:val="16"/>
          <w:lang w:val="es-CR"/>
        </w:rPr>
        <w:t xml:space="preserve"> y los derechos a la integridad personal, garantías judiciales y protección judicial</w:t>
      </w:r>
      <w:r w:rsidRPr="003D61FF">
        <w:rPr>
          <w:szCs w:val="16"/>
          <w:lang w:val="es-CR"/>
        </w:rPr>
        <w:t xml:space="preserve"> establecidos en los artículos 5.1, 8.1, y 25</w:t>
      </w:r>
      <w:r w:rsidRPr="00DE0618">
        <w:rPr>
          <w:szCs w:val="16"/>
          <w:lang w:val="es-CR"/>
        </w:rPr>
        <w:t xml:space="preserve">.1 de la Convención Americana, en relación con el artículo 1.1 del mismo instrumento en perjuicio de de los familiares de Carlos Escaleras Mejía. Asimismo, con base en el principio </w:t>
      </w:r>
      <w:r w:rsidRPr="00DE0618">
        <w:rPr>
          <w:i/>
          <w:szCs w:val="16"/>
          <w:lang w:val="es-CR"/>
        </w:rPr>
        <w:t>iura novit curia</w:t>
      </w:r>
      <w:r w:rsidRPr="00DE0618">
        <w:rPr>
          <w:szCs w:val="16"/>
          <w:lang w:val="es-CR"/>
        </w:rPr>
        <w:t>, la Comisión concluyó que el Estado es responsable por la violación del derecho a la libertad de asociación y a los derechos políticos establecidos en los artículos 16.1 y 23 de la Convención Americana, en relación con las obligaciones establecidas en el artículo 1.1 de la misma, en perjuicio de Carlos Escaleras Mejía. La Comisión consideró que los alegatos relacionados a la presunta violación del derecho a la libertad de expresión, establecido en el artículo 13 de la Convención Americana, se encuentran subsumidos en el análisis de la Comisión respecto del derecho a la libertad de asociación y los derechos políticos</w:t>
      </w:r>
      <w:r w:rsidRPr="001C67D3">
        <w:rPr>
          <w:szCs w:val="16"/>
          <w:lang w:val="es-MX"/>
        </w:rPr>
        <w:t>.</w:t>
      </w:r>
    </w:p>
  </w:footnote>
  <w:footnote w:id="6">
    <w:p w14:paraId="45A683C1" w14:textId="09BC5B5A" w:rsidR="0054256E" w:rsidRPr="00DE0618" w:rsidRDefault="0054256E" w:rsidP="008E42F4">
      <w:pPr>
        <w:pStyle w:val="FootnoteText"/>
        <w:rPr>
          <w:szCs w:val="16"/>
        </w:rPr>
      </w:pPr>
      <w:r w:rsidRPr="00585059">
        <w:rPr>
          <w:rStyle w:val="FootnoteReference"/>
          <w:szCs w:val="16"/>
        </w:rPr>
        <w:footnoteRef/>
      </w:r>
      <w:r w:rsidRPr="00585059">
        <w:rPr>
          <w:szCs w:val="16"/>
        </w:rPr>
        <w:t xml:space="preserve"> </w:t>
      </w:r>
      <w:r w:rsidRPr="00585059">
        <w:rPr>
          <w:szCs w:val="16"/>
        </w:rPr>
        <w:tab/>
        <w:t>Recomendó al Estado: 1. Reparar adecuadamente las violaciones de derechos humanos declaradas en el presente informe tanto en el aspecto material como moral, así como la reivindicación histórica de la labor del señor Carlos Escaleras Mejía como defensor de derechos humanos; 2. Desarrollar y completar una investigación judicial imparcial, completa y efectiva, de manera expedita, con el objeto de establecer las circunstancias en que resultó muerto e</w:t>
      </w:r>
      <w:r w:rsidRPr="003D58B9">
        <w:rPr>
          <w:szCs w:val="16"/>
        </w:rPr>
        <w:t>l señor Escaleras Mejía, identificar a todas las personas que participaron en los diferentes niveles de decisión y ejecución, y aplicar las sanciones que correspondan. En el marco de este proceso, adoptar todas las medidas para proteger a testigos y otros actores del proceso, en caso de que sea necesario; 3. Disponer las medidas administrativas, disciplinarias o penales correspondientes frente a las acciones u omisiones de los funcionarios estatales que contribuyeron a la denegac</w:t>
      </w:r>
      <w:r w:rsidRPr="008F1E4F">
        <w:rPr>
          <w:szCs w:val="16"/>
        </w:rPr>
        <w:t>ión de justicia e impunidad en la que se encuentran los hechos del caso; 4. Adoptar medidas de carácter legislativo, institucional y judicial orientadas a reducir la exposición al riesgo de las defensoras y defensores de derechos humanos, incluyendo amb</w:t>
      </w:r>
      <w:r w:rsidRPr="00C478A6">
        <w:rPr>
          <w:szCs w:val="16"/>
        </w:rPr>
        <w:t>ien</w:t>
      </w:r>
      <w:r w:rsidRPr="00F3271F">
        <w:rPr>
          <w:szCs w:val="16"/>
        </w:rPr>
        <w:t xml:space="preserve">talistas y ecologistas, que se encuentran en situación de vulnerabilidad. </w:t>
      </w:r>
      <w:r w:rsidRPr="003D61FF">
        <w:rPr>
          <w:szCs w:val="16"/>
        </w:rPr>
        <w:t xml:space="preserve">Aclaró que para ello </w:t>
      </w:r>
      <w:r w:rsidRPr="00DE0618">
        <w:rPr>
          <w:szCs w:val="16"/>
        </w:rPr>
        <w:t>el Estado debe: a. Fortalecer la capacidad institucional para combatir el patrón de impunidad frente a casos de amenazas y muertes de defensoras y defensores, mediante la elaboración de protocolos de investigación que tengan en cuenta los riesgos inherentes a la labor de defensa de los derechos humanos, en particular del derecho a un medio ambiente sano, que conduzcan a la sanción de los responsables y a una reparación adecuada a las víctimas. Asimismo, el Estado debe asegurar que cuando funcionarios públicos estén implicados en investigaciones de violaciones de derechos humanos, las investigaciones se realicen eficazmente y con independencia; b. Fortalecer los mecanismos para proteger eficazmente a testigos, víctimas y familiares que se encuentren en riesgo como resultado de su vinculación a las investigaciones, y c. Desarrollar medidas adecuadas y expeditas de respuesta institucional que permitan proteger eficazmente a defensoras y defensores de derechos humanos en situaciones de riesgo.</w:t>
      </w:r>
    </w:p>
  </w:footnote>
  <w:footnote w:id="7">
    <w:p w14:paraId="58C3BD94" w14:textId="15E84916" w:rsidR="0054256E" w:rsidRPr="00DE0618" w:rsidRDefault="0054256E" w:rsidP="007E480C">
      <w:pPr>
        <w:pStyle w:val="FootnoteText"/>
        <w:rPr>
          <w:szCs w:val="16"/>
          <w:lang w:val="es-CR"/>
        </w:rPr>
      </w:pPr>
      <w:r w:rsidRPr="00DE0618">
        <w:rPr>
          <w:rStyle w:val="FootnoteReference"/>
          <w:szCs w:val="16"/>
        </w:rPr>
        <w:footnoteRef/>
      </w:r>
      <w:r w:rsidRPr="00DE0618">
        <w:rPr>
          <w:szCs w:val="16"/>
        </w:rPr>
        <w:t xml:space="preserve"> </w:t>
      </w:r>
      <w:r w:rsidRPr="00DE0618">
        <w:rPr>
          <w:szCs w:val="16"/>
        </w:rPr>
        <w:tab/>
      </w:r>
      <w:r w:rsidRPr="00DE0618">
        <w:rPr>
          <w:szCs w:val="16"/>
          <w:lang w:val="es-CR"/>
        </w:rPr>
        <w:t>Los representantes de las presuntas víctimas son el Centro por la Justicia y el Derecho Internacional (CEJIL) y el Equipo de Reflexión, Investigación y Comunicación de la Compañía de Jesús (ERIC).</w:t>
      </w:r>
    </w:p>
  </w:footnote>
  <w:footnote w:id="8">
    <w:p w14:paraId="6D0CFB17" w14:textId="18EFA836" w:rsidR="0054256E" w:rsidRPr="00DE0618" w:rsidRDefault="0054256E" w:rsidP="00C501EA">
      <w:pPr>
        <w:pStyle w:val="FootnoteText"/>
        <w:rPr>
          <w:szCs w:val="16"/>
          <w:lang w:val="es-CR"/>
        </w:rPr>
      </w:pPr>
      <w:r w:rsidRPr="00DE0618">
        <w:rPr>
          <w:rStyle w:val="FootnoteReference"/>
          <w:rFonts w:eastAsia="MS Gothic"/>
          <w:szCs w:val="16"/>
        </w:rPr>
        <w:footnoteRef/>
      </w:r>
      <w:r w:rsidRPr="00DE0618">
        <w:rPr>
          <w:szCs w:val="16"/>
        </w:rPr>
        <w:t xml:space="preserve"> </w:t>
      </w:r>
      <w:r w:rsidRPr="00DE0618">
        <w:rPr>
          <w:szCs w:val="16"/>
        </w:rPr>
        <w:tab/>
      </w:r>
      <w:r w:rsidRPr="00DE0618">
        <w:rPr>
          <w:szCs w:val="16"/>
          <w:lang w:val="es-CR"/>
        </w:rPr>
        <w:t>Con anterioridad, por medio de una comunicación recibida por la Corte el 13 de diciembre de 2017, el Estado designó como agente a Ricardo Lara Watson, y a Nelson Gerardo Molina Flores y Jacobo Cálix Hernández como agentes alternos. El Acuerdo de arreglo amistoso presentado es suscrito en nombre del Estado por Abraham Alvarenga Urbina, Procurador General de la República.</w:t>
      </w:r>
    </w:p>
  </w:footnote>
  <w:footnote w:id="9">
    <w:p w14:paraId="1CC3ECA0" w14:textId="2C339BB9" w:rsidR="0054256E" w:rsidRPr="00DE0618" w:rsidRDefault="0054256E">
      <w:pPr>
        <w:pStyle w:val="FootnoteText"/>
        <w:rPr>
          <w:szCs w:val="16"/>
          <w:lang w:val="es-ES"/>
        </w:rPr>
      </w:pPr>
      <w:r w:rsidRPr="00DE0618">
        <w:rPr>
          <w:rStyle w:val="FootnoteReference"/>
          <w:szCs w:val="16"/>
        </w:rPr>
        <w:footnoteRef/>
      </w:r>
      <w:r w:rsidRPr="00DE0618">
        <w:rPr>
          <w:szCs w:val="16"/>
          <w:lang w:val="es-ES"/>
        </w:rPr>
        <w:t xml:space="preserve"> </w:t>
      </w:r>
      <w:r w:rsidRPr="00DE0618">
        <w:rPr>
          <w:szCs w:val="16"/>
          <w:lang w:val="es-ES"/>
        </w:rPr>
        <w:tab/>
        <w:t>Ivonei Souza Trindade, abogado brasileño, presentó dicho escrito el día 18 de mayo de 2018.</w:t>
      </w:r>
    </w:p>
  </w:footnote>
  <w:footnote w:id="10">
    <w:p w14:paraId="476246A4" w14:textId="471B5BB3" w:rsidR="0054256E" w:rsidRPr="00DE0618" w:rsidRDefault="0054256E">
      <w:pPr>
        <w:pStyle w:val="FootnoteText"/>
        <w:rPr>
          <w:szCs w:val="16"/>
        </w:rPr>
      </w:pPr>
      <w:r w:rsidRPr="00DE0618">
        <w:rPr>
          <w:rStyle w:val="FootnoteReference"/>
          <w:szCs w:val="16"/>
        </w:rPr>
        <w:footnoteRef/>
      </w:r>
      <w:r w:rsidRPr="00DE0618">
        <w:rPr>
          <w:szCs w:val="16"/>
        </w:rPr>
        <w:t xml:space="preserve"> </w:t>
      </w:r>
      <w:r w:rsidRPr="00DE0618">
        <w:rPr>
          <w:szCs w:val="16"/>
        </w:rPr>
        <w:tab/>
        <w:t>Michel Forst, Relator Especial sobre la situación de los defensores de los derechos humanos de Naciones Unidas,</w:t>
      </w:r>
      <w:r w:rsidRPr="00DE0618">
        <w:rPr>
          <w:szCs w:val="16"/>
          <w:lang w:val="es-ES"/>
        </w:rPr>
        <w:t xml:space="preserve"> presentó dicho escrito </w:t>
      </w:r>
      <w:r w:rsidRPr="00DE0618">
        <w:rPr>
          <w:szCs w:val="16"/>
        </w:rPr>
        <w:t xml:space="preserve">el día 24 de septiembre de 2018. </w:t>
      </w:r>
    </w:p>
  </w:footnote>
  <w:footnote w:id="11">
    <w:p w14:paraId="27F38898" w14:textId="4E748D6B" w:rsidR="0054256E" w:rsidRPr="00DE0618" w:rsidRDefault="0054256E">
      <w:pPr>
        <w:pStyle w:val="FootnoteText"/>
        <w:rPr>
          <w:szCs w:val="16"/>
          <w:lang w:val="es-ES"/>
        </w:rPr>
      </w:pPr>
      <w:r w:rsidRPr="00DE0618">
        <w:rPr>
          <w:rStyle w:val="FootnoteReference"/>
          <w:szCs w:val="16"/>
        </w:rPr>
        <w:footnoteRef/>
      </w:r>
      <w:r w:rsidRPr="00DE0618">
        <w:rPr>
          <w:szCs w:val="16"/>
          <w:lang w:val="es-ES"/>
        </w:rPr>
        <w:t xml:space="preserve"> </w:t>
      </w:r>
      <w:r w:rsidRPr="00DE0618">
        <w:rPr>
          <w:szCs w:val="16"/>
          <w:lang w:val="es-ES"/>
        </w:rPr>
        <w:tab/>
        <w:t>Ben Leather</w:t>
      </w:r>
      <w:r w:rsidRPr="00DE0618">
        <w:rPr>
          <w:szCs w:val="16"/>
        </w:rPr>
        <w:t xml:space="preserve">, </w:t>
      </w:r>
      <w:r w:rsidRPr="00DE0618">
        <w:rPr>
          <w:szCs w:val="16"/>
          <w:lang w:val="es-ES"/>
        </w:rPr>
        <w:t>Senior Campaigner, Land and Environmental Rights Defenders de la organización Global Witness, presentó dicho escrito</w:t>
      </w:r>
      <w:r w:rsidRPr="00DE0618">
        <w:rPr>
          <w:szCs w:val="16"/>
        </w:rPr>
        <w:t xml:space="preserve"> el día 24 de septiembre de 2018.</w:t>
      </w:r>
    </w:p>
  </w:footnote>
  <w:footnote w:id="12">
    <w:p w14:paraId="2502FEB4" w14:textId="74B1353E" w:rsidR="0054256E" w:rsidRPr="00DE0618" w:rsidRDefault="0054256E" w:rsidP="00165717">
      <w:pPr>
        <w:pStyle w:val="FootnoteText"/>
        <w:rPr>
          <w:szCs w:val="16"/>
        </w:rPr>
      </w:pPr>
      <w:r w:rsidRPr="00DE0618">
        <w:rPr>
          <w:rStyle w:val="FootnoteReference"/>
          <w:szCs w:val="16"/>
        </w:rPr>
        <w:footnoteRef/>
      </w:r>
      <w:r w:rsidRPr="00DE0618">
        <w:rPr>
          <w:szCs w:val="16"/>
        </w:rPr>
        <w:t xml:space="preserve"> </w:t>
      </w:r>
      <w:r w:rsidRPr="00DE0618">
        <w:rPr>
          <w:szCs w:val="16"/>
        </w:rPr>
        <w:tab/>
        <w:t>El escrito fue enviado por Francisco Rivera quien es Director de la Clínica de Derechos Humanos de la Universidad de Santa Clara, el día 24 de septiembre de 2018.</w:t>
      </w:r>
    </w:p>
  </w:footnote>
  <w:footnote w:id="13">
    <w:p w14:paraId="3CA1F0E7" w14:textId="5CBA3DD0" w:rsidR="0054256E" w:rsidRPr="008F1E4F" w:rsidRDefault="0054256E" w:rsidP="008D6275">
      <w:pPr>
        <w:pStyle w:val="FootnoteText"/>
        <w:rPr>
          <w:szCs w:val="16"/>
          <w:lang w:val="es-CR"/>
        </w:rPr>
      </w:pPr>
      <w:r w:rsidRPr="00DE0618">
        <w:rPr>
          <w:rStyle w:val="FootnoteReference"/>
          <w:szCs w:val="16"/>
        </w:rPr>
        <w:footnoteRef/>
      </w:r>
      <w:r w:rsidRPr="00DE0618">
        <w:rPr>
          <w:szCs w:val="16"/>
        </w:rPr>
        <w:t xml:space="preserve"> </w:t>
      </w:r>
      <w:r w:rsidRPr="00DE0618">
        <w:rPr>
          <w:szCs w:val="16"/>
        </w:rPr>
        <w:tab/>
      </w:r>
      <w:r w:rsidRPr="00DE0618">
        <w:rPr>
          <w:szCs w:val="16"/>
          <w:lang w:val="es-CR"/>
        </w:rPr>
        <w:t>En el Acuerdo de Solución Amistosa las partes reconocen como víctimas a las personas determinadas por el Informe de Fondo No. 43/14</w:t>
      </w:r>
      <w:r>
        <w:rPr>
          <w:szCs w:val="16"/>
          <w:lang w:val="es-CR"/>
        </w:rPr>
        <w:t xml:space="preserve">, las cuales han sido enumeradas en la </w:t>
      </w:r>
      <w:r w:rsidRPr="001F751D">
        <w:rPr>
          <w:szCs w:val="16"/>
          <w:lang w:val="es-CR"/>
        </w:rPr>
        <w:t xml:space="preserve">nota al pie de página </w:t>
      </w:r>
      <w:r w:rsidRPr="00585059">
        <w:rPr>
          <w:szCs w:val="16"/>
          <w:lang w:val="es-CR"/>
        </w:rPr>
        <w:t>1</w:t>
      </w:r>
      <w:r w:rsidRPr="003D58B9">
        <w:rPr>
          <w:szCs w:val="16"/>
          <w:lang w:val="es-CR"/>
        </w:rPr>
        <w:t xml:space="preserve">. </w:t>
      </w:r>
    </w:p>
  </w:footnote>
  <w:footnote w:id="14">
    <w:p w14:paraId="10AF1C08" w14:textId="6854B523" w:rsidR="0054256E" w:rsidRPr="00DE0618" w:rsidRDefault="0054256E" w:rsidP="006D05FF">
      <w:pPr>
        <w:pStyle w:val="FootnoteText"/>
        <w:rPr>
          <w:szCs w:val="16"/>
          <w:lang w:val="es-CR"/>
        </w:rPr>
      </w:pPr>
      <w:r w:rsidRPr="008F1E4F">
        <w:rPr>
          <w:rStyle w:val="FootnoteReference"/>
          <w:szCs w:val="16"/>
        </w:rPr>
        <w:footnoteRef/>
      </w:r>
      <w:r w:rsidRPr="00C478A6">
        <w:rPr>
          <w:szCs w:val="16"/>
        </w:rPr>
        <w:t xml:space="preserve"> </w:t>
      </w:r>
      <w:r w:rsidRPr="00C478A6">
        <w:rPr>
          <w:szCs w:val="16"/>
        </w:rPr>
        <w:tab/>
      </w:r>
      <w:r w:rsidRPr="001F751D">
        <w:rPr>
          <w:i/>
          <w:szCs w:val="16"/>
        </w:rPr>
        <w:t>Cfr.</w:t>
      </w:r>
      <w:r w:rsidRPr="00585059">
        <w:rPr>
          <w:szCs w:val="16"/>
        </w:rPr>
        <w:t xml:space="preserve"> </w:t>
      </w:r>
      <w:r w:rsidRPr="00585059">
        <w:rPr>
          <w:bCs/>
          <w:i/>
          <w:szCs w:val="16"/>
          <w:lang w:val="es-CR"/>
        </w:rPr>
        <w:t>Caso Benavides Cevallos Vs. Ecuador. Fondo, Reparaciones y Costas.</w:t>
      </w:r>
      <w:r w:rsidRPr="003D58B9">
        <w:rPr>
          <w:bCs/>
          <w:szCs w:val="16"/>
          <w:lang w:val="es-CR"/>
        </w:rPr>
        <w:t xml:space="preserve"> Sentencia de 19 de junio de 1998. Serie C No. 38, y </w:t>
      </w:r>
      <w:r w:rsidRPr="003D58B9">
        <w:rPr>
          <w:bCs/>
          <w:i/>
          <w:szCs w:val="16"/>
          <w:lang w:val="es-CR"/>
        </w:rPr>
        <w:t>Caso Gómez Murillo y otros Vs. Costa Rica.</w:t>
      </w:r>
      <w:r w:rsidRPr="008F1E4F">
        <w:rPr>
          <w:i/>
          <w:szCs w:val="16"/>
          <w:lang w:val="es-CR"/>
        </w:rPr>
        <w:t xml:space="preserve"> </w:t>
      </w:r>
      <w:r w:rsidRPr="00C478A6">
        <w:rPr>
          <w:szCs w:val="16"/>
          <w:lang w:val="es-CR"/>
        </w:rPr>
        <w:t xml:space="preserve">Sentencia de 29 de </w:t>
      </w:r>
      <w:r w:rsidRPr="00F3271F">
        <w:rPr>
          <w:szCs w:val="16"/>
          <w:lang w:val="es-CR"/>
        </w:rPr>
        <w:t>noviembre de 2016, serie C No. 326</w:t>
      </w:r>
      <w:r w:rsidRPr="00DE0618">
        <w:rPr>
          <w:szCs w:val="16"/>
          <w:lang w:val="es-CR"/>
        </w:rPr>
        <w:t>.</w:t>
      </w:r>
    </w:p>
  </w:footnote>
  <w:footnote w:id="15">
    <w:p w14:paraId="2BA3A702" w14:textId="19771C1C" w:rsidR="0054256E" w:rsidRPr="00DE0618" w:rsidRDefault="0054256E" w:rsidP="008D6275">
      <w:pPr>
        <w:pStyle w:val="FootnoteText"/>
        <w:rPr>
          <w:szCs w:val="16"/>
          <w:lang w:val="es-CR"/>
        </w:rPr>
      </w:pPr>
      <w:r w:rsidRPr="00DE0618">
        <w:rPr>
          <w:rStyle w:val="FootnoteReference"/>
          <w:szCs w:val="16"/>
        </w:rPr>
        <w:footnoteRef/>
      </w:r>
      <w:r w:rsidRPr="00DE0618">
        <w:rPr>
          <w:szCs w:val="16"/>
        </w:rPr>
        <w:t xml:space="preserve"> </w:t>
      </w:r>
      <w:r w:rsidRPr="00DE0618">
        <w:rPr>
          <w:szCs w:val="16"/>
        </w:rPr>
        <w:tab/>
      </w:r>
      <w:r w:rsidRPr="00DE0618">
        <w:rPr>
          <w:i/>
          <w:szCs w:val="16"/>
        </w:rPr>
        <w:t>Cfr.</w:t>
      </w:r>
      <w:r w:rsidRPr="00DE0618">
        <w:rPr>
          <w:i/>
          <w:szCs w:val="16"/>
          <w:lang w:val="es-CR"/>
        </w:rPr>
        <w:t xml:space="preserve"> Caso García Cruz y Sánchez Silvestre Vs. Estados Unidos Mexicanos. Fondo, Reparaciones y Costas. </w:t>
      </w:r>
      <w:r w:rsidRPr="00DE0618">
        <w:rPr>
          <w:szCs w:val="16"/>
          <w:lang w:val="es-CR"/>
        </w:rPr>
        <w:t>Sentencia del 26 de noviembre de 2013, serie C No. 273, párr. 17, y</w:t>
      </w:r>
      <w:r w:rsidRPr="00DE0618">
        <w:rPr>
          <w:szCs w:val="16"/>
        </w:rPr>
        <w:t xml:space="preserve"> </w:t>
      </w:r>
      <w:r w:rsidRPr="00DE0618">
        <w:rPr>
          <w:bCs/>
          <w:i/>
          <w:szCs w:val="16"/>
          <w:lang w:val="es-CR"/>
        </w:rPr>
        <w:t>Caso Gómez Murillo y otros Vs. Costa Rica</w:t>
      </w:r>
      <w:r w:rsidRPr="00DE0618">
        <w:rPr>
          <w:szCs w:val="16"/>
          <w:lang w:val="es-CR"/>
        </w:rPr>
        <w:t xml:space="preserve">, párr. 15. </w:t>
      </w:r>
    </w:p>
  </w:footnote>
  <w:footnote w:id="16">
    <w:p w14:paraId="112B5B4A" w14:textId="5FE3C4A2" w:rsidR="0054256E" w:rsidRPr="00DE0618" w:rsidRDefault="0054256E" w:rsidP="008D6275">
      <w:pPr>
        <w:pStyle w:val="FootnoteText"/>
        <w:rPr>
          <w:szCs w:val="16"/>
          <w:lang w:val="es-CR"/>
        </w:rPr>
      </w:pPr>
      <w:r w:rsidRPr="00DE0618">
        <w:rPr>
          <w:rStyle w:val="FootnoteReference"/>
          <w:szCs w:val="16"/>
        </w:rPr>
        <w:footnoteRef/>
      </w:r>
      <w:r w:rsidRPr="00DE0618">
        <w:rPr>
          <w:szCs w:val="16"/>
        </w:rPr>
        <w:t xml:space="preserve"> </w:t>
      </w:r>
      <w:r w:rsidRPr="00DE0618">
        <w:rPr>
          <w:szCs w:val="16"/>
        </w:rPr>
        <w:tab/>
      </w:r>
      <w:r w:rsidRPr="00DE0618">
        <w:rPr>
          <w:i/>
          <w:szCs w:val="16"/>
        </w:rPr>
        <w:t>Cfr.</w:t>
      </w:r>
      <w:r w:rsidRPr="00DE0618">
        <w:rPr>
          <w:szCs w:val="16"/>
        </w:rPr>
        <w:t xml:space="preserve"> </w:t>
      </w:r>
      <w:r w:rsidRPr="00DE0618">
        <w:rPr>
          <w:i/>
          <w:szCs w:val="16"/>
        </w:rPr>
        <w:t>Caso Pacheco Teruel y otros Vs. Honduras. Fondo, Reparaciones y Costas</w:t>
      </w:r>
      <w:r w:rsidRPr="00DE0618">
        <w:rPr>
          <w:szCs w:val="16"/>
        </w:rPr>
        <w:t xml:space="preserve">. Sentencia de 27 de abril de 2012. Serie C No. 241, párr. 19, y </w:t>
      </w:r>
      <w:r w:rsidRPr="00DE0618">
        <w:rPr>
          <w:bCs/>
          <w:i/>
          <w:szCs w:val="16"/>
          <w:lang w:val="es-CR"/>
        </w:rPr>
        <w:t>Caso Gómez Murillo y otros Vs. Costa Rica</w:t>
      </w:r>
      <w:r w:rsidRPr="00DE0618">
        <w:rPr>
          <w:szCs w:val="16"/>
          <w:lang w:val="es-CR"/>
        </w:rPr>
        <w:t xml:space="preserve">, párr. 16. </w:t>
      </w:r>
    </w:p>
  </w:footnote>
  <w:footnote w:id="17">
    <w:p w14:paraId="4ADA1BD0" w14:textId="77777777" w:rsidR="0054256E" w:rsidRPr="001C67D3" w:rsidRDefault="0054256E" w:rsidP="00994534">
      <w:pPr>
        <w:pStyle w:val="FootnoteText"/>
        <w:rPr>
          <w:szCs w:val="16"/>
        </w:rPr>
      </w:pPr>
      <w:r w:rsidRPr="001C67D3">
        <w:rPr>
          <w:rStyle w:val="FootnoteReference"/>
          <w:szCs w:val="16"/>
        </w:rPr>
        <w:footnoteRef/>
      </w:r>
      <w:r w:rsidRPr="001C67D3">
        <w:rPr>
          <w:szCs w:val="16"/>
        </w:rPr>
        <w:t xml:space="preserve"> </w:t>
      </w:r>
      <w:r w:rsidRPr="001C67D3">
        <w:rPr>
          <w:szCs w:val="16"/>
        </w:rPr>
        <w:tab/>
        <w:t xml:space="preserve">Artículo 64 del Reglamento de la Corte. “Prosecución del examen del caso. La Corte, teniendo en cuenta las responsabilidades que le incumben de proteger los derechos humanos, podrá decidir que prosiga el examen del caso, aun en presencia de los supuestos señalados en los artículos precedentes”. </w:t>
      </w:r>
    </w:p>
  </w:footnote>
  <w:footnote w:id="18">
    <w:p w14:paraId="354B6CBA" w14:textId="77777777" w:rsidR="0054256E" w:rsidRPr="00F3271F" w:rsidRDefault="0054256E" w:rsidP="000A2076">
      <w:pPr>
        <w:pStyle w:val="FootnoteText"/>
        <w:rPr>
          <w:szCs w:val="16"/>
          <w:lang w:val="es-CR"/>
        </w:rPr>
      </w:pPr>
      <w:r w:rsidRPr="00585059">
        <w:rPr>
          <w:rStyle w:val="FootnoteReference"/>
          <w:szCs w:val="16"/>
        </w:rPr>
        <w:footnoteRef/>
      </w:r>
      <w:r w:rsidRPr="001F751D">
        <w:rPr>
          <w:szCs w:val="16"/>
          <w:lang w:val="pt-BR"/>
        </w:rPr>
        <w:t xml:space="preserve"> </w:t>
      </w:r>
      <w:r w:rsidRPr="001F751D">
        <w:rPr>
          <w:szCs w:val="16"/>
          <w:lang w:val="pt-BR"/>
        </w:rPr>
        <w:tab/>
      </w:r>
      <w:r w:rsidRPr="001F751D">
        <w:rPr>
          <w:i/>
          <w:szCs w:val="16"/>
          <w:lang w:val="pt-BR"/>
        </w:rPr>
        <w:t>Cfr.</w:t>
      </w:r>
      <w:r w:rsidRPr="001F751D">
        <w:rPr>
          <w:szCs w:val="16"/>
          <w:lang w:val="pt-BR"/>
        </w:rPr>
        <w:t xml:space="preserve"> </w:t>
      </w:r>
      <w:r w:rsidRPr="001F751D">
        <w:rPr>
          <w:i/>
          <w:szCs w:val="16"/>
          <w:lang w:val="pt-BR"/>
        </w:rPr>
        <w:t xml:space="preserve">Caso Manuel Cepeda Vargas Vs. </w:t>
      </w:r>
      <w:r w:rsidRPr="00585059">
        <w:rPr>
          <w:i/>
          <w:szCs w:val="16"/>
        </w:rPr>
        <w:t>Colombia. Excepciones Preliminares, Fondo, Reparaciones y Costas</w:t>
      </w:r>
      <w:r w:rsidRPr="00585059">
        <w:rPr>
          <w:szCs w:val="16"/>
        </w:rPr>
        <w:t xml:space="preserve">. Sentencia de 26 de mayo de 2010. Serie C No. 213, párr. 17, y </w:t>
      </w:r>
      <w:r w:rsidRPr="00585059">
        <w:rPr>
          <w:i/>
          <w:szCs w:val="16"/>
          <w:lang w:val="es-CR"/>
        </w:rPr>
        <w:t xml:space="preserve">Caso </w:t>
      </w:r>
      <w:r w:rsidRPr="003D58B9">
        <w:rPr>
          <w:i/>
          <w:szCs w:val="16"/>
          <w:lang w:val="es-CR"/>
        </w:rPr>
        <w:t>Poblete Vilches y Otros Vs. Chile. Fondo Reparaciones y Costas</w:t>
      </w:r>
      <w:r w:rsidRPr="003D58B9">
        <w:rPr>
          <w:szCs w:val="16"/>
          <w:lang w:val="es-CR"/>
        </w:rPr>
        <w:t>. S</w:t>
      </w:r>
      <w:r w:rsidRPr="008F1E4F">
        <w:rPr>
          <w:bCs/>
          <w:szCs w:val="16"/>
          <w:lang w:val="es-CR"/>
        </w:rPr>
        <w:t>entencia de 8 marzo de 2018 Serie C No. 349, párr.26</w:t>
      </w:r>
      <w:r w:rsidRPr="00C478A6">
        <w:rPr>
          <w:szCs w:val="16"/>
          <w:lang w:val="es-CR"/>
        </w:rPr>
        <w:t>.</w:t>
      </w:r>
    </w:p>
  </w:footnote>
  <w:footnote w:id="19">
    <w:p w14:paraId="6066E864" w14:textId="66CADE0E" w:rsidR="0054256E" w:rsidRPr="00F3271F" w:rsidRDefault="0054256E" w:rsidP="008D6275">
      <w:pPr>
        <w:pStyle w:val="FootnoteText"/>
        <w:rPr>
          <w:szCs w:val="16"/>
          <w:lang w:val="es-CR"/>
        </w:rPr>
      </w:pPr>
      <w:r w:rsidRPr="00F3271F">
        <w:rPr>
          <w:rStyle w:val="FootnoteReference"/>
          <w:szCs w:val="16"/>
        </w:rPr>
        <w:footnoteRef/>
      </w:r>
      <w:r w:rsidRPr="00F3271F">
        <w:rPr>
          <w:szCs w:val="16"/>
        </w:rPr>
        <w:t xml:space="preserve"> </w:t>
      </w:r>
      <w:r w:rsidRPr="00F3271F">
        <w:rPr>
          <w:szCs w:val="16"/>
        </w:rPr>
        <w:tab/>
      </w:r>
      <w:r>
        <w:rPr>
          <w:i/>
          <w:szCs w:val="16"/>
        </w:rPr>
        <w:t xml:space="preserve">Mutatis mutandi, </w:t>
      </w:r>
      <w:r w:rsidRPr="00F3271F">
        <w:rPr>
          <w:i/>
          <w:szCs w:val="16"/>
        </w:rPr>
        <w:t>Caso García Cruz y Sánchez Silvestre Vs. Estados Unidos Mexicanos</w:t>
      </w:r>
      <w:r w:rsidRPr="00F3271F">
        <w:rPr>
          <w:szCs w:val="16"/>
          <w:lang w:val="es-CR"/>
        </w:rPr>
        <w:t>,</w:t>
      </w:r>
      <w:r w:rsidRPr="00F3271F">
        <w:rPr>
          <w:szCs w:val="16"/>
        </w:rPr>
        <w:t xml:space="preserve"> párr. 19, y </w:t>
      </w:r>
      <w:r w:rsidRPr="00F3271F">
        <w:rPr>
          <w:bCs/>
          <w:i/>
          <w:szCs w:val="16"/>
          <w:lang w:val="es-CR"/>
        </w:rPr>
        <w:t xml:space="preserve">Caso Gómez Murillo y otros Vs. Costa Rica, </w:t>
      </w:r>
      <w:r w:rsidRPr="00F3271F">
        <w:rPr>
          <w:szCs w:val="16"/>
          <w:lang w:val="es-CR"/>
        </w:rPr>
        <w:t>párr. 18.</w:t>
      </w:r>
    </w:p>
  </w:footnote>
  <w:footnote w:id="20">
    <w:p w14:paraId="66EE1E8A" w14:textId="03E2D8C8" w:rsidR="0054256E" w:rsidRPr="00585059" w:rsidRDefault="0054256E" w:rsidP="008D6275">
      <w:pPr>
        <w:pStyle w:val="FootnoteText"/>
        <w:rPr>
          <w:szCs w:val="16"/>
          <w:lang w:val="es-CR"/>
        </w:rPr>
      </w:pPr>
      <w:r w:rsidRPr="004B27CC">
        <w:rPr>
          <w:rStyle w:val="FootnoteReference"/>
          <w:szCs w:val="16"/>
        </w:rPr>
        <w:footnoteRef/>
      </w:r>
      <w:r w:rsidRPr="004B27CC">
        <w:rPr>
          <w:szCs w:val="16"/>
        </w:rPr>
        <w:t xml:space="preserve"> </w:t>
      </w:r>
      <w:r w:rsidRPr="004B27CC">
        <w:rPr>
          <w:szCs w:val="16"/>
        </w:rPr>
        <w:tab/>
      </w:r>
      <w:r w:rsidRPr="001C67D3">
        <w:rPr>
          <w:i/>
          <w:szCs w:val="16"/>
        </w:rPr>
        <w:t xml:space="preserve">Cfr. </w:t>
      </w:r>
      <w:r w:rsidRPr="003D58B9">
        <w:rPr>
          <w:i/>
          <w:szCs w:val="16"/>
        </w:rPr>
        <w:t xml:space="preserve">Caso de la “Masacre de Mapiripán” Vs. Colombia. Fondo, Reparaciones y Costas. </w:t>
      </w:r>
      <w:r w:rsidRPr="001F751D">
        <w:rPr>
          <w:szCs w:val="16"/>
        </w:rPr>
        <w:t xml:space="preserve">Sentencia de 15 de septiembre de 2005. Serie C No. 134, párr. 69, y </w:t>
      </w:r>
      <w:r w:rsidRPr="001C67D3">
        <w:rPr>
          <w:i/>
          <w:szCs w:val="16"/>
        </w:rPr>
        <w:t xml:space="preserve">Caso </w:t>
      </w:r>
      <w:r w:rsidRPr="001C67D3">
        <w:rPr>
          <w:bCs/>
          <w:i/>
          <w:szCs w:val="16"/>
          <w:lang w:val="es-ES"/>
        </w:rPr>
        <w:t>Pacheco Teruel y otros vs. Honduras</w:t>
      </w:r>
      <w:r w:rsidRPr="001C67D3">
        <w:rPr>
          <w:bCs/>
          <w:szCs w:val="16"/>
          <w:lang w:val="es-ES"/>
        </w:rPr>
        <w:t>, párr. 22</w:t>
      </w:r>
      <w:r>
        <w:rPr>
          <w:szCs w:val="16"/>
        </w:rPr>
        <w:t>.</w:t>
      </w:r>
    </w:p>
  </w:footnote>
  <w:footnote w:id="21">
    <w:p w14:paraId="7A9EC919" w14:textId="43011579" w:rsidR="0054256E" w:rsidRPr="004B27CC" w:rsidRDefault="0054256E">
      <w:pPr>
        <w:pStyle w:val="FootnoteText"/>
      </w:pPr>
      <w:r>
        <w:rPr>
          <w:rStyle w:val="FootnoteReference"/>
        </w:rPr>
        <w:footnoteRef/>
      </w:r>
      <w:r>
        <w:t xml:space="preserve"> </w:t>
      </w:r>
      <w:r>
        <w:tab/>
        <w:t xml:space="preserve">Salvo aclaración expresa en contrario, la descripción de los hechos contenidos en el presente capítulo surge de los párrafos 43 a 128 del Informe de Fondo, en los términos en que han sido reconocidos por el Estado. </w:t>
      </w:r>
    </w:p>
  </w:footnote>
  <w:footnote w:id="22">
    <w:p w14:paraId="2EAD2FB1" w14:textId="298A5F8C" w:rsidR="0054256E" w:rsidRPr="004B27CC" w:rsidRDefault="0054256E" w:rsidP="00C304C1">
      <w:pPr>
        <w:pStyle w:val="FootnoteText"/>
        <w:rPr>
          <w:rFonts w:cs="Times New Roman"/>
          <w:szCs w:val="16"/>
          <w:lang w:val="es-CR"/>
        </w:rPr>
      </w:pPr>
      <w:r w:rsidRPr="00585059">
        <w:rPr>
          <w:rStyle w:val="FootnoteReference"/>
          <w:szCs w:val="16"/>
        </w:rPr>
        <w:footnoteRef/>
      </w:r>
      <w:r w:rsidRPr="001F751D">
        <w:rPr>
          <w:szCs w:val="16"/>
          <w:lang w:val="pt-BR"/>
        </w:rPr>
        <w:t xml:space="preserve"> </w:t>
      </w:r>
      <w:r w:rsidRPr="001F751D">
        <w:rPr>
          <w:szCs w:val="16"/>
          <w:lang w:val="pt-BR"/>
        </w:rPr>
        <w:tab/>
      </w:r>
      <w:r w:rsidRPr="001F751D">
        <w:rPr>
          <w:i/>
          <w:szCs w:val="16"/>
          <w:lang w:val="pt-BR"/>
        </w:rPr>
        <w:t>Cfr.</w:t>
      </w:r>
      <w:r w:rsidRPr="001F751D">
        <w:rPr>
          <w:szCs w:val="16"/>
          <w:lang w:val="pt-BR"/>
        </w:rPr>
        <w:t xml:space="preserve"> </w:t>
      </w:r>
      <w:r w:rsidRPr="001F751D">
        <w:rPr>
          <w:i/>
          <w:szCs w:val="16"/>
          <w:lang w:val="pt-BR"/>
        </w:rPr>
        <w:t xml:space="preserve">Caso Kawas Fernández Vs. </w:t>
      </w:r>
      <w:r w:rsidRPr="00585059">
        <w:rPr>
          <w:i/>
          <w:szCs w:val="16"/>
        </w:rPr>
        <w:t>Honduras. Fondo, Reparaciones y Costas.</w:t>
      </w:r>
      <w:r w:rsidRPr="003D58B9">
        <w:rPr>
          <w:szCs w:val="16"/>
        </w:rPr>
        <w:t xml:space="preserve"> Sentencia de 3 de abril de 2009. Serie C No. 196, párr. 69, y </w:t>
      </w:r>
      <w:r w:rsidRPr="008F1E4F">
        <w:rPr>
          <w:i/>
          <w:szCs w:val="16"/>
        </w:rPr>
        <w:t xml:space="preserve">Caso Luna López Vs. Honduras. Fondo, Reparaciones y Costas. </w:t>
      </w:r>
      <w:r w:rsidRPr="00C478A6">
        <w:rPr>
          <w:szCs w:val="16"/>
        </w:rPr>
        <w:t>Sentencia de 10 de octubre de 2013. Serie C No. 269, párr. 18.</w:t>
      </w:r>
    </w:p>
  </w:footnote>
  <w:footnote w:id="23">
    <w:p w14:paraId="7F9E8155" w14:textId="1D43DDDE" w:rsidR="0054256E" w:rsidRPr="00DE0618" w:rsidRDefault="0054256E" w:rsidP="006400E4">
      <w:pPr>
        <w:pStyle w:val="FootnoteText"/>
        <w:rPr>
          <w:rFonts w:cs="Times New Roman"/>
          <w:szCs w:val="16"/>
        </w:rPr>
      </w:pPr>
      <w:r w:rsidRPr="00B168C0">
        <w:rPr>
          <w:rStyle w:val="FootnoteReference"/>
          <w:szCs w:val="16"/>
        </w:rPr>
        <w:footnoteRef/>
      </w:r>
      <w:r w:rsidRPr="00B168C0">
        <w:rPr>
          <w:szCs w:val="16"/>
          <w:lang w:val="es-ES"/>
        </w:rPr>
        <w:t xml:space="preserve"> </w:t>
      </w:r>
      <w:r w:rsidRPr="00B168C0">
        <w:rPr>
          <w:szCs w:val="16"/>
          <w:lang w:val="es-ES"/>
        </w:rPr>
        <w:tab/>
      </w:r>
      <w:r w:rsidRPr="003D61FF">
        <w:rPr>
          <w:i/>
          <w:szCs w:val="16"/>
          <w:lang w:val="es-ES"/>
        </w:rPr>
        <w:t>Cfr.</w:t>
      </w:r>
      <w:r w:rsidRPr="00DE0618">
        <w:rPr>
          <w:szCs w:val="16"/>
          <w:lang w:val="es-ES"/>
        </w:rPr>
        <w:t xml:space="preserve"> </w:t>
      </w:r>
      <w:r w:rsidRPr="00DE0618">
        <w:rPr>
          <w:i/>
          <w:szCs w:val="16"/>
          <w:lang w:val="es-ES"/>
        </w:rPr>
        <w:t xml:space="preserve">Caso Kawas Fernández Vs. </w:t>
      </w:r>
      <w:r w:rsidRPr="00DE0618">
        <w:rPr>
          <w:i/>
          <w:szCs w:val="16"/>
        </w:rPr>
        <w:t>Honduras</w:t>
      </w:r>
      <w:r w:rsidRPr="00DE0618">
        <w:rPr>
          <w:szCs w:val="16"/>
        </w:rPr>
        <w:t>, párr. 69.</w:t>
      </w:r>
    </w:p>
  </w:footnote>
  <w:footnote w:id="24">
    <w:p w14:paraId="7ED498BB" w14:textId="4FA35966" w:rsidR="0054256E" w:rsidRPr="00DE0618" w:rsidRDefault="0054256E" w:rsidP="006400E4">
      <w:pPr>
        <w:pStyle w:val="FootnoteText"/>
        <w:rPr>
          <w:szCs w:val="16"/>
        </w:rPr>
      </w:pPr>
      <w:r w:rsidRPr="00DE0618">
        <w:rPr>
          <w:rStyle w:val="FootnoteReference"/>
          <w:szCs w:val="16"/>
        </w:rPr>
        <w:footnoteRef/>
      </w:r>
      <w:r w:rsidRPr="00DE0618">
        <w:rPr>
          <w:szCs w:val="16"/>
        </w:rPr>
        <w:t xml:space="preserve"> </w:t>
      </w:r>
      <w:r w:rsidRPr="00DE0618">
        <w:rPr>
          <w:szCs w:val="16"/>
        </w:rPr>
        <w:tab/>
      </w:r>
      <w:r w:rsidRPr="00DE0618">
        <w:rPr>
          <w:i/>
          <w:szCs w:val="16"/>
        </w:rPr>
        <w:t>Cfr.</w:t>
      </w:r>
      <w:r w:rsidRPr="00DE0618">
        <w:rPr>
          <w:szCs w:val="16"/>
        </w:rPr>
        <w:t xml:space="preserve"> </w:t>
      </w:r>
      <w:r w:rsidRPr="00DE0618">
        <w:rPr>
          <w:i/>
          <w:szCs w:val="16"/>
        </w:rPr>
        <w:t>Caso Luna López Vs. Honduras</w:t>
      </w:r>
      <w:r w:rsidRPr="00DE0618">
        <w:rPr>
          <w:szCs w:val="16"/>
        </w:rPr>
        <w:t>, párr. 21.</w:t>
      </w:r>
    </w:p>
  </w:footnote>
  <w:footnote w:id="25">
    <w:p w14:paraId="656F5C51" w14:textId="4487296A" w:rsidR="0054256E" w:rsidRPr="00DE0618" w:rsidRDefault="0054256E" w:rsidP="006400E4">
      <w:pPr>
        <w:pStyle w:val="FootnoteText"/>
        <w:rPr>
          <w:rFonts w:cs="Times New Roman"/>
          <w:szCs w:val="16"/>
          <w:lang w:val="es-CR"/>
        </w:rPr>
      </w:pPr>
      <w:r w:rsidRPr="00DE0618">
        <w:rPr>
          <w:rStyle w:val="FootnoteReference"/>
          <w:szCs w:val="16"/>
        </w:rPr>
        <w:footnoteRef/>
      </w:r>
      <w:r w:rsidRPr="00DE0618">
        <w:rPr>
          <w:szCs w:val="16"/>
        </w:rPr>
        <w:t xml:space="preserve"> </w:t>
      </w:r>
      <w:r w:rsidRPr="00DE0618">
        <w:rPr>
          <w:szCs w:val="16"/>
        </w:rPr>
        <w:tab/>
      </w:r>
      <w:r w:rsidRPr="00DE0618">
        <w:rPr>
          <w:i/>
          <w:szCs w:val="16"/>
          <w:lang w:val="es-CR"/>
        </w:rPr>
        <w:t>Cfr.</w:t>
      </w:r>
      <w:r w:rsidRPr="00DE0618">
        <w:rPr>
          <w:szCs w:val="16"/>
          <w:lang w:val="es-CR"/>
        </w:rPr>
        <w:t xml:space="preserve"> Naciones Unidas, Comisión de Derechos Humanos. Informe de la Relatora Especial sobre ejecuciones extrajudiciales, sumarias o arbitrarias, Misión a Honduras, 14 de junio de 2002, E/CN.4/2003/3/Add.2, párr. 67; Consejo de Derechos Humanos. Aplicación de la Resolución 60/251 de la Asamblea General de 15 de marzo de 2006. Informe presentado por la Representante Especial del Secretario General sobre la cuestión de defensores de </w:t>
      </w:r>
      <w:r>
        <w:rPr>
          <w:szCs w:val="16"/>
          <w:lang w:val="es-CR"/>
        </w:rPr>
        <w:t xml:space="preserve">los </w:t>
      </w:r>
      <w:r w:rsidRPr="00B168C0">
        <w:rPr>
          <w:szCs w:val="16"/>
          <w:lang w:val="es-CR"/>
        </w:rPr>
        <w:t>derechos humanos,</w:t>
      </w:r>
      <w:r w:rsidRPr="00DE0618">
        <w:rPr>
          <w:szCs w:val="16"/>
          <w:lang w:val="es-CR"/>
        </w:rPr>
        <w:t xml:space="preserve"> 24 de enero de 2007, A/HRC/4/37, párr</w:t>
      </w:r>
      <w:r>
        <w:rPr>
          <w:szCs w:val="16"/>
          <w:lang w:val="es-CR"/>
        </w:rPr>
        <w:t>s</w:t>
      </w:r>
      <w:r w:rsidRPr="00B168C0">
        <w:rPr>
          <w:szCs w:val="16"/>
          <w:lang w:val="es-CR"/>
        </w:rPr>
        <w:t xml:space="preserve">. </w:t>
      </w:r>
      <w:r>
        <w:rPr>
          <w:szCs w:val="16"/>
          <w:lang w:val="es-CR"/>
        </w:rPr>
        <w:t>92, 95 y 110</w:t>
      </w:r>
      <w:r w:rsidRPr="00B168C0">
        <w:rPr>
          <w:szCs w:val="16"/>
          <w:lang w:val="es-CR"/>
        </w:rPr>
        <w:t xml:space="preserve">; </w:t>
      </w:r>
      <w:r w:rsidRPr="003D61FF">
        <w:rPr>
          <w:szCs w:val="16"/>
          <w:lang w:val="es-CR"/>
        </w:rPr>
        <w:t>Consejo de Derechos Humanos. Informe de la Relatora Especial sobre la situación de los defensores de los derechos humanos</w:t>
      </w:r>
      <w:r w:rsidRPr="00DE0618">
        <w:rPr>
          <w:szCs w:val="16"/>
          <w:lang w:val="es-CR"/>
        </w:rPr>
        <w:t>. Misión a Honduras, 13 de diciembre de 2012, A/HRC/22/47</w:t>
      </w:r>
      <w:r>
        <w:rPr>
          <w:szCs w:val="16"/>
          <w:lang w:val="es-CR"/>
        </w:rPr>
        <w:t>/</w:t>
      </w:r>
      <w:r w:rsidRPr="00B168C0">
        <w:rPr>
          <w:szCs w:val="16"/>
          <w:lang w:val="es-CR"/>
        </w:rPr>
        <w:t>Add.1, párr</w:t>
      </w:r>
      <w:r w:rsidRPr="003D61FF">
        <w:rPr>
          <w:szCs w:val="16"/>
          <w:lang w:val="es-CR"/>
        </w:rPr>
        <w:t>s</w:t>
      </w:r>
      <w:r w:rsidRPr="00DE0618">
        <w:rPr>
          <w:szCs w:val="16"/>
          <w:lang w:val="es-CR"/>
        </w:rPr>
        <w:t>. 73 y 82.</w:t>
      </w:r>
    </w:p>
  </w:footnote>
  <w:footnote w:id="26">
    <w:p w14:paraId="7C358822" w14:textId="64080555" w:rsidR="0054256E" w:rsidRPr="00DE0618" w:rsidRDefault="0054256E" w:rsidP="006400E4">
      <w:pPr>
        <w:pStyle w:val="FootnoteText"/>
        <w:rPr>
          <w:szCs w:val="16"/>
        </w:rPr>
      </w:pPr>
      <w:r w:rsidRPr="00DE0618">
        <w:rPr>
          <w:rStyle w:val="FootnoteReference"/>
          <w:szCs w:val="16"/>
        </w:rPr>
        <w:footnoteRef/>
      </w:r>
      <w:r w:rsidRPr="00DE0618">
        <w:rPr>
          <w:szCs w:val="16"/>
          <w:lang w:val="es-CR"/>
        </w:rPr>
        <w:t xml:space="preserve"> </w:t>
      </w:r>
      <w:r w:rsidRPr="00DE0618">
        <w:rPr>
          <w:szCs w:val="16"/>
          <w:lang w:val="es-CR"/>
        </w:rPr>
        <w:tab/>
      </w:r>
      <w:r w:rsidRPr="00DE0618">
        <w:rPr>
          <w:i/>
          <w:szCs w:val="16"/>
          <w:lang w:val="es-CR"/>
        </w:rPr>
        <w:t>Cfr.</w:t>
      </w:r>
      <w:r w:rsidRPr="00DE0618">
        <w:rPr>
          <w:szCs w:val="16"/>
          <w:lang w:val="es-CR"/>
        </w:rPr>
        <w:t xml:space="preserve"> Naciones Unidas, Comisión de Derechos Humanos. Informe de la Relatora Especial sobre ejecuciones extrajudiciales, sumarias o arbitrarias, 14 de junio de 2002, E/CN.4/2003/3/Add.2, párrs. 63 y 64.</w:t>
      </w:r>
    </w:p>
  </w:footnote>
  <w:footnote w:id="27">
    <w:p w14:paraId="5B5CD755" w14:textId="22C18817" w:rsidR="0054256E" w:rsidRPr="00DE0618" w:rsidRDefault="0054256E" w:rsidP="00EB06D1">
      <w:pPr>
        <w:pStyle w:val="FootnoteText"/>
        <w:rPr>
          <w:rFonts w:cs="Times New Roman"/>
          <w:szCs w:val="16"/>
          <w:lang w:val="es-CR"/>
        </w:rPr>
      </w:pPr>
      <w:r w:rsidRPr="00DE0618">
        <w:rPr>
          <w:rStyle w:val="FootnoteReference"/>
          <w:szCs w:val="16"/>
        </w:rPr>
        <w:footnoteRef/>
      </w:r>
      <w:r w:rsidRPr="00DE0618">
        <w:rPr>
          <w:szCs w:val="16"/>
        </w:rPr>
        <w:t xml:space="preserve"> </w:t>
      </w:r>
      <w:r w:rsidRPr="00DE0618">
        <w:rPr>
          <w:szCs w:val="16"/>
        </w:rPr>
        <w:tab/>
      </w:r>
      <w:r w:rsidRPr="00DE0618">
        <w:rPr>
          <w:i/>
          <w:szCs w:val="16"/>
        </w:rPr>
        <w:t>Caso Kawas Fernández Vs. Honduras</w:t>
      </w:r>
      <w:r w:rsidRPr="00DE0618">
        <w:rPr>
          <w:szCs w:val="16"/>
        </w:rPr>
        <w:t>, párr. 70.</w:t>
      </w:r>
    </w:p>
  </w:footnote>
  <w:footnote w:id="28">
    <w:p w14:paraId="13BDB7DD" w14:textId="4A6B59DD" w:rsidR="0054256E" w:rsidRPr="00DE0618" w:rsidRDefault="0054256E" w:rsidP="00EB06D1">
      <w:pPr>
        <w:pStyle w:val="FootnoteText"/>
        <w:rPr>
          <w:szCs w:val="16"/>
        </w:rPr>
      </w:pPr>
      <w:r w:rsidRPr="00DE0618">
        <w:rPr>
          <w:rStyle w:val="FootnoteReference"/>
          <w:szCs w:val="16"/>
        </w:rPr>
        <w:footnoteRef/>
      </w:r>
      <w:r w:rsidRPr="00DE0618">
        <w:rPr>
          <w:szCs w:val="16"/>
        </w:rPr>
        <w:t xml:space="preserve"> </w:t>
      </w:r>
      <w:r w:rsidRPr="00DE0618">
        <w:rPr>
          <w:szCs w:val="16"/>
        </w:rPr>
        <w:tab/>
        <w:t>Naciones Unidas, Consejo de Derechos Humanos. Informe de la Relatora Especial sobre la situación de los defensores de los derechos humanos, 13 de diciembre de 2012, A/HRC/22/47Add.1, párr. 73.</w:t>
      </w:r>
    </w:p>
  </w:footnote>
  <w:footnote w:id="29">
    <w:p w14:paraId="704366E9" w14:textId="6B306DDA" w:rsidR="0054256E" w:rsidRPr="00DE0618" w:rsidRDefault="0054256E" w:rsidP="00EB06D1">
      <w:pPr>
        <w:pStyle w:val="FootnoteText"/>
        <w:rPr>
          <w:szCs w:val="16"/>
        </w:rPr>
      </w:pPr>
      <w:r w:rsidRPr="00DE0618">
        <w:rPr>
          <w:rStyle w:val="FootnoteReference"/>
          <w:szCs w:val="16"/>
        </w:rPr>
        <w:footnoteRef/>
      </w:r>
      <w:r w:rsidRPr="00DE0618">
        <w:rPr>
          <w:szCs w:val="16"/>
        </w:rPr>
        <w:t xml:space="preserve"> </w:t>
      </w:r>
      <w:r w:rsidRPr="00DE0618">
        <w:rPr>
          <w:szCs w:val="16"/>
        </w:rPr>
        <w:tab/>
      </w:r>
      <w:r w:rsidRPr="00DE0618">
        <w:rPr>
          <w:i/>
          <w:szCs w:val="16"/>
        </w:rPr>
        <w:t>Cfr.</w:t>
      </w:r>
      <w:r w:rsidRPr="00DE0618">
        <w:rPr>
          <w:szCs w:val="16"/>
        </w:rPr>
        <w:t xml:space="preserve"> Naciones Unidas, Consejo de Derechos Humanos. Informe de la Relatora Especial sobre la situación de los defensores de los derechos humanos. Misión a Honduras, 13 de diciembre de 2012, A/HRC/22/47Add.1, párr. 69.</w:t>
      </w:r>
    </w:p>
  </w:footnote>
  <w:footnote w:id="30">
    <w:p w14:paraId="407FA20F" w14:textId="796F4A08" w:rsidR="0054256E" w:rsidRPr="003D58B9" w:rsidRDefault="0054256E" w:rsidP="00EB06D1">
      <w:pPr>
        <w:pStyle w:val="FootnoteText"/>
        <w:rPr>
          <w:rFonts w:cs="Times New Roman"/>
          <w:szCs w:val="16"/>
          <w:lang w:val="es-CR"/>
        </w:rPr>
      </w:pPr>
      <w:r w:rsidRPr="00DE0618">
        <w:rPr>
          <w:rStyle w:val="FootnoteReference"/>
          <w:szCs w:val="16"/>
        </w:rPr>
        <w:footnoteRef/>
      </w:r>
      <w:r w:rsidRPr="00DE0618">
        <w:rPr>
          <w:szCs w:val="16"/>
          <w:lang w:val="es-CR"/>
        </w:rPr>
        <w:t xml:space="preserve"> </w:t>
      </w:r>
      <w:r w:rsidRPr="00DE0618">
        <w:rPr>
          <w:szCs w:val="16"/>
          <w:lang w:val="es-CR"/>
        </w:rPr>
        <w:tab/>
      </w:r>
      <w:r w:rsidRPr="00DE0618">
        <w:rPr>
          <w:i/>
          <w:szCs w:val="16"/>
          <w:lang w:val="es-CR"/>
        </w:rPr>
        <w:t>Cfr.</w:t>
      </w:r>
      <w:r w:rsidRPr="00DE0618">
        <w:rPr>
          <w:szCs w:val="16"/>
          <w:lang w:val="es-CR"/>
        </w:rPr>
        <w:t xml:space="preserve"> </w:t>
      </w:r>
      <w:r w:rsidRPr="00DE0618">
        <w:rPr>
          <w:szCs w:val="16"/>
        </w:rPr>
        <w:t>Naciones Unidas</w:t>
      </w:r>
      <w:r w:rsidRPr="00DE0618">
        <w:rPr>
          <w:szCs w:val="16"/>
          <w:lang w:val="es-CR"/>
        </w:rPr>
        <w:t xml:space="preserve">, </w:t>
      </w:r>
      <w:r w:rsidRPr="001F751D">
        <w:rPr>
          <w:szCs w:val="16"/>
          <w:lang w:val="es-CR"/>
        </w:rPr>
        <w:t xml:space="preserve">Oficina del Alto Comisionado de Derechos Humanos, </w:t>
      </w:r>
      <w:r w:rsidRPr="001F751D">
        <w:rPr>
          <w:bCs/>
          <w:szCs w:val="16"/>
          <w:lang w:val="es-CR"/>
        </w:rPr>
        <w:t>Noticia</w:t>
      </w:r>
      <w:r w:rsidRPr="001F751D">
        <w:rPr>
          <w:szCs w:val="16"/>
          <w:lang w:val="es-CR"/>
        </w:rPr>
        <w:t xml:space="preserve"> de </w:t>
      </w:r>
      <w:r w:rsidRPr="001F751D">
        <w:rPr>
          <w:bCs/>
          <w:szCs w:val="16"/>
          <w:lang w:val="es-CR"/>
        </w:rPr>
        <w:t>19 de agosto de 2016:</w:t>
      </w:r>
      <w:r w:rsidRPr="001F751D">
        <w:rPr>
          <w:szCs w:val="16"/>
          <w:lang w:val="es-CR"/>
        </w:rPr>
        <w:t xml:space="preserve"> “</w:t>
      </w:r>
      <w:r w:rsidRPr="00585059">
        <w:rPr>
          <w:bCs/>
          <w:szCs w:val="16"/>
          <w:lang w:val="es-CR"/>
        </w:rPr>
        <w:t>Honduras, uno de los países más peligrosos para los defensores de derechos humanos – advierten expertos</w:t>
      </w:r>
      <w:r w:rsidRPr="001F751D">
        <w:rPr>
          <w:bCs/>
          <w:szCs w:val="16"/>
          <w:lang w:val="es-CR"/>
        </w:rPr>
        <w:t>”</w:t>
      </w:r>
      <w:r w:rsidRPr="00585059">
        <w:rPr>
          <w:bCs/>
          <w:szCs w:val="16"/>
          <w:lang w:val="es-CR"/>
        </w:rPr>
        <w:t xml:space="preserve">. </w:t>
      </w:r>
    </w:p>
  </w:footnote>
  <w:footnote w:id="31">
    <w:p w14:paraId="7B78E679" w14:textId="3F2E2E9E" w:rsidR="0054256E" w:rsidRPr="003D61FF" w:rsidRDefault="0054256E" w:rsidP="008B033D">
      <w:pPr>
        <w:pStyle w:val="FootnoteText"/>
        <w:rPr>
          <w:szCs w:val="16"/>
        </w:rPr>
      </w:pPr>
      <w:r w:rsidRPr="003D58B9">
        <w:rPr>
          <w:rStyle w:val="FootnoteReference"/>
          <w:szCs w:val="16"/>
        </w:rPr>
        <w:footnoteRef/>
      </w:r>
      <w:r w:rsidRPr="008F1E4F">
        <w:rPr>
          <w:szCs w:val="16"/>
        </w:rPr>
        <w:t xml:space="preserve"> </w:t>
      </w:r>
      <w:r w:rsidRPr="008F1E4F">
        <w:rPr>
          <w:szCs w:val="16"/>
        </w:rPr>
        <w:tab/>
      </w:r>
      <w:r w:rsidRPr="008F1E4F">
        <w:rPr>
          <w:i/>
          <w:szCs w:val="16"/>
        </w:rPr>
        <w:t xml:space="preserve">Cfr. </w:t>
      </w:r>
      <w:r w:rsidRPr="00C478A6">
        <w:rPr>
          <w:szCs w:val="16"/>
        </w:rPr>
        <w:t>Naciones Unidas</w:t>
      </w:r>
      <w:r w:rsidRPr="00F3271F">
        <w:rPr>
          <w:szCs w:val="16"/>
        </w:rPr>
        <w:t xml:space="preserve">, Asamblea general. Informe del Relator Especial sobre la situación de los defensores de los derechos humanos, 3 de agosto de 2016, A/71/281, </w:t>
      </w:r>
      <w:r w:rsidRPr="004B27CC">
        <w:rPr>
          <w:szCs w:val="16"/>
        </w:rPr>
        <w:t xml:space="preserve">párr. 51. Por otra parte, el informe alude “a los activistas que […] han defendido el </w:t>
      </w:r>
      <w:r w:rsidRPr="00B168C0">
        <w:rPr>
          <w:szCs w:val="16"/>
        </w:rPr>
        <w:t>derecho de sus comunidades a un medio ambiente sin riesgos y sano […]”. Se refiere en particular a la situación en Honduras, “donde la renombrada activista ambiental Berta Cáceres y su compañero Nelson García, del Consejo Cívico de Organizaciones Populares</w:t>
      </w:r>
      <w:r w:rsidRPr="003D61FF">
        <w:rPr>
          <w:szCs w:val="16"/>
        </w:rPr>
        <w:t xml:space="preserve"> e Indígenas de Honduras, fueron asesinados, primero uno, luego el otro, en marzo de 2016, por haberse opuesto a la construcción de las presas hidroeléctricas en la cuenca del río sagrado de Gualcarque”, párr. 1.</w:t>
      </w:r>
    </w:p>
  </w:footnote>
  <w:footnote w:id="32">
    <w:p w14:paraId="5870CF0E" w14:textId="77777777" w:rsidR="0054256E" w:rsidRPr="00BB76F3" w:rsidRDefault="0054256E" w:rsidP="003D61FF">
      <w:pPr>
        <w:pStyle w:val="FootnoteText"/>
      </w:pPr>
      <w:r>
        <w:rPr>
          <w:rStyle w:val="FootnoteReference"/>
        </w:rPr>
        <w:footnoteRef/>
      </w:r>
      <w:r>
        <w:t xml:space="preserve"> </w:t>
      </w:r>
      <w:r>
        <w:tab/>
      </w:r>
      <w:r>
        <w:rPr>
          <w:i/>
        </w:rPr>
        <w:t>Cfr.</w:t>
      </w:r>
      <w:r w:rsidRPr="00BB76F3">
        <w:t xml:space="preserve"> Oficio del Comandante Regional de la Policía, de fecha 20 de octubre de 1997 (expediente de prueba, folio</w:t>
      </w:r>
      <w:r>
        <w:t>s</w:t>
      </w:r>
      <w:r w:rsidRPr="00BB76F3">
        <w:t xml:space="preserve"> 131</w:t>
      </w:r>
      <w:r>
        <w:t xml:space="preserve"> a 132</w:t>
      </w:r>
      <w:r w:rsidRPr="00BB76F3">
        <w:t xml:space="preserve">). </w:t>
      </w:r>
    </w:p>
  </w:footnote>
  <w:footnote w:id="33">
    <w:p w14:paraId="0AC38166" w14:textId="146C1260" w:rsidR="0054256E" w:rsidRPr="00DE0618" w:rsidRDefault="0054256E" w:rsidP="00A730A1">
      <w:pPr>
        <w:pStyle w:val="FootnoteText"/>
        <w:rPr>
          <w:rFonts w:cs="Times New Roman"/>
          <w:szCs w:val="16"/>
          <w:lang w:val="es-CR"/>
        </w:rPr>
      </w:pPr>
      <w:r w:rsidRPr="00DE0618">
        <w:rPr>
          <w:rStyle w:val="FootnoteReference"/>
          <w:szCs w:val="16"/>
        </w:rPr>
        <w:footnoteRef/>
      </w:r>
      <w:r w:rsidRPr="00DE0618">
        <w:rPr>
          <w:szCs w:val="16"/>
        </w:rPr>
        <w:t xml:space="preserve"> </w:t>
      </w:r>
      <w:r w:rsidRPr="00DE0618">
        <w:rPr>
          <w:szCs w:val="16"/>
        </w:rPr>
        <w:tab/>
      </w:r>
      <w:r w:rsidRPr="00DE0618">
        <w:rPr>
          <w:szCs w:val="16"/>
          <w:lang w:val="es-CR"/>
        </w:rPr>
        <w:t xml:space="preserve">Los argumentos de la Comisión sobre la violación de estos derechos humanos en perjuicio del señor Carlos Escaleras Mejía y familia se encuentran en el acápite </w:t>
      </w:r>
      <w:r>
        <w:rPr>
          <w:szCs w:val="16"/>
          <w:lang w:val="es-CR"/>
        </w:rPr>
        <w:t>I</w:t>
      </w:r>
      <w:r w:rsidRPr="003D61FF">
        <w:rPr>
          <w:szCs w:val="16"/>
          <w:lang w:val="es-CR"/>
        </w:rPr>
        <w:t>V</w:t>
      </w:r>
      <w:r w:rsidRPr="00DE0618">
        <w:rPr>
          <w:szCs w:val="16"/>
          <w:lang w:val="es-CR"/>
        </w:rPr>
        <w:t>. B “Derecho” del Informe de Fondo (párrs. 129</w:t>
      </w:r>
      <w:r>
        <w:rPr>
          <w:szCs w:val="16"/>
          <w:lang w:val="es-CR"/>
        </w:rPr>
        <w:t xml:space="preserve"> a 216</w:t>
      </w:r>
      <w:r w:rsidRPr="00DE0618">
        <w:rPr>
          <w:szCs w:val="16"/>
          <w:lang w:val="es-CR"/>
        </w:rPr>
        <w:t xml:space="preserve">). </w:t>
      </w:r>
    </w:p>
  </w:footnote>
  <w:footnote w:id="34">
    <w:p w14:paraId="49C9D5B3" w14:textId="0CFB30C4" w:rsidR="0054256E" w:rsidRPr="00DE0618" w:rsidRDefault="0054256E">
      <w:pPr>
        <w:pStyle w:val="FootnoteText"/>
        <w:rPr>
          <w:szCs w:val="16"/>
        </w:rPr>
      </w:pPr>
      <w:r w:rsidRPr="00DE0618">
        <w:rPr>
          <w:rStyle w:val="FootnoteReference"/>
          <w:szCs w:val="16"/>
        </w:rPr>
        <w:footnoteRef/>
      </w:r>
      <w:r w:rsidRPr="00DE0618">
        <w:rPr>
          <w:szCs w:val="16"/>
        </w:rPr>
        <w:t xml:space="preserve"> </w:t>
      </w:r>
      <w:r w:rsidRPr="00DE0618">
        <w:rPr>
          <w:szCs w:val="16"/>
        </w:rPr>
        <w:tab/>
        <w:t xml:space="preserve">Estos artículos disponen </w:t>
      </w:r>
      <w:r w:rsidRPr="00DE0618">
        <w:rPr>
          <w:color w:val="000000"/>
          <w:szCs w:val="16"/>
        </w:rPr>
        <w:t>que el Estado, por una parte, debe garantizar a toda persona sujeta a su jurisdicción el libre y pleno de los derechos y libertades reconocidos en la Convención, así como adoptar, con arreglo a sus procedimientos constitucionales y a las disposiciones de la Convención, las medidas legislativas o de otro carácter que fueren necesarias para hacer efectivos tales derechos y libertades. </w:t>
      </w:r>
    </w:p>
  </w:footnote>
  <w:footnote w:id="35">
    <w:p w14:paraId="1EDD5535" w14:textId="0D8C2747" w:rsidR="0054256E" w:rsidRPr="00DE0618" w:rsidRDefault="0054256E">
      <w:pPr>
        <w:pStyle w:val="FootnoteText"/>
        <w:rPr>
          <w:szCs w:val="16"/>
        </w:rPr>
      </w:pPr>
      <w:r w:rsidRPr="00DE0618">
        <w:rPr>
          <w:rStyle w:val="FootnoteReference"/>
          <w:szCs w:val="16"/>
        </w:rPr>
        <w:footnoteRef/>
      </w:r>
      <w:r w:rsidRPr="00DE0618">
        <w:rPr>
          <w:szCs w:val="16"/>
        </w:rPr>
        <w:t xml:space="preserve"> </w:t>
      </w:r>
      <w:r w:rsidRPr="00DE0618">
        <w:rPr>
          <w:szCs w:val="16"/>
        </w:rPr>
        <w:tab/>
        <w:t>Este artículo dispone que cualquier persona o grupo de personas, o entidad no gubernamental legalmente reconocida en uno o más Estados miembros de la Organización, puede presentar a la Comisión peticiones que contengan denuncias o quejas de violación de esta Convención por un Estado parte.</w:t>
      </w:r>
    </w:p>
  </w:footnote>
  <w:footnote w:id="36">
    <w:p w14:paraId="356275E0" w14:textId="56796A8B" w:rsidR="0054256E" w:rsidRPr="00DE0618" w:rsidRDefault="0054256E" w:rsidP="006A3FAD">
      <w:pPr>
        <w:pStyle w:val="FootnoteText"/>
        <w:rPr>
          <w:szCs w:val="16"/>
        </w:rPr>
      </w:pPr>
      <w:r w:rsidRPr="00DE0618">
        <w:rPr>
          <w:rStyle w:val="FootnoteReference"/>
          <w:szCs w:val="16"/>
        </w:rPr>
        <w:footnoteRef/>
      </w:r>
      <w:r w:rsidRPr="00DE0618">
        <w:rPr>
          <w:szCs w:val="16"/>
        </w:rPr>
        <w:t xml:space="preserve"> </w:t>
      </w:r>
      <w:r w:rsidRPr="00DE0618">
        <w:rPr>
          <w:szCs w:val="16"/>
        </w:rPr>
        <w:tab/>
      </w:r>
      <w:r w:rsidRPr="00DE0618">
        <w:rPr>
          <w:i/>
          <w:szCs w:val="16"/>
        </w:rPr>
        <w:t>Cfr.</w:t>
      </w:r>
      <w:r w:rsidRPr="00DE0618">
        <w:rPr>
          <w:szCs w:val="16"/>
        </w:rPr>
        <w:t xml:space="preserve"> Artículos 8, 25, y 44 de la Convención Americana, y Artículo 25 del Reglamento de la Corte. Asimismo, véase Declaración sobre el derecho y el deber de los individuos, los grupos y las instituciones de promover y proteger los derechos humanos y las libertades fundamentales universalmente reconocidos, artículos 1 y 9.</w:t>
      </w:r>
    </w:p>
  </w:footnote>
  <w:footnote w:id="37">
    <w:p w14:paraId="1922E973" w14:textId="3FF8221F" w:rsidR="0054256E" w:rsidRPr="00DE0618" w:rsidRDefault="0054256E" w:rsidP="00D23049">
      <w:pPr>
        <w:pStyle w:val="FootnoteText"/>
        <w:rPr>
          <w:rFonts w:cs="Times New Roman"/>
          <w:szCs w:val="16"/>
        </w:rPr>
      </w:pPr>
      <w:r w:rsidRPr="00DE0618">
        <w:rPr>
          <w:rStyle w:val="FootnoteReference"/>
          <w:szCs w:val="16"/>
        </w:rPr>
        <w:footnoteRef/>
      </w:r>
      <w:r w:rsidRPr="00DE0618">
        <w:rPr>
          <w:szCs w:val="16"/>
        </w:rPr>
        <w:t xml:space="preserve"> </w:t>
      </w:r>
      <w:r w:rsidRPr="00DE0618">
        <w:rPr>
          <w:szCs w:val="16"/>
        </w:rPr>
        <w:tab/>
      </w:r>
      <w:r w:rsidRPr="00DE0618">
        <w:rPr>
          <w:szCs w:val="16"/>
          <w:lang w:val="es-MX"/>
        </w:rPr>
        <w:t>El artículo 8 de la Convención establece: “1.</w:t>
      </w:r>
      <w:r w:rsidRPr="00DE0618">
        <w:rPr>
          <w:szCs w:val="16"/>
          <w:lang w:val="es-CR"/>
        </w:rPr>
        <w:t xml:space="preserve"> Garantías Judiciales:</w:t>
      </w:r>
      <w:r w:rsidRPr="00DE0618">
        <w:rPr>
          <w:szCs w:val="16"/>
          <w:lang w:val="es-MX"/>
        </w:rPr>
        <w:t xml:space="preserv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38">
    <w:p w14:paraId="6B62A94E" w14:textId="2B85386E" w:rsidR="0054256E" w:rsidRPr="003D61FF" w:rsidRDefault="0054256E" w:rsidP="00D23049">
      <w:pPr>
        <w:pStyle w:val="FootnoteText"/>
        <w:rPr>
          <w:szCs w:val="16"/>
        </w:rPr>
      </w:pPr>
      <w:r w:rsidRPr="00DE0618">
        <w:rPr>
          <w:rStyle w:val="FootnoteReference"/>
          <w:szCs w:val="16"/>
        </w:rPr>
        <w:footnoteRef/>
      </w:r>
      <w:r w:rsidRPr="00DE0618">
        <w:rPr>
          <w:szCs w:val="16"/>
        </w:rPr>
        <w:t xml:space="preserve"> </w:t>
      </w:r>
      <w:r w:rsidRPr="00DE0618">
        <w:rPr>
          <w:szCs w:val="16"/>
        </w:rPr>
        <w:tab/>
      </w:r>
      <w:r w:rsidRPr="00DE0618">
        <w:rPr>
          <w:szCs w:val="16"/>
          <w:lang w:val="es-CR"/>
        </w:rPr>
        <w:t>El artículo 25 de la Convención Americana establece: “Protección Judicial: 1.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r>
        <w:rPr>
          <w:szCs w:val="16"/>
          <w:lang w:val="es-CR"/>
        </w:rPr>
        <w:t>.</w:t>
      </w:r>
    </w:p>
  </w:footnote>
  <w:footnote w:id="39">
    <w:p w14:paraId="6377C2E0" w14:textId="5032E323" w:rsidR="0054256E" w:rsidRPr="00DE0618" w:rsidRDefault="0054256E" w:rsidP="00D23049">
      <w:pPr>
        <w:pStyle w:val="FootnoteText"/>
        <w:rPr>
          <w:rFonts w:cs="Times New Roman"/>
          <w:szCs w:val="16"/>
        </w:rPr>
      </w:pPr>
      <w:r w:rsidRPr="003D61FF">
        <w:rPr>
          <w:rStyle w:val="FootnoteReference"/>
          <w:szCs w:val="16"/>
        </w:rPr>
        <w:footnoteRef/>
      </w:r>
      <w:r w:rsidRPr="00DE0618">
        <w:rPr>
          <w:szCs w:val="16"/>
        </w:rPr>
        <w:t xml:space="preserve"> </w:t>
      </w:r>
      <w:r w:rsidRPr="00DE0618">
        <w:rPr>
          <w:szCs w:val="16"/>
        </w:rPr>
        <w:tab/>
      </w:r>
      <w:r w:rsidRPr="00DE0618">
        <w:rPr>
          <w:szCs w:val="16"/>
          <w:lang w:val="es-MX"/>
        </w:rPr>
        <w:t>El artículo 1.1 de la Convención establece: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40">
    <w:p w14:paraId="047BF8C6" w14:textId="48865E8A" w:rsidR="0054256E" w:rsidRPr="003D61FF" w:rsidRDefault="0054256E" w:rsidP="00D23049">
      <w:pPr>
        <w:pStyle w:val="FootnoteText"/>
        <w:rPr>
          <w:szCs w:val="16"/>
        </w:rPr>
      </w:pPr>
      <w:r w:rsidRPr="00DE0618">
        <w:rPr>
          <w:rStyle w:val="FootnoteReference"/>
          <w:szCs w:val="16"/>
        </w:rPr>
        <w:footnoteRef/>
      </w:r>
      <w:r w:rsidRPr="00DE0618">
        <w:rPr>
          <w:szCs w:val="16"/>
        </w:rPr>
        <w:t xml:space="preserve"> </w:t>
      </w:r>
      <w:r w:rsidRPr="00DE0618">
        <w:rPr>
          <w:szCs w:val="16"/>
        </w:rPr>
        <w:tab/>
      </w:r>
      <w:r>
        <w:rPr>
          <w:szCs w:val="16"/>
        </w:rPr>
        <w:t>É</w:t>
      </w:r>
      <w:r w:rsidRPr="00DE0618">
        <w:rPr>
          <w:szCs w:val="16"/>
        </w:rPr>
        <w:t xml:space="preserve">stos </w:t>
      </w:r>
      <w:r>
        <w:rPr>
          <w:szCs w:val="16"/>
        </w:rPr>
        <w:t>se encuentra enumerados en la nota al pie de página 1</w:t>
      </w:r>
      <w:r w:rsidRPr="003D61FF">
        <w:rPr>
          <w:szCs w:val="16"/>
        </w:rPr>
        <w:t>.</w:t>
      </w:r>
    </w:p>
  </w:footnote>
  <w:footnote w:id="41">
    <w:p w14:paraId="527905EC" w14:textId="16EDD481" w:rsidR="0054256E" w:rsidRPr="00F3271F" w:rsidRDefault="0054256E" w:rsidP="00D23049">
      <w:pPr>
        <w:pStyle w:val="FootnoteText"/>
        <w:rPr>
          <w:rFonts w:cs="Times New Roman"/>
          <w:szCs w:val="16"/>
        </w:rPr>
      </w:pPr>
      <w:r w:rsidRPr="003D61FF">
        <w:rPr>
          <w:rStyle w:val="FootnoteReference"/>
          <w:szCs w:val="16"/>
        </w:rPr>
        <w:footnoteRef/>
      </w:r>
      <w:r w:rsidRPr="001F751D">
        <w:rPr>
          <w:szCs w:val="16"/>
          <w:lang w:val="es-ES"/>
        </w:rPr>
        <w:t xml:space="preserve"> </w:t>
      </w:r>
      <w:r w:rsidRPr="001F751D">
        <w:rPr>
          <w:szCs w:val="16"/>
          <w:lang w:val="es-ES"/>
        </w:rPr>
        <w:tab/>
      </w:r>
      <w:r w:rsidRPr="001F751D">
        <w:rPr>
          <w:i/>
          <w:szCs w:val="16"/>
          <w:lang w:val="es-ES"/>
        </w:rPr>
        <w:t xml:space="preserve">Cfr. </w:t>
      </w:r>
      <w:r w:rsidRPr="00585059">
        <w:rPr>
          <w:bCs/>
          <w:i/>
          <w:szCs w:val="16"/>
          <w:lang w:val="es-CR"/>
        </w:rPr>
        <w:t xml:space="preserve">Caso Acosta y otros Vs. Nicaragua. Excepciones Preliminares, Fondo, Reparaciones y Costas. Sentencia de 25 de marzo de 2017. Serie C No. 334, </w:t>
      </w:r>
      <w:r w:rsidRPr="001F751D">
        <w:rPr>
          <w:bCs/>
          <w:szCs w:val="16"/>
          <w:lang w:val="es-CR"/>
        </w:rPr>
        <w:t>párr.</w:t>
      </w:r>
      <w:r w:rsidRPr="001F751D">
        <w:rPr>
          <w:szCs w:val="16"/>
          <w:lang w:val="es-ES"/>
        </w:rPr>
        <w:t xml:space="preserve"> 143.</w:t>
      </w:r>
    </w:p>
  </w:footnote>
  <w:footnote w:id="42">
    <w:p w14:paraId="1938868D" w14:textId="59879CA0" w:rsidR="0054256E" w:rsidRPr="001C67D3" w:rsidRDefault="0054256E" w:rsidP="00DC4207">
      <w:pPr>
        <w:pStyle w:val="FootnoteText"/>
        <w:rPr>
          <w:spacing w:val="-12"/>
          <w:szCs w:val="16"/>
        </w:rPr>
      </w:pPr>
      <w:r w:rsidRPr="001C67D3">
        <w:rPr>
          <w:rStyle w:val="FootnoteReference"/>
          <w:rFonts w:eastAsiaTheme="majorEastAsia"/>
          <w:spacing w:val="-12"/>
          <w:szCs w:val="16"/>
          <w:lang w:val="es-ES"/>
        </w:rPr>
        <w:footnoteRef/>
      </w:r>
      <w:r w:rsidRPr="001C67D3">
        <w:rPr>
          <w:spacing w:val="-12"/>
          <w:szCs w:val="16"/>
          <w:lang w:val="es-ES"/>
        </w:rPr>
        <w:t xml:space="preserve"> </w:t>
      </w:r>
      <w:r w:rsidRPr="001C67D3">
        <w:rPr>
          <w:spacing w:val="-12"/>
          <w:szCs w:val="16"/>
          <w:lang w:val="es-ES"/>
        </w:rPr>
        <w:tab/>
      </w:r>
      <w:r w:rsidRPr="001C67D3">
        <w:rPr>
          <w:i/>
          <w:spacing w:val="-12"/>
          <w:szCs w:val="16"/>
        </w:rPr>
        <w:t xml:space="preserve">Cfr. </w:t>
      </w:r>
      <w:r w:rsidRPr="00585059">
        <w:rPr>
          <w:i/>
          <w:szCs w:val="16"/>
          <w:lang w:val="es-CR"/>
        </w:rPr>
        <w:t>Caso Defensor de derechos humanos y otros Vs. Guatemala.</w:t>
      </w:r>
      <w:r w:rsidRPr="00585059">
        <w:rPr>
          <w:szCs w:val="16"/>
          <w:lang w:val="es-CR"/>
        </w:rPr>
        <w:t xml:space="preserve"> </w:t>
      </w:r>
      <w:r w:rsidRPr="00585059">
        <w:rPr>
          <w:i/>
          <w:szCs w:val="16"/>
          <w:lang w:val="es-CR"/>
        </w:rPr>
        <w:t>Excepciones Preliminares, Fondo, Reparaciones y Costas.</w:t>
      </w:r>
      <w:r w:rsidRPr="003D58B9">
        <w:rPr>
          <w:szCs w:val="16"/>
          <w:lang w:val="es-CR"/>
        </w:rPr>
        <w:t xml:space="preserve"> Sentencia de 28 de agosto de 2014. Serie C No. 283, </w:t>
      </w:r>
      <w:r w:rsidRPr="001C67D3">
        <w:rPr>
          <w:spacing w:val="-12"/>
          <w:szCs w:val="16"/>
        </w:rPr>
        <w:t xml:space="preserve">párrs. 131, 216, 219 y 220, y </w:t>
      </w:r>
      <w:r w:rsidRPr="00585059">
        <w:rPr>
          <w:bCs/>
          <w:i/>
          <w:szCs w:val="16"/>
          <w:lang w:val="es-CR"/>
        </w:rPr>
        <w:t>Caso Acosta y otros Vs. Nicaragua</w:t>
      </w:r>
      <w:r w:rsidRPr="001F751D">
        <w:rPr>
          <w:bCs/>
          <w:szCs w:val="16"/>
          <w:lang w:val="es-CR"/>
        </w:rPr>
        <w:t>, párr.</w:t>
      </w:r>
      <w:r w:rsidRPr="001F751D">
        <w:rPr>
          <w:szCs w:val="16"/>
          <w:lang w:val="es-ES"/>
        </w:rPr>
        <w:t xml:space="preserve"> 143.</w:t>
      </w:r>
    </w:p>
  </w:footnote>
  <w:footnote w:id="43">
    <w:p w14:paraId="2B730AB5" w14:textId="6B4307D5" w:rsidR="0054256E" w:rsidRPr="008F1E4F" w:rsidRDefault="0054256E">
      <w:pPr>
        <w:pStyle w:val="FootnoteText"/>
        <w:rPr>
          <w:szCs w:val="16"/>
        </w:rPr>
      </w:pPr>
      <w:r w:rsidRPr="00585059">
        <w:rPr>
          <w:rStyle w:val="FootnoteReference"/>
          <w:szCs w:val="16"/>
        </w:rPr>
        <w:footnoteRef/>
      </w:r>
      <w:r w:rsidRPr="00585059">
        <w:rPr>
          <w:szCs w:val="16"/>
        </w:rPr>
        <w:t xml:space="preserve"> </w:t>
      </w:r>
      <w:r w:rsidRPr="00585059">
        <w:rPr>
          <w:szCs w:val="16"/>
        </w:rPr>
        <w:tab/>
      </w:r>
      <w:r>
        <w:rPr>
          <w:szCs w:val="16"/>
        </w:rPr>
        <w:t>É</w:t>
      </w:r>
      <w:r w:rsidRPr="00585059">
        <w:rPr>
          <w:szCs w:val="16"/>
        </w:rPr>
        <w:t xml:space="preserve">stos </w:t>
      </w:r>
      <w:r>
        <w:rPr>
          <w:szCs w:val="16"/>
        </w:rPr>
        <w:t>se encuentran enumerados en la nota al pie de página 1</w:t>
      </w:r>
      <w:r w:rsidRPr="003D58B9">
        <w:rPr>
          <w:szCs w:val="16"/>
        </w:rPr>
        <w:t>.</w:t>
      </w:r>
    </w:p>
  </w:footnote>
  <w:footnote w:id="44">
    <w:p w14:paraId="0D785298" w14:textId="17859D80" w:rsidR="0054256E" w:rsidRPr="00F3271F" w:rsidRDefault="0054256E" w:rsidP="009A6A62">
      <w:pPr>
        <w:pStyle w:val="FootnoteText"/>
        <w:rPr>
          <w:rFonts w:cs="Times New Roman"/>
          <w:szCs w:val="16"/>
          <w:lang w:val="es-CR"/>
        </w:rPr>
      </w:pPr>
      <w:r w:rsidRPr="008F1E4F">
        <w:rPr>
          <w:rStyle w:val="FootnoteReference"/>
          <w:szCs w:val="16"/>
        </w:rPr>
        <w:footnoteRef/>
      </w:r>
      <w:r w:rsidRPr="00C478A6">
        <w:rPr>
          <w:szCs w:val="16"/>
        </w:rPr>
        <w:t xml:space="preserve"> </w:t>
      </w:r>
      <w:r w:rsidRPr="00C478A6">
        <w:rPr>
          <w:szCs w:val="16"/>
        </w:rPr>
        <w:tab/>
      </w:r>
      <w:r w:rsidRPr="00F3271F">
        <w:rPr>
          <w:szCs w:val="16"/>
          <w:lang w:val="es-CR"/>
        </w:rPr>
        <w:t>El artículo 4 de la Convención Americana establece: “Derecho a la Vida. 1. Toda persona tiene derecho a que se respete su vida. Este derecho estará protegido por la ley y, en general, a partir del momento de la concepción. Nadie puede ser privado de la vida arbitrariamente”.</w:t>
      </w:r>
    </w:p>
  </w:footnote>
  <w:footnote w:id="45">
    <w:p w14:paraId="6DA1967A" w14:textId="61FBA74D" w:rsidR="0054256E" w:rsidRPr="00DE0618" w:rsidRDefault="0054256E" w:rsidP="000A1ACF">
      <w:pPr>
        <w:pStyle w:val="FootnoteText"/>
        <w:rPr>
          <w:szCs w:val="16"/>
          <w:lang w:val="es-CR"/>
        </w:rPr>
      </w:pPr>
      <w:r w:rsidRPr="00F3271F">
        <w:rPr>
          <w:rStyle w:val="FootnoteReference"/>
          <w:szCs w:val="16"/>
        </w:rPr>
        <w:footnoteRef/>
      </w:r>
      <w:r w:rsidRPr="00F3271F">
        <w:rPr>
          <w:szCs w:val="16"/>
          <w:lang w:val="es-CR"/>
        </w:rPr>
        <w:t xml:space="preserve"> </w:t>
      </w:r>
      <w:r w:rsidRPr="00F3271F">
        <w:rPr>
          <w:szCs w:val="16"/>
          <w:lang w:val="es-CR"/>
        </w:rPr>
        <w:tab/>
      </w:r>
      <w:r w:rsidRPr="004B27CC">
        <w:rPr>
          <w:i/>
          <w:szCs w:val="16"/>
          <w:lang w:val="es-CR"/>
        </w:rPr>
        <w:t>Cfr. Caso Defensor de derecho</w:t>
      </w:r>
      <w:r w:rsidRPr="00B168C0">
        <w:rPr>
          <w:i/>
          <w:szCs w:val="16"/>
          <w:lang w:val="es-CR"/>
        </w:rPr>
        <w:t>s humanos y otros Vs. Guatemala</w:t>
      </w:r>
      <w:r w:rsidRPr="003D61FF">
        <w:rPr>
          <w:szCs w:val="16"/>
          <w:lang w:val="es-CR"/>
        </w:rPr>
        <w:t xml:space="preserve">, párr. 142, y </w:t>
      </w:r>
      <w:r w:rsidRPr="00DE0618">
        <w:rPr>
          <w:i/>
          <w:szCs w:val="16"/>
          <w:lang w:val="es-CR"/>
        </w:rPr>
        <w:t>C</w:t>
      </w:r>
      <w:r w:rsidRPr="00DE0618">
        <w:rPr>
          <w:bCs/>
          <w:i/>
          <w:szCs w:val="16"/>
          <w:lang w:val="es-CR"/>
        </w:rPr>
        <w:t xml:space="preserve">aso Pueblo Indígena Xucuru y sus miembros Vs. Brasil. Excepciones Preliminares, Fondo, Reparaciones y Costas. </w:t>
      </w:r>
      <w:r w:rsidRPr="00DE0618">
        <w:rPr>
          <w:bCs/>
          <w:szCs w:val="16"/>
          <w:lang w:val="es-CR"/>
        </w:rPr>
        <w:t>Sentencia de 5 de febrero de 2018. Serie C No. 346, párr. 175</w:t>
      </w:r>
      <w:r w:rsidRPr="00DE0618">
        <w:rPr>
          <w:szCs w:val="16"/>
          <w:lang w:val="es-CR"/>
        </w:rPr>
        <w:t xml:space="preserve">. </w:t>
      </w:r>
    </w:p>
  </w:footnote>
  <w:footnote w:id="46">
    <w:p w14:paraId="0EFC66E0" w14:textId="42FC04B1" w:rsidR="0054256E" w:rsidRPr="00DE0618" w:rsidRDefault="0054256E" w:rsidP="009A6A62">
      <w:pPr>
        <w:pStyle w:val="FootnoteText"/>
        <w:rPr>
          <w:rFonts w:cs="Times New Roman"/>
          <w:szCs w:val="16"/>
          <w:lang w:val="es-CR"/>
        </w:rPr>
      </w:pPr>
      <w:r w:rsidRPr="00DE0618">
        <w:rPr>
          <w:rStyle w:val="FootnoteReference"/>
          <w:szCs w:val="16"/>
        </w:rPr>
        <w:footnoteRef/>
      </w:r>
      <w:r w:rsidRPr="001F751D">
        <w:rPr>
          <w:szCs w:val="16"/>
          <w:lang w:val="es-ES"/>
        </w:rPr>
        <w:t xml:space="preserve"> </w:t>
      </w:r>
      <w:r w:rsidRPr="001F751D">
        <w:rPr>
          <w:szCs w:val="16"/>
          <w:lang w:val="es-ES"/>
        </w:rPr>
        <w:tab/>
      </w:r>
      <w:r w:rsidRPr="001F751D">
        <w:rPr>
          <w:i/>
          <w:szCs w:val="16"/>
          <w:lang w:val="es-ES"/>
        </w:rPr>
        <w:t>Cfr. Caso Nogueira de Carvalho y otro Vs. Brasil.</w:t>
      </w:r>
      <w:r w:rsidRPr="001F751D">
        <w:rPr>
          <w:szCs w:val="16"/>
          <w:lang w:val="es-ES"/>
        </w:rPr>
        <w:t xml:space="preserve"> </w:t>
      </w:r>
      <w:r w:rsidRPr="00585059">
        <w:rPr>
          <w:i/>
          <w:szCs w:val="16"/>
          <w:lang w:val="es-CR"/>
        </w:rPr>
        <w:t>Excepciones Preliminares y Fondo.</w:t>
      </w:r>
      <w:r w:rsidRPr="003D58B9">
        <w:rPr>
          <w:szCs w:val="16"/>
          <w:lang w:val="es-CR"/>
        </w:rPr>
        <w:t xml:space="preserve"> Sentencia de 28 de noviembre de 2006. Serie C No. 161, párr. 77, y</w:t>
      </w:r>
      <w:r w:rsidRPr="003D58B9">
        <w:rPr>
          <w:bCs/>
          <w:i/>
          <w:szCs w:val="16"/>
          <w:lang w:val="es-CR"/>
        </w:rPr>
        <w:t xml:space="preserve"> Caso Acosta y otros Vs. Nicaragua</w:t>
      </w:r>
      <w:r w:rsidRPr="008F1E4F">
        <w:rPr>
          <w:bCs/>
          <w:szCs w:val="16"/>
          <w:lang w:val="es-CR"/>
        </w:rPr>
        <w:t>, párr.</w:t>
      </w:r>
      <w:r w:rsidRPr="00C478A6">
        <w:rPr>
          <w:szCs w:val="16"/>
          <w:lang w:val="es-ES"/>
        </w:rPr>
        <w:t xml:space="preserve"> </w:t>
      </w:r>
      <w:r w:rsidRPr="00F3271F">
        <w:rPr>
          <w:szCs w:val="16"/>
          <w:lang w:val="es-CR"/>
        </w:rPr>
        <w:t>140</w:t>
      </w:r>
      <w:r w:rsidRPr="00DE0618">
        <w:rPr>
          <w:szCs w:val="16"/>
          <w:lang w:val="es-CR"/>
        </w:rPr>
        <w:t xml:space="preserve">. </w:t>
      </w:r>
    </w:p>
  </w:footnote>
  <w:footnote w:id="47">
    <w:p w14:paraId="0F0CC12E" w14:textId="746A6FA0" w:rsidR="0054256E" w:rsidRPr="001C67D3" w:rsidRDefault="0054256E" w:rsidP="009A6A62">
      <w:pPr>
        <w:pStyle w:val="FootnoteText"/>
        <w:rPr>
          <w:spacing w:val="-12"/>
          <w:szCs w:val="16"/>
          <w:lang w:eastAsia="x-none"/>
        </w:rPr>
      </w:pPr>
      <w:r w:rsidRPr="001C67D3">
        <w:rPr>
          <w:rStyle w:val="FootnoteReference"/>
          <w:rFonts w:eastAsiaTheme="majorEastAsia"/>
          <w:spacing w:val="-12"/>
          <w:szCs w:val="16"/>
        </w:rPr>
        <w:footnoteRef/>
      </w:r>
      <w:r w:rsidRPr="001C67D3">
        <w:rPr>
          <w:spacing w:val="-12"/>
          <w:szCs w:val="16"/>
        </w:rPr>
        <w:t xml:space="preserve"> </w:t>
      </w:r>
      <w:r w:rsidRPr="001C67D3">
        <w:rPr>
          <w:spacing w:val="-12"/>
          <w:szCs w:val="16"/>
        </w:rPr>
        <w:tab/>
      </w:r>
      <w:r w:rsidRPr="001C67D3">
        <w:rPr>
          <w:i/>
          <w:spacing w:val="-12"/>
          <w:szCs w:val="16"/>
        </w:rPr>
        <w:t>Cfr.</w:t>
      </w:r>
      <w:r w:rsidRPr="001C67D3">
        <w:rPr>
          <w:spacing w:val="-12"/>
          <w:szCs w:val="16"/>
        </w:rPr>
        <w:t xml:space="preserve"> </w:t>
      </w:r>
      <w:r>
        <w:rPr>
          <w:spacing w:val="-12"/>
          <w:szCs w:val="16"/>
        </w:rPr>
        <w:t xml:space="preserve">Segundo </w:t>
      </w:r>
      <w:r w:rsidRPr="001C67D3">
        <w:rPr>
          <w:iCs/>
          <w:spacing w:val="-12"/>
          <w:szCs w:val="16"/>
        </w:rPr>
        <w:t>Informe sobre la Situación de las Defensoras y Defensores de Derechos Humanos en las Américas,</w:t>
      </w:r>
      <w:r w:rsidRPr="001C67D3">
        <w:rPr>
          <w:iCs/>
          <w:spacing w:val="-12"/>
          <w:szCs w:val="16"/>
          <w:lang w:val="es-CR"/>
        </w:rPr>
        <w:t xml:space="preserve"> 31 de diciembre de 2011,</w:t>
      </w:r>
      <w:r w:rsidRPr="001C67D3">
        <w:rPr>
          <w:i/>
          <w:iCs/>
          <w:spacing w:val="-12"/>
          <w:szCs w:val="16"/>
          <w:lang w:val="es-CR"/>
        </w:rPr>
        <w:t xml:space="preserve"> </w:t>
      </w:r>
      <w:r w:rsidRPr="001C67D3">
        <w:rPr>
          <w:iCs/>
          <w:spacing w:val="-12"/>
          <w:szCs w:val="16"/>
        </w:rPr>
        <w:t>párr. 46</w:t>
      </w:r>
      <w:r w:rsidRPr="00585059">
        <w:rPr>
          <w:rStyle w:val="ListLabel47"/>
          <w:rFonts w:ascii="Verdana" w:hAnsi="Verdana"/>
          <w:color w:val="000000"/>
          <w:spacing w:val="-12"/>
          <w:szCs w:val="16"/>
        </w:rPr>
        <w:t>.</w:t>
      </w:r>
    </w:p>
  </w:footnote>
  <w:footnote w:id="48">
    <w:p w14:paraId="69560C8F" w14:textId="56E6925F" w:rsidR="0054256E" w:rsidRPr="003D58B9" w:rsidRDefault="0054256E" w:rsidP="009A6A62">
      <w:pPr>
        <w:pStyle w:val="FootnoteText"/>
        <w:rPr>
          <w:rFonts w:cs="Times New Roman"/>
          <w:szCs w:val="16"/>
          <w:lang w:val="es-CR"/>
        </w:rPr>
      </w:pPr>
      <w:r w:rsidRPr="00585059">
        <w:rPr>
          <w:rStyle w:val="FootnoteReference"/>
          <w:szCs w:val="16"/>
        </w:rPr>
        <w:footnoteRef/>
      </w:r>
      <w:r w:rsidRPr="00585059">
        <w:rPr>
          <w:szCs w:val="16"/>
        </w:rPr>
        <w:t xml:space="preserve"> </w:t>
      </w:r>
      <w:r w:rsidRPr="00585059">
        <w:rPr>
          <w:szCs w:val="16"/>
        </w:rPr>
        <w:tab/>
      </w:r>
      <w:r w:rsidRPr="003D58B9">
        <w:rPr>
          <w:szCs w:val="16"/>
          <w:lang w:val="es-CR"/>
        </w:rPr>
        <w:t xml:space="preserve">El artículo 5 de la Convención Americana establece: “Derecho a la Integridad Personal: 1. Toda persona tiene derecho a que se respete su integridad física, psíquica y moral”. </w:t>
      </w:r>
    </w:p>
  </w:footnote>
  <w:footnote w:id="49">
    <w:p w14:paraId="7491DEBD" w14:textId="796B6140" w:rsidR="0054256E" w:rsidRPr="00F3271F" w:rsidRDefault="0054256E" w:rsidP="00100F11">
      <w:pPr>
        <w:pStyle w:val="FootnoteText"/>
        <w:rPr>
          <w:rFonts w:cs="Times New Roman"/>
          <w:szCs w:val="16"/>
          <w:lang w:val="es-CR"/>
        </w:rPr>
      </w:pPr>
      <w:r w:rsidRPr="008F1E4F">
        <w:rPr>
          <w:rStyle w:val="FootnoteReference"/>
          <w:szCs w:val="16"/>
        </w:rPr>
        <w:footnoteRef/>
      </w:r>
      <w:r w:rsidRPr="00C478A6">
        <w:rPr>
          <w:szCs w:val="16"/>
        </w:rPr>
        <w:t xml:space="preserve"> </w:t>
      </w:r>
      <w:r w:rsidRPr="00C478A6">
        <w:rPr>
          <w:szCs w:val="16"/>
        </w:rPr>
        <w:tab/>
      </w:r>
      <w:r>
        <w:rPr>
          <w:szCs w:val="16"/>
        </w:rPr>
        <w:t>É</w:t>
      </w:r>
      <w:r w:rsidRPr="00F3271F">
        <w:rPr>
          <w:szCs w:val="16"/>
        </w:rPr>
        <w:t xml:space="preserve">stos </w:t>
      </w:r>
      <w:r>
        <w:rPr>
          <w:szCs w:val="16"/>
        </w:rPr>
        <w:t>se encuentran enumerados en la nota al pie de página 1</w:t>
      </w:r>
      <w:r w:rsidRPr="00F3271F">
        <w:rPr>
          <w:szCs w:val="16"/>
        </w:rPr>
        <w:t>.</w:t>
      </w:r>
    </w:p>
  </w:footnote>
  <w:footnote w:id="50">
    <w:p w14:paraId="4A416021" w14:textId="4911B99D" w:rsidR="0054256E" w:rsidRPr="00B168C0" w:rsidRDefault="0054256E" w:rsidP="003E6084">
      <w:pPr>
        <w:pStyle w:val="FootnoteText"/>
        <w:rPr>
          <w:szCs w:val="16"/>
          <w:lang w:val="es-CR"/>
        </w:rPr>
      </w:pPr>
      <w:r w:rsidRPr="00F3271F">
        <w:rPr>
          <w:rStyle w:val="FootnoteReference"/>
          <w:szCs w:val="16"/>
        </w:rPr>
        <w:footnoteRef/>
      </w:r>
      <w:r w:rsidRPr="00F3271F">
        <w:rPr>
          <w:szCs w:val="16"/>
        </w:rPr>
        <w:t xml:space="preserve"> </w:t>
      </w:r>
      <w:r w:rsidRPr="00F3271F">
        <w:rPr>
          <w:szCs w:val="16"/>
        </w:rPr>
        <w:tab/>
      </w:r>
      <w:r w:rsidRPr="004B27CC">
        <w:rPr>
          <w:szCs w:val="16"/>
          <w:lang w:val="es-CR"/>
        </w:rPr>
        <w:t>El artículo 16 de la Convención Americana establece: “Libertad de asociación: 1. Todas las personas tienen derecho a asociarse libremente con fines ideológicos, religiosos, polític</w:t>
      </w:r>
      <w:r w:rsidRPr="00B168C0">
        <w:rPr>
          <w:szCs w:val="16"/>
          <w:lang w:val="es-CR"/>
        </w:rPr>
        <w:t>os, económicos, laborales, sociales, culturales, deportivos o de cualquiera otra índole”.</w:t>
      </w:r>
    </w:p>
  </w:footnote>
  <w:footnote w:id="51">
    <w:p w14:paraId="0BECC6C4" w14:textId="77777777" w:rsidR="0054256E" w:rsidRPr="00DE0618" w:rsidRDefault="0054256E" w:rsidP="00D17B11">
      <w:pPr>
        <w:pStyle w:val="FootnoteText"/>
        <w:rPr>
          <w:szCs w:val="16"/>
          <w:lang w:val="es-CR"/>
        </w:rPr>
      </w:pPr>
      <w:r w:rsidRPr="003D61FF">
        <w:rPr>
          <w:rStyle w:val="FootnoteReference"/>
          <w:szCs w:val="16"/>
        </w:rPr>
        <w:footnoteRef/>
      </w:r>
      <w:r w:rsidRPr="00DE0618">
        <w:rPr>
          <w:szCs w:val="16"/>
        </w:rPr>
        <w:t xml:space="preserve"> </w:t>
      </w:r>
      <w:r w:rsidRPr="00DE0618">
        <w:rPr>
          <w:szCs w:val="16"/>
        </w:rPr>
        <w:tab/>
        <w:t>El artículo 23 de la Convención Americana establece: “Derechos políticos: 1. Todos los ciudadanos deben gozar de los siguientes derechos y oportunidades: b) de votar y ser elegidos en elecciones periódicas auténticas, realizadas por sufragio universal e igual y por voto secreto que garantice la libre expresión de la voluntad de los electores”.</w:t>
      </w:r>
    </w:p>
  </w:footnote>
  <w:footnote w:id="52">
    <w:p w14:paraId="490B1DBE" w14:textId="0C78C903" w:rsidR="0054256E" w:rsidRPr="00DE0618" w:rsidRDefault="0054256E" w:rsidP="0064010A">
      <w:pPr>
        <w:pStyle w:val="FootnoteText"/>
        <w:rPr>
          <w:rFonts w:cs="Times New Roman"/>
          <w:szCs w:val="16"/>
          <w:lang w:val="es-CR"/>
        </w:rPr>
      </w:pPr>
      <w:r w:rsidRPr="00DE0618">
        <w:rPr>
          <w:rStyle w:val="FootnoteReference"/>
          <w:szCs w:val="16"/>
        </w:rPr>
        <w:footnoteRef/>
      </w:r>
      <w:r w:rsidRPr="00DE0618">
        <w:rPr>
          <w:i/>
          <w:szCs w:val="16"/>
          <w:lang w:val="es-CR"/>
        </w:rPr>
        <w:t xml:space="preserve"> </w:t>
      </w:r>
      <w:r w:rsidRPr="00DE0618">
        <w:rPr>
          <w:i/>
          <w:szCs w:val="16"/>
          <w:lang w:val="es-CR"/>
        </w:rPr>
        <w:tab/>
        <w:t>Cfr.</w:t>
      </w:r>
      <w:r w:rsidRPr="00DE0618">
        <w:rPr>
          <w:szCs w:val="16"/>
          <w:lang w:val="es-CR"/>
        </w:rPr>
        <w:t xml:space="preserve"> </w:t>
      </w:r>
      <w:r w:rsidRPr="00DE0618">
        <w:rPr>
          <w:i/>
          <w:szCs w:val="16"/>
          <w:lang w:val="es-CR"/>
        </w:rPr>
        <w:t xml:space="preserve">Caso Valle Jaramillo y otros Vs. Colombia. Fondo, Reparaciones y Costas. </w:t>
      </w:r>
      <w:r w:rsidRPr="00DE0618">
        <w:rPr>
          <w:szCs w:val="16"/>
          <w:lang w:val="es-CR"/>
        </w:rPr>
        <w:t xml:space="preserve">Sentencia del 27 de noviembre de 2008. Serie C No. 192, párr. 87, y </w:t>
      </w:r>
      <w:r w:rsidRPr="00DE0618">
        <w:rPr>
          <w:i/>
          <w:szCs w:val="16"/>
          <w:lang w:val="es-CR"/>
        </w:rPr>
        <w:t>Caso Defensor de derechos humanos y otros Vs. Guatemala</w:t>
      </w:r>
      <w:r w:rsidRPr="00DE0618">
        <w:rPr>
          <w:szCs w:val="16"/>
          <w:lang w:val="es-CR"/>
        </w:rPr>
        <w:t>, párr. 128.</w:t>
      </w:r>
    </w:p>
  </w:footnote>
  <w:footnote w:id="53">
    <w:p w14:paraId="4A80D006" w14:textId="788DBC85" w:rsidR="0054256E" w:rsidRPr="004B27CC" w:rsidRDefault="0054256E" w:rsidP="0064010A">
      <w:pPr>
        <w:pStyle w:val="FootnoteText"/>
        <w:rPr>
          <w:szCs w:val="16"/>
        </w:rPr>
      </w:pPr>
      <w:r w:rsidRPr="00DE0618">
        <w:rPr>
          <w:rStyle w:val="FootnoteReference"/>
          <w:szCs w:val="16"/>
        </w:rPr>
        <w:footnoteRef/>
      </w:r>
      <w:r w:rsidRPr="00DE0618">
        <w:rPr>
          <w:szCs w:val="16"/>
          <w:lang w:val="es-ES"/>
        </w:rPr>
        <w:t xml:space="preserve"> </w:t>
      </w:r>
      <w:r w:rsidRPr="00DE0618">
        <w:rPr>
          <w:szCs w:val="16"/>
          <w:lang w:val="es-ES"/>
        </w:rPr>
        <w:tab/>
      </w:r>
      <w:r w:rsidRPr="001F751D">
        <w:rPr>
          <w:i/>
          <w:szCs w:val="16"/>
          <w:lang w:val="es-ES"/>
        </w:rPr>
        <w:t>Cfr.</w:t>
      </w:r>
      <w:r w:rsidRPr="00585059">
        <w:rPr>
          <w:szCs w:val="16"/>
          <w:lang w:val="es-ES"/>
        </w:rPr>
        <w:t xml:space="preserve"> </w:t>
      </w:r>
      <w:r w:rsidRPr="00585059">
        <w:rPr>
          <w:i/>
          <w:szCs w:val="16"/>
          <w:lang w:val="es-ES"/>
        </w:rPr>
        <w:t>Caso Kawas Fernández Vs. Honduras</w:t>
      </w:r>
      <w:r w:rsidRPr="001F751D">
        <w:rPr>
          <w:szCs w:val="16"/>
          <w:lang w:val="es-ES"/>
        </w:rPr>
        <w:t>, párr. 146</w:t>
      </w:r>
      <w:r>
        <w:rPr>
          <w:szCs w:val="16"/>
          <w:lang w:val="es-ES"/>
        </w:rPr>
        <w:t>,</w:t>
      </w:r>
      <w:r w:rsidRPr="001F751D">
        <w:rPr>
          <w:szCs w:val="16"/>
          <w:lang w:val="es-ES"/>
        </w:rPr>
        <w:t xml:space="preserve"> </w:t>
      </w:r>
      <w:r>
        <w:rPr>
          <w:szCs w:val="16"/>
          <w:lang w:val="es-ES"/>
        </w:rPr>
        <w:t xml:space="preserve">y </w:t>
      </w:r>
      <w:r w:rsidRPr="001F751D">
        <w:rPr>
          <w:szCs w:val="16"/>
          <w:lang w:val="es-ES"/>
        </w:rPr>
        <w:t xml:space="preserve">Caso Defensor de derechos humanos y otros Vs. Guatemala, párr. </w:t>
      </w:r>
      <w:r>
        <w:rPr>
          <w:szCs w:val="16"/>
          <w:lang w:val="es-ES"/>
        </w:rPr>
        <w:t xml:space="preserve">157. Asimismo, </w:t>
      </w:r>
      <w:r w:rsidRPr="001F751D">
        <w:rPr>
          <w:i/>
          <w:szCs w:val="16"/>
          <w:lang w:val="es-ES"/>
        </w:rPr>
        <w:t>Asunto de las Personas Privadas de Libertad de la Penitenciaria “Dr. Sebastião Martins Silveira” en Araraquara, São Paulo.</w:t>
      </w:r>
      <w:r w:rsidRPr="001F751D">
        <w:rPr>
          <w:szCs w:val="16"/>
          <w:lang w:val="es-ES"/>
        </w:rPr>
        <w:t xml:space="preserve"> </w:t>
      </w:r>
      <w:r w:rsidRPr="00585059">
        <w:rPr>
          <w:szCs w:val="16"/>
        </w:rPr>
        <w:t>Medidas Provisionales respecto del Brasil. Resolución de 30 de septiembre de 2006, considerando 24</w:t>
      </w:r>
      <w:r w:rsidRPr="004B27CC">
        <w:rPr>
          <w:szCs w:val="16"/>
        </w:rPr>
        <w:t>.</w:t>
      </w:r>
    </w:p>
  </w:footnote>
  <w:footnote w:id="54">
    <w:p w14:paraId="4AB95364" w14:textId="19E7EE9F" w:rsidR="0054256E" w:rsidRPr="001C67D3" w:rsidRDefault="0054256E" w:rsidP="0064010A">
      <w:pPr>
        <w:autoSpaceDE w:val="0"/>
        <w:autoSpaceDN w:val="0"/>
        <w:adjustRightInd w:val="0"/>
        <w:rPr>
          <w:rFonts w:cs="Verdana"/>
          <w:iCs/>
          <w:spacing w:val="-4"/>
          <w:sz w:val="16"/>
          <w:szCs w:val="16"/>
          <w:lang w:val="es-CL"/>
        </w:rPr>
      </w:pPr>
      <w:r w:rsidRPr="001F751D">
        <w:rPr>
          <w:rStyle w:val="FootnoteReference"/>
          <w:sz w:val="16"/>
          <w:szCs w:val="16"/>
        </w:rPr>
        <w:footnoteRef/>
      </w:r>
      <w:r w:rsidRPr="001F751D">
        <w:rPr>
          <w:sz w:val="16"/>
          <w:szCs w:val="16"/>
          <w:lang w:val="es-CR"/>
        </w:rPr>
        <w:t xml:space="preserve"> </w:t>
      </w:r>
      <w:r w:rsidRPr="001F751D">
        <w:rPr>
          <w:sz w:val="16"/>
          <w:szCs w:val="16"/>
          <w:lang w:val="es-CR"/>
        </w:rPr>
        <w:tab/>
      </w:r>
      <w:r w:rsidRPr="001049A6">
        <w:rPr>
          <w:i/>
          <w:sz w:val="16"/>
          <w:szCs w:val="16"/>
          <w:lang w:val="es-CR"/>
        </w:rPr>
        <w:t>Cfr. Caso Defensor de derechos humanos y otros Vs. Guatemala</w:t>
      </w:r>
      <w:r w:rsidRPr="001049A6">
        <w:rPr>
          <w:sz w:val="16"/>
          <w:szCs w:val="16"/>
          <w:lang w:val="es-CR"/>
        </w:rPr>
        <w:t xml:space="preserve">, nota 257; </w:t>
      </w:r>
      <w:r w:rsidRPr="001049A6">
        <w:rPr>
          <w:rFonts w:cs="Verdana"/>
          <w:i/>
          <w:iCs/>
          <w:spacing w:val="-4"/>
          <w:sz w:val="16"/>
          <w:szCs w:val="16"/>
          <w:lang w:val="es-CL"/>
        </w:rPr>
        <w:t xml:space="preserve">Caso Del Internado Judicial De Monagas (“La Pica”). </w:t>
      </w:r>
      <w:r w:rsidRPr="001049A6">
        <w:rPr>
          <w:rFonts w:cs="Verdana"/>
          <w:spacing w:val="-4"/>
          <w:sz w:val="16"/>
          <w:szCs w:val="16"/>
          <w:lang w:val="es-CL"/>
        </w:rPr>
        <w:t>Medidas Provisionales respecto de Venezuela. Resolución de la Corte Interamericana de Derechos Humanos de 9 de febrero de 2006, considerando 14,</w:t>
      </w:r>
      <w:r w:rsidRPr="001049A6">
        <w:rPr>
          <w:rFonts w:cs="Verdana"/>
          <w:i/>
          <w:iCs/>
          <w:spacing w:val="-4"/>
          <w:sz w:val="16"/>
          <w:szCs w:val="16"/>
          <w:lang w:val="es-CL"/>
        </w:rPr>
        <w:t xml:space="preserve"> y </w:t>
      </w:r>
      <w:r w:rsidRPr="001049A6">
        <w:rPr>
          <w:i/>
          <w:spacing w:val="-4"/>
          <w:sz w:val="16"/>
          <w:szCs w:val="16"/>
          <w:lang w:val="es-GT"/>
        </w:rPr>
        <w:t xml:space="preserve">Asunto </w:t>
      </w:r>
      <w:r w:rsidRPr="001049A6">
        <w:rPr>
          <w:i/>
          <w:spacing w:val="-4"/>
          <w:sz w:val="16"/>
          <w:szCs w:val="16"/>
          <w:lang w:val="es-ES"/>
        </w:rPr>
        <w:t>Asunto Danilo Rueda</w:t>
      </w:r>
      <w:r w:rsidRPr="001049A6">
        <w:rPr>
          <w:spacing w:val="-4"/>
          <w:sz w:val="16"/>
          <w:szCs w:val="16"/>
          <w:lang w:val="es-GT"/>
        </w:rPr>
        <w:t xml:space="preserve">. Medidas Provisionales respecto de Colombia. Resolución de la Corte Interamericana de Derechos Humanos de </w:t>
      </w:r>
      <w:r w:rsidRPr="001049A6">
        <w:rPr>
          <w:spacing w:val="-4"/>
          <w:sz w:val="16"/>
          <w:szCs w:val="16"/>
          <w:lang w:val="es-ES"/>
        </w:rPr>
        <w:t>28 de mayo de 2014</w:t>
      </w:r>
      <w:r w:rsidRPr="001049A6">
        <w:rPr>
          <w:spacing w:val="-4"/>
          <w:sz w:val="16"/>
          <w:szCs w:val="16"/>
          <w:lang w:val="es-GT"/>
        </w:rPr>
        <w:t>, considerando 16.</w:t>
      </w:r>
    </w:p>
  </w:footnote>
  <w:footnote w:id="55">
    <w:p w14:paraId="42C0FBAB" w14:textId="5736B189" w:rsidR="0054256E" w:rsidRPr="00DE0618" w:rsidRDefault="0054256E" w:rsidP="0064010A">
      <w:pPr>
        <w:pStyle w:val="FootnoteText"/>
        <w:rPr>
          <w:rFonts w:cs="Times New Roman"/>
          <w:szCs w:val="16"/>
          <w:lang w:val="es-CR"/>
        </w:rPr>
      </w:pPr>
      <w:r w:rsidRPr="00585059">
        <w:rPr>
          <w:rStyle w:val="FootnoteReference"/>
          <w:szCs w:val="16"/>
        </w:rPr>
        <w:footnoteRef/>
      </w:r>
      <w:r w:rsidRPr="00585059">
        <w:rPr>
          <w:szCs w:val="16"/>
          <w:lang w:val="es-CR"/>
        </w:rPr>
        <w:t xml:space="preserve"> </w:t>
      </w:r>
      <w:r w:rsidRPr="00585059">
        <w:rPr>
          <w:szCs w:val="16"/>
          <w:lang w:val="es-CR"/>
        </w:rPr>
        <w:tab/>
      </w:r>
      <w:r w:rsidRPr="003D58B9">
        <w:rPr>
          <w:i/>
          <w:szCs w:val="16"/>
          <w:lang w:val="es-CR"/>
        </w:rPr>
        <w:t>Cfr. Caso Valle Jaramillo y otros Vs. Colombia</w:t>
      </w:r>
      <w:r w:rsidRPr="003D58B9">
        <w:rPr>
          <w:szCs w:val="16"/>
          <w:lang w:val="es-CR"/>
        </w:rPr>
        <w:t xml:space="preserve">, párr. 88, y </w:t>
      </w:r>
      <w:r w:rsidRPr="008F1E4F">
        <w:rPr>
          <w:bCs/>
          <w:i/>
          <w:szCs w:val="16"/>
          <w:lang w:val="es-CR"/>
        </w:rPr>
        <w:t>Cas</w:t>
      </w:r>
      <w:r w:rsidRPr="00C478A6">
        <w:rPr>
          <w:bCs/>
          <w:i/>
          <w:szCs w:val="16"/>
          <w:lang w:val="es-CR"/>
        </w:rPr>
        <w:t>o Masacres de Río Negro Vs. Guatemala. Excepción Preliminar, Fondo, Reparaciones y Costas.</w:t>
      </w:r>
      <w:r w:rsidRPr="00F3271F">
        <w:rPr>
          <w:bCs/>
          <w:szCs w:val="16"/>
          <w:lang w:val="es-CR"/>
        </w:rPr>
        <w:t xml:space="preserve"> Sentencia de 4 de septiembre de 2012. Serie C No. 250, párr. 260</w:t>
      </w:r>
      <w:r w:rsidRPr="00DE0618">
        <w:rPr>
          <w:szCs w:val="16"/>
          <w:lang w:val="es-CR"/>
        </w:rPr>
        <w:t>.</w:t>
      </w:r>
    </w:p>
  </w:footnote>
  <w:footnote w:id="56">
    <w:p w14:paraId="0083AEE2" w14:textId="59135029" w:rsidR="0054256E" w:rsidRPr="00C478A6" w:rsidRDefault="0054256E" w:rsidP="0064010A">
      <w:pPr>
        <w:pStyle w:val="FootnoteText"/>
        <w:rPr>
          <w:szCs w:val="16"/>
          <w:lang w:val="es-CR"/>
        </w:rPr>
      </w:pPr>
      <w:r w:rsidRPr="00DE0618">
        <w:rPr>
          <w:rStyle w:val="FootnoteReference"/>
          <w:szCs w:val="16"/>
        </w:rPr>
        <w:footnoteRef/>
      </w:r>
      <w:r w:rsidRPr="00DE0618">
        <w:rPr>
          <w:szCs w:val="16"/>
        </w:rPr>
        <w:t xml:space="preserve"> </w:t>
      </w:r>
      <w:r w:rsidRPr="00DE0618">
        <w:rPr>
          <w:szCs w:val="16"/>
        </w:rPr>
        <w:tab/>
      </w:r>
      <w:r w:rsidRPr="001F751D">
        <w:rPr>
          <w:i/>
          <w:szCs w:val="16"/>
        </w:rPr>
        <w:t>Cfr.</w:t>
      </w:r>
      <w:r w:rsidRPr="00585059">
        <w:rPr>
          <w:szCs w:val="16"/>
        </w:rPr>
        <w:t xml:space="preserve"> </w:t>
      </w:r>
      <w:r w:rsidRPr="00585059">
        <w:rPr>
          <w:i/>
          <w:szCs w:val="16"/>
          <w:lang w:val="es-CR"/>
        </w:rPr>
        <w:t>Caso Valle Jaramillo y otros Vs. Colombia</w:t>
      </w:r>
      <w:r w:rsidRPr="003D58B9">
        <w:rPr>
          <w:szCs w:val="16"/>
          <w:lang w:val="es-CR"/>
        </w:rPr>
        <w:t>, párr. 88</w:t>
      </w:r>
      <w:r w:rsidRPr="00C478A6">
        <w:rPr>
          <w:szCs w:val="16"/>
          <w:lang w:val="es-CR"/>
        </w:rPr>
        <w:t>.</w:t>
      </w:r>
    </w:p>
  </w:footnote>
  <w:footnote w:id="57">
    <w:p w14:paraId="56D8CCD2" w14:textId="2BA77F6C" w:rsidR="0054256E" w:rsidRPr="00C478A6" w:rsidRDefault="0054256E" w:rsidP="0064010A">
      <w:pPr>
        <w:pStyle w:val="FootnoteText"/>
        <w:rPr>
          <w:szCs w:val="16"/>
          <w:lang w:val="es-CR"/>
        </w:rPr>
      </w:pPr>
      <w:r w:rsidRPr="00F3271F">
        <w:rPr>
          <w:rStyle w:val="FootnoteReference"/>
          <w:szCs w:val="16"/>
        </w:rPr>
        <w:footnoteRef/>
      </w:r>
      <w:r w:rsidRPr="00F3271F">
        <w:rPr>
          <w:szCs w:val="16"/>
          <w:lang w:val="es-CR"/>
        </w:rPr>
        <w:t xml:space="preserve"> </w:t>
      </w:r>
      <w:r w:rsidRPr="00F3271F">
        <w:rPr>
          <w:szCs w:val="16"/>
          <w:lang w:val="es-CR"/>
        </w:rPr>
        <w:tab/>
      </w:r>
      <w:r w:rsidRPr="004B27CC">
        <w:rPr>
          <w:szCs w:val="16"/>
        </w:rPr>
        <w:t>Naciones Unidas</w:t>
      </w:r>
      <w:r w:rsidRPr="00B168C0">
        <w:rPr>
          <w:szCs w:val="16"/>
        </w:rPr>
        <w:t xml:space="preserve">. </w:t>
      </w:r>
      <w:r w:rsidRPr="001F751D">
        <w:rPr>
          <w:szCs w:val="16"/>
        </w:rPr>
        <w:t xml:space="preserve">Asamblea General. </w:t>
      </w:r>
      <w:r w:rsidRPr="00585059">
        <w:rPr>
          <w:szCs w:val="16"/>
        </w:rPr>
        <w:t>Declaración sobre el derecho y el deber de los individuos, los grupos y las instituciones de promover y proteger los derechos humanos y las libertades fundamentales universalmente reconocidos</w:t>
      </w:r>
      <w:r w:rsidRPr="003D58B9">
        <w:rPr>
          <w:szCs w:val="16"/>
        </w:rPr>
        <w:t xml:space="preserve">. </w:t>
      </w:r>
      <w:r w:rsidRPr="008F1E4F">
        <w:rPr>
          <w:szCs w:val="16"/>
        </w:rPr>
        <w:t xml:space="preserve">Resolución de 8 de marzo de 1999, </w:t>
      </w:r>
      <w:r w:rsidRPr="00C478A6">
        <w:rPr>
          <w:szCs w:val="16"/>
        </w:rPr>
        <w:t>A/RES/53/144.</w:t>
      </w:r>
    </w:p>
  </w:footnote>
  <w:footnote w:id="58">
    <w:p w14:paraId="040E83E4" w14:textId="7B500D67" w:rsidR="0054256E" w:rsidRPr="008F1E4F" w:rsidRDefault="0054256E" w:rsidP="002E04C6">
      <w:pPr>
        <w:pStyle w:val="FootnoteText"/>
        <w:rPr>
          <w:szCs w:val="16"/>
        </w:rPr>
      </w:pPr>
      <w:r w:rsidRPr="00DE0618">
        <w:rPr>
          <w:rStyle w:val="FootnoteReference"/>
          <w:szCs w:val="16"/>
        </w:rPr>
        <w:footnoteRef/>
      </w:r>
      <w:r w:rsidRPr="00DE0618">
        <w:rPr>
          <w:szCs w:val="16"/>
        </w:rPr>
        <w:t xml:space="preserve"> </w:t>
      </w:r>
      <w:r w:rsidRPr="00DE0618">
        <w:rPr>
          <w:szCs w:val="16"/>
        </w:rPr>
        <w:tab/>
      </w:r>
      <w:r w:rsidRPr="00DE0618">
        <w:rPr>
          <w:szCs w:val="16"/>
          <w:lang w:val="es-CR"/>
        </w:rPr>
        <w:t xml:space="preserve">Así ha sido en el ámbito de la OEA. </w:t>
      </w:r>
      <w:r w:rsidRPr="00DE0618">
        <w:rPr>
          <w:szCs w:val="16"/>
        </w:rPr>
        <w:t xml:space="preserve">La Asamblea General de la OEA ha venido adoptando resoluciones en las que se reconoce de manera enérgica la importante tarea que desarrollan los defensores y defensoras de derechos humanos, y se exhorta a los Estados </w:t>
      </w:r>
      <w:r>
        <w:rPr>
          <w:szCs w:val="16"/>
        </w:rPr>
        <w:t xml:space="preserve">a </w:t>
      </w:r>
      <w:r w:rsidRPr="00DE0618">
        <w:rPr>
          <w:szCs w:val="16"/>
        </w:rPr>
        <w:t xml:space="preserve">perseverar en los esfuerzos para otorgarles las garantías necesarias para el ejercicio de su labor y la implementación de la Declaración de Defensores. </w:t>
      </w:r>
      <w:r w:rsidRPr="001F751D">
        <w:rPr>
          <w:i/>
          <w:szCs w:val="16"/>
          <w:lang w:val="es-CR"/>
        </w:rPr>
        <w:t>Cfr.</w:t>
      </w:r>
      <w:r w:rsidRPr="00585059">
        <w:rPr>
          <w:szCs w:val="16"/>
          <w:lang w:val="es-CR"/>
        </w:rPr>
        <w:t xml:space="preserve"> </w:t>
      </w:r>
      <w:r w:rsidRPr="003D58B9">
        <w:rPr>
          <w:szCs w:val="16"/>
        </w:rPr>
        <w:t xml:space="preserve">Defensores de los derechos humanos en las Américas. Apoyo a las tareas que desarrollan las personas, grupos y organizaciones de la sociedad civil para la promoción y protección de los derechos humanos en las Américas, AG/RES. 1671 (XXIX-O/99), resolutorios No. 1 y 2. </w:t>
      </w:r>
      <w:r w:rsidRPr="001F751D">
        <w:rPr>
          <w:szCs w:val="16"/>
        </w:rPr>
        <w:t xml:space="preserve">Posteriormente varias resoluciones abordaron los derechos de las defensoras y los defensores de derechos humanos. </w:t>
      </w:r>
      <w:r w:rsidRPr="001F751D">
        <w:rPr>
          <w:i/>
          <w:szCs w:val="16"/>
          <w:lang w:val="pt-BR"/>
        </w:rPr>
        <w:t>Cfr.</w:t>
      </w:r>
      <w:r w:rsidRPr="001F751D">
        <w:rPr>
          <w:szCs w:val="16"/>
          <w:lang w:val="pt-BR"/>
        </w:rPr>
        <w:t xml:space="preserve"> AG/RES. 1711 (XXX-O/00), AG/RES. 1818 (XXXI-O/01), AG/RES. 1842 (XXXII-O/02), AG/RES. 1920 (XXXIII-O/03), AG/RES. 2036 (XXXIV-O/04), AG/RES. 2177 (XXXVI-O/06), AG/RES. 2280 (XXXVII-O/07), AG/RES. 2412 (XXXVIII-O/08), y AG/RES. 2517 (XXXIX-O/09). </w:t>
      </w:r>
      <w:r w:rsidRPr="00585059">
        <w:rPr>
          <w:szCs w:val="16"/>
        </w:rPr>
        <w:t>En el mismo sentido, el Acuerdo Regional sobre el Acceso a la Información, la Participación Pública y el Acceso a la Justicia en Asuntos Ambientales en América Latina y el Caribe (Acuerdo de Escazú), adoptado en Escazú (Costa Rica) el 4 de marzo de 2018, que estará abierto a la firma de todos los países de América Latina y el Caribe del 27 de septiembre de 2018 al 26 de septiembre de 2020, se refiere en su artículo 9 a las obligaciones de los Estados con respecto a los defensores y defensoras de los derecho</w:t>
      </w:r>
      <w:r w:rsidRPr="003D58B9">
        <w:rPr>
          <w:szCs w:val="16"/>
        </w:rPr>
        <w:t>s humanos en asuntos ambientales</w:t>
      </w:r>
      <w:r>
        <w:rPr>
          <w:szCs w:val="16"/>
        </w:rPr>
        <w:t>,</w:t>
      </w:r>
      <w:r w:rsidRPr="003D58B9">
        <w:rPr>
          <w:szCs w:val="16"/>
        </w:rPr>
        <w:t xml:space="preserve"> dentro</w:t>
      </w:r>
      <w:r>
        <w:rPr>
          <w:szCs w:val="16"/>
        </w:rPr>
        <w:t xml:space="preserve"> de</w:t>
      </w:r>
      <w:r w:rsidRPr="003D58B9">
        <w:rPr>
          <w:szCs w:val="16"/>
        </w:rPr>
        <w:t xml:space="preserve"> las que se incluyen el deber de garantizar un entorno seguro y propicio para la defensa de los derechos humanos, la obligación de adoptar las medidas adecuadas y efectivas para reconocer, proteger y promover todos los derechos de las defensoras y defensores de derechos humanos en asuntos ambientales, y la obligación de tomar las medidas apropiadas, efectivas y oportunas para prevenir, investigar y sancionar ataques, amenazas o intimidaciones que los defensores </w:t>
      </w:r>
      <w:r w:rsidRPr="008F1E4F">
        <w:rPr>
          <w:szCs w:val="16"/>
        </w:rPr>
        <w:t xml:space="preserve">y defensoras de derechos humanos en asuntos ambientales puedan sufrir en el ejercicio de los derechos contemplados en dicho Acuerdo.  </w:t>
      </w:r>
    </w:p>
  </w:footnote>
  <w:footnote w:id="59">
    <w:p w14:paraId="3BE67BE6" w14:textId="2925E5D2" w:rsidR="0054256E" w:rsidRPr="00C478A6" w:rsidRDefault="0054256E" w:rsidP="00246123">
      <w:pPr>
        <w:pStyle w:val="FootnoteText"/>
        <w:rPr>
          <w:szCs w:val="16"/>
        </w:rPr>
      </w:pPr>
      <w:r w:rsidRPr="00C478A6">
        <w:rPr>
          <w:rStyle w:val="FootnoteReference"/>
          <w:szCs w:val="16"/>
        </w:rPr>
        <w:footnoteRef/>
      </w:r>
      <w:r w:rsidRPr="00C478A6">
        <w:rPr>
          <w:szCs w:val="16"/>
        </w:rPr>
        <w:t xml:space="preserve"> </w:t>
      </w:r>
      <w:r w:rsidRPr="00C478A6">
        <w:rPr>
          <w:szCs w:val="16"/>
        </w:rPr>
        <w:tab/>
      </w:r>
      <w:r w:rsidRPr="001F751D">
        <w:rPr>
          <w:i/>
          <w:szCs w:val="16"/>
        </w:rPr>
        <w:t>Cfr.</w:t>
      </w:r>
      <w:r w:rsidRPr="00585059">
        <w:rPr>
          <w:szCs w:val="16"/>
        </w:rPr>
        <w:t xml:space="preserve"> Consejo de Europa. Recomendación del Comité de Ministros a los Estados miembros sobre la condición jurídica de las organizaciones no gubernamentales en Europa (Adoptada por el Comité de Ministros el 10 de octubre de 2007 en la 1006</w:t>
      </w:r>
      <w:r w:rsidRPr="001F751D">
        <w:rPr>
          <w:szCs w:val="16"/>
          <w:vertAlign w:val="superscript"/>
        </w:rPr>
        <w:t>a</w:t>
      </w:r>
      <w:r w:rsidRPr="00585059">
        <w:rPr>
          <w:szCs w:val="16"/>
        </w:rPr>
        <w:t xml:space="preserve"> reunión de los Delegados de los Ministros), CM/Rec(2007)14 10/10/2007</w:t>
      </w:r>
      <w:r>
        <w:rPr>
          <w:szCs w:val="16"/>
        </w:rPr>
        <w:t>;</w:t>
      </w:r>
      <w:r w:rsidRPr="00585059">
        <w:rPr>
          <w:szCs w:val="16"/>
        </w:rPr>
        <w:t xml:space="preserve"> </w:t>
      </w:r>
      <w:r w:rsidRPr="003D58B9">
        <w:rPr>
          <w:szCs w:val="16"/>
        </w:rPr>
        <w:t>Declaración del Comité de Ministros del Consejo de Europa de las acciones para mejorar la protecci</w:t>
      </w:r>
      <w:r w:rsidRPr="008F1E4F">
        <w:rPr>
          <w:szCs w:val="16"/>
        </w:rPr>
        <w:t xml:space="preserve">ón a defensores de derechos humanos y promover sus actividades, </w:t>
      </w:r>
      <w:r w:rsidRPr="00C478A6">
        <w:rPr>
          <w:szCs w:val="16"/>
        </w:rPr>
        <w:t>CM(2008)5-add, 6 de febrero de 2008</w:t>
      </w:r>
      <w:r>
        <w:rPr>
          <w:szCs w:val="16"/>
        </w:rPr>
        <w:t>, y</w:t>
      </w:r>
      <w:r w:rsidRPr="00F3271F">
        <w:rPr>
          <w:szCs w:val="16"/>
        </w:rPr>
        <w:t xml:space="preserve"> Organización para la Seguridad y la Cooperación en Europa, OSCE, Directrices sobre la Protección de los Defensores de los derechos humanos, 10 junio 2014, Varsovia. </w:t>
      </w:r>
      <w:r w:rsidRPr="004B27CC">
        <w:rPr>
          <w:szCs w:val="16"/>
        </w:rPr>
        <w:t xml:space="preserve">En el ámbito europeo, la Unión Europea adoptó en 2009 las Directrices sobre defensores de derechos humanos, las que tienen como objetivo mejorar la acción de apoyo a </w:t>
      </w:r>
      <w:r w:rsidRPr="00B168C0">
        <w:rPr>
          <w:szCs w:val="16"/>
        </w:rPr>
        <w:t>la labor de las personas defensoras. Las Directrices respaldan los principios que figuran en la Declaración de Defensores de la OEA, reconocen el papel fundamental que desempeñan los defensores de derechos humanos y describen las actividades que incluye su</w:t>
      </w:r>
      <w:r w:rsidRPr="003D61FF">
        <w:rPr>
          <w:szCs w:val="16"/>
        </w:rPr>
        <w:t xml:space="preserve"> labor. </w:t>
      </w:r>
      <w:r w:rsidRPr="001F751D">
        <w:rPr>
          <w:i/>
          <w:szCs w:val="16"/>
        </w:rPr>
        <w:t>Cfr.</w:t>
      </w:r>
      <w:r w:rsidRPr="001F751D">
        <w:rPr>
          <w:szCs w:val="16"/>
        </w:rPr>
        <w:t xml:space="preserve"> Consejo de la </w:t>
      </w:r>
      <w:r w:rsidRPr="00585059">
        <w:rPr>
          <w:szCs w:val="16"/>
          <w:lang w:val="es-CR"/>
        </w:rPr>
        <w:t>U</w:t>
      </w:r>
      <w:r w:rsidRPr="001F751D">
        <w:rPr>
          <w:szCs w:val="16"/>
          <w:lang w:val="es-CR"/>
        </w:rPr>
        <w:t>nión Europea</w:t>
      </w:r>
      <w:r w:rsidRPr="00585059">
        <w:rPr>
          <w:szCs w:val="16"/>
          <w:lang w:val="es-CR"/>
        </w:rPr>
        <w:t xml:space="preserve">. </w:t>
      </w:r>
      <w:r w:rsidRPr="003D58B9">
        <w:rPr>
          <w:szCs w:val="16"/>
          <w:lang w:val="es-CR"/>
        </w:rPr>
        <w:t>Garantizar la protección - Directrices de la Unión Europea sobre los defensores de los derechos humanos</w:t>
      </w:r>
      <w:r w:rsidRPr="00C478A6">
        <w:rPr>
          <w:szCs w:val="16"/>
          <w:lang w:val="es-CR"/>
        </w:rPr>
        <w:t>.</w:t>
      </w:r>
      <w:r w:rsidRPr="00585059">
        <w:rPr>
          <w:szCs w:val="16"/>
          <w:lang w:val="es-CR"/>
        </w:rPr>
        <w:t xml:space="preserve"> Bruselas, 16332/2/08, REV 2, PESC 1562, COHOM 13</w:t>
      </w:r>
      <w:r w:rsidRPr="003D58B9">
        <w:rPr>
          <w:szCs w:val="16"/>
          <w:lang w:val="es-CR"/>
        </w:rPr>
        <w:t xml:space="preserve">8, </w:t>
      </w:r>
      <w:r w:rsidRPr="008F1E4F">
        <w:rPr>
          <w:szCs w:val="16"/>
          <w:lang w:val="es-CR"/>
        </w:rPr>
        <w:t>10 de junio de 2009.</w:t>
      </w:r>
      <w:r w:rsidRPr="00C478A6">
        <w:rPr>
          <w:szCs w:val="16"/>
          <w:lang w:val="es-CR"/>
        </w:rPr>
        <w:t xml:space="preserve"> </w:t>
      </w:r>
    </w:p>
  </w:footnote>
  <w:footnote w:id="60">
    <w:p w14:paraId="142BF7A1" w14:textId="42907F4A" w:rsidR="0054256E" w:rsidRPr="003D58B9" w:rsidRDefault="0054256E" w:rsidP="0064010A">
      <w:pPr>
        <w:pStyle w:val="FootnoteText"/>
        <w:rPr>
          <w:szCs w:val="16"/>
          <w:lang w:val="es-CR"/>
        </w:rPr>
      </w:pPr>
      <w:r w:rsidRPr="00C478A6">
        <w:rPr>
          <w:rStyle w:val="FootnoteReference"/>
          <w:szCs w:val="16"/>
        </w:rPr>
        <w:footnoteRef/>
      </w:r>
      <w:r w:rsidRPr="00F3271F">
        <w:rPr>
          <w:szCs w:val="16"/>
        </w:rPr>
        <w:t xml:space="preserve"> </w:t>
      </w:r>
      <w:r w:rsidRPr="00F3271F">
        <w:rPr>
          <w:szCs w:val="16"/>
        </w:rPr>
        <w:tab/>
      </w:r>
      <w:r w:rsidRPr="00F3271F">
        <w:rPr>
          <w:szCs w:val="16"/>
          <w:lang w:val="es-CR"/>
        </w:rPr>
        <w:t xml:space="preserve">En el ámbito africano, </w:t>
      </w:r>
      <w:r w:rsidRPr="004B27CC">
        <w:rPr>
          <w:szCs w:val="16"/>
          <w:lang w:val="es-CR"/>
        </w:rPr>
        <w:t>en el año 1999 la Organización para la Unidad Africana adoptó la Declaración y Plan de Acción de Grand Bay. Este instrumento, que repasa los princip</w:t>
      </w:r>
      <w:r w:rsidRPr="00B168C0">
        <w:rPr>
          <w:szCs w:val="16"/>
          <w:lang w:val="es-CR"/>
        </w:rPr>
        <w:t>ales desafíos del continente en materia de derechos humanos y plantea recomendaciones, toma nota de la importancia de la adopción de la Declaración de Defensores de la ONU y exhorta a los gobiernos africanos a implementarla.</w:t>
      </w:r>
      <w:r w:rsidRPr="00DE0618">
        <w:rPr>
          <w:szCs w:val="16"/>
          <w:lang w:val="es-CR"/>
        </w:rPr>
        <w:t xml:space="preserve"> </w:t>
      </w:r>
      <w:r w:rsidRPr="001F751D">
        <w:rPr>
          <w:i/>
          <w:szCs w:val="16"/>
          <w:lang w:val="es-CR"/>
        </w:rPr>
        <w:t>Cfr.</w:t>
      </w:r>
      <w:r w:rsidRPr="00585059">
        <w:rPr>
          <w:szCs w:val="16"/>
          <w:lang w:val="es-CR"/>
        </w:rPr>
        <w:t xml:space="preserve"> Declaración y Plan de Acción de Grand Bay. Adoptada en la Conferencia Ministerial sobre Derechos Humanos de la Unión Africana celebrada del 12 al 16 de abril de 1999 en Grand Bay, Mauricio.</w:t>
      </w:r>
    </w:p>
  </w:footnote>
  <w:footnote w:id="61">
    <w:p w14:paraId="75C7A37E" w14:textId="2B048258" w:rsidR="0054256E" w:rsidRPr="00F3271F" w:rsidRDefault="0054256E" w:rsidP="0064010A">
      <w:pPr>
        <w:pStyle w:val="FootnoteText"/>
        <w:rPr>
          <w:szCs w:val="16"/>
          <w:lang w:val="es-CR"/>
        </w:rPr>
      </w:pPr>
      <w:r w:rsidRPr="003D58B9">
        <w:rPr>
          <w:rStyle w:val="FootnoteReference"/>
          <w:szCs w:val="16"/>
        </w:rPr>
        <w:footnoteRef/>
      </w:r>
      <w:r w:rsidRPr="008F1E4F">
        <w:rPr>
          <w:szCs w:val="16"/>
        </w:rPr>
        <w:t xml:space="preserve"> </w:t>
      </w:r>
      <w:r w:rsidRPr="008F1E4F">
        <w:rPr>
          <w:szCs w:val="16"/>
        </w:rPr>
        <w:tab/>
      </w:r>
      <w:r w:rsidRPr="00C478A6">
        <w:rPr>
          <w:szCs w:val="16"/>
          <w:lang w:val="es-CR"/>
        </w:rPr>
        <w:t>Honduras reconoce expresamente la existencia del derecho a defender derechos humanos, al establecer este derecho en el artículo 1 de la Ley de protección para las y los defensores de derechos humanos, periodistas, comunicadores sociales y operadores de justicia. Decreto No. 34-2015. Ley de protección para las y los defensores de derechos humanos, periodista</w:t>
      </w:r>
      <w:r w:rsidRPr="00F3271F">
        <w:rPr>
          <w:szCs w:val="16"/>
          <w:lang w:val="es-CR"/>
        </w:rPr>
        <w:t>s, comunicadores sociales y operadores de justicia. Promulgada el 14 de mayo de 2015, y publicada el 15 de mayo de 2015, artículo 1.</w:t>
      </w:r>
    </w:p>
  </w:footnote>
  <w:footnote w:id="62">
    <w:p w14:paraId="28B67DDA" w14:textId="2C6D5562" w:rsidR="0054256E" w:rsidRPr="00DE0618" w:rsidRDefault="0054256E" w:rsidP="0064010A">
      <w:pPr>
        <w:pStyle w:val="FootnoteText"/>
        <w:rPr>
          <w:szCs w:val="16"/>
        </w:rPr>
      </w:pPr>
      <w:r w:rsidRPr="00F3271F">
        <w:rPr>
          <w:rStyle w:val="FootnoteReference"/>
          <w:szCs w:val="16"/>
        </w:rPr>
        <w:footnoteRef/>
      </w:r>
      <w:r w:rsidRPr="004B27CC">
        <w:rPr>
          <w:szCs w:val="16"/>
        </w:rPr>
        <w:t xml:space="preserve"> </w:t>
      </w:r>
      <w:r w:rsidRPr="004B27CC">
        <w:rPr>
          <w:szCs w:val="16"/>
        </w:rPr>
        <w:tab/>
      </w:r>
      <w:r w:rsidRPr="00B168C0">
        <w:rPr>
          <w:i/>
          <w:szCs w:val="16"/>
        </w:rPr>
        <w:t>Cfr. Caso Acosta y otros Vs. Nicaragua</w:t>
      </w:r>
      <w:r w:rsidRPr="00DE0618">
        <w:rPr>
          <w:szCs w:val="16"/>
        </w:rPr>
        <w:t xml:space="preserve">, párr. 207. </w:t>
      </w:r>
    </w:p>
  </w:footnote>
  <w:footnote w:id="63">
    <w:p w14:paraId="7C06D5FB" w14:textId="3008D048" w:rsidR="0054256E" w:rsidRPr="00DE0618" w:rsidRDefault="0054256E" w:rsidP="0064010A">
      <w:pPr>
        <w:pStyle w:val="FootnoteText"/>
        <w:rPr>
          <w:szCs w:val="16"/>
          <w:lang w:val="es-CR"/>
        </w:rPr>
      </w:pPr>
      <w:r w:rsidRPr="00DE0618">
        <w:rPr>
          <w:rStyle w:val="FootnoteReference"/>
          <w:szCs w:val="16"/>
        </w:rPr>
        <w:footnoteRef/>
      </w:r>
      <w:r w:rsidRPr="00DE0618">
        <w:rPr>
          <w:szCs w:val="16"/>
          <w:lang w:val="es-CR"/>
        </w:rPr>
        <w:t xml:space="preserve"> </w:t>
      </w:r>
      <w:r w:rsidRPr="00DE0618">
        <w:rPr>
          <w:szCs w:val="16"/>
          <w:lang w:val="es-CR"/>
        </w:rPr>
        <w:tab/>
      </w:r>
      <w:r w:rsidRPr="00DE0618">
        <w:rPr>
          <w:i/>
          <w:szCs w:val="16"/>
          <w:lang w:val="es-CR"/>
        </w:rPr>
        <w:t>Cfr. Caso Castañeda Gutman Vs. Estados Unidos Mexicanos. Excepciones Preliminares, Fondo, Reparaciones y Costas.</w:t>
      </w:r>
      <w:r w:rsidRPr="00DE0618">
        <w:rPr>
          <w:szCs w:val="16"/>
          <w:lang w:val="es-CR"/>
        </w:rPr>
        <w:t xml:space="preserve"> Sentencia de 6 de agosto de 2008. Serie C No. 184, párr. 140, y </w:t>
      </w:r>
      <w:r w:rsidRPr="00DE0618">
        <w:rPr>
          <w:i/>
          <w:szCs w:val="16"/>
          <w:lang w:val="es-CR"/>
        </w:rPr>
        <w:t xml:space="preserve">Caso López Lone Vs. Honduras. Excepción Preliminar, Fondo, Reparaciones y Costas. </w:t>
      </w:r>
      <w:r w:rsidRPr="00DE0618">
        <w:rPr>
          <w:szCs w:val="16"/>
          <w:lang w:val="es-CR"/>
        </w:rPr>
        <w:t xml:space="preserve">Sentencia del 5 de octubre de 2015. Serie C No. 302, párr. </w:t>
      </w:r>
      <w:r w:rsidRPr="00DE0618">
        <w:rPr>
          <w:szCs w:val="16"/>
          <w:lang w:val="es-ES"/>
        </w:rPr>
        <w:t>160</w:t>
      </w:r>
      <w:r w:rsidRPr="00DE0618">
        <w:rPr>
          <w:szCs w:val="16"/>
          <w:lang w:val="es-CR"/>
        </w:rPr>
        <w:t xml:space="preserve">. </w:t>
      </w:r>
    </w:p>
  </w:footnote>
  <w:footnote w:id="64">
    <w:p w14:paraId="2D4BEA75" w14:textId="76723E19" w:rsidR="0054256E" w:rsidRPr="00DE0618" w:rsidRDefault="0054256E" w:rsidP="0064010A">
      <w:pPr>
        <w:pStyle w:val="FootnoteText"/>
        <w:rPr>
          <w:szCs w:val="16"/>
          <w:lang w:val="es-CR"/>
        </w:rPr>
      </w:pPr>
      <w:r w:rsidRPr="00DE0618">
        <w:rPr>
          <w:rStyle w:val="FootnoteReference"/>
          <w:szCs w:val="16"/>
        </w:rPr>
        <w:footnoteRef/>
      </w:r>
      <w:r w:rsidRPr="00DE0618">
        <w:rPr>
          <w:szCs w:val="16"/>
          <w:lang w:val="es-CR"/>
        </w:rPr>
        <w:t xml:space="preserve"> </w:t>
      </w:r>
      <w:r w:rsidRPr="00DE0618">
        <w:rPr>
          <w:szCs w:val="16"/>
          <w:lang w:val="es-CR"/>
        </w:rPr>
        <w:tab/>
      </w:r>
      <w:r w:rsidRPr="00DE0618">
        <w:rPr>
          <w:i/>
          <w:szCs w:val="16"/>
          <w:lang w:val="es-CR"/>
        </w:rPr>
        <w:t>Cfr.</w:t>
      </w:r>
      <w:r w:rsidRPr="00DE0618">
        <w:rPr>
          <w:szCs w:val="16"/>
          <w:lang w:val="es-CR"/>
        </w:rPr>
        <w:t xml:space="preserve"> </w:t>
      </w:r>
      <w:r w:rsidRPr="00DE0618">
        <w:rPr>
          <w:i/>
          <w:szCs w:val="16"/>
          <w:lang w:val="es-CR"/>
        </w:rPr>
        <w:t>Caso Valle Jaramillo y otros Vs. Colombia</w:t>
      </w:r>
      <w:r w:rsidRPr="00DE0618">
        <w:rPr>
          <w:szCs w:val="16"/>
          <w:lang w:val="es-CR"/>
        </w:rPr>
        <w:t xml:space="preserve">, párr. 87, y </w:t>
      </w:r>
      <w:r w:rsidRPr="00DE0618">
        <w:rPr>
          <w:i/>
          <w:szCs w:val="16"/>
          <w:lang w:val="es-CR"/>
        </w:rPr>
        <w:t>Caso Defensor de derechos humanos y otros Vs. Guatemala</w:t>
      </w:r>
      <w:r w:rsidRPr="00DE0618">
        <w:rPr>
          <w:szCs w:val="16"/>
          <w:lang w:val="es-CR"/>
        </w:rPr>
        <w:t>, párr. 128.</w:t>
      </w:r>
    </w:p>
  </w:footnote>
  <w:footnote w:id="65">
    <w:p w14:paraId="2704388F" w14:textId="0EA8DEDE" w:rsidR="0054256E" w:rsidRPr="00DE0618" w:rsidRDefault="0054256E" w:rsidP="0064010A">
      <w:pPr>
        <w:pStyle w:val="FootnoteText"/>
        <w:rPr>
          <w:szCs w:val="16"/>
          <w:lang w:val="es-CR"/>
        </w:rPr>
      </w:pPr>
      <w:r w:rsidRPr="00DE0618">
        <w:rPr>
          <w:rStyle w:val="FootnoteReference"/>
          <w:szCs w:val="16"/>
        </w:rPr>
        <w:footnoteRef/>
      </w:r>
      <w:r w:rsidRPr="00DE0618">
        <w:rPr>
          <w:szCs w:val="16"/>
        </w:rPr>
        <w:t xml:space="preserve"> </w:t>
      </w:r>
      <w:r w:rsidRPr="00DE0618">
        <w:rPr>
          <w:szCs w:val="16"/>
        </w:rPr>
        <w:tab/>
      </w:r>
      <w:r w:rsidRPr="00DE0618">
        <w:rPr>
          <w:i/>
          <w:szCs w:val="16"/>
          <w:lang w:val="es-CR"/>
        </w:rPr>
        <w:t>Cfr.</w:t>
      </w:r>
      <w:r w:rsidRPr="00DE0618">
        <w:rPr>
          <w:szCs w:val="16"/>
          <w:lang w:val="es-CR"/>
        </w:rPr>
        <w:t xml:space="preserve"> </w:t>
      </w:r>
      <w:r w:rsidRPr="00DE0618">
        <w:rPr>
          <w:bCs/>
          <w:i/>
          <w:szCs w:val="16"/>
          <w:lang w:val="es-CR"/>
        </w:rPr>
        <w:t>Caso Huilca Tecse Vs. Perú. Fondo, Reparaciones y Costas.</w:t>
      </w:r>
      <w:r w:rsidRPr="00DE0618">
        <w:rPr>
          <w:bCs/>
          <w:szCs w:val="16"/>
          <w:lang w:val="es-CR"/>
        </w:rPr>
        <w:t xml:space="preserve"> Sentencia de 3 de marzo de 2005. Serie C No. 121, párr. 69, y </w:t>
      </w:r>
      <w:r w:rsidRPr="00DE0618">
        <w:rPr>
          <w:i/>
          <w:szCs w:val="16"/>
          <w:lang w:val="es-CR"/>
        </w:rPr>
        <w:t xml:space="preserve">Caso </w:t>
      </w:r>
      <w:r w:rsidRPr="00DE0618">
        <w:rPr>
          <w:bCs/>
          <w:i/>
          <w:szCs w:val="16"/>
          <w:lang w:val="es-CR"/>
        </w:rPr>
        <w:t xml:space="preserve">Lagos del Campo Vs. Perú. Excepciones Preliminares, Fondo, Reparaciones y Costas. </w:t>
      </w:r>
      <w:r w:rsidRPr="00DE0618">
        <w:rPr>
          <w:bCs/>
          <w:szCs w:val="16"/>
          <w:lang w:val="es-CR"/>
        </w:rPr>
        <w:t>Sentencia de 31 de agosto de 2017. Serie C No. 340, párr. 155.</w:t>
      </w:r>
    </w:p>
  </w:footnote>
  <w:footnote w:id="66">
    <w:p w14:paraId="67FA9F7D" w14:textId="58FE4DC9" w:rsidR="0054256E" w:rsidRPr="00DE0618" w:rsidRDefault="0054256E" w:rsidP="00D17B11">
      <w:pPr>
        <w:pStyle w:val="FootnoteText"/>
        <w:rPr>
          <w:szCs w:val="16"/>
          <w:lang w:val="es-CR"/>
        </w:rPr>
      </w:pPr>
      <w:r w:rsidRPr="00DE0618">
        <w:rPr>
          <w:rStyle w:val="FootnoteReference"/>
          <w:szCs w:val="16"/>
        </w:rPr>
        <w:footnoteRef/>
      </w:r>
      <w:r w:rsidRPr="00DE0618">
        <w:rPr>
          <w:i/>
          <w:szCs w:val="16"/>
          <w:lang w:val="es-ES"/>
        </w:rPr>
        <w:t xml:space="preserve"> </w:t>
      </w:r>
      <w:r w:rsidRPr="00DE0618">
        <w:rPr>
          <w:i/>
          <w:szCs w:val="16"/>
          <w:lang w:val="es-ES"/>
        </w:rPr>
        <w:tab/>
        <w:t>Cfr.</w:t>
      </w:r>
      <w:r w:rsidRPr="00DE0618">
        <w:rPr>
          <w:szCs w:val="16"/>
          <w:lang w:val="es-ES"/>
        </w:rPr>
        <w:t xml:space="preserve"> </w:t>
      </w:r>
      <w:r w:rsidRPr="00DE0618">
        <w:rPr>
          <w:i/>
          <w:iCs/>
          <w:szCs w:val="16"/>
          <w:lang w:val="es-CO"/>
        </w:rPr>
        <w:t>Caso Huilca Tecse Vs. Perú</w:t>
      </w:r>
      <w:r w:rsidRPr="00DE0618">
        <w:rPr>
          <w:bCs/>
          <w:szCs w:val="16"/>
          <w:lang w:val="es-CR"/>
        </w:rPr>
        <w:t xml:space="preserve">, </w:t>
      </w:r>
      <w:r w:rsidRPr="00DE0618">
        <w:rPr>
          <w:szCs w:val="16"/>
          <w:lang w:val="es-CR"/>
        </w:rPr>
        <w:t xml:space="preserve">párr. 75, y </w:t>
      </w:r>
      <w:r w:rsidRPr="00DE0618">
        <w:rPr>
          <w:i/>
          <w:szCs w:val="16"/>
          <w:lang w:val="es-ES"/>
        </w:rPr>
        <w:t xml:space="preserve">Caso </w:t>
      </w:r>
      <w:r w:rsidRPr="00DE0618">
        <w:rPr>
          <w:bCs/>
          <w:i/>
          <w:szCs w:val="16"/>
          <w:lang w:val="es-ES"/>
        </w:rPr>
        <w:t xml:space="preserve">Kawas Fernández Vs. </w:t>
      </w:r>
      <w:r w:rsidRPr="00DE0618">
        <w:rPr>
          <w:bCs/>
          <w:i/>
          <w:szCs w:val="16"/>
          <w:lang w:val="es-CR"/>
        </w:rPr>
        <w:t>Honduras</w:t>
      </w:r>
      <w:r w:rsidRPr="00DE0618">
        <w:rPr>
          <w:bCs/>
          <w:szCs w:val="16"/>
          <w:lang w:val="es-CR"/>
        </w:rPr>
        <w:t>, párr. 150</w:t>
      </w:r>
      <w:r w:rsidRPr="00DE0618">
        <w:rPr>
          <w:szCs w:val="16"/>
          <w:lang w:val="es-CR"/>
        </w:rPr>
        <w:t xml:space="preserve">.  </w:t>
      </w:r>
    </w:p>
  </w:footnote>
  <w:footnote w:id="67">
    <w:p w14:paraId="14C55A93" w14:textId="752CEA1B" w:rsidR="0054256E" w:rsidRPr="00585059" w:rsidRDefault="0054256E" w:rsidP="0064010A">
      <w:pPr>
        <w:pStyle w:val="FootnoteText"/>
        <w:rPr>
          <w:bCs/>
          <w:szCs w:val="16"/>
          <w:lang w:val="es-CR"/>
        </w:rPr>
      </w:pPr>
      <w:r w:rsidRPr="00DE0618">
        <w:rPr>
          <w:rStyle w:val="FootnoteReference"/>
          <w:szCs w:val="16"/>
        </w:rPr>
        <w:footnoteRef/>
      </w:r>
      <w:r w:rsidRPr="00DE0618">
        <w:rPr>
          <w:szCs w:val="16"/>
        </w:rPr>
        <w:t xml:space="preserve"> </w:t>
      </w:r>
      <w:r w:rsidRPr="00DE0618">
        <w:rPr>
          <w:szCs w:val="16"/>
        </w:rPr>
        <w:tab/>
      </w:r>
      <w:r w:rsidRPr="00DE0618">
        <w:rPr>
          <w:i/>
          <w:szCs w:val="16"/>
        </w:rPr>
        <w:t>Cfr.</w:t>
      </w:r>
      <w:r w:rsidRPr="00DE0618">
        <w:rPr>
          <w:szCs w:val="16"/>
        </w:rPr>
        <w:t xml:space="preserve"> </w:t>
      </w:r>
      <w:r w:rsidRPr="00DE0618">
        <w:rPr>
          <w:i/>
          <w:szCs w:val="16"/>
          <w:lang w:val="es-CR"/>
        </w:rPr>
        <w:t xml:space="preserve">Caso </w:t>
      </w:r>
      <w:r w:rsidRPr="00DE0618">
        <w:rPr>
          <w:bCs/>
          <w:i/>
          <w:szCs w:val="16"/>
          <w:lang w:val="es-CR"/>
        </w:rPr>
        <w:t>Kawas Fernández Vs. Honduras</w:t>
      </w:r>
      <w:r w:rsidRPr="00DE0618">
        <w:rPr>
          <w:bCs/>
          <w:szCs w:val="16"/>
          <w:lang w:val="es-CR"/>
        </w:rPr>
        <w:t xml:space="preserve">, párr. 150, y </w:t>
      </w:r>
      <w:r w:rsidRPr="00DE0618">
        <w:rPr>
          <w:i/>
          <w:szCs w:val="16"/>
          <w:lang w:val="es-CR"/>
        </w:rPr>
        <w:t xml:space="preserve">Caso García y familiares Vs. Guatemala. Fondo Reparaciones y Costas. </w:t>
      </w:r>
      <w:r w:rsidRPr="00DE0618">
        <w:rPr>
          <w:szCs w:val="16"/>
          <w:lang w:val="es-CR"/>
        </w:rPr>
        <w:t>Sentencia de 29 noviembre de 2012 Serie C No. 258, párr.</w:t>
      </w:r>
      <w:r w:rsidRPr="00DE0618">
        <w:rPr>
          <w:i/>
          <w:szCs w:val="16"/>
          <w:lang w:val="es-CR"/>
        </w:rPr>
        <w:t xml:space="preserve"> </w:t>
      </w:r>
      <w:r w:rsidRPr="001F751D">
        <w:rPr>
          <w:szCs w:val="16"/>
          <w:lang w:val="es-CR"/>
        </w:rPr>
        <w:t>116</w:t>
      </w:r>
      <w:r w:rsidRPr="00585059">
        <w:rPr>
          <w:bCs/>
          <w:szCs w:val="16"/>
          <w:lang w:val="es-CR"/>
        </w:rPr>
        <w:t>.</w:t>
      </w:r>
    </w:p>
  </w:footnote>
  <w:footnote w:id="68">
    <w:p w14:paraId="72307CE9" w14:textId="71977B69" w:rsidR="0054256E" w:rsidRPr="00DE0618" w:rsidRDefault="0054256E" w:rsidP="0064010A">
      <w:pPr>
        <w:pStyle w:val="FootnoteText"/>
        <w:rPr>
          <w:i/>
          <w:szCs w:val="16"/>
        </w:rPr>
      </w:pPr>
      <w:r w:rsidRPr="003D58B9">
        <w:rPr>
          <w:rStyle w:val="FootnoteReference"/>
          <w:szCs w:val="16"/>
        </w:rPr>
        <w:footnoteRef/>
      </w:r>
      <w:r w:rsidRPr="003D58B9">
        <w:rPr>
          <w:szCs w:val="16"/>
        </w:rPr>
        <w:t xml:space="preserve"> </w:t>
      </w:r>
      <w:r w:rsidRPr="008F1E4F">
        <w:rPr>
          <w:szCs w:val="16"/>
        </w:rPr>
        <w:tab/>
      </w:r>
      <w:r w:rsidRPr="00C478A6">
        <w:rPr>
          <w:i/>
          <w:szCs w:val="16"/>
        </w:rPr>
        <w:t xml:space="preserve">Cfr. </w:t>
      </w:r>
      <w:r w:rsidRPr="00F3271F">
        <w:rPr>
          <w:i/>
          <w:iCs/>
          <w:szCs w:val="16"/>
          <w:lang w:val="es-CO"/>
        </w:rPr>
        <w:t>Caso Huilca Tecse Vs. Perú</w:t>
      </w:r>
      <w:r w:rsidRPr="00F3271F">
        <w:rPr>
          <w:bCs/>
          <w:szCs w:val="16"/>
          <w:lang w:val="es-CR"/>
        </w:rPr>
        <w:t xml:space="preserve">, </w:t>
      </w:r>
      <w:r w:rsidRPr="00F3271F">
        <w:rPr>
          <w:szCs w:val="16"/>
          <w:lang w:val="es-CR"/>
        </w:rPr>
        <w:t xml:space="preserve">párr. 77, y </w:t>
      </w:r>
      <w:r w:rsidRPr="00F3271F">
        <w:rPr>
          <w:i/>
          <w:szCs w:val="16"/>
          <w:lang w:val="es-CR"/>
        </w:rPr>
        <w:t xml:space="preserve">Caso </w:t>
      </w:r>
      <w:r w:rsidRPr="004B27CC">
        <w:rPr>
          <w:bCs/>
          <w:i/>
          <w:szCs w:val="16"/>
          <w:lang w:val="es-CR"/>
        </w:rPr>
        <w:t>Lagos del Campo Vs. Perú</w:t>
      </w:r>
      <w:r w:rsidRPr="00B168C0">
        <w:rPr>
          <w:bCs/>
          <w:szCs w:val="16"/>
          <w:lang w:val="es-CR"/>
        </w:rPr>
        <w:t>, párr. 156.</w:t>
      </w:r>
      <w:r w:rsidRPr="00DE0618">
        <w:rPr>
          <w:szCs w:val="16"/>
          <w:lang w:val="es-CR"/>
        </w:rPr>
        <w:t xml:space="preserve"> </w:t>
      </w:r>
    </w:p>
  </w:footnote>
  <w:footnote w:id="69">
    <w:p w14:paraId="4934E9BC" w14:textId="650EB9AD" w:rsidR="0054256E" w:rsidRPr="00DE0618" w:rsidRDefault="0054256E" w:rsidP="0064010A">
      <w:pPr>
        <w:pStyle w:val="FootnoteText"/>
        <w:rPr>
          <w:szCs w:val="16"/>
          <w:lang w:val="es-CR"/>
        </w:rPr>
      </w:pPr>
      <w:r w:rsidRPr="00DE0618">
        <w:rPr>
          <w:rStyle w:val="FootnoteReference"/>
          <w:szCs w:val="16"/>
        </w:rPr>
        <w:footnoteRef/>
      </w:r>
      <w:r w:rsidRPr="00DE0618">
        <w:rPr>
          <w:szCs w:val="16"/>
        </w:rPr>
        <w:t xml:space="preserve"> </w:t>
      </w:r>
      <w:r w:rsidRPr="00DE0618">
        <w:rPr>
          <w:szCs w:val="16"/>
        </w:rPr>
        <w:tab/>
      </w:r>
      <w:r w:rsidRPr="00DE0618">
        <w:rPr>
          <w:i/>
          <w:szCs w:val="16"/>
        </w:rPr>
        <w:t xml:space="preserve">Cfr. </w:t>
      </w:r>
      <w:r w:rsidRPr="00DE0618">
        <w:rPr>
          <w:i/>
          <w:szCs w:val="16"/>
          <w:lang w:val="es-CR"/>
        </w:rPr>
        <w:t>Caso Valle Jaramillo y otros Vs. Colombia</w:t>
      </w:r>
      <w:r w:rsidRPr="00DE0618">
        <w:rPr>
          <w:szCs w:val="16"/>
          <w:lang w:val="es-CR"/>
        </w:rPr>
        <w:t xml:space="preserve">, párr. 87, y </w:t>
      </w:r>
      <w:r w:rsidRPr="00DE0618">
        <w:rPr>
          <w:i/>
          <w:szCs w:val="16"/>
          <w:lang w:val="es-CR"/>
        </w:rPr>
        <w:t>Caso Defensor de derechos humanos y otros Vs. Guatemala</w:t>
      </w:r>
      <w:r w:rsidRPr="00DE0618">
        <w:rPr>
          <w:szCs w:val="16"/>
          <w:lang w:val="es-CR"/>
        </w:rPr>
        <w:t>, párr. 128</w:t>
      </w:r>
      <w:r w:rsidRPr="00DE0618">
        <w:rPr>
          <w:i/>
          <w:szCs w:val="16"/>
          <w:lang w:val="es-CR"/>
        </w:rPr>
        <w:t>.</w:t>
      </w:r>
    </w:p>
  </w:footnote>
  <w:footnote w:id="70">
    <w:p w14:paraId="290E76B8" w14:textId="00F60056" w:rsidR="0054256E" w:rsidRPr="00585059" w:rsidRDefault="0054256E" w:rsidP="00D2383E">
      <w:pPr>
        <w:pStyle w:val="FootnoteText"/>
        <w:rPr>
          <w:szCs w:val="16"/>
          <w:lang w:val="es-CR"/>
        </w:rPr>
      </w:pPr>
      <w:r w:rsidRPr="00DE0618">
        <w:rPr>
          <w:rStyle w:val="FootnoteReference"/>
          <w:szCs w:val="16"/>
        </w:rPr>
        <w:footnoteRef/>
      </w:r>
      <w:r w:rsidRPr="00DE0618">
        <w:rPr>
          <w:szCs w:val="16"/>
        </w:rPr>
        <w:t xml:space="preserve"> </w:t>
      </w:r>
      <w:r w:rsidRPr="00DE0618">
        <w:rPr>
          <w:szCs w:val="16"/>
        </w:rPr>
        <w:tab/>
        <w:t xml:space="preserve">Protocolo Adicional a la Convención Americana sobre Derechos Humanos en materia de Derechos Económicos, Sociales y Culturales, “Protocolo de San Salvador”, que reconoce expresamente en su artículo 11 el derecho de todo ser humano a vivir en un medio ambiente sano, y </w:t>
      </w:r>
      <w:r w:rsidRPr="001F751D">
        <w:rPr>
          <w:i/>
          <w:szCs w:val="16"/>
        </w:rPr>
        <w:t>Medio ambiente y derechos humanos (obligaciones estatales en relación con el medio ambiente en el marco de la protección y garantía de los derechos a la vida y a la integridad personal - interpretación y alcance de los artículos 4.1 y 5.1, en relación con los artículos 1.1 y 2 de la Convención Americana sobre Derechos Humanos)</w:t>
      </w:r>
      <w:r>
        <w:rPr>
          <w:szCs w:val="16"/>
        </w:rPr>
        <w:t xml:space="preserve">, Opinión Consultiva </w:t>
      </w:r>
      <w:r w:rsidRPr="00DE0618">
        <w:rPr>
          <w:szCs w:val="16"/>
        </w:rPr>
        <w:t>OC</w:t>
      </w:r>
      <w:r>
        <w:rPr>
          <w:szCs w:val="16"/>
        </w:rPr>
        <w:t>-</w:t>
      </w:r>
      <w:r w:rsidRPr="00585059">
        <w:rPr>
          <w:szCs w:val="16"/>
        </w:rPr>
        <w:t>23</w:t>
      </w:r>
      <w:r>
        <w:rPr>
          <w:szCs w:val="16"/>
        </w:rPr>
        <w:t>/17 de 15 de noviembre de 2017. Serie A No. 23</w:t>
      </w:r>
      <w:r w:rsidRPr="00585059">
        <w:rPr>
          <w:szCs w:val="16"/>
        </w:rPr>
        <w:t>, párrs. 56 y 57.</w:t>
      </w:r>
    </w:p>
  </w:footnote>
  <w:footnote w:id="71">
    <w:p w14:paraId="0DF7AB24" w14:textId="4C107805" w:rsidR="0054256E" w:rsidRPr="00C478A6" w:rsidRDefault="0054256E" w:rsidP="0064010A">
      <w:pPr>
        <w:pStyle w:val="FootnoteText"/>
        <w:rPr>
          <w:szCs w:val="16"/>
          <w:lang w:val="es-CR"/>
        </w:rPr>
      </w:pPr>
      <w:r w:rsidRPr="003D58B9">
        <w:rPr>
          <w:rStyle w:val="FootnoteReference"/>
          <w:szCs w:val="16"/>
        </w:rPr>
        <w:footnoteRef/>
      </w:r>
      <w:r w:rsidRPr="003D58B9">
        <w:rPr>
          <w:szCs w:val="16"/>
        </w:rPr>
        <w:t xml:space="preserve"> </w:t>
      </w:r>
      <w:r w:rsidRPr="008F1E4F">
        <w:rPr>
          <w:szCs w:val="16"/>
        </w:rPr>
        <w:tab/>
      </w:r>
      <w:r w:rsidRPr="00C478A6">
        <w:rPr>
          <w:szCs w:val="16"/>
          <w:lang w:val="es-CR"/>
        </w:rPr>
        <w:t xml:space="preserve">Declaración </w:t>
      </w:r>
      <w:r w:rsidRPr="00C478A6">
        <w:rPr>
          <w:szCs w:val="16"/>
        </w:rPr>
        <w:t>Universal de Derechos Humanos, artículo 20; y Pacto Internacional de Derechos Civiles y Políticos, artículo 22. Además, en sistemas regionales: Convención Europea de Derechos Humanos, artículo 11; Carta Africana de Derechos Humanos y de los Pueblos, artículo 10.</w:t>
      </w:r>
    </w:p>
  </w:footnote>
  <w:footnote w:id="72">
    <w:p w14:paraId="716D2F62" w14:textId="78779897" w:rsidR="0054256E" w:rsidRPr="003D61FF" w:rsidRDefault="0054256E" w:rsidP="0064010A">
      <w:pPr>
        <w:pStyle w:val="FootnoteText"/>
        <w:rPr>
          <w:szCs w:val="16"/>
          <w:lang w:val="es-CR"/>
        </w:rPr>
      </w:pPr>
      <w:r w:rsidRPr="00F3271F">
        <w:rPr>
          <w:rStyle w:val="FootnoteReference"/>
          <w:szCs w:val="16"/>
        </w:rPr>
        <w:footnoteRef/>
      </w:r>
      <w:r w:rsidRPr="00F3271F">
        <w:rPr>
          <w:szCs w:val="16"/>
        </w:rPr>
        <w:t xml:space="preserve"> </w:t>
      </w:r>
      <w:r w:rsidRPr="00F3271F">
        <w:rPr>
          <w:szCs w:val="16"/>
        </w:rPr>
        <w:tab/>
        <w:t>ONU. Declaración sobre el derecho y el deber de los individuos, los grupos y las instituciones de promover y proteger los derechos humanos y las libertades fundamentales universalmente reconocidos</w:t>
      </w:r>
      <w:r>
        <w:rPr>
          <w:szCs w:val="16"/>
        </w:rPr>
        <w:t>, artículo 5(b)</w:t>
      </w:r>
      <w:r w:rsidRPr="00B168C0">
        <w:rPr>
          <w:szCs w:val="16"/>
        </w:rPr>
        <w:t>.</w:t>
      </w:r>
    </w:p>
  </w:footnote>
  <w:footnote w:id="73">
    <w:p w14:paraId="4B8FEB5C" w14:textId="10E83244" w:rsidR="0054256E" w:rsidRPr="00C478A6" w:rsidRDefault="0054256E" w:rsidP="0064010A">
      <w:pPr>
        <w:pStyle w:val="FootnoteText"/>
        <w:rPr>
          <w:szCs w:val="16"/>
          <w:lang w:val="es-CR"/>
        </w:rPr>
      </w:pPr>
      <w:r w:rsidRPr="00DE0618">
        <w:rPr>
          <w:rStyle w:val="FootnoteReference"/>
          <w:szCs w:val="16"/>
        </w:rPr>
        <w:footnoteRef/>
      </w:r>
      <w:r w:rsidRPr="001F751D">
        <w:rPr>
          <w:szCs w:val="16"/>
          <w:lang w:val="es-ES"/>
        </w:rPr>
        <w:t xml:space="preserve"> </w:t>
      </w:r>
      <w:r w:rsidRPr="001F751D">
        <w:rPr>
          <w:szCs w:val="16"/>
          <w:lang w:val="es-ES"/>
        </w:rPr>
        <w:tab/>
      </w:r>
      <w:r w:rsidRPr="001F751D">
        <w:rPr>
          <w:i/>
          <w:szCs w:val="16"/>
          <w:lang w:val="es-ES"/>
        </w:rPr>
        <w:t>Cfr.</w:t>
      </w:r>
      <w:r w:rsidRPr="001F751D">
        <w:rPr>
          <w:szCs w:val="16"/>
          <w:lang w:val="es-ES"/>
        </w:rPr>
        <w:t xml:space="preserve"> </w:t>
      </w:r>
      <w:r w:rsidRPr="00585059">
        <w:rPr>
          <w:i/>
          <w:szCs w:val="16"/>
          <w:lang w:val="es-CR"/>
        </w:rPr>
        <w:t>Caso Valle Jaramillo y otros Vs. Colombia</w:t>
      </w:r>
      <w:r w:rsidRPr="00585059">
        <w:rPr>
          <w:szCs w:val="16"/>
          <w:lang w:val="es-CR"/>
        </w:rPr>
        <w:t xml:space="preserve">, párr. 96, y </w:t>
      </w:r>
      <w:r w:rsidRPr="001F751D">
        <w:rPr>
          <w:i/>
          <w:szCs w:val="16"/>
          <w:lang w:val="es-ES"/>
        </w:rPr>
        <w:t xml:space="preserve">Caso Kawas Fernández Vs. </w:t>
      </w:r>
      <w:r w:rsidRPr="00585059">
        <w:rPr>
          <w:i/>
          <w:szCs w:val="16"/>
          <w:lang w:val="es-CR"/>
        </w:rPr>
        <w:t>Honduras</w:t>
      </w:r>
      <w:r w:rsidRPr="00585059">
        <w:rPr>
          <w:bCs/>
          <w:szCs w:val="16"/>
          <w:lang w:val="es-CR"/>
        </w:rPr>
        <w:t xml:space="preserve">, </w:t>
      </w:r>
      <w:r w:rsidRPr="003D58B9">
        <w:rPr>
          <w:szCs w:val="16"/>
          <w:lang w:val="es-CR"/>
        </w:rPr>
        <w:t>párr. 153.</w:t>
      </w:r>
      <w:r>
        <w:rPr>
          <w:szCs w:val="16"/>
          <w:lang w:val="es-CR"/>
        </w:rPr>
        <w:t xml:space="preserve"> </w:t>
      </w:r>
    </w:p>
  </w:footnote>
  <w:footnote w:id="74">
    <w:p w14:paraId="6B44FB24" w14:textId="0D52D9B5" w:rsidR="0054256E" w:rsidRPr="00DE0618" w:rsidRDefault="0054256E" w:rsidP="0064010A">
      <w:pPr>
        <w:pStyle w:val="FootnoteText"/>
        <w:rPr>
          <w:szCs w:val="16"/>
          <w:lang w:val="es-CR"/>
        </w:rPr>
      </w:pPr>
      <w:r w:rsidRPr="00C478A6">
        <w:rPr>
          <w:rStyle w:val="FootnoteReference"/>
          <w:szCs w:val="16"/>
        </w:rPr>
        <w:footnoteRef/>
      </w:r>
      <w:r w:rsidRPr="00C478A6">
        <w:rPr>
          <w:szCs w:val="16"/>
          <w:lang w:val="es-CR"/>
        </w:rPr>
        <w:t xml:space="preserve"> </w:t>
      </w:r>
      <w:r w:rsidRPr="00C478A6">
        <w:rPr>
          <w:szCs w:val="16"/>
          <w:lang w:val="es-CR"/>
        </w:rPr>
        <w:tab/>
      </w:r>
      <w:r w:rsidRPr="00C478A6">
        <w:rPr>
          <w:i/>
          <w:szCs w:val="16"/>
          <w:lang w:val="es-CR"/>
        </w:rPr>
        <w:t>Cfr. Caso Cantoral Huamaní y García Santa Cruz Vs. Perú</w:t>
      </w:r>
      <w:r w:rsidRPr="00C478A6">
        <w:rPr>
          <w:szCs w:val="16"/>
          <w:lang w:val="es-CR"/>
        </w:rPr>
        <w:t xml:space="preserve">, párr. 148, y </w:t>
      </w:r>
      <w:r w:rsidRPr="00C478A6">
        <w:rPr>
          <w:i/>
          <w:szCs w:val="16"/>
          <w:lang w:val="es-CR"/>
        </w:rPr>
        <w:t>Caso Kawas Fernández Vs. Honduras</w:t>
      </w:r>
      <w:r w:rsidRPr="00C478A6">
        <w:rPr>
          <w:bCs/>
          <w:szCs w:val="16"/>
          <w:lang w:val="es-CR"/>
        </w:rPr>
        <w:t>,</w:t>
      </w:r>
      <w:r w:rsidRPr="00C478A6">
        <w:rPr>
          <w:szCs w:val="16"/>
          <w:lang w:val="es-CR"/>
        </w:rPr>
        <w:t xml:space="preserve"> párr. 153.</w:t>
      </w:r>
    </w:p>
  </w:footnote>
  <w:footnote w:id="75">
    <w:p w14:paraId="435F6C61" w14:textId="5125F566" w:rsidR="0054256E" w:rsidRPr="00C478A6" w:rsidRDefault="0054256E" w:rsidP="00BC6B30">
      <w:pPr>
        <w:pStyle w:val="FootnoteText"/>
        <w:rPr>
          <w:szCs w:val="16"/>
          <w:lang w:val="es-CR"/>
        </w:rPr>
      </w:pPr>
      <w:r w:rsidRPr="00DE0618">
        <w:rPr>
          <w:rStyle w:val="FootnoteReference"/>
          <w:szCs w:val="16"/>
        </w:rPr>
        <w:footnoteRef/>
      </w:r>
      <w:r w:rsidRPr="00DE0618">
        <w:rPr>
          <w:szCs w:val="16"/>
        </w:rPr>
        <w:t xml:space="preserve"> </w:t>
      </w:r>
      <w:r w:rsidRPr="00DE0618">
        <w:rPr>
          <w:szCs w:val="16"/>
        </w:rPr>
        <w:tab/>
      </w:r>
      <w:r w:rsidRPr="00DE0618">
        <w:rPr>
          <w:i/>
          <w:szCs w:val="16"/>
          <w:lang w:val="es-CR"/>
        </w:rPr>
        <w:t>Cfr.</w:t>
      </w:r>
      <w:r w:rsidRPr="00DE0618">
        <w:rPr>
          <w:szCs w:val="16"/>
          <w:lang w:val="es-CR"/>
        </w:rPr>
        <w:t xml:space="preserve"> </w:t>
      </w:r>
      <w:r w:rsidRPr="00DE0618">
        <w:rPr>
          <w:i/>
          <w:szCs w:val="16"/>
          <w:lang w:val="es-CR"/>
        </w:rPr>
        <w:t>Caso Defensor de derechos humanos y otros Vs. Guatemala</w:t>
      </w:r>
      <w:r w:rsidRPr="00DE0618">
        <w:rPr>
          <w:szCs w:val="16"/>
          <w:lang w:val="es-CR"/>
        </w:rPr>
        <w:t>, párr. 185, y</w:t>
      </w:r>
      <w:r w:rsidRPr="00DE0618">
        <w:rPr>
          <w:i/>
          <w:szCs w:val="16"/>
        </w:rPr>
        <w:t xml:space="preserve"> </w:t>
      </w:r>
      <w:r w:rsidRPr="00D60F57">
        <w:rPr>
          <w:rFonts w:cs="Arial"/>
          <w:i/>
          <w:spacing w:val="-4"/>
          <w:szCs w:val="16"/>
          <w:lang w:val="es-ES"/>
        </w:rPr>
        <w:t>Caso</w:t>
      </w:r>
      <w:r w:rsidRPr="00D60F57">
        <w:rPr>
          <w:rFonts w:cs="Arial"/>
          <w:spacing w:val="-4"/>
          <w:szCs w:val="16"/>
          <w:lang w:val="es-ES"/>
        </w:rPr>
        <w:t xml:space="preserve"> </w:t>
      </w:r>
      <w:r w:rsidRPr="00D60F57">
        <w:rPr>
          <w:rFonts w:cs="Arial"/>
          <w:i/>
          <w:spacing w:val="-4"/>
          <w:szCs w:val="16"/>
          <w:lang w:val="es-ES"/>
        </w:rPr>
        <w:t>Luna López Vs. Honduras</w:t>
      </w:r>
      <w:r w:rsidRPr="00D60F57">
        <w:rPr>
          <w:rFonts w:cs="Arial"/>
          <w:spacing w:val="-4"/>
          <w:szCs w:val="16"/>
          <w:lang w:val="es-ES"/>
        </w:rPr>
        <w:t>, párr. 142.</w:t>
      </w:r>
    </w:p>
  </w:footnote>
  <w:footnote w:id="76">
    <w:p w14:paraId="3ECDAB4A" w14:textId="550DAE58" w:rsidR="0054256E" w:rsidRPr="00B168C0" w:rsidRDefault="0054256E" w:rsidP="00BC6B30">
      <w:pPr>
        <w:pStyle w:val="FootnoteText"/>
        <w:rPr>
          <w:szCs w:val="16"/>
          <w:lang w:val="es-CR"/>
        </w:rPr>
      </w:pPr>
      <w:r w:rsidRPr="00C478A6">
        <w:rPr>
          <w:rStyle w:val="FootnoteReference"/>
          <w:szCs w:val="16"/>
        </w:rPr>
        <w:footnoteRef/>
      </w:r>
      <w:r w:rsidRPr="00C478A6">
        <w:rPr>
          <w:szCs w:val="16"/>
        </w:rPr>
        <w:t xml:space="preserve"> </w:t>
      </w:r>
      <w:r w:rsidRPr="00C478A6">
        <w:rPr>
          <w:szCs w:val="16"/>
        </w:rPr>
        <w:tab/>
      </w:r>
      <w:r w:rsidRPr="00C478A6">
        <w:rPr>
          <w:i/>
          <w:szCs w:val="16"/>
          <w:lang w:val="es-CR"/>
        </w:rPr>
        <w:t xml:space="preserve">Caso Chitay Nech y otros Vs. Guatemala. Excepciones Preliminares, Fondo, Reparaciones y Costas. </w:t>
      </w:r>
      <w:r w:rsidRPr="00F3271F">
        <w:rPr>
          <w:szCs w:val="16"/>
          <w:lang w:val="es-CR"/>
        </w:rPr>
        <w:t>Sentencia de 25 de mayo de 2010. Serie C No. 212, párr. 115</w:t>
      </w:r>
      <w:r w:rsidRPr="00B168C0">
        <w:rPr>
          <w:szCs w:val="16"/>
          <w:lang w:val="es-CR"/>
        </w:rPr>
        <w:t>.</w:t>
      </w:r>
    </w:p>
  </w:footnote>
  <w:footnote w:id="77">
    <w:p w14:paraId="220A9A3C" w14:textId="08E636BF" w:rsidR="0054256E" w:rsidRPr="00C478A6" w:rsidRDefault="0054256E" w:rsidP="0064010A">
      <w:pPr>
        <w:pStyle w:val="FootnoteText"/>
        <w:rPr>
          <w:szCs w:val="16"/>
          <w:lang w:val="es-CR"/>
        </w:rPr>
      </w:pPr>
      <w:r w:rsidRPr="003D61FF">
        <w:rPr>
          <w:rStyle w:val="FootnoteReference"/>
          <w:szCs w:val="16"/>
        </w:rPr>
        <w:footnoteRef/>
      </w:r>
      <w:r w:rsidRPr="00DE0618">
        <w:rPr>
          <w:szCs w:val="16"/>
          <w:vertAlign w:val="superscript"/>
        </w:rPr>
        <w:t xml:space="preserve"> </w:t>
      </w:r>
      <w:r w:rsidRPr="00DE0618">
        <w:rPr>
          <w:szCs w:val="16"/>
          <w:vertAlign w:val="superscript"/>
        </w:rPr>
        <w:tab/>
      </w:r>
      <w:r>
        <w:t xml:space="preserve">OEA. Carta Democrática Interamericana. Aprobada en la primera sesión plenaria de la Asamblea General de la OEA, celebrada el 11 de septiembre de 2001 durante el Vigésimo Octavo Periodo Extraordinario de Sesiones, </w:t>
      </w:r>
      <w:r w:rsidRPr="00C478A6">
        <w:rPr>
          <w:rStyle w:val="FootnoteCharacters"/>
          <w:szCs w:val="16"/>
          <w:vertAlign w:val="baseline"/>
          <w:lang w:val="es-CR"/>
        </w:rPr>
        <w:t>a</w:t>
      </w:r>
      <w:r w:rsidRPr="00C478A6">
        <w:rPr>
          <w:szCs w:val="16"/>
          <w:lang w:val="es-CR"/>
        </w:rPr>
        <w:t>rtículo 2.</w:t>
      </w:r>
    </w:p>
  </w:footnote>
  <w:footnote w:id="78">
    <w:p w14:paraId="0BCBBD20" w14:textId="7BA03659" w:rsidR="0054256E" w:rsidRPr="00DE0618" w:rsidRDefault="0054256E" w:rsidP="0064010A">
      <w:pPr>
        <w:pStyle w:val="FootnoteText"/>
        <w:rPr>
          <w:szCs w:val="16"/>
          <w:lang w:val="es-CR"/>
        </w:rPr>
      </w:pPr>
      <w:r w:rsidRPr="00C478A6">
        <w:rPr>
          <w:rStyle w:val="FootnoteReference"/>
          <w:szCs w:val="16"/>
        </w:rPr>
        <w:footnoteRef/>
      </w:r>
      <w:r w:rsidRPr="00C478A6">
        <w:rPr>
          <w:szCs w:val="16"/>
        </w:rPr>
        <w:t xml:space="preserve"> </w:t>
      </w:r>
      <w:r w:rsidRPr="00C478A6">
        <w:rPr>
          <w:szCs w:val="16"/>
        </w:rPr>
        <w:tab/>
      </w:r>
      <w:r w:rsidRPr="00C478A6">
        <w:rPr>
          <w:i/>
          <w:szCs w:val="16"/>
        </w:rPr>
        <w:t>Cfr.</w:t>
      </w:r>
      <w:r w:rsidRPr="00331012">
        <w:rPr>
          <w:szCs w:val="16"/>
        </w:rPr>
        <w:t xml:space="preserve"> </w:t>
      </w:r>
      <w:r w:rsidRPr="00331012">
        <w:rPr>
          <w:i/>
          <w:szCs w:val="16"/>
        </w:rPr>
        <w:t>Caso Castañeda Gutman vs. México</w:t>
      </w:r>
      <w:r w:rsidRPr="00331012">
        <w:rPr>
          <w:bCs/>
          <w:szCs w:val="16"/>
          <w:lang w:val="es-CR"/>
        </w:rPr>
        <w:t xml:space="preserve">, </w:t>
      </w:r>
      <w:r w:rsidRPr="00331012">
        <w:rPr>
          <w:szCs w:val="16"/>
        </w:rPr>
        <w:t xml:space="preserve">párr. 143, y </w:t>
      </w:r>
      <w:r w:rsidRPr="00F3271F">
        <w:rPr>
          <w:i/>
          <w:szCs w:val="16"/>
        </w:rPr>
        <w:t xml:space="preserve">Caso López Lone y otros vs. Honduras, </w:t>
      </w:r>
      <w:r w:rsidRPr="00F3271F">
        <w:rPr>
          <w:szCs w:val="16"/>
        </w:rPr>
        <w:t>párr. 162.</w:t>
      </w:r>
      <w:r w:rsidRPr="00DE0618">
        <w:rPr>
          <w:szCs w:val="16"/>
        </w:rPr>
        <w:t xml:space="preserve">  </w:t>
      </w:r>
    </w:p>
  </w:footnote>
  <w:footnote w:id="79">
    <w:p w14:paraId="2223397C" w14:textId="138EBF37" w:rsidR="0054256E" w:rsidRPr="00DE0618" w:rsidRDefault="0054256E" w:rsidP="0064010A">
      <w:pPr>
        <w:pStyle w:val="FootnoteText"/>
        <w:rPr>
          <w:szCs w:val="16"/>
        </w:rPr>
      </w:pPr>
      <w:r w:rsidRPr="00DE0618">
        <w:rPr>
          <w:rStyle w:val="FootnoteReference"/>
          <w:szCs w:val="16"/>
        </w:rPr>
        <w:footnoteRef/>
      </w:r>
      <w:r w:rsidRPr="00DE0618">
        <w:rPr>
          <w:i/>
          <w:szCs w:val="16"/>
        </w:rPr>
        <w:t xml:space="preserve"> </w:t>
      </w:r>
      <w:r w:rsidRPr="00DE0618">
        <w:rPr>
          <w:i/>
          <w:szCs w:val="16"/>
        </w:rPr>
        <w:tab/>
        <w:t>Cfr.</w:t>
      </w:r>
      <w:r w:rsidRPr="00DE0618">
        <w:rPr>
          <w:szCs w:val="16"/>
        </w:rPr>
        <w:t xml:space="preserve"> </w:t>
      </w:r>
      <w:r w:rsidRPr="00DE0618">
        <w:rPr>
          <w:i/>
          <w:szCs w:val="16"/>
          <w:lang w:val="es-CR"/>
        </w:rPr>
        <w:t>Caso Yatama Vs. Nicaragua</w:t>
      </w:r>
      <w:r w:rsidRPr="00DE0618">
        <w:rPr>
          <w:szCs w:val="16"/>
          <w:lang w:val="es-CR"/>
        </w:rPr>
        <w:t xml:space="preserve">. </w:t>
      </w:r>
      <w:r w:rsidRPr="00DE0618">
        <w:rPr>
          <w:bCs/>
          <w:i/>
          <w:szCs w:val="16"/>
          <w:lang w:val="es-CR"/>
        </w:rPr>
        <w:t xml:space="preserve">Excepciones Preliminares, Fondo, Reparaciones y Costas. </w:t>
      </w:r>
      <w:r w:rsidRPr="00DE0618">
        <w:rPr>
          <w:bCs/>
          <w:szCs w:val="16"/>
          <w:lang w:val="es-CR"/>
        </w:rPr>
        <w:t>Sentencia de 23 de junio de 2005. Serie C No. 127,</w:t>
      </w:r>
      <w:r w:rsidRPr="00DE0618">
        <w:rPr>
          <w:b/>
          <w:bCs/>
          <w:szCs w:val="16"/>
          <w:lang w:val="es-CR"/>
        </w:rPr>
        <w:t xml:space="preserve"> </w:t>
      </w:r>
      <w:r w:rsidRPr="00DE0618">
        <w:rPr>
          <w:szCs w:val="16"/>
          <w:lang w:val="es-CR"/>
        </w:rPr>
        <w:t xml:space="preserve">párr. 192, y </w:t>
      </w:r>
      <w:r w:rsidRPr="00DE0618">
        <w:rPr>
          <w:i/>
          <w:szCs w:val="16"/>
          <w:lang w:val="es-CR"/>
        </w:rPr>
        <w:t>Caso López Lone Vs Honduras</w:t>
      </w:r>
      <w:r w:rsidRPr="00DE0618">
        <w:rPr>
          <w:rStyle w:val="Strong"/>
          <w:rFonts w:eastAsia="Calibri"/>
          <w:b w:val="0"/>
          <w:color w:val="000000"/>
          <w:szCs w:val="16"/>
        </w:rPr>
        <w:t>,</w:t>
      </w:r>
      <w:r w:rsidRPr="00DE0618">
        <w:rPr>
          <w:rStyle w:val="Strong"/>
          <w:rFonts w:eastAsia="Calibri"/>
          <w:color w:val="000000"/>
          <w:szCs w:val="16"/>
        </w:rPr>
        <w:t xml:space="preserve"> </w:t>
      </w:r>
      <w:r w:rsidRPr="00DE0618">
        <w:rPr>
          <w:szCs w:val="16"/>
          <w:lang w:val="es-CR"/>
        </w:rPr>
        <w:t>párr. 162.</w:t>
      </w:r>
    </w:p>
  </w:footnote>
  <w:footnote w:id="80">
    <w:p w14:paraId="41B3CF5F" w14:textId="746285E4" w:rsidR="0054256E" w:rsidRPr="008F1E4F" w:rsidRDefault="0054256E" w:rsidP="0064010A">
      <w:pPr>
        <w:pStyle w:val="FootnoteText"/>
        <w:rPr>
          <w:szCs w:val="16"/>
          <w:lang w:val="es-CR"/>
        </w:rPr>
      </w:pPr>
      <w:r w:rsidRPr="00DE0618">
        <w:rPr>
          <w:rStyle w:val="FootnoteReference"/>
          <w:szCs w:val="16"/>
        </w:rPr>
        <w:footnoteRef/>
      </w:r>
      <w:r w:rsidRPr="00DE0618">
        <w:rPr>
          <w:szCs w:val="16"/>
        </w:rPr>
        <w:t xml:space="preserve"> </w:t>
      </w:r>
      <w:r w:rsidRPr="00DE0618">
        <w:rPr>
          <w:szCs w:val="16"/>
        </w:rPr>
        <w:tab/>
      </w:r>
      <w:r>
        <w:rPr>
          <w:szCs w:val="16"/>
        </w:rPr>
        <w:t>Naciones Unidas</w:t>
      </w:r>
      <w:r w:rsidRPr="00585059">
        <w:rPr>
          <w:szCs w:val="16"/>
        </w:rPr>
        <w:t>. Declaración sobre el derecho y el deber de los individuos, los grupos y las instituciones de promover y proteger los derechos humanos y las libertades fundamentales universalmente reconocidos</w:t>
      </w:r>
      <w:r w:rsidRPr="003D58B9">
        <w:rPr>
          <w:szCs w:val="16"/>
        </w:rPr>
        <w:t xml:space="preserve">, </w:t>
      </w:r>
      <w:r w:rsidRPr="008F1E4F">
        <w:rPr>
          <w:szCs w:val="16"/>
          <w:lang w:val="es-CR"/>
        </w:rPr>
        <w:t>artículo 8.</w:t>
      </w:r>
    </w:p>
  </w:footnote>
  <w:footnote w:id="81">
    <w:p w14:paraId="12A2FD6F" w14:textId="02B7622F" w:rsidR="0054256E" w:rsidRPr="001F751D" w:rsidRDefault="0054256E">
      <w:pPr>
        <w:pStyle w:val="FootnoteText"/>
        <w:rPr>
          <w:lang w:val="es-CR"/>
        </w:rPr>
      </w:pPr>
      <w:r>
        <w:rPr>
          <w:rStyle w:val="FootnoteReference"/>
        </w:rPr>
        <w:footnoteRef/>
      </w:r>
      <w:r>
        <w:t xml:space="preserve"> </w:t>
      </w:r>
      <w:r>
        <w:rPr>
          <w:lang w:val="es-CR"/>
        </w:rPr>
        <w:tab/>
        <w:t xml:space="preserve">Tal como fue referido en la nota al pie de página 1, </w:t>
      </w:r>
      <w:r>
        <w:rPr>
          <w:lang w:val="es-ES"/>
        </w:rPr>
        <w:t>é</w:t>
      </w:r>
      <w:r w:rsidRPr="001F751D">
        <w:rPr>
          <w:lang w:val="es-ES"/>
        </w:rPr>
        <w:t xml:space="preserve">stos son: su madre </w:t>
      </w:r>
      <w:r w:rsidRPr="002A26D9">
        <w:rPr>
          <w:lang w:val="es-ES"/>
        </w:rPr>
        <w:t>Ofelia Mejía Márquez; su esposa Marta Mercedes Alvarenga Reyes; sus hijos e hijas Douglas Arnaldo, Emerson Alexander, Carlos Andrés, Martha Agripina y Omar Josué, todos de apellidos Escaleras Alvarenga; y sus hermanos y hermanas Eldyn, René Alberto, Yolanda, José Andrés, Omar y Alma Indiana, todos de apellidos Escaleras Mejía</w:t>
      </w:r>
      <w:r w:rsidRPr="001F751D">
        <w:rPr>
          <w:lang w:val="es-ES"/>
        </w:rPr>
        <w:t>.</w:t>
      </w:r>
    </w:p>
  </w:footnote>
  <w:footnote w:id="82">
    <w:p w14:paraId="4B44B8E9" w14:textId="2C3AFCAE" w:rsidR="0054256E" w:rsidRPr="001C67D3" w:rsidRDefault="0054256E" w:rsidP="00212AAF">
      <w:pPr>
        <w:tabs>
          <w:tab w:val="left" w:pos="720"/>
        </w:tabs>
        <w:ind w:right="4"/>
        <w:rPr>
          <w:sz w:val="16"/>
          <w:szCs w:val="16"/>
          <w:lang w:val="es-CR"/>
        </w:rPr>
      </w:pPr>
      <w:r w:rsidRPr="001C67D3">
        <w:rPr>
          <w:rStyle w:val="FootnoteReference"/>
          <w:sz w:val="16"/>
          <w:szCs w:val="16"/>
        </w:rPr>
        <w:footnoteRef/>
      </w:r>
      <w:r w:rsidRPr="001C67D3">
        <w:rPr>
          <w:sz w:val="16"/>
          <w:szCs w:val="16"/>
          <w:lang w:val="es-CR"/>
        </w:rPr>
        <w:t xml:space="preserve"> </w:t>
      </w:r>
      <w:r w:rsidRPr="001C67D3">
        <w:rPr>
          <w:sz w:val="16"/>
          <w:szCs w:val="16"/>
          <w:lang w:val="es-CR"/>
        </w:rPr>
        <w:tab/>
      </w:r>
      <w:r w:rsidRPr="001C67D3">
        <w:rPr>
          <w:i/>
          <w:sz w:val="16"/>
          <w:szCs w:val="16"/>
          <w:lang w:val="es-CR"/>
        </w:rPr>
        <w:t xml:space="preserve">Cfr. </w:t>
      </w:r>
      <w:r w:rsidRPr="001C67D3">
        <w:rPr>
          <w:bCs/>
          <w:i/>
          <w:sz w:val="16"/>
          <w:szCs w:val="16"/>
          <w:lang w:val="es-CR"/>
        </w:rPr>
        <w:t>Caso Velásquez Rodríguez. Reparaciones y Costas</w:t>
      </w:r>
      <w:r w:rsidRPr="001C67D3">
        <w:rPr>
          <w:rFonts w:cs="Verdana-Italic"/>
          <w:iCs/>
          <w:sz w:val="16"/>
          <w:szCs w:val="16"/>
          <w:lang w:val="es-CR" w:bidi="en-US"/>
        </w:rPr>
        <w:t xml:space="preserve">. </w:t>
      </w:r>
      <w:r w:rsidRPr="00585059">
        <w:rPr>
          <w:rFonts w:eastAsia="Times New Roman"/>
          <w:sz w:val="16"/>
          <w:szCs w:val="16"/>
        </w:rPr>
        <w:t>Sentencia de 21 de julio de 1989. Serie C No. 7,</w:t>
      </w:r>
      <w:r w:rsidRPr="00585059">
        <w:rPr>
          <w:rFonts w:eastAsia="Times New Roman"/>
          <w:bCs/>
          <w:sz w:val="16"/>
          <w:szCs w:val="16"/>
        </w:rPr>
        <w:t xml:space="preserve"> </w:t>
      </w:r>
      <w:r w:rsidRPr="001C67D3">
        <w:rPr>
          <w:sz w:val="16"/>
          <w:szCs w:val="16"/>
          <w:lang w:val="es-CR"/>
        </w:rPr>
        <w:t>párrs.</w:t>
      </w:r>
      <w:r w:rsidRPr="001C67D3">
        <w:rPr>
          <w:i/>
          <w:sz w:val="16"/>
          <w:szCs w:val="16"/>
          <w:lang w:val="es-CR"/>
        </w:rPr>
        <w:t xml:space="preserve"> </w:t>
      </w:r>
      <w:r w:rsidRPr="001C67D3">
        <w:rPr>
          <w:sz w:val="16"/>
          <w:szCs w:val="16"/>
          <w:lang w:val="es-CR"/>
        </w:rPr>
        <w:t>25 al 2</w:t>
      </w:r>
      <w:r>
        <w:rPr>
          <w:sz w:val="16"/>
          <w:szCs w:val="16"/>
          <w:lang w:val="es-CR"/>
        </w:rPr>
        <w:t>6</w:t>
      </w:r>
      <w:r w:rsidRPr="001C67D3">
        <w:rPr>
          <w:sz w:val="16"/>
          <w:szCs w:val="16"/>
          <w:lang w:val="es-CR"/>
        </w:rPr>
        <w:t xml:space="preserve">, y </w:t>
      </w:r>
      <w:r w:rsidRPr="001C67D3">
        <w:rPr>
          <w:bCs/>
          <w:i/>
          <w:sz w:val="16"/>
          <w:szCs w:val="16"/>
          <w:lang w:val="es-CR"/>
        </w:rPr>
        <w:t xml:space="preserve">Caso Gómez Murillo y otros Vs. Costa Rica, </w:t>
      </w:r>
      <w:r w:rsidRPr="001C67D3">
        <w:rPr>
          <w:sz w:val="16"/>
          <w:szCs w:val="16"/>
          <w:lang w:val="es-CR"/>
        </w:rPr>
        <w:t>párr. 49.</w:t>
      </w:r>
    </w:p>
  </w:footnote>
  <w:footnote w:id="83">
    <w:p w14:paraId="0D840171" w14:textId="368006C4" w:rsidR="0054256E" w:rsidRPr="00DE0618" w:rsidRDefault="0054256E" w:rsidP="009E550C">
      <w:pPr>
        <w:pStyle w:val="FootnoteText"/>
        <w:rPr>
          <w:szCs w:val="16"/>
          <w:lang w:val="es-CR"/>
        </w:rPr>
      </w:pPr>
      <w:r w:rsidRPr="00585059">
        <w:rPr>
          <w:rStyle w:val="FootnoteReference"/>
          <w:szCs w:val="16"/>
        </w:rPr>
        <w:footnoteRef/>
      </w:r>
      <w:r w:rsidRPr="00585059">
        <w:rPr>
          <w:szCs w:val="16"/>
        </w:rPr>
        <w:t xml:space="preserve"> </w:t>
      </w:r>
      <w:r w:rsidRPr="00585059">
        <w:rPr>
          <w:szCs w:val="16"/>
        </w:rPr>
        <w:tab/>
      </w:r>
      <w:r w:rsidRPr="003D58B9">
        <w:rPr>
          <w:i/>
          <w:szCs w:val="16"/>
        </w:rPr>
        <w:t xml:space="preserve">Cfr. </w:t>
      </w:r>
      <w:r w:rsidRPr="003D58B9">
        <w:rPr>
          <w:bCs/>
          <w:i/>
          <w:szCs w:val="16"/>
          <w:lang w:val="es-CR"/>
        </w:rPr>
        <w:t>C</w:t>
      </w:r>
      <w:r w:rsidRPr="008F1E4F">
        <w:rPr>
          <w:rStyle w:val="Strong"/>
          <w:rFonts w:eastAsia="Calibri"/>
          <w:b w:val="0"/>
          <w:i/>
          <w:color w:val="000000"/>
          <w:szCs w:val="16"/>
        </w:rPr>
        <w:t>aso Velásquez Rodríguez Vs. Honduras. Fondo.</w:t>
      </w:r>
      <w:r w:rsidRPr="00C478A6">
        <w:rPr>
          <w:rStyle w:val="Strong"/>
          <w:rFonts w:eastAsia="Calibri"/>
          <w:b w:val="0"/>
          <w:color w:val="000000"/>
          <w:szCs w:val="16"/>
        </w:rPr>
        <w:t xml:space="preserve"> Sentencia de 29 de julio de 1988. Serie C No. 4, párr. 177</w:t>
      </w:r>
      <w:r w:rsidRPr="001F751D">
        <w:rPr>
          <w:szCs w:val="16"/>
        </w:rPr>
        <w:t>, y</w:t>
      </w:r>
      <w:r w:rsidRPr="001F751D">
        <w:rPr>
          <w:i/>
          <w:szCs w:val="16"/>
        </w:rPr>
        <w:t xml:space="preserve"> </w:t>
      </w:r>
      <w:r w:rsidRPr="001F751D">
        <w:rPr>
          <w:bCs/>
          <w:i/>
          <w:szCs w:val="16"/>
        </w:rPr>
        <w:t>Caso</w:t>
      </w:r>
      <w:r w:rsidRPr="00585059">
        <w:rPr>
          <w:bCs/>
          <w:i/>
          <w:szCs w:val="16"/>
          <w:lang w:val="es-CR"/>
        </w:rPr>
        <w:t xml:space="preserve"> </w:t>
      </w:r>
      <w:r w:rsidRPr="00585059">
        <w:rPr>
          <w:bCs/>
          <w:i/>
          <w:szCs w:val="16"/>
        </w:rPr>
        <w:t>Caso Amrhein y otros vs. Costa Rica</w:t>
      </w:r>
      <w:r w:rsidRPr="003D58B9">
        <w:rPr>
          <w:bCs/>
          <w:i/>
          <w:szCs w:val="16"/>
          <w:lang w:val="es-CR"/>
        </w:rPr>
        <w:t xml:space="preserve">. Excepciones Preliminares, Fondo, Reparaciones y Costas. </w:t>
      </w:r>
      <w:r w:rsidRPr="003D58B9">
        <w:rPr>
          <w:bCs/>
          <w:szCs w:val="16"/>
          <w:lang w:val="es-CR"/>
        </w:rPr>
        <w:t xml:space="preserve">Sentencia de </w:t>
      </w:r>
      <w:r w:rsidRPr="008F1E4F">
        <w:rPr>
          <w:bCs/>
          <w:szCs w:val="16"/>
          <w:lang w:val="es-CR"/>
        </w:rPr>
        <w:t>25 de abril de 2018. Serie C N</w:t>
      </w:r>
      <w:r w:rsidRPr="00C478A6">
        <w:rPr>
          <w:bCs/>
          <w:szCs w:val="16"/>
          <w:lang w:val="es-CR"/>
        </w:rPr>
        <w:t>o. 354, párr. 461</w:t>
      </w:r>
      <w:r w:rsidRPr="003D61FF">
        <w:rPr>
          <w:rStyle w:val="Strong"/>
          <w:rFonts w:eastAsia="Calibri"/>
          <w:b w:val="0"/>
          <w:color w:val="000000"/>
          <w:szCs w:val="16"/>
        </w:rPr>
        <w:t>.</w:t>
      </w:r>
      <w:r w:rsidRPr="00DE0618">
        <w:rPr>
          <w:rStyle w:val="Strong"/>
          <w:rFonts w:eastAsia="Calibri"/>
          <w:b w:val="0"/>
          <w:color w:val="000000"/>
          <w:szCs w:val="16"/>
          <w:shd w:val="clear" w:color="auto" w:fill="FFFFFF"/>
        </w:rPr>
        <w:t xml:space="preserve"> </w:t>
      </w:r>
    </w:p>
  </w:footnote>
  <w:footnote w:id="84">
    <w:p w14:paraId="68DD1D51" w14:textId="65A73B33" w:rsidR="0054256E" w:rsidRPr="00DE0618" w:rsidRDefault="0054256E" w:rsidP="00E232AB">
      <w:pPr>
        <w:pStyle w:val="FootnoteText"/>
        <w:rPr>
          <w:szCs w:val="16"/>
          <w:lang w:val="es-CR"/>
        </w:rPr>
      </w:pPr>
      <w:r w:rsidRPr="00DE0618">
        <w:rPr>
          <w:rStyle w:val="FootnoteReference"/>
          <w:szCs w:val="16"/>
        </w:rPr>
        <w:footnoteRef/>
      </w:r>
      <w:r w:rsidRPr="00DE0618">
        <w:rPr>
          <w:szCs w:val="16"/>
        </w:rPr>
        <w:t xml:space="preserve"> </w:t>
      </w:r>
      <w:r w:rsidRPr="00DE0618">
        <w:rPr>
          <w:szCs w:val="16"/>
        </w:rPr>
        <w:tab/>
      </w:r>
      <w:r w:rsidRPr="00DE0618">
        <w:rPr>
          <w:szCs w:val="16"/>
          <w:lang w:val="es-CR"/>
        </w:rPr>
        <w:t xml:space="preserve">Aprobada mediante Decreto No. 63-2007 por el Congreso Nacional en julio de 2007.  </w:t>
      </w:r>
    </w:p>
  </w:footnote>
  <w:footnote w:id="85">
    <w:p w14:paraId="05BA8AEA" w14:textId="4AF0457B" w:rsidR="0054256E" w:rsidRPr="00DE0618" w:rsidRDefault="0054256E" w:rsidP="00E232AB">
      <w:pPr>
        <w:pStyle w:val="FootnoteText"/>
        <w:rPr>
          <w:szCs w:val="16"/>
          <w:lang w:val="es-CR"/>
        </w:rPr>
      </w:pPr>
      <w:r w:rsidRPr="00DE0618">
        <w:rPr>
          <w:rStyle w:val="FootnoteReference"/>
          <w:szCs w:val="16"/>
        </w:rPr>
        <w:footnoteRef/>
      </w:r>
      <w:r w:rsidRPr="00DE0618">
        <w:rPr>
          <w:szCs w:val="16"/>
        </w:rPr>
        <w:t xml:space="preserve"> </w:t>
      </w:r>
      <w:r w:rsidRPr="00DE0618">
        <w:rPr>
          <w:szCs w:val="16"/>
        </w:rPr>
        <w:tab/>
      </w:r>
      <w:r w:rsidRPr="00DE0618">
        <w:rPr>
          <w:szCs w:val="16"/>
          <w:lang w:val="es-CR"/>
        </w:rPr>
        <w:t>Publicado en el Diario Oficial de Hondura</w:t>
      </w:r>
      <w:r>
        <w:rPr>
          <w:szCs w:val="16"/>
          <w:lang w:val="es-CR"/>
        </w:rPr>
        <w:t>s</w:t>
      </w:r>
      <w:r w:rsidRPr="00DE0618">
        <w:rPr>
          <w:szCs w:val="16"/>
          <w:lang w:val="es-CR"/>
        </w:rPr>
        <w:t xml:space="preserve">, Gaceta No. 34.456 en fecha 30 de septiembre de 2017. </w:t>
      </w:r>
    </w:p>
  </w:footnote>
  <w:footnote w:id="86">
    <w:p w14:paraId="606FE85B" w14:textId="68905582" w:rsidR="0054256E" w:rsidRPr="00DE0618" w:rsidRDefault="0054256E" w:rsidP="00E232AB">
      <w:pPr>
        <w:pStyle w:val="FootnoteText"/>
        <w:rPr>
          <w:szCs w:val="16"/>
          <w:lang w:val="es-CR"/>
        </w:rPr>
      </w:pPr>
      <w:r w:rsidRPr="00DE0618">
        <w:rPr>
          <w:rStyle w:val="FootnoteReference"/>
          <w:szCs w:val="16"/>
        </w:rPr>
        <w:footnoteRef/>
      </w:r>
      <w:r w:rsidRPr="00DE0618">
        <w:rPr>
          <w:szCs w:val="16"/>
        </w:rPr>
        <w:t xml:space="preserve"> </w:t>
      </w:r>
      <w:r w:rsidRPr="00DE0618">
        <w:rPr>
          <w:szCs w:val="16"/>
        </w:rPr>
        <w:tab/>
        <w:t xml:space="preserve">Mediante Decreto No. 34-2015, publicado </w:t>
      </w:r>
      <w:r w:rsidRPr="00DE0618">
        <w:rPr>
          <w:szCs w:val="16"/>
          <w:lang w:val="es-CR"/>
        </w:rPr>
        <w:t>en el Diario Oficial de Hondura</w:t>
      </w:r>
      <w:r>
        <w:rPr>
          <w:szCs w:val="16"/>
          <w:lang w:val="es-CR"/>
        </w:rPr>
        <w:t>s</w:t>
      </w:r>
      <w:r w:rsidRPr="00DE0618">
        <w:rPr>
          <w:szCs w:val="16"/>
          <w:lang w:val="es-CR"/>
        </w:rPr>
        <w:t xml:space="preserve">, </w:t>
      </w:r>
      <w:r w:rsidRPr="00DE0618">
        <w:rPr>
          <w:szCs w:val="16"/>
        </w:rPr>
        <w:t>Gaceta No. 33.730, de fecha 15 de mayo de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16D0F" w14:textId="1C10D300" w:rsidR="0054256E" w:rsidRDefault="0054256E" w:rsidP="00683BD0">
    <w:pPr>
      <w:pStyle w:val="Header"/>
      <w:tabs>
        <w:tab w:val="clear" w:pos="4252"/>
        <w:tab w:val="clear" w:pos="8504"/>
        <w:tab w:val="left" w:pos="422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CBA372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757E47"/>
    <w:multiLevelType w:val="hybridMultilevel"/>
    <w:tmpl w:val="D730EB0C"/>
    <w:lvl w:ilvl="0" w:tplc="CF325398">
      <w:start w:val="1"/>
      <w:numFmt w:val="decimal"/>
      <w:pStyle w:val="Titre1"/>
      <w:lvlText w:val="%1."/>
      <w:lvlJc w:val="left"/>
      <w:pPr>
        <w:tabs>
          <w:tab w:val="num" w:pos="720"/>
        </w:tabs>
        <w:ind w:firstLine="720"/>
      </w:pPr>
      <w:rPr>
        <w:rFonts w:ascii="Verdana" w:hAnsi="Verdana"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77C654AA">
      <w:start w:val="1"/>
      <w:numFmt w:val="decimal"/>
      <w:lvlText w:val="%3."/>
      <w:lvlJc w:val="left"/>
      <w:pPr>
        <w:tabs>
          <w:tab w:val="num" w:pos="2340"/>
        </w:tabs>
        <w:ind w:left="2340" w:hanging="360"/>
      </w:pPr>
      <w:rPr>
        <w:rFonts w:hint="default"/>
        <w:b/>
        <w:i w:val="0"/>
        <w:sz w:val="22"/>
      </w:rPr>
    </w:lvl>
    <w:lvl w:ilvl="3" w:tplc="00170409">
      <w:start w:val="1"/>
      <w:numFmt w:val="lowerLetter"/>
      <w:lvlText w:val="%4)"/>
      <w:lvlJc w:val="left"/>
      <w:pPr>
        <w:tabs>
          <w:tab w:val="num" w:pos="2880"/>
        </w:tabs>
        <w:ind w:left="2880" w:hanging="360"/>
      </w:pPr>
      <w:rPr>
        <w:rFont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4B5E14"/>
    <w:multiLevelType w:val="hybridMultilevel"/>
    <w:tmpl w:val="30C2E5D6"/>
    <w:lvl w:ilvl="0" w:tplc="28CECCE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0EAA3E75"/>
    <w:multiLevelType w:val="hybridMultilevel"/>
    <w:tmpl w:val="30C2E5D6"/>
    <w:lvl w:ilvl="0" w:tplc="28CECCE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36F2E83"/>
    <w:multiLevelType w:val="hybridMultilevel"/>
    <w:tmpl w:val="30467760"/>
    <w:lvl w:ilvl="0" w:tplc="FEAE2600">
      <w:start w:val="1"/>
      <w:numFmt w:val="decimal"/>
      <w:pStyle w:val="Estilo4"/>
      <w:lvlText w:val="%1."/>
      <w:lvlJc w:val="left"/>
      <w:pPr>
        <w:ind w:left="3763" w:hanging="360"/>
      </w:pPr>
      <w:rPr>
        <w:rFonts w:hint="default"/>
        <w:sz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CB90D0B"/>
    <w:multiLevelType w:val="hybridMultilevel"/>
    <w:tmpl w:val="2C40DFBE"/>
    <w:lvl w:ilvl="0" w:tplc="0C0A0015">
      <w:start w:val="1"/>
      <w:numFmt w:val="upperLetter"/>
      <w:lvlText w:val="%1."/>
      <w:lvlJc w:val="left"/>
      <w:pPr>
        <w:ind w:left="92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5B749D"/>
    <w:multiLevelType w:val="hybridMultilevel"/>
    <w:tmpl w:val="463268F6"/>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F4767F3"/>
    <w:multiLevelType w:val="hybridMultilevel"/>
    <w:tmpl w:val="C45809BC"/>
    <w:lvl w:ilvl="0" w:tplc="EE1A0456">
      <w:start w:val="1"/>
      <w:numFmt w:val="decimal"/>
      <w:pStyle w:val="Estilo5"/>
      <w:lvlText w:val="%1."/>
      <w:lvlJc w:val="left"/>
      <w:pPr>
        <w:ind w:left="450" w:hanging="360"/>
      </w:pPr>
      <w:rPr>
        <w:rFonts w:ascii="Verdana" w:hAnsi="Verdana" w:hint="default"/>
        <w:b w:val="0"/>
        <w:i w:val="0"/>
        <w:strike w:val="0"/>
        <w:color w:val="auto"/>
        <w:sz w:val="20"/>
        <w:szCs w:val="20"/>
        <w:lang w:val="es-MX"/>
      </w:rPr>
    </w:lvl>
    <w:lvl w:ilvl="1" w:tplc="3CA86E32">
      <w:start w:val="1"/>
      <w:numFmt w:val="lowerLetter"/>
      <w:lvlText w:val="%2)"/>
      <w:lvlJc w:val="left"/>
      <w:pPr>
        <w:ind w:left="1620" w:hanging="360"/>
      </w:pPr>
      <w:rPr>
        <w:rFonts w:ascii="Verdana" w:hAnsi="Verdana" w:cs="Times New Roman" w:hint="default"/>
        <w:b w:val="0"/>
        <w:i w:val="0"/>
        <w:caps w:val="0"/>
        <w:strike w:val="0"/>
        <w:dstrike w:val="0"/>
        <w:vanish w:val="0"/>
        <w:color w:val="auto"/>
        <w:sz w:val="20"/>
        <w:vertAlign w:val="baseline"/>
      </w:rPr>
    </w:lvl>
    <w:lvl w:ilvl="2" w:tplc="3F20288C">
      <w:start w:val="1"/>
      <w:numFmt w:val="lowerRoman"/>
      <w:lvlText w:val="%3."/>
      <w:lvlJc w:val="right"/>
      <w:pPr>
        <w:ind w:left="2160" w:hanging="180"/>
      </w:pPr>
      <w:rPr>
        <w:b w:val="0"/>
      </w:rPr>
    </w:lvl>
    <w:lvl w:ilvl="3" w:tplc="140A000F">
      <w:start w:val="1"/>
      <w:numFmt w:val="decimal"/>
      <w:lvlText w:val="%4."/>
      <w:lvlJc w:val="left"/>
      <w:pPr>
        <w:ind w:left="2880" w:hanging="360"/>
      </w:pPr>
    </w:lvl>
    <w:lvl w:ilvl="4" w:tplc="606ED164">
      <w:start w:val="1"/>
      <w:numFmt w:val="lowerLetter"/>
      <w:pStyle w:val="Estilo3"/>
      <w:lvlText w:val="%5)"/>
      <w:lvlJc w:val="left"/>
      <w:pPr>
        <w:ind w:left="3600" w:hanging="360"/>
      </w:pPr>
      <w:rPr>
        <w:rFonts w:hint="default"/>
        <w:b w:val="0"/>
        <w:i w:val="0"/>
      </w:rPr>
    </w:lvl>
    <w:lvl w:ilvl="5" w:tplc="726C26BC">
      <w:start w:val="1"/>
      <w:numFmt w:val="lowerRoman"/>
      <w:pStyle w:val="Estilo8"/>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5E42991"/>
    <w:multiLevelType w:val="hybridMultilevel"/>
    <w:tmpl w:val="739A5B32"/>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6145BDF"/>
    <w:multiLevelType w:val="hybridMultilevel"/>
    <w:tmpl w:val="8886ECA2"/>
    <w:lvl w:ilvl="0" w:tplc="C41C0E5C">
      <w:start w:val="1"/>
      <w:numFmt w:val="decimal"/>
      <w:lvlText w:val="%1."/>
      <w:lvlJc w:val="left"/>
      <w:pPr>
        <w:ind w:left="0" w:firstLine="0"/>
      </w:pPr>
      <w:rPr>
        <w:rFonts w:ascii="Verdana" w:hAnsi="Verdana" w:hint="default"/>
        <w:b w:val="0"/>
        <w:i w:val="0"/>
        <w:strike w:val="0"/>
        <w:color w:val="auto"/>
        <w:sz w:val="20"/>
        <w:szCs w:val="20"/>
        <w:lang w:val="es-AR"/>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41244D4B"/>
    <w:multiLevelType w:val="hybridMultilevel"/>
    <w:tmpl w:val="739A5B32"/>
    <w:lvl w:ilvl="0" w:tplc="DA684398">
      <w:start w:val="1"/>
      <w:numFmt w:val="upperLetter"/>
      <w:lvlText w:val="%1."/>
      <w:lvlJc w:val="left"/>
      <w:pPr>
        <w:ind w:left="90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54633F"/>
    <w:multiLevelType w:val="hybridMultilevel"/>
    <w:tmpl w:val="5A0E1C5E"/>
    <w:lvl w:ilvl="0" w:tplc="28CECCE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4A793B17"/>
    <w:multiLevelType w:val="hybridMultilevel"/>
    <w:tmpl w:val="739A5B32"/>
    <w:lvl w:ilvl="0" w:tplc="DA684398">
      <w:start w:val="1"/>
      <w:numFmt w:val="upperLetter"/>
      <w:lvlText w:val="%1."/>
      <w:lvlJc w:val="left"/>
      <w:pPr>
        <w:ind w:left="90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CCD1B5F"/>
    <w:multiLevelType w:val="hybridMultilevel"/>
    <w:tmpl w:val="AD1448A0"/>
    <w:lvl w:ilvl="0" w:tplc="FFDC624A">
      <w:start w:val="1"/>
      <w:numFmt w:val="decimal"/>
      <w:lvlText w:val="%1."/>
      <w:lvlJc w:val="left"/>
      <w:pPr>
        <w:ind w:left="360" w:hanging="360"/>
      </w:pPr>
      <w:rPr>
        <w:rFonts w:ascii="Verdana" w:eastAsia="Batang" w:hAnsi="Verdana" w:cs="Times"/>
        <w:b w:val="0"/>
        <w:i w:val="0"/>
        <w:color w:val="auto"/>
        <w:sz w:val="20"/>
        <w:szCs w:val="20"/>
      </w:rPr>
    </w:lvl>
    <w:lvl w:ilvl="1" w:tplc="0C0A0019">
      <w:start w:val="1"/>
      <w:numFmt w:val="lowerLetter"/>
      <w:lvlText w:val="%2."/>
      <w:lvlJc w:val="left"/>
      <w:pPr>
        <w:ind w:left="1080" w:hanging="360"/>
      </w:pPr>
    </w:lvl>
    <w:lvl w:ilvl="2" w:tplc="487AF94A">
      <w:start w:val="1"/>
      <w:numFmt w:val="upperLetter"/>
      <w:lvlText w:val="%3."/>
      <w:lvlJc w:val="left"/>
      <w:pPr>
        <w:ind w:left="1980" w:hanging="360"/>
      </w:pPr>
      <w:rPr>
        <w:rFonts w:cs="Tahoma"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4F635E0B"/>
    <w:multiLevelType w:val="hybridMultilevel"/>
    <w:tmpl w:val="FEF22574"/>
    <w:lvl w:ilvl="0" w:tplc="503A1522">
      <w:start w:val="3"/>
      <w:numFmt w:val="upperLetter"/>
      <w:lvlText w:val="%1."/>
      <w:lvlJc w:val="left"/>
      <w:pPr>
        <w:ind w:left="2345" w:hanging="360"/>
      </w:pPr>
      <w:rPr>
        <w:rFonts w:hint="default"/>
      </w:r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15">
    <w:nsid w:val="76753A80"/>
    <w:multiLevelType w:val="hybridMultilevel"/>
    <w:tmpl w:val="E4EE0356"/>
    <w:lvl w:ilvl="0" w:tplc="16D40AFE">
      <w:start w:val="1"/>
      <w:numFmt w:val="decimal"/>
      <w:lvlText w:val="%1."/>
      <w:lvlJc w:val="left"/>
      <w:pPr>
        <w:ind w:left="0" w:firstLine="0"/>
      </w:pPr>
      <w:rPr>
        <w:rFonts w:ascii="Verdana" w:hAnsi="Verdana" w:hint="default"/>
        <w:b w:val="0"/>
        <w:i w:val="0"/>
        <w:strike w:val="0"/>
        <w:color w:val="auto"/>
        <w:sz w:val="20"/>
        <w:szCs w:val="20"/>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E4620364">
      <w:start w:val="2"/>
      <w:numFmt w:val="upperLetter"/>
      <w:lvlText w:val="%6."/>
      <w:lvlJc w:val="left"/>
      <w:pPr>
        <w:ind w:left="4358" w:hanging="360"/>
      </w:pPr>
      <w:rPr>
        <w:rFonts w:hint="default"/>
      </w:rPr>
    </w:lvl>
    <w:lvl w:ilvl="6" w:tplc="2C0A000F" w:tentative="1">
      <w:start w:val="1"/>
      <w:numFmt w:val="decimal"/>
      <w:lvlText w:val="%7."/>
      <w:lvlJc w:val="left"/>
      <w:pPr>
        <w:ind w:left="4898" w:hanging="360"/>
      </w:pPr>
    </w:lvl>
    <w:lvl w:ilvl="7" w:tplc="2C0A0019" w:tentative="1">
      <w:start w:val="1"/>
      <w:numFmt w:val="lowerLetter"/>
      <w:lvlText w:val="%8."/>
      <w:lvlJc w:val="left"/>
      <w:pPr>
        <w:ind w:left="5618" w:hanging="360"/>
      </w:pPr>
    </w:lvl>
    <w:lvl w:ilvl="8" w:tplc="2C0A001B" w:tentative="1">
      <w:start w:val="1"/>
      <w:numFmt w:val="lowerRoman"/>
      <w:lvlText w:val="%9."/>
      <w:lvlJc w:val="right"/>
      <w:pPr>
        <w:ind w:left="6338" w:hanging="180"/>
      </w:pPr>
    </w:lvl>
  </w:abstractNum>
  <w:abstractNum w:abstractNumId="16">
    <w:nsid w:val="7CE64D32"/>
    <w:multiLevelType w:val="hybridMultilevel"/>
    <w:tmpl w:val="E9AAC004"/>
    <w:lvl w:ilvl="0" w:tplc="84C60B70">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ES_tradnl"/>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Heading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num w:numId="1">
    <w:abstractNumId w:val="15"/>
  </w:num>
  <w:num w:numId="2">
    <w:abstractNumId w:val="13"/>
  </w:num>
  <w:num w:numId="3">
    <w:abstractNumId w:val="16"/>
  </w:num>
  <w:num w:numId="4">
    <w:abstractNumId w:val="0"/>
  </w:num>
  <w:num w:numId="5">
    <w:abstractNumId w:val="1"/>
  </w:num>
  <w:num w:numId="6">
    <w:abstractNumId w:val="12"/>
  </w:num>
  <w:num w:numId="7">
    <w:abstractNumId w:val="8"/>
  </w:num>
  <w:num w:numId="8">
    <w:abstractNumId w:val="4"/>
  </w:num>
  <w:num w:numId="9">
    <w:abstractNumId w:val="7"/>
  </w:num>
  <w:num w:numId="10">
    <w:abstractNumId w:val="6"/>
  </w:num>
  <w:num w:numId="11">
    <w:abstractNumId w:val="11"/>
  </w:num>
  <w:num w:numId="12">
    <w:abstractNumId w:val="3"/>
  </w:num>
  <w:num w:numId="13">
    <w:abstractNumId w:val="2"/>
  </w:num>
  <w:num w:numId="14">
    <w:abstractNumId w:val="5"/>
  </w:num>
  <w:num w:numId="15">
    <w:abstractNumId w:val="14"/>
  </w:num>
  <w:num w:numId="16">
    <w:abstractNumId w:val="10"/>
  </w:num>
  <w:num w:numId="17">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3BF"/>
    <w:rsid w:val="00000CA3"/>
    <w:rsid w:val="00000FC7"/>
    <w:rsid w:val="00001C23"/>
    <w:rsid w:val="00002549"/>
    <w:rsid w:val="00002B7F"/>
    <w:rsid w:val="00003067"/>
    <w:rsid w:val="00003416"/>
    <w:rsid w:val="000036E1"/>
    <w:rsid w:val="00005558"/>
    <w:rsid w:val="000055D9"/>
    <w:rsid w:val="00005BD2"/>
    <w:rsid w:val="00005F1C"/>
    <w:rsid w:val="00005F32"/>
    <w:rsid w:val="0000613A"/>
    <w:rsid w:val="000065F7"/>
    <w:rsid w:val="00006D17"/>
    <w:rsid w:val="00007008"/>
    <w:rsid w:val="00007A09"/>
    <w:rsid w:val="00010070"/>
    <w:rsid w:val="00011691"/>
    <w:rsid w:val="00012A01"/>
    <w:rsid w:val="000130DD"/>
    <w:rsid w:val="000144DF"/>
    <w:rsid w:val="000145D8"/>
    <w:rsid w:val="00016503"/>
    <w:rsid w:val="00016F3D"/>
    <w:rsid w:val="00016FAB"/>
    <w:rsid w:val="0002012E"/>
    <w:rsid w:val="00020840"/>
    <w:rsid w:val="00020990"/>
    <w:rsid w:val="00022F63"/>
    <w:rsid w:val="000230DC"/>
    <w:rsid w:val="00025428"/>
    <w:rsid w:val="00025534"/>
    <w:rsid w:val="00025AA4"/>
    <w:rsid w:val="00025AE0"/>
    <w:rsid w:val="00025DBA"/>
    <w:rsid w:val="00030121"/>
    <w:rsid w:val="00032A66"/>
    <w:rsid w:val="00032CDA"/>
    <w:rsid w:val="00032E12"/>
    <w:rsid w:val="00032F33"/>
    <w:rsid w:val="0003407D"/>
    <w:rsid w:val="00034284"/>
    <w:rsid w:val="00036161"/>
    <w:rsid w:val="00037198"/>
    <w:rsid w:val="0003773F"/>
    <w:rsid w:val="00037863"/>
    <w:rsid w:val="0003786A"/>
    <w:rsid w:val="00041228"/>
    <w:rsid w:val="0004135A"/>
    <w:rsid w:val="000432AA"/>
    <w:rsid w:val="0004332F"/>
    <w:rsid w:val="000435B3"/>
    <w:rsid w:val="00043C2C"/>
    <w:rsid w:val="00044145"/>
    <w:rsid w:val="000443F8"/>
    <w:rsid w:val="000448C0"/>
    <w:rsid w:val="00044C3D"/>
    <w:rsid w:val="0004584E"/>
    <w:rsid w:val="000461EC"/>
    <w:rsid w:val="00046C7E"/>
    <w:rsid w:val="00046D86"/>
    <w:rsid w:val="00047DDC"/>
    <w:rsid w:val="00050F96"/>
    <w:rsid w:val="00051875"/>
    <w:rsid w:val="00052C1D"/>
    <w:rsid w:val="00054110"/>
    <w:rsid w:val="00054512"/>
    <w:rsid w:val="00055116"/>
    <w:rsid w:val="000557DA"/>
    <w:rsid w:val="000559E2"/>
    <w:rsid w:val="00055FC4"/>
    <w:rsid w:val="00056676"/>
    <w:rsid w:val="00056E7A"/>
    <w:rsid w:val="00057525"/>
    <w:rsid w:val="00060513"/>
    <w:rsid w:val="00060529"/>
    <w:rsid w:val="00060B46"/>
    <w:rsid w:val="00062B79"/>
    <w:rsid w:val="00062D6C"/>
    <w:rsid w:val="000641BF"/>
    <w:rsid w:val="000646E2"/>
    <w:rsid w:val="00066141"/>
    <w:rsid w:val="000669AD"/>
    <w:rsid w:val="00066D30"/>
    <w:rsid w:val="0007026E"/>
    <w:rsid w:val="00070437"/>
    <w:rsid w:val="00070CFE"/>
    <w:rsid w:val="00071170"/>
    <w:rsid w:val="00072094"/>
    <w:rsid w:val="00073120"/>
    <w:rsid w:val="000743F8"/>
    <w:rsid w:val="0007465C"/>
    <w:rsid w:val="000746F6"/>
    <w:rsid w:val="00074B8B"/>
    <w:rsid w:val="00075271"/>
    <w:rsid w:val="00076548"/>
    <w:rsid w:val="00076D99"/>
    <w:rsid w:val="00077B36"/>
    <w:rsid w:val="00080251"/>
    <w:rsid w:val="00080721"/>
    <w:rsid w:val="000822C6"/>
    <w:rsid w:val="000826BF"/>
    <w:rsid w:val="00083732"/>
    <w:rsid w:val="00083F3D"/>
    <w:rsid w:val="00084823"/>
    <w:rsid w:val="000852DC"/>
    <w:rsid w:val="00085881"/>
    <w:rsid w:val="00085E71"/>
    <w:rsid w:val="0008652E"/>
    <w:rsid w:val="00086C97"/>
    <w:rsid w:val="00086CBA"/>
    <w:rsid w:val="0008781B"/>
    <w:rsid w:val="000900E2"/>
    <w:rsid w:val="00090742"/>
    <w:rsid w:val="000914DC"/>
    <w:rsid w:val="00092439"/>
    <w:rsid w:val="00092CDC"/>
    <w:rsid w:val="00093538"/>
    <w:rsid w:val="00095798"/>
    <w:rsid w:val="0009633C"/>
    <w:rsid w:val="000977D6"/>
    <w:rsid w:val="000A0339"/>
    <w:rsid w:val="000A05C5"/>
    <w:rsid w:val="000A05CF"/>
    <w:rsid w:val="000A144D"/>
    <w:rsid w:val="000A1ACF"/>
    <w:rsid w:val="000A2076"/>
    <w:rsid w:val="000A452B"/>
    <w:rsid w:val="000A467C"/>
    <w:rsid w:val="000A5171"/>
    <w:rsid w:val="000A5A9C"/>
    <w:rsid w:val="000A65F1"/>
    <w:rsid w:val="000A6C27"/>
    <w:rsid w:val="000A75AE"/>
    <w:rsid w:val="000A7F2C"/>
    <w:rsid w:val="000B232E"/>
    <w:rsid w:val="000B250F"/>
    <w:rsid w:val="000B3E3D"/>
    <w:rsid w:val="000B40A1"/>
    <w:rsid w:val="000B45D3"/>
    <w:rsid w:val="000B4908"/>
    <w:rsid w:val="000B5E84"/>
    <w:rsid w:val="000B5FEF"/>
    <w:rsid w:val="000B6390"/>
    <w:rsid w:val="000B6B89"/>
    <w:rsid w:val="000C0227"/>
    <w:rsid w:val="000C033A"/>
    <w:rsid w:val="000C077B"/>
    <w:rsid w:val="000C139B"/>
    <w:rsid w:val="000C140A"/>
    <w:rsid w:val="000C2B12"/>
    <w:rsid w:val="000C2C04"/>
    <w:rsid w:val="000C2C61"/>
    <w:rsid w:val="000C300B"/>
    <w:rsid w:val="000C423D"/>
    <w:rsid w:val="000C5DF6"/>
    <w:rsid w:val="000C705E"/>
    <w:rsid w:val="000C706D"/>
    <w:rsid w:val="000C746D"/>
    <w:rsid w:val="000C77A3"/>
    <w:rsid w:val="000D0410"/>
    <w:rsid w:val="000D0C64"/>
    <w:rsid w:val="000D10AF"/>
    <w:rsid w:val="000D17B0"/>
    <w:rsid w:val="000D2082"/>
    <w:rsid w:val="000D269A"/>
    <w:rsid w:val="000D26DE"/>
    <w:rsid w:val="000D32A0"/>
    <w:rsid w:val="000D4699"/>
    <w:rsid w:val="000D54A6"/>
    <w:rsid w:val="000D567E"/>
    <w:rsid w:val="000D6358"/>
    <w:rsid w:val="000D7098"/>
    <w:rsid w:val="000D7253"/>
    <w:rsid w:val="000D7440"/>
    <w:rsid w:val="000D7AE0"/>
    <w:rsid w:val="000E074A"/>
    <w:rsid w:val="000E0A10"/>
    <w:rsid w:val="000E1306"/>
    <w:rsid w:val="000E168E"/>
    <w:rsid w:val="000E241B"/>
    <w:rsid w:val="000E2C86"/>
    <w:rsid w:val="000E2E3D"/>
    <w:rsid w:val="000E3F85"/>
    <w:rsid w:val="000E4BE3"/>
    <w:rsid w:val="000E4F28"/>
    <w:rsid w:val="000E6359"/>
    <w:rsid w:val="000E6FE1"/>
    <w:rsid w:val="000E777B"/>
    <w:rsid w:val="000E7C11"/>
    <w:rsid w:val="000E7DBD"/>
    <w:rsid w:val="000F0617"/>
    <w:rsid w:val="000F0C6E"/>
    <w:rsid w:val="000F0E6A"/>
    <w:rsid w:val="000F148C"/>
    <w:rsid w:val="000F16AA"/>
    <w:rsid w:val="000F1B02"/>
    <w:rsid w:val="000F255C"/>
    <w:rsid w:val="000F288B"/>
    <w:rsid w:val="000F2A6F"/>
    <w:rsid w:val="000F3365"/>
    <w:rsid w:val="000F3909"/>
    <w:rsid w:val="000F3ADF"/>
    <w:rsid w:val="000F3E4A"/>
    <w:rsid w:val="000F4A30"/>
    <w:rsid w:val="000F4BE4"/>
    <w:rsid w:val="000F4F5F"/>
    <w:rsid w:val="000F5036"/>
    <w:rsid w:val="000F50CA"/>
    <w:rsid w:val="000F57E5"/>
    <w:rsid w:val="000F5CC6"/>
    <w:rsid w:val="000F79C5"/>
    <w:rsid w:val="000F7F8E"/>
    <w:rsid w:val="00100947"/>
    <w:rsid w:val="00100F11"/>
    <w:rsid w:val="00101134"/>
    <w:rsid w:val="001019D6"/>
    <w:rsid w:val="00101BA8"/>
    <w:rsid w:val="00101CA3"/>
    <w:rsid w:val="001021EC"/>
    <w:rsid w:val="00102673"/>
    <w:rsid w:val="00102BA2"/>
    <w:rsid w:val="00103288"/>
    <w:rsid w:val="001032C0"/>
    <w:rsid w:val="001038C4"/>
    <w:rsid w:val="00103EF5"/>
    <w:rsid w:val="001040F9"/>
    <w:rsid w:val="001041A4"/>
    <w:rsid w:val="001049A6"/>
    <w:rsid w:val="00106AB8"/>
    <w:rsid w:val="001077FA"/>
    <w:rsid w:val="001103E1"/>
    <w:rsid w:val="00110444"/>
    <w:rsid w:val="001106A2"/>
    <w:rsid w:val="00111327"/>
    <w:rsid w:val="001122B8"/>
    <w:rsid w:val="00112BE9"/>
    <w:rsid w:val="00113EE5"/>
    <w:rsid w:val="001144ED"/>
    <w:rsid w:val="00114C59"/>
    <w:rsid w:val="001160D7"/>
    <w:rsid w:val="00116BC1"/>
    <w:rsid w:val="00117636"/>
    <w:rsid w:val="001178E1"/>
    <w:rsid w:val="00117B53"/>
    <w:rsid w:val="00117E20"/>
    <w:rsid w:val="00117EAB"/>
    <w:rsid w:val="00121526"/>
    <w:rsid w:val="001217F5"/>
    <w:rsid w:val="00121AA8"/>
    <w:rsid w:val="00121CD7"/>
    <w:rsid w:val="00121D4A"/>
    <w:rsid w:val="00122B1A"/>
    <w:rsid w:val="00123D88"/>
    <w:rsid w:val="001243EC"/>
    <w:rsid w:val="0012486F"/>
    <w:rsid w:val="001261FC"/>
    <w:rsid w:val="001264AE"/>
    <w:rsid w:val="00126676"/>
    <w:rsid w:val="00127BAC"/>
    <w:rsid w:val="00127FD6"/>
    <w:rsid w:val="001303B4"/>
    <w:rsid w:val="001305F6"/>
    <w:rsid w:val="001315F8"/>
    <w:rsid w:val="001318BE"/>
    <w:rsid w:val="0013395D"/>
    <w:rsid w:val="00133E80"/>
    <w:rsid w:val="001340F4"/>
    <w:rsid w:val="0013545F"/>
    <w:rsid w:val="0013585D"/>
    <w:rsid w:val="00135DEC"/>
    <w:rsid w:val="00136196"/>
    <w:rsid w:val="0013655E"/>
    <w:rsid w:val="00136662"/>
    <w:rsid w:val="00137554"/>
    <w:rsid w:val="00137802"/>
    <w:rsid w:val="00137EC8"/>
    <w:rsid w:val="00142C72"/>
    <w:rsid w:val="001439C4"/>
    <w:rsid w:val="00143FD8"/>
    <w:rsid w:val="00145134"/>
    <w:rsid w:val="00145571"/>
    <w:rsid w:val="0014567B"/>
    <w:rsid w:val="00145EFE"/>
    <w:rsid w:val="00146E35"/>
    <w:rsid w:val="001503A1"/>
    <w:rsid w:val="00151597"/>
    <w:rsid w:val="001516E8"/>
    <w:rsid w:val="00152E5A"/>
    <w:rsid w:val="00153153"/>
    <w:rsid w:val="0015348B"/>
    <w:rsid w:val="00153944"/>
    <w:rsid w:val="00153980"/>
    <w:rsid w:val="00153A92"/>
    <w:rsid w:val="00153ED2"/>
    <w:rsid w:val="001545E6"/>
    <w:rsid w:val="00155888"/>
    <w:rsid w:val="00155C71"/>
    <w:rsid w:val="00157A1D"/>
    <w:rsid w:val="00157E64"/>
    <w:rsid w:val="00160563"/>
    <w:rsid w:val="00160575"/>
    <w:rsid w:val="0016141E"/>
    <w:rsid w:val="001635F3"/>
    <w:rsid w:val="00163F0E"/>
    <w:rsid w:val="00164580"/>
    <w:rsid w:val="0016495E"/>
    <w:rsid w:val="00165717"/>
    <w:rsid w:val="00165871"/>
    <w:rsid w:val="00165D30"/>
    <w:rsid w:val="00166035"/>
    <w:rsid w:val="00166621"/>
    <w:rsid w:val="0016669F"/>
    <w:rsid w:val="00166B52"/>
    <w:rsid w:val="00166BB2"/>
    <w:rsid w:val="001678F9"/>
    <w:rsid w:val="001701AD"/>
    <w:rsid w:val="001702CA"/>
    <w:rsid w:val="00170947"/>
    <w:rsid w:val="00171D28"/>
    <w:rsid w:val="00171E22"/>
    <w:rsid w:val="00174406"/>
    <w:rsid w:val="001748BB"/>
    <w:rsid w:val="00174F15"/>
    <w:rsid w:val="001756CA"/>
    <w:rsid w:val="0017582F"/>
    <w:rsid w:val="00175FE7"/>
    <w:rsid w:val="00177421"/>
    <w:rsid w:val="00180119"/>
    <w:rsid w:val="001819E9"/>
    <w:rsid w:val="001838FD"/>
    <w:rsid w:val="00183B0C"/>
    <w:rsid w:val="00183C5E"/>
    <w:rsid w:val="00184997"/>
    <w:rsid w:val="00185287"/>
    <w:rsid w:val="00185538"/>
    <w:rsid w:val="00185C92"/>
    <w:rsid w:val="001867CB"/>
    <w:rsid w:val="001868F9"/>
    <w:rsid w:val="00187704"/>
    <w:rsid w:val="001908EF"/>
    <w:rsid w:val="00190E96"/>
    <w:rsid w:val="00192165"/>
    <w:rsid w:val="001929E8"/>
    <w:rsid w:val="00192BEC"/>
    <w:rsid w:val="00192CA4"/>
    <w:rsid w:val="00192EF8"/>
    <w:rsid w:val="001934AA"/>
    <w:rsid w:val="001943AC"/>
    <w:rsid w:val="001943BB"/>
    <w:rsid w:val="00195A15"/>
    <w:rsid w:val="001A0578"/>
    <w:rsid w:val="001A0BA7"/>
    <w:rsid w:val="001A11C1"/>
    <w:rsid w:val="001A11DF"/>
    <w:rsid w:val="001A17DB"/>
    <w:rsid w:val="001A1E2E"/>
    <w:rsid w:val="001A29FA"/>
    <w:rsid w:val="001A3790"/>
    <w:rsid w:val="001A3D2C"/>
    <w:rsid w:val="001A5AF5"/>
    <w:rsid w:val="001A6156"/>
    <w:rsid w:val="001A674B"/>
    <w:rsid w:val="001A7822"/>
    <w:rsid w:val="001A7B39"/>
    <w:rsid w:val="001B03C9"/>
    <w:rsid w:val="001B099F"/>
    <w:rsid w:val="001B0B0A"/>
    <w:rsid w:val="001B1A45"/>
    <w:rsid w:val="001B1BA7"/>
    <w:rsid w:val="001B2CEA"/>
    <w:rsid w:val="001B41D9"/>
    <w:rsid w:val="001B447D"/>
    <w:rsid w:val="001B45CE"/>
    <w:rsid w:val="001B555D"/>
    <w:rsid w:val="001B5D04"/>
    <w:rsid w:val="001B620A"/>
    <w:rsid w:val="001B7118"/>
    <w:rsid w:val="001B767D"/>
    <w:rsid w:val="001C124C"/>
    <w:rsid w:val="001C202B"/>
    <w:rsid w:val="001C22E9"/>
    <w:rsid w:val="001C2615"/>
    <w:rsid w:val="001C277E"/>
    <w:rsid w:val="001C27DE"/>
    <w:rsid w:val="001C430B"/>
    <w:rsid w:val="001C4CB6"/>
    <w:rsid w:val="001C5C2C"/>
    <w:rsid w:val="001C60B8"/>
    <w:rsid w:val="001C6434"/>
    <w:rsid w:val="001C672D"/>
    <w:rsid w:val="001C67D3"/>
    <w:rsid w:val="001C6819"/>
    <w:rsid w:val="001C75AC"/>
    <w:rsid w:val="001D0028"/>
    <w:rsid w:val="001D040B"/>
    <w:rsid w:val="001D08E2"/>
    <w:rsid w:val="001D1175"/>
    <w:rsid w:val="001D1CB3"/>
    <w:rsid w:val="001D1E53"/>
    <w:rsid w:val="001D1ED2"/>
    <w:rsid w:val="001D20F2"/>
    <w:rsid w:val="001D26EA"/>
    <w:rsid w:val="001D38CD"/>
    <w:rsid w:val="001D3C55"/>
    <w:rsid w:val="001D44C6"/>
    <w:rsid w:val="001D48D6"/>
    <w:rsid w:val="001D5608"/>
    <w:rsid w:val="001D5743"/>
    <w:rsid w:val="001D5B20"/>
    <w:rsid w:val="001D5F19"/>
    <w:rsid w:val="001D7215"/>
    <w:rsid w:val="001D76AC"/>
    <w:rsid w:val="001E1B63"/>
    <w:rsid w:val="001E1CE0"/>
    <w:rsid w:val="001E23EB"/>
    <w:rsid w:val="001E242E"/>
    <w:rsid w:val="001E2638"/>
    <w:rsid w:val="001E2B43"/>
    <w:rsid w:val="001E2E1E"/>
    <w:rsid w:val="001E604D"/>
    <w:rsid w:val="001E61E2"/>
    <w:rsid w:val="001E6462"/>
    <w:rsid w:val="001E70AE"/>
    <w:rsid w:val="001E75E6"/>
    <w:rsid w:val="001E7A2C"/>
    <w:rsid w:val="001F00B4"/>
    <w:rsid w:val="001F03EE"/>
    <w:rsid w:val="001F2F8B"/>
    <w:rsid w:val="001F3F38"/>
    <w:rsid w:val="001F41E5"/>
    <w:rsid w:val="001F563E"/>
    <w:rsid w:val="001F5FD3"/>
    <w:rsid w:val="001F68EB"/>
    <w:rsid w:val="001F751D"/>
    <w:rsid w:val="00200F33"/>
    <w:rsid w:val="0020112A"/>
    <w:rsid w:val="00201533"/>
    <w:rsid w:val="00201786"/>
    <w:rsid w:val="00201BBD"/>
    <w:rsid w:val="00201FA5"/>
    <w:rsid w:val="002029A0"/>
    <w:rsid w:val="00202C52"/>
    <w:rsid w:val="00202D88"/>
    <w:rsid w:val="002032F8"/>
    <w:rsid w:val="002040C8"/>
    <w:rsid w:val="00205318"/>
    <w:rsid w:val="002056D8"/>
    <w:rsid w:val="00205B2A"/>
    <w:rsid w:val="00206883"/>
    <w:rsid w:val="00206B83"/>
    <w:rsid w:val="00206CEA"/>
    <w:rsid w:val="00206D5D"/>
    <w:rsid w:val="00206EDC"/>
    <w:rsid w:val="002070C8"/>
    <w:rsid w:val="002124CA"/>
    <w:rsid w:val="00212AAF"/>
    <w:rsid w:val="00212B78"/>
    <w:rsid w:val="00213183"/>
    <w:rsid w:val="002134FA"/>
    <w:rsid w:val="00213BB1"/>
    <w:rsid w:val="002150B4"/>
    <w:rsid w:val="0021535D"/>
    <w:rsid w:val="00215942"/>
    <w:rsid w:val="00215A18"/>
    <w:rsid w:val="002169B4"/>
    <w:rsid w:val="00216D3C"/>
    <w:rsid w:val="0021716C"/>
    <w:rsid w:val="002171D3"/>
    <w:rsid w:val="0021731F"/>
    <w:rsid w:val="0021773A"/>
    <w:rsid w:val="002179C2"/>
    <w:rsid w:val="002203AE"/>
    <w:rsid w:val="00221395"/>
    <w:rsid w:val="00222B2F"/>
    <w:rsid w:val="00222C0C"/>
    <w:rsid w:val="002231B3"/>
    <w:rsid w:val="0022444E"/>
    <w:rsid w:val="002245EB"/>
    <w:rsid w:val="00224EB8"/>
    <w:rsid w:val="002252EC"/>
    <w:rsid w:val="002266A9"/>
    <w:rsid w:val="00226D1C"/>
    <w:rsid w:val="002275C9"/>
    <w:rsid w:val="00227D6B"/>
    <w:rsid w:val="00230506"/>
    <w:rsid w:val="00230ACB"/>
    <w:rsid w:val="00230E08"/>
    <w:rsid w:val="0023107E"/>
    <w:rsid w:val="00231C92"/>
    <w:rsid w:val="00232172"/>
    <w:rsid w:val="00232F75"/>
    <w:rsid w:val="002334E2"/>
    <w:rsid w:val="00233800"/>
    <w:rsid w:val="002349D4"/>
    <w:rsid w:val="0023542A"/>
    <w:rsid w:val="00236D16"/>
    <w:rsid w:val="00236EED"/>
    <w:rsid w:val="00240236"/>
    <w:rsid w:val="002416C7"/>
    <w:rsid w:val="002418B2"/>
    <w:rsid w:val="0024276D"/>
    <w:rsid w:val="00242C7C"/>
    <w:rsid w:val="00242E2A"/>
    <w:rsid w:val="0024300B"/>
    <w:rsid w:val="00243764"/>
    <w:rsid w:val="00244E3C"/>
    <w:rsid w:val="00245ADE"/>
    <w:rsid w:val="00246123"/>
    <w:rsid w:val="00246DFA"/>
    <w:rsid w:val="002475C6"/>
    <w:rsid w:val="002478D5"/>
    <w:rsid w:val="00247B8C"/>
    <w:rsid w:val="002504C3"/>
    <w:rsid w:val="00250639"/>
    <w:rsid w:val="0025076D"/>
    <w:rsid w:val="0025121B"/>
    <w:rsid w:val="0025379B"/>
    <w:rsid w:val="00253FA0"/>
    <w:rsid w:val="0025481A"/>
    <w:rsid w:val="00254D5B"/>
    <w:rsid w:val="00255612"/>
    <w:rsid w:val="00255683"/>
    <w:rsid w:val="0025585C"/>
    <w:rsid w:val="0025585D"/>
    <w:rsid w:val="00256A6E"/>
    <w:rsid w:val="00257AC8"/>
    <w:rsid w:val="00260A2E"/>
    <w:rsid w:val="002618FF"/>
    <w:rsid w:val="00261B6F"/>
    <w:rsid w:val="002621CE"/>
    <w:rsid w:val="00262575"/>
    <w:rsid w:val="002628D7"/>
    <w:rsid w:val="00262A14"/>
    <w:rsid w:val="00263120"/>
    <w:rsid w:val="00263CBD"/>
    <w:rsid w:val="00263F0A"/>
    <w:rsid w:val="00264BE7"/>
    <w:rsid w:val="00264ED1"/>
    <w:rsid w:val="00266053"/>
    <w:rsid w:val="00266E7E"/>
    <w:rsid w:val="00266F4B"/>
    <w:rsid w:val="002711BC"/>
    <w:rsid w:val="00272654"/>
    <w:rsid w:val="00272903"/>
    <w:rsid w:val="00272FA4"/>
    <w:rsid w:val="00273207"/>
    <w:rsid w:val="002734EE"/>
    <w:rsid w:val="00273B1E"/>
    <w:rsid w:val="00274956"/>
    <w:rsid w:val="00276025"/>
    <w:rsid w:val="0027796A"/>
    <w:rsid w:val="00280232"/>
    <w:rsid w:val="00280268"/>
    <w:rsid w:val="0028060E"/>
    <w:rsid w:val="0028412C"/>
    <w:rsid w:val="0028686F"/>
    <w:rsid w:val="00286DC5"/>
    <w:rsid w:val="00287B55"/>
    <w:rsid w:val="00290157"/>
    <w:rsid w:val="002902BF"/>
    <w:rsid w:val="002903EB"/>
    <w:rsid w:val="0029096B"/>
    <w:rsid w:val="00290B08"/>
    <w:rsid w:val="00291205"/>
    <w:rsid w:val="0029127A"/>
    <w:rsid w:val="00291826"/>
    <w:rsid w:val="00291872"/>
    <w:rsid w:val="00291961"/>
    <w:rsid w:val="00291A2D"/>
    <w:rsid w:val="00291ADC"/>
    <w:rsid w:val="0029312B"/>
    <w:rsid w:val="0029366E"/>
    <w:rsid w:val="002946E0"/>
    <w:rsid w:val="00295827"/>
    <w:rsid w:val="002A01F0"/>
    <w:rsid w:val="002A0236"/>
    <w:rsid w:val="002A0F10"/>
    <w:rsid w:val="002A1DCA"/>
    <w:rsid w:val="002A1F21"/>
    <w:rsid w:val="002A2142"/>
    <w:rsid w:val="002A26D9"/>
    <w:rsid w:val="002A3914"/>
    <w:rsid w:val="002A3A9C"/>
    <w:rsid w:val="002A3CD2"/>
    <w:rsid w:val="002A43A1"/>
    <w:rsid w:val="002A4BA6"/>
    <w:rsid w:val="002A4F01"/>
    <w:rsid w:val="002A509F"/>
    <w:rsid w:val="002A52B6"/>
    <w:rsid w:val="002A5C82"/>
    <w:rsid w:val="002A72E4"/>
    <w:rsid w:val="002A73E7"/>
    <w:rsid w:val="002B0DF3"/>
    <w:rsid w:val="002B18B8"/>
    <w:rsid w:val="002B191D"/>
    <w:rsid w:val="002B1B0A"/>
    <w:rsid w:val="002B2C66"/>
    <w:rsid w:val="002B344C"/>
    <w:rsid w:val="002B3C63"/>
    <w:rsid w:val="002B3FE9"/>
    <w:rsid w:val="002B4346"/>
    <w:rsid w:val="002B4401"/>
    <w:rsid w:val="002B4BAC"/>
    <w:rsid w:val="002B4BF8"/>
    <w:rsid w:val="002B6153"/>
    <w:rsid w:val="002B76E6"/>
    <w:rsid w:val="002C04BB"/>
    <w:rsid w:val="002C0547"/>
    <w:rsid w:val="002C0741"/>
    <w:rsid w:val="002C359F"/>
    <w:rsid w:val="002C475B"/>
    <w:rsid w:val="002C5314"/>
    <w:rsid w:val="002C6822"/>
    <w:rsid w:val="002C72A7"/>
    <w:rsid w:val="002C7420"/>
    <w:rsid w:val="002D0341"/>
    <w:rsid w:val="002D0C3F"/>
    <w:rsid w:val="002D1733"/>
    <w:rsid w:val="002D20DB"/>
    <w:rsid w:val="002D28D5"/>
    <w:rsid w:val="002D2C05"/>
    <w:rsid w:val="002D2E34"/>
    <w:rsid w:val="002D2FFD"/>
    <w:rsid w:val="002D321E"/>
    <w:rsid w:val="002D49B8"/>
    <w:rsid w:val="002D49C8"/>
    <w:rsid w:val="002D5450"/>
    <w:rsid w:val="002D66B7"/>
    <w:rsid w:val="002D6E2F"/>
    <w:rsid w:val="002E04C6"/>
    <w:rsid w:val="002E135D"/>
    <w:rsid w:val="002E17B2"/>
    <w:rsid w:val="002E17F3"/>
    <w:rsid w:val="002E256A"/>
    <w:rsid w:val="002E3371"/>
    <w:rsid w:val="002E3659"/>
    <w:rsid w:val="002E3827"/>
    <w:rsid w:val="002E3869"/>
    <w:rsid w:val="002E41E9"/>
    <w:rsid w:val="002E748A"/>
    <w:rsid w:val="002E767B"/>
    <w:rsid w:val="002F07C5"/>
    <w:rsid w:val="002F1391"/>
    <w:rsid w:val="002F181D"/>
    <w:rsid w:val="002F2A9F"/>
    <w:rsid w:val="002F3D37"/>
    <w:rsid w:val="002F4088"/>
    <w:rsid w:val="002F508D"/>
    <w:rsid w:val="002F54A6"/>
    <w:rsid w:val="002F694B"/>
    <w:rsid w:val="002F6CC1"/>
    <w:rsid w:val="002F6EE9"/>
    <w:rsid w:val="002F6F21"/>
    <w:rsid w:val="002F7463"/>
    <w:rsid w:val="00301DB2"/>
    <w:rsid w:val="0030406A"/>
    <w:rsid w:val="00304180"/>
    <w:rsid w:val="00304F7D"/>
    <w:rsid w:val="003051F9"/>
    <w:rsid w:val="00305505"/>
    <w:rsid w:val="0030577A"/>
    <w:rsid w:val="00305DE9"/>
    <w:rsid w:val="00307251"/>
    <w:rsid w:val="00307675"/>
    <w:rsid w:val="00307A02"/>
    <w:rsid w:val="00307BEF"/>
    <w:rsid w:val="003101F5"/>
    <w:rsid w:val="003108E6"/>
    <w:rsid w:val="003116B9"/>
    <w:rsid w:val="00312B61"/>
    <w:rsid w:val="00313370"/>
    <w:rsid w:val="00313E44"/>
    <w:rsid w:val="00314455"/>
    <w:rsid w:val="00315D70"/>
    <w:rsid w:val="00315E3F"/>
    <w:rsid w:val="00316125"/>
    <w:rsid w:val="0031685B"/>
    <w:rsid w:val="00316FB6"/>
    <w:rsid w:val="003173BF"/>
    <w:rsid w:val="00320316"/>
    <w:rsid w:val="00320F4A"/>
    <w:rsid w:val="00322E57"/>
    <w:rsid w:val="00322E93"/>
    <w:rsid w:val="00323AB5"/>
    <w:rsid w:val="00324559"/>
    <w:rsid w:val="00325063"/>
    <w:rsid w:val="003264FD"/>
    <w:rsid w:val="00326C2F"/>
    <w:rsid w:val="003278DF"/>
    <w:rsid w:val="00330544"/>
    <w:rsid w:val="00330EE6"/>
    <w:rsid w:val="00331012"/>
    <w:rsid w:val="003312C0"/>
    <w:rsid w:val="00331DF1"/>
    <w:rsid w:val="00333E60"/>
    <w:rsid w:val="00333F8E"/>
    <w:rsid w:val="003344BA"/>
    <w:rsid w:val="00334CFD"/>
    <w:rsid w:val="00336067"/>
    <w:rsid w:val="00336E0E"/>
    <w:rsid w:val="003370AF"/>
    <w:rsid w:val="00337954"/>
    <w:rsid w:val="00340740"/>
    <w:rsid w:val="00340B95"/>
    <w:rsid w:val="003415F6"/>
    <w:rsid w:val="00341E3F"/>
    <w:rsid w:val="003427BB"/>
    <w:rsid w:val="00342C65"/>
    <w:rsid w:val="003435DB"/>
    <w:rsid w:val="00344312"/>
    <w:rsid w:val="00344B03"/>
    <w:rsid w:val="00344D60"/>
    <w:rsid w:val="00345132"/>
    <w:rsid w:val="0034523E"/>
    <w:rsid w:val="00345625"/>
    <w:rsid w:val="00345B0F"/>
    <w:rsid w:val="00346396"/>
    <w:rsid w:val="00347350"/>
    <w:rsid w:val="00350350"/>
    <w:rsid w:val="00350625"/>
    <w:rsid w:val="0035066F"/>
    <w:rsid w:val="003508E4"/>
    <w:rsid w:val="00350D1A"/>
    <w:rsid w:val="00351911"/>
    <w:rsid w:val="00351BDB"/>
    <w:rsid w:val="00351CA6"/>
    <w:rsid w:val="00351FB4"/>
    <w:rsid w:val="0035242D"/>
    <w:rsid w:val="00352908"/>
    <w:rsid w:val="00352DDF"/>
    <w:rsid w:val="003533B4"/>
    <w:rsid w:val="003540B9"/>
    <w:rsid w:val="003565C2"/>
    <w:rsid w:val="003578F5"/>
    <w:rsid w:val="00357AB3"/>
    <w:rsid w:val="00360534"/>
    <w:rsid w:val="003614DA"/>
    <w:rsid w:val="00361B7B"/>
    <w:rsid w:val="00362215"/>
    <w:rsid w:val="00362F15"/>
    <w:rsid w:val="0036406A"/>
    <w:rsid w:val="00364089"/>
    <w:rsid w:val="00364495"/>
    <w:rsid w:val="00364DDB"/>
    <w:rsid w:val="00364F37"/>
    <w:rsid w:val="00365B84"/>
    <w:rsid w:val="00365E4B"/>
    <w:rsid w:val="0036773B"/>
    <w:rsid w:val="003700E2"/>
    <w:rsid w:val="0037036C"/>
    <w:rsid w:val="003708CA"/>
    <w:rsid w:val="00371405"/>
    <w:rsid w:val="003721FE"/>
    <w:rsid w:val="00372DED"/>
    <w:rsid w:val="00373067"/>
    <w:rsid w:val="00375147"/>
    <w:rsid w:val="00375613"/>
    <w:rsid w:val="00375DA4"/>
    <w:rsid w:val="0037614C"/>
    <w:rsid w:val="0037727E"/>
    <w:rsid w:val="0037775C"/>
    <w:rsid w:val="00381E22"/>
    <w:rsid w:val="00383FBE"/>
    <w:rsid w:val="0038493D"/>
    <w:rsid w:val="0038510F"/>
    <w:rsid w:val="003859B5"/>
    <w:rsid w:val="00385E6A"/>
    <w:rsid w:val="003867F8"/>
    <w:rsid w:val="00386808"/>
    <w:rsid w:val="00386891"/>
    <w:rsid w:val="003919CB"/>
    <w:rsid w:val="0039222B"/>
    <w:rsid w:val="00392BFE"/>
    <w:rsid w:val="0039376E"/>
    <w:rsid w:val="003939C3"/>
    <w:rsid w:val="003950B4"/>
    <w:rsid w:val="00395885"/>
    <w:rsid w:val="00395B8A"/>
    <w:rsid w:val="003961F6"/>
    <w:rsid w:val="00397B4A"/>
    <w:rsid w:val="003A020A"/>
    <w:rsid w:val="003A3069"/>
    <w:rsid w:val="003A31D3"/>
    <w:rsid w:val="003A3A42"/>
    <w:rsid w:val="003A3F1B"/>
    <w:rsid w:val="003A40F6"/>
    <w:rsid w:val="003A4D0E"/>
    <w:rsid w:val="003A5704"/>
    <w:rsid w:val="003A583B"/>
    <w:rsid w:val="003A5F48"/>
    <w:rsid w:val="003A6B9A"/>
    <w:rsid w:val="003A72C7"/>
    <w:rsid w:val="003A75CA"/>
    <w:rsid w:val="003B06C9"/>
    <w:rsid w:val="003B0FA3"/>
    <w:rsid w:val="003B12CD"/>
    <w:rsid w:val="003B15FF"/>
    <w:rsid w:val="003B1D4E"/>
    <w:rsid w:val="003B26A8"/>
    <w:rsid w:val="003B319E"/>
    <w:rsid w:val="003B4478"/>
    <w:rsid w:val="003B669E"/>
    <w:rsid w:val="003C0D3F"/>
    <w:rsid w:val="003C165B"/>
    <w:rsid w:val="003C19B4"/>
    <w:rsid w:val="003C1A7B"/>
    <w:rsid w:val="003C2788"/>
    <w:rsid w:val="003C2EC6"/>
    <w:rsid w:val="003C30A5"/>
    <w:rsid w:val="003C3813"/>
    <w:rsid w:val="003C614A"/>
    <w:rsid w:val="003C7060"/>
    <w:rsid w:val="003D00FA"/>
    <w:rsid w:val="003D043F"/>
    <w:rsid w:val="003D04D8"/>
    <w:rsid w:val="003D081D"/>
    <w:rsid w:val="003D1FE4"/>
    <w:rsid w:val="003D245A"/>
    <w:rsid w:val="003D2AC2"/>
    <w:rsid w:val="003D2FC1"/>
    <w:rsid w:val="003D40A3"/>
    <w:rsid w:val="003D5096"/>
    <w:rsid w:val="003D5558"/>
    <w:rsid w:val="003D58B9"/>
    <w:rsid w:val="003D61FF"/>
    <w:rsid w:val="003D6EB5"/>
    <w:rsid w:val="003E0964"/>
    <w:rsid w:val="003E1168"/>
    <w:rsid w:val="003E14EC"/>
    <w:rsid w:val="003E164A"/>
    <w:rsid w:val="003E291E"/>
    <w:rsid w:val="003E2AD7"/>
    <w:rsid w:val="003E39B8"/>
    <w:rsid w:val="003E40B7"/>
    <w:rsid w:val="003E6084"/>
    <w:rsid w:val="003E60F3"/>
    <w:rsid w:val="003E658B"/>
    <w:rsid w:val="003E700C"/>
    <w:rsid w:val="003E70F3"/>
    <w:rsid w:val="003E71B0"/>
    <w:rsid w:val="003E77AB"/>
    <w:rsid w:val="003E7A1A"/>
    <w:rsid w:val="003F0D33"/>
    <w:rsid w:val="003F12C3"/>
    <w:rsid w:val="003F17C8"/>
    <w:rsid w:val="003F17D0"/>
    <w:rsid w:val="003F1A22"/>
    <w:rsid w:val="003F1ABF"/>
    <w:rsid w:val="003F1E78"/>
    <w:rsid w:val="003F2188"/>
    <w:rsid w:val="003F2994"/>
    <w:rsid w:val="003F3E2C"/>
    <w:rsid w:val="003F4BE9"/>
    <w:rsid w:val="003F4CC7"/>
    <w:rsid w:val="003F5E72"/>
    <w:rsid w:val="003F6B4E"/>
    <w:rsid w:val="003F6B92"/>
    <w:rsid w:val="003F7EED"/>
    <w:rsid w:val="00400409"/>
    <w:rsid w:val="004008EC"/>
    <w:rsid w:val="00400EF0"/>
    <w:rsid w:val="0040127C"/>
    <w:rsid w:val="004012C9"/>
    <w:rsid w:val="004015F2"/>
    <w:rsid w:val="00401CEC"/>
    <w:rsid w:val="00402213"/>
    <w:rsid w:val="00402FDC"/>
    <w:rsid w:val="00403F51"/>
    <w:rsid w:val="0040607E"/>
    <w:rsid w:val="0040685C"/>
    <w:rsid w:val="004079C7"/>
    <w:rsid w:val="00407B3C"/>
    <w:rsid w:val="00407B5B"/>
    <w:rsid w:val="00410127"/>
    <w:rsid w:val="0041038F"/>
    <w:rsid w:val="0041146E"/>
    <w:rsid w:val="00411982"/>
    <w:rsid w:val="00411B29"/>
    <w:rsid w:val="00411D69"/>
    <w:rsid w:val="004142EB"/>
    <w:rsid w:val="004145FD"/>
    <w:rsid w:val="004148A8"/>
    <w:rsid w:val="00415E64"/>
    <w:rsid w:val="0041724F"/>
    <w:rsid w:val="004179D0"/>
    <w:rsid w:val="00417D3F"/>
    <w:rsid w:val="004211D7"/>
    <w:rsid w:val="00421581"/>
    <w:rsid w:val="00421ECF"/>
    <w:rsid w:val="00423944"/>
    <w:rsid w:val="00424286"/>
    <w:rsid w:val="004264B9"/>
    <w:rsid w:val="00426F84"/>
    <w:rsid w:val="004275AF"/>
    <w:rsid w:val="004279CF"/>
    <w:rsid w:val="00427AAE"/>
    <w:rsid w:val="00431049"/>
    <w:rsid w:val="004313D4"/>
    <w:rsid w:val="004321CC"/>
    <w:rsid w:val="00432529"/>
    <w:rsid w:val="00432FB9"/>
    <w:rsid w:val="00433368"/>
    <w:rsid w:val="0043341E"/>
    <w:rsid w:val="00433C18"/>
    <w:rsid w:val="00434141"/>
    <w:rsid w:val="0043415C"/>
    <w:rsid w:val="00434308"/>
    <w:rsid w:val="00434377"/>
    <w:rsid w:val="00434946"/>
    <w:rsid w:val="00435DFC"/>
    <w:rsid w:val="00436F52"/>
    <w:rsid w:val="004379A9"/>
    <w:rsid w:val="0044173E"/>
    <w:rsid w:val="00441C7D"/>
    <w:rsid w:val="00443295"/>
    <w:rsid w:val="004438F1"/>
    <w:rsid w:val="004439FC"/>
    <w:rsid w:val="00443A0A"/>
    <w:rsid w:val="00443E0A"/>
    <w:rsid w:val="00444346"/>
    <w:rsid w:val="00444905"/>
    <w:rsid w:val="00444A54"/>
    <w:rsid w:val="0044536F"/>
    <w:rsid w:val="00445952"/>
    <w:rsid w:val="0044754C"/>
    <w:rsid w:val="004479B8"/>
    <w:rsid w:val="0045002C"/>
    <w:rsid w:val="0045082E"/>
    <w:rsid w:val="00451AA2"/>
    <w:rsid w:val="00451B28"/>
    <w:rsid w:val="00452C9D"/>
    <w:rsid w:val="004549EF"/>
    <w:rsid w:val="0045543F"/>
    <w:rsid w:val="0045577A"/>
    <w:rsid w:val="00456907"/>
    <w:rsid w:val="00456C27"/>
    <w:rsid w:val="0045747C"/>
    <w:rsid w:val="004606AE"/>
    <w:rsid w:val="00460927"/>
    <w:rsid w:val="00461110"/>
    <w:rsid w:val="00461118"/>
    <w:rsid w:val="00461480"/>
    <w:rsid w:val="00461BFF"/>
    <w:rsid w:val="00462072"/>
    <w:rsid w:val="0046305A"/>
    <w:rsid w:val="00463CD2"/>
    <w:rsid w:val="00464D5A"/>
    <w:rsid w:val="00465649"/>
    <w:rsid w:val="0046594A"/>
    <w:rsid w:val="00465F04"/>
    <w:rsid w:val="00465F6A"/>
    <w:rsid w:val="00465FFB"/>
    <w:rsid w:val="004662A3"/>
    <w:rsid w:val="0046634D"/>
    <w:rsid w:val="00466787"/>
    <w:rsid w:val="00466855"/>
    <w:rsid w:val="0046696A"/>
    <w:rsid w:val="00466D0A"/>
    <w:rsid w:val="00467896"/>
    <w:rsid w:val="0047024B"/>
    <w:rsid w:val="0047025E"/>
    <w:rsid w:val="00470312"/>
    <w:rsid w:val="00470455"/>
    <w:rsid w:val="0047098D"/>
    <w:rsid w:val="004711A5"/>
    <w:rsid w:val="00471B7B"/>
    <w:rsid w:val="00472301"/>
    <w:rsid w:val="004726E7"/>
    <w:rsid w:val="00472A72"/>
    <w:rsid w:val="00473A82"/>
    <w:rsid w:val="00474345"/>
    <w:rsid w:val="004746F7"/>
    <w:rsid w:val="004749E6"/>
    <w:rsid w:val="00475826"/>
    <w:rsid w:val="0047676D"/>
    <w:rsid w:val="00476C00"/>
    <w:rsid w:val="00477FE3"/>
    <w:rsid w:val="00480A2A"/>
    <w:rsid w:val="00481B71"/>
    <w:rsid w:val="00482016"/>
    <w:rsid w:val="004830E4"/>
    <w:rsid w:val="0048321F"/>
    <w:rsid w:val="004839BC"/>
    <w:rsid w:val="0048477A"/>
    <w:rsid w:val="004854FE"/>
    <w:rsid w:val="004856A3"/>
    <w:rsid w:val="004859CB"/>
    <w:rsid w:val="004861F6"/>
    <w:rsid w:val="00486E9B"/>
    <w:rsid w:val="00490068"/>
    <w:rsid w:val="004904C9"/>
    <w:rsid w:val="004909A1"/>
    <w:rsid w:val="00490C4F"/>
    <w:rsid w:val="00491B00"/>
    <w:rsid w:val="00492D23"/>
    <w:rsid w:val="00492F67"/>
    <w:rsid w:val="0049370A"/>
    <w:rsid w:val="00494BD6"/>
    <w:rsid w:val="00495109"/>
    <w:rsid w:val="00495749"/>
    <w:rsid w:val="00495866"/>
    <w:rsid w:val="00495FB5"/>
    <w:rsid w:val="00496C02"/>
    <w:rsid w:val="00497175"/>
    <w:rsid w:val="0049717E"/>
    <w:rsid w:val="00497906"/>
    <w:rsid w:val="004A06FA"/>
    <w:rsid w:val="004A10E5"/>
    <w:rsid w:val="004A19B9"/>
    <w:rsid w:val="004A3022"/>
    <w:rsid w:val="004A31FD"/>
    <w:rsid w:val="004A33C7"/>
    <w:rsid w:val="004A39B9"/>
    <w:rsid w:val="004A3B5B"/>
    <w:rsid w:val="004A3DA9"/>
    <w:rsid w:val="004A3E20"/>
    <w:rsid w:val="004A476D"/>
    <w:rsid w:val="004A590E"/>
    <w:rsid w:val="004A60F1"/>
    <w:rsid w:val="004A799D"/>
    <w:rsid w:val="004B0114"/>
    <w:rsid w:val="004B0E3F"/>
    <w:rsid w:val="004B14FA"/>
    <w:rsid w:val="004B2040"/>
    <w:rsid w:val="004B27CC"/>
    <w:rsid w:val="004B2955"/>
    <w:rsid w:val="004B2B2E"/>
    <w:rsid w:val="004B3C4E"/>
    <w:rsid w:val="004B4E4F"/>
    <w:rsid w:val="004B50D0"/>
    <w:rsid w:val="004B5522"/>
    <w:rsid w:val="004B605F"/>
    <w:rsid w:val="004B7D1E"/>
    <w:rsid w:val="004C14B0"/>
    <w:rsid w:val="004C18B2"/>
    <w:rsid w:val="004C1C13"/>
    <w:rsid w:val="004C23A8"/>
    <w:rsid w:val="004C35C8"/>
    <w:rsid w:val="004C3FFD"/>
    <w:rsid w:val="004C4C36"/>
    <w:rsid w:val="004C51DF"/>
    <w:rsid w:val="004C5A17"/>
    <w:rsid w:val="004C5C59"/>
    <w:rsid w:val="004C6BE7"/>
    <w:rsid w:val="004C6F25"/>
    <w:rsid w:val="004C7108"/>
    <w:rsid w:val="004D05A8"/>
    <w:rsid w:val="004D05E1"/>
    <w:rsid w:val="004D12CD"/>
    <w:rsid w:val="004D1713"/>
    <w:rsid w:val="004D2544"/>
    <w:rsid w:val="004D3048"/>
    <w:rsid w:val="004D3EE7"/>
    <w:rsid w:val="004D4C07"/>
    <w:rsid w:val="004D4F6B"/>
    <w:rsid w:val="004D556B"/>
    <w:rsid w:val="004D66CA"/>
    <w:rsid w:val="004D6D21"/>
    <w:rsid w:val="004D7D6C"/>
    <w:rsid w:val="004D7F9B"/>
    <w:rsid w:val="004E0161"/>
    <w:rsid w:val="004E037F"/>
    <w:rsid w:val="004E07BD"/>
    <w:rsid w:val="004E0C71"/>
    <w:rsid w:val="004E0E64"/>
    <w:rsid w:val="004E0ECA"/>
    <w:rsid w:val="004E108F"/>
    <w:rsid w:val="004E1F38"/>
    <w:rsid w:val="004E21C9"/>
    <w:rsid w:val="004E21FA"/>
    <w:rsid w:val="004E2945"/>
    <w:rsid w:val="004E2E3D"/>
    <w:rsid w:val="004E406A"/>
    <w:rsid w:val="004E4F0A"/>
    <w:rsid w:val="004E5118"/>
    <w:rsid w:val="004E53F5"/>
    <w:rsid w:val="004E5C83"/>
    <w:rsid w:val="004E650C"/>
    <w:rsid w:val="004E71F3"/>
    <w:rsid w:val="004E7B22"/>
    <w:rsid w:val="004E7E1F"/>
    <w:rsid w:val="004F0554"/>
    <w:rsid w:val="004F0A7B"/>
    <w:rsid w:val="004F1523"/>
    <w:rsid w:val="004F2209"/>
    <w:rsid w:val="004F2DE2"/>
    <w:rsid w:val="004F43B9"/>
    <w:rsid w:val="004F6700"/>
    <w:rsid w:val="004F6AEC"/>
    <w:rsid w:val="004F770D"/>
    <w:rsid w:val="004F7813"/>
    <w:rsid w:val="004F7B20"/>
    <w:rsid w:val="0050005B"/>
    <w:rsid w:val="00500859"/>
    <w:rsid w:val="00501246"/>
    <w:rsid w:val="00501AD8"/>
    <w:rsid w:val="0050360E"/>
    <w:rsid w:val="0050475E"/>
    <w:rsid w:val="00504832"/>
    <w:rsid w:val="00504979"/>
    <w:rsid w:val="00504AF0"/>
    <w:rsid w:val="00505289"/>
    <w:rsid w:val="00505CC2"/>
    <w:rsid w:val="005060A7"/>
    <w:rsid w:val="00507348"/>
    <w:rsid w:val="00511415"/>
    <w:rsid w:val="005117D3"/>
    <w:rsid w:val="0051233D"/>
    <w:rsid w:val="00512983"/>
    <w:rsid w:val="00512AE2"/>
    <w:rsid w:val="00513ADE"/>
    <w:rsid w:val="00513F63"/>
    <w:rsid w:val="00515792"/>
    <w:rsid w:val="00516208"/>
    <w:rsid w:val="00516771"/>
    <w:rsid w:val="00516A5B"/>
    <w:rsid w:val="005177CC"/>
    <w:rsid w:val="00520A0E"/>
    <w:rsid w:val="00520E84"/>
    <w:rsid w:val="005217A1"/>
    <w:rsid w:val="0052284A"/>
    <w:rsid w:val="00522FC6"/>
    <w:rsid w:val="00523852"/>
    <w:rsid w:val="00523BA5"/>
    <w:rsid w:val="005244A0"/>
    <w:rsid w:val="00524995"/>
    <w:rsid w:val="0052705D"/>
    <w:rsid w:val="00527322"/>
    <w:rsid w:val="00527F92"/>
    <w:rsid w:val="0053032A"/>
    <w:rsid w:val="00530504"/>
    <w:rsid w:val="00530722"/>
    <w:rsid w:val="0053197B"/>
    <w:rsid w:val="00531A4E"/>
    <w:rsid w:val="00532796"/>
    <w:rsid w:val="005335DB"/>
    <w:rsid w:val="005341D1"/>
    <w:rsid w:val="005348BE"/>
    <w:rsid w:val="0053551C"/>
    <w:rsid w:val="0053557D"/>
    <w:rsid w:val="00536292"/>
    <w:rsid w:val="00536321"/>
    <w:rsid w:val="0053692C"/>
    <w:rsid w:val="00536CA7"/>
    <w:rsid w:val="00536D5E"/>
    <w:rsid w:val="00536D98"/>
    <w:rsid w:val="00540E34"/>
    <w:rsid w:val="0054256E"/>
    <w:rsid w:val="00542755"/>
    <w:rsid w:val="005427F3"/>
    <w:rsid w:val="005452B9"/>
    <w:rsid w:val="00545992"/>
    <w:rsid w:val="00545A4F"/>
    <w:rsid w:val="00546BA2"/>
    <w:rsid w:val="00546DBF"/>
    <w:rsid w:val="00547591"/>
    <w:rsid w:val="00550E4D"/>
    <w:rsid w:val="005518DF"/>
    <w:rsid w:val="00551A9D"/>
    <w:rsid w:val="00551F0E"/>
    <w:rsid w:val="005522F6"/>
    <w:rsid w:val="00552D02"/>
    <w:rsid w:val="00554A2B"/>
    <w:rsid w:val="00554A78"/>
    <w:rsid w:val="00554B2B"/>
    <w:rsid w:val="00555F3E"/>
    <w:rsid w:val="00556FDC"/>
    <w:rsid w:val="00560938"/>
    <w:rsid w:val="00563A45"/>
    <w:rsid w:val="00563C01"/>
    <w:rsid w:val="005642D5"/>
    <w:rsid w:val="00565BE2"/>
    <w:rsid w:val="00565E76"/>
    <w:rsid w:val="0056620D"/>
    <w:rsid w:val="005662A1"/>
    <w:rsid w:val="00566754"/>
    <w:rsid w:val="00567F43"/>
    <w:rsid w:val="005701B9"/>
    <w:rsid w:val="0057032F"/>
    <w:rsid w:val="00570409"/>
    <w:rsid w:val="00572450"/>
    <w:rsid w:val="00572BB3"/>
    <w:rsid w:val="00573498"/>
    <w:rsid w:val="00573E38"/>
    <w:rsid w:val="005741A5"/>
    <w:rsid w:val="0057579D"/>
    <w:rsid w:val="00577335"/>
    <w:rsid w:val="00577749"/>
    <w:rsid w:val="005778A0"/>
    <w:rsid w:val="00580977"/>
    <w:rsid w:val="005817CD"/>
    <w:rsid w:val="00581E1E"/>
    <w:rsid w:val="00581EA9"/>
    <w:rsid w:val="005833E3"/>
    <w:rsid w:val="00583C89"/>
    <w:rsid w:val="00584035"/>
    <w:rsid w:val="0058495E"/>
    <w:rsid w:val="00585059"/>
    <w:rsid w:val="00585372"/>
    <w:rsid w:val="00585B42"/>
    <w:rsid w:val="005866AF"/>
    <w:rsid w:val="00586AD1"/>
    <w:rsid w:val="00586FE5"/>
    <w:rsid w:val="0058787A"/>
    <w:rsid w:val="00587921"/>
    <w:rsid w:val="00590285"/>
    <w:rsid w:val="005907BE"/>
    <w:rsid w:val="005916E7"/>
    <w:rsid w:val="00591FE6"/>
    <w:rsid w:val="0059248A"/>
    <w:rsid w:val="0059285C"/>
    <w:rsid w:val="00595353"/>
    <w:rsid w:val="0059578D"/>
    <w:rsid w:val="005957BE"/>
    <w:rsid w:val="005961F1"/>
    <w:rsid w:val="00597C40"/>
    <w:rsid w:val="00597CBA"/>
    <w:rsid w:val="00597D11"/>
    <w:rsid w:val="00597EB1"/>
    <w:rsid w:val="005A0D46"/>
    <w:rsid w:val="005A1DF2"/>
    <w:rsid w:val="005A2ED7"/>
    <w:rsid w:val="005A3912"/>
    <w:rsid w:val="005A4053"/>
    <w:rsid w:val="005A6198"/>
    <w:rsid w:val="005A70CB"/>
    <w:rsid w:val="005B0561"/>
    <w:rsid w:val="005B1092"/>
    <w:rsid w:val="005B28D9"/>
    <w:rsid w:val="005B28E9"/>
    <w:rsid w:val="005B2B66"/>
    <w:rsid w:val="005B31F1"/>
    <w:rsid w:val="005B6D12"/>
    <w:rsid w:val="005C07F8"/>
    <w:rsid w:val="005C34F3"/>
    <w:rsid w:val="005C3D74"/>
    <w:rsid w:val="005C4287"/>
    <w:rsid w:val="005C44DF"/>
    <w:rsid w:val="005C5415"/>
    <w:rsid w:val="005C560C"/>
    <w:rsid w:val="005C5C63"/>
    <w:rsid w:val="005C62C3"/>
    <w:rsid w:val="005C6BB6"/>
    <w:rsid w:val="005C6C57"/>
    <w:rsid w:val="005C726C"/>
    <w:rsid w:val="005C789F"/>
    <w:rsid w:val="005C7C83"/>
    <w:rsid w:val="005D04D6"/>
    <w:rsid w:val="005D10EE"/>
    <w:rsid w:val="005D10F2"/>
    <w:rsid w:val="005D1781"/>
    <w:rsid w:val="005D1D68"/>
    <w:rsid w:val="005D209E"/>
    <w:rsid w:val="005D20AF"/>
    <w:rsid w:val="005D3941"/>
    <w:rsid w:val="005D4505"/>
    <w:rsid w:val="005D48FB"/>
    <w:rsid w:val="005D52F4"/>
    <w:rsid w:val="005D565E"/>
    <w:rsid w:val="005D5F99"/>
    <w:rsid w:val="005D646C"/>
    <w:rsid w:val="005D6CDD"/>
    <w:rsid w:val="005E01D1"/>
    <w:rsid w:val="005E03CB"/>
    <w:rsid w:val="005E08B1"/>
    <w:rsid w:val="005E137D"/>
    <w:rsid w:val="005E2FEF"/>
    <w:rsid w:val="005E3097"/>
    <w:rsid w:val="005E3156"/>
    <w:rsid w:val="005E39C9"/>
    <w:rsid w:val="005E3B27"/>
    <w:rsid w:val="005E41DA"/>
    <w:rsid w:val="005E4FA7"/>
    <w:rsid w:val="005E5158"/>
    <w:rsid w:val="005E5D51"/>
    <w:rsid w:val="005E6DD1"/>
    <w:rsid w:val="005E78D9"/>
    <w:rsid w:val="005F04F5"/>
    <w:rsid w:val="005F1FEE"/>
    <w:rsid w:val="005F2E22"/>
    <w:rsid w:val="005F3B5C"/>
    <w:rsid w:val="005F558E"/>
    <w:rsid w:val="005F612E"/>
    <w:rsid w:val="005F62B2"/>
    <w:rsid w:val="005F6D05"/>
    <w:rsid w:val="005F7748"/>
    <w:rsid w:val="005F79DF"/>
    <w:rsid w:val="005F7A26"/>
    <w:rsid w:val="00600DAE"/>
    <w:rsid w:val="006011FC"/>
    <w:rsid w:val="00601DD4"/>
    <w:rsid w:val="00602910"/>
    <w:rsid w:val="00602FF0"/>
    <w:rsid w:val="0060313D"/>
    <w:rsid w:val="00603920"/>
    <w:rsid w:val="006041A0"/>
    <w:rsid w:val="00604264"/>
    <w:rsid w:val="00604429"/>
    <w:rsid w:val="006048A6"/>
    <w:rsid w:val="00604D73"/>
    <w:rsid w:val="00605E3C"/>
    <w:rsid w:val="006061B5"/>
    <w:rsid w:val="006064F9"/>
    <w:rsid w:val="00606589"/>
    <w:rsid w:val="006069AF"/>
    <w:rsid w:val="00606C63"/>
    <w:rsid w:val="0060720C"/>
    <w:rsid w:val="0060794D"/>
    <w:rsid w:val="00607C44"/>
    <w:rsid w:val="00610169"/>
    <w:rsid w:val="0061088A"/>
    <w:rsid w:val="00611551"/>
    <w:rsid w:val="006125B3"/>
    <w:rsid w:val="00615280"/>
    <w:rsid w:val="0061553A"/>
    <w:rsid w:val="00615AA2"/>
    <w:rsid w:val="00616996"/>
    <w:rsid w:val="00620601"/>
    <w:rsid w:val="006206E5"/>
    <w:rsid w:val="00620B33"/>
    <w:rsid w:val="006217E3"/>
    <w:rsid w:val="0062186C"/>
    <w:rsid w:val="006224FD"/>
    <w:rsid w:val="0062270F"/>
    <w:rsid w:val="00622807"/>
    <w:rsid w:val="00622B49"/>
    <w:rsid w:val="00622F45"/>
    <w:rsid w:val="00623134"/>
    <w:rsid w:val="006243DD"/>
    <w:rsid w:val="00625561"/>
    <w:rsid w:val="006256F7"/>
    <w:rsid w:val="00625B1D"/>
    <w:rsid w:val="00627018"/>
    <w:rsid w:val="0063082D"/>
    <w:rsid w:val="006310C6"/>
    <w:rsid w:val="00631188"/>
    <w:rsid w:val="006314C4"/>
    <w:rsid w:val="00631581"/>
    <w:rsid w:val="00633BBF"/>
    <w:rsid w:val="0063467D"/>
    <w:rsid w:val="00635D25"/>
    <w:rsid w:val="00636CB3"/>
    <w:rsid w:val="00637BED"/>
    <w:rsid w:val="006400E4"/>
    <w:rsid w:val="0064010A"/>
    <w:rsid w:val="006410DA"/>
    <w:rsid w:val="006412D2"/>
    <w:rsid w:val="006414F7"/>
    <w:rsid w:val="006420D4"/>
    <w:rsid w:val="0064273D"/>
    <w:rsid w:val="00642B49"/>
    <w:rsid w:val="00642EA7"/>
    <w:rsid w:val="006432E8"/>
    <w:rsid w:val="0064347D"/>
    <w:rsid w:val="00643DE5"/>
    <w:rsid w:val="00644D3B"/>
    <w:rsid w:val="006450B9"/>
    <w:rsid w:val="006455FC"/>
    <w:rsid w:val="006456E6"/>
    <w:rsid w:val="00646FB8"/>
    <w:rsid w:val="006472FF"/>
    <w:rsid w:val="006517DB"/>
    <w:rsid w:val="0065182C"/>
    <w:rsid w:val="006526F2"/>
    <w:rsid w:val="006529A7"/>
    <w:rsid w:val="00652C7B"/>
    <w:rsid w:val="006545F9"/>
    <w:rsid w:val="00655329"/>
    <w:rsid w:val="0065583B"/>
    <w:rsid w:val="006558F5"/>
    <w:rsid w:val="00655B06"/>
    <w:rsid w:val="00656F2B"/>
    <w:rsid w:val="00657FC6"/>
    <w:rsid w:val="0066054D"/>
    <w:rsid w:val="006619F6"/>
    <w:rsid w:val="00661D82"/>
    <w:rsid w:val="00662284"/>
    <w:rsid w:val="00662819"/>
    <w:rsid w:val="006637A8"/>
    <w:rsid w:val="00663D31"/>
    <w:rsid w:val="00664574"/>
    <w:rsid w:val="00664947"/>
    <w:rsid w:val="00664B98"/>
    <w:rsid w:val="0066506E"/>
    <w:rsid w:val="0066570A"/>
    <w:rsid w:val="00665E81"/>
    <w:rsid w:val="00667FAC"/>
    <w:rsid w:val="006717B6"/>
    <w:rsid w:val="00671ADF"/>
    <w:rsid w:val="00672A21"/>
    <w:rsid w:val="00672F8E"/>
    <w:rsid w:val="00673785"/>
    <w:rsid w:val="006749AB"/>
    <w:rsid w:val="00674B7E"/>
    <w:rsid w:val="0067523A"/>
    <w:rsid w:val="00675726"/>
    <w:rsid w:val="0067588C"/>
    <w:rsid w:val="006764EB"/>
    <w:rsid w:val="006768FC"/>
    <w:rsid w:val="0067774A"/>
    <w:rsid w:val="0068147E"/>
    <w:rsid w:val="00681D83"/>
    <w:rsid w:val="0068275C"/>
    <w:rsid w:val="00683BD0"/>
    <w:rsid w:val="00684079"/>
    <w:rsid w:val="00684A4A"/>
    <w:rsid w:val="00685490"/>
    <w:rsid w:val="006855A6"/>
    <w:rsid w:val="00686507"/>
    <w:rsid w:val="00686B5B"/>
    <w:rsid w:val="006875AF"/>
    <w:rsid w:val="00687DD5"/>
    <w:rsid w:val="00690739"/>
    <w:rsid w:val="0069104E"/>
    <w:rsid w:val="006911C1"/>
    <w:rsid w:val="006913D0"/>
    <w:rsid w:val="00691600"/>
    <w:rsid w:val="006920C9"/>
    <w:rsid w:val="0069210D"/>
    <w:rsid w:val="006938E3"/>
    <w:rsid w:val="0069422B"/>
    <w:rsid w:val="0069461A"/>
    <w:rsid w:val="00694AFC"/>
    <w:rsid w:val="00694E55"/>
    <w:rsid w:val="00695B6A"/>
    <w:rsid w:val="00695BC6"/>
    <w:rsid w:val="00697C03"/>
    <w:rsid w:val="006A0379"/>
    <w:rsid w:val="006A0555"/>
    <w:rsid w:val="006A180E"/>
    <w:rsid w:val="006A1A8A"/>
    <w:rsid w:val="006A1DE3"/>
    <w:rsid w:val="006A1E6B"/>
    <w:rsid w:val="006A22FC"/>
    <w:rsid w:val="006A2B05"/>
    <w:rsid w:val="006A30B5"/>
    <w:rsid w:val="006A3A80"/>
    <w:rsid w:val="006A3D0D"/>
    <w:rsid w:val="006A3EC7"/>
    <w:rsid w:val="006A3FAD"/>
    <w:rsid w:val="006A40ED"/>
    <w:rsid w:val="006A4E19"/>
    <w:rsid w:val="006A4F6E"/>
    <w:rsid w:val="006A6A96"/>
    <w:rsid w:val="006A6CEB"/>
    <w:rsid w:val="006A6F6A"/>
    <w:rsid w:val="006A7EA3"/>
    <w:rsid w:val="006B0343"/>
    <w:rsid w:val="006B0AD2"/>
    <w:rsid w:val="006B0FA2"/>
    <w:rsid w:val="006B13C1"/>
    <w:rsid w:val="006B1801"/>
    <w:rsid w:val="006B2F0B"/>
    <w:rsid w:val="006B4433"/>
    <w:rsid w:val="006B45C3"/>
    <w:rsid w:val="006B4FC0"/>
    <w:rsid w:val="006B5554"/>
    <w:rsid w:val="006B60F8"/>
    <w:rsid w:val="006B6574"/>
    <w:rsid w:val="006B68A1"/>
    <w:rsid w:val="006C05BC"/>
    <w:rsid w:val="006C10D4"/>
    <w:rsid w:val="006C188B"/>
    <w:rsid w:val="006C27CE"/>
    <w:rsid w:val="006C2AB2"/>
    <w:rsid w:val="006C3841"/>
    <w:rsid w:val="006C397B"/>
    <w:rsid w:val="006C5042"/>
    <w:rsid w:val="006C5A96"/>
    <w:rsid w:val="006C72C9"/>
    <w:rsid w:val="006D0389"/>
    <w:rsid w:val="006D05FF"/>
    <w:rsid w:val="006D122D"/>
    <w:rsid w:val="006D15CF"/>
    <w:rsid w:val="006D3476"/>
    <w:rsid w:val="006D7B98"/>
    <w:rsid w:val="006E038C"/>
    <w:rsid w:val="006E145C"/>
    <w:rsid w:val="006E186E"/>
    <w:rsid w:val="006E1F0D"/>
    <w:rsid w:val="006E1F1E"/>
    <w:rsid w:val="006E305F"/>
    <w:rsid w:val="006E3A0F"/>
    <w:rsid w:val="006E3D10"/>
    <w:rsid w:val="006E3FE6"/>
    <w:rsid w:val="006E5124"/>
    <w:rsid w:val="006E5B10"/>
    <w:rsid w:val="006E5E78"/>
    <w:rsid w:val="006E619C"/>
    <w:rsid w:val="006F0637"/>
    <w:rsid w:val="006F111F"/>
    <w:rsid w:val="006F11DA"/>
    <w:rsid w:val="006F158A"/>
    <w:rsid w:val="006F2E54"/>
    <w:rsid w:val="006F3076"/>
    <w:rsid w:val="006F3CCF"/>
    <w:rsid w:val="006F43C7"/>
    <w:rsid w:val="006F50EF"/>
    <w:rsid w:val="006F5C6B"/>
    <w:rsid w:val="006F6380"/>
    <w:rsid w:val="006F6836"/>
    <w:rsid w:val="0070043C"/>
    <w:rsid w:val="00701840"/>
    <w:rsid w:val="00701962"/>
    <w:rsid w:val="00701CCD"/>
    <w:rsid w:val="00702057"/>
    <w:rsid w:val="00702F0F"/>
    <w:rsid w:val="007035F8"/>
    <w:rsid w:val="00703DE5"/>
    <w:rsid w:val="00704DBF"/>
    <w:rsid w:val="007057F9"/>
    <w:rsid w:val="007059EA"/>
    <w:rsid w:val="007063F5"/>
    <w:rsid w:val="00706638"/>
    <w:rsid w:val="007078AE"/>
    <w:rsid w:val="00710D61"/>
    <w:rsid w:val="0071196B"/>
    <w:rsid w:val="007120A1"/>
    <w:rsid w:val="00712E98"/>
    <w:rsid w:val="00712F00"/>
    <w:rsid w:val="00713D38"/>
    <w:rsid w:val="007141A3"/>
    <w:rsid w:val="00714C25"/>
    <w:rsid w:val="0071520B"/>
    <w:rsid w:val="007153E9"/>
    <w:rsid w:val="007153FC"/>
    <w:rsid w:val="00715528"/>
    <w:rsid w:val="00715614"/>
    <w:rsid w:val="00716474"/>
    <w:rsid w:val="0071648F"/>
    <w:rsid w:val="0072020C"/>
    <w:rsid w:val="00720AC8"/>
    <w:rsid w:val="007213BC"/>
    <w:rsid w:val="00721F21"/>
    <w:rsid w:val="00723710"/>
    <w:rsid w:val="007247CA"/>
    <w:rsid w:val="00724E27"/>
    <w:rsid w:val="00725F60"/>
    <w:rsid w:val="0072661C"/>
    <w:rsid w:val="0072683C"/>
    <w:rsid w:val="007279F9"/>
    <w:rsid w:val="00727A2A"/>
    <w:rsid w:val="00730170"/>
    <w:rsid w:val="007315EA"/>
    <w:rsid w:val="007323D5"/>
    <w:rsid w:val="007325A9"/>
    <w:rsid w:val="0073274D"/>
    <w:rsid w:val="007344C8"/>
    <w:rsid w:val="00734600"/>
    <w:rsid w:val="0073473D"/>
    <w:rsid w:val="00734B64"/>
    <w:rsid w:val="00734CC8"/>
    <w:rsid w:val="007350EF"/>
    <w:rsid w:val="007351A5"/>
    <w:rsid w:val="0073536F"/>
    <w:rsid w:val="00735BC0"/>
    <w:rsid w:val="00736271"/>
    <w:rsid w:val="00736B13"/>
    <w:rsid w:val="00737195"/>
    <w:rsid w:val="00737A77"/>
    <w:rsid w:val="007408C7"/>
    <w:rsid w:val="00740E32"/>
    <w:rsid w:val="0074178C"/>
    <w:rsid w:val="007423B6"/>
    <w:rsid w:val="007427DB"/>
    <w:rsid w:val="0074314B"/>
    <w:rsid w:val="00743895"/>
    <w:rsid w:val="007438AD"/>
    <w:rsid w:val="00743E8C"/>
    <w:rsid w:val="00744681"/>
    <w:rsid w:val="00744934"/>
    <w:rsid w:val="00744C7C"/>
    <w:rsid w:val="00744D89"/>
    <w:rsid w:val="00745626"/>
    <w:rsid w:val="00745A8D"/>
    <w:rsid w:val="00746B5C"/>
    <w:rsid w:val="00747B94"/>
    <w:rsid w:val="007505F9"/>
    <w:rsid w:val="00750A0B"/>
    <w:rsid w:val="00750D42"/>
    <w:rsid w:val="00752696"/>
    <w:rsid w:val="00752708"/>
    <w:rsid w:val="0075399D"/>
    <w:rsid w:val="00753CC3"/>
    <w:rsid w:val="007544CB"/>
    <w:rsid w:val="00754E6B"/>
    <w:rsid w:val="0075634E"/>
    <w:rsid w:val="0075672C"/>
    <w:rsid w:val="00760094"/>
    <w:rsid w:val="0076068D"/>
    <w:rsid w:val="00761843"/>
    <w:rsid w:val="00761A31"/>
    <w:rsid w:val="00761A50"/>
    <w:rsid w:val="00763956"/>
    <w:rsid w:val="00764A73"/>
    <w:rsid w:val="007653DC"/>
    <w:rsid w:val="00765825"/>
    <w:rsid w:val="00765C2A"/>
    <w:rsid w:val="007662AC"/>
    <w:rsid w:val="00766517"/>
    <w:rsid w:val="00766BBF"/>
    <w:rsid w:val="00766BF5"/>
    <w:rsid w:val="007672BD"/>
    <w:rsid w:val="007673C6"/>
    <w:rsid w:val="00767C7E"/>
    <w:rsid w:val="00770527"/>
    <w:rsid w:val="00771218"/>
    <w:rsid w:val="0077164F"/>
    <w:rsid w:val="00771E5E"/>
    <w:rsid w:val="00771F61"/>
    <w:rsid w:val="007721B7"/>
    <w:rsid w:val="00772269"/>
    <w:rsid w:val="00772329"/>
    <w:rsid w:val="00773012"/>
    <w:rsid w:val="00773222"/>
    <w:rsid w:val="0077355E"/>
    <w:rsid w:val="00774543"/>
    <w:rsid w:val="0077486D"/>
    <w:rsid w:val="00774F69"/>
    <w:rsid w:val="007751F3"/>
    <w:rsid w:val="00776E93"/>
    <w:rsid w:val="007776C5"/>
    <w:rsid w:val="0078010D"/>
    <w:rsid w:val="00780280"/>
    <w:rsid w:val="007802E5"/>
    <w:rsid w:val="00780A2F"/>
    <w:rsid w:val="00780AAF"/>
    <w:rsid w:val="00780F07"/>
    <w:rsid w:val="00780F6C"/>
    <w:rsid w:val="00781101"/>
    <w:rsid w:val="00781598"/>
    <w:rsid w:val="00781844"/>
    <w:rsid w:val="00781D26"/>
    <w:rsid w:val="0078211F"/>
    <w:rsid w:val="0078269F"/>
    <w:rsid w:val="00783076"/>
    <w:rsid w:val="007834A0"/>
    <w:rsid w:val="00783C11"/>
    <w:rsid w:val="00784A1C"/>
    <w:rsid w:val="00784CCE"/>
    <w:rsid w:val="00784F55"/>
    <w:rsid w:val="00785526"/>
    <w:rsid w:val="00785AE5"/>
    <w:rsid w:val="00785DAC"/>
    <w:rsid w:val="00785DF4"/>
    <w:rsid w:val="0078746F"/>
    <w:rsid w:val="0078750B"/>
    <w:rsid w:val="00787796"/>
    <w:rsid w:val="00787C74"/>
    <w:rsid w:val="007911A4"/>
    <w:rsid w:val="00791BC0"/>
    <w:rsid w:val="007920D8"/>
    <w:rsid w:val="00792149"/>
    <w:rsid w:val="0079219A"/>
    <w:rsid w:val="007922FA"/>
    <w:rsid w:val="00792C55"/>
    <w:rsid w:val="007935EC"/>
    <w:rsid w:val="007946E1"/>
    <w:rsid w:val="00794711"/>
    <w:rsid w:val="0079497F"/>
    <w:rsid w:val="00794C9D"/>
    <w:rsid w:val="0079585B"/>
    <w:rsid w:val="00795A4A"/>
    <w:rsid w:val="00795E42"/>
    <w:rsid w:val="00795E7D"/>
    <w:rsid w:val="007965E0"/>
    <w:rsid w:val="0079700D"/>
    <w:rsid w:val="00797D93"/>
    <w:rsid w:val="007A0995"/>
    <w:rsid w:val="007A0A19"/>
    <w:rsid w:val="007A0D94"/>
    <w:rsid w:val="007A14C2"/>
    <w:rsid w:val="007A198A"/>
    <w:rsid w:val="007A2C1B"/>
    <w:rsid w:val="007A357D"/>
    <w:rsid w:val="007A3C0F"/>
    <w:rsid w:val="007A4AD0"/>
    <w:rsid w:val="007A4AD3"/>
    <w:rsid w:val="007A628D"/>
    <w:rsid w:val="007A6306"/>
    <w:rsid w:val="007B0914"/>
    <w:rsid w:val="007B0E9A"/>
    <w:rsid w:val="007B0F38"/>
    <w:rsid w:val="007B1704"/>
    <w:rsid w:val="007B1993"/>
    <w:rsid w:val="007B22E5"/>
    <w:rsid w:val="007B342C"/>
    <w:rsid w:val="007B3CEC"/>
    <w:rsid w:val="007B6C30"/>
    <w:rsid w:val="007B700A"/>
    <w:rsid w:val="007C024F"/>
    <w:rsid w:val="007C1400"/>
    <w:rsid w:val="007C1D13"/>
    <w:rsid w:val="007C3D69"/>
    <w:rsid w:val="007C4432"/>
    <w:rsid w:val="007C488B"/>
    <w:rsid w:val="007D016B"/>
    <w:rsid w:val="007D05E6"/>
    <w:rsid w:val="007D1432"/>
    <w:rsid w:val="007D2A19"/>
    <w:rsid w:val="007D3D9E"/>
    <w:rsid w:val="007D5A6F"/>
    <w:rsid w:val="007D6CEF"/>
    <w:rsid w:val="007D6CFA"/>
    <w:rsid w:val="007D701C"/>
    <w:rsid w:val="007D7C61"/>
    <w:rsid w:val="007E036F"/>
    <w:rsid w:val="007E0A24"/>
    <w:rsid w:val="007E118F"/>
    <w:rsid w:val="007E12F7"/>
    <w:rsid w:val="007E144E"/>
    <w:rsid w:val="007E2738"/>
    <w:rsid w:val="007E2DA3"/>
    <w:rsid w:val="007E408A"/>
    <w:rsid w:val="007E480C"/>
    <w:rsid w:val="007E5363"/>
    <w:rsid w:val="007E5DD5"/>
    <w:rsid w:val="007E5F1C"/>
    <w:rsid w:val="007E61B0"/>
    <w:rsid w:val="007E65C6"/>
    <w:rsid w:val="007E6650"/>
    <w:rsid w:val="007E7727"/>
    <w:rsid w:val="007E7B6E"/>
    <w:rsid w:val="007E7F4B"/>
    <w:rsid w:val="007F17D6"/>
    <w:rsid w:val="007F2490"/>
    <w:rsid w:val="007F25A4"/>
    <w:rsid w:val="007F31CA"/>
    <w:rsid w:val="007F34E5"/>
    <w:rsid w:val="007F3847"/>
    <w:rsid w:val="007F538C"/>
    <w:rsid w:val="007F56D8"/>
    <w:rsid w:val="007F670C"/>
    <w:rsid w:val="007F6D9E"/>
    <w:rsid w:val="007F76C3"/>
    <w:rsid w:val="007F7AF9"/>
    <w:rsid w:val="007F7C40"/>
    <w:rsid w:val="00800656"/>
    <w:rsid w:val="00800664"/>
    <w:rsid w:val="00800754"/>
    <w:rsid w:val="00801797"/>
    <w:rsid w:val="00801ABD"/>
    <w:rsid w:val="00801B45"/>
    <w:rsid w:val="00801EB6"/>
    <w:rsid w:val="00802063"/>
    <w:rsid w:val="0080206A"/>
    <w:rsid w:val="008023D1"/>
    <w:rsid w:val="00802D3A"/>
    <w:rsid w:val="0080361E"/>
    <w:rsid w:val="008039B1"/>
    <w:rsid w:val="0080515F"/>
    <w:rsid w:val="00805333"/>
    <w:rsid w:val="00805AA0"/>
    <w:rsid w:val="008070ED"/>
    <w:rsid w:val="0080753D"/>
    <w:rsid w:val="00807606"/>
    <w:rsid w:val="00807619"/>
    <w:rsid w:val="00807664"/>
    <w:rsid w:val="008107E0"/>
    <w:rsid w:val="00810C10"/>
    <w:rsid w:val="00811B13"/>
    <w:rsid w:val="00811F5D"/>
    <w:rsid w:val="008131D4"/>
    <w:rsid w:val="00813D79"/>
    <w:rsid w:val="00814351"/>
    <w:rsid w:val="00814537"/>
    <w:rsid w:val="00814860"/>
    <w:rsid w:val="00814935"/>
    <w:rsid w:val="00814950"/>
    <w:rsid w:val="00814EE3"/>
    <w:rsid w:val="00814FF0"/>
    <w:rsid w:val="008151B4"/>
    <w:rsid w:val="00815ABE"/>
    <w:rsid w:val="008164F2"/>
    <w:rsid w:val="00816C50"/>
    <w:rsid w:val="00816C91"/>
    <w:rsid w:val="00816C98"/>
    <w:rsid w:val="008170AB"/>
    <w:rsid w:val="00817F42"/>
    <w:rsid w:val="00820630"/>
    <w:rsid w:val="008214F8"/>
    <w:rsid w:val="00821BC5"/>
    <w:rsid w:val="00821FAD"/>
    <w:rsid w:val="008225CE"/>
    <w:rsid w:val="0082264A"/>
    <w:rsid w:val="00823B16"/>
    <w:rsid w:val="00823FCA"/>
    <w:rsid w:val="00824276"/>
    <w:rsid w:val="008247C2"/>
    <w:rsid w:val="0082480C"/>
    <w:rsid w:val="00824D1F"/>
    <w:rsid w:val="00825A69"/>
    <w:rsid w:val="00825D18"/>
    <w:rsid w:val="00826E31"/>
    <w:rsid w:val="00827850"/>
    <w:rsid w:val="00830CB1"/>
    <w:rsid w:val="00830FBD"/>
    <w:rsid w:val="008312FD"/>
    <w:rsid w:val="0083135E"/>
    <w:rsid w:val="00831C09"/>
    <w:rsid w:val="00831C6F"/>
    <w:rsid w:val="00831D77"/>
    <w:rsid w:val="00831FA1"/>
    <w:rsid w:val="00832CD7"/>
    <w:rsid w:val="0083339F"/>
    <w:rsid w:val="008334A5"/>
    <w:rsid w:val="00833EEA"/>
    <w:rsid w:val="00834B63"/>
    <w:rsid w:val="00835166"/>
    <w:rsid w:val="00835362"/>
    <w:rsid w:val="00835701"/>
    <w:rsid w:val="00836C25"/>
    <w:rsid w:val="00840B28"/>
    <w:rsid w:val="00840DC3"/>
    <w:rsid w:val="008414AB"/>
    <w:rsid w:val="00841EEA"/>
    <w:rsid w:val="008426FC"/>
    <w:rsid w:val="0084415F"/>
    <w:rsid w:val="0084476E"/>
    <w:rsid w:val="00845AA0"/>
    <w:rsid w:val="008462E8"/>
    <w:rsid w:val="008465ED"/>
    <w:rsid w:val="0084675F"/>
    <w:rsid w:val="00847954"/>
    <w:rsid w:val="00851006"/>
    <w:rsid w:val="00851CFE"/>
    <w:rsid w:val="008529DF"/>
    <w:rsid w:val="00852F41"/>
    <w:rsid w:val="00855C36"/>
    <w:rsid w:val="00855EA1"/>
    <w:rsid w:val="008563C2"/>
    <w:rsid w:val="00856590"/>
    <w:rsid w:val="00857724"/>
    <w:rsid w:val="00857C2F"/>
    <w:rsid w:val="00860D18"/>
    <w:rsid w:val="00861837"/>
    <w:rsid w:val="00863260"/>
    <w:rsid w:val="00863C24"/>
    <w:rsid w:val="00863C93"/>
    <w:rsid w:val="00864EE7"/>
    <w:rsid w:val="00865156"/>
    <w:rsid w:val="00865B52"/>
    <w:rsid w:val="00865C37"/>
    <w:rsid w:val="0086645A"/>
    <w:rsid w:val="0086684D"/>
    <w:rsid w:val="0086694E"/>
    <w:rsid w:val="00866F2E"/>
    <w:rsid w:val="00867177"/>
    <w:rsid w:val="008677BE"/>
    <w:rsid w:val="008701BF"/>
    <w:rsid w:val="00873FAA"/>
    <w:rsid w:val="0087428D"/>
    <w:rsid w:val="00874CA3"/>
    <w:rsid w:val="00874E02"/>
    <w:rsid w:val="008754E7"/>
    <w:rsid w:val="00875ACC"/>
    <w:rsid w:val="008760B7"/>
    <w:rsid w:val="00876722"/>
    <w:rsid w:val="00876C34"/>
    <w:rsid w:val="00880592"/>
    <w:rsid w:val="00881616"/>
    <w:rsid w:val="00881FFE"/>
    <w:rsid w:val="008827EF"/>
    <w:rsid w:val="00882AB2"/>
    <w:rsid w:val="008839EF"/>
    <w:rsid w:val="00885212"/>
    <w:rsid w:val="008852FE"/>
    <w:rsid w:val="00885740"/>
    <w:rsid w:val="00885D2E"/>
    <w:rsid w:val="00885F58"/>
    <w:rsid w:val="00885FCA"/>
    <w:rsid w:val="0088602F"/>
    <w:rsid w:val="00886391"/>
    <w:rsid w:val="00886421"/>
    <w:rsid w:val="008878D1"/>
    <w:rsid w:val="008908AB"/>
    <w:rsid w:val="00890D76"/>
    <w:rsid w:val="008932D8"/>
    <w:rsid w:val="00893FE3"/>
    <w:rsid w:val="0089558F"/>
    <w:rsid w:val="0089696C"/>
    <w:rsid w:val="008975B2"/>
    <w:rsid w:val="00897B40"/>
    <w:rsid w:val="00897BF8"/>
    <w:rsid w:val="00897E7A"/>
    <w:rsid w:val="008A087E"/>
    <w:rsid w:val="008A17FC"/>
    <w:rsid w:val="008A1B9E"/>
    <w:rsid w:val="008A1EC6"/>
    <w:rsid w:val="008A391B"/>
    <w:rsid w:val="008A5223"/>
    <w:rsid w:val="008A6F3A"/>
    <w:rsid w:val="008A766D"/>
    <w:rsid w:val="008A7675"/>
    <w:rsid w:val="008A77B9"/>
    <w:rsid w:val="008B013F"/>
    <w:rsid w:val="008B033D"/>
    <w:rsid w:val="008B042C"/>
    <w:rsid w:val="008B0763"/>
    <w:rsid w:val="008B20A9"/>
    <w:rsid w:val="008B24FC"/>
    <w:rsid w:val="008B25ED"/>
    <w:rsid w:val="008B3B95"/>
    <w:rsid w:val="008B402A"/>
    <w:rsid w:val="008B4204"/>
    <w:rsid w:val="008B4328"/>
    <w:rsid w:val="008B5208"/>
    <w:rsid w:val="008B547D"/>
    <w:rsid w:val="008B58EB"/>
    <w:rsid w:val="008B7C07"/>
    <w:rsid w:val="008C00C8"/>
    <w:rsid w:val="008C0BC0"/>
    <w:rsid w:val="008C0BCF"/>
    <w:rsid w:val="008C1536"/>
    <w:rsid w:val="008C1787"/>
    <w:rsid w:val="008C1AD9"/>
    <w:rsid w:val="008C3330"/>
    <w:rsid w:val="008C39C5"/>
    <w:rsid w:val="008C3DBD"/>
    <w:rsid w:val="008C3E17"/>
    <w:rsid w:val="008C4121"/>
    <w:rsid w:val="008C4344"/>
    <w:rsid w:val="008C4849"/>
    <w:rsid w:val="008C5106"/>
    <w:rsid w:val="008C5C2C"/>
    <w:rsid w:val="008C5C6A"/>
    <w:rsid w:val="008C5DD7"/>
    <w:rsid w:val="008C628E"/>
    <w:rsid w:val="008C66A5"/>
    <w:rsid w:val="008D0BA6"/>
    <w:rsid w:val="008D2524"/>
    <w:rsid w:val="008D253D"/>
    <w:rsid w:val="008D40B7"/>
    <w:rsid w:val="008D4299"/>
    <w:rsid w:val="008D4809"/>
    <w:rsid w:val="008D4D12"/>
    <w:rsid w:val="008D510F"/>
    <w:rsid w:val="008D574A"/>
    <w:rsid w:val="008D5E65"/>
    <w:rsid w:val="008D6275"/>
    <w:rsid w:val="008D6424"/>
    <w:rsid w:val="008D7111"/>
    <w:rsid w:val="008D7CE1"/>
    <w:rsid w:val="008D7D39"/>
    <w:rsid w:val="008E16B9"/>
    <w:rsid w:val="008E28E3"/>
    <w:rsid w:val="008E2CCD"/>
    <w:rsid w:val="008E340A"/>
    <w:rsid w:val="008E3AA2"/>
    <w:rsid w:val="008E42F4"/>
    <w:rsid w:val="008E47D7"/>
    <w:rsid w:val="008E4AB6"/>
    <w:rsid w:val="008E5606"/>
    <w:rsid w:val="008E70E1"/>
    <w:rsid w:val="008E7315"/>
    <w:rsid w:val="008E742F"/>
    <w:rsid w:val="008E7D8D"/>
    <w:rsid w:val="008F0438"/>
    <w:rsid w:val="008F1392"/>
    <w:rsid w:val="008F1678"/>
    <w:rsid w:val="008F1981"/>
    <w:rsid w:val="008F1BD8"/>
    <w:rsid w:val="008F1E4F"/>
    <w:rsid w:val="008F2076"/>
    <w:rsid w:val="008F2240"/>
    <w:rsid w:val="008F2664"/>
    <w:rsid w:val="008F2C81"/>
    <w:rsid w:val="008F2F1B"/>
    <w:rsid w:val="008F489D"/>
    <w:rsid w:val="008F503E"/>
    <w:rsid w:val="008F6AB3"/>
    <w:rsid w:val="008F6B4E"/>
    <w:rsid w:val="008F6F14"/>
    <w:rsid w:val="008F74BF"/>
    <w:rsid w:val="008F76D0"/>
    <w:rsid w:val="008F7BB8"/>
    <w:rsid w:val="008F7BBD"/>
    <w:rsid w:val="008F7E49"/>
    <w:rsid w:val="008F7F25"/>
    <w:rsid w:val="00900EF2"/>
    <w:rsid w:val="009017A5"/>
    <w:rsid w:val="00901A98"/>
    <w:rsid w:val="0090282B"/>
    <w:rsid w:val="00903B40"/>
    <w:rsid w:val="009047C8"/>
    <w:rsid w:val="009047EF"/>
    <w:rsid w:val="0090486A"/>
    <w:rsid w:val="00904CA3"/>
    <w:rsid w:val="009071B9"/>
    <w:rsid w:val="009073BC"/>
    <w:rsid w:val="00907543"/>
    <w:rsid w:val="00907CEC"/>
    <w:rsid w:val="0091023B"/>
    <w:rsid w:val="00910281"/>
    <w:rsid w:val="00911675"/>
    <w:rsid w:val="0091194E"/>
    <w:rsid w:val="00912346"/>
    <w:rsid w:val="009129B8"/>
    <w:rsid w:val="00913F86"/>
    <w:rsid w:val="00914427"/>
    <w:rsid w:val="0091486F"/>
    <w:rsid w:val="00914C69"/>
    <w:rsid w:val="00914D30"/>
    <w:rsid w:val="0091512C"/>
    <w:rsid w:val="00915C64"/>
    <w:rsid w:val="00915E4B"/>
    <w:rsid w:val="00915FA7"/>
    <w:rsid w:val="00916D19"/>
    <w:rsid w:val="00917275"/>
    <w:rsid w:val="009220B0"/>
    <w:rsid w:val="00923049"/>
    <w:rsid w:val="00923CE9"/>
    <w:rsid w:val="00924104"/>
    <w:rsid w:val="009241D7"/>
    <w:rsid w:val="00924239"/>
    <w:rsid w:val="00924532"/>
    <w:rsid w:val="00924AA1"/>
    <w:rsid w:val="00924BE3"/>
    <w:rsid w:val="009258EE"/>
    <w:rsid w:val="00925E9D"/>
    <w:rsid w:val="00926081"/>
    <w:rsid w:val="00926B19"/>
    <w:rsid w:val="0092718D"/>
    <w:rsid w:val="00927C11"/>
    <w:rsid w:val="00927F62"/>
    <w:rsid w:val="0093107F"/>
    <w:rsid w:val="00931936"/>
    <w:rsid w:val="00931CA2"/>
    <w:rsid w:val="00932698"/>
    <w:rsid w:val="00932DBC"/>
    <w:rsid w:val="00932E45"/>
    <w:rsid w:val="00933036"/>
    <w:rsid w:val="00936231"/>
    <w:rsid w:val="009403BF"/>
    <w:rsid w:val="00941517"/>
    <w:rsid w:val="00941859"/>
    <w:rsid w:val="00941F04"/>
    <w:rsid w:val="00942940"/>
    <w:rsid w:val="00942AC0"/>
    <w:rsid w:val="009437BE"/>
    <w:rsid w:val="00944274"/>
    <w:rsid w:val="009446B4"/>
    <w:rsid w:val="009447B6"/>
    <w:rsid w:val="00944FF0"/>
    <w:rsid w:val="00945641"/>
    <w:rsid w:val="00945B5E"/>
    <w:rsid w:val="00945CE1"/>
    <w:rsid w:val="00946C51"/>
    <w:rsid w:val="00951AC3"/>
    <w:rsid w:val="00952AFE"/>
    <w:rsid w:val="00952E5E"/>
    <w:rsid w:val="00953110"/>
    <w:rsid w:val="009533B7"/>
    <w:rsid w:val="009539B0"/>
    <w:rsid w:val="009545CC"/>
    <w:rsid w:val="00954750"/>
    <w:rsid w:val="00954D0D"/>
    <w:rsid w:val="009561FB"/>
    <w:rsid w:val="00956316"/>
    <w:rsid w:val="009569E6"/>
    <w:rsid w:val="0095790B"/>
    <w:rsid w:val="00960D01"/>
    <w:rsid w:val="00961D89"/>
    <w:rsid w:val="00961ED2"/>
    <w:rsid w:val="00961F31"/>
    <w:rsid w:val="009628CC"/>
    <w:rsid w:val="00962DDD"/>
    <w:rsid w:val="00963180"/>
    <w:rsid w:val="00963F10"/>
    <w:rsid w:val="00965393"/>
    <w:rsid w:val="00965751"/>
    <w:rsid w:val="00966052"/>
    <w:rsid w:val="0097043A"/>
    <w:rsid w:val="009705F3"/>
    <w:rsid w:val="00970BD6"/>
    <w:rsid w:val="00970C49"/>
    <w:rsid w:val="00970DDD"/>
    <w:rsid w:val="00971F0C"/>
    <w:rsid w:val="00972E9E"/>
    <w:rsid w:val="00973C4B"/>
    <w:rsid w:val="009752F1"/>
    <w:rsid w:val="009761AF"/>
    <w:rsid w:val="00976230"/>
    <w:rsid w:val="00977E33"/>
    <w:rsid w:val="0098027E"/>
    <w:rsid w:val="009809D6"/>
    <w:rsid w:val="00980F43"/>
    <w:rsid w:val="009828A7"/>
    <w:rsid w:val="00983DFB"/>
    <w:rsid w:val="0098422D"/>
    <w:rsid w:val="00984376"/>
    <w:rsid w:val="00984A8B"/>
    <w:rsid w:val="00984E6C"/>
    <w:rsid w:val="0098649A"/>
    <w:rsid w:val="00990D15"/>
    <w:rsid w:val="009914A3"/>
    <w:rsid w:val="0099161B"/>
    <w:rsid w:val="00991912"/>
    <w:rsid w:val="00992128"/>
    <w:rsid w:val="00992DBF"/>
    <w:rsid w:val="009939CD"/>
    <w:rsid w:val="00994534"/>
    <w:rsid w:val="00994FF9"/>
    <w:rsid w:val="00996E61"/>
    <w:rsid w:val="009970B7"/>
    <w:rsid w:val="00997555"/>
    <w:rsid w:val="00997CD8"/>
    <w:rsid w:val="009A09EE"/>
    <w:rsid w:val="009A0C75"/>
    <w:rsid w:val="009A0CF3"/>
    <w:rsid w:val="009A100A"/>
    <w:rsid w:val="009A13BB"/>
    <w:rsid w:val="009A1641"/>
    <w:rsid w:val="009A1F10"/>
    <w:rsid w:val="009A225B"/>
    <w:rsid w:val="009A22BA"/>
    <w:rsid w:val="009A2E21"/>
    <w:rsid w:val="009A2F04"/>
    <w:rsid w:val="009A330A"/>
    <w:rsid w:val="009A4C4B"/>
    <w:rsid w:val="009A55E0"/>
    <w:rsid w:val="009A66A9"/>
    <w:rsid w:val="009A6A62"/>
    <w:rsid w:val="009A6E91"/>
    <w:rsid w:val="009A7B2F"/>
    <w:rsid w:val="009B0207"/>
    <w:rsid w:val="009B0FBA"/>
    <w:rsid w:val="009B1623"/>
    <w:rsid w:val="009B187B"/>
    <w:rsid w:val="009B18C1"/>
    <w:rsid w:val="009B1AA4"/>
    <w:rsid w:val="009B1C32"/>
    <w:rsid w:val="009B1F29"/>
    <w:rsid w:val="009B2166"/>
    <w:rsid w:val="009B22FF"/>
    <w:rsid w:val="009B292B"/>
    <w:rsid w:val="009B31C0"/>
    <w:rsid w:val="009B36F3"/>
    <w:rsid w:val="009B4098"/>
    <w:rsid w:val="009B4A33"/>
    <w:rsid w:val="009B4C3A"/>
    <w:rsid w:val="009B4D05"/>
    <w:rsid w:val="009B5709"/>
    <w:rsid w:val="009B5A96"/>
    <w:rsid w:val="009B6B56"/>
    <w:rsid w:val="009B7A82"/>
    <w:rsid w:val="009B7AD6"/>
    <w:rsid w:val="009B7E01"/>
    <w:rsid w:val="009C0022"/>
    <w:rsid w:val="009C0157"/>
    <w:rsid w:val="009C0322"/>
    <w:rsid w:val="009C0D27"/>
    <w:rsid w:val="009C0DA0"/>
    <w:rsid w:val="009C27A1"/>
    <w:rsid w:val="009C3B43"/>
    <w:rsid w:val="009C498F"/>
    <w:rsid w:val="009C5F07"/>
    <w:rsid w:val="009C5FF1"/>
    <w:rsid w:val="009C74B8"/>
    <w:rsid w:val="009D0B9B"/>
    <w:rsid w:val="009D0E51"/>
    <w:rsid w:val="009D18B6"/>
    <w:rsid w:val="009D1C67"/>
    <w:rsid w:val="009D2785"/>
    <w:rsid w:val="009D280A"/>
    <w:rsid w:val="009D3A13"/>
    <w:rsid w:val="009D3A47"/>
    <w:rsid w:val="009D3B31"/>
    <w:rsid w:val="009D41FA"/>
    <w:rsid w:val="009D4DF6"/>
    <w:rsid w:val="009D539D"/>
    <w:rsid w:val="009D6833"/>
    <w:rsid w:val="009D70EC"/>
    <w:rsid w:val="009D7B9B"/>
    <w:rsid w:val="009D7D13"/>
    <w:rsid w:val="009E0058"/>
    <w:rsid w:val="009E12B5"/>
    <w:rsid w:val="009E292D"/>
    <w:rsid w:val="009E33C9"/>
    <w:rsid w:val="009E3EFD"/>
    <w:rsid w:val="009E4044"/>
    <w:rsid w:val="009E43E8"/>
    <w:rsid w:val="009E4B2F"/>
    <w:rsid w:val="009E4B49"/>
    <w:rsid w:val="009E5140"/>
    <w:rsid w:val="009E550C"/>
    <w:rsid w:val="009E669B"/>
    <w:rsid w:val="009E6ABA"/>
    <w:rsid w:val="009E71BE"/>
    <w:rsid w:val="009E74A7"/>
    <w:rsid w:val="009E7817"/>
    <w:rsid w:val="009F0191"/>
    <w:rsid w:val="009F102A"/>
    <w:rsid w:val="009F21BF"/>
    <w:rsid w:val="009F32BB"/>
    <w:rsid w:val="009F33CA"/>
    <w:rsid w:val="009F3A51"/>
    <w:rsid w:val="009F3F97"/>
    <w:rsid w:val="009F48E6"/>
    <w:rsid w:val="009F5BE3"/>
    <w:rsid w:val="009F5DC1"/>
    <w:rsid w:val="00A0009C"/>
    <w:rsid w:val="00A0013C"/>
    <w:rsid w:val="00A005E7"/>
    <w:rsid w:val="00A008F9"/>
    <w:rsid w:val="00A00AC0"/>
    <w:rsid w:val="00A01A77"/>
    <w:rsid w:val="00A01D67"/>
    <w:rsid w:val="00A01E26"/>
    <w:rsid w:val="00A02ACA"/>
    <w:rsid w:val="00A03433"/>
    <w:rsid w:val="00A0368C"/>
    <w:rsid w:val="00A040F0"/>
    <w:rsid w:val="00A0520B"/>
    <w:rsid w:val="00A05577"/>
    <w:rsid w:val="00A059D9"/>
    <w:rsid w:val="00A069ED"/>
    <w:rsid w:val="00A069F5"/>
    <w:rsid w:val="00A06E7A"/>
    <w:rsid w:val="00A06EFD"/>
    <w:rsid w:val="00A07550"/>
    <w:rsid w:val="00A0769B"/>
    <w:rsid w:val="00A11453"/>
    <w:rsid w:val="00A11D73"/>
    <w:rsid w:val="00A12084"/>
    <w:rsid w:val="00A12851"/>
    <w:rsid w:val="00A12991"/>
    <w:rsid w:val="00A1411C"/>
    <w:rsid w:val="00A15A61"/>
    <w:rsid w:val="00A15E90"/>
    <w:rsid w:val="00A1634F"/>
    <w:rsid w:val="00A1694B"/>
    <w:rsid w:val="00A16DD9"/>
    <w:rsid w:val="00A17244"/>
    <w:rsid w:val="00A1728A"/>
    <w:rsid w:val="00A17C4C"/>
    <w:rsid w:val="00A17D08"/>
    <w:rsid w:val="00A2042A"/>
    <w:rsid w:val="00A2051D"/>
    <w:rsid w:val="00A20F56"/>
    <w:rsid w:val="00A20FEF"/>
    <w:rsid w:val="00A21C57"/>
    <w:rsid w:val="00A22B44"/>
    <w:rsid w:val="00A22C2B"/>
    <w:rsid w:val="00A22E92"/>
    <w:rsid w:val="00A24EFE"/>
    <w:rsid w:val="00A2586F"/>
    <w:rsid w:val="00A26284"/>
    <w:rsid w:val="00A2655D"/>
    <w:rsid w:val="00A2739F"/>
    <w:rsid w:val="00A27DE3"/>
    <w:rsid w:val="00A315A7"/>
    <w:rsid w:val="00A31AF5"/>
    <w:rsid w:val="00A32F02"/>
    <w:rsid w:val="00A33295"/>
    <w:rsid w:val="00A338C8"/>
    <w:rsid w:val="00A33AE4"/>
    <w:rsid w:val="00A33BF3"/>
    <w:rsid w:val="00A33D1B"/>
    <w:rsid w:val="00A33F28"/>
    <w:rsid w:val="00A346F9"/>
    <w:rsid w:val="00A355DA"/>
    <w:rsid w:val="00A3625A"/>
    <w:rsid w:val="00A4017F"/>
    <w:rsid w:val="00A407D9"/>
    <w:rsid w:val="00A419A1"/>
    <w:rsid w:val="00A419D9"/>
    <w:rsid w:val="00A41ED6"/>
    <w:rsid w:val="00A423B2"/>
    <w:rsid w:val="00A47DC1"/>
    <w:rsid w:val="00A5052A"/>
    <w:rsid w:val="00A50538"/>
    <w:rsid w:val="00A50900"/>
    <w:rsid w:val="00A509A8"/>
    <w:rsid w:val="00A51A31"/>
    <w:rsid w:val="00A51D10"/>
    <w:rsid w:val="00A52AA8"/>
    <w:rsid w:val="00A54BAD"/>
    <w:rsid w:val="00A55915"/>
    <w:rsid w:val="00A55E99"/>
    <w:rsid w:val="00A56307"/>
    <w:rsid w:val="00A56FFB"/>
    <w:rsid w:val="00A5715F"/>
    <w:rsid w:val="00A62234"/>
    <w:rsid w:val="00A62821"/>
    <w:rsid w:val="00A6348C"/>
    <w:rsid w:val="00A63F00"/>
    <w:rsid w:val="00A6482A"/>
    <w:rsid w:val="00A64FAF"/>
    <w:rsid w:val="00A6521C"/>
    <w:rsid w:val="00A6589F"/>
    <w:rsid w:val="00A6724F"/>
    <w:rsid w:val="00A67C63"/>
    <w:rsid w:val="00A67C9A"/>
    <w:rsid w:val="00A67D3E"/>
    <w:rsid w:val="00A67F5A"/>
    <w:rsid w:val="00A70300"/>
    <w:rsid w:val="00A7073A"/>
    <w:rsid w:val="00A70C17"/>
    <w:rsid w:val="00A710C7"/>
    <w:rsid w:val="00A7270F"/>
    <w:rsid w:val="00A72C6F"/>
    <w:rsid w:val="00A730A1"/>
    <w:rsid w:val="00A752A2"/>
    <w:rsid w:val="00A75DB7"/>
    <w:rsid w:val="00A75F11"/>
    <w:rsid w:val="00A75F2D"/>
    <w:rsid w:val="00A769BF"/>
    <w:rsid w:val="00A769D1"/>
    <w:rsid w:val="00A77582"/>
    <w:rsid w:val="00A775FF"/>
    <w:rsid w:val="00A77A7B"/>
    <w:rsid w:val="00A77E4B"/>
    <w:rsid w:val="00A80243"/>
    <w:rsid w:val="00A808D4"/>
    <w:rsid w:val="00A80BC2"/>
    <w:rsid w:val="00A81964"/>
    <w:rsid w:val="00A82EBF"/>
    <w:rsid w:val="00A840C9"/>
    <w:rsid w:val="00A84770"/>
    <w:rsid w:val="00A84D2A"/>
    <w:rsid w:val="00A85262"/>
    <w:rsid w:val="00A85466"/>
    <w:rsid w:val="00A85901"/>
    <w:rsid w:val="00A85955"/>
    <w:rsid w:val="00A85A38"/>
    <w:rsid w:val="00A85A7D"/>
    <w:rsid w:val="00A869CA"/>
    <w:rsid w:val="00A86DF9"/>
    <w:rsid w:val="00A871F5"/>
    <w:rsid w:val="00A87E04"/>
    <w:rsid w:val="00A913F7"/>
    <w:rsid w:val="00A91CA6"/>
    <w:rsid w:val="00A92B0F"/>
    <w:rsid w:val="00A932C6"/>
    <w:rsid w:val="00A939EF"/>
    <w:rsid w:val="00A93F2B"/>
    <w:rsid w:val="00A93F44"/>
    <w:rsid w:val="00A94135"/>
    <w:rsid w:val="00A967CE"/>
    <w:rsid w:val="00A97558"/>
    <w:rsid w:val="00A97698"/>
    <w:rsid w:val="00A97B47"/>
    <w:rsid w:val="00AA01ED"/>
    <w:rsid w:val="00AA08DF"/>
    <w:rsid w:val="00AA0921"/>
    <w:rsid w:val="00AA1414"/>
    <w:rsid w:val="00AA1775"/>
    <w:rsid w:val="00AA1CF0"/>
    <w:rsid w:val="00AA2037"/>
    <w:rsid w:val="00AA2307"/>
    <w:rsid w:val="00AA36C6"/>
    <w:rsid w:val="00AA5902"/>
    <w:rsid w:val="00AA5E61"/>
    <w:rsid w:val="00AA6FFC"/>
    <w:rsid w:val="00AB0121"/>
    <w:rsid w:val="00AB03A6"/>
    <w:rsid w:val="00AB0D37"/>
    <w:rsid w:val="00AB0DF6"/>
    <w:rsid w:val="00AB0EEC"/>
    <w:rsid w:val="00AB1406"/>
    <w:rsid w:val="00AB1AE8"/>
    <w:rsid w:val="00AB1CE3"/>
    <w:rsid w:val="00AB6418"/>
    <w:rsid w:val="00AC04F1"/>
    <w:rsid w:val="00AC1151"/>
    <w:rsid w:val="00AC11B0"/>
    <w:rsid w:val="00AC2415"/>
    <w:rsid w:val="00AC3731"/>
    <w:rsid w:val="00AC396E"/>
    <w:rsid w:val="00AC3BBA"/>
    <w:rsid w:val="00AC3DB3"/>
    <w:rsid w:val="00AC3F70"/>
    <w:rsid w:val="00AC4E4D"/>
    <w:rsid w:val="00AC5360"/>
    <w:rsid w:val="00AC5E9F"/>
    <w:rsid w:val="00AC65B5"/>
    <w:rsid w:val="00AC68FB"/>
    <w:rsid w:val="00AD180F"/>
    <w:rsid w:val="00AD1F3E"/>
    <w:rsid w:val="00AD217B"/>
    <w:rsid w:val="00AD21A7"/>
    <w:rsid w:val="00AD21BB"/>
    <w:rsid w:val="00AD2D21"/>
    <w:rsid w:val="00AD30C3"/>
    <w:rsid w:val="00AD48C8"/>
    <w:rsid w:val="00AD4B52"/>
    <w:rsid w:val="00AD53FF"/>
    <w:rsid w:val="00AD5650"/>
    <w:rsid w:val="00AD59A2"/>
    <w:rsid w:val="00AD5FF7"/>
    <w:rsid w:val="00AD6004"/>
    <w:rsid w:val="00AD6339"/>
    <w:rsid w:val="00AD76B8"/>
    <w:rsid w:val="00AD7FDC"/>
    <w:rsid w:val="00AE03EC"/>
    <w:rsid w:val="00AE0607"/>
    <w:rsid w:val="00AE11F1"/>
    <w:rsid w:val="00AE152B"/>
    <w:rsid w:val="00AE1FDA"/>
    <w:rsid w:val="00AE229C"/>
    <w:rsid w:val="00AE22EB"/>
    <w:rsid w:val="00AE2464"/>
    <w:rsid w:val="00AE25F9"/>
    <w:rsid w:val="00AE33FF"/>
    <w:rsid w:val="00AE3817"/>
    <w:rsid w:val="00AE4A32"/>
    <w:rsid w:val="00AE5008"/>
    <w:rsid w:val="00AE595C"/>
    <w:rsid w:val="00AE5D1E"/>
    <w:rsid w:val="00AE5E1D"/>
    <w:rsid w:val="00AE613F"/>
    <w:rsid w:val="00AE6AEA"/>
    <w:rsid w:val="00AE6FE1"/>
    <w:rsid w:val="00AE74F4"/>
    <w:rsid w:val="00AE75CC"/>
    <w:rsid w:val="00AE7650"/>
    <w:rsid w:val="00AF038F"/>
    <w:rsid w:val="00AF0671"/>
    <w:rsid w:val="00AF27D4"/>
    <w:rsid w:val="00AF2B1B"/>
    <w:rsid w:val="00AF41D1"/>
    <w:rsid w:val="00AF4870"/>
    <w:rsid w:val="00AF4D41"/>
    <w:rsid w:val="00AF50EF"/>
    <w:rsid w:val="00AF569F"/>
    <w:rsid w:val="00AF5A26"/>
    <w:rsid w:val="00AF653C"/>
    <w:rsid w:val="00AF6FBB"/>
    <w:rsid w:val="00AF784E"/>
    <w:rsid w:val="00B00099"/>
    <w:rsid w:val="00B0017D"/>
    <w:rsid w:val="00B015F6"/>
    <w:rsid w:val="00B02FD6"/>
    <w:rsid w:val="00B03442"/>
    <w:rsid w:val="00B038C6"/>
    <w:rsid w:val="00B03DA1"/>
    <w:rsid w:val="00B04247"/>
    <w:rsid w:val="00B0519A"/>
    <w:rsid w:val="00B067F3"/>
    <w:rsid w:val="00B068FD"/>
    <w:rsid w:val="00B07617"/>
    <w:rsid w:val="00B079DE"/>
    <w:rsid w:val="00B07BD5"/>
    <w:rsid w:val="00B10214"/>
    <w:rsid w:val="00B102AD"/>
    <w:rsid w:val="00B10CFC"/>
    <w:rsid w:val="00B10EA3"/>
    <w:rsid w:val="00B10F46"/>
    <w:rsid w:val="00B1286D"/>
    <w:rsid w:val="00B131B2"/>
    <w:rsid w:val="00B1491E"/>
    <w:rsid w:val="00B14B78"/>
    <w:rsid w:val="00B14C81"/>
    <w:rsid w:val="00B15896"/>
    <w:rsid w:val="00B165FE"/>
    <w:rsid w:val="00B168C0"/>
    <w:rsid w:val="00B16AB5"/>
    <w:rsid w:val="00B16DC4"/>
    <w:rsid w:val="00B176AF"/>
    <w:rsid w:val="00B20175"/>
    <w:rsid w:val="00B226B8"/>
    <w:rsid w:val="00B22B89"/>
    <w:rsid w:val="00B24359"/>
    <w:rsid w:val="00B2542A"/>
    <w:rsid w:val="00B266F0"/>
    <w:rsid w:val="00B27173"/>
    <w:rsid w:val="00B271C0"/>
    <w:rsid w:val="00B3121C"/>
    <w:rsid w:val="00B3193B"/>
    <w:rsid w:val="00B31F59"/>
    <w:rsid w:val="00B31F8D"/>
    <w:rsid w:val="00B32679"/>
    <w:rsid w:val="00B333C4"/>
    <w:rsid w:val="00B33F0D"/>
    <w:rsid w:val="00B33F13"/>
    <w:rsid w:val="00B34634"/>
    <w:rsid w:val="00B347C4"/>
    <w:rsid w:val="00B34A80"/>
    <w:rsid w:val="00B34BA1"/>
    <w:rsid w:val="00B3511C"/>
    <w:rsid w:val="00B3559B"/>
    <w:rsid w:val="00B35B29"/>
    <w:rsid w:val="00B35EB2"/>
    <w:rsid w:val="00B36143"/>
    <w:rsid w:val="00B37233"/>
    <w:rsid w:val="00B3736E"/>
    <w:rsid w:val="00B404E8"/>
    <w:rsid w:val="00B40BCE"/>
    <w:rsid w:val="00B410D8"/>
    <w:rsid w:val="00B418B7"/>
    <w:rsid w:val="00B43100"/>
    <w:rsid w:val="00B4377B"/>
    <w:rsid w:val="00B43DC3"/>
    <w:rsid w:val="00B44BEA"/>
    <w:rsid w:val="00B44D91"/>
    <w:rsid w:val="00B456F4"/>
    <w:rsid w:val="00B45DCC"/>
    <w:rsid w:val="00B45F21"/>
    <w:rsid w:val="00B45F6A"/>
    <w:rsid w:val="00B4622E"/>
    <w:rsid w:val="00B478D2"/>
    <w:rsid w:val="00B52999"/>
    <w:rsid w:val="00B53A61"/>
    <w:rsid w:val="00B54EAF"/>
    <w:rsid w:val="00B563E8"/>
    <w:rsid w:val="00B569E4"/>
    <w:rsid w:val="00B56A8B"/>
    <w:rsid w:val="00B57652"/>
    <w:rsid w:val="00B57DF6"/>
    <w:rsid w:val="00B60065"/>
    <w:rsid w:val="00B60491"/>
    <w:rsid w:val="00B618AB"/>
    <w:rsid w:val="00B61EB8"/>
    <w:rsid w:val="00B63F10"/>
    <w:rsid w:val="00B642B9"/>
    <w:rsid w:val="00B643A1"/>
    <w:rsid w:val="00B71D56"/>
    <w:rsid w:val="00B725C0"/>
    <w:rsid w:val="00B72A63"/>
    <w:rsid w:val="00B72D8B"/>
    <w:rsid w:val="00B73443"/>
    <w:rsid w:val="00B7381A"/>
    <w:rsid w:val="00B74648"/>
    <w:rsid w:val="00B7480A"/>
    <w:rsid w:val="00B74849"/>
    <w:rsid w:val="00B748BC"/>
    <w:rsid w:val="00B75327"/>
    <w:rsid w:val="00B75C62"/>
    <w:rsid w:val="00B76E47"/>
    <w:rsid w:val="00B7742D"/>
    <w:rsid w:val="00B80FC8"/>
    <w:rsid w:val="00B828DF"/>
    <w:rsid w:val="00B83360"/>
    <w:rsid w:val="00B837A6"/>
    <w:rsid w:val="00B83A6E"/>
    <w:rsid w:val="00B83E13"/>
    <w:rsid w:val="00B83F0F"/>
    <w:rsid w:val="00B84BC5"/>
    <w:rsid w:val="00B85F66"/>
    <w:rsid w:val="00B8605D"/>
    <w:rsid w:val="00B86F59"/>
    <w:rsid w:val="00B870E5"/>
    <w:rsid w:val="00B873FA"/>
    <w:rsid w:val="00B87CD5"/>
    <w:rsid w:val="00B9178B"/>
    <w:rsid w:val="00B91A13"/>
    <w:rsid w:val="00B923C0"/>
    <w:rsid w:val="00B9296A"/>
    <w:rsid w:val="00B93C07"/>
    <w:rsid w:val="00B9411F"/>
    <w:rsid w:val="00B94E61"/>
    <w:rsid w:val="00B9517C"/>
    <w:rsid w:val="00B951D8"/>
    <w:rsid w:val="00B95F43"/>
    <w:rsid w:val="00B96063"/>
    <w:rsid w:val="00B96267"/>
    <w:rsid w:val="00B9628B"/>
    <w:rsid w:val="00B96480"/>
    <w:rsid w:val="00B969BD"/>
    <w:rsid w:val="00B96A80"/>
    <w:rsid w:val="00B973B3"/>
    <w:rsid w:val="00BA0979"/>
    <w:rsid w:val="00BA0B2E"/>
    <w:rsid w:val="00BA1386"/>
    <w:rsid w:val="00BA2918"/>
    <w:rsid w:val="00BA3BF0"/>
    <w:rsid w:val="00BA3C69"/>
    <w:rsid w:val="00BA3E53"/>
    <w:rsid w:val="00BA427C"/>
    <w:rsid w:val="00BA4BBD"/>
    <w:rsid w:val="00BA4BD4"/>
    <w:rsid w:val="00BA50D1"/>
    <w:rsid w:val="00BA55DD"/>
    <w:rsid w:val="00BA6103"/>
    <w:rsid w:val="00BA66BA"/>
    <w:rsid w:val="00BA7358"/>
    <w:rsid w:val="00BA7CF1"/>
    <w:rsid w:val="00BB083C"/>
    <w:rsid w:val="00BB134C"/>
    <w:rsid w:val="00BB1953"/>
    <w:rsid w:val="00BB20DE"/>
    <w:rsid w:val="00BB2BB3"/>
    <w:rsid w:val="00BB3B3F"/>
    <w:rsid w:val="00BB3FCC"/>
    <w:rsid w:val="00BB47D2"/>
    <w:rsid w:val="00BB5125"/>
    <w:rsid w:val="00BB5276"/>
    <w:rsid w:val="00BB67E2"/>
    <w:rsid w:val="00BB6F7D"/>
    <w:rsid w:val="00BB7E9F"/>
    <w:rsid w:val="00BC1502"/>
    <w:rsid w:val="00BC2973"/>
    <w:rsid w:val="00BC3236"/>
    <w:rsid w:val="00BC5C0E"/>
    <w:rsid w:val="00BC64AE"/>
    <w:rsid w:val="00BC6723"/>
    <w:rsid w:val="00BC6853"/>
    <w:rsid w:val="00BC6B30"/>
    <w:rsid w:val="00BC73E7"/>
    <w:rsid w:val="00BD23BF"/>
    <w:rsid w:val="00BD2CAD"/>
    <w:rsid w:val="00BD3128"/>
    <w:rsid w:val="00BD312A"/>
    <w:rsid w:val="00BD3A54"/>
    <w:rsid w:val="00BD3DE5"/>
    <w:rsid w:val="00BD4D77"/>
    <w:rsid w:val="00BD4DA8"/>
    <w:rsid w:val="00BD4F69"/>
    <w:rsid w:val="00BD53D7"/>
    <w:rsid w:val="00BD5917"/>
    <w:rsid w:val="00BD6589"/>
    <w:rsid w:val="00BD701E"/>
    <w:rsid w:val="00BD7C1E"/>
    <w:rsid w:val="00BE028B"/>
    <w:rsid w:val="00BE280A"/>
    <w:rsid w:val="00BE2C47"/>
    <w:rsid w:val="00BE3547"/>
    <w:rsid w:val="00BE3EC1"/>
    <w:rsid w:val="00BE55B8"/>
    <w:rsid w:val="00BE5B10"/>
    <w:rsid w:val="00BE5DB4"/>
    <w:rsid w:val="00BE62AF"/>
    <w:rsid w:val="00BE66AF"/>
    <w:rsid w:val="00BE74BE"/>
    <w:rsid w:val="00BE77E4"/>
    <w:rsid w:val="00BE78DC"/>
    <w:rsid w:val="00BE7CD8"/>
    <w:rsid w:val="00BF0135"/>
    <w:rsid w:val="00BF392A"/>
    <w:rsid w:val="00BF448E"/>
    <w:rsid w:val="00BF458F"/>
    <w:rsid w:val="00BF484E"/>
    <w:rsid w:val="00BF4B86"/>
    <w:rsid w:val="00BF51BD"/>
    <w:rsid w:val="00BF5790"/>
    <w:rsid w:val="00BF65A1"/>
    <w:rsid w:val="00BF6B41"/>
    <w:rsid w:val="00BF78D3"/>
    <w:rsid w:val="00BF7BE6"/>
    <w:rsid w:val="00C0018C"/>
    <w:rsid w:val="00C003A0"/>
    <w:rsid w:val="00C00B83"/>
    <w:rsid w:val="00C018C3"/>
    <w:rsid w:val="00C01EE5"/>
    <w:rsid w:val="00C026DF"/>
    <w:rsid w:val="00C04966"/>
    <w:rsid w:val="00C04B38"/>
    <w:rsid w:val="00C04DD2"/>
    <w:rsid w:val="00C04EBD"/>
    <w:rsid w:val="00C050BC"/>
    <w:rsid w:val="00C0566C"/>
    <w:rsid w:val="00C0571A"/>
    <w:rsid w:val="00C075E0"/>
    <w:rsid w:val="00C07820"/>
    <w:rsid w:val="00C07F03"/>
    <w:rsid w:val="00C1084D"/>
    <w:rsid w:val="00C114B6"/>
    <w:rsid w:val="00C1247E"/>
    <w:rsid w:val="00C12889"/>
    <w:rsid w:val="00C12AF0"/>
    <w:rsid w:val="00C145E3"/>
    <w:rsid w:val="00C15D22"/>
    <w:rsid w:val="00C165BF"/>
    <w:rsid w:val="00C16EC3"/>
    <w:rsid w:val="00C16ED2"/>
    <w:rsid w:val="00C17341"/>
    <w:rsid w:val="00C17A80"/>
    <w:rsid w:val="00C17EED"/>
    <w:rsid w:val="00C203E6"/>
    <w:rsid w:val="00C20785"/>
    <w:rsid w:val="00C22BB7"/>
    <w:rsid w:val="00C22E9B"/>
    <w:rsid w:val="00C22EDA"/>
    <w:rsid w:val="00C23B76"/>
    <w:rsid w:val="00C25E8C"/>
    <w:rsid w:val="00C26FAA"/>
    <w:rsid w:val="00C304C1"/>
    <w:rsid w:val="00C30500"/>
    <w:rsid w:val="00C31495"/>
    <w:rsid w:val="00C31683"/>
    <w:rsid w:val="00C3168C"/>
    <w:rsid w:val="00C322E2"/>
    <w:rsid w:val="00C327F4"/>
    <w:rsid w:val="00C334AF"/>
    <w:rsid w:val="00C3377F"/>
    <w:rsid w:val="00C34102"/>
    <w:rsid w:val="00C341FE"/>
    <w:rsid w:val="00C34295"/>
    <w:rsid w:val="00C34C31"/>
    <w:rsid w:val="00C35B9E"/>
    <w:rsid w:val="00C35DE9"/>
    <w:rsid w:val="00C36C12"/>
    <w:rsid w:val="00C37628"/>
    <w:rsid w:val="00C37778"/>
    <w:rsid w:val="00C37DCD"/>
    <w:rsid w:val="00C402A0"/>
    <w:rsid w:val="00C405DF"/>
    <w:rsid w:val="00C413F1"/>
    <w:rsid w:val="00C41609"/>
    <w:rsid w:val="00C41B7B"/>
    <w:rsid w:val="00C41FB7"/>
    <w:rsid w:val="00C4255A"/>
    <w:rsid w:val="00C42B45"/>
    <w:rsid w:val="00C43299"/>
    <w:rsid w:val="00C4524C"/>
    <w:rsid w:val="00C4575C"/>
    <w:rsid w:val="00C46001"/>
    <w:rsid w:val="00C478A6"/>
    <w:rsid w:val="00C479E5"/>
    <w:rsid w:val="00C47DA9"/>
    <w:rsid w:val="00C501EA"/>
    <w:rsid w:val="00C50BF9"/>
    <w:rsid w:val="00C50EFA"/>
    <w:rsid w:val="00C50F72"/>
    <w:rsid w:val="00C50FC2"/>
    <w:rsid w:val="00C5120A"/>
    <w:rsid w:val="00C51AD1"/>
    <w:rsid w:val="00C5206B"/>
    <w:rsid w:val="00C5225B"/>
    <w:rsid w:val="00C5416B"/>
    <w:rsid w:val="00C5505D"/>
    <w:rsid w:val="00C578A5"/>
    <w:rsid w:val="00C603F7"/>
    <w:rsid w:val="00C6077C"/>
    <w:rsid w:val="00C62506"/>
    <w:rsid w:val="00C62828"/>
    <w:rsid w:val="00C63CFA"/>
    <w:rsid w:val="00C64260"/>
    <w:rsid w:val="00C64BC4"/>
    <w:rsid w:val="00C65474"/>
    <w:rsid w:val="00C654F3"/>
    <w:rsid w:val="00C65FB6"/>
    <w:rsid w:val="00C6683F"/>
    <w:rsid w:val="00C66A36"/>
    <w:rsid w:val="00C677B2"/>
    <w:rsid w:val="00C67E99"/>
    <w:rsid w:val="00C70148"/>
    <w:rsid w:val="00C7051E"/>
    <w:rsid w:val="00C7059F"/>
    <w:rsid w:val="00C70941"/>
    <w:rsid w:val="00C70FBD"/>
    <w:rsid w:val="00C72180"/>
    <w:rsid w:val="00C721CF"/>
    <w:rsid w:val="00C7292C"/>
    <w:rsid w:val="00C735B7"/>
    <w:rsid w:val="00C73FEF"/>
    <w:rsid w:val="00C75058"/>
    <w:rsid w:val="00C76969"/>
    <w:rsid w:val="00C7710E"/>
    <w:rsid w:val="00C7744E"/>
    <w:rsid w:val="00C777E0"/>
    <w:rsid w:val="00C77C30"/>
    <w:rsid w:val="00C80696"/>
    <w:rsid w:val="00C8090D"/>
    <w:rsid w:val="00C80C78"/>
    <w:rsid w:val="00C81D3A"/>
    <w:rsid w:val="00C81DF9"/>
    <w:rsid w:val="00C83114"/>
    <w:rsid w:val="00C83337"/>
    <w:rsid w:val="00C83837"/>
    <w:rsid w:val="00C83BC6"/>
    <w:rsid w:val="00C84154"/>
    <w:rsid w:val="00C841D4"/>
    <w:rsid w:val="00C86117"/>
    <w:rsid w:val="00C86182"/>
    <w:rsid w:val="00C86B69"/>
    <w:rsid w:val="00C878DB"/>
    <w:rsid w:val="00C87DC4"/>
    <w:rsid w:val="00C87EA0"/>
    <w:rsid w:val="00C90160"/>
    <w:rsid w:val="00C90192"/>
    <w:rsid w:val="00C908D5"/>
    <w:rsid w:val="00C90C09"/>
    <w:rsid w:val="00C9116F"/>
    <w:rsid w:val="00C9147A"/>
    <w:rsid w:val="00C914A1"/>
    <w:rsid w:val="00C91999"/>
    <w:rsid w:val="00C9249E"/>
    <w:rsid w:val="00C92CD9"/>
    <w:rsid w:val="00C92E0C"/>
    <w:rsid w:val="00C93017"/>
    <w:rsid w:val="00C93E61"/>
    <w:rsid w:val="00C95B97"/>
    <w:rsid w:val="00C9601F"/>
    <w:rsid w:val="00C967CE"/>
    <w:rsid w:val="00C96CC3"/>
    <w:rsid w:val="00CA0041"/>
    <w:rsid w:val="00CA012B"/>
    <w:rsid w:val="00CA03A7"/>
    <w:rsid w:val="00CA0489"/>
    <w:rsid w:val="00CA12CC"/>
    <w:rsid w:val="00CA2565"/>
    <w:rsid w:val="00CA2671"/>
    <w:rsid w:val="00CA2987"/>
    <w:rsid w:val="00CA303A"/>
    <w:rsid w:val="00CA328B"/>
    <w:rsid w:val="00CA3318"/>
    <w:rsid w:val="00CA3EC4"/>
    <w:rsid w:val="00CA4351"/>
    <w:rsid w:val="00CA45AC"/>
    <w:rsid w:val="00CA70AF"/>
    <w:rsid w:val="00CA716C"/>
    <w:rsid w:val="00CB0686"/>
    <w:rsid w:val="00CB2209"/>
    <w:rsid w:val="00CB2396"/>
    <w:rsid w:val="00CB2C6B"/>
    <w:rsid w:val="00CB34A2"/>
    <w:rsid w:val="00CB3C0B"/>
    <w:rsid w:val="00CB3DF5"/>
    <w:rsid w:val="00CB3E6F"/>
    <w:rsid w:val="00CB524B"/>
    <w:rsid w:val="00CB5CC1"/>
    <w:rsid w:val="00CB6876"/>
    <w:rsid w:val="00CB6C61"/>
    <w:rsid w:val="00CB6E08"/>
    <w:rsid w:val="00CB71D6"/>
    <w:rsid w:val="00CC12E1"/>
    <w:rsid w:val="00CC13EE"/>
    <w:rsid w:val="00CC1461"/>
    <w:rsid w:val="00CC2164"/>
    <w:rsid w:val="00CC2519"/>
    <w:rsid w:val="00CC41CE"/>
    <w:rsid w:val="00CC5477"/>
    <w:rsid w:val="00CC5A5D"/>
    <w:rsid w:val="00CC5ED8"/>
    <w:rsid w:val="00CC6608"/>
    <w:rsid w:val="00CC68BC"/>
    <w:rsid w:val="00CC76A3"/>
    <w:rsid w:val="00CC7CD2"/>
    <w:rsid w:val="00CC7DE7"/>
    <w:rsid w:val="00CD0AFE"/>
    <w:rsid w:val="00CD1173"/>
    <w:rsid w:val="00CD1CC2"/>
    <w:rsid w:val="00CD218F"/>
    <w:rsid w:val="00CD3695"/>
    <w:rsid w:val="00CD3998"/>
    <w:rsid w:val="00CD3D4C"/>
    <w:rsid w:val="00CD4619"/>
    <w:rsid w:val="00CD4659"/>
    <w:rsid w:val="00CD4A4B"/>
    <w:rsid w:val="00CD5612"/>
    <w:rsid w:val="00CD5E92"/>
    <w:rsid w:val="00CD6479"/>
    <w:rsid w:val="00CD65F6"/>
    <w:rsid w:val="00CD701A"/>
    <w:rsid w:val="00CD7A77"/>
    <w:rsid w:val="00CE0EEC"/>
    <w:rsid w:val="00CE15D1"/>
    <w:rsid w:val="00CE23A1"/>
    <w:rsid w:val="00CE3004"/>
    <w:rsid w:val="00CE4697"/>
    <w:rsid w:val="00CE48CE"/>
    <w:rsid w:val="00CE4D25"/>
    <w:rsid w:val="00CE4FCD"/>
    <w:rsid w:val="00CE63B0"/>
    <w:rsid w:val="00CE7269"/>
    <w:rsid w:val="00CE7415"/>
    <w:rsid w:val="00CF00EC"/>
    <w:rsid w:val="00CF0CF6"/>
    <w:rsid w:val="00CF0D72"/>
    <w:rsid w:val="00CF1880"/>
    <w:rsid w:val="00CF188B"/>
    <w:rsid w:val="00CF1A56"/>
    <w:rsid w:val="00CF31FA"/>
    <w:rsid w:val="00CF3425"/>
    <w:rsid w:val="00CF3F20"/>
    <w:rsid w:val="00CF417F"/>
    <w:rsid w:val="00CF4780"/>
    <w:rsid w:val="00CF5BAB"/>
    <w:rsid w:val="00CF5D7A"/>
    <w:rsid w:val="00CF624A"/>
    <w:rsid w:val="00CF64A8"/>
    <w:rsid w:val="00CF6BC4"/>
    <w:rsid w:val="00CF73CB"/>
    <w:rsid w:val="00CF75BF"/>
    <w:rsid w:val="00D00292"/>
    <w:rsid w:val="00D005D2"/>
    <w:rsid w:val="00D007B4"/>
    <w:rsid w:val="00D01077"/>
    <w:rsid w:val="00D011F5"/>
    <w:rsid w:val="00D02259"/>
    <w:rsid w:val="00D028AA"/>
    <w:rsid w:val="00D03671"/>
    <w:rsid w:val="00D03E78"/>
    <w:rsid w:val="00D061D3"/>
    <w:rsid w:val="00D071B2"/>
    <w:rsid w:val="00D077E9"/>
    <w:rsid w:val="00D102ED"/>
    <w:rsid w:val="00D11F77"/>
    <w:rsid w:val="00D1388F"/>
    <w:rsid w:val="00D14FEB"/>
    <w:rsid w:val="00D1505B"/>
    <w:rsid w:val="00D158A1"/>
    <w:rsid w:val="00D16294"/>
    <w:rsid w:val="00D16BDE"/>
    <w:rsid w:val="00D16CC7"/>
    <w:rsid w:val="00D175C8"/>
    <w:rsid w:val="00D17766"/>
    <w:rsid w:val="00D177E7"/>
    <w:rsid w:val="00D179EF"/>
    <w:rsid w:val="00D17B11"/>
    <w:rsid w:val="00D2058F"/>
    <w:rsid w:val="00D21BC6"/>
    <w:rsid w:val="00D21ECB"/>
    <w:rsid w:val="00D228D6"/>
    <w:rsid w:val="00D23049"/>
    <w:rsid w:val="00D2383E"/>
    <w:rsid w:val="00D246D0"/>
    <w:rsid w:val="00D25ABE"/>
    <w:rsid w:val="00D26292"/>
    <w:rsid w:val="00D26516"/>
    <w:rsid w:val="00D279CF"/>
    <w:rsid w:val="00D27C0F"/>
    <w:rsid w:val="00D27FF5"/>
    <w:rsid w:val="00D3017F"/>
    <w:rsid w:val="00D3119F"/>
    <w:rsid w:val="00D32AA2"/>
    <w:rsid w:val="00D32DD0"/>
    <w:rsid w:val="00D33F46"/>
    <w:rsid w:val="00D345C7"/>
    <w:rsid w:val="00D34BAC"/>
    <w:rsid w:val="00D35376"/>
    <w:rsid w:val="00D353CD"/>
    <w:rsid w:val="00D358BC"/>
    <w:rsid w:val="00D35D76"/>
    <w:rsid w:val="00D36483"/>
    <w:rsid w:val="00D36E7B"/>
    <w:rsid w:val="00D371D1"/>
    <w:rsid w:val="00D378A0"/>
    <w:rsid w:val="00D401BC"/>
    <w:rsid w:val="00D406F1"/>
    <w:rsid w:val="00D41F14"/>
    <w:rsid w:val="00D42078"/>
    <w:rsid w:val="00D42080"/>
    <w:rsid w:val="00D42BF2"/>
    <w:rsid w:val="00D432A7"/>
    <w:rsid w:val="00D44006"/>
    <w:rsid w:val="00D45809"/>
    <w:rsid w:val="00D46766"/>
    <w:rsid w:val="00D46956"/>
    <w:rsid w:val="00D5000D"/>
    <w:rsid w:val="00D50040"/>
    <w:rsid w:val="00D50583"/>
    <w:rsid w:val="00D50CAE"/>
    <w:rsid w:val="00D50FD8"/>
    <w:rsid w:val="00D51354"/>
    <w:rsid w:val="00D52096"/>
    <w:rsid w:val="00D52B8B"/>
    <w:rsid w:val="00D52D24"/>
    <w:rsid w:val="00D5329E"/>
    <w:rsid w:val="00D53393"/>
    <w:rsid w:val="00D53828"/>
    <w:rsid w:val="00D554FA"/>
    <w:rsid w:val="00D55AC6"/>
    <w:rsid w:val="00D601BF"/>
    <w:rsid w:val="00D61AE5"/>
    <w:rsid w:val="00D63692"/>
    <w:rsid w:val="00D637C1"/>
    <w:rsid w:val="00D637E3"/>
    <w:rsid w:val="00D63A6B"/>
    <w:rsid w:val="00D63DE0"/>
    <w:rsid w:val="00D63DED"/>
    <w:rsid w:val="00D63F73"/>
    <w:rsid w:val="00D64401"/>
    <w:rsid w:val="00D65922"/>
    <w:rsid w:val="00D66FD3"/>
    <w:rsid w:val="00D675D2"/>
    <w:rsid w:val="00D70628"/>
    <w:rsid w:val="00D71024"/>
    <w:rsid w:val="00D7153C"/>
    <w:rsid w:val="00D71C50"/>
    <w:rsid w:val="00D728DB"/>
    <w:rsid w:val="00D733A0"/>
    <w:rsid w:val="00D7393C"/>
    <w:rsid w:val="00D747F2"/>
    <w:rsid w:val="00D75932"/>
    <w:rsid w:val="00D75F6E"/>
    <w:rsid w:val="00D766AA"/>
    <w:rsid w:val="00D7674C"/>
    <w:rsid w:val="00D768E4"/>
    <w:rsid w:val="00D77015"/>
    <w:rsid w:val="00D77144"/>
    <w:rsid w:val="00D775AD"/>
    <w:rsid w:val="00D810D8"/>
    <w:rsid w:val="00D812D1"/>
    <w:rsid w:val="00D81CF7"/>
    <w:rsid w:val="00D8214D"/>
    <w:rsid w:val="00D82993"/>
    <w:rsid w:val="00D82F93"/>
    <w:rsid w:val="00D83AAC"/>
    <w:rsid w:val="00D83B88"/>
    <w:rsid w:val="00D85551"/>
    <w:rsid w:val="00D85E88"/>
    <w:rsid w:val="00D8632C"/>
    <w:rsid w:val="00D87433"/>
    <w:rsid w:val="00D90F92"/>
    <w:rsid w:val="00D910D0"/>
    <w:rsid w:val="00D91495"/>
    <w:rsid w:val="00D9172D"/>
    <w:rsid w:val="00D92075"/>
    <w:rsid w:val="00D92807"/>
    <w:rsid w:val="00D9389E"/>
    <w:rsid w:val="00D9410B"/>
    <w:rsid w:val="00D94253"/>
    <w:rsid w:val="00D9430D"/>
    <w:rsid w:val="00D9490B"/>
    <w:rsid w:val="00D94F5E"/>
    <w:rsid w:val="00D9593A"/>
    <w:rsid w:val="00D95B54"/>
    <w:rsid w:val="00D9625E"/>
    <w:rsid w:val="00D975F9"/>
    <w:rsid w:val="00D97945"/>
    <w:rsid w:val="00D97DF0"/>
    <w:rsid w:val="00DA033B"/>
    <w:rsid w:val="00DA0E3B"/>
    <w:rsid w:val="00DA19E7"/>
    <w:rsid w:val="00DA1A61"/>
    <w:rsid w:val="00DA208C"/>
    <w:rsid w:val="00DA317E"/>
    <w:rsid w:val="00DA34D4"/>
    <w:rsid w:val="00DA3E37"/>
    <w:rsid w:val="00DA4996"/>
    <w:rsid w:val="00DA546D"/>
    <w:rsid w:val="00DA5775"/>
    <w:rsid w:val="00DA5B17"/>
    <w:rsid w:val="00DA6E9E"/>
    <w:rsid w:val="00DA6EAE"/>
    <w:rsid w:val="00DA6F9B"/>
    <w:rsid w:val="00DA7366"/>
    <w:rsid w:val="00DA74AF"/>
    <w:rsid w:val="00DB063D"/>
    <w:rsid w:val="00DB086A"/>
    <w:rsid w:val="00DB1852"/>
    <w:rsid w:val="00DB1E7B"/>
    <w:rsid w:val="00DB3404"/>
    <w:rsid w:val="00DB3F07"/>
    <w:rsid w:val="00DB5A18"/>
    <w:rsid w:val="00DB5B28"/>
    <w:rsid w:val="00DB6489"/>
    <w:rsid w:val="00DB7D0C"/>
    <w:rsid w:val="00DC0962"/>
    <w:rsid w:val="00DC2651"/>
    <w:rsid w:val="00DC2913"/>
    <w:rsid w:val="00DC291D"/>
    <w:rsid w:val="00DC3EAB"/>
    <w:rsid w:val="00DC4207"/>
    <w:rsid w:val="00DC475C"/>
    <w:rsid w:val="00DC4A4C"/>
    <w:rsid w:val="00DC4F5F"/>
    <w:rsid w:val="00DC516D"/>
    <w:rsid w:val="00DC58EE"/>
    <w:rsid w:val="00DC5D1D"/>
    <w:rsid w:val="00DC6971"/>
    <w:rsid w:val="00DC6FB7"/>
    <w:rsid w:val="00DC7A6C"/>
    <w:rsid w:val="00DC7F6B"/>
    <w:rsid w:val="00DD05EA"/>
    <w:rsid w:val="00DD072F"/>
    <w:rsid w:val="00DD1041"/>
    <w:rsid w:val="00DD13DA"/>
    <w:rsid w:val="00DD143C"/>
    <w:rsid w:val="00DD162A"/>
    <w:rsid w:val="00DD1B04"/>
    <w:rsid w:val="00DD32E4"/>
    <w:rsid w:val="00DD3BCB"/>
    <w:rsid w:val="00DD47C6"/>
    <w:rsid w:val="00DD49DF"/>
    <w:rsid w:val="00DD5D68"/>
    <w:rsid w:val="00DD618D"/>
    <w:rsid w:val="00DE0325"/>
    <w:rsid w:val="00DE0618"/>
    <w:rsid w:val="00DE067D"/>
    <w:rsid w:val="00DE0B5B"/>
    <w:rsid w:val="00DE142B"/>
    <w:rsid w:val="00DE1B4C"/>
    <w:rsid w:val="00DE1E74"/>
    <w:rsid w:val="00DE22B7"/>
    <w:rsid w:val="00DE3817"/>
    <w:rsid w:val="00DE5AAD"/>
    <w:rsid w:val="00DE64B5"/>
    <w:rsid w:val="00DF0CBE"/>
    <w:rsid w:val="00DF16F9"/>
    <w:rsid w:val="00DF1BB0"/>
    <w:rsid w:val="00DF4E8E"/>
    <w:rsid w:val="00DF57C7"/>
    <w:rsid w:val="00DF5D03"/>
    <w:rsid w:val="00DF694B"/>
    <w:rsid w:val="00DF6B7A"/>
    <w:rsid w:val="00DF7648"/>
    <w:rsid w:val="00DF7C47"/>
    <w:rsid w:val="00E00957"/>
    <w:rsid w:val="00E023B2"/>
    <w:rsid w:val="00E02627"/>
    <w:rsid w:val="00E03008"/>
    <w:rsid w:val="00E03526"/>
    <w:rsid w:val="00E03F3D"/>
    <w:rsid w:val="00E0476A"/>
    <w:rsid w:val="00E05EA8"/>
    <w:rsid w:val="00E065F5"/>
    <w:rsid w:val="00E068CF"/>
    <w:rsid w:val="00E06DD3"/>
    <w:rsid w:val="00E0765F"/>
    <w:rsid w:val="00E078FF"/>
    <w:rsid w:val="00E07F47"/>
    <w:rsid w:val="00E101AE"/>
    <w:rsid w:val="00E11420"/>
    <w:rsid w:val="00E11BD5"/>
    <w:rsid w:val="00E11C71"/>
    <w:rsid w:val="00E12528"/>
    <w:rsid w:val="00E12933"/>
    <w:rsid w:val="00E12E64"/>
    <w:rsid w:val="00E13657"/>
    <w:rsid w:val="00E137CB"/>
    <w:rsid w:val="00E139BB"/>
    <w:rsid w:val="00E150E2"/>
    <w:rsid w:val="00E153A8"/>
    <w:rsid w:val="00E207A8"/>
    <w:rsid w:val="00E20D45"/>
    <w:rsid w:val="00E20F40"/>
    <w:rsid w:val="00E21EF2"/>
    <w:rsid w:val="00E232AB"/>
    <w:rsid w:val="00E2411E"/>
    <w:rsid w:val="00E2413B"/>
    <w:rsid w:val="00E259C0"/>
    <w:rsid w:val="00E270C2"/>
    <w:rsid w:val="00E27184"/>
    <w:rsid w:val="00E2760B"/>
    <w:rsid w:val="00E276CE"/>
    <w:rsid w:val="00E316E4"/>
    <w:rsid w:val="00E31A1E"/>
    <w:rsid w:val="00E31A34"/>
    <w:rsid w:val="00E32601"/>
    <w:rsid w:val="00E32964"/>
    <w:rsid w:val="00E336B7"/>
    <w:rsid w:val="00E3390E"/>
    <w:rsid w:val="00E33A4F"/>
    <w:rsid w:val="00E33CED"/>
    <w:rsid w:val="00E3434A"/>
    <w:rsid w:val="00E34661"/>
    <w:rsid w:val="00E34E62"/>
    <w:rsid w:val="00E35B26"/>
    <w:rsid w:val="00E36AC3"/>
    <w:rsid w:val="00E4047F"/>
    <w:rsid w:val="00E4078C"/>
    <w:rsid w:val="00E40FAB"/>
    <w:rsid w:val="00E41BCF"/>
    <w:rsid w:val="00E41BE4"/>
    <w:rsid w:val="00E41E36"/>
    <w:rsid w:val="00E444BC"/>
    <w:rsid w:val="00E46413"/>
    <w:rsid w:val="00E47938"/>
    <w:rsid w:val="00E5190D"/>
    <w:rsid w:val="00E52335"/>
    <w:rsid w:val="00E526DC"/>
    <w:rsid w:val="00E54802"/>
    <w:rsid w:val="00E54897"/>
    <w:rsid w:val="00E54D32"/>
    <w:rsid w:val="00E55DD0"/>
    <w:rsid w:val="00E55EBF"/>
    <w:rsid w:val="00E56354"/>
    <w:rsid w:val="00E5654D"/>
    <w:rsid w:val="00E56570"/>
    <w:rsid w:val="00E5788A"/>
    <w:rsid w:val="00E5795C"/>
    <w:rsid w:val="00E6006E"/>
    <w:rsid w:val="00E603D6"/>
    <w:rsid w:val="00E6044C"/>
    <w:rsid w:val="00E61495"/>
    <w:rsid w:val="00E61BC6"/>
    <w:rsid w:val="00E61F7E"/>
    <w:rsid w:val="00E62534"/>
    <w:rsid w:val="00E629AD"/>
    <w:rsid w:val="00E62AF5"/>
    <w:rsid w:val="00E632BE"/>
    <w:rsid w:val="00E640C9"/>
    <w:rsid w:val="00E65BBF"/>
    <w:rsid w:val="00E66163"/>
    <w:rsid w:val="00E66C1F"/>
    <w:rsid w:val="00E66FD1"/>
    <w:rsid w:val="00E6759C"/>
    <w:rsid w:val="00E67B6C"/>
    <w:rsid w:val="00E67EDA"/>
    <w:rsid w:val="00E70A6C"/>
    <w:rsid w:val="00E710C1"/>
    <w:rsid w:val="00E710D1"/>
    <w:rsid w:val="00E7292A"/>
    <w:rsid w:val="00E72B18"/>
    <w:rsid w:val="00E73024"/>
    <w:rsid w:val="00E73C98"/>
    <w:rsid w:val="00E73F1E"/>
    <w:rsid w:val="00E74502"/>
    <w:rsid w:val="00E74D1E"/>
    <w:rsid w:val="00E75D3F"/>
    <w:rsid w:val="00E76DBA"/>
    <w:rsid w:val="00E80301"/>
    <w:rsid w:val="00E8184F"/>
    <w:rsid w:val="00E81E90"/>
    <w:rsid w:val="00E82561"/>
    <w:rsid w:val="00E829F8"/>
    <w:rsid w:val="00E82D6B"/>
    <w:rsid w:val="00E842FD"/>
    <w:rsid w:val="00E848DC"/>
    <w:rsid w:val="00E8498D"/>
    <w:rsid w:val="00E90625"/>
    <w:rsid w:val="00E915F8"/>
    <w:rsid w:val="00E9197E"/>
    <w:rsid w:val="00E91C46"/>
    <w:rsid w:val="00E96181"/>
    <w:rsid w:val="00E96245"/>
    <w:rsid w:val="00E9627F"/>
    <w:rsid w:val="00E966B7"/>
    <w:rsid w:val="00E966F2"/>
    <w:rsid w:val="00EA0414"/>
    <w:rsid w:val="00EA20D0"/>
    <w:rsid w:val="00EA256F"/>
    <w:rsid w:val="00EA2F14"/>
    <w:rsid w:val="00EA3123"/>
    <w:rsid w:val="00EA38DF"/>
    <w:rsid w:val="00EA3AC6"/>
    <w:rsid w:val="00EA46FE"/>
    <w:rsid w:val="00EA4803"/>
    <w:rsid w:val="00EA5608"/>
    <w:rsid w:val="00EA734D"/>
    <w:rsid w:val="00EA74A1"/>
    <w:rsid w:val="00EA7AB8"/>
    <w:rsid w:val="00EA7D61"/>
    <w:rsid w:val="00EB0270"/>
    <w:rsid w:val="00EB0404"/>
    <w:rsid w:val="00EB06D1"/>
    <w:rsid w:val="00EB06DD"/>
    <w:rsid w:val="00EB2D39"/>
    <w:rsid w:val="00EB32A8"/>
    <w:rsid w:val="00EB3CF3"/>
    <w:rsid w:val="00EB3F25"/>
    <w:rsid w:val="00EB434B"/>
    <w:rsid w:val="00EB591A"/>
    <w:rsid w:val="00EB5F99"/>
    <w:rsid w:val="00EB720B"/>
    <w:rsid w:val="00EB746F"/>
    <w:rsid w:val="00EB7513"/>
    <w:rsid w:val="00EB7791"/>
    <w:rsid w:val="00EC03B8"/>
    <w:rsid w:val="00EC0647"/>
    <w:rsid w:val="00EC0A51"/>
    <w:rsid w:val="00EC12E5"/>
    <w:rsid w:val="00EC1F3C"/>
    <w:rsid w:val="00EC340D"/>
    <w:rsid w:val="00EC47CE"/>
    <w:rsid w:val="00EC4B23"/>
    <w:rsid w:val="00EC4C4F"/>
    <w:rsid w:val="00EC4D70"/>
    <w:rsid w:val="00EC564C"/>
    <w:rsid w:val="00EC5BD4"/>
    <w:rsid w:val="00EC5D53"/>
    <w:rsid w:val="00EC6104"/>
    <w:rsid w:val="00EC612C"/>
    <w:rsid w:val="00EC70C5"/>
    <w:rsid w:val="00EC7BAC"/>
    <w:rsid w:val="00ED1EBF"/>
    <w:rsid w:val="00ED2C9E"/>
    <w:rsid w:val="00ED343D"/>
    <w:rsid w:val="00ED3827"/>
    <w:rsid w:val="00ED386F"/>
    <w:rsid w:val="00ED40D2"/>
    <w:rsid w:val="00ED41E6"/>
    <w:rsid w:val="00ED5FEB"/>
    <w:rsid w:val="00ED6906"/>
    <w:rsid w:val="00ED6B49"/>
    <w:rsid w:val="00ED7784"/>
    <w:rsid w:val="00EE052C"/>
    <w:rsid w:val="00EE0555"/>
    <w:rsid w:val="00EE1A2F"/>
    <w:rsid w:val="00EE1A5A"/>
    <w:rsid w:val="00EE1EBD"/>
    <w:rsid w:val="00EE1EC7"/>
    <w:rsid w:val="00EE2B21"/>
    <w:rsid w:val="00EE2B97"/>
    <w:rsid w:val="00EE2BC2"/>
    <w:rsid w:val="00EE3466"/>
    <w:rsid w:val="00EE3D14"/>
    <w:rsid w:val="00EE40BF"/>
    <w:rsid w:val="00EE4184"/>
    <w:rsid w:val="00EE58E7"/>
    <w:rsid w:val="00EE719C"/>
    <w:rsid w:val="00EE7401"/>
    <w:rsid w:val="00EF0680"/>
    <w:rsid w:val="00EF0FE9"/>
    <w:rsid w:val="00EF137F"/>
    <w:rsid w:val="00EF1EBB"/>
    <w:rsid w:val="00EF2698"/>
    <w:rsid w:val="00EF380B"/>
    <w:rsid w:val="00EF4708"/>
    <w:rsid w:val="00EF4918"/>
    <w:rsid w:val="00EF6D4F"/>
    <w:rsid w:val="00EF6F69"/>
    <w:rsid w:val="00EF7029"/>
    <w:rsid w:val="00EF71D1"/>
    <w:rsid w:val="00EF725E"/>
    <w:rsid w:val="00F0042C"/>
    <w:rsid w:val="00F020F8"/>
    <w:rsid w:val="00F036DE"/>
    <w:rsid w:val="00F03890"/>
    <w:rsid w:val="00F03A48"/>
    <w:rsid w:val="00F042E9"/>
    <w:rsid w:val="00F04461"/>
    <w:rsid w:val="00F063D8"/>
    <w:rsid w:val="00F067E8"/>
    <w:rsid w:val="00F077AB"/>
    <w:rsid w:val="00F07F89"/>
    <w:rsid w:val="00F11244"/>
    <w:rsid w:val="00F114E1"/>
    <w:rsid w:val="00F11821"/>
    <w:rsid w:val="00F13213"/>
    <w:rsid w:val="00F160CD"/>
    <w:rsid w:val="00F16850"/>
    <w:rsid w:val="00F17063"/>
    <w:rsid w:val="00F200DB"/>
    <w:rsid w:val="00F20B0A"/>
    <w:rsid w:val="00F21D0F"/>
    <w:rsid w:val="00F22D88"/>
    <w:rsid w:val="00F240C0"/>
    <w:rsid w:val="00F252FD"/>
    <w:rsid w:val="00F258C1"/>
    <w:rsid w:val="00F265B3"/>
    <w:rsid w:val="00F26E04"/>
    <w:rsid w:val="00F30A01"/>
    <w:rsid w:val="00F31348"/>
    <w:rsid w:val="00F315C2"/>
    <w:rsid w:val="00F31683"/>
    <w:rsid w:val="00F32505"/>
    <w:rsid w:val="00F3271F"/>
    <w:rsid w:val="00F32D8A"/>
    <w:rsid w:val="00F33039"/>
    <w:rsid w:val="00F33DC8"/>
    <w:rsid w:val="00F34B03"/>
    <w:rsid w:val="00F35439"/>
    <w:rsid w:val="00F361C5"/>
    <w:rsid w:val="00F36507"/>
    <w:rsid w:val="00F3674F"/>
    <w:rsid w:val="00F37EFB"/>
    <w:rsid w:val="00F40AFC"/>
    <w:rsid w:val="00F40DD5"/>
    <w:rsid w:val="00F40F6F"/>
    <w:rsid w:val="00F40F86"/>
    <w:rsid w:val="00F42165"/>
    <w:rsid w:val="00F42D9F"/>
    <w:rsid w:val="00F4307E"/>
    <w:rsid w:val="00F433B3"/>
    <w:rsid w:val="00F43695"/>
    <w:rsid w:val="00F4631A"/>
    <w:rsid w:val="00F46A7F"/>
    <w:rsid w:val="00F4754D"/>
    <w:rsid w:val="00F508C6"/>
    <w:rsid w:val="00F512D9"/>
    <w:rsid w:val="00F52488"/>
    <w:rsid w:val="00F5305A"/>
    <w:rsid w:val="00F5433A"/>
    <w:rsid w:val="00F55091"/>
    <w:rsid w:val="00F5551C"/>
    <w:rsid w:val="00F5639D"/>
    <w:rsid w:val="00F56B2B"/>
    <w:rsid w:val="00F57690"/>
    <w:rsid w:val="00F60A31"/>
    <w:rsid w:val="00F61AD8"/>
    <w:rsid w:val="00F62F81"/>
    <w:rsid w:val="00F63F0B"/>
    <w:rsid w:val="00F656ED"/>
    <w:rsid w:val="00F65C5D"/>
    <w:rsid w:val="00F665FF"/>
    <w:rsid w:val="00F666E3"/>
    <w:rsid w:val="00F67286"/>
    <w:rsid w:val="00F70639"/>
    <w:rsid w:val="00F707A7"/>
    <w:rsid w:val="00F70AF9"/>
    <w:rsid w:val="00F70CB0"/>
    <w:rsid w:val="00F71043"/>
    <w:rsid w:val="00F71309"/>
    <w:rsid w:val="00F714EA"/>
    <w:rsid w:val="00F71867"/>
    <w:rsid w:val="00F71A5E"/>
    <w:rsid w:val="00F71EE0"/>
    <w:rsid w:val="00F71FE0"/>
    <w:rsid w:val="00F7226C"/>
    <w:rsid w:val="00F730C1"/>
    <w:rsid w:val="00F73707"/>
    <w:rsid w:val="00F73B56"/>
    <w:rsid w:val="00F76375"/>
    <w:rsid w:val="00F763AF"/>
    <w:rsid w:val="00F76F86"/>
    <w:rsid w:val="00F770CA"/>
    <w:rsid w:val="00F779CA"/>
    <w:rsid w:val="00F80703"/>
    <w:rsid w:val="00F808B9"/>
    <w:rsid w:val="00F80973"/>
    <w:rsid w:val="00F80A98"/>
    <w:rsid w:val="00F80DDB"/>
    <w:rsid w:val="00F82A54"/>
    <w:rsid w:val="00F82B51"/>
    <w:rsid w:val="00F8380D"/>
    <w:rsid w:val="00F83F9D"/>
    <w:rsid w:val="00F85BAC"/>
    <w:rsid w:val="00F85F3F"/>
    <w:rsid w:val="00F8793B"/>
    <w:rsid w:val="00F87A2D"/>
    <w:rsid w:val="00F87B99"/>
    <w:rsid w:val="00F87CE0"/>
    <w:rsid w:val="00F908DE"/>
    <w:rsid w:val="00F90999"/>
    <w:rsid w:val="00F90BC9"/>
    <w:rsid w:val="00F91213"/>
    <w:rsid w:val="00F9155D"/>
    <w:rsid w:val="00F91ACB"/>
    <w:rsid w:val="00F91AE0"/>
    <w:rsid w:val="00F927C6"/>
    <w:rsid w:val="00F927EE"/>
    <w:rsid w:val="00F9336A"/>
    <w:rsid w:val="00F936AC"/>
    <w:rsid w:val="00F93948"/>
    <w:rsid w:val="00F94F5F"/>
    <w:rsid w:val="00F953BF"/>
    <w:rsid w:val="00F958FB"/>
    <w:rsid w:val="00F97B52"/>
    <w:rsid w:val="00FA062F"/>
    <w:rsid w:val="00FA12D1"/>
    <w:rsid w:val="00FA1F95"/>
    <w:rsid w:val="00FA274D"/>
    <w:rsid w:val="00FA290E"/>
    <w:rsid w:val="00FA3E60"/>
    <w:rsid w:val="00FA6849"/>
    <w:rsid w:val="00FA7227"/>
    <w:rsid w:val="00FB04A0"/>
    <w:rsid w:val="00FB0A60"/>
    <w:rsid w:val="00FB0E6E"/>
    <w:rsid w:val="00FB211C"/>
    <w:rsid w:val="00FB2625"/>
    <w:rsid w:val="00FB3184"/>
    <w:rsid w:val="00FB38CC"/>
    <w:rsid w:val="00FB46B8"/>
    <w:rsid w:val="00FB4AC3"/>
    <w:rsid w:val="00FB58DA"/>
    <w:rsid w:val="00FB5CE9"/>
    <w:rsid w:val="00FB5E17"/>
    <w:rsid w:val="00FC07D5"/>
    <w:rsid w:val="00FC0ED9"/>
    <w:rsid w:val="00FC0EFA"/>
    <w:rsid w:val="00FC13DA"/>
    <w:rsid w:val="00FC18A1"/>
    <w:rsid w:val="00FC18D6"/>
    <w:rsid w:val="00FC196B"/>
    <w:rsid w:val="00FC2B45"/>
    <w:rsid w:val="00FC2FEF"/>
    <w:rsid w:val="00FC398E"/>
    <w:rsid w:val="00FC3FA2"/>
    <w:rsid w:val="00FC4197"/>
    <w:rsid w:val="00FC4F5F"/>
    <w:rsid w:val="00FC549D"/>
    <w:rsid w:val="00FC5D50"/>
    <w:rsid w:val="00FC60B4"/>
    <w:rsid w:val="00FC65BF"/>
    <w:rsid w:val="00FC68D8"/>
    <w:rsid w:val="00FC715B"/>
    <w:rsid w:val="00FD12C2"/>
    <w:rsid w:val="00FD224C"/>
    <w:rsid w:val="00FD2ACF"/>
    <w:rsid w:val="00FD32DB"/>
    <w:rsid w:val="00FD439C"/>
    <w:rsid w:val="00FD4A24"/>
    <w:rsid w:val="00FD5394"/>
    <w:rsid w:val="00FD57A5"/>
    <w:rsid w:val="00FD6603"/>
    <w:rsid w:val="00FD701F"/>
    <w:rsid w:val="00FD73A1"/>
    <w:rsid w:val="00FD7735"/>
    <w:rsid w:val="00FD792C"/>
    <w:rsid w:val="00FE0025"/>
    <w:rsid w:val="00FE0085"/>
    <w:rsid w:val="00FE0C9C"/>
    <w:rsid w:val="00FE10A5"/>
    <w:rsid w:val="00FE126B"/>
    <w:rsid w:val="00FE23C9"/>
    <w:rsid w:val="00FE2C86"/>
    <w:rsid w:val="00FE2C99"/>
    <w:rsid w:val="00FE2F24"/>
    <w:rsid w:val="00FE322F"/>
    <w:rsid w:val="00FE348F"/>
    <w:rsid w:val="00FE4F37"/>
    <w:rsid w:val="00FE5193"/>
    <w:rsid w:val="00FE58CF"/>
    <w:rsid w:val="00FE60EF"/>
    <w:rsid w:val="00FE63D5"/>
    <w:rsid w:val="00FE6FF5"/>
    <w:rsid w:val="00FE708F"/>
    <w:rsid w:val="00FF009B"/>
    <w:rsid w:val="00FF0633"/>
    <w:rsid w:val="00FF0871"/>
    <w:rsid w:val="00FF08AB"/>
    <w:rsid w:val="00FF0FA3"/>
    <w:rsid w:val="00FF12EE"/>
    <w:rsid w:val="00FF1C07"/>
    <w:rsid w:val="00FF1D4F"/>
    <w:rsid w:val="00FF2668"/>
    <w:rsid w:val="00FF3C9D"/>
    <w:rsid w:val="00FF468A"/>
    <w:rsid w:val="00FF48AF"/>
    <w:rsid w:val="00FF48B0"/>
    <w:rsid w:val="00FF499E"/>
    <w:rsid w:val="00FF4B7A"/>
    <w:rsid w:val="00FF4E63"/>
    <w:rsid w:val="00FF5690"/>
    <w:rsid w:val="00FF6DB2"/>
    <w:rsid w:val="00FF720E"/>
    <w:rsid w:val="00FF7EA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9F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BE"/>
    <w:pPr>
      <w:spacing w:after="0" w:line="240" w:lineRule="auto"/>
      <w:jc w:val="both"/>
    </w:pPr>
    <w:rPr>
      <w:rFonts w:ascii="Verdana" w:eastAsia="Batang" w:hAnsi="Verdana" w:cs="Times"/>
      <w:sz w:val="20"/>
      <w:szCs w:val="24"/>
      <w:lang w:val="es-ES_tradnl"/>
    </w:rPr>
  </w:style>
  <w:style w:type="paragraph" w:styleId="Heading1">
    <w:name w:val="heading 1"/>
    <w:basedOn w:val="Normal"/>
    <w:next w:val="Normal"/>
    <w:link w:val="Heading1Char"/>
    <w:uiPriority w:val="9"/>
    <w:qFormat/>
    <w:rsid w:val="009569E6"/>
    <w:pPr>
      <w:keepNext/>
      <w:keepLines/>
      <w:spacing w:before="360" w:after="3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
    <w:unhideWhenUsed/>
    <w:qFormat/>
    <w:rsid w:val="00F80D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0DDB"/>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9"/>
    <w:unhideWhenUsed/>
    <w:qFormat/>
    <w:rsid w:val="00F80D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9A2F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9A2F04"/>
    <w:pPr>
      <w:keepNext w:val="0"/>
      <w:keepLines w:val="0"/>
      <w:numPr>
        <w:ilvl w:val="4"/>
        <w:numId w:val="3"/>
      </w:numPr>
      <w:spacing w:before="0"/>
      <w:outlineLvl w:val="5"/>
    </w:pPr>
    <w:rPr>
      <w:rFonts w:ascii="Verdana" w:eastAsia="Times New Roman" w:hAnsi="Verdana" w:cs="Times New Roman"/>
      <w:color w:val="auto"/>
      <w:spacing w:val="-2"/>
      <w:szCs w:val="20"/>
      <w:lang w:eastAsia="es-CR"/>
    </w:rPr>
  </w:style>
  <w:style w:type="paragraph" w:styleId="Heading7">
    <w:name w:val="heading 7"/>
    <w:basedOn w:val="Normal"/>
    <w:next w:val="Normal"/>
    <w:link w:val="Heading7Char"/>
    <w:uiPriority w:val="99"/>
    <w:qFormat/>
    <w:rsid w:val="00BD53D7"/>
    <w:pPr>
      <w:tabs>
        <w:tab w:val="num" w:pos="1296"/>
      </w:tabs>
      <w:spacing w:before="240" w:after="60" w:line="276" w:lineRule="auto"/>
      <w:ind w:left="1296" w:hanging="1296"/>
      <w:jc w:val="left"/>
      <w:outlineLvl w:val="6"/>
    </w:pPr>
    <w:rPr>
      <w:rFonts w:ascii="Times New Roman" w:eastAsia="Times New Roman" w:hAnsi="Times New Roman" w:cs="Times New Roman"/>
      <w:sz w:val="24"/>
      <w:lang w:eastAsia="es-ES"/>
    </w:rPr>
  </w:style>
  <w:style w:type="paragraph" w:styleId="Heading8">
    <w:name w:val="heading 8"/>
    <w:basedOn w:val="Normal"/>
    <w:next w:val="Normal"/>
    <w:link w:val="Heading8Char"/>
    <w:uiPriority w:val="99"/>
    <w:qFormat/>
    <w:rsid w:val="00BD53D7"/>
    <w:pPr>
      <w:tabs>
        <w:tab w:val="num" w:pos="1440"/>
      </w:tabs>
      <w:spacing w:before="240" w:after="60" w:line="276" w:lineRule="auto"/>
      <w:ind w:left="1440" w:hanging="1440"/>
      <w:jc w:val="left"/>
      <w:outlineLvl w:val="7"/>
    </w:pPr>
    <w:rPr>
      <w:rFonts w:ascii="Times New Roman" w:eastAsia="Times New Roman" w:hAnsi="Times New Roman" w:cs="Times New Roman"/>
      <w:i/>
      <w:iCs/>
      <w:sz w:val="24"/>
      <w:lang w:eastAsia="es-ES"/>
    </w:rPr>
  </w:style>
  <w:style w:type="paragraph" w:styleId="Heading9">
    <w:name w:val="heading 9"/>
    <w:basedOn w:val="Normal"/>
    <w:next w:val="Normal"/>
    <w:link w:val="Heading9Char"/>
    <w:uiPriority w:val="99"/>
    <w:qFormat/>
    <w:rsid w:val="00BD53D7"/>
    <w:pPr>
      <w:spacing w:before="240" w:after="60" w:line="276" w:lineRule="auto"/>
      <w:jc w:val="left"/>
      <w:outlineLvl w:val="8"/>
    </w:pPr>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03BF"/>
    <w:pPr>
      <w:jc w:val="center"/>
    </w:pPr>
    <w:rPr>
      <w:rFonts w:eastAsia="Times New Roman" w:cs="Times New Roman"/>
      <w:b/>
      <w:szCs w:val="20"/>
    </w:rPr>
  </w:style>
  <w:style w:type="character" w:customStyle="1" w:styleId="TitleChar">
    <w:name w:val="Title Char"/>
    <w:basedOn w:val="DefaultParagraphFont"/>
    <w:link w:val="Title"/>
    <w:rsid w:val="009403BF"/>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9403BF"/>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9403BF"/>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9403BF"/>
    <w:pPr>
      <w:ind w:left="708"/>
    </w:pPr>
    <w:rPr>
      <w:rFonts w:eastAsia="Times New Roman" w:cs="Times New Roman"/>
      <w:szCs w:val="20"/>
    </w:rPr>
  </w:style>
  <w:style w:type="paragraph" w:styleId="Header">
    <w:name w:val="header"/>
    <w:basedOn w:val="Normal"/>
    <w:link w:val="HeaderChar"/>
    <w:uiPriority w:val="99"/>
    <w:unhideWhenUsed/>
    <w:rsid w:val="009403BF"/>
    <w:pPr>
      <w:tabs>
        <w:tab w:val="center" w:pos="4252"/>
        <w:tab w:val="right" w:pos="8504"/>
      </w:tabs>
    </w:pPr>
  </w:style>
  <w:style w:type="character" w:customStyle="1" w:styleId="HeaderChar">
    <w:name w:val="Header Char"/>
    <w:basedOn w:val="DefaultParagraphFont"/>
    <w:link w:val="Header"/>
    <w:uiPriority w:val="99"/>
    <w:rsid w:val="009403BF"/>
    <w:rPr>
      <w:rFonts w:ascii="Verdana" w:eastAsia="Batang" w:hAnsi="Verdana" w:cs="Times"/>
      <w:noProof/>
      <w:sz w:val="20"/>
      <w:szCs w:val="24"/>
      <w:lang w:val="es-ES_tradnl"/>
    </w:rPr>
  </w:style>
  <w:style w:type="paragraph" w:styleId="Footer">
    <w:name w:val="footer"/>
    <w:basedOn w:val="Normal"/>
    <w:link w:val="FooterChar"/>
    <w:uiPriority w:val="99"/>
    <w:unhideWhenUsed/>
    <w:rsid w:val="009403BF"/>
    <w:pPr>
      <w:tabs>
        <w:tab w:val="center" w:pos="4252"/>
        <w:tab w:val="right" w:pos="8504"/>
      </w:tabs>
    </w:pPr>
  </w:style>
  <w:style w:type="character" w:customStyle="1" w:styleId="FooterChar">
    <w:name w:val="Footer Char"/>
    <w:basedOn w:val="DefaultParagraphFont"/>
    <w:link w:val="Footer"/>
    <w:uiPriority w:val="99"/>
    <w:rsid w:val="009403BF"/>
    <w:rPr>
      <w:rFonts w:ascii="Verdana" w:eastAsia="Batang" w:hAnsi="Verdana" w:cs="Times"/>
      <w:noProof/>
      <w:sz w:val="20"/>
      <w:szCs w:val="24"/>
      <w:lang w:val="es-ES_tradnl"/>
    </w:rPr>
  </w:style>
  <w:style w:type="character" w:styleId="Hyperlink">
    <w:name w:val="Hyperlink"/>
    <w:aliases w:val="Heading 3 caso"/>
    <w:basedOn w:val="DefaultParagraphFont"/>
    <w:uiPriority w:val="99"/>
    <w:unhideWhenUsed/>
    <w:rsid w:val="009403BF"/>
    <w:rPr>
      <w:color w:val="0000FF"/>
      <w:u w:val="single"/>
    </w:rPr>
  </w:style>
  <w:style w:type="paragraph" w:styleId="TOC1">
    <w:name w:val="toc 1"/>
    <w:basedOn w:val="Normal"/>
    <w:next w:val="Normal"/>
    <w:autoRedefine/>
    <w:uiPriority w:val="39"/>
    <w:unhideWhenUsed/>
    <w:rsid w:val="003E0964"/>
    <w:pPr>
      <w:tabs>
        <w:tab w:val="left" w:pos="709"/>
        <w:tab w:val="right" w:leader="dot" w:pos="9072"/>
      </w:tabs>
      <w:spacing w:before="60" w:after="60"/>
      <w:ind w:right="237"/>
    </w:pPr>
    <w:rPr>
      <w:b/>
      <w:sz w:val="18"/>
    </w:rPr>
  </w:style>
  <w:style w:type="character" w:customStyle="1" w:styleId="Heading1Char">
    <w:name w:val="Heading 1 Char"/>
    <w:basedOn w:val="DefaultParagraphFont"/>
    <w:link w:val="Heading1"/>
    <w:uiPriority w:val="9"/>
    <w:rsid w:val="009569E6"/>
    <w:rPr>
      <w:rFonts w:ascii="Verdana" w:eastAsia="Times New Roman" w:hAnsi="Verdana" w:cs="Verdana"/>
      <w:b/>
      <w:bCs/>
      <w:caps/>
      <w:noProof/>
      <w:snapToGrid w:val="0"/>
      <w:sz w:val="20"/>
      <w:szCs w:val="20"/>
      <w:lang w:val="es-CR" w:eastAsia="es-ES"/>
    </w:rPr>
  </w:style>
  <w:style w:type="paragraph" w:styleId="ListParagraph">
    <w:name w:val="List Paragraph"/>
    <w:aliases w:val="Footnote,List Paragraph1,Colorful List - Accent 11,Párrafo de lista1,List Paragraph2,Lista vistosa - Énfasis 11"/>
    <w:basedOn w:val="Normal"/>
    <w:link w:val="ListParagraphChar"/>
    <w:qFormat/>
    <w:rsid w:val="00CA3EC4"/>
    <w:pPr>
      <w:ind w:left="720"/>
      <w:contextualSpacing/>
    </w:p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qFormat/>
    <w:rsid w:val="006F5C6B"/>
    <w:rPr>
      <w:rFonts w:cs="Times New Roman"/>
      <w:szCs w:val="20"/>
      <w:vertAlign w:val="superscript"/>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FootnoteTextChar1"/>
    <w:unhideWhenUsed/>
    <w:qFormat/>
    <w:rsid w:val="006F5C6B"/>
    <w:pPr>
      <w:spacing w:before="120" w:after="120"/>
    </w:pPr>
    <w:rPr>
      <w:sz w:val="16"/>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DefaultParagraphFont"/>
    <w:uiPriority w:val="99"/>
    <w:qFormat/>
    <w:rsid w:val="006F5C6B"/>
    <w:rPr>
      <w:rFonts w:ascii="Verdana" w:eastAsia="Batang" w:hAnsi="Verdana" w:cs="Times"/>
      <w:noProof/>
      <w:sz w:val="20"/>
      <w:szCs w:val="20"/>
      <w:lang w:val="es-ES_tradnl"/>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DefaultParagraphFont"/>
    <w:link w:val="FootnoteText"/>
    <w:uiPriority w:val="99"/>
    <w:rsid w:val="006F5C6B"/>
    <w:rPr>
      <w:rFonts w:ascii="Verdana" w:eastAsia="Batang" w:hAnsi="Verdana" w:cs="Times"/>
      <w:noProof/>
      <w:sz w:val="16"/>
      <w:szCs w:val="20"/>
      <w:lang w:val="es-ES_tradnl"/>
    </w:rPr>
  </w:style>
  <w:style w:type="character" w:styleId="Strong">
    <w:name w:val="Strong"/>
    <w:basedOn w:val="DefaultParagraphFont"/>
    <w:uiPriority w:val="22"/>
    <w:qFormat/>
    <w:rsid w:val="0003786A"/>
    <w:rPr>
      <w:b/>
      <w:bCs/>
    </w:rPr>
  </w:style>
  <w:style w:type="character" w:customStyle="1" w:styleId="ListParagraphChar">
    <w:name w:val="List Paragraph Char"/>
    <w:aliases w:val="Footnote Char,List Paragraph1 Char,Colorful List - Accent 11 Char,Párrafo de lista1 Char,List Paragraph2 Char,Lista vistosa - Énfasis 11 Char"/>
    <w:basedOn w:val="DefaultParagraphFont"/>
    <w:link w:val="ListParagraph"/>
    <w:locked/>
    <w:rsid w:val="00375DA4"/>
    <w:rPr>
      <w:rFonts w:ascii="Verdana" w:eastAsia="Batang" w:hAnsi="Verdana" w:cs="Times"/>
      <w:noProof/>
      <w:sz w:val="20"/>
      <w:szCs w:val="24"/>
      <w:lang w:val="es-ES_tradnl"/>
    </w:rPr>
  </w:style>
  <w:style w:type="paragraph" w:customStyle="1" w:styleId="Estilo1">
    <w:name w:val="Estilo1"/>
    <w:basedOn w:val="Normal"/>
    <w:link w:val="Estilo1Car"/>
    <w:qFormat/>
    <w:rsid w:val="00375DA4"/>
    <w:pPr>
      <w:spacing w:after="120"/>
      <w:ind w:left="2018" w:right="6" w:hanging="180"/>
    </w:pPr>
    <w:rPr>
      <w:i/>
    </w:rPr>
  </w:style>
  <w:style w:type="character" w:customStyle="1" w:styleId="Estilo1Car">
    <w:name w:val="Estilo1 Car"/>
    <w:basedOn w:val="DefaultParagraphFont"/>
    <w:link w:val="Estilo1"/>
    <w:rsid w:val="00375DA4"/>
    <w:rPr>
      <w:rFonts w:ascii="Verdana" w:eastAsia="Batang" w:hAnsi="Verdana" w:cs="Times"/>
      <w:i/>
      <w:noProof/>
      <w:sz w:val="20"/>
      <w:szCs w:val="24"/>
      <w:lang w:val="es-ES_tradnl"/>
    </w:rPr>
  </w:style>
  <w:style w:type="character" w:customStyle="1" w:styleId="apple-converted-space">
    <w:name w:val="apple-converted-space"/>
    <w:basedOn w:val="DefaultParagraphFont"/>
    <w:rsid w:val="003C30A5"/>
  </w:style>
  <w:style w:type="paragraph" w:styleId="TOCHeading">
    <w:name w:val="TOC Heading"/>
    <w:basedOn w:val="Heading1"/>
    <w:next w:val="Normal"/>
    <w:uiPriority w:val="39"/>
    <w:unhideWhenUsed/>
    <w:qFormat/>
    <w:rsid w:val="00206CEA"/>
    <w:pPr>
      <w:spacing w:before="480" w:after="0" w:line="276" w:lineRule="auto"/>
      <w:jc w:val="left"/>
      <w:outlineLvl w:val="9"/>
    </w:pPr>
    <w:rPr>
      <w:rFonts w:asciiTheme="majorHAnsi" w:eastAsiaTheme="majorEastAsia" w:hAnsiTheme="majorHAnsi" w:cstheme="majorBidi"/>
      <w:caps w:val="0"/>
      <w:snapToGrid/>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206CEA"/>
    <w:rPr>
      <w:rFonts w:ascii="Tahoma" w:hAnsi="Tahoma" w:cs="Tahoma"/>
      <w:sz w:val="16"/>
      <w:szCs w:val="16"/>
    </w:rPr>
  </w:style>
  <w:style w:type="character" w:customStyle="1" w:styleId="BalloonTextChar">
    <w:name w:val="Balloon Text Char"/>
    <w:basedOn w:val="DefaultParagraphFont"/>
    <w:link w:val="BalloonText"/>
    <w:uiPriority w:val="99"/>
    <w:semiHidden/>
    <w:rsid w:val="00206CEA"/>
    <w:rPr>
      <w:rFonts w:ascii="Tahoma" w:eastAsia="Batang" w:hAnsi="Tahoma" w:cs="Tahoma"/>
      <w:noProof/>
      <w:sz w:val="16"/>
      <w:szCs w:val="16"/>
      <w:lang w:val="es-ES_tradnl"/>
    </w:rPr>
  </w:style>
  <w:style w:type="table" w:styleId="TableGrid">
    <w:name w:val="Table Grid"/>
    <w:basedOn w:val="TableNormal"/>
    <w:uiPriority w:val="99"/>
    <w:rsid w:val="007E7F4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1E70AE"/>
    <w:pPr>
      <w:tabs>
        <w:tab w:val="left" w:pos="660"/>
        <w:tab w:val="right" w:leader="dot" w:pos="9072"/>
      </w:tabs>
      <w:spacing w:after="60"/>
      <w:ind w:left="198" w:right="237"/>
    </w:pPr>
    <w:rPr>
      <w:rFonts w:cs="Tahoma"/>
      <w:b/>
      <w:i/>
      <w:noProof/>
      <w:lang w:eastAsia="x-none"/>
    </w:rPr>
  </w:style>
  <w:style w:type="character" w:styleId="CommentReference">
    <w:name w:val="annotation reference"/>
    <w:basedOn w:val="DefaultParagraphFont"/>
    <w:uiPriority w:val="99"/>
    <w:semiHidden/>
    <w:unhideWhenUsed/>
    <w:rsid w:val="00500859"/>
    <w:rPr>
      <w:sz w:val="16"/>
      <w:szCs w:val="16"/>
    </w:rPr>
  </w:style>
  <w:style w:type="paragraph" w:styleId="CommentText">
    <w:name w:val="annotation text"/>
    <w:basedOn w:val="Normal"/>
    <w:link w:val="CommentTextChar"/>
    <w:uiPriority w:val="99"/>
    <w:unhideWhenUsed/>
    <w:rsid w:val="00500859"/>
    <w:rPr>
      <w:szCs w:val="20"/>
    </w:rPr>
  </w:style>
  <w:style w:type="character" w:customStyle="1" w:styleId="CommentTextChar">
    <w:name w:val="Comment Text Char"/>
    <w:basedOn w:val="DefaultParagraphFont"/>
    <w:link w:val="CommentText"/>
    <w:uiPriority w:val="99"/>
    <w:rsid w:val="00500859"/>
    <w:rPr>
      <w:rFonts w:ascii="Verdana" w:eastAsia="Batang" w:hAnsi="Verdana" w:cs="Times"/>
      <w:noProof/>
      <w:sz w:val="20"/>
      <w:szCs w:val="20"/>
      <w:lang w:val="es-ES_tradnl"/>
    </w:rPr>
  </w:style>
  <w:style w:type="paragraph" w:styleId="CommentSubject">
    <w:name w:val="annotation subject"/>
    <w:basedOn w:val="CommentText"/>
    <w:next w:val="CommentText"/>
    <w:link w:val="CommentSubjectChar"/>
    <w:uiPriority w:val="99"/>
    <w:semiHidden/>
    <w:unhideWhenUsed/>
    <w:rsid w:val="00500859"/>
    <w:rPr>
      <w:b/>
      <w:bCs/>
    </w:rPr>
  </w:style>
  <w:style w:type="character" w:customStyle="1" w:styleId="CommentSubjectChar">
    <w:name w:val="Comment Subject Char"/>
    <w:basedOn w:val="CommentTextChar"/>
    <w:link w:val="CommentSubject"/>
    <w:uiPriority w:val="99"/>
    <w:semiHidden/>
    <w:rsid w:val="00500859"/>
    <w:rPr>
      <w:rFonts w:ascii="Verdana" w:eastAsia="Batang" w:hAnsi="Verdana" w:cs="Times"/>
      <w:b/>
      <w:bCs/>
      <w:noProof/>
      <w:sz w:val="20"/>
      <w:szCs w:val="20"/>
      <w:lang w:val="es-ES_tradnl"/>
    </w:rPr>
  </w:style>
  <w:style w:type="paragraph" w:customStyle="1" w:styleId="Footnotes">
    <w:name w:val="**. Footnotes"/>
    <w:basedOn w:val="FootnoteText"/>
    <w:link w:val="FootnotesChar"/>
    <w:autoRedefine/>
    <w:qFormat/>
    <w:rsid w:val="005427F3"/>
    <w:pPr>
      <w:spacing w:before="60" w:after="60"/>
    </w:pPr>
    <w:rPr>
      <w:rFonts w:eastAsia="Times New Roman" w:cs="Palatino-Italic"/>
      <w:iCs/>
      <w:spacing w:val="-4"/>
      <w:szCs w:val="16"/>
      <w:lang w:val="es-ES" w:bidi="en-US"/>
    </w:rPr>
  </w:style>
  <w:style w:type="character" w:customStyle="1" w:styleId="FootnotesChar">
    <w:name w:val="**. Footnotes Char"/>
    <w:basedOn w:val="DefaultParagraphFont"/>
    <w:link w:val="Footnotes"/>
    <w:rsid w:val="005427F3"/>
    <w:rPr>
      <w:rFonts w:ascii="Verdana" w:eastAsia="Times New Roman" w:hAnsi="Verdana" w:cs="Palatino-Italic"/>
      <w:iCs/>
      <w:spacing w:val="-4"/>
      <w:sz w:val="16"/>
      <w:szCs w:val="16"/>
      <w:lang w:bidi="en-US"/>
    </w:rPr>
  </w:style>
  <w:style w:type="character" w:customStyle="1" w:styleId="Heading6Char">
    <w:name w:val="Heading 6 Char"/>
    <w:basedOn w:val="DefaultParagraphFont"/>
    <w:link w:val="Heading6"/>
    <w:uiPriority w:val="9"/>
    <w:rsid w:val="009A2F04"/>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9"/>
    <w:rsid w:val="009A2F04"/>
    <w:rPr>
      <w:rFonts w:asciiTheme="majorHAnsi" w:eastAsiaTheme="majorEastAsia" w:hAnsiTheme="majorHAnsi" w:cstheme="majorBidi"/>
      <w:noProof/>
      <w:color w:val="243F60" w:themeColor="accent1" w:themeShade="7F"/>
      <w:sz w:val="20"/>
      <w:szCs w:val="24"/>
      <w:lang w:val="es-ES_tradnl"/>
    </w:rPr>
  </w:style>
  <w:style w:type="character" w:customStyle="1" w:styleId="Heading2Char">
    <w:name w:val="Heading 2 Char"/>
    <w:basedOn w:val="DefaultParagraphFont"/>
    <w:link w:val="Heading2"/>
    <w:uiPriority w:val="9"/>
    <w:qFormat/>
    <w:rsid w:val="00F80DDB"/>
    <w:rPr>
      <w:rFonts w:asciiTheme="majorHAnsi" w:eastAsiaTheme="majorEastAsia" w:hAnsiTheme="majorHAnsi" w:cstheme="majorBidi"/>
      <w:b/>
      <w:bCs/>
      <w:noProof/>
      <w:color w:val="4F81BD" w:themeColor="accent1"/>
      <w:sz w:val="26"/>
      <w:szCs w:val="26"/>
      <w:lang w:val="es-ES_tradnl"/>
    </w:rPr>
  </w:style>
  <w:style w:type="character" w:customStyle="1" w:styleId="Heading3Char">
    <w:name w:val="Heading 3 Char"/>
    <w:basedOn w:val="DefaultParagraphFont"/>
    <w:link w:val="Heading3"/>
    <w:uiPriority w:val="9"/>
    <w:rsid w:val="00F80DDB"/>
    <w:rPr>
      <w:rFonts w:ascii="Verdana" w:eastAsiaTheme="majorEastAsia" w:hAnsi="Verdana" w:cstheme="majorBidi"/>
      <w:b/>
      <w:bCs/>
      <w:i/>
      <w:sz w:val="20"/>
      <w:szCs w:val="24"/>
      <w:lang w:val="es-ES_tradnl"/>
    </w:rPr>
  </w:style>
  <w:style w:type="character" w:customStyle="1" w:styleId="Heading4Char">
    <w:name w:val="Heading 4 Char"/>
    <w:basedOn w:val="DefaultParagraphFont"/>
    <w:link w:val="Heading4"/>
    <w:uiPriority w:val="99"/>
    <w:rsid w:val="00F80DDB"/>
    <w:rPr>
      <w:rFonts w:asciiTheme="majorHAnsi" w:eastAsiaTheme="majorEastAsia" w:hAnsiTheme="majorHAnsi" w:cstheme="majorBidi"/>
      <w:b/>
      <w:bCs/>
      <w:i/>
      <w:iCs/>
      <w:color w:val="4F81BD" w:themeColor="accent1"/>
      <w:sz w:val="20"/>
      <w:szCs w:val="24"/>
      <w:lang w:val="es-ES_tradnl"/>
    </w:rPr>
  </w:style>
  <w:style w:type="paragraph" w:customStyle="1" w:styleId="2Footnotes">
    <w:name w:val="2. Footnotes"/>
    <w:basedOn w:val="FootnoteText"/>
    <w:link w:val="2FootnotesChar"/>
    <w:autoRedefine/>
    <w:qFormat/>
    <w:rsid w:val="00F80DDB"/>
    <w:rPr>
      <w:rFonts w:eastAsia="Times New Roman" w:cs="Palatino-Italic"/>
      <w:iCs/>
      <w:szCs w:val="18"/>
      <w:lang w:val="es-ES"/>
    </w:rPr>
  </w:style>
  <w:style w:type="character" w:customStyle="1" w:styleId="2FootnotesChar">
    <w:name w:val="2. Footnotes Char"/>
    <w:link w:val="2Footnotes"/>
    <w:rsid w:val="00F80DDB"/>
    <w:rPr>
      <w:rFonts w:ascii="Verdana" w:eastAsia="Times New Roman" w:hAnsi="Verdana" w:cs="Palatino-Italic"/>
      <w:iCs/>
      <w:sz w:val="16"/>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F80DDB"/>
    <w:rPr>
      <w:rFonts w:asciiTheme="minorHAnsi" w:eastAsiaTheme="minorHAnsi" w:hAnsiTheme="minorHAnsi" w:cs="Times New Roman"/>
      <w:sz w:val="22"/>
      <w:szCs w:val="20"/>
      <w:vertAlign w:val="superscript"/>
      <w:lang w:val="es-ES"/>
    </w:rPr>
  </w:style>
  <w:style w:type="character" w:customStyle="1" w:styleId="PrrafodeSentenciaChar">
    <w:name w:val="*. Párrafo de Sentencia Char"/>
    <w:link w:val="PrrafodeSentencia"/>
    <w:locked/>
    <w:rsid w:val="00CE4D25"/>
    <w:rPr>
      <w:rFonts w:ascii="Verdana" w:eastAsia="Batang" w:hAnsi="Verdana" w:cs="Arial"/>
      <w:sz w:val="20"/>
      <w:szCs w:val="20"/>
      <w:lang w:val="es-CR" w:eastAsia="es-MX"/>
    </w:rPr>
  </w:style>
  <w:style w:type="paragraph" w:customStyle="1" w:styleId="PrrafodeSentencia">
    <w:name w:val="*. Párrafo de Sentencia"/>
    <w:basedOn w:val="FootnoteText"/>
    <w:link w:val="PrrafodeSentenciaChar"/>
    <w:autoRedefine/>
    <w:qFormat/>
    <w:rsid w:val="00CE4D25"/>
    <w:pPr>
      <w:tabs>
        <w:tab w:val="left" w:pos="720"/>
      </w:tabs>
    </w:pPr>
    <w:rPr>
      <w:rFonts w:cs="Arial"/>
      <w:sz w:val="20"/>
      <w:lang w:val="es-CR" w:eastAsia="es-MX"/>
    </w:rPr>
  </w:style>
  <w:style w:type="character" w:customStyle="1" w:styleId="Smbolodenotaalpie">
    <w:name w:val="Símbolo de nota al pie"/>
    <w:rsid w:val="00577335"/>
    <w:rPr>
      <w:rFonts w:cs="Times New Roman"/>
      <w:szCs w:val="20"/>
      <w:vertAlign w:val="superscript"/>
    </w:rPr>
  </w:style>
  <w:style w:type="character" w:customStyle="1" w:styleId="Heading7Char">
    <w:name w:val="Heading 7 Char"/>
    <w:basedOn w:val="DefaultParagraphFont"/>
    <w:link w:val="Heading7"/>
    <w:uiPriority w:val="99"/>
    <w:rsid w:val="00BD53D7"/>
    <w:rPr>
      <w:rFonts w:ascii="Times New Roman" w:eastAsia="Times New Roman" w:hAnsi="Times New Roman" w:cs="Times New Roman"/>
      <w:sz w:val="24"/>
      <w:szCs w:val="24"/>
      <w:lang w:val="es-ES_tradnl" w:eastAsia="es-ES"/>
    </w:rPr>
  </w:style>
  <w:style w:type="character" w:customStyle="1" w:styleId="Heading8Char">
    <w:name w:val="Heading 8 Char"/>
    <w:basedOn w:val="DefaultParagraphFont"/>
    <w:link w:val="Heading8"/>
    <w:uiPriority w:val="99"/>
    <w:rsid w:val="00BD53D7"/>
    <w:rPr>
      <w:rFonts w:ascii="Times New Roman" w:eastAsia="Times New Roman" w:hAnsi="Times New Roman" w:cs="Times New Roman"/>
      <w:i/>
      <w:iCs/>
      <w:sz w:val="24"/>
      <w:szCs w:val="24"/>
      <w:lang w:val="es-ES_tradnl" w:eastAsia="es-ES"/>
    </w:rPr>
  </w:style>
  <w:style w:type="character" w:customStyle="1" w:styleId="Heading9Char">
    <w:name w:val="Heading 9 Char"/>
    <w:basedOn w:val="DefaultParagraphFont"/>
    <w:link w:val="Heading9"/>
    <w:uiPriority w:val="99"/>
    <w:rsid w:val="00BD53D7"/>
    <w:rPr>
      <w:rFonts w:ascii="Arial" w:eastAsia="Times New Roman" w:hAnsi="Arial" w:cs="Times New Roman"/>
      <w:lang w:val="es-ES_tradnl"/>
    </w:rPr>
  </w:style>
  <w:style w:type="character" w:styleId="LineNumber">
    <w:name w:val="line number"/>
    <w:basedOn w:val="DefaultParagraphFont"/>
    <w:uiPriority w:val="99"/>
    <w:semiHidden/>
    <w:unhideWhenUsed/>
    <w:rsid w:val="00BD53D7"/>
  </w:style>
  <w:style w:type="paragraph" w:styleId="NormalWeb">
    <w:name w:val="Normal (Web)"/>
    <w:aliases w:val="Normal (Web) Char1,Normal (Web) Char Char,Normal (Web) Char1 Char,Normal (Web) Char Char Char"/>
    <w:basedOn w:val="Normal"/>
    <w:uiPriority w:val="99"/>
    <w:rsid w:val="00BD53D7"/>
    <w:pPr>
      <w:spacing w:before="100" w:beforeAutospacing="1" w:after="100" w:afterAutospacing="1" w:line="276" w:lineRule="auto"/>
      <w:jc w:val="left"/>
    </w:pPr>
    <w:rPr>
      <w:rFonts w:ascii="Arial Unicode MS" w:eastAsia="Times New Roman" w:hAnsi="Arial Unicode MS" w:cs="Arial Unicode MS"/>
      <w:sz w:val="16"/>
      <w:szCs w:val="16"/>
      <w:lang w:val="en-US"/>
    </w:rPr>
  </w:style>
  <w:style w:type="paragraph" w:styleId="EndnoteText">
    <w:name w:val="endnote text"/>
    <w:basedOn w:val="Normal"/>
    <w:link w:val="EndnoteTextChar"/>
    <w:uiPriority w:val="99"/>
    <w:semiHidden/>
    <w:rsid w:val="00BD53D7"/>
    <w:pPr>
      <w:widowControl w:val="0"/>
      <w:tabs>
        <w:tab w:val="left" w:pos="720"/>
        <w:tab w:val="left" w:pos="1440"/>
        <w:tab w:val="left" w:pos="2160"/>
        <w:tab w:val="left" w:pos="2880"/>
        <w:tab w:val="left" w:pos="3600"/>
        <w:tab w:val="left" w:pos="4320"/>
        <w:tab w:val="left" w:pos="5760"/>
        <w:tab w:val="left" w:pos="6480"/>
        <w:tab w:val="left" w:pos="7200"/>
        <w:tab w:val="left" w:pos="7920"/>
      </w:tabs>
      <w:spacing w:before="60" w:after="60" w:line="276" w:lineRule="auto"/>
    </w:pPr>
    <w:rPr>
      <w:rFonts w:ascii="CG Times" w:eastAsia="Times New Roman" w:hAnsi="CG Times" w:cs="Times New Roman"/>
      <w:sz w:val="22"/>
      <w:szCs w:val="20"/>
      <w:lang w:val="es-ES"/>
    </w:rPr>
  </w:style>
  <w:style w:type="character" w:customStyle="1" w:styleId="EndnoteTextChar">
    <w:name w:val="Endnote Text Char"/>
    <w:basedOn w:val="DefaultParagraphFont"/>
    <w:link w:val="EndnoteText"/>
    <w:uiPriority w:val="99"/>
    <w:semiHidden/>
    <w:rsid w:val="00BD53D7"/>
    <w:rPr>
      <w:rFonts w:ascii="CG Times" w:eastAsia="Times New Roman" w:hAnsi="CG Times" w:cs="Times New Roman"/>
      <w:szCs w:val="20"/>
    </w:rPr>
  </w:style>
  <w:style w:type="character" w:styleId="PageNumber">
    <w:name w:val="page number"/>
    <w:basedOn w:val="DefaultParagraphFont"/>
    <w:uiPriority w:val="99"/>
    <w:rsid w:val="00BD53D7"/>
    <w:rPr>
      <w:rFonts w:cs="Times New Roman"/>
    </w:rPr>
  </w:style>
  <w:style w:type="paragraph" w:styleId="BodyTextIndent">
    <w:name w:val="Body Text Indent"/>
    <w:basedOn w:val="Normal"/>
    <w:link w:val="BodyTextIndentChar"/>
    <w:uiPriority w:val="99"/>
    <w:rsid w:val="00BD53D7"/>
    <w:pPr>
      <w:spacing w:before="60" w:after="60" w:line="276" w:lineRule="auto"/>
      <w:ind w:left="720"/>
    </w:pPr>
    <w:rPr>
      <w:rFonts w:ascii="Univers" w:eastAsia="Times New Roman" w:hAnsi="Univers" w:cs="Times New Roman"/>
      <w:szCs w:val="20"/>
      <w:lang w:val="es-CL"/>
    </w:rPr>
  </w:style>
  <w:style w:type="character" w:customStyle="1" w:styleId="BodyTextIndentChar">
    <w:name w:val="Body Text Indent Char"/>
    <w:basedOn w:val="DefaultParagraphFont"/>
    <w:link w:val="BodyTextIndent"/>
    <w:uiPriority w:val="99"/>
    <w:rsid w:val="00BD53D7"/>
    <w:rPr>
      <w:rFonts w:ascii="Univers" w:eastAsia="Times New Roman" w:hAnsi="Univers" w:cs="Times New Roman"/>
      <w:sz w:val="20"/>
      <w:szCs w:val="20"/>
      <w:lang w:val="es-CL"/>
    </w:rPr>
  </w:style>
  <w:style w:type="paragraph" w:styleId="BodyText">
    <w:name w:val="Body Text"/>
    <w:basedOn w:val="Normal"/>
    <w:link w:val="BodyTextChar"/>
    <w:uiPriority w:val="99"/>
    <w:rsid w:val="00BD53D7"/>
    <w:pPr>
      <w:spacing w:before="60" w:after="60" w:line="276" w:lineRule="auto"/>
    </w:pPr>
    <w:rPr>
      <w:rFonts w:ascii="Univers" w:eastAsia="Times New Roman" w:hAnsi="Univers" w:cs="Times New Roman"/>
      <w:sz w:val="22"/>
      <w:szCs w:val="20"/>
      <w:lang w:val="es-CL"/>
    </w:rPr>
  </w:style>
  <w:style w:type="character" w:customStyle="1" w:styleId="BodyTextChar">
    <w:name w:val="Body Text Char"/>
    <w:basedOn w:val="DefaultParagraphFont"/>
    <w:link w:val="BodyText"/>
    <w:uiPriority w:val="99"/>
    <w:rsid w:val="00BD53D7"/>
    <w:rPr>
      <w:rFonts w:ascii="Univers" w:eastAsia="Times New Roman" w:hAnsi="Univers" w:cs="Times New Roman"/>
      <w:szCs w:val="20"/>
      <w:lang w:val="es-CL"/>
    </w:rPr>
  </w:style>
  <w:style w:type="paragraph" w:styleId="BodyText2">
    <w:name w:val="Body Text 2"/>
    <w:basedOn w:val="Normal"/>
    <w:link w:val="BodyText2Char"/>
    <w:uiPriority w:val="99"/>
    <w:rsid w:val="00BD53D7"/>
    <w:pPr>
      <w:spacing w:before="60" w:after="120" w:line="480" w:lineRule="auto"/>
      <w:jc w:val="left"/>
    </w:pPr>
    <w:rPr>
      <w:rFonts w:ascii="Times New Roman" w:eastAsia="Times New Roman" w:hAnsi="Times New Roman" w:cs="Times New Roman"/>
      <w:sz w:val="24"/>
    </w:rPr>
  </w:style>
  <w:style w:type="character" w:customStyle="1" w:styleId="BodyText2Char">
    <w:name w:val="Body Text 2 Char"/>
    <w:basedOn w:val="DefaultParagraphFont"/>
    <w:link w:val="BodyText2"/>
    <w:uiPriority w:val="99"/>
    <w:rsid w:val="00BD53D7"/>
    <w:rPr>
      <w:rFonts w:ascii="Times New Roman" w:eastAsia="Times New Roman" w:hAnsi="Times New Roman" w:cs="Times New Roman"/>
      <w:sz w:val="24"/>
      <w:szCs w:val="24"/>
      <w:lang w:val="es-ES_tradnl"/>
    </w:rPr>
  </w:style>
  <w:style w:type="paragraph" w:styleId="BodyTextIndent2">
    <w:name w:val="Body Text Indent 2"/>
    <w:basedOn w:val="Normal"/>
    <w:link w:val="BodyTextIndent2Char"/>
    <w:uiPriority w:val="99"/>
    <w:rsid w:val="00BD53D7"/>
    <w:pPr>
      <w:spacing w:before="60" w:after="120" w:line="480" w:lineRule="auto"/>
      <w:ind w:left="283"/>
      <w:jc w:val="left"/>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BD53D7"/>
    <w:rPr>
      <w:rFonts w:ascii="Times New Roman" w:eastAsia="Times New Roman" w:hAnsi="Times New Roman" w:cs="Times New Roman"/>
      <w:sz w:val="24"/>
      <w:szCs w:val="20"/>
      <w:lang w:val="es-ES_tradnl"/>
    </w:rPr>
  </w:style>
  <w:style w:type="character" w:styleId="Emphasis">
    <w:name w:val="Emphasis"/>
    <w:basedOn w:val="DefaultParagraphFont"/>
    <w:uiPriority w:val="20"/>
    <w:qFormat/>
    <w:rsid w:val="00BD53D7"/>
    <w:rPr>
      <w:rFonts w:cs="Times New Roman"/>
      <w:i/>
      <w:iCs/>
    </w:rPr>
  </w:style>
  <w:style w:type="paragraph" w:styleId="BodyTextIndent3">
    <w:name w:val="Body Text Indent 3"/>
    <w:basedOn w:val="Normal"/>
    <w:link w:val="BodyTextIndent3Char"/>
    <w:uiPriority w:val="99"/>
    <w:rsid w:val="00BD53D7"/>
    <w:pPr>
      <w:spacing w:before="60" w:after="120" w:line="276" w:lineRule="auto"/>
      <w:ind w:left="283"/>
      <w:jc w:val="left"/>
    </w:pPr>
    <w:rPr>
      <w:rFonts w:ascii="Times New Roman" w:eastAsia="Times New Roman" w:hAnsi="Times New Roman" w:cs="Times New Roman"/>
      <w:sz w:val="16"/>
      <w:szCs w:val="16"/>
      <w:lang w:val="es-ES"/>
    </w:rPr>
  </w:style>
  <w:style w:type="character" w:customStyle="1" w:styleId="BodyTextIndent3Char">
    <w:name w:val="Body Text Indent 3 Char"/>
    <w:basedOn w:val="DefaultParagraphFont"/>
    <w:link w:val="BodyTextIndent3"/>
    <w:uiPriority w:val="99"/>
    <w:rsid w:val="00BD53D7"/>
    <w:rPr>
      <w:rFonts w:ascii="Times New Roman" w:eastAsia="Times New Roman" w:hAnsi="Times New Roman" w:cs="Times New Roman"/>
      <w:sz w:val="16"/>
      <w:szCs w:val="16"/>
    </w:rPr>
  </w:style>
  <w:style w:type="paragraph" w:styleId="BodyText3">
    <w:name w:val="Body Text 3"/>
    <w:basedOn w:val="Normal"/>
    <w:link w:val="BodyText3Char"/>
    <w:uiPriority w:val="99"/>
    <w:rsid w:val="00BD53D7"/>
    <w:pPr>
      <w:spacing w:before="60" w:after="120" w:line="276" w:lineRule="auto"/>
      <w:jc w:val="left"/>
    </w:pPr>
    <w:rPr>
      <w:rFonts w:ascii="Times New Roman" w:eastAsia="Times New Roman" w:hAnsi="Times New Roman" w:cs="Times New Roman"/>
      <w:sz w:val="16"/>
      <w:szCs w:val="16"/>
      <w:lang w:val="es-ES"/>
    </w:rPr>
  </w:style>
  <w:style w:type="character" w:customStyle="1" w:styleId="BodyText3Char">
    <w:name w:val="Body Text 3 Char"/>
    <w:basedOn w:val="DefaultParagraphFont"/>
    <w:link w:val="BodyText3"/>
    <w:uiPriority w:val="99"/>
    <w:rsid w:val="00BD53D7"/>
    <w:rPr>
      <w:rFonts w:ascii="Times New Roman" w:eastAsia="Times New Roman" w:hAnsi="Times New Roman" w:cs="Times New Roman"/>
      <w:sz w:val="16"/>
      <w:szCs w:val="16"/>
    </w:rPr>
  </w:style>
  <w:style w:type="character" w:customStyle="1" w:styleId="Smbolodenotaalpie0">
    <w:name w:val="S√mbolo de nota al pie"/>
    <w:uiPriority w:val="99"/>
    <w:rsid w:val="00BD53D7"/>
    <w:rPr>
      <w:vertAlign w:val="superscript"/>
    </w:rPr>
  </w:style>
  <w:style w:type="character" w:customStyle="1" w:styleId="FootnoteCharacters">
    <w:name w:val="Footnote Characters"/>
    <w:basedOn w:val="DefaultParagraphFont"/>
    <w:uiPriority w:val="99"/>
    <w:qFormat/>
    <w:rsid w:val="00BD53D7"/>
    <w:rPr>
      <w:rFonts w:cs="Times New Roman"/>
      <w:vertAlign w:val="superscript"/>
    </w:rPr>
  </w:style>
  <w:style w:type="paragraph" w:customStyle="1" w:styleId="negritamayuscula">
    <w:name w:val="negrita mayuscula"/>
    <w:basedOn w:val="Normal"/>
    <w:uiPriority w:val="99"/>
    <w:rsid w:val="00BD53D7"/>
    <w:pPr>
      <w:widowControl w:val="0"/>
      <w:tabs>
        <w:tab w:val="left" w:pos="1120"/>
      </w:tabs>
      <w:spacing w:before="60" w:after="60" w:line="360" w:lineRule="atLeast"/>
    </w:pPr>
    <w:rPr>
      <w:rFonts w:ascii="Garamond" w:eastAsia="Times New Roman" w:hAnsi="Garamond" w:cs="Times New Roman"/>
      <w:sz w:val="24"/>
      <w:szCs w:val="20"/>
    </w:rPr>
  </w:style>
  <w:style w:type="paragraph" w:customStyle="1" w:styleId="Default">
    <w:name w:val="Default"/>
    <w:rsid w:val="00BD53D7"/>
    <w:pPr>
      <w:autoSpaceDE w:val="0"/>
      <w:autoSpaceDN w:val="0"/>
      <w:adjustRightInd w:val="0"/>
      <w:spacing w:before="60" w:after="0" w:line="240" w:lineRule="auto"/>
    </w:pPr>
    <w:rPr>
      <w:rFonts w:ascii="Arial" w:eastAsia="Times New Roman" w:hAnsi="Arial" w:cs="Arial"/>
      <w:color w:val="000000"/>
      <w:sz w:val="24"/>
      <w:szCs w:val="24"/>
      <w:lang w:val="en-US"/>
    </w:rPr>
  </w:style>
  <w:style w:type="paragraph" w:customStyle="1" w:styleId="newsbody">
    <w:name w:val="news_body"/>
    <w:basedOn w:val="Normal"/>
    <w:uiPriority w:val="99"/>
    <w:rsid w:val="00BD53D7"/>
    <w:pPr>
      <w:spacing w:before="100" w:beforeAutospacing="1" w:after="100" w:afterAutospacing="1" w:line="276" w:lineRule="auto"/>
      <w:jc w:val="left"/>
    </w:pPr>
    <w:rPr>
      <w:rFonts w:eastAsia="Times New Roman" w:cs="Times New Roman"/>
      <w:color w:val="000000"/>
      <w:spacing w:val="3"/>
      <w:sz w:val="18"/>
      <w:szCs w:val="18"/>
      <w:lang w:val="es-ES" w:eastAsia="es-ES"/>
    </w:rPr>
  </w:style>
  <w:style w:type="paragraph" w:customStyle="1" w:styleId="Titre1">
    <w:name w:val="Titre 1"/>
    <w:basedOn w:val="Normal"/>
    <w:uiPriority w:val="99"/>
    <w:rsid w:val="00BD53D7"/>
    <w:pPr>
      <w:numPr>
        <w:numId w:val="5"/>
      </w:numPr>
      <w:tabs>
        <w:tab w:val="num" w:pos="1080"/>
      </w:tabs>
      <w:spacing w:before="60" w:after="60" w:line="276" w:lineRule="auto"/>
      <w:ind w:left="1080" w:hanging="720"/>
      <w:jc w:val="center"/>
    </w:pPr>
    <w:rPr>
      <w:rFonts w:eastAsia="Times New Roman" w:cs="Times New Roman"/>
      <w:b/>
      <w:caps/>
      <w:szCs w:val="20"/>
      <w:lang w:val="es-ES" w:eastAsia="es-ES"/>
    </w:rPr>
  </w:style>
  <w:style w:type="paragraph" w:styleId="ListBullet">
    <w:name w:val="List Bullet"/>
    <w:basedOn w:val="Normal"/>
    <w:uiPriority w:val="99"/>
    <w:rsid w:val="00BD53D7"/>
    <w:pPr>
      <w:numPr>
        <w:numId w:val="4"/>
      </w:numPr>
      <w:tabs>
        <w:tab w:val="clear" w:pos="360"/>
        <w:tab w:val="num" w:pos="780"/>
      </w:tabs>
      <w:spacing w:before="60" w:after="60" w:line="276" w:lineRule="auto"/>
      <w:jc w:val="left"/>
    </w:pPr>
    <w:rPr>
      <w:rFonts w:ascii="Times New Roman" w:eastAsia="Times New Roman" w:hAnsi="Times New Roman" w:cs="Times New Roman"/>
      <w:sz w:val="24"/>
      <w:lang w:val="es-ES"/>
    </w:rPr>
  </w:style>
  <w:style w:type="character" w:customStyle="1" w:styleId="CarCar">
    <w:name w:val="Car Car"/>
    <w:basedOn w:val="DefaultParagraphFont"/>
    <w:uiPriority w:val="99"/>
    <w:rsid w:val="00BD53D7"/>
    <w:rPr>
      <w:rFonts w:cs="Times New Roman"/>
      <w:sz w:val="24"/>
      <w:lang w:val="es-ES" w:eastAsia="en-US"/>
    </w:rPr>
  </w:style>
  <w:style w:type="paragraph" w:styleId="List2">
    <w:name w:val="List 2"/>
    <w:basedOn w:val="Normal"/>
    <w:uiPriority w:val="99"/>
    <w:rsid w:val="00BD53D7"/>
    <w:pPr>
      <w:spacing w:before="60" w:after="60" w:line="276" w:lineRule="auto"/>
      <w:ind w:left="566" w:hanging="283"/>
      <w:jc w:val="left"/>
    </w:pPr>
    <w:rPr>
      <w:rFonts w:ascii="Times New Roman" w:eastAsia="Times New Roman" w:hAnsi="Times New Roman" w:cs="Times New Roman"/>
      <w:sz w:val="28"/>
      <w:szCs w:val="28"/>
      <w:lang w:val="es-ES" w:eastAsia="es-ES"/>
    </w:rPr>
  </w:style>
  <w:style w:type="paragraph" w:styleId="BlockText">
    <w:name w:val="Block Text"/>
    <w:basedOn w:val="Normal"/>
    <w:uiPriority w:val="99"/>
    <w:rsid w:val="00BD53D7"/>
    <w:pPr>
      <w:spacing w:before="60" w:after="60" w:line="360" w:lineRule="auto"/>
      <w:ind w:left="1259" w:right="919"/>
    </w:pPr>
    <w:rPr>
      <w:rFonts w:ascii="Times New Roman" w:eastAsia="Times New Roman" w:hAnsi="Times New Roman" w:cs="Times New Roman"/>
      <w:sz w:val="28"/>
      <w:lang w:val="es-ES" w:eastAsia="es-ES"/>
    </w:rPr>
  </w:style>
  <w:style w:type="paragraph" w:customStyle="1" w:styleId="textoparrafo">
    <w:name w:val="textoparrafo"/>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s-ES" w:eastAsia="es-ES"/>
    </w:rPr>
  </w:style>
  <w:style w:type="paragraph" w:customStyle="1" w:styleId="Prrafodelista1">
    <w:name w:val="P∑rrafo de lista1"/>
    <w:basedOn w:val="Normal"/>
    <w:uiPriority w:val="99"/>
    <w:rsid w:val="00BD53D7"/>
    <w:pPr>
      <w:spacing w:before="60" w:after="60" w:line="276" w:lineRule="auto"/>
      <w:ind w:left="720"/>
      <w:contextualSpacing/>
      <w:jc w:val="left"/>
    </w:pPr>
    <w:rPr>
      <w:rFonts w:ascii="Times New Roman" w:eastAsia="Times New Roman" w:hAnsi="Times New Roman" w:cs="Times New Roman"/>
      <w:sz w:val="24"/>
    </w:rPr>
  </w:style>
  <w:style w:type="paragraph" w:customStyle="1" w:styleId="StyleHeading2LatinTimesNewRomanAsianBatang12ptN">
    <w:name w:val="Style Heading 2 + (Latin) Times New Roman (Asian) Batang 12 pt N..."/>
    <w:basedOn w:val="Heading2"/>
    <w:next w:val="Normal"/>
    <w:uiPriority w:val="99"/>
    <w:rsid w:val="00BD53D7"/>
    <w:pPr>
      <w:numPr>
        <w:ilvl w:val="1"/>
      </w:numPr>
      <w:tabs>
        <w:tab w:val="num" w:pos="576"/>
      </w:tabs>
      <w:spacing w:before="0" w:line="276" w:lineRule="auto"/>
      <w:ind w:left="576" w:hanging="576"/>
    </w:pPr>
    <w:rPr>
      <w:rFonts w:ascii="Times New Roman" w:eastAsia="Batang" w:hAnsi="Times New Roman" w:cs="Times New Roman"/>
      <w:i/>
      <w:color w:val="365F91"/>
      <w:sz w:val="24"/>
      <w:szCs w:val="20"/>
      <w:lang w:eastAsia="es-ES"/>
    </w:rPr>
  </w:style>
  <w:style w:type="character" w:customStyle="1" w:styleId="documentbody">
    <w:name w:val="documentbody"/>
    <w:basedOn w:val="DefaultParagraphFont"/>
    <w:uiPriority w:val="99"/>
    <w:rsid w:val="00BD53D7"/>
    <w:rPr>
      <w:rFonts w:cs="Times New Roman"/>
    </w:rPr>
  </w:style>
  <w:style w:type="paragraph" w:customStyle="1" w:styleId="JuPara">
    <w:name w:val="Ju_Para"/>
    <w:basedOn w:val="Normal"/>
    <w:uiPriority w:val="99"/>
    <w:rsid w:val="00BD53D7"/>
    <w:pPr>
      <w:suppressAutoHyphens/>
      <w:spacing w:before="240" w:after="240" w:line="276" w:lineRule="auto"/>
      <w:ind w:firstLine="284"/>
    </w:pPr>
    <w:rPr>
      <w:rFonts w:ascii="Times New Roman" w:eastAsia="Times New Roman" w:hAnsi="Times New Roman" w:cs="Times New Roman"/>
      <w:sz w:val="24"/>
      <w:szCs w:val="20"/>
      <w:lang w:val="en-GB"/>
    </w:rPr>
  </w:style>
  <w:style w:type="paragraph" w:customStyle="1" w:styleId="Index91">
    <w:name w:val="Index 91"/>
    <w:basedOn w:val="Normal"/>
    <w:uiPriority w:val="99"/>
    <w:rsid w:val="00BD53D7"/>
    <w:pPr>
      <w:spacing w:before="60" w:after="60" w:line="276" w:lineRule="auto"/>
      <w:jc w:val="center"/>
    </w:pPr>
    <w:rPr>
      <w:rFonts w:ascii="Apple Chancery" w:eastAsia="Times New Roman" w:hAnsi="Apple Chancery" w:cs="Times New Roman"/>
      <w:b/>
      <w:sz w:val="24"/>
      <w:szCs w:val="20"/>
      <w:lang w:eastAsia="es-ES"/>
    </w:rPr>
  </w:style>
  <w:style w:type="paragraph" w:customStyle="1" w:styleId="Textoindependiente21">
    <w:name w:val="Texto independiente 21"/>
    <w:basedOn w:val="Normal"/>
    <w:uiPriority w:val="99"/>
    <w:rsid w:val="00BD53D7"/>
    <w:pPr>
      <w:spacing w:before="60" w:after="60" w:line="360" w:lineRule="atLeast"/>
    </w:pPr>
    <w:rPr>
      <w:rFonts w:eastAsia="Times New Roman" w:cs="Times New Roman"/>
      <w:szCs w:val="20"/>
      <w:lang w:eastAsia="es-ES"/>
    </w:rPr>
  </w:style>
  <w:style w:type="character" w:customStyle="1" w:styleId="Refdenotaalpie7">
    <w:name w:val="Ref. de nota al pie7"/>
    <w:uiPriority w:val="99"/>
    <w:rsid w:val="00BD53D7"/>
    <w:rPr>
      <w:vertAlign w:val="superscript"/>
    </w:rPr>
  </w:style>
  <w:style w:type="paragraph" w:styleId="NoSpacing">
    <w:name w:val="No Spacing"/>
    <w:uiPriority w:val="1"/>
    <w:qFormat/>
    <w:rsid w:val="00BD53D7"/>
    <w:pPr>
      <w:spacing w:before="60" w:after="0" w:line="240" w:lineRule="auto"/>
    </w:pPr>
    <w:rPr>
      <w:rFonts w:ascii="Calibri" w:eastAsia="Times New Roman" w:hAnsi="Calibri" w:cs="Times New Roman"/>
    </w:rPr>
  </w:style>
  <w:style w:type="paragraph" w:customStyle="1" w:styleId="Normal6">
    <w:name w:val="Normal+6"/>
    <w:basedOn w:val="Normal"/>
    <w:next w:val="Normal"/>
    <w:uiPriority w:val="99"/>
    <w:rsid w:val="00BD53D7"/>
    <w:pPr>
      <w:autoSpaceDE w:val="0"/>
      <w:autoSpaceDN w:val="0"/>
      <w:adjustRightInd w:val="0"/>
      <w:spacing w:before="60" w:after="60" w:line="276" w:lineRule="auto"/>
      <w:jc w:val="left"/>
    </w:pPr>
    <w:rPr>
      <w:rFonts w:ascii="Times New Roman" w:eastAsia="Times New Roman" w:hAnsi="Times New Roman" w:cs="Times New Roman"/>
      <w:sz w:val="24"/>
      <w:lang w:val="es-ES" w:eastAsia="es-ES"/>
    </w:rPr>
  </w:style>
  <w:style w:type="character" w:customStyle="1" w:styleId="googqs-tidbit1">
    <w:name w:val="goog_qs-tidbit1"/>
    <w:basedOn w:val="DefaultParagraphFont"/>
    <w:uiPriority w:val="99"/>
    <w:rsid w:val="00BD53D7"/>
    <w:rPr>
      <w:rFonts w:cs="Times New Roman"/>
    </w:rPr>
  </w:style>
  <w:style w:type="character" w:customStyle="1" w:styleId="apple-style-span">
    <w:name w:val="apple-style-span"/>
    <w:basedOn w:val="DefaultParagraphFont"/>
    <w:uiPriority w:val="99"/>
    <w:rsid w:val="00BD53D7"/>
    <w:rPr>
      <w:rFonts w:cs="Times New Roman"/>
    </w:rPr>
  </w:style>
  <w:style w:type="character" w:customStyle="1" w:styleId="WW8Num5z1">
    <w:name w:val="WW8Num5z1"/>
    <w:uiPriority w:val="99"/>
    <w:rsid w:val="00BD53D7"/>
    <w:rPr>
      <w:rFonts w:ascii="Courier New" w:hAnsi="Courier New"/>
    </w:rPr>
  </w:style>
  <w:style w:type="character" w:customStyle="1" w:styleId="A10">
    <w:name w:val="A10"/>
    <w:uiPriority w:val="99"/>
    <w:rsid w:val="00BD53D7"/>
    <w:rPr>
      <w:color w:val="000000"/>
      <w:sz w:val="11"/>
    </w:rPr>
  </w:style>
  <w:style w:type="paragraph" w:customStyle="1" w:styleId="MacroText1">
    <w:name w:val="Macro Text1"/>
    <w:basedOn w:val="Normal"/>
    <w:uiPriority w:val="99"/>
    <w:rsid w:val="00BD53D7"/>
    <w:pPr>
      <w:suppressAutoHyphens/>
      <w:spacing w:before="60" w:after="60" w:line="276" w:lineRule="auto"/>
      <w:jc w:val="left"/>
    </w:pPr>
    <w:rPr>
      <w:rFonts w:eastAsia="Times New Roman" w:cs="Times New Roman"/>
      <w:sz w:val="24"/>
      <w:szCs w:val="20"/>
      <w:lang w:eastAsia="ar-SA"/>
    </w:rPr>
  </w:style>
  <w:style w:type="paragraph" w:customStyle="1" w:styleId="ju-005fpara-0020char1-0020char-0020char-0020char-0020char-0020char">
    <w:name w:val="ju-005fpara-0020char1-0020char-0020char-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n-US"/>
    </w:rPr>
  </w:style>
  <w:style w:type="paragraph" w:customStyle="1" w:styleId="ju-005fpara-0020char-0020char-0020char">
    <w:name w:val="ju-005fpara-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n-US"/>
    </w:rPr>
  </w:style>
  <w:style w:type="character" w:customStyle="1" w:styleId="ju-005fpara-0020char-0020char-0020char--char">
    <w:name w:val="ju-005fpara-0020char-0020char-0020char--char"/>
    <w:basedOn w:val="DefaultParagraphFont"/>
    <w:uiPriority w:val="99"/>
    <w:rsid w:val="00BD53D7"/>
    <w:rPr>
      <w:rFonts w:cs="Times New Roman"/>
    </w:rPr>
  </w:style>
  <w:style w:type="character" w:styleId="FollowedHyperlink">
    <w:name w:val="FollowedHyperlink"/>
    <w:basedOn w:val="DefaultParagraphFont"/>
    <w:uiPriority w:val="99"/>
    <w:rsid w:val="00BD53D7"/>
    <w:rPr>
      <w:rFonts w:cs="Times New Roman"/>
      <w:color w:val="800080"/>
      <w:u w:val="single"/>
    </w:rPr>
  </w:style>
  <w:style w:type="paragraph" w:customStyle="1" w:styleId="western">
    <w:name w:val="western"/>
    <w:basedOn w:val="Normal"/>
    <w:uiPriority w:val="99"/>
    <w:rsid w:val="00BD53D7"/>
    <w:pPr>
      <w:spacing w:before="100" w:beforeAutospacing="1" w:after="60" w:line="276" w:lineRule="auto"/>
    </w:pPr>
    <w:rPr>
      <w:rFonts w:ascii="Times New Roman" w:eastAsia="Times New Roman" w:hAnsi="Times New Roman" w:cs="Times New Roman"/>
      <w:color w:val="000000"/>
      <w:sz w:val="28"/>
      <w:szCs w:val="28"/>
      <w:lang w:val="en-US"/>
    </w:rPr>
  </w:style>
  <w:style w:type="paragraph" w:customStyle="1" w:styleId="CM124">
    <w:name w:val="CM124"/>
    <w:basedOn w:val="Default"/>
    <w:next w:val="Default"/>
    <w:uiPriority w:val="99"/>
    <w:rsid w:val="00BD53D7"/>
    <w:pPr>
      <w:widowControl w:val="0"/>
    </w:pPr>
    <w:rPr>
      <w:color w:val="auto"/>
    </w:rPr>
  </w:style>
  <w:style w:type="paragraph" w:customStyle="1" w:styleId="CM125">
    <w:name w:val="CM125"/>
    <w:basedOn w:val="Default"/>
    <w:next w:val="Default"/>
    <w:uiPriority w:val="99"/>
    <w:rsid w:val="00BD53D7"/>
    <w:pPr>
      <w:widowControl w:val="0"/>
    </w:pPr>
    <w:rPr>
      <w:color w:val="auto"/>
    </w:rPr>
  </w:style>
  <w:style w:type="paragraph" w:customStyle="1" w:styleId="CM129">
    <w:name w:val="CM129"/>
    <w:basedOn w:val="Default"/>
    <w:next w:val="Default"/>
    <w:uiPriority w:val="99"/>
    <w:rsid w:val="00BD53D7"/>
    <w:pPr>
      <w:widowControl w:val="0"/>
    </w:pPr>
    <w:rPr>
      <w:color w:val="auto"/>
    </w:rPr>
  </w:style>
  <w:style w:type="character" w:styleId="EndnoteReference">
    <w:name w:val="endnote reference"/>
    <w:basedOn w:val="DefaultParagraphFont"/>
    <w:uiPriority w:val="99"/>
    <w:semiHidden/>
    <w:unhideWhenUsed/>
    <w:rsid w:val="00BD53D7"/>
    <w:rPr>
      <w:vertAlign w:val="superscript"/>
    </w:rPr>
  </w:style>
  <w:style w:type="paragraph" w:styleId="Revision">
    <w:name w:val="Revision"/>
    <w:hidden/>
    <w:uiPriority w:val="99"/>
    <w:semiHidden/>
    <w:rsid w:val="00BD53D7"/>
    <w:pPr>
      <w:spacing w:before="60" w:after="0" w:line="240" w:lineRule="auto"/>
    </w:pPr>
    <w:rPr>
      <w:rFonts w:ascii="Times New Roman" w:eastAsia="Times New Roman" w:hAnsi="Times New Roman" w:cs="Times New Roman"/>
      <w:sz w:val="24"/>
      <w:szCs w:val="24"/>
      <w:lang w:val="es-ES_tradnl"/>
    </w:rPr>
  </w:style>
  <w:style w:type="character" w:styleId="PlaceholderText">
    <w:name w:val="Placeholder Text"/>
    <w:basedOn w:val="DefaultParagraphFont"/>
    <w:uiPriority w:val="99"/>
    <w:semiHidden/>
    <w:rsid w:val="00BD53D7"/>
    <w:rPr>
      <w:color w:val="808080"/>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BD53D7"/>
    <w:rPr>
      <w:rFonts w:ascii="Univers" w:hAnsi="Univers" w:cs="Times New Roman"/>
      <w:lang w:val="en-US" w:eastAsia="en-US" w:bidi="ar-SA"/>
    </w:rPr>
  </w:style>
  <w:style w:type="character" w:customStyle="1" w:styleId="FootnoteAnchor">
    <w:name w:val="Footnote Anchor"/>
    <w:rsid w:val="00BD53D7"/>
    <w:rPr>
      <w:vertAlign w:val="superscript"/>
    </w:rPr>
  </w:style>
  <w:style w:type="paragraph" w:styleId="TOC3">
    <w:name w:val="toc 3"/>
    <w:basedOn w:val="Normal"/>
    <w:next w:val="Normal"/>
    <w:autoRedefine/>
    <w:uiPriority w:val="39"/>
    <w:unhideWhenUsed/>
    <w:rsid w:val="003E0964"/>
    <w:pPr>
      <w:tabs>
        <w:tab w:val="right" w:leader="dot" w:pos="9072"/>
      </w:tabs>
      <w:spacing w:after="40"/>
      <w:ind w:left="403" w:right="237"/>
    </w:pPr>
  </w:style>
  <w:style w:type="paragraph" w:customStyle="1" w:styleId="Prrafodelista2">
    <w:name w:val="Párrafo de lista2"/>
    <w:basedOn w:val="Normal"/>
    <w:uiPriority w:val="99"/>
    <w:rsid w:val="006D122D"/>
    <w:pPr>
      <w:ind w:left="720"/>
      <w:jc w:val="left"/>
    </w:pPr>
    <w:rPr>
      <w:rFonts w:eastAsia="MS Mincho" w:cs="Times New Roman"/>
      <w:szCs w:val="20"/>
      <w:lang w:bidi="en-US"/>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DefaultParagraphFont"/>
    <w:qFormat/>
    <w:locked/>
    <w:rsid w:val="000C140A"/>
    <w:rPr>
      <w:rFonts w:ascii="Verdana" w:hAnsi="Verdana"/>
    </w:rPr>
  </w:style>
  <w:style w:type="paragraph" w:styleId="TOC4">
    <w:name w:val="toc 4"/>
    <w:basedOn w:val="Normal"/>
    <w:next w:val="Normal"/>
    <w:autoRedefine/>
    <w:uiPriority w:val="39"/>
    <w:unhideWhenUsed/>
    <w:rsid w:val="00CD3695"/>
    <w:pPr>
      <w:spacing w:after="100"/>
      <w:ind w:left="600"/>
    </w:pPr>
  </w:style>
  <w:style w:type="paragraph" w:customStyle="1" w:styleId="Estilo4">
    <w:name w:val="Estilo4"/>
    <w:basedOn w:val="Normal"/>
    <w:link w:val="Estilo4Car"/>
    <w:qFormat/>
    <w:rsid w:val="00817F42"/>
    <w:pPr>
      <w:numPr>
        <w:numId w:val="8"/>
      </w:numPr>
      <w:spacing w:after="160" w:line="259" w:lineRule="auto"/>
      <w:ind w:left="0" w:firstLine="0"/>
      <w:jc w:val="left"/>
    </w:pPr>
    <w:rPr>
      <w:rFonts w:ascii="Times New Roman" w:eastAsiaTheme="minorHAnsi" w:hAnsi="Times New Roman" w:cs="Times New Roman"/>
      <w:sz w:val="24"/>
      <w:lang w:val="es-UY"/>
    </w:rPr>
  </w:style>
  <w:style w:type="character" w:customStyle="1" w:styleId="Estilo4Car">
    <w:name w:val="Estilo4 Car"/>
    <w:basedOn w:val="DefaultParagraphFont"/>
    <w:link w:val="Estilo4"/>
    <w:rsid w:val="00817F42"/>
    <w:rPr>
      <w:rFonts w:ascii="Times New Roman" w:hAnsi="Times New Roman" w:cs="Times New Roman"/>
      <w:sz w:val="24"/>
      <w:szCs w:val="24"/>
      <w:lang w:val="es-UY"/>
    </w:rPr>
  </w:style>
  <w:style w:type="paragraph" w:customStyle="1" w:styleId="style11">
    <w:name w:val="style11"/>
    <w:basedOn w:val="Normal"/>
    <w:rsid w:val="00817F42"/>
    <w:pPr>
      <w:spacing w:before="192" w:after="192"/>
      <w:ind w:left="120" w:right="144"/>
    </w:pPr>
    <w:rPr>
      <w:rFonts w:ascii="Times New Roman" w:eastAsia="Times New Roman" w:hAnsi="Times New Roman" w:cs="Times New Roman"/>
      <w:sz w:val="24"/>
      <w:lang w:val="es-CR" w:eastAsia="es-CR"/>
    </w:rPr>
  </w:style>
  <w:style w:type="character" w:styleId="BookTitle">
    <w:name w:val="Book Title"/>
    <w:basedOn w:val="DefaultParagraphFont"/>
    <w:uiPriority w:val="33"/>
    <w:qFormat/>
    <w:rsid w:val="00817F42"/>
    <w:rPr>
      <w:b/>
      <w:bCs/>
      <w:smallCaps/>
      <w:spacing w:val="5"/>
    </w:rPr>
  </w:style>
  <w:style w:type="character" w:customStyle="1" w:styleId="UnresolvedMention">
    <w:name w:val="Unresolved Mention"/>
    <w:basedOn w:val="DefaultParagraphFont"/>
    <w:uiPriority w:val="99"/>
    <w:semiHidden/>
    <w:unhideWhenUsed/>
    <w:rsid w:val="00817F42"/>
    <w:rPr>
      <w:color w:val="808080"/>
      <w:shd w:val="clear" w:color="auto" w:fill="E6E6E6"/>
    </w:rPr>
  </w:style>
  <w:style w:type="character" w:customStyle="1" w:styleId="Funotenzeichen">
    <w:name w:val="Fußnotenzeichen"/>
    <w:rsid w:val="001264AE"/>
  </w:style>
  <w:style w:type="paragraph" w:customStyle="1" w:styleId="m307267806122917089estilo5">
    <w:name w:val="m_307267806122917089estilo5"/>
    <w:basedOn w:val="Normal"/>
    <w:rsid w:val="00B36143"/>
    <w:pPr>
      <w:spacing w:before="100" w:beforeAutospacing="1" w:after="100" w:afterAutospacing="1"/>
      <w:jc w:val="left"/>
    </w:pPr>
    <w:rPr>
      <w:rFonts w:ascii="Times New Roman" w:eastAsia="Times New Roman" w:hAnsi="Times New Roman" w:cs="Times New Roman"/>
      <w:sz w:val="24"/>
      <w:lang w:val="es-CR" w:eastAsia="es-CR"/>
    </w:rPr>
  </w:style>
  <w:style w:type="paragraph" w:customStyle="1" w:styleId="Estilo3">
    <w:name w:val="Estilo3"/>
    <w:basedOn w:val="ListParagraph"/>
    <w:qFormat/>
    <w:rsid w:val="00B36143"/>
    <w:pPr>
      <w:numPr>
        <w:ilvl w:val="4"/>
        <w:numId w:val="9"/>
      </w:numPr>
      <w:spacing w:after="120" w:line="216" w:lineRule="auto"/>
      <w:ind w:right="17"/>
      <w:contextualSpacing w:val="0"/>
    </w:pPr>
    <w:rPr>
      <w:rFonts w:eastAsia="Calibri" w:cs="Times New Roman"/>
      <w:spacing w:val="-2"/>
      <w:szCs w:val="20"/>
      <w:lang w:val="es-MX" w:eastAsia="x-none"/>
    </w:rPr>
  </w:style>
  <w:style w:type="paragraph" w:customStyle="1" w:styleId="Estilo5">
    <w:name w:val="Estilo5"/>
    <w:basedOn w:val="ListParagraph"/>
    <w:link w:val="Estilo5Car"/>
    <w:qFormat/>
    <w:rsid w:val="00B36143"/>
    <w:pPr>
      <w:numPr>
        <w:numId w:val="9"/>
      </w:numPr>
      <w:spacing w:after="120" w:line="216" w:lineRule="auto"/>
      <w:ind w:left="0" w:right="18" w:firstLine="0"/>
      <w:contextualSpacing w:val="0"/>
    </w:pPr>
    <w:rPr>
      <w:rFonts w:eastAsia="Calibri" w:cs="Times New Roman"/>
      <w:spacing w:val="-2"/>
      <w:szCs w:val="20"/>
      <w:lang w:val="es-MX" w:eastAsia="x-none"/>
    </w:rPr>
  </w:style>
  <w:style w:type="character" w:customStyle="1" w:styleId="Estilo5Car">
    <w:name w:val="Estilo5 Car"/>
    <w:link w:val="Estilo5"/>
    <w:rsid w:val="00B36143"/>
    <w:rPr>
      <w:rFonts w:ascii="Verdana" w:eastAsia="Calibri" w:hAnsi="Verdana" w:cs="Times New Roman"/>
      <w:spacing w:val="-2"/>
      <w:sz w:val="20"/>
      <w:szCs w:val="20"/>
      <w:lang w:val="es-MX" w:eastAsia="x-none"/>
    </w:rPr>
  </w:style>
  <w:style w:type="paragraph" w:customStyle="1" w:styleId="Estilo8">
    <w:name w:val="Estilo8"/>
    <w:basedOn w:val="Estilo3"/>
    <w:qFormat/>
    <w:rsid w:val="00B36143"/>
    <w:pPr>
      <w:numPr>
        <w:ilvl w:val="5"/>
      </w:numPr>
      <w:ind w:left="1080" w:hanging="358"/>
    </w:pPr>
  </w:style>
  <w:style w:type="character" w:customStyle="1" w:styleId="s6b621b36">
    <w:name w:val="s6b621b36"/>
    <w:basedOn w:val="DefaultParagraphFont"/>
    <w:rsid w:val="008908AB"/>
  </w:style>
  <w:style w:type="paragraph" w:customStyle="1" w:styleId="Estilo2">
    <w:name w:val="Estilo2"/>
    <w:basedOn w:val="Normal"/>
    <w:qFormat/>
    <w:rsid w:val="008908AB"/>
    <w:pPr>
      <w:tabs>
        <w:tab w:val="left" w:pos="567"/>
        <w:tab w:val="left" w:pos="1134"/>
        <w:tab w:val="num" w:pos="4767"/>
      </w:tabs>
      <w:spacing w:after="120"/>
      <w:ind w:firstLine="357"/>
    </w:pPr>
    <w:rPr>
      <w:rFonts w:eastAsia="Calibri" w:cs="Times New Roman"/>
      <w:szCs w:val="20"/>
      <w:lang w:val="es-ES"/>
    </w:rPr>
  </w:style>
  <w:style w:type="paragraph" w:styleId="DocumentMap">
    <w:name w:val="Document Map"/>
    <w:basedOn w:val="Normal"/>
    <w:link w:val="DocumentMapChar"/>
    <w:uiPriority w:val="99"/>
    <w:semiHidden/>
    <w:unhideWhenUsed/>
    <w:rsid w:val="0008652E"/>
    <w:rPr>
      <w:rFonts w:ascii="Lucida Grande" w:hAnsi="Lucida Grande"/>
      <w:sz w:val="24"/>
    </w:rPr>
  </w:style>
  <w:style w:type="character" w:customStyle="1" w:styleId="DocumentMapChar">
    <w:name w:val="Document Map Char"/>
    <w:basedOn w:val="DefaultParagraphFont"/>
    <w:link w:val="DocumentMap"/>
    <w:uiPriority w:val="99"/>
    <w:semiHidden/>
    <w:rsid w:val="0008652E"/>
    <w:rPr>
      <w:rFonts w:ascii="Lucida Grande" w:eastAsia="Batang" w:hAnsi="Lucida Grande" w:cs="Times"/>
      <w:sz w:val="24"/>
      <w:szCs w:val="24"/>
      <w:lang w:val="es-ES_tradnl"/>
    </w:rPr>
  </w:style>
  <w:style w:type="character" w:customStyle="1" w:styleId="Ancladenotaalpie">
    <w:name w:val="Ancla de nota al pie"/>
    <w:rsid w:val="0038493D"/>
    <w:rPr>
      <w:vertAlign w:val="superscript"/>
    </w:rPr>
  </w:style>
  <w:style w:type="character" w:customStyle="1" w:styleId="ListLabel47">
    <w:name w:val="ListLabel 47"/>
    <w:qFormat/>
    <w:rsid w:val="009A6A62"/>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7BE"/>
    <w:pPr>
      <w:spacing w:after="0" w:line="240" w:lineRule="auto"/>
      <w:jc w:val="both"/>
    </w:pPr>
    <w:rPr>
      <w:rFonts w:ascii="Verdana" w:eastAsia="Batang" w:hAnsi="Verdana" w:cs="Times"/>
      <w:sz w:val="20"/>
      <w:szCs w:val="24"/>
      <w:lang w:val="es-ES_tradnl"/>
    </w:rPr>
  </w:style>
  <w:style w:type="paragraph" w:styleId="Heading1">
    <w:name w:val="heading 1"/>
    <w:basedOn w:val="Normal"/>
    <w:next w:val="Normal"/>
    <w:link w:val="Heading1Char"/>
    <w:uiPriority w:val="9"/>
    <w:qFormat/>
    <w:rsid w:val="009569E6"/>
    <w:pPr>
      <w:keepNext/>
      <w:keepLines/>
      <w:spacing w:before="360" w:after="360"/>
      <w:jc w:val="center"/>
      <w:outlineLvl w:val="0"/>
    </w:pPr>
    <w:rPr>
      <w:rFonts w:eastAsia="Times New Roman" w:cs="Verdana"/>
      <w:b/>
      <w:bCs/>
      <w:caps/>
      <w:snapToGrid w:val="0"/>
      <w:szCs w:val="20"/>
      <w:lang w:val="es-CR" w:eastAsia="es-ES"/>
    </w:rPr>
  </w:style>
  <w:style w:type="paragraph" w:styleId="Heading2">
    <w:name w:val="heading 2"/>
    <w:basedOn w:val="Normal"/>
    <w:next w:val="Normal"/>
    <w:link w:val="Heading2Char"/>
    <w:uiPriority w:val="9"/>
    <w:unhideWhenUsed/>
    <w:qFormat/>
    <w:rsid w:val="00F80D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0DDB"/>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9"/>
    <w:unhideWhenUsed/>
    <w:qFormat/>
    <w:rsid w:val="00F80DD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unhideWhenUsed/>
    <w:qFormat/>
    <w:rsid w:val="009A2F0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9A2F04"/>
    <w:pPr>
      <w:keepNext w:val="0"/>
      <w:keepLines w:val="0"/>
      <w:numPr>
        <w:ilvl w:val="4"/>
        <w:numId w:val="3"/>
      </w:numPr>
      <w:spacing w:before="0"/>
      <w:outlineLvl w:val="5"/>
    </w:pPr>
    <w:rPr>
      <w:rFonts w:ascii="Verdana" w:eastAsia="Times New Roman" w:hAnsi="Verdana" w:cs="Times New Roman"/>
      <w:color w:val="auto"/>
      <w:spacing w:val="-2"/>
      <w:szCs w:val="20"/>
      <w:lang w:eastAsia="es-CR"/>
    </w:rPr>
  </w:style>
  <w:style w:type="paragraph" w:styleId="Heading7">
    <w:name w:val="heading 7"/>
    <w:basedOn w:val="Normal"/>
    <w:next w:val="Normal"/>
    <w:link w:val="Heading7Char"/>
    <w:uiPriority w:val="99"/>
    <w:qFormat/>
    <w:rsid w:val="00BD53D7"/>
    <w:pPr>
      <w:tabs>
        <w:tab w:val="num" w:pos="1296"/>
      </w:tabs>
      <w:spacing w:before="240" w:after="60" w:line="276" w:lineRule="auto"/>
      <w:ind w:left="1296" w:hanging="1296"/>
      <w:jc w:val="left"/>
      <w:outlineLvl w:val="6"/>
    </w:pPr>
    <w:rPr>
      <w:rFonts w:ascii="Times New Roman" w:eastAsia="Times New Roman" w:hAnsi="Times New Roman" w:cs="Times New Roman"/>
      <w:sz w:val="24"/>
      <w:lang w:eastAsia="es-ES"/>
    </w:rPr>
  </w:style>
  <w:style w:type="paragraph" w:styleId="Heading8">
    <w:name w:val="heading 8"/>
    <w:basedOn w:val="Normal"/>
    <w:next w:val="Normal"/>
    <w:link w:val="Heading8Char"/>
    <w:uiPriority w:val="99"/>
    <w:qFormat/>
    <w:rsid w:val="00BD53D7"/>
    <w:pPr>
      <w:tabs>
        <w:tab w:val="num" w:pos="1440"/>
      </w:tabs>
      <w:spacing w:before="240" w:after="60" w:line="276" w:lineRule="auto"/>
      <w:ind w:left="1440" w:hanging="1440"/>
      <w:jc w:val="left"/>
      <w:outlineLvl w:val="7"/>
    </w:pPr>
    <w:rPr>
      <w:rFonts w:ascii="Times New Roman" w:eastAsia="Times New Roman" w:hAnsi="Times New Roman" w:cs="Times New Roman"/>
      <w:i/>
      <w:iCs/>
      <w:sz w:val="24"/>
      <w:lang w:eastAsia="es-ES"/>
    </w:rPr>
  </w:style>
  <w:style w:type="paragraph" w:styleId="Heading9">
    <w:name w:val="heading 9"/>
    <w:basedOn w:val="Normal"/>
    <w:next w:val="Normal"/>
    <w:link w:val="Heading9Char"/>
    <w:uiPriority w:val="99"/>
    <w:qFormat/>
    <w:rsid w:val="00BD53D7"/>
    <w:pPr>
      <w:spacing w:before="240" w:after="60" w:line="276" w:lineRule="auto"/>
      <w:jc w:val="left"/>
      <w:outlineLvl w:val="8"/>
    </w:pPr>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403BF"/>
    <w:pPr>
      <w:jc w:val="center"/>
    </w:pPr>
    <w:rPr>
      <w:rFonts w:eastAsia="Times New Roman" w:cs="Times New Roman"/>
      <w:b/>
      <w:szCs w:val="20"/>
    </w:rPr>
  </w:style>
  <w:style w:type="character" w:customStyle="1" w:styleId="TitleChar">
    <w:name w:val="Title Char"/>
    <w:basedOn w:val="DefaultParagraphFont"/>
    <w:link w:val="Title"/>
    <w:rsid w:val="009403BF"/>
    <w:rPr>
      <w:rFonts w:ascii="Verdana" w:eastAsia="Times New Roman" w:hAnsi="Verdana" w:cs="Times New Roman"/>
      <w:b/>
      <w:noProof/>
      <w:sz w:val="20"/>
      <w:szCs w:val="20"/>
      <w:lang w:val="es-ES_tradnl"/>
    </w:rPr>
  </w:style>
  <w:style w:type="paragraph" w:styleId="Subtitle">
    <w:name w:val="Subtitle"/>
    <w:basedOn w:val="Normal"/>
    <w:next w:val="Normal"/>
    <w:link w:val="SubtitleChar"/>
    <w:qFormat/>
    <w:rsid w:val="009403BF"/>
    <w:pPr>
      <w:numPr>
        <w:ilvl w:val="1"/>
      </w:numPr>
      <w:jc w:val="center"/>
    </w:pPr>
    <w:rPr>
      <w:rFonts w:eastAsia="Times New Roman" w:cs="Times New Roman"/>
      <w:b/>
      <w:i/>
      <w:iCs/>
      <w:spacing w:val="15"/>
    </w:rPr>
  </w:style>
  <w:style w:type="character" w:customStyle="1" w:styleId="SubtitleChar">
    <w:name w:val="Subtitle Char"/>
    <w:basedOn w:val="DefaultParagraphFont"/>
    <w:link w:val="Subtitle"/>
    <w:rsid w:val="009403BF"/>
    <w:rPr>
      <w:rFonts w:ascii="Verdana" w:eastAsia="Times New Roman" w:hAnsi="Verdana" w:cs="Times New Roman"/>
      <w:b/>
      <w:i/>
      <w:iCs/>
      <w:noProof/>
      <w:spacing w:val="15"/>
      <w:sz w:val="20"/>
      <w:szCs w:val="24"/>
      <w:lang w:val="es-ES_tradnl"/>
    </w:rPr>
  </w:style>
  <w:style w:type="paragraph" w:customStyle="1" w:styleId="citaindirecta">
    <w:name w:val="cita indirecta"/>
    <w:basedOn w:val="Normal"/>
    <w:uiPriority w:val="99"/>
    <w:rsid w:val="009403BF"/>
    <w:pPr>
      <w:ind w:left="708"/>
    </w:pPr>
    <w:rPr>
      <w:rFonts w:eastAsia="Times New Roman" w:cs="Times New Roman"/>
      <w:szCs w:val="20"/>
    </w:rPr>
  </w:style>
  <w:style w:type="paragraph" w:styleId="Header">
    <w:name w:val="header"/>
    <w:basedOn w:val="Normal"/>
    <w:link w:val="HeaderChar"/>
    <w:uiPriority w:val="99"/>
    <w:unhideWhenUsed/>
    <w:rsid w:val="009403BF"/>
    <w:pPr>
      <w:tabs>
        <w:tab w:val="center" w:pos="4252"/>
        <w:tab w:val="right" w:pos="8504"/>
      </w:tabs>
    </w:pPr>
  </w:style>
  <w:style w:type="character" w:customStyle="1" w:styleId="HeaderChar">
    <w:name w:val="Header Char"/>
    <w:basedOn w:val="DefaultParagraphFont"/>
    <w:link w:val="Header"/>
    <w:uiPriority w:val="99"/>
    <w:rsid w:val="009403BF"/>
    <w:rPr>
      <w:rFonts w:ascii="Verdana" w:eastAsia="Batang" w:hAnsi="Verdana" w:cs="Times"/>
      <w:noProof/>
      <w:sz w:val="20"/>
      <w:szCs w:val="24"/>
      <w:lang w:val="es-ES_tradnl"/>
    </w:rPr>
  </w:style>
  <w:style w:type="paragraph" w:styleId="Footer">
    <w:name w:val="footer"/>
    <w:basedOn w:val="Normal"/>
    <w:link w:val="FooterChar"/>
    <w:uiPriority w:val="99"/>
    <w:unhideWhenUsed/>
    <w:rsid w:val="009403BF"/>
    <w:pPr>
      <w:tabs>
        <w:tab w:val="center" w:pos="4252"/>
        <w:tab w:val="right" w:pos="8504"/>
      </w:tabs>
    </w:pPr>
  </w:style>
  <w:style w:type="character" w:customStyle="1" w:styleId="FooterChar">
    <w:name w:val="Footer Char"/>
    <w:basedOn w:val="DefaultParagraphFont"/>
    <w:link w:val="Footer"/>
    <w:uiPriority w:val="99"/>
    <w:rsid w:val="009403BF"/>
    <w:rPr>
      <w:rFonts w:ascii="Verdana" w:eastAsia="Batang" w:hAnsi="Verdana" w:cs="Times"/>
      <w:noProof/>
      <w:sz w:val="20"/>
      <w:szCs w:val="24"/>
      <w:lang w:val="es-ES_tradnl"/>
    </w:rPr>
  </w:style>
  <w:style w:type="character" w:styleId="Hyperlink">
    <w:name w:val="Hyperlink"/>
    <w:aliases w:val="Heading 3 caso"/>
    <w:basedOn w:val="DefaultParagraphFont"/>
    <w:uiPriority w:val="99"/>
    <w:unhideWhenUsed/>
    <w:rsid w:val="009403BF"/>
    <w:rPr>
      <w:color w:val="0000FF"/>
      <w:u w:val="single"/>
    </w:rPr>
  </w:style>
  <w:style w:type="paragraph" w:styleId="TOC1">
    <w:name w:val="toc 1"/>
    <w:basedOn w:val="Normal"/>
    <w:next w:val="Normal"/>
    <w:autoRedefine/>
    <w:uiPriority w:val="39"/>
    <w:unhideWhenUsed/>
    <w:rsid w:val="003E0964"/>
    <w:pPr>
      <w:tabs>
        <w:tab w:val="left" w:pos="709"/>
        <w:tab w:val="right" w:leader="dot" w:pos="9072"/>
      </w:tabs>
      <w:spacing w:before="60" w:after="60"/>
      <w:ind w:right="237"/>
    </w:pPr>
    <w:rPr>
      <w:b/>
      <w:sz w:val="18"/>
    </w:rPr>
  </w:style>
  <w:style w:type="character" w:customStyle="1" w:styleId="Heading1Char">
    <w:name w:val="Heading 1 Char"/>
    <w:basedOn w:val="DefaultParagraphFont"/>
    <w:link w:val="Heading1"/>
    <w:uiPriority w:val="9"/>
    <w:rsid w:val="009569E6"/>
    <w:rPr>
      <w:rFonts w:ascii="Verdana" w:eastAsia="Times New Roman" w:hAnsi="Verdana" w:cs="Verdana"/>
      <w:b/>
      <w:bCs/>
      <w:caps/>
      <w:noProof/>
      <w:snapToGrid w:val="0"/>
      <w:sz w:val="20"/>
      <w:szCs w:val="20"/>
      <w:lang w:val="es-CR" w:eastAsia="es-ES"/>
    </w:rPr>
  </w:style>
  <w:style w:type="paragraph" w:styleId="ListParagraph">
    <w:name w:val="List Paragraph"/>
    <w:aliases w:val="Footnote,List Paragraph1,Colorful List - Accent 11,Párrafo de lista1,List Paragraph2,Lista vistosa - Énfasis 11"/>
    <w:basedOn w:val="Normal"/>
    <w:link w:val="ListParagraphChar"/>
    <w:qFormat/>
    <w:rsid w:val="00CA3EC4"/>
    <w:pPr>
      <w:ind w:left="720"/>
      <w:contextualSpacing/>
    </w:p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link w:val="4GChar"/>
    <w:qFormat/>
    <w:rsid w:val="006F5C6B"/>
    <w:rPr>
      <w:rFonts w:cs="Times New Roman"/>
      <w:szCs w:val="20"/>
      <w:vertAlign w:val="superscript"/>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FootnoteTextChar1"/>
    <w:unhideWhenUsed/>
    <w:qFormat/>
    <w:rsid w:val="006F5C6B"/>
    <w:pPr>
      <w:spacing w:before="120" w:after="120"/>
    </w:pPr>
    <w:rPr>
      <w:sz w:val="16"/>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 Car,Ca Car"/>
    <w:basedOn w:val="DefaultParagraphFont"/>
    <w:uiPriority w:val="99"/>
    <w:qFormat/>
    <w:rsid w:val="006F5C6B"/>
    <w:rPr>
      <w:rFonts w:ascii="Verdana" w:eastAsia="Batang" w:hAnsi="Verdana" w:cs="Times"/>
      <w:noProof/>
      <w:sz w:val="20"/>
      <w:szCs w:val="20"/>
      <w:lang w:val="es-ES_tradnl"/>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basedOn w:val="DefaultParagraphFont"/>
    <w:link w:val="FootnoteText"/>
    <w:uiPriority w:val="99"/>
    <w:rsid w:val="006F5C6B"/>
    <w:rPr>
      <w:rFonts w:ascii="Verdana" w:eastAsia="Batang" w:hAnsi="Verdana" w:cs="Times"/>
      <w:noProof/>
      <w:sz w:val="16"/>
      <w:szCs w:val="20"/>
      <w:lang w:val="es-ES_tradnl"/>
    </w:rPr>
  </w:style>
  <w:style w:type="character" w:styleId="Strong">
    <w:name w:val="Strong"/>
    <w:basedOn w:val="DefaultParagraphFont"/>
    <w:uiPriority w:val="22"/>
    <w:qFormat/>
    <w:rsid w:val="0003786A"/>
    <w:rPr>
      <w:b/>
      <w:bCs/>
    </w:rPr>
  </w:style>
  <w:style w:type="character" w:customStyle="1" w:styleId="ListParagraphChar">
    <w:name w:val="List Paragraph Char"/>
    <w:aliases w:val="Footnote Char,List Paragraph1 Char,Colorful List - Accent 11 Char,Párrafo de lista1 Char,List Paragraph2 Char,Lista vistosa - Énfasis 11 Char"/>
    <w:basedOn w:val="DefaultParagraphFont"/>
    <w:link w:val="ListParagraph"/>
    <w:locked/>
    <w:rsid w:val="00375DA4"/>
    <w:rPr>
      <w:rFonts w:ascii="Verdana" w:eastAsia="Batang" w:hAnsi="Verdana" w:cs="Times"/>
      <w:noProof/>
      <w:sz w:val="20"/>
      <w:szCs w:val="24"/>
      <w:lang w:val="es-ES_tradnl"/>
    </w:rPr>
  </w:style>
  <w:style w:type="paragraph" w:customStyle="1" w:styleId="Estilo1">
    <w:name w:val="Estilo1"/>
    <w:basedOn w:val="Normal"/>
    <w:link w:val="Estilo1Car"/>
    <w:qFormat/>
    <w:rsid w:val="00375DA4"/>
    <w:pPr>
      <w:spacing w:after="120"/>
      <w:ind w:left="2018" w:right="6" w:hanging="180"/>
    </w:pPr>
    <w:rPr>
      <w:i/>
    </w:rPr>
  </w:style>
  <w:style w:type="character" w:customStyle="1" w:styleId="Estilo1Car">
    <w:name w:val="Estilo1 Car"/>
    <w:basedOn w:val="DefaultParagraphFont"/>
    <w:link w:val="Estilo1"/>
    <w:rsid w:val="00375DA4"/>
    <w:rPr>
      <w:rFonts w:ascii="Verdana" w:eastAsia="Batang" w:hAnsi="Verdana" w:cs="Times"/>
      <w:i/>
      <w:noProof/>
      <w:sz w:val="20"/>
      <w:szCs w:val="24"/>
      <w:lang w:val="es-ES_tradnl"/>
    </w:rPr>
  </w:style>
  <w:style w:type="character" w:customStyle="1" w:styleId="apple-converted-space">
    <w:name w:val="apple-converted-space"/>
    <w:basedOn w:val="DefaultParagraphFont"/>
    <w:rsid w:val="003C30A5"/>
  </w:style>
  <w:style w:type="paragraph" w:styleId="TOCHeading">
    <w:name w:val="TOC Heading"/>
    <w:basedOn w:val="Heading1"/>
    <w:next w:val="Normal"/>
    <w:uiPriority w:val="39"/>
    <w:unhideWhenUsed/>
    <w:qFormat/>
    <w:rsid w:val="00206CEA"/>
    <w:pPr>
      <w:spacing w:before="480" w:after="0" w:line="276" w:lineRule="auto"/>
      <w:jc w:val="left"/>
      <w:outlineLvl w:val="9"/>
    </w:pPr>
    <w:rPr>
      <w:rFonts w:asciiTheme="majorHAnsi" w:eastAsiaTheme="majorEastAsia" w:hAnsiTheme="majorHAnsi" w:cstheme="majorBidi"/>
      <w:caps w:val="0"/>
      <w:snapToGrid/>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206CEA"/>
    <w:rPr>
      <w:rFonts w:ascii="Tahoma" w:hAnsi="Tahoma" w:cs="Tahoma"/>
      <w:sz w:val="16"/>
      <w:szCs w:val="16"/>
    </w:rPr>
  </w:style>
  <w:style w:type="character" w:customStyle="1" w:styleId="BalloonTextChar">
    <w:name w:val="Balloon Text Char"/>
    <w:basedOn w:val="DefaultParagraphFont"/>
    <w:link w:val="BalloonText"/>
    <w:uiPriority w:val="99"/>
    <w:semiHidden/>
    <w:rsid w:val="00206CEA"/>
    <w:rPr>
      <w:rFonts w:ascii="Tahoma" w:eastAsia="Batang" w:hAnsi="Tahoma" w:cs="Tahoma"/>
      <w:noProof/>
      <w:sz w:val="16"/>
      <w:szCs w:val="16"/>
      <w:lang w:val="es-ES_tradnl"/>
    </w:rPr>
  </w:style>
  <w:style w:type="table" w:styleId="TableGrid">
    <w:name w:val="Table Grid"/>
    <w:basedOn w:val="TableNormal"/>
    <w:uiPriority w:val="99"/>
    <w:rsid w:val="007E7F4B"/>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2">
    <w:name w:val="toc 2"/>
    <w:basedOn w:val="Normal"/>
    <w:next w:val="Normal"/>
    <w:autoRedefine/>
    <w:uiPriority w:val="39"/>
    <w:unhideWhenUsed/>
    <w:rsid w:val="001E70AE"/>
    <w:pPr>
      <w:tabs>
        <w:tab w:val="left" w:pos="660"/>
        <w:tab w:val="right" w:leader="dot" w:pos="9072"/>
      </w:tabs>
      <w:spacing w:after="60"/>
      <w:ind w:left="198" w:right="237"/>
    </w:pPr>
    <w:rPr>
      <w:rFonts w:cs="Tahoma"/>
      <w:b/>
      <w:i/>
      <w:noProof/>
      <w:lang w:eastAsia="x-none"/>
    </w:rPr>
  </w:style>
  <w:style w:type="character" w:styleId="CommentReference">
    <w:name w:val="annotation reference"/>
    <w:basedOn w:val="DefaultParagraphFont"/>
    <w:uiPriority w:val="99"/>
    <w:semiHidden/>
    <w:unhideWhenUsed/>
    <w:rsid w:val="00500859"/>
    <w:rPr>
      <w:sz w:val="16"/>
      <w:szCs w:val="16"/>
    </w:rPr>
  </w:style>
  <w:style w:type="paragraph" w:styleId="CommentText">
    <w:name w:val="annotation text"/>
    <w:basedOn w:val="Normal"/>
    <w:link w:val="CommentTextChar"/>
    <w:uiPriority w:val="99"/>
    <w:unhideWhenUsed/>
    <w:rsid w:val="00500859"/>
    <w:rPr>
      <w:szCs w:val="20"/>
    </w:rPr>
  </w:style>
  <w:style w:type="character" w:customStyle="1" w:styleId="CommentTextChar">
    <w:name w:val="Comment Text Char"/>
    <w:basedOn w:val="DefaultParagraphFont"/>
    <w:link w:val="CommentText"/>
    <w:uiPriority w:val="99"/>
    <w:rsid w:val="00500859"/>
    <w:rPr>
      <w:rFonts w:ascii="Verdana" w:eastAsia="Batang" w:hAnsi="Verdana" w:cs="Times"/>
      <w:noProof/>
      <w:sz w:val="20"/>
      <w:szCs w:val="20"/>
      <w:lang w:val="es-ES_tradnl"/>
    </w:rPr>
  </w:style>
  <w:style w:type="paragraph" w:styleId="CommentSubject">
    <w:name w:val="annotation subject"/>
    <w:basedOn w:val="CommentText"/>
    <w:next w:val="CommentText"/>
    <w:link w:val="CommentSubjectChar"/>
    <w:uiPriority w:val="99"/>
    <w:semiHidden/>
    <w:unhideWhenUsed/>
    <w:rsid w:val="00500859"/>
    <w:rPr>
      <w:b/>
      <w:bCs/>
    </w:rPr>
  </w:style>
  <w:style w:type="character" w:customStyle="1" w:styleId="CommentSubjectChar">
    <w:name w:val="Comment Subject Char"/>
    <w:basedOn w:val="CommentTextChar"/>
    <w:link w:val="CommentSubject"/>
    <w:uiPriority w:val="99"/>
    <w:semiHidden/>
    <w:rsid w:val="00500859"/>
    <w:rPr>
      <w:rFonts w:ascii="Verdana" w:eastAsia="Batang" w:hAnsi="Verdana" w:cs="Times"/>
      <w:b/>
      <w:bCs/>
      <w:noProof/>
      <w:sz w:val="20"/>
      <w:szCs w:val="20"/>
      <w:lang w:val="es-ES_tradnl"/>
    </w:rPr>
  </w:style>
  <w:style w:type="paragraph" w:customStyle="1" w:styleId="Footnotes">
    <w:name w:val="**. Footnotes"/>
    <w:basedOn w:val="FootnoteText"/>
    <w:link w:val="FootnotesChar"/>
    <w:autoRedefine/>
    <w:qFormat/>
    <w:rsid w:val="005427F3"/>
    <w:pPr>
      <w:spacing w:before="60" w:after="60"/>
    </w:pPr>
    <w:rPr>
      <w:rFonts w:eastAsia="Times New Roman" w:cs="Palatino-Italic"/>
      <w:iCs/>
      <w:spacing w:val="-4"/>
      <w:szCs w:val="16"/>
      <w:lang w:val="es-ES" w:bidi="en-US"/>
    </w:rPr>
  </w:style>
  <w:style w:type="character" w:customStyle="1" w:styleId="FootnotesChar">
    <w:name w:val="**. Footnotes Char"/>
    <w:basedOn w:val="DefaultParagraphFont"/>
    <w:link w:val="Footnotes"/>
    <w:rsid w:val="005427F3"/>
    <w:rPr>
      <w:rFonts w:ascii="Verdana" w:eastAsia="Times New Roman" w:hAnsi="Verdana" w:cs="Palatino-Italic"/>
      <w:iCs/>
      <w:spacing w:val="-4"/>
      <w:sz w:val="16"/>
      <w:szCs w:val="16"/>
      <w:lang w:bidi="en-US"/>
    </w:rPr>
  </w:style>
  <w:style w:type="character" w:customStyle="1" w:styleId="Heading6Char">
    <w:name w:val="Heading 6 Char"/>
    <w:basedOn w:val="DefaultParagraphFont"/>
    <w:link w:val="Heading6"/>
    <w:uiPriority w:val="9"/>
    <w:rsid w:val="009A2F04"/>
    <w:rPr>
      <w:rFonts w:ascii="Verdana" w:eastAsia="Times New Roman" w:hAnsi="Verdana" w:cs="Times New Roman"/>
      <w:spacing w:val="-2"/>
      <w:sz w:val="20"/>
      <w:szCs w:val="20"/>
      <w:lang w:val="es-ES_tradnl" w:eastAsia="es-CR"/>
    </w:rPr>
  </w:style>
  <w:style w:type="character" w:customStyle="1" w:styleId="Heading5Char">
    <w:name w:val="Heading 5 Char"/>
    <w:basedOn w:val="DefaultParagraphFont"/>
    <w:link w:val="Heading5"/>
    <w:uiPriority w:val="99"/>
    <w:rsid w:val="009A2F04"/>
    <w:rPr>
      <w:rFonts w:asciiTheme="majorHAnsi" w:eastAsiaTheme="majorEastAsia" w:hAnsiTheme="majorHAnsi" w:cstheme="majorBidi"/>
      <w:noProof/>
      <w:color w:val="243F60" w:themeColor="accent1" w:themeShade="7F"/>
      <w:sz w:val="20"/>
      <w:szCs w:val="24"/>
      <w:lang w:val="es-ES_tradnl"/>
    </w:rPr>
  </w:style>
  <w:style w:type="character" w:customStyle="1" w:styleId="Heading2Char">
    <w:name w:val="Heading 2 Char"/>
    <w:basedOn w:val="DefaultParagraphFont"/>
    <w:link w:val="Heading2"/>
    <w:uiPriority w:val="9"/>
    <w:qFormat/>
    <w:rsid w:val="00F80DDB"/>
    <w:rPr>
      <w:rFonts w:asciiTheme="majorHAnsi" w:eastAsiaTheme="majorEastAsia" w:hAnsiTheme="majorHAnsi" w:cstheme="majorBidi"/>
      <w:b/>
      <w:bCs/>
      <w:noProof/>
      <w:color w:val="4F81BD" w:themeColor="accent1"/>
      <w:sz w:val="26"/>
      <w:szCs w:val="26"/>
      <w:lang w:val="es-ES_tradnl"/>
    </w:rPr>
  </w:style>
  <w:style w:type="character" w:customStyle="1" w:styleId="Heading3Char">
    <w:name w:val="Heading 3 Char"/>
    <w:basedOn w:val="DefaultParagraphFont"/>
    <w:link w:val="Heading3"/>
    <w:uiPriority w:val="9"/>
    <w:rsid w:val="00F80DDB"/>
    <w:rPr>
      <w:rFonts w:ascii="Verdana" w:eastAsiaTheme="majorEastAsia" w:hAnsi="Verdana" w:cstheme="majorBidi"/>
      <w:b/>
      <w:bCs/>
      <w:i/>
      <w:sz w:val="20"/>
      <w:szCs w:val="24"/>
      <w:lang w:val="es-ES_tradnl"/>
    </w:rPr>
  </w:style>
  <w:style w:type="character" w:customStyle="1" w:styleId="Heading4Char">
    <w:name w:val="Heading 4 Char"/>
    <w:basedOn w:val="DefaultParagraphFont"/>
    <w:link w:val="Heading4"/>
    <w:uiPriority w:val="99"/>
    <w:rsid w:val="00F80DDB"/>
    <w:rPr>
      <w:rFonts w:asciiTheme="majorHAnsi" w:eastAsiaTheme="majorEastAsia" w:hAnsiTheme="majorHAnsi" w:cstheme="majorBidi"/>
      <w:b/>
      <w:bCs/>
      <w:i/>
      <w:iCs/>
      <w:color w:val="4F81BD" w:themeColor="accent1"/>
      <w:sz w:val="20"/>
      <w:szCs w:val="24"/>
      <w:lang w:val="es-ES_tradnl"/>
    </w:rPr>
  </w:style>
  <w:style w:type="paragraph" w:customStyle="1" w:styleId="2Footnotes">
    <w:name w:val="2. Footnotes"/>
    <w:basedOn w:val="FootnoteText"/>
    <w:link w:val="2FootnotesChar"/>
    <w:autoRedefine/>
    <w:qFormat/>
    <w:rsid w:val="00F80DDB"/>
    <w:rPr>
      <w:rFonts w:eastAsia="Times New Roman" w:cs="Palatino-Italic"/>
      <w:iCs/>
      <w:szCs w:val="18"/>
      <w:lang w:val="es-ES"/>
    </w:rPr>
  </w:style>
  <w:style w:type="character" w:customStyle="1" w:styleId="2FootnotesChar">
    <w:name w:val="2. Footnotes Char"/>
    <w:link w:val="2Footnotes"/>
    <w:rsid w:val="00F80DDB"/>
    <w:rPr>
      <w:rFonts w:ascii="Verdana" w:eastAsia="Times New Roman" w:hAnsi="Verdana" w:cs="Palatino-Italic"/>
      <w:iCs/>
      <w:sz w:val="16"/>
      <w:szCs w:val="18"/>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F80DDB"/>
    <w:rPr>
      <w:rFonts w:asciiTheme="minorHAnsi" w:eastAsiaTheme="minorHAnsi" w:hAnsiTheme="minorHAnsi" w:cs="Times New Roman"/>
      <w:sz w:val="22"/>
      <w:szCs w:val="20"/>
      <w:vertAlign w:val="superscript"/>
      <w:lang w:val="es-ES"/>
    </w:rPr>
  </w:style>
  <w:style w:type="character" w:customStyle="1" w:styleId="PrrafodeSentenciaChar">
    <w:name w:val="*. Párrafo de Sentencia Char"/>
    <w:link w:val="PrrafodeSentencia"/>
    <w:locked/>
    <w:rsid w:val="00CE4D25"/>
    <w:rPr>
      <w:rFonts w:ascii="Verdana" w:eastAsia="Batang" w:hAnsi="Verdana" w:cs="Arial"/>
      <w:sz w:val="20"/>
      <w:szCs w:val="20"/>
      <w:lang w:val="es-CR" w:eastAsia="es-MX"/>
    </w:rPr>
  </w:style>
  <w:style w:type="paragraph" w:customStyle="1" w:styleId="PrrafodeSentencia">
    <w:name w:val="*. Párrafo de Sentencia"/>
    <w:basedOn w:val="FootnoteText"/>
    <w:link w:val="PrrafodeSentenciaChar"/>
    <w:autoRedefine/>
    <w:qFormat/>
    <w:rsid w:val="00CE4D25"/>
    <w:pPr>
      <w:tabs>
        <w:tab w:val="left" w:pos="720"/>
      </w:tabs>
    </w:pPr>
    <w:rPr>
      <w:rFonts w:cs="Arial"/>
      <w:sz w:val="20"/>
      <w:lang w:val="es-CR" w:eastAsia="es-MX"/>
    </w:rPr>
  </w:style>
  <w:style w:type="character" w:customStyle="1" w:styleId="Smbolodenotaalpie">
    <w:name w:val="Símbolo de nota al pie"/>
    <w:rsid w:val="00577335"/>
    <w:rPr>
      <w:rFonts w:cs="Times New Roman"/>
      <w:szCs w:val="20"/>
      <w:vertAlign w:val="superscript"/>
    </w:rPr>
  </w:style>
  <w:style w:type="character" w:customStyle="1" w:styleId="Heading7Char">
    <w:name w:val="Heading 7 Char"/>
    <w:basedOn w:val="DefaultParagraphFont"/>
    <w:link w:val="Heading7"/>
    <w:uiPriority w:val="99"/>
    <w:rsid w:val="00BD53D7"/>
    <w:rPr>
      <w:rFonts w:ascii="Times New Roman" w:eastAsia="Times New Roman" w:hAnsi="Times New Roman" w:cs="Times New Roman"/>
      <w:sz w:val="24"/>
      <w:szCs w:val="24"/>
      <w:lang w:val="es-ES_tradnl" w:eastAsia="es-ES"/>
    </w:rPr>
  </w:style>
  <w:style w:type="character" w:customStyle="1" w:styleId="Heading8Char">
    <w:name w:val="Heading 8 Char"/>
    <w:basedOn w:val="DefaultParagraphFont"/>
    <w:link w:val="Heading8"/>
    <w:uiPriority w:val="99"/>
    <w:rsid w:val="00BD53D7"/>
    <w:rPr>
      <w:rFonts w:ascii="Times New Roman" w:eastAsia="Times New Roman" w:hAnsi="Times New Roman" w:cs="Times New Roman"/>
      <w:i/>
      <w:iCs/>
      <w:sz w:val="24"/>
      <w:szCs w:val="24"/>
      <w:lang w:val="es-ES_tradnl" w:eastAsia="es-ES"/>
    </w:rPr>
  </w:style>
  <w:style w:type="character" w:customStyle="1" w:styleId="Heading9Char">
    <w:name w:val="Heading 9 Char"/>
    <w:basedOn w:val="DefaultParagraphFont"/>
    <w:link w:val="Heading9"/>
    <w:uiPriority w:val="99"/>
    <w:rsid w:val="00BD53D7"/>
    <w:rPr>
      <w:rFonts w:ascii="Arial" w:eastAsia="Times New Roman" w:hAnsi="Arial" w:cs="Times New Roman"/>
      <w:lang w:val="es-ES_tradnl"/>
    </w:rPr>
  </w:style>
  <w:style w:type="character" w:styleId="LineNumber">
    <w:name w:val="line number"/>
    <w:basedOn w:val="DefaultParagraphFont"/>
    <w:uiPriority w:val="99"/>
    <w:semiHidden/>
    <w:unhideWhenUsed/>
    <w:rsid w:val="00BD53D7"/>
  </w:style>
  <w:style w:type="paragraph" w:styleId="NormalWeb">
    <w:name w:val="Normal (Web)"/>
    <w:aliases w:val="Normal (Web) Char1,Normal (Web) Char Char,Normal (Web) Char1 Char,Normal (Web) Char Char Char"/>
    <w:basedOn w:val="Normal"/>
    <w:uiPriority w:val="99"/>
    <w:rsid w:val="00BD53D7"/>
    <w:pPr>
      <w:spacing w:before="100" w:beforeAutospacing="1" w:after="100" w:afterAutospacing="1" w:line="276" w:lineRule="auto"/>
      <w:jc w:val="left"/>
    </w:pPr>
    <w:rPr>
      <w:rFonts w:ascii="Arial Unicode MS" w:eastAsia="Times New Roman" w:hAnsi="Arial Unicode MS" w:cs="Arial Unicode MS"/>
      <w:sz w:val="16"/>
      <w:szCs w:val="16"/>
      <w:lang w:val="en-US"/>
    </w:rPr>
  </w:style>
  <w:style w:type="paragraph" w:styleId="EndnoteText">
    <w:name w:val="endnote text"/>
    <w:basedOn w:val="Normal"/>
    <w:link w:val="EndnoteTextChar"/>
    <w:uiPriority w:val="99"/>
    <w:semiHidden/>
    <w:rsid w:val="00BD53D7"/>
    <w:pPr>
      <w:widowControl w:val="0"/>
      <w:tabs>
        <w:tab w:val="left" w:pos="720"/>
        <w:tab w:val="left" w:pos="1440"/>
        <w:tab w:val="left" w:pos="2160"/>
        <w:tab w:val="left" w:pos="2880"/>
        <w:tab w:val="left" w:pos="3600"/>
        <w:tab w:val="left" w:pos="4320"/>
        <w:tab w:val="left" w:pos="5760"/>
        <w:tab w:val="left" w:pos="6480"/>
        <w:tab w:val="left" w:pos="7200"/>
        <w:tab w:val="left" w:pos="7920"/>
      </w:tabs>
      <w:spacing w:before="60" w:after="60" w:line="276" w:lineRule="auto"/>
    </w:pPr>
    <w:rPr>
      <w:rFonts w:ascii="CG Times" w:eastAsia="Times New Roman" w:hAnsi="CG Times" w:cs="Times New Roman"/>
      <w:sz w:val="22"/>
      <w:szCs w:val="20"/>
      <w:lang w:val="es-ES"/>
    </w:rPr>
  </w:style>
  <w:style w:type="character" w:customStyle="1" w:styleId="EndnoteTextChar">
    <w:name w:val="Endnote Text Char"/>
    <w:basedOn w:val="DefaultParagraphFont"/>
    <w:link w:val="EndnoteText"/>
    <w:uiPriority w:val="99"/>
    <w:semiHidden/>
    <w:rsid w:val="00BD53D7"/>
    <w:rPr>
      <w:rFonts w:ascii="CG Times" w:eastAsia="Times New Roman" w:hAnsi="CG Times" w:cs="Times New Roman"/>
      <w:szCs w:val="20"/>
    </w:rPr>
  </w:style>
  <w:style w:type="character" w:styleId="PageNumber">
    <w:name w:val="page number"/>
    <w:basedOn w:val="DefaultParagraphFont"/>
    <w:uiPriority w:val="99"/>
    <w:rsid w:val="00BD53D7"/>
    <w:rPr>
      <w:rFonts w:cs="Times New Roman"/>
    </w:rPr>
  </w:style>
  <w:style w:type="paragraph" w:styleId="BodyTextIndent">
    <w:name w:val="Body Text Indent"/>
    <w:basedOn w:val="Normal"/>
    <w:link w:val="BodyTextIndentChar"/>
    <w:uiPriority w:val="99"/>
    <w:rsid w:val="00BD53D7"/>
    <w:pPr>
      <w:spacing w:before="60" w:after="60" w:line="276" w:lineRule="auto"/>
      <w:ind w:left="720"/>
    </w:pPr>
    <w:rPr>
      <w:rFonts w:ascii="Univers" w:eastAsia="Times New Roman" w:hAnsi="Univers" w:cs="Times New Roman"/>
      <w:szCs w:val="20"/>
      <w:lang w:val="es-CL"/>
    </w:rPr>
  </w:style>
  <w:style w:type="character" w:customStyle="1" w:styleId="BodyTextIndentChar">
    <w:name w:val="Body Text Indent Char"/>
    <w:basedOn w:val="DefaultParagraphFont"/>
    <w:link w:val="BodyTextIndent"/>
    <w:uiPriority w:val="99"/>
    <w:rsid w:val="00BD53D7"/>
    <w:rPr>
      <w:rFonts w:ascii="Univers" w:eastAsia="Times New Roman" w:hAnsi="Univers" w:cs="Times New Roman"/>
      <w:sz w:val="20"/>
      <w:szCs w:val="20"/>
      <w:lang w:val="es-CL"/>
    </w:rPr>
  </w:style>
  <w:style w:type="paragraph" w:styleId="BodyText">
    <w:name w:val="Body Text"/>
    <w:basedOn w:val="Normal"/>
    <w:link w:val="BodyTextChar"/>
    <w:uiPriority w:val="99"/>
    <w:rsid w:val="00BD53D7"/>
    <w:pPr>
      <w:spacing w:before="60" w:after="60" w:line="276" w:lineRule="auto"/>
    </w:pPr>
    <w:rPr>
      <w:rFonts w:ascii="Univers" w:eastAsia="Times New Roman" w:hAnsi="Univers" w:cs="Times New Roman"/>
      <w:sz w:val="22"/>
      <w:szCs w:val="20"/>
      <w:lang w:val="es-CL"/>
    </w:rPr>
  </w:style>
  <w:style w:type="character" w:customStyle="1" w:styleId="BodyTextChar">
    <w:name w:val="Body Text Char"/>
    <w:basedOn w:val="DefaultParagraphFont"/>
    <w:link w:val="BodyText"/>
    <w:uiPriority w:val="99"/>
    <w:rsid w:val="00BD53D7"/>
    <w:rPr>
      <w:rFonts w:ascii="Univers" w:eastAsia="Times New Roman" w:hAnsi="Univers" w:cs="Times New Roman"/>
      <w:szCs w:val="20"/>
      <w:lang w:val="es-CL"/>
    </w:rPr>
  </w:style>
  <w:style w:type="paragraph" w:styleId="BodyText2">
    <w:name w:val="Body Text 2"/>
    <w:basedOn w:val="Normal"/>
    <w:link w:val="BodyText2Char"/>
    <w:uiPriority w:val="99"/>
    <w:rsid w:val="00BD53D7"/>
    <w:pPr>
      <w:spacing w:before="60" w:after="120" w:line="480" w:lineRule="auto"/>
      <w:jc w:val="left"/>
    </w:pPr>
    <w:rPr>
      <w:rFonts w:ascii="Times New Roman" w:eastAsia="Times New Roman" w:hAnsi="Times New Roman" w:cs="Times New Roman"/>
      <w:sz w:val="24"/>
    </w:rPr>
  </w:style>
  <w:style w:type="character" w:customStyle="1" w:styleId="BodyText2Char">
    <w:name w:val="Body Text 2 Char"/>
    <w:basedOn w:val="DefaultParagraphFont"/>
    <w:link w:val="BodyText2"/>
    <w:uiPriority w:val="99"/>
    <w:rsid w:val="00BD53D7"/>
    <w:rPr>
      <w:rFonts w:ascii="Times New Roman" w:eastAsia="Times New Roman" w:hAnsi="Times New Roman" w:cs="Times New Roman"/>
      <w:sz w:val="24"/>
      <w:szCs w:val="24"/>
      <w:lang w:val="es-ES_tradnl"/>
    </w:rPr>
  </w:style>
  <w:style w:type="paragraph" w:styleId="BodyTextIndent2">
    <w:name w:val="Body Text Indent 2"/>
    <w:basedOn w:val="Normal"/>
    <w:link w:val="BodyTextIndent2Char"/>
    <w:uiPriority w:val="99"/>
    <w:rsid w:val="00BD53D7"/>
    <w:pPr>
      <w:spacing w:before="60" w:after="120" w:line="480" w:lineRule="auto"/>
      <w:ind w:left="283"/>
      <w:jc w:val="left"/>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uiPriority w:val="99"/>
    <w:rsid w:val="00BD53D7"/>
    <w:rPr>
      <w:rFonts w:ascii="Times New Roman" w:eastAsia="Times New Roman" w:hAnsi="Times New Roman" w:cs="Times New Roman"/>
      <w:sz w:val="24"/>
      <w:szCs w:val="20"/>
      <w:lang w:val="es-ES_tradnl"/>
    </w:rPr>
  </w:style>
  <w:style w:type="character" w:styleId="Emphasis">
    <w:name w:val="Emphasis"/>
    <w:basedOn w:val="DefaultParagraphFont"/>
    <w:uiPriority w:val="20"/>
    <w:qFormat/>
    <w:rsid w:val="00BD53D7"/>
    <w:rPr>
      <w:rFonts w:cs="Times New Roman"/>
      <w:i/>
      <w:iCs/>
    </w:rPr>
  </w:style>
  <w:style w:type="paragraph" w:styleId="BodyTextIndent3">
    <w:name w:val="Body Text Indent 3"/>
    <w:basedOn w:val="Normal"/>
    <w:link w:val="BodyTextIndent3Char"/>
    <w:uiPriority w:val="99"/>
    <w:rsid w:val="00BD53D7"/>
    <w:pPr>
      <w:spacing w:before="60" w:after="120" w:line="276" w:lineRule="auto"/>
      <w:ind w:left="283"/>
      <w:jc w:val="left"/>
    </w:pPr>
    <w:rPr>
      <w:rFonts w:ascii="Times New Roman" w:eastAsia="Times New Roman" w:hAnsi="Times New Roman" w:cs="Times New Roman"/>
      <w:sz w:val="16"/>
      <w:szCs w:val="16"/>
      <w:lang w:val="es-ES"/>
    </w:rPr>
  </w:style>
  <w:style w:type="character" w:customStyle="1" w:styleId="BodyTextIndent3Char">
    <w:name w:val="Body Text Indent 3 Char"/>
    <w:basedOn w:val="DefaultParagraphFont"/>
    <w:link w:val="BodyTextIndent3"/>
    <w:uiPriority w:val="99"/>
    <w:rsid w:val="00BD53D7"/>
    <w:rPr>
      <w:rFonts w:ascii="Times New Roman" w:eastAsia="Times New Roman" w:hAnsi="Times New Roman" w:cs="Times New Roman"/>
      <w:sz w:val="16"/>
      <w:szCs w:val="16"/>
    </w:rPr>
  </w:style>
  <w:style w:type="paragraph" w:styleId="BodyText3">
    <w:name w:val="Body Text 3"/>
    <w:basedOn w:val="Normal"/>
    <w:link w:val="BodyText3Char"/>
    <w:uiPriority w:val="99"/>
    <w:rsid w:val="00BD53D7"/>
    <w:pPr>
      <w:spacing w:before="60" w:after="120" w:line="276" w:lineRule="auto"/>
      <w:jc w:val="left"/>
    </w:pPr>
    <w:rPr>
      <w:rFonts w:ascii="Times New Roman" w:eastAsia="Times New Roman" w:hAnsi="Times New Roman" w:cs="Times New Roman"/>
      <w:sz w:val="16"/>
      <w:szCs w:val="16"/>
      <w:lang w:val="es-ES"/>
    </w:rPr>
  </w:style>
  <w:style w:type="character" w:customStyle="1" w:styleId="BodyText3Char">
    <w:name w:val="Body Text 3 Char"/>
    <w:basedOn w:val="DefaultParagraphFont"/>
    <w:link w:val="BodyText3"/>
    <w:uiPriority w:val="99"/>
    <w:rsid w:val="00BD53D7"/>
    <w:rPr>
      <w:rFonts w:ascii="Times New Roman" w:eastAsia="Times New Roman" w:hAnsi="Times New Roman" w:cs="Times New Roman"/>
      <w:sz w:val="16"/>
      <w:szCs w:val="16"/>
    </w:rPr>
  </w:style>
  <w:style w:type="character" w:customStyle="1" w:styleId="Smbolodenotaalpie0">
    <w:name w:val="S√mbolo de nota al pie"/>
    <w:uiPriority w:val="99"/>
    <w:rsid w:val="00BD53D7"/>
    <w:rPr>
      <w:vertAlign w:val="superscript"/>
    </w:rPr>
  </w:style>
  <w:style w:type="character" w:customStyle="1" w:styleId="FootnoteCharacters">
    <w:name w:val="Footnote Characters"/>
    <w:basedOn w:val="DefaultParagraphFont"/>
    <w:uiPriority w:val="99"/>
    <w:qFormat/>
    <w:rsid w:val="00BD53D7"/>
    <w:rPr>
      <w:rFonts w:cs="Times New Roman"/>
      <w:vertAlign w:val="superscript"/>
    </w:rPr>
  </w:style>
  <w:style w:type="paragraph" w:customStyle="1" w:styleId="negritamayuscula">
    <w:name w:val="negrita mayuscula"/>
    <w:basedOn w:val="Normal"/>
    <w:uiPriority w:val="99"/>
    <w:rsid w:val="00BD53D7"/>
    <w:pPr>
      <w:widowControl w:val="0"/>
      <w:tabs>
        <w:tab w:val="left" w:pos="1120"/>
      </w:tabs>
      <w:spacing w:before="60" w:after="60" w:line="360" w:lineRule="atLeast"/>
    </w:pPr>
    <w:rPr>
      <w:rFonts w:ascii="Garamond" w:eastAsia="Times New Roman" w:hAnsi="Garamond" w:cs="Times New Roman"/>
      <w:sz w:val="24"/>
      <w:szCs w:val="20"/>
    </w:rPr>
  </w:style>
  <w:style w:type="paragraph" w:customStyle="1" w:styleId="Default">
    <w:name w:val="Default"/>
    <w:rsid w:val="00BD53D7"/>
    <w:pPr>
      <w:autoSpaceDE w:val="0"/>
      <w:autoSpaceDN w:val="0"/>
      <w:adjustRightInd w:val="0"/>
      <w:spacing w:before="60" w:after="0" w:line="240" w:lineRule="auto"/>
    </w:pPr>
    <w:rPr>
      <w:rFonts w:ascii="Arial" w:eastAsia="Times New Roman" w:hAnsi="Arial" w:cs="Arial"/>
      <w:color w:val="000000"/>
      <w:sz w:val="24"/>
      <w:szCs w:val="24"/>
      <w:lang w:val="en-US"/>
    </w:rPr>
  </w:style>
  <w:style w:type="paragraph" w:customStyle="1" w:styleId="newsbody">
    <w:name w:val="news_body"/>
    <w:basedOn w:val="Normal"/>
    <w:uiPriority w:val="99"/>
    <w:rsid w:val="00BD53D7"/>
    <w:pPr>
      <w:spacing w:before="100" w:beforeAutospacing="1" w:after="100" w:afterAutospacing="1" w:line="276" w:lineRule="auto"/>
      <w:jc w:val="left"/>
    </w:pPr>
    <w:rPr>
      <w:rFonts w:eastAsia="Times New Roman" w:cs="Times New Roman"/>
      <w:color w:val="000000"/>
      <w:spacing w:val="3"/>
      <w:sz w:val="18"/>
      <w:szCs w:val="18"/>
      <w:lang w:val="es-ES" w:eastAsia="es-ES"/>
    </w:rPr>
  </w:style>
  <w:style w:type="paragraph" w:customStyle="1" w:styleId="Titre1">
    <w:name w:val="Titre 1"/>
    <w:basedOn w:val="Normal"/>
    <w:uiPriority w:val="99"/>
    <w:rsid w:val="00BD53D7"/>
    <w:pPr>
      <w:numPr>
        <w:numId w:val="5"/>
      </w:numPr>
      <w:tabs>
        <w:tab w:val="num" w:pos="1080"/>
      </w:tabs>
      <w:spacing w:before="60" w:after="60" w:line="276" w:lineRule="auto"/>
      <w:ind w:left="1080" w:hanging="720"/>
      <w:jc w:val="center"/>
    </w:pPr>
    <w:rPr>
      <w:rFonts w:eastAsia="Times New Roman" w:cs="Times New Roman"/>
      <w:b/>
      <w:caps/>
      <w:szCs w:val="20"/>
      <w:lang w:val="es-ES" w:eastAsia="es-ES"/>
    </w:rPr>
  </w:style>
  <w:style w:type="paragraph" w:styleId="ListBullet">
    <w:name w:val="List Bullet"/>
    <w:basedOn w:val="Normal"/>
    <w:uiPriority w:val="99"/>
    <w:rsid w:val="00BD53D7"/>
    <w:pPr>
      <w:numPr>
        <w:numId w:val="4"/>
      </w:numPr>
      <w:tabs>
        <w:tab w:val="clear" w:pos="360"/>
        <w:tab w:val="num" w:pos="780"/>
      </w:tabs>
      <w:spacing w:before="60" w:after="60" w:line="276" w:lineRule="auto"/>
      <w:jc w:val="left"/>
    </w:pPr>
    <w:rPr>
      <w:rFonts w:ascii="Times New Roman" w:eastAsia="Times New Roman" w:hAnsi="Times New Roman" w:cs="Times New Roman"/>
      <w:sz w:val="24"/>
      <w:lang w:val="es-ES"/>
    </w:rPr>
  </w:style>
  <w:style w:type="character" w:customStyle="1" w:styleId="CarCar">
    <w:name w:val="Car Car"/>
    <w:basedOn w:val="DefaultParagraphFont"/>
    <w:uiPriority w:val="99"/>
    <w:rsid w:val="00BD53D7"/>
    <w:rPr>
      <w:rFonts w:cs="Times New Roman"/>
      <w:sz w:val="24"/>
      <w:lang w:val="es-ES" w:eastAsia="en-US"/>
    </w:rPr>
  </w:style>
  <w:style w:type="paragraph" w:styleId="List2">
    <w:name w:val="List 2"/>
    <w:basedOn w:val="Normal"/>
    <w:uiPriority w:val="99"/>
    <w:rsid w:val="00BD53D7"/>
    <w:pPr>
      <w:spacing w:before="60" w:after="60" w:line="276" w:lineRule="auto"/>
      <w:ind w:left="566" w:hanging="283"/>
      <w:jc w:val="left"/>
    </w:pPr>
    <w:rPr>
      <w:rFonts w:ascii="Times New Roman" w:eastAsia="Times New Roman" w:hAnsi="Times New Roman" w:cs="Times New Roman"/>
      <w:sz w:val="28"/>
      <w:szCs w:val="28"/>
      <w:lang w:val="es-ES" w:eastAsia="es-ES"/>
    </w:rPr>
  </w:style>
  <w:style w:type="paragraph" w:styleId="BlockText">
    <w:name w:val="Block Text"/>
    <w:basedOn w:val="Normal"/>
    <w:uiPriority w:val="99"/>
    <w:rsid w:val="00BD53D7"/>
    <w:pPr>
      <w:spacing w:before="60" w:after="60" w:line="360" w:lineRule="auto"/>
      <w:ind w:left="1259" w:right="919"/>
    </w:pPr>
    <w:rPr>
      <w:rFonts w:ascii="Times New Roman" w:eastAsia="Times New Roman" w:hAnsi="Times New Roman" w:cs="Times New Roman"/>
      <w:sz w:val="28"/>
      <w:lang w:val="es-ES" w:eastAsia="es-ES"/>
    </w:rPr>
  </w:style>
  <w:style w:type="paragraph" w:customStyle="1" w:styleId="textoparrafo">
    <w:name w:val="textoparrafo"/>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s-ES" w:eastAsia="es-ES"/>
    </w:rPr>
  </w:style>
  <w:style w:type="paragraph" w:customStyle="1" w:styleId="Prrafodelista1">
    <w:name w:val="P∑rrafo de lista1"/>
    <w:basedOn w:val="Normal"/>
    <w:uiPriority w:val="99"/>
    <w:rsid w:val="00BD53D7"/>
    <w:pPr>
      <w:spacing w:before="60" w:after="60" w:line="276" w:lineRule="auto"/>
      <w:ind w:left="720"/>
      <w:contextualSpacing/>
      <w:jc w:val="left"/>
    </w:pPr>
    <w:rPr>
      <w:rFonts w:ascii="Times New Roman" w:eastAsia="Times New Roman" w:hAnsi="Times New Roman" w:cs="Times New Roman"/>
      <w:sz w:val="24"/>
    </w:rPr>
  </w:style>
  <w:style w:type="paragraph" w:customStyle="1" w:styleId="StyleHeading2LatinTimesNewRomanAsianBatang12ptN">
    <w:name w:val="Style Heading 2 + (Latin) Times New Roman (Asian) Batang 12 pt N..."/>
    <w:basedOn w:val="Heading2"/>
    <w:next w:val="Normal"/>
    <w:uiPriority w:val="99"/>
    <w:rsid w:val="00BD53D7"/>
    <w:pPr>
      <w:numPr>
        <w:ilvl w:val="1"/>
      </w:numPr>
      <w:tabs>
        <w:tab w:val="num" w:pos="576"/>
      </w:tabs>
      <w:spacing w:before="0" w:line="276" w:lineRule="auto"/>
      <w:ind w:left="576" w:hanging="576"/>
    </w:pPr>
    <w:rPr>
      <w:rFonts w:ascii="Times New Roman" w:eastAsia="Batang" w:hAnsi="Times New Roman" w:cs="Times New Roman"/>
      <w:i/>
      <w:color w:val="365F91"/>
      <w:sz w:val="24"/>
      <w:szCs w:val="20"/>
      <w:lang w:eastAsia="es-ES"/>
    </w:rPr>
  </w:style>
  <w:style w:type="character" w:customStyle="1" w:styleId="documentbody">
    <w:name w:val="documentbody"/>
    <w:basedOn w:val="DefaultParagraphFont"/>
    <w:uiPriority w:val="99"/>
    <w:rsid w:val="00BD53D7"/>
    <w:rPr>
      <w:rFonts w:cs="Times New Roman"/>
    </w:rPr>
  </w:style>
  <w:style w:type="paragraph" w:customStyle="1" w:styleId="JuPara">
    <w:name w:val="Ju_Para"/>
    <w:basedOn w:val="Normal"/>
    <w:uiPriority w:val="99"/>
    <w:rsid w:val="00BD53D7"/>
    <w:pPr>
      <w:suppressAutoHyphens/>
      <w:spacing w:before="240" w:after="240" w:line="276" w:lineRule="auto"/>
      <w:ind w:firstLine="284"/>
    </w:pPr>
    <w:rPr>
      <w:rFonts w:ascii="Times New Roman" w:eastAsia="Times New Roman" w:hAnsi="Times New Roman" w:cs="Times New Roman"/>
      <w:sz w:val="24"/>
      <w:szCs w:val="20"/>
      <w:lang w:val="en-GB"/>
    </w:rPr>
  </w:style>
  <w:style w:type="paragraph" w:customStyle="1" w:styleId="Index91">
    <w:name w:val="Index 91"/>
    <w:basedOn w:val="Normal"/>
    <w:uiPriority w:val="99"/>
    <w:rsid w:val="00BD53D7"/>
    <w:pPr>
      <w:spacing w:before="60" w:after="60" w:line="276" w:lineRule="auto"/>
      <w:jc w:val="center"/>
    </w:pPr>
    <w:rPr>
      <w:rFonts w:ascii="Apple Chancery" w:eastAsia="Times New Roman" w:hAnsi="Apple Chancery" w:cs="Times New Roman"/>
      <w:b/>
      <w:sz w:val="24"/>
      <w:szCs w:val="20"/>
      <w:lang w:eastAsia="es-ES"/>
    </w:rPr>
  </w:style>
  <w:style w:type="paragraph" w:customStyle="1" w:styleId="Textoindependiente21">
    <w:name w:val="Texto independiente 21"/>
    <w:basedOn w:val="Normal"/>
    <w:uiPriority w:val="99"/>
    <w:rsid w:val="00BD53D7"/>
    <w:pPr>
      <w:spacing w:before="60" w:after="60" w:line="360" w:lineRule="atLeast"/>
    </w:pPr>
    <w:rPr>
      <w:rFonts w:eastAsia="Times New Roman" w:cs="Times New Roman"/>
      <w:szCs w:val="20"/>
      <w:lang w:eastAsia="es-ES"/>
    </w:rPr>
  </w:style>
  <w:style w:type="character" w:customStyle="1" w:styleId="Refdenotaalpie7">
    <w:name w:val="Ref. de nota al pie7"/>
    <w:uiPriority w:val="99"/>
    <w:rsid w:val="00BD53D7"/>
    <w:rPr>
      <w:vertAlign w:val="superscript"/>
    </w:rPr>
  </w:style>
  <w:style w:type="paragraph" w:styleId="NoSpacing">
    <w:name w:val="No Spacing"/>
    <w:uiPriority w:val="1"/>
    <w:qFormat/>
    <w:rsid w:val="00BD53D7"/>
    <w:pPr>
      <w:spacing w:before="60" w:after="0" w:line="240" w:lineRule="auto"/>
    </w:pPr>
    <w:rPr>
      <w:rFonts w:ascii="Calibri" w:eastAsia="Times New Roman" w:hAnsi="Calibri" w:cs="Times New Roman"/>
    </w:rPr>
  </w:style>
  <w:style w:type="paragraph" w:customStyle="1" w:styleId="Normal6">
    <w:name w:val="Normal+6"/>
    <w:basedOn w:val="Normal"/>
    <w:next w:val="Normal"/>
    <w:uiPriority w:val="99"/>
    <w:rsid w:val="00BD53D7"/>
    <w:pPr>
      <w:autoSpaceDE w:val="0"/>
      <w:autoSpaceDN w:val="0"/>
      <w:adjustRightInd w:val="0"/>
      <w:spacing w:before="60" w:after="60" w:line="276" w:lineRule="auto"/>
      <w:jc w:val="left"/>
    </w:pPr>
    <w:rPr>
      <w:rFonts w:ascii="Times New Roman" w:eastAsia="Times New Roman" w:hAnsi="Times New Roman" w:cs="Times New Roman"/>
      <w:sz w:val="24"/>
      <w:lang w:val="es-ES" w:eastAsia="es-ES"/>
    </w:rPr>
  </w:style>
  <w:style w:type="character" w:customStyle="1" w:styleId="googqs-tidbit1">
    <w:name w:val="goog_qs-tidbit1"/>
    <w:basedOn w:val="DefaultParagraphFont"/>
    <w:uiPriority w:val="99"/>
    <w:rsid w:val="00BD53D7"/>
    <w:rPr>
      <w:rFonts w:cs="Times New Roman"/>
    </w:rPr>
  </w:style>
  <w:style w:type="character" w:customStyle="1" w:styleId="apple-style-span">
    <w:name w:val="apple-style-span"/>
    <w:basedOn w:val="DefaultParagraphFont"/>
    <w:uiPriority w:val="99"/>
    <w:rsid w:val="00BD53D7"/>
    <w:rPr>
      <w:rFonts w:cs="Times New Roman"/>
    </w:rPr>
  </w:style>
  <w:style w:type="character" w:customStyle="1" w:styleId="WW8Num5z1">
    <w:name w:val="WW8Num5z1"/>
    <w:uiPriority w:val="99"/>
    <w:rsid w:val="00BD53D7"/>
    <w:rPr>
      <w:rFonts w:ascii="Courier New" w:hAnsi="Courier New"/>
    </w:rPr>
  </w:style>
  <w:style w:type="character" w:customStyle="1" w:styleId="A10">
    <w:name w:val="A10"/>
    <w:uiPriority w:val="99"/>
    <w:rsid w:val="00BD53D7"/>
    <w:rPr>
      <w:color w:val="000000"/>
      <w:sz w:val="11"/>
    </w:rPr>
  </w:style>
  <w:style w:type="paragraph" w:customStyle="1" w:styleId="MacroText1">
    <w:name w:val="Macro Text1"/>
    <w:basedOn w:val="Normal"/>
    <w:uiPriority w:val="99"/>
    <w:rsid w:val="00BD53D7"/>
    <w:pPr>
      <w:suppressAutoHyphens/>
      <w:spacing w:before="60" w:after="60" w:line="276" w:lineRule="auto"/>
      <w:jc w:val="left"/>
    </w:pPr>
    <w:rPr>
      <w:rFonts w:eastAsia="Times New Roman" w:cs="Times New Roman"/>
      <w:sz w:val="24"/>
      <w:szCs w:val="20"/>
      <w:lang w:eastAsia="ar-SA"/>
    </w:rPr>
  </w:style>
  <w:style w:type="paragraph" w:customStyle="1" w:styleId="ju-005fpara-0020char1-0020char-0020char-0020char-0020char-0020char">
    <w:name w:val="ju-005fpara-0020char1-0020char-0020char-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n-US"/>
    </w:rPr>
  </w:style>
  <w:style w:type="paragraph" w:customStyle="1" w:styleId="ju-005fpara-0020char-0020char-0020char">
    <w:name w:val="ju-005fpara-0020char-0020char-0020char"/>
    <w:basedOn w:val="Normal"/>
    <w:uiPriority w:val="99"/>
    <w:rsid w:val="00BD53D7"/>
    <w:pPr>
      <w:spacing w:before="100" w:beforeAutospacing="1" w:after="100" w:afterAutospacing="1" w:line="276" w:lineRule="auto"/>
      <w:jc w:val="left"/>
    </w:pPr>
    <w:rPr>
      <w:rFonts w:ascii="Times New Roman" w:eastAsia="Times New Roman" w:hAnsi="Times New Roman" w:cs="Times New Roman"/>
      <w:sz w:val="24"/>
      <w:lang w:val="en-US"/>
    </w:rPr>
  </w:style>
  <w:style w:type="character" w:customStyle="1" w:styleId="ju-005fpara-0020char-0020char-0020char--char">
    <w:name w:val="ju-005fpara-0020char-0020char-0020char--char"/>
    <w:basedOn w:val="DefaultParagraphFont"/>
    <w:uiPriority w:val="99"/>
    <w:rsid w:val="00BD53D7"/>
    <w:rPr>
      <w:rFonts w:cs="Times New Roman"/>
    </w:rPr>
  </w:style>
  <w:style w:type="character" w:styleId="FollowedHyperlink">
    <w:name w:val="FollowedHyperlink"/>
    <w:basedOn w:val="DefaultParagraphFont"/>
    <w:uiPriority w:val="99"/>
    <w:rsid w:val="00BD53D7"/>
    <w:rPr>
      <w:rFonts w:cs="Times New Roman"/>
      <w:color w:val="800080"/>
      <w:u w:val="single"/>
    </w:rPr>
  </w:style>
  <w:style w:type="paragraph" w:customStyle="1" w:styleId="western">
    <w:name w:val="western"/>
    <w:basedOn w:val="Normal"/>
    <w:uiPriority w:val="99"/>
    <w:rsid w:val="00BD53D7"/>
    <w:pPr>
      <w:spacing w:before="100" w:beforeAutospacing="1" w:after="60" w:line="276" w:lineRule="auto"/>
    </w:pPr>
    <w:rPr>
      <w:rFonts w:ascii="Times New Roman" w:eastAsia="Times New Roman" w:hAnsi="Times New Roman" w:cs="Times New Roman"/>
      <w:color w:val="000000"/>
      <w:sz w:val="28"/>
      <w:szCs w:val="28"/>
      <w:lang w:val="en-US"/>
    </w:rPr>
  </w:style>
  <w:style w:type="paragraph" w:customStyle="1" w:styleId="CM124">
    <w:name w:val="CM124"/>
    <w:basedOn w:val="Default"/>
    <w:next w:val="Default"/>
    <w:uiPriority w:val="99"/>
    <w:rsid w:val="00BD53D7"/>
    <w:pPr>
      <w:widowControl w:val="0"/>
    </w:pPr>
    <w:rPr>
      <w:color w:val="auto"/>
    </w:rPr>
  </w:style>
  <w:style w:type="paragraph" w:customStyle="1" w:styleId="CM125">
    <w:name w:val="CM125"/>
    <w:basedOn w:val="Default"/>
    <w:next w:val="Default"/>
    <w:uiPriority w:val="99"/>
    <w:rsid w:val="00BD53D7"/>
    <w:pPr>
      <w:widowControl w:val="0"/>
    </w:pPr>
    <w:rPr>
      <w:color w:val="auto"/>
    </w:rPr>
  </w:style>
  <w:style w:type="paragraph" w:customStyle="1" w:styleId="CM129">
    <w:name w:val="CM129"/>
    <w:basedOn w:val="Default"/>
    <w:next w:val="Default"/>
    <w:uiPriority w:val="99"/>
    <w:rsid w:val="00BD53D7"/>
    <w:pPr>
      <w:widowControl w:val="0"/>
    </w:pPr>
    <w:rPr>
      <w:color w:val="auto"/>
    </w:rPr>
  </w:style>
  <w:style w:type="character" w:styleId="EndnoteReference">
    <w:name w:val="endnote reference"/>
    <w:basedOn w:val="DefaultParagraphFont"/>
    <w:uiPriority w:val="99"/>
    <w:semiHidden/>
    <w:unhideWhenUsed/>
    <w:rsid w:val="00BD53D7"/>
    <w:rPr>
      <w:vertAlign w:val="superscript"/>
    </w:rPr>
  </w:style>
  <w:style w:type="paragraph" w:styleId="Revision">
    <w:name w:val="Revision"/>
    <w:hidden/>
    <w:uiPriority w:val="99"/>
    <w:semiHidden/>
    <w:rsid w:val="00BD53D7"/>
    <w:pPr>
      <w:spacing w:before="60" w:after="0" w:line="240" w:lineRule="auto"/>
    </w:pPr>
    <w:rPr>
      <w:rFonts w:ascii="Times New Roman" w:eastAsia="Times New Roman" w:hAnsi="Times New Roman" w:cs="Times New Roman"/>
      <w:sz w:val="24"/>
      <w:szCs w:val="24"/>
      <w:lang w:val="es-ES_tradnl"/>
    </w:rPr>
  </w:style>
  <w:style w:type="character" w:styleId="PlaceholderText">
    <w:name w:val="Placeholder Text"/>
    <w:basedOn w:val="DefaultParagraphFont"/>
    <w:uiPriority w:val="99"/>
    <w:semiHidden/>
    <w:rsid w:val="00BD53D7"/>
    <w:rPr>
      <w:color w:val="808080"/>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BD53D7"/>
    <w:rPr>
      <w:rFonts w:ascii="Univers" w:hAnsi="Univers" w:cs="Times New Roman"/>
      <w:lang w:val="en-US" w:eastAsia="en-US" w:bidi="ar-SA"/>
    </w:rPr>
  </w:style>
  <w:style w:type="character" w:customStyle="1" w:styleId="FootnoteAnchor">
    <w:name w:val="Footnote Anchor"/>
    <w:rsid w:val="00BD53D7"/>
    <w:rPr>
      <w:vertAlign w:val="superscript"/>
    </w:rPr>
  </w:style>
  <w:style w:type="paragraph" w:styleId="TOC3">
    <w:name w:val="toc 3"/>
    <w:basedOn w:val="Normal"/>
    <w:next w:val="Normal"/>
    <w:autoRedefine/>
    <w:uiPriority w:val="39"/>
    <w:unhideWhenUsed/>
    <w:rsid w:val="003E0964"/>
    <w:pPr>
      <w:tabs>
        <w:tab w:val="right" w:leader="dot" w:pos="9072"/>
      </w:tabs>
      <w:spacing w:after="40"/>
      <w:ind w:left="403" w:right="237"/>
    </w:pPr>
  </w:style>
  <w:style w:type="paragraph" w:customStyle="1" w:styleId="Prrafodelista2">
    <w:name w:val="Párrafo de lista2"/>
    <w:basedOn w:val="Normal"/>
    <w:uiPriority w:val="99"/>
    <w:rsid w:val="006D122D"/>
    <w:pPr>
      <w:ind w:left="720"/>
      <w:jc w:val="left"/>
    </w:pPr>
    <w:rPr>
      <w:rFonts w:eastAsia="MS Mincho" w:cs="Times New Roman"/>
      <w:szCs w:val="20"/>
      <w:lang w:bidi="en-US"/>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DefaultParagraphFont"/>
    <w:qFormat/>
    <w:locked/>
    <w:rsid w:val="000C140A"/>
    <w:rPr>
      <w:rFonts w:ascii="Verdana" w:hAnsi="Verdana"/>
    </w:rPr>
  </w:style>
  <w:style w:type="paragraph" w:styleId="TOC4">
    <w:name w:val="toc 4"/>
    <w:basedOn w:val="Normal"/>
    <w:next w:val="Normal"/>
    <w:autoRedefine/>
    <w:uiPriority w:val="39"/>
    <w:unhideWhenUsed/>
    <w:rsid w:val="00CD3695"/>
    <w:pPr>
      <w:spacing w:after="100"/>
      <w:ind w:left="600"/>
    </w:pPr>
  </w:style>
  <w:style w:type="paragraph" w:customStyle="1" w:styleId="Estilo4">
    <w:name w:val="Estilo4"/>
    <w:basedOn w:val="Normal"/>
    <w:link w:val="Estilo4Car"/>
    <w:qFormat/>
    <w:rsid w:val="00817F42"/>
    <w:pPr>
      <w:numPr>
        <w:numId w:val="8"/>
      </w:numPr>
      <w:spacing w:after="160" w:line="259" w:lineRule="auto"/>
      <w:ind w:left="0" w:firstLine="0"/>
      <w:jc w:val="left"/>
    </w:pPr>
    <w:rPr>
      <w:rFonts w:ascii="Times New Roman" w:eastAsiaTheme="minorHAnsi" w:hAnsi="Times New Roman" w:cs="Times New Roman"/>
      <w:sz w:val="24"/>
      <w:lang w:val="es-UY"/>
    </w:rPr>
  </w:style>
  <w:style w:type="character" w:customStyle="1" w:styleId="Estilo4Car">
    <w:name w:val="Estilo4 Car"/>
    <w:basedOn w:val="DefaultParagraphFont"/>
    <w:link w:val="Estilo4"/>
    <w:rsid w:val="00817F42"/>
    <w:rPr>
      <w:rFonts w:ascii="Times New Roman" w:hAnsi="Times New Roman" w:cs="Times New Roman"/>
      <w:sz w:val="24"/>
      <w:szCs w:val="24"/>
      <w:lang w:val="es-UY"/>
    </w:rPr>
  </w:style>
  <w:style w:type="paragraph" w:customStyle="1" w:styleId="style11">
    <w:name w:val="style11"/>
    <w:basedOn w:val="Normal"/>
    <w:rsid w:val="00817F42"/>
    <w:pPr>
      <w:spacing w:before="192" w:after="192"/>
      <w:ind w:left="120" w:right="144"/>
    </w:pPr>
    <w:rPr>
      <w:rFonts w:ascii="Times New Roman" w:eastAsia="Times New Roman" w:hAnsi="Times New Roman" w:cs="Times New Roman"/>
      <w:sz w:val="24"/>
      <w:lang w:val="es-CR" w:eastAsia="es-CR"/>
    </w:rPr>
  </w:style>
  <w:style w:type="character" w:styleId="BookTitle">
    <w:name w:val="Book Title"/>
    <w:basedOn w:val="DefaultParagraphFont"/>
    <w:uiPriority w:val="33"/>
    <w:qFormat/>
    <w:rsid w:val="00817F42"/>
    <w:rPr>
      <w:b/>
      <w:bCs/>
      <w:smallCaps/>
      <w:spacing w:val="5"/>
    </w:rPr>
  </w:style>
  <w:style w:type="character" w:customStyle="1" w:styleId="UnresolvedMention">
    <w:name w:val="Unresolved Mention"/>
    <w:basedOn w:val="DefaultParagraphFont"/>
    <w:uiPriority w:val="99"/>
    <w:semiHidden/>
    <w:unhideWhenUsed/>
    <w:rsid w:val="00817F42"/>
    <w:rPr>
      <w:color w:val="808080"/>
      <w:shd w:val="clear" w:color="auto" w:fill="E6E6E6"/>
    </w:rPr>
  </w:style>
  <w:style w:type="character" w:customStyle="1" w:styleId="Funotenzeichen">
    <w:name w:val="Fußnotenzeichen"/>
    <w:rsid w:val="001264AE"/>
  </w:style>
  <w:style w:type="paragraph" w:customStyle="1" w:styleId="m307267806122917089estilo5">
    <w:name w:val="m_307267806122917089estilo5"/>
    <w:basedOn w:val="Normal"/>
    <w:rsid w:val="00B36143"/>
    <w:pPr>
      <w:spacing w:before="100" w:beforeAutospacing="1" w:after="100" w:afterAutospacing="1"/>
      <w:jc w:val="left"/>
    </w:pPr>
    <w:rPr>
      <w:rFonts w:ascii="Times New Roman" w:eastAsia="Times New Roman" w:hAnsi="Times New Roman" w:cs="Times New Roman"/>
      <w:sz w:val="24"/>
      <w:lang w:val="es-CR" w:eastAsia="es-CR"/>
    </w:rPr>
  </w:style>
  <w:style w:type="paragraph" w:customStyle="1" w:styleId="Estilo3">
    <w:name w:val="Estilo3"/>
    <w:basedOn w:val="ListParagraph"/>
    <w:qFormat/>
    <w:rsid w:val="00B36143"/>
    <w:pPr>
      <w:numPr>
        <w:ilvl w:val="4"/>
        <w:numId w:val="9"/>
      </w:numPr>
      <w:spacing w:after="120" w:line="216" w:lineRule="auto"/>
      <w:ind w:right="17"/>
      <w:contextualSpacing w:val="0"/>
    </w:pPr>
    <w:rPr>
      <w:rFonts w:eastAsia="Calibri" w:cs="Times New Roman"/>
      <w:spacing w:val="-2"/>
      <w:szCs w:val="20"/>
      <w:lang w:val="es-MX" w:eastAsia="x-none"/>
    </w:rPr>
  </w:style>
  <w:style w:type="paragraph" w:customStyle="1" w:styleId="Estilo5">
    <w:name w:val="Estilo5"/>
    <w:basedOn w:val="ListParagraph"/>
    <w:link w:val="Estilo5Car"/>
    <w:qFormat/>
    <w:rsid w:val="00B36143"/>
    <w:pPr>
      <w:numPr>
        <w:numId w:val="9"/>
      </w:numPr>
      <w:spacing w:after="120" w:line="216" w:lineRule="auto"/>
      <w:ind w:left="0" w:right="18" w:firstLine="0"/>
      <w:contextualSpacing w:val="0"/>
    </w:pPr>
    <w:rPr>
      <w:rFonts w:eastAsia="Calibri" w:cs="Times New Roman"/>
      <w:spacing w:val="-2"/>
      <w:szCs w:val="20"/>
      <w:lang w:val="es-MX" w:eastAsia="x-none"/>
    </w:rPr>
  </w:style>
  <w:style w:type="character" w:customStyle="1" w:styleId="Estilo5Car">
    <w:name w:val="Estilo5 Car"/>
    <w:link w:val="Estilo5"/>
    <w:rsid w:val="00B36143"/>
    <w:rPr>
      <w:rFonts w:ascii="Verdana" w:eastAsia="Calibri" w:hAnsi="Verdana" w:cs="Times New Roman"/>
      <w:spacing w:val="-2"/>
      <w:sz w:val="20"/>
      <w:szCs w:val="20"/>
      <w:lang w:val="es-MX" w:eastAsia="x-none"/>
    </w:rPr>
  </w:style>
  <w:style w:type="paragraph" w:customStyle="1" w:styleId="Estilo8">
    <w:name w:val="Estilo8"/>
    <w:basedOn w:val="Estilo3"/>
    <w:qFormat/>
    <w:rsid w:val="00B36143"/>
    <w:pPr>
      <w:numPr>
        <w:ilvl w:val="5"/>
      </w:numPr>
      <w:ind w:left="1080" w:hanging="358"/>
    </w:pPr>
  </w:style>
  <w:style w:type="character" w:customStyle="1" w:styleId="s6b621b36">
    <w:name w:val="s6b621b36"/>
    <w:basedOn w:val="DefaultParagraphFont"/>
    <w:rsid w:val="008908AB"/>
  </w:style>
  <w:style w:type="paragraph" w:customStyle="1" w:styleId="Estilo2">
    <w:name w:val="Estilo2"/>
    <w:basedOn w:val="Normal"/>
    <w:qFormat/>
    <w:rsid w:val="008908AB"/>
    <w:pPr>
      <w:tabs>
        <w:tab w:val="left" w:pos="567"/>
        <w:tab w:val="left" w:pos="1134"/>
        <w:tab w:val="num" w:pos="4767"/>
      </w:tabs>
      <w:spacing w:after="120"/>
      <w:ind w:firstLine="357"/>
    </w:pPr>
    <w:rPr>
      <w:rFonts w:eastAsia="Calibri" w:cs="Times New Roman"/>
      <w:szCs w:val="20"/>
      <w:lang w:val="es-ES"/>
    </w:rPr>
  </w:style>
  <w:style w:type="paragraph" w:styleId="DocumentMap">
    <w:name w:val="Document Map"/>
    <w:basedOn w:val="Normal"/>
    <w:link w:val="DocumentMapChar"/>
    <w:uiPriority w:val="99"/>
    <w:semiHidden/>
    <w:unhideWhenUsed/>
    <w:rsid w:val="0008652E"/>
    <w:rPr>
      <w:rFonts w:ascii="Lucida Grande" w:hAnsi="Lucida Grande"/>
      <w:sz w:val="24"/>
    </w:rPr>
  </w:style>
  <w:style w:type="character" w:customStyle="1" w:styleId="DocumentMapChar">
    <w:name w:val="Document Map Char"/>
    <w:basedOn w:val="DefaultParagraphFont"/>
    <w:link w:val="DocumentMap"/>
    <w:uiPriority w:val="99"/>
    <w:semiHidden/>
    <w:rsid w:val="0008652E"/>
    <w:rPr>
      <w:rFonts w:ascii="Lucida Grande" w:eastAsia="Batang" w:hAnsi="Lucida Grande" w:cs="Times"/>
      <w:sz w:val="24"/>
      <w:szCs w:val="24"/>
      <w:lang w:val="es-ES_tradnl"/>
    </w:rPr>
  </w:style>
  <w:style w:type="character" w:customStyle="1" w:styleId="Ancladenotaalpie">
    <w:name w:val="Ancla de nota al pie"/>
    <w:rsid w:val="0038493D"/>
    <w:rPr>
      <w:vertAlign w:val="superscript"/>
    </w:rPr>
  </w:style>
  <w:style w:type="character" w:customStyle="1" w:styleId="ListLabel47">
    <w:name w:val="ListLabel 47"/>
    <w:qFormat/>
    <w:rsid w:val="009A6A62"/>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5085">
      <w:bodyDiv w:val="1"/>
      <w:marLeft w:val="0"/>
      <w:marRight w:val="0"/>
      <w:marTop w:val="0"/>
      <w:marBottom w:val="0"/>
      <w:divBdr>
        <w:top w:val="none" w:sz="0" w:space="0" w:color="auto"/>
        <w:left w:val="none" w:sz="0" w:space="0" w:color="auto"/>
        <w:bottom w:val="none" w:sz="0" w:space="0" w:color="auto"/>
        <w:right w:val="none" w:sz="0" w:space="0" w:color="auto"/>
      </w:divBdr>
    </w:div>
    <w:div w:id="38868176">
      <w:bodyDiv w:val="1"/>
      <w:marLeft w:val="0"/>
      <w:marRight w:val="0"/>
      <w:marTop w:val="0"/>
      <w:marBottom w:val="0"/>
      <w:divBdr>
        <w:top w:val="none" w:sz="0" w:space="0" w:color="auto"/>
        <w:left w:val="none" w:sz="0" w:space="0" w:color="auto"/>
        <w:bottom w:val="none" w:sz="0" w:space="0" w:color="auto"/>
        <w:right w:val="none" w:sz="0" w:space="0" w:color="auto"/>
      </w:divBdr>
    </w:div>
    <w:div w:id="119963076">
      <w:bodyDiv w:val="1"/>
      <w:marLeft w:val="0"/>
      <w:marRight w:val="0"/>
      <w:marTop w:val="0"/>
      <w:marBottom w:val="0"/>
      <w:divBdr>
        <w:top w:val="none" w:sz="0" w:space="0" w:color="auto"/>
        <w:left w:val="none" w:sz="0" w:space="0" w:color="auto"/>
        <w:bottom w:val="none" w:sz="0" w:space="0" w:color="auto"/>
        <w:right w:val="none" w:sz="0" w:space="0" w:color="auto"/>
      </w:divBdr>
    </w:div>
    <w:div w:id="143667729">
      <w:bodyDiv w:val="1"/>
      <w:marLeft w:val="0"/>
      <w:marRight w:val="0"/>
      <w:marTop w:val="0"/>
      <w:marBottom w:val="0"/>
      <w:divBdr>
        <w:top w:val="none" w:sz="0" w:space="0" w:color="auto"/>
        <w:left w:val="none" w:sz="0" w:space="0" w:color="auto"/>
        <w:bottom w:val="none" w:sz="0" w:space="0" w:color="auto"/>
        <w:right w:val="none" w:sz="0" w:space="0" w:color="auto"/>
      </w:divBdr>
    </w:div>
    <w:div w:id="158616032">
      <w:bodyDiv w:val="1"/>
      <w:marLeft w:val="0"/>
      <w:marRight w:val="0"/>
      <w:marTop w:val="0"/>
      <w:marBottom w:val="0"/>
      <w:divBdr>
        <w:top w:val="none" w:sz="0" w:space="0" w:color="auto"/>
        <w:left w:val="none" w:sz="0" w:space="0" w:color="auto"/>
        <w:bottom w:val="none" w:sz="0" w:space="0" w:color="auto"/>
        <w:right w:val="none" w:sz="0" w:space="0" w:color="auto"/>
      </w:divBdr>
    </w:div>
    <w:div w:id="167912930">
      <w:bodyDiv w:val="1"/>
      <w:marLeft w:val="0"/>
      <w:marRight w:val="0"/>
      <w:marTop w:val="0"/>
      <w:marBottom w:val="0"/>
      <w:divBdr>
        <w:top w:val="none" w:sz="0" w:space="0" w:color="auto"/>
        <w:left w:val="none" w:sz="0" w:space="0" w:color="auto"/>
        <w:bottom w:val="none" w:sz="0" w:space="0" w:color="auto"/>
        <w:right w:val="none" w:sz="0" w:space="0" w:color="auto"/>
      </w:divBdr>
    </w:div>
    <w:div w:id="214201291">
      <w:bodyDiv w:val="1"/>
      <w:marLeft w:val="0"/>
      <w:marRight w:val="0"/>
      <w:marTop w:val="0"/>
      <w:marBottom w:val="0"/>
      <w:divBdr>
        <w:top w:val="none" w:sz="0" w:space="0" w:color="auto"/>
        <w:left w:val="none" w:sz="0" w:space="0" w:color="auto"/>
        <w:bottom w:val="none" w:sz="0" w:space="0" w:color="auto"/>
        <w:right w:val="none" w:sz="0" w:space="0" w:color="auto"/>
      </w:divBdr>
    </w:div>
    <w:div w:id="218707413">
      <w:bodyDiv w:val="1"/>
      <w:marLeft w:val="0"/>
      <w:marRight w:val="0"/>
      <w:marTop w:val="0"/>
      <w:marBottom w:val="0"/>
      <w:divBdr>
        <w:top w:val="none" w:sz="0" w:space="0" w:color="auto"/>
        <w:left w:val="none" w:sz="0" w:space="0" w:color="auto"/>
        <w:bottom w:val="none" w:sz="0" w:space="0" w:color="auto"/>
        <w:right w:val="none" w:sz="0" w:space="0" w:color="auto"/>
      </w:divBdr>
    </w:div>
    <w:div w:id="248731907">
      <w:bodyDiv w:val="1"/>
      <w:marLeft w:val="0"/>
      <w:marRight w:val="0"/>
      <w:marTop w:val="0"/>
      <w:marBottom w:val="0"/>
      <w:divBdr>
        <w:top w:val="none" w:sz="0" w:space="0" w:color="auto"/>
        <w:left w:val="none" w:sz="0" w:space="0" w:color="auto"/>
        <w:bottom w:val="none" w:sz="0" w:space="0" w:color="auto"/>
        <w:right w:val="none" w:sz="0" w:space="0" w:color="auto"/>
      </w:divBdr>
      <w:divsChild>
        <w:div w:id="687565345">
          <w:marLeft w:val="0"/>
          <w:marRight w:val="0"/>
          <w:marTop w:val="0"/>
          <w:marBottom w:val="0"/>
          <w:divBdr>
            <w:top w:val="none" w:sz="0" w:space="0" w:color="auto"/>
            <w:left w:val="none" w:sz="0" w:space="0" w:color="auto"/>
            <w:bottom w:val="none" w:sz="0" w:space="0" w:color="auto"/>
            <w:right w:val="none" w:sz="0" w:space="0" w:color="auto"/>
          </w:divBdr>
          <w:divsChild>
            <w:div w:id="1492451716">
              <w:marLeft w:val="0"/>
              <w:marRight w:val="0"/>
              <w:marTop w:val="0"/>
              <w:marBottom w:val="0"/>
              <w:divBdr>
                <w:top w:val="none" w:sz="0" w:space="0" w:color="auto"/>
                <w:left w:val="none" w:sz="0" w:space="0" w:color="auto"/>
                <w:bottom w:val="none" w:sz="0" w:space="0" w:color="auto"/>
                <w:right w:val="none" w:sz="0" w:space="0" w:color="auto"/>
              </w:divBdr>
              <w:divsChild>
                <w:div w:id="285812894">
                  <w:marLeft w:val="0"/>
                  <w:marRight w:val="0"/>
                  <w:marTop w:val="0"/>
                  <w:marBottom w:val="0"/>
                  <w:divBdr>
                    <w:top w:val="none" w:sz="0" w:space="0" w:color="auto"/>
                    <w:left w:val="none" w:sz="0" w:space="0" w:color="auto"/>
                    <w:bottom w:val="none" w:sz="0" w:space="0" w:color="auto"/>
                    <w:right w:val="none" w:sz="0" w:space="0" w:color="auto"/>
                  </w:divBdr>
                  <w:divsChild>
                    <w:div w:id="2024284623">
                      <w:marLeft w:val="0"/>
                      <w:marRight w:val="0"/>
                      <w:marTop w:val="0"/>
                      <w:marBottom w:val="0"/>
                      <w:divBdr>
                        <w:top w:val="none" w:sz="0" w:space="0" w:color="auto"/>
                        <w:left w:val="none" w:sz="0" w:space="0" w:color="auto"/>
                        <w:bottom w:val="none" w:sz="0" w:space="0" w:color="auto"/>
                        <w:right w:val="none" w:sz="0" w:space="0" w:color="auto"/>
                      </w:divBdr>
                      <w:divsChild>
                        <w:div w:id="1949972474">
                          <w:marLeft w:val="0"/>
                          <w:marRight w:val="0"/>
                          <w:marTop w:val="0"/>
                          <w:marBottom w:val="0"/>
                          <w:divBdr>
                            <w:top w:val="none" w:sz="0" w:space="0" w:color="auto"/>
                            <w:left w:val="none" w:sz="0" w:space="0" w:color="auto"/>
                            <w:bottom w:val="none" w:sz="0" w:space="0" w:color="auto"/>
                            <w:right w:val="none" w:sz="0" w:space="0" w:color="auto"/>
                          </w:divBdr>
                          <w:divsChild>
                            <w:div w:id="1221866149">
                              <w:marLeft w:val="0"/>
                              <w:marRight w:val="0"/>
                              <w:marTop w:val="0"/>
                              <w:marBottom w:val="0"/>
                              <w:divBdr>
                                <w:top w:val="none" w:sz="0" w:space="0" w:color="auto"/>
                                <w:left w:val="none" w:sz="0" w:space="0" w:color="auto"/>
                                <w:bottom w:val="none" w:sz="0" w:space="0" w:color="auto"/>
                                <w:right w:val="none" w:sz="0" w:space="0" w:color="auto"/>
                              </w:divBdr>
                              <w:divsChild>
                                <w:div w:id="1426804143">
                                  <w:marLeft w:val="0"/>
                                  <w:marRight w:val="0"/>
                                  <w:marTop w:val="0"/>
                                  <w:marBottom w:val="0"/>
                                  <w:divBdr>
                                    <w:top w:val="none" w:sz="0" w:space="0" w:color="auto"/>
                                    <w:left w:val="none" w:sz="0" w:space="0" w:color="auto"/>
                                    <w:bottom w:val="none" w:sz="0" w:space="0" w:color="auto"/>
                                    <w:right w:val="none" w:sz="0" w:space="0" w:color="auto"/>
                                  </w:divBdr>
                                  <w:divsChild>
                                    <w:div w:id="1788819138">
                                      <w:marLeft w:val="0"/>
                                      <w:marRight w:val="0"/>
                                      <w:marTop w:val="0"/>
                                      <w:marBottom w:val="0"/>
                                      <w:divBdr>
                                        <w:top w:val="none" w:sz="0" w:space="0" w:color="auto"/>
                                        <w:left w:val="none" w:sz="0" w:space="0" w:color="auto"/>
                                        <w:bottom w:val="none" w:sz="0" w:space="0" w:color="auto"/>
                                        <w:right w:val="none" w:sz="0" w:space="0" w:color="auto"/>
                                      </w:divBdr>
                                      <w:divsChild>
                                        <w:div w:id="1745370125">
                                          <w:marLeft w:val="0"/>
                                          <w:marRight w:val="0"/>
                                          <w:marTop w:val="0"/>
                                          <w:marBottom w:val="0"/>
                                          <w:divBdr>
                                            <w:top w:val="none" w:sz="0" w:space="0" w:color="auto"/>
                                            <w:left w:val="none" w:sz="0" w:space="0" w:color="auto"/>
                                            <w:bottom w:val="none" w:sz="0" w:space="0" w:color="auto"/>
                                            <w:right w:val="none" w:sz="0" w:space="0" w:color="auto"/>
                                          </w:divBdr>
                                          <w:divsChild>
                                            <w:div w:id="339090877">
                                              <w:marLeft w:val="0"/>
                                              <w:marRight w:val="0"/>
                                              <w:marTop w:val="0"/>
                                              <w:marBottom w:val="0"/>
                                              <w:divBdr>
                                                <w:top w:val="none" w:sz="0" w:space="0" w:color="auto"/>
                                                <w:left w:val="none" w:sz="0" w:space="0" w:color="auto"/>
                                                <w:bottom w:val="none" w:sz="0" w:space="0" w:color="auto"/>
                                                <w:right w:val="none" w:sz="0" w:space="0" w:color="auto"/>
                                              </w:divBdr>
                                              <w:divsChild>
                                                <w:div w:id="1770347350">
                                                  <w:marLeft w:val="0"/>
                                                  <w:marRight w:val="0"/>
                                                  <w:marTop w:val="0"/>
                                                  <w:marBottom w:val="0"/>
                                                  <w:divBdr>
                                                    <w:top w:val="none" w:sz="0" w:space="0" w:color="auto"/>
                                                    <w:left w:val="none" w:sz="0" w:space="0" w:color="auto"/>
                                                    <w:bottom w:val="none" w:sz="0" w:space="0" w:color="auto"/>
                                                    <w:right w:val="none" w:sz="0" w:space="0" w:color="auto"/>
                                                  </w:divBdr>
                                                  <w:divsChild>
                                                    <w:div w:id="799420255">
                                                      <w:marLeft w:val="0"/>
                                                      <w:marRight w:val="0"/>
                                                      <w:marTop w:val="0"/>
                                                      <w:marBottom w:val="0"/>
                                                      <w:divBdr>
                                                        <w:top w:val="none" w:sz="0" w:space="0" w:color="auto"/>
                                                        <w:left w:val="none" w:sz="0" w:space="0" w:color="auto"/>
                                                        <w:bottom w:val="none" w:sz="0" w:space="0" w:color="auto"/>
                                                        <w:right w:val="none" w:sz="0" w:space="0" w:color="auto"/>
                                                      </w:divBdr>
                                                      <w:divsChild>
                                                        <w:div w:id="2034719535">
                                                          <w:marLeft w:val="0"/>
                                                          <w:marRight w:val="0"/>
                                                          <w:marTop w:val="0"/>
                                                          <w:marBottom w:val="0"/>
                                                          <w:divBdr>
                                                            <w:top w:val="none" w:sz="0" w:space="0" w:color="auto"/>
                                                            <w:left w:val="none" w:sz="0" w:space="0" w:color="auto"/>
                                                            <w:bottom w:val="none" w:sz="0" w:space="0" w:color="auto"/>
                                                            <w:right w:val="none" w:sz="0" w:space="0" w:color="auto"/>
                                                          </w:divBdr>
                                                          <w:divsChild>
                                                            <w:div w:id="760219051">
                                                              <w:marLeft w:val="0"/>
                                                              <w:marRight w:val="0"/>
                                                              <w:marTop w:val="0"/>
                                                              <w:marBottom w:val="0"/>
                                                              <w:divBdr>
                                                                <w:top w:val="none" w:sz="0" w:space="0" w:color="auto"/>
                                                                <w:left w:val="none" w:sz="0" w:space="0" w:color="auto"/>
                                                                <w:bottom w:val="none" w:sz="0" w:space="0" w:color="auto"/>
                                                                <w:right w:val="none" w:sz="0" w:space="0" w:color="auto"/>
                                                              </w:divBdr>
                                                              <w:divsChild>
                                                                <w:div w:id="594441525">
                                                                  <w:marLeft w:val="0"/>
                                                                  <w:marRight w:val="0"/>
                                                                  <w:marTop w:val="0"/>
                                                                  <w:marBottom w:val="0"/>
                                                                  <w:divBdr>
                                                                    <w:top w:val="none" w:sz="0" w:space="0" w:color="auto"/>
                                                                    <w:left w:val="none" w:sz="0" w:space="0" w:color="auto"/>
                                                                    <w:bottom w:val="none" w:sz="0" w:space="0" w:color="auto"/>
                                                                    <w:right w:val="none" w:sz="0" w:space="0" w:color="auto"/>
                                                                  </w:divBdr>
                                                                  <w:divsChild>
                                                                    <w:div w:id="944338977">
                                                                      <w:marLeft w:val="0"/>
                                                                      <w:marRight w:val="0"/>
                                                                      <w:marTop w:val="0"/>
                                                                      <w:marBottom w:val="0"/>
                                                                      <w:divBdr>
                                                                        <w:top w:val="none" w:sz="0" w:space="0" w:color="auto"/>
                                                                        <w:left w:val="none" w:sz="0" w:space="0" w:color="auto"/>
                                                                        <w:bottom w:val="none" w:sz="0" w:space="0" w:color="auto"/>
                                                                        <w:right w:val="none" w:sz="0" w:space="0" w:color="auto"/>
                                                                      </w:divBdr>
                                                                      <w:divsChild>
                                                                        <w:div w:id="1401488999">
                                                                          <w:marLeft w:val="0"/>
                                                                          <w:marRight w:val="450"/>
                                                                          <w:marTop w:val="0"/>
                                                                          <w:marBottom w:val="0"/>
                                                                          <w:divBdr>
                                                                            <w:top w:val="none" w:sz="0" w:space="0" w:color="auto"/>
                                                                            <w:left w:val="none" w:sz="0" w:space="0" w:color="auto"/>
                                                                            <w:bottom w:val="none" w:sz="0" w:space="0" w:color="auto"/>
                                                                            <w:right w:val="none" w:sz="0" w:space="0" w:color="auto"/>
                                                                          </w:divBdr>
                                                                          <w:divsChild>
                                                                            <w:div w:id="235020993">
                                                                              <w:marLeft w:val="0"/>
                                                                              <w:marRight w:val="0"/>
                                                                              <w:marTop w:val="0"/>
                                                                              <w:marBottom w:val="0"/>
                                                                              <w:divBdr>
                                                                                <w:top w:val="none" w:sz="0" w:space="0" w:color="auto"/>
                                                                                <w:left w:val="none" w:sz="0" w:space="0" w:color="auto"/>
                                                                                <w:bottom w:val="none" w:sz="0" w:space="0" w:color="auto"/>
                                                                                <w:right w:val="none" w:sz="0" w:space="0" w:color="auto"/>
                                                                              </w:divBdr>
                                                                              <w:divsChild>
                                                                                <w:div w:id="2035036327">
                                                                                  <w:marLeft w:val="0"/>
                                                                                  <w:marRight w:val="0"/>
                                                                                  <w:marTop w:val="0"/>
                                                                                  <w:marBottom w:val="0"/>
                                                                                  <w:divBdr>
                                                                                    <w:top w:val="none" w:sz="0" w:space="0" w:color="auto"/>
                                                                                    <w:left w:val="none" w:sz="0" w:space="0" w:color="auto"/>
                                                                                    <w:bottom w:val="none" w:sz="0" w:space="0" w:color="auto"/>
                                                                                    <w:right w:val="none" w:sz="0" w:space="0" w:color="auto"/>
                                                                                  </w:divBdr>
                                                                                  <w:divsChild>
                                                                                    <w:div w:id="2140999017">
                                                                                      <w:marLeft w:val="0"/>
                                                                                      <w:marRight w:val="0"/>
                                                                                      <w:marTop w:val="0"/>
                                                                                      <w:marBottom w:val="0"/>
                                                                                      <w:divBdr>
                                                                                        <w:top w:val="none" w:sz="0" w:space="0" w:color="auto"/>
                                                                                        <w:left w:val="none" w:sz="0" w:space="0" w:color="auto"/>
                                                                                        <w:bottom w:val="none" w:sz="0" w:space="0" w:color="auto"/>
                                                                                        <w:right w:val="none" w:sz="0" w:space="0" w:color="auto"/>
                                                                                      </w:divBdr>
                                                                                      <w:divsChild>
                                                                                        <w:div w:id="910308682">
                                                                                          <w:marLeft w:val="0"/>
                                                                                          <w:marRight w:val="0"/>
                                                                                          <w:marTop w:val="0"/>
                                                                                          <w:marBottom w:val="0"/>
                                                                                          <w:divBdr>
                                                                                            <w:top w:val="none" w:sz="0" w:space="0" w:color="auto"/>
                                                                                            <w:left w:val="none" w:sz="0" w:space="0" w:color="auto"/>
                                                                                            <w:bottom w:val="none" w:sz="0" w:space="0" w:color="auto"/>
                                                                                            <w:right w:val="none" w:sz="0" w:space="0" w:color="auto"/>
                                                                                          </w:divBdr>
                                                                                          <w:divsChild>
                                                                                            <w:div w:id="1495877838">
                                                                                              <w:marLeft w:val="0"/>
                                                                                              <w:marRight w:val="0"/>
                                                                                              <w:marTop w:val="0"/>
                                                                                              <w:marBottom w:val="0"/>
                                                                                              <w:divBdr>
                                                                                                <w:top w:val="single" w:sz="2" w:space="0" w:color="EFEFEF"/>
                                                                                                <w:left w:val="none" w:sz="0" w:space="0" w:color="auto"/>
                                                                                                <w:bottom w:val="none" w:sz="0" w:space="0" w:color="auto"/>
                                                                                                <w:right w:val="none" w:sz="0" w:space="0" w:color="auto"/>
                                                                                              </w:divBdr>
                                                                                              <w:divsChild>
                                                                                                <w:div w:id="871504520">
                                                                                                  <w:marLeft w:val="0"/>
                                                                                                  <w:marRight w:val="0"/>
                                                                                                  <w:marTop w:val="0"/>
                                                                                                  <w:marBottom w:val="0"/>
                                                                                                  <w:divBdr>
                                                                                                    <w:top w:val="single" w:sz="6" w:space="0" w:color="D8D8D8"/>
                                                                                                    <w:left w:val="none" w:sz="0" w:space="0" w:color="auto"/>
                                                                                                    <w:bottom w:val="none" w:sz="0" w:space="0" w:color="D8D8D8"/>
                                                                                                    <w:right w:val="none" w:sz="0" w:space="0" w:color="auto"/>
                                                                                                  </w:divBdr>
                                                                                                  <w:divsChild>
                                                                                                    <w:div w:id="964433616">
                                                                                                      <w:marLeft w:val="0"/>
                                                                                                      <w:marRight w:val="0"/>
                                                                                                      <w:marTop w:val="0"/>
                                                                                                      <w:marBottom w:val="0"/>
                                                                                                      <w:divBdr>
                                                                                                        <w:top w:val="none" w:sz="0" w:space="0" w:color="auto"/>
                                                                                                        <w:left w:val="none" w:sz="0" w:space="0" w:color="auto"/>
                                                                                                        <w:bottom w:val="none" w:sz="0" w:space="0" w:color="auto"/>
                                                                                                        <w:right w:val="none" w:sz="0" w:space="0" w:color="auto"/>
                                                                                                      </w:divBdr>
                                                                                                      <w:divsChild>
                                                                                                        <w:div w:id="236405129">
                                                                                                          <w:marLeft w:val="0"/>
                                                                                                          <w:marRight w:val="0"/>
                                                                                                          <w:marTop w:val="0"/>
                                                                                                          <w:marBottom w:val="0"/>
                                                                                                          <w:divBdr>
                                                                                                            <w:top w:val="none" w:sz="0" w:space="0" w:color="auto"/>
                                                                                                            <w:left w:val="none" w:sz="0" w:space="0" w:color="auto"/>
                                                                                                            <w:bottom w:val="none" w:sz="0" w:space="0" w:color="auto"/>
                                                                                                            <w:right w:val="none" w:sz="0" w:space="0" w:color="auto"/>
                                                                                                          </w:divBdr>
                                                                                                          <w:divsChild>
                                                                                                            <w:div w:id="1155495030">
                                                                                                              <w:marLeft w:val="0"/>
                                                                                                              <w:marRight w:val="0"/>
                                                                                                              <w:marTop w:val="0"/>
                                                                                                              <w:marBottom w:val="0"/>
                                                                                                              <w:divBdr>
                                                                                                                <w:top w:val="none" w:sz="0" w:space="0" w:color="auto"/>
                                                                                                                <w:left w:val="none" w:sz="0" w:space="0" w:color="auto"/>
                                                                                                                <w:bottom w:val="none" w:sz="0" w:space="0" w:color="auto"/>
                                                                                                                <w:right w:val="none" w:sz="0" w:space="0" w:color="auto"/>
                                                                                                              </w:divBdr>
                                                                                                              <w:divsChild>
                                                                                                                <w:div w:id="835026207">
                                                                                                                  <w:marLeft w:val="450"/>
                                                                                                                  <w:marRight w:val="0"/>
                                                                                                                  <w:marTop w:val="0"/>
                                                                                                                  <w:marBottom w:val="0"/>
                                                                                                                  <w:divBdr>
                                                                                                                    <w:top w:val="none" w:sz="0" w:space="0" w:color="auto"/>
                                                                                                                    <w:left w:val="none" w:sz="0" w:space="0" w:color="auto"/>
                                                                                                                    <w:bottom w:val="none" w:sz="0" w:space="0" w:color="auto"/>
                                                                                                                    <w:right w:val="none" w:sz="0" w:space="0" w:color="auto"/>
                                                                                                                  </w:divBdr>
                                                                                                                  <w:divsChild>
                                                                                                                    <w:div w:id="307514768">
                                                                                                                      <w:marLeft w:val="0"/>
                                                                                                                      <w:marRight w:val="225"/>
                                                                                                                      <w:marTop w:val="75"/>
                                                                                                                      <w:marBottom w:val="0"/>
                                                                                                                      <w:divBdr>
                                                                                                                        <w:top w:val="none" w:sz="0" w:space="0" w:color="auto"/>
                                                                                                                        <w:left w:val="none" w:sz="0" w:space="0" w:color="auto"/>
                                                                                                                        <w:bottom w:val="none" w:sz="0" w:space="0" w:color="auto"/>
                                                                                                                        <w:right w:val="none" w:sz="0" w:space="0" w:color="auto"/>
                                                                                                                      </w:divBdr>
                                                                                                                      <w:divsChild>
                                                                                                                        <w:div w:id="2032491350">
                                                                                                                          <w:marLeft w:val="0"/>
                                                                                                                          <w:marRight w:val="0"/>
                                                                                                                          <w:marTop w:val="0"/>
                                                                                                                          <w:marBottom w:val="0"/>
                                                                                                                          <w:divBdr>
                                                                                                                            <w:top w:val="none" w:sz="0" w:space="0" w:color="auto"/>
                                                                                                                            <w:left w:val="none" w:sz="0" w:space="0" w:color="auto"/>
                                                                                                                            <w:bottom w:val="none" w:sz="0" w:space="0" w:color="auto"/>
                                                                                                                            <w:right w:val="none" w:sz="0" w:space="0" w:color="auto"/>
                                                                                                                          </w:divBdr>
                                                                                                                          <w:divsChild>
                                                                                                                            <w:div w:id="354425230">
                                                                                                                              <w:marLeft w:val="0"/>
                                                                                                                              <w:marRight w:val="0"/>
                                                                                                                              <w:marTop w:val="0"/>
                                                                                                                              <w:marBottom w:val="0"/>
                                                                                                                              <w:divBdr>
                                                                                                                                <w:top w:val="none" w:sz="0" w:space="0" w:color="auto"/>
                                                                                                                                <w:left w:val="none" w:sz="0" w:space="0" w:color="auto"/>
                                                                                                                                <w:bottom w:val="none" w:sz="0" w:space="0" w:color="auto"/>
                                                                                                                                <w:right w:val="none" w:sz="0" w:space="0" w:color="auto"/>
                                                                                                                              </w:divBdr>
                                                                                                                              <w:divsChild>
                                                                                                                                <w:div w:id="573904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4903">
                                                                                                                                      <w:marLeft w:val="0"/>
                                                                                                                                      <w:marRight w:val="0"/>
                                                                                                                                      <w:marTop w:val="0"/>
                                                                                                                                      <w:marBottom w:val="0"/>
                                                                                                                                      <w:divBdr>
                                                                                                                                        <w:top w:val="none" w:sz="0" w:space="0" w:color="auto"/>
                                                                                                                                        <w:left w:val="none" w:sz="0" w:space="0" w:color="auto"/>
                                                                                                                                        <w:bottom w:val="none" w:sz="0" w:space="0" w:color="auto"/>
                                                                                                                                        <w:right w:val="none" w:sz="0" w:space="0" w:color="auto"/>
                                                                                                                                      </w:divBdr>
                                                                                                                                      <w:divsChild>
                                                                                                                                        <w:div w:id="4006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841520">
      <w:bodyDiv w:val="1"/>
      <w:marLeft w:val="0"/>
      <w:marRight w:val="0"/>
      <w:marTop w:val="0"/>
      <w:marBottom w:val="0"/>
      <w:divBdr>
        <w:top w:val="none" w:sz="0" w:space="0" w:color="auto"/>
        <w:left w:val="none" w:sz="0" w:space="0" w:color="auto"/>
        <w:bottom w:val="none" w:sz="0" w:space="0" w:color="auto"/>
        <w:right w:val="none" w:sz="0" w:space="0" w:color="auto"/>
      </w:divBdr>
    </w:div>
    <w:div w:id="324867950">
      <w:bodyDiv w:val="1"/>
      <w:marLeft w:val="0"/>
      <w:marRight w:val="0"/>
      <w:marTop w:val="0"/>
      <w:marBottom w:val="0"/>
      <w:divBdr>
        <w:top w:val="none" w:sz="0" w:space="0" w:color="auto"/>
        <w:left w:val="none" w:sz="0" w:space="0" w:color="auto"/>
        <w:bottom w:val="none" w:sz="0" w:space="0" w:color="auto"/>
        <w:right w:val="none" w:sz="0" w:space="0" w:color="auto"/>
      </w:divBdr>
    </w:div>
    <w:div w:id="431827555">
      <w:bodyDiv w:val="1"/>
      <w:marLeft w:val="0"/>
      <w:marRight w:val="0"/>
      <w:marTop w:val="0"/>
      <w:marBottom w:val="0"/>
      <w:divBdr>
        <w:top w:val="none" w:sz="0" w:space="0" w:color="auto"/>
        <w:left w:val="none" w:sz="0" w:space="0" w:color="auto"/>
        <w:bottom w:val="none" w:sz="0" w:space="0" w:color="auto"/>
        <w:right w:val="none" w:sz="0" w:space="0" w:color="auto"/>
      </w:divBdr>
    </w:div>
    <w:div w:id="503859288">
      <w:bodyDiv w:val="1"/>
      <w:marLeft w:val="0"/>
      <w:marRight w:val="0"/>
      <w:marTop w:val="0"/>
      <w:marBottom w:val="0"/>
      <w:divBdr>
        <w:top w:val="none" w:sz="0" w:space="0" w:color="auto"/>
        <w:left w:val="none" w:sz="0" w:space="0" w:color="auto"/>
        <w:bottom w:val="none" w:sz="0" w:space="0" w:color="auto"/>
        <w:right w:val="none" w:sz="0" w:space="0" w:color="auto"/>
      </w:divBdr>
    </w:div>
    <w:div w:id="531648213">
      <w:bodyDiv w:val="1"/>
      <w:marLeft w:val="0"/>
      <w:marRight w:val="0"/>
      <w:marTop w:val="0"/>
      <w:marBottom w:val="0"/>
      <w:divBdr>
        <w:top w:val="none" w:sz="0" w:space="0" w:color="auto"/>
        <w:left w:val="none" w:sz="0" w:space="0" w:color="auto"/>
        <w:bottom w:val="none" w:sz="0" w:space="0" w:color="auto"/>
        <w:right w:val="none" w:sz="0" w:space="0" w:color="auto"/>
      </w:divBdr>
    </w:div>
    <w:div w:id="554514088">
      <w:bodyDiv w:val="1"/>
      <w:marLeft w:val="0"/>
      <w:marRight w:val="0"/>
      <w:marTop w:val="0"/>
      <w:marBottom w:val="0"/>
      <w:divBdr>
        <w:top w:val="none" w:sz="0" w:space="0" w:color="auto"/>
        <w:left w:val="none" w:sz="0" w:space="0" w:color="auto"/>
        <w:bottom w:val="none" w:sz="0" w:space="0" w:color="auto"/>
        <w:right w:val="none" w:sz="0" w:space="0" w:color="auto"/>
      </w:divBdr>
    </w:div>
    <w:div w:id="584416266">
      <w:bodyDiv w:val="1"/>
      <w:marLeft w:val="0"/>
      <w:marRight w:val="0"/>
      <w:marTop w:val="0"/>
      <w:marBottom w:val="0"/>
      <w:divBdr>
        <w:top w:val="none" w:sz="0" w:space="0" w:color="auto"/>
        <w:left w:val="none" w:sz="0" w:space="0" w:color="auto"/>
        <w:bottom w:val="none" w:sz="0" w:space="0" w:color="auto"/>
        <w:right w:val="none" w:sz="0" w:space="0" w:color="auto"/>
      </w:divBdr>
    </w:div>
    <w:div w:id="584538267">
      <w:bodyDiv w:val="1"/>
      <w:marLeft w:val="0"/>
      <w:marRight w:val="0"/>
      <w:marTop w:val="0"/>
      <w:marBottom w:val="0"/>
      <w:divBdr>
        <w:top w:val="none" w:sz="0" w:space="0" w:color="auto"/>
        <w:left w:val="none" w:sz="0" w:space="0" w:color="auto"/>
        <w:bottom w:val="none" w:sz="0" w:space="0" w:color="auto"/>
        <w:right w:val="none" w:sz="0" w:space="0" w:color="auto"/>
      </w:divBdr>
    </w:div>
    <w:div w:id="600458276">
      <w:bodyDiv w:val="1"/>
      <w:marLeft w:val="0"/>
      <w:marRight w:val="0"/>
      <w:marTop w:val="0"/>
      <w:marBottom w:val="0"/>
      <w:divBdr>
        <w:top w:val="none" w:sz="0" w:space="0" w:color="auto"/>
        <w:left w:val="none" w:sz="0" w:space="0" w:color="auto"/>
        <w:bottom w:val="none" w:sz="0" w:space="0" w:color="auto"/>
        <w:right w:val="none" w:sz="0" w:space="0" w:color="auto"/>
      </w:divBdr>
    </w:div>
    <w:div w:id="603617130">
      <w:bodyDiv w:val="1"/>
      <w:marLeft w:val="0"/>
      <w:marRight w:val="0"/>
      <w:marTop w:val="0"/>
      <w:marBottom w:val="0"/>
      <w:divBdr>
        <w:top w:val="none" w:sz="0" w:space="0" w:color="auto"/>
        <w:left w:val="none" w:sz="0" w:space="0" w:color="auto"/>
        <w:bottom w:val="none" w:sz="0" w:space="0" w:color="auto"/>
        <w:right w:val="none" w:sz="0" w:space="0" w:color="auto"/>
      </w:divBdr>
    </w:div>
    <w:div w:id="634677776">
      <w:bodyDiv w:val="1"/>
      <w:marLeft w:val="0"/>
      <w:marRight w:val="0"/>
      <w:marTop w:val="0"/>
      <w:marBottom w:val="0"/>
      <w:divBdr>
        <w:top w:val="none" w:sz="0" w:space="0" w:color="auto"/>
        <w:left w:val="none" w:sz="0" w:space="0" w:color="auto"/>
        <w:bottom w:val="none" w:sz="0" w:space="0" w:color="auto"/>
        <w:right w:val="none" w:sz="0" w:space="0" w:color="auto"/>
      </w:divBdr>
    </w:div>
    <w:div w:id="744186697">
      <w:bodyDiv w:val="1"/>
      <w:marLeft w:val="0"/>
      <w:marRight w:val="0"/>
      <w:marTop w:val="0"/>
      <w:marBottom w:val="0"/>
      <w:divBdr>
        <w:top w:val="none" w:sz="0" w:space="0" w:color="auto"/>
        <w:left w:val="none" w:sz="0" w:space="0" w:color="auto"/>
        <w:bottom w:val="none" w:sz="0" w:space="0" w:color="auto"/>
        <w:right w:val="none" w:sz="0" w:space="0" w:color="auto"/>
      </w:divBdr>
    </w:div>
    <w:div w:id="750851121">
      <w:bodyDiv w:val="1"/>
      <w:marLeft w:val="0"/>
      <w:marRight w:val="0"/>
      <w:marTop w:val="0"/>
      <w:marBottom w:val="0"/>
      <w:divBdr>
        <w:top w:val="none" w:sz="0" w:space="0" w:color="auto"/>
        <w:left w:val="none" w:sz="0" w:space="0" w:color="auto"/>
        <w:bottom w:val="none" w:sz="0" w:space="0" w:color="auto"/>
        <w:right w:val="none" w:sz="0" w:space="0" w:color="auto"/>
      </w:divBdr>
    </w:div>
    <w:div w:id="754328546">
      <w:bodyDiv w:val="1"/>
      <w:marLeft w:val="0"/>
      <w:marRight w:val="0"/>
      <w:marTop w:val="0"/>
      <w:marBottom w:val="0"/>
      <w:divBdr>
        <w:top w:val="none" w:sz="0" w:space="0" w:color="auto"/>
        <w:left w:val="none" w:sz="0" w:space="0" w:color="auto"/>
        <w:bottom w:val="none" w:sz="0" w:space="0" w:color="auto"/>
        <w:right w:val="none" w:sz="0" w:space="0" w:color="auto"/>
      </w:divBdr>
    </w:div>
    <w:div w:id="764570179">
      <w:bodyDiv w:val="1"/>
      <w:marLeft w:val="0"/>
      <w:marRight w:val="0"/>
      <w:marTop w:val="0"/>
      <w:marBottom w:val="0"/>
      <w:divBdr>
        <w:top w:val="none" w:sz="0" w:space="0" w:color="auto"/>
        <w:left w:val="none" w:sz="0" w:space="0" w:color="auto"/>
        <w:bottom w:val="none" w:sz="0" w:space="0" w:color="auto"/>
        <w:right w:val="none" w:sz="0" w:space="0" w:color="auto"/>
      </w:divBdr>
    </w:div>
    <w:div w:id="773553195">
      <w:bodyDiv w:val="1"/>
      <w:marLeft w:val="0"/>
      <w:marRight w:val="0"/>
      <w:marTop w:val="0"/>
      <w:marBottom w:val="0"/>
      <w:divBdr>
        <w:top w:val="none" w:sz="0" w:space="0" w:color="auto"/>
        <w:left w:val="none" w:sz="0" w:space="0" w:color="auto"/>
        <w:bottom w:val="none" w:sz="0" w:space="0" w:color="auto"/>
        <w:right w:val="none" w:sz="0" w:space="0" w:color="auto"/>
      </w:divBdr>
    </w:div>
    <w:div w:id="779110974">
      <w:bodyDiv w:val="1"/>
      <w:marLeft w:val="0"/>
      <w:marRight w:val="0"/>
      <w:marTop w:val="0"/>
      <w:marBottom w:val="0"/>
      <w:divBdr>
        <w:top w:val="none" w:sz="0" w:space="0" w:color="auto"/>
        <w:left w:val="none" w:sz="0" w:space="0" w:color="auto"/>
        <w:bottom w:val="none" w:sz="0" w:space="0" w:color="auto"/>
        <w:right w:val="none" w:sz="0" w:space="0" w:color="auto"/>
      </w:divBdr>
    </w:div>
    <w:div w:id="811407759">
      <w:bodyDiv w:val="1"/>
      <w:marLeft w:val="0"/>
      <w:marRight w:val="0"/>
      <w:marTop w:val="0"/>
      <w:marBottom w:val="0"/>
      <w:divBdr>
        <w:top w:val="none" w:sz="0" w:space="0" w:color="auto"/>
        <w:left w:val="none" w:sz="0" w:space="0" w:color="auto"/>
        <w:bottom w:val="none" w:sz="0" w:space="0" w:color="auto"/>
        <w:right w:val="none" w:sz="0" w:space="0" w:color="auto"/>
      </w:divBdr>
    </w:div>
    <w:div w:id="893391948">
      <w:bodyDiv w:val="1"/>
      <w:marLeft w:val="0"/>
      <w:marRight w:val="0"/>
      <w:marTop w:val="0"/>
      <w:marBottom w:val="0"/>
      <w:divBdr>
        <w:top w:val="none" w:sz="0" w:space="0" w:color="auto"/>
        <w:left w:val="none" w:sz="0" w:space="0" w:color="auto"/>
        <w:bottom w:val="none" w:sz="0" w:space="0" w:color="auto"/>
        <w:right w:val="none" w:sz="0" w:space="0" w:color="auto"/>
      </w:divBdr>
    </w:div>
    <w:div w:id="937786584">
      <w:bodyDiv w:val="1"/>
      <w:marLeft w:val="0"/>
      <w:marRight w:val="0"/>
      <w:marTop w:val="0"/>
      <w:marBottom w:val="0"/>
      <w:divBdr>
        <w:top w:val="none" w:sz="0" w:space="0" w:color="auto"/>
        <w:left w:val="none" w:sz="0" w:space="0" w:color="auto"/>
        <w:bottom w:val="none" w:sz="0" w:space="0" w:color="auto"/>
        <w:right w:val="none" w:sz="0" w:space="0" w:color="auto"/>
      </w:divBdr>
    </w:div>
    <w:div w:id="957031876">
      <w:bodyDiv w:val="1"/>
      <w:marLeft w:val="0"/>
      <w:marRight w:val="0"/>
      <w:marTop w:val="0"/>
      <w:marBottom w:val="0"/>
      <w:divBdr>
        <w:top w:val="none" w:sz="0" w:space="0" w:color="auto"/>
        <w:left w:val="none" w:sz="0" w:space="0" w:color="auto"/>
        <w:bottom w:val="none" w:sz="0" w:space="0" w:color="auto"/>
        <w:right w:val="none" w:sz="0" w:space="0" w:color="auto"/>
      </w:divBdr>
    </w:div>
    <w:div w:id="973101845">
      <w:bodyDiv w:val="1"/>
      <w:marLeft w:val="0"/>
      <w:marRight w:val="0"/>
      <w:marTop w:val="0"/>
      <w:marBottom w:val="0"/>
      <w:divBdr>
        <w:top w:val="none" w:sz="0" w:space="0" w:color="auto"/>
        <w:left w:val="none" w:sz="0" w:space="0" w:color="auto"/>
        <w:bottom w:val="none" w:sz="0" w:space="0" w:color="auto"/>
        <w:right w:val="none" w:sz="0" w:space="0" w:color="auto"/>
      </w:divBdr>
    </w:div>
    <w:div w:id="997077126">
      <w:bodyDiv w:val="1"/>
      <w:marLeft w:val="0"/>
      <w:marRight w:val="0"/>
      <w:marTop w:val="0"/>
      <w:marBottom w:val="0"/>
      <w:divBdr>
        <w:top w:val="none" w:sz="0" w:space="0" w:color="auto"/>
        <w:left w:val="none" w:sz="0" w:space="0" w:color="auto"/>
        <w:bottom w:val="none" w:sz="0" w:space="0" w:color="auto"/>
        <w:right w:val="none" w:sz="0" w:space="0" w:color="auto"/>
      </w:divBdr>
    </w:div>
    <w:div w:id="1000154322">
      <w:bodyDiv w:val="1"/>
      <w:marLeft w:val="0"/>
      <w:marRight w:val="0"/>
      <w:marTop w:val="0"/>
      <w:marBottom w:val="0"/>
      <w:divBdr>
        <w:top w:val="none" w:sz="0" w:space="0" w:color="auto"/>
        <w:left w:val="none" w:sz="0" w:space="0" w:color="auto"/>
        <w:bottom w:val="none" w:sz="0" w:space="0" w:color="auto"/>
        <w:right w:val="none" w:sz="0" w:space="0" w:color="auto"/>
      </w:divBdr>
    </w:div>
    <w:div w:id="1044136326">
      <w:bodyDiv w:val="1"/>
      <w:marLeft w:val="0"/>
      <w:marRight w:val="0"/>
      <w:marTop w:val="0"/>
      <w:marBottom w:val="0"/>
      <w:divBdr>
        <w:top w:val="none" w:sz="0" w:space="0" w:color="auto"/>
        <w:left w:val="none" w:sz="0" w:space="0" w:color="auto"/>
        <w:bottom w:val="none" w:sz="0" w:space="0" w:color="auto"/>
        <w:right w:val="none" w:sz="0" w:space="0" w:color="auto"/>
      </w:divBdr>
    </w:div>
    <w:div w:id="1047143758">
      <w:bodyDiv w:val="1"/>
      <w:marLeft w:val="0"/>
      <w:marRight w:val="0"/>
      <w:marTop w:val="0"/>
      <w:marBottom w:val="0"/>
      <w:divBdr>
        <w:top w:val="none" w:sz="0" w:space="0" w:color="auto"/>
        <w:left w:val="none" w:sz="0" w:space="0" w:color="auto"/>
        <w:bottom w:val="none" w:sz="0" w:space="0" w:color="auto"/>
        <w:right w:val="none" w:sz="0" w:space="0" w:color="auto"/>
      </w:divBdr>
    </w:div>
    <w:div w:id="1080522548">
      <w:bodyDiv w:val="1"/>
      <w:marLeft w:val="0"/>
      <w:marRight w:val="0"/>
      <w:marTop w:val="0"/>
      <w:marBottom w:val="0"/>
      <w:divBdr>
        <w:top w:val="none" w:sz="0" w:space="0" w:color="auto"/>
        <w:left w:val="none" w:sz="0" w:space="0" w:color="auto"/>
        <w:bottom w:val="none" w:sz="0" w:space="0" w:color="auto"/>
        <w:right w:val="none" w:sz="0" w:space="0" w:color="auto"/>
      </w:divBdr>
    </w:div>
    <w:div w:id="1096367732">
      <w:bodyDiv w:val="1"/>
      <w:marLeft w:val="0"/>
      <w:marRight w:val="0"/>
      <w:marTop w:val="0"/>
      <w:marBottom w:val="0"/>
      <w:divBdr>
        <w:top w:val="none" w:sz="0" w:space="0" w:color="auto"/>
        <w:left w:val="none" w:sz="0" w:space="0" w:color="auto"/>
        <w:bottom w:val="none" w:sz="0" w:space="0" w:color="auto"/>
        <w:right w:val="none" w:sz="0" w:space="0" w:color="auto"/>
      </w:divBdr>
    </w:div>
    <w:div w:id="1178544743">
      <w:bodyDiv w:val="1"/>
      <w:marLeft w:val="0"/>
      <w:marRight w:val="0"/>
      <w:marTop w:val="0"/>
      <w:marBottom w:val="0"/>
      <w:divBdr>
        <w:top w:val="none" w:sz="0" w:space="0" w:color="auto"/>
        <w:left w:val="none" w:sz="0" w:space="0" w:color="auto"/>
        <w:bottom w:val="none" w:sz="0" w:space="0" w:color="auto"/>
        <w:right w:val="none" w:sz="0" w:space="0" w:color="auto"/>
      </w:divBdr>
    </w:div>
    <w:div w:id="1247109633">
      <w:bodyDiv w:val="1"/>
      <w:marLeft w:val="0"/>
      <w:marRight w:val="0"/>
      <w:marTop w:val="0"/>
      <w:marBottom w:val="0"/>
      <w:divBdr>
        <w:top w:val="none" w:sz="0" w:space="0" w:color="auto"/>
        <w:left w:val="none" w:sz="0" w:space="0" w:color="auto"/>
        <w:bottom w:val="none" w:sz="0" w:space="0" w:color="auto"/>
        <w:right w:val="none" w:sz="0" w:space="0" w:color="auto"/>
      </w:divBdr>
    </w:div>
    <w:div w:id="1263411481">
      <w:bodyDiv w:val="1"/>
      <w:marLeft w:val="0"/>
      <w:marRight w:val="0"/>
      <w:marTop w:val="0"/>
      <w:marBottom w:val="0"/>
      <w:divBdr>
        <w:top w:val="none" w:sz="0" w:space="0" w:color="auto"/>
        <w:left w:val="none" w:sz="0" w:space="0" w:color="auto"/>
        <w:bottom w:val="none" w:sz="0" w:space="0" w:color="auto"/>
        <w:right w:val="none" w:sz="0" w:space="0" w:color="auto"/>
      </w:divBdr>
    </w:div>
    <w:div w:id="1273781522">
      <w:bodyDiv w:val="1"/>
      <w:marLeft w:val="0"/>
      <w:marRight w:val="0"/>
      <w:marTop w:val="0"/>
      <w:marBottom w:val="0"/>
      <w:divBdr>
        <w:top w:val="none" w:sz="0" w:space="0" w:color="auto"/>
        <w:left w:val="none" w:sz="0" w:space="0" w:color="auto"/>
        <w:bottom w:val="none" w:sz="0" w:space="0" w:color="auto"/>
        <w:right w:val="none" w:sz="0" w:space="0" w:color="auto"/>
      </w:divBdr>
    </w:div>
    <w:div w:id="1274943042">
      <w:bodyDiv w:val="1"/>
      <w:marLeft w:val="0"/>
      <w:marRight w:val="0"/>
      <w:marTop w:val="0"/>
      <w:marBottom w:val="0"/>
      <w:divBdr>
        <w:top w:val="none" w:sz="0" w:space="0" w:color="auto"/>
        <w:left w:val="none" w:sz="0" w:space="0" w:color="auto"/>
        <w:bottom w:val="none" w:sz="0" w:space="0" w:color="auto"/>
        <w:right w:val="none" w:sz="0" w:space="0" w:color="auto"/>
      </w:divBdr>
    </w:div>
    <w:div w:id="1289704228">
      <w:bodyDiv w:val="1"/>
      <w:marLeft w:val="0"/>
      <w:marRight w:val="0"/>
      <w:marTop w:val="0"/>
      <w:marBottom w:val="0"/>
      <w:divBdr>
        <w:top w:val="none" w:sz="0" w:space="0" w:color="auto"/>
        <w:left w:val="none" w:sz="0" w:space="0" w:color="auto"/>
        <w:bottom w:val="none" w:sz="0" w:space="0" w:color="auto"/>
        <w:right w:val="none" w:sz="0" w:space="0" w:color="auto"/>
      </w:divBdr>
    </w:div>
    <w:div w:id="1292515129">
      <w:bodyDiv w:val="1"/>
      <w:marLeft w:val="0"/>
      <w:marRight w:val="0"/>
      <w:marTop w:val="0"/>
      <w:marBottom w:val="0"/>
      <w:divBdr>
        <w:top w:val="none" w:sz="0" w:space="0" w:color="auto"/>
        <w:left w:val="none" w:sz="0" w:space="0" w:color="auto"/>
        <w:bottom w:val="none" w:sz="0" w:space="0" w:color="auto"/>
        <w:right w:val="none" w:sz="0" w:space="0" w:color="auto"/>
      </w:divBdr>
    </w:div>
    <w:div w:id="1338079223">
      <w:bodyDiv w:val="1"/>
      <w:marLeft w:val="0"/>
      <w:marRight w:val="0"/>
      <w:marTop w:val="0"/>
      <w:marBottom w:val="0"/>
      <w:divBdr>
        <w:top w:val="none" w:sz="0" w:space="0" w:color="auto"/>
        <w:left w:val="none" w:sz="0" w:space="0" w:color="auto"/>
        <w:bottom w:val="none" w:sz="0" w:space="0" w:color="auto"/>
        <w:right w:val="none" w:sz="0" w:space="0" w:color="auto"/>
      </w:divBdr>
    </w:div>
    <w:div w:id="1360205396">
      <w:bodyDiv w:val="1"/>
      <w:marLeft w:val="0"/>
      <w:marRight w:val="0"/>
      <w:marTop w:val="0"/>
      <w:marBottom w:val="0"/>
      <w:divBdr>
        <w:top w:val="none" w:sz="0" w:space="0" w:color="auto"/>
        <w:left w:val="none" w:sz="0" w:space="0" w:color="auto"/>
        <w:bottom w:val="none" w:sz="0" w:space="0" w:color="auto"/>
        <w:right w:val="none" w:sz="0" w:space="0" w:color="auto"/>
      </w:divBdr>
    </w:div>
    <w:div w:id="1367873290">
      <w:bodyDiv w:val="1"/>
      <w:marLeft w:val="0"/>
      <w:marRight w:val="0"/>
      <w:marTop w:val="0"/>
      <w:marBottom w:val="0"/>
      <w:divBdr>
        <w:top w:val="none" w:sz="0" w:space="0" w:color="auto"/>
        <w:left w:val="none" w:sz="0" w:space="0" w:color="auto"/>
        <w:bottom w:val="none" w:sz="0" w:space="0" w:color="auto"/>
        <w:right w:val="none" w:sz="0" w:space="0" w:color="auto"/>
      </w:divBdr>
    </w:div>
    <w:div w:id="1417627453">
      <w:bodyDiv w:val="1"/>
      <w:marLeft w:val="0"/>
      <w:marRight w:val="0"/>
      <w:marTop w:val="0"/>
      <w:marBottom w:val="0"/>
      <w:divBdr>
        <w:top w:val="none" w:sz="0" w:space="0" w:color="auto"/>
        <w:left w:val="none" w:sz="0" w:space="0" w:color="auto"/>
        <w:bottom w:val="none" w:sz="0" w:space="0" w:color="auto"/>
        <w:right w:val="none" w:sz="0" w:space="0" w:color="auto"/>
      </w:divBdr>
    </w:div>
    <w:div w:id="1445349097">
      <w:bodyDiv w:val="1"/>
      <w:marLeft w:val="0"/>
      <w:marRight w:val="0"/>
      <w:marTop w:val="0"/>
      <w:marBottom w:val="0"/>
      <w:divBdr>
        <w:top w:val="none" w:sz="0" w:space="0" w:color="auto"/>
        <w:left w:val="none" w:sz="0" w:space="0" w:color="auto"/>
        <w:bottom w:val="none" w:sz="0" w:space="0" w:color="auto"/>
        <w:right w:val="none" w:sz="0" w:space="0" w:color="auto"/>
      </w:divBdr>
    </w:div>
    <w:div w:id="1464301166">
      <w:bodyDiv w:val="1"/>
      <w:marLeft w:val="0"/>
      <w:marRight w:val="0"/>
      <w:marTop w:val="0"/>
      <w:marBottom w:val="0"/>
      <w:divBdr>
        <w:top w:val="none" w:sz="0" w:space="0" w:color="auto"/>
        <w:left w:val="none" w:sz="0" w:space="0" w:color="auto"/>
        <w:bottom w:val="none" w:sz="0" w:space="0" w:color="auto"/>
        <w:right w:val="none" w:sz="0" w:space="0" w:color="auto"/>
      </w:divBdr>
    </w:div>
    <w:div w:id="1479763233">
      <w:bodyDiv w:val="1"/>
      <w:marLeft w:val="0"/>
      <w:marRight w:val="0"/>
      <w:marTop w:val="0"/>
      <w:marBottom w:val="0"/>
      <w:divBdr>
        <w:top w:val="none" w:sz="0" w:space="0" w:color="auto"/>
        <w:left w:val="none" w:sz="0" w:space="0" w:color="auto"/>
        <w:bottom w:val="none" w:sz="0" w:space="0" w:color="auto"/>
        <w:right w:val="none" w:sz="0" w:space="0" w:color="auto"/>
      </w:divBdr>
    </w:div>
    <w:div w:id="1490514374">
      <w:bodyDiv w:val="1"/>
      <w:marLeft w:val="0"/>
      <w:marRight w:val="0"/>
      <w:marTop w:val="0"/>
      <w:marBottom w:val="0"/>
      <w:divBdr>
        <w:top w:val="none" w:sz="0" w:space="0" w:color="auto"/>
        <w:left w:val="none" w:sz="0" w:space="0" w:color="auto"/>
        <w:bottom w:val="none" w:sz="0" w:space="0" w:color="auto"/>
        <w:right w:val="none" w:sz="0" w:space="0" w:color="auto"/>
      </w:divBdr>
    </w:div>
    <w:div w:id="1514345564">
      <w:bodyDiv w:val="1"/>
      <w:marLeft w:val="0"/>
      <w:marRight w:val="0"/>
      <w:marTop w:val="0"/>
      <w:marBottom w:val="0"/>
      <w:divBdr>
        <w:top w:val="none" w:sz="0" w:space="0" w:color="auto"/>
        <w:left w:val="none" w:sz="0" w:space="0" w:color="auto"/>
        <w:bottom w:val="none" w:sz="0" w:space="0" w:color="auto"/>
        <w:right w:val="none" w:sz="0" w:space="0" w:color="auto"/>
      </w:divBdr>
    </w:div>
    <w:div w:id="1597515269">
      <w:bodyDiv w:val="1"/>
      <w:marLeft w:val="0"/>
      <w:marRight w:val="0"/>
      <w:marTop w:val="0"/>
      <w:marBottom w:val="0"/>
      <w:divBdr>
        <w:top w:val="none" w:sz="0" w:space="0" w:color="auto"/>
        <w:left w:val="none" w:sz="0" w:space="0" w:color="auto"/>
        <w:bottom w:val="none" w:sz="0" w:space="0" w:color="auto"/>
        <w:right w:val="none" w:sz="0" w:space="0" w:color="auto"/>
      </w:divBdr>
    </w:div>
    <w:div w:id="1606307564">
      <w:bodyDiv w:val="1"/>
      <w:marLeft w:val="0"/>
      <w:marRight w:val="0"/>
      <w:marTop w:val="0"/>
      <w:marBottom w:val="0"/>
      <w:divBdr>
        <w:top w:val="none" w:sz="0" w:space="0" w:color="auto"/>
        <w:left w:val="none" w:sz="0" w:space="0" w:color="auto"/>
        <w:bottom w:val="none" w:sz="0" w:space="0" w:color="auto"/>
        <w:right w:val="none" w:sz="0" w:space="0" w:color="auto"/>
      </w:divBdr>
    </w:div>
    <w:div w:id="1652245661">
      <w:bodyDiv w:val="1"/>
      <w:marLeft w:val="0"/>
      <w:marRight w:val="0"/>
      <w:marTop w:val="0"/>
      <w:marBottom w:val="0"/>
      <w:divBdr>
        <w:top w:val="none" w:sz="0" w:space="0" w:color="auto"/>
        <w:left w:val="none" w:sz="0" w:space="0" w:color="auto"/>
        <w:bottom w:val="none" w:sz="0" w:space="0" w:color="auto"/>
        <w:right w:val="none" w:sz="0" w:space="0" w:color="auto"/>
      </w:divBdr>
    </w:div>
    <w:div w:id="1715232117">
      <w:bodyDiv w:val="1"/>
      <w:marLeft w:val="0"/>
      <w:marRight w:val="0"/>
      <w:marTop w:val="0"/>
      <w:marBottom w:val="0"/>
      <w:divBdr>
        <w:top w:val="none" w:sz="0" w:space="0" w:color="auto"/>
        <w:left w:val="none" w:sz="0" w:space="0" w:color="auto"/>
        <w:bottom w:val="none" w:sz="0" w:space="0" w:color="auto"/>
        <w:right w:val="none" w:sz="0" w:space="0" w:color="auto"/>
      </w:divBdr>
    </w:div>
    <w:div w:id="1723484279">
      <w:bodyDiv w:val="1"/>
      <w:marLeft w:val="0"/>
      <w:marRight w:val="0"/>
      <w:marTop w:val="0"/>
      <w:marBottom w:val="0"/>
      <w:divBdr>
        <w:top w:val="none" w:sz="0" w:space="0" w:color="auto"/>
        <w:left w:val="none" w:sz="0" w:space="0" w:color="auto"/>
        <w:bottom w:val="none" w:sz="0" w:space="0" w:color="auto"/>
        <w:right w:val="none" w:sz="0" w:space="0" w:color="auto"/>
      </w:divBdr>
    </w:div>
    <w:div w:id="1752385593">
      <w:bodyDiv w:val="1"/>
      <w:marLeft w:val="0"/>
      <w:marRight w:val="0"/>
      <w:marTop w:val="0"/>
      <w:marBottom w:val="0"/>
      <w:divBdr>
        <w:top w:val="none" w:sz="0" w:space="0" w:color="auto"/>
        <w:left w:val="none" w:sz="0" w:space="0" w:color="auto"/>
        <w:bottom w:val="none" w:sz="0" w:space="0" w:color="auto"/>
        <w:right w:val="none" w:sz="0" w:space="0" w:color="auto"/>
      </w:divBdr>
    </w:div>
    <w:div w:id="1772579658">
      <w:bodyDiv w:val="1"/>
      <w:marLeft w:val="0"/>
      <w:marRight w:val="0"/>
      <w:marTop w:val="0"/>
      <w:marBottom w:val="0"/>
      <w:divBdr>
        <w:top w:val="none" w:sz="0" w:space="0" w:color="auto"/>
        <w:left w:val="none" w:sz="0" w:space="0" w:color="auto"/>
        <w:bottom w:val="none" w:sz="0" w:space="0" w:color="auto"/>
        <w:right w:val="none" w:sz="0" w:space="0" w:color="auto"/>
      </w:divBdr>
    </w:div>
    <w:div w:id="1802191193">
      <w:bodyDiv w:val="1"/>
      <w:marLeft w:val="0"/>
      <w:marRight w:val="0"/>
      <w:marTop w:val="0"/>
      <w:marBottom w:val="0"/>
      <w:divBdr>
        <w:top w:val="none" w:sz="0" w:space="0" w:color="auto"/>
        <w:left w:val="none" w:sz="0" w:space="0" w:color="auto"/>
        <w:bottom w:val="none" w:sz="0" w:space="0" w:color="auto"/>
        <w:right w:val="none" w:sz="0" w:space="0" w:color="auto"/>
      </w:divBdr>
    </w:div>
    <w:div w:id="1807817453">
      <w:bodyDiv w:val="1"/>
      <w:marLeft w:val="0"/>
      <w:marRight w:val="0"/>
      <w:marTop w:val="0"/>
      <w:marBottom w:val="0"/>
      <w:divBdr>
        <w:top w:val="none" w:sz="0" w:space="0" w:color="auto"/>
        <w:left w:val="none" w:sz="0" w:space="0" w:color="auto"/>
        <w:bottom w:val="none" w:sz="0" w:space="0" w:color="auto"/>
        <w:right w:val="none" w:sz="0" w:space="0" w:color="auto"/>
      </w:divBdr>
    </w:div>
    <w:div w:id="1841265884">
      <w:bodyDiv w:val="1"/>
      <w:marLeft w:val="0"/>
      <w:marRight w:val="0"/>
      <w:marTop w:val="0"/>
      <w:marBottom w:val="0"/>
      <w:divBdr>
        <w:top w:val="none" w:sz="0" w:space="0" w:color="auto"/>
        <w:left w:val="none" w:sz="0" w:space="0" w:color="auto"/>
        <w:bottom w:val="none" w:sz="0" w:space="0" w:color="auto"/>
        <w:right w:val="none" w:sz="0" w:space="0" w:color="auto"/>
      </w:divBdr>
    </w:div>
    <w:div w:id="1876113262">
      <w:bodyDiv w:val="1"/>
      <w:marLeft w:val="0"/>
      <w:marRight w:val="0"/>
      <w:marTop w:val="0"/>
      <w:marBottom w:val="0"/>
      <w:divBdr>
        <w:top w:val="none" w:sz="0" w:space="0" w:color="auto"/>
        <w:left w:val="none" w:sz="0" w:space="0" w:color="auto"/>
        <w:bottom w:val="none" w:sz="0" w:space="0" w:color="auto"/>
        <w:right w:val="none" w:sz="0" w:space="0" w:color="auto"/>
      </w:divBdr>
    </w:div>
    <w:div w:id="1879924870">
      <w:bodyDiv w:val="1"/>
      <w:marLeft w:val="0"/>
      <w:marRight w:val="0"/>
      <w:marTop w:val="0"/>
      <w:marBottom w:val="0"/>
      <w:divBdr>
        <w:top w:val="none" w:sz="0" w:space="0" w:color="auto"/>
        <w:left w:val="none" w:sz="0" w:space="0" w:color="auto"/>
        <w:bottom w:val="none" w:sz="0" w:space="0" w:color="auto"/>
        <w:right w:val="none" w:sz="0" w:space="0" w:color="auto"/>
      </w:divBdr>
    </w:div>
    <w:div w:id="1933778013">
      <w:bodyDiv w:val="1"/>
      <w:marLeft w:val="0"/>
      <w:marRight w:val="0"/>
      <w:marTop w:val="0"/>
      <w:marBottom w:val="0"/>
      <w:divBdr>
        <w:top w:val="none" w:sz="0" w:space="0" w:color="auto"/>
        <w:left w:val="none" w:sz="0" w:space="0" w:color="auto"/>
        <w:bottom w:val="none" w:sz="0" w:space="0" w:color="auto"/>
        <w:right w:val="none" w:sz="0" w:space="0" w:color="auto"/>
      </w:divBdr>
    </w:div>
    <w:div w:id="1946618047">
      <w:bodyDiv w:val="1"/>
      <w:marLeft w:val="0"/>
      <w:marRight w:val="0"/>
      <w:marTop w:val="0"/>
      <w:marBottom w:val="0"/>
      <w:divBdr>
        <w:top w:val="none" w:sz="0" w:space="0" w:color="auto"/>
        <w:left w:val="none" w:sz="0" w:space="0" w:color="auto"/>
        <w:bottom w:val="none" w:sz="0" w:space="0" w:color="auto"/>
        <w:right w:val="none" w:sz="0" w:space="0" w:color="auto"/>
      </w:divBdr>
    </w:div>
    <w:div w:id="1978417915">
      <w:bodyDiv w:val="1"/>
      <w:marLeft w:val="0"/>
      <w:marRight w:val="0"/>
      <w:marTop w:val="0"/>
      <w:marBottom w:val="0"/>
      <w:divBdr>
        <w:top w:val="none" w:sz="0" w:space="0" w:color="auto"/>
        <w:left w:val="none" w:sz="0" w:space="0" w:color="auto"/>
        <w:bottom w:val="none" w:sz="0" w:space="0" w:color="auto"/>
        <w:right w:val="none" w:sz="0" w:space="0" w:color="auto"/>
      </w:divBdr>
    </w:div>
    <w:div w:id="1989282238">
      <w:bodyDiv w:val="1"/>
      <w:marLeft w:val="0"/>
      <w:marRight w:val="0"/>
      <w:marTop w:val="0"/>
      <w:marBottom w:val="0"/>
      <w:divBdr>
        <w:top w:val="none" w:sz="0" w:space="0" w:color="auto"/>
        <w:left w:val="none" w:sz="0" w:space="0" w:color="auto"/>
        <w:bottom w:val="none" w:sz="0" w:space="0" w:color="auto"/>
        <w:right w:val="none" w:sz="0" w:space="0" w:color="auto"/>
      </w:divBdr>
    </w:div>
    <w:div w:id="2002736522">
      <w:bodyDiv w:val="1"/>
      <w:marLeft w:val="0"/>
      <w:marRight w:val="0"/>
      <w:marTop w:val="0"/>
      <w:marBottom w:val="0"/>
      <w:divBdr>
        <w:top w:val="none" w:sz="0" w:space="0" w:color="auto"/>
        <w:left w:val="none" w:sz="0" w:space="0" w:color="auto"/>
        <w:bottom w:val="none" w:sz="0" w:space="0" w:color="auto"/>
        <w:right w:val="none" w:sz="0" w:space="0" w:color="auto"/>
      </w:divBdr>
    </w:div>
    <w:div w:id="2040425454">
      <w:bodyDiv w:val="1"/>
      <w:marLeft w:val="0"/>
      <w:marRight w:val="0"/>
      <w:marTop w:val="0"/>
      <w:marBottom w:val="0"/>
      <w:divBdr>
        <w:top w:val="none" w:sz="0" w:space="0" w:color="auto"/>
        <w:left w:val="none" w:sz="0" w:space="0" w:color="auto"/>
        <w:bottom w:val="none" w:sz="0" w:space="0" w:color="auto"/>
        <w:right w:val="none" w:sz="0" w:space="0" w:color="auto"/>
      </w:divBdr>
    </w:div>
    <w:div w:id="2094282294">
      <w:bodyDiv w:val="1"/>
      <w:marLeft w:val="0"/>
      <w:marRight w:val="0"/>
      <w:marTop w:val="0"/>
      <w:marBottom w:val="0"/>
      <w:divBdr>
        <w:top w:val="none" w:sz="0" w:space="0" w:color="auto"/>
        <w:left w:val="none" w:sz="0" w:space="0" w:color="auto"/>
        <w:bottom w:val="none" w:sz="0" w:space="0" w:color="auto"/>
        <w:right w:val="none" w:sz="0" w:space="0" w:color="auto"/>
      </w:divBdr>
    </w:div>
    <w:div w:id="210746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12B8A-BE89-403F-AB0B-CA5DE1A9E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13010</Words>
  <Characters>74160</Characters>
  <Application>Microsoft Office Word</Application>
  <DocSecurity>4</DocSecurity>
  <Lines>618</Lines>
  <Paragraphs>173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86997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Patricia Calderon</cp:lastModifiedBy>
  <cp:revision>2</cp:revision>
  <cp:lastPrinted>2018-11-13T16:20:00Z</cp:lastPrinted>
  <dcterms:created xsi:type="dcterms:W3CDTF">2018-11-20T21:53:00Z</dcterms:created>
  <dcterms:modified xsi:type="dcterms:W3CDTF">2018-11-20T21:53:00Z</dcterms:modified>
</cp:coreProperties>
</file>