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6B9FA" w14:textId="094EF486" w:rsidR="00DD2E76" w:rsidRPr="00592C8A" w:rsidRDefault="00DD2E76" w:rsidP="00833D5A">
      <w:pPr>
        <w:spacing w:line="240" w:lineRule="auto"/>
        <w:rPr>
          <w:rFonts w:eastAsia="Calibri" w:cs="Calibri"/>
          <w:bCs/>
          <w:sz w:val="16"/>
          <w:szCs w:val="16"/>
          <w:lang w:val="en-US"/>
        </w:rPr>
      </w:pPr>
    </w:p>
    <w:p w14:paraId="35077E84" w14:textId="77777777" w:rsidR="00E108BF" w:rsidRPr="00592C8A" w:rsidRDefault="00E108BF" w:rsidP="00833D5A">
      <w:pPr>
        <w:spacing w:line="240" w:lineRule="auto"/>
        <w:rPr>
          <w:rFonts w:eastAsia="Calibri" w:cs="Calibri"/>
          <w:bCs/>
          <w:sz w:val="16"/>
          <w:szCs w:val="16"/>
          <w:lang w:val="en-US"/>
        </w:rPr>
      </w:pPr>
    </w:p>
    <w:p w14:paraId="2FA4792C" w14:textId="77777777" w:rsidR="00DD2E76" w:rsidRPr="00592C8A" w:rsidRDefault="00DD2E76" w:rsidP="00833D5A">
      <w:pPr>
        <w:spacing w:line="240" w:lineRule="auto"/>
        <w:rPr>
          <w:rFonts w:eastAsia="Calibri" w:cs="Calibri"/>
          <w:bCs/>
          <w:sz w:val="16"/>
          <w:szCs w:val="16"/>
          <w:lang w:val="en-US"/>
        </w:rPr>
      </w:pPr>
    </w:p>
    <w:p w14:paraId="15A0ACCB" w14:textId="77777777" w:rsidR="00DD2E76" w:rsidRPr="00592C8A" w:rsidRDefault="00DD2E76" w:rsidP="00833D5A">
      <w:pPr>
        <w:spacing w:line="240" w:lineRule="auto"/>
        <w:rPr>
          <w:rFonts w:eastAsia="Calibri" w:cs="Calibri"/>
          <w:b/>
          <w:sz w:val="20"/>
          <w:szCs w:val="20"/>
          <w:lang w:val="en-US"/>
        </w:rPr>
      </w:pPr>
    </w:p>
    <w:p w14:paraId="5689135E" w14:textId="63B8E4FF" w:rsidR="007F51FE" w:rsidRPr="00592C8A" w:rsidRDefault="007F51FE" w:rsidP="00833D5A">
      <w:pPr>
        <w:spacing w:line="240" w:lineRule="auto"/>
        <w:rPr>
          <w:rFonts w:eastAsia="Calibri" w:cs="Calibri"/>
          <w:b/>
          <w:sz w:val="20"/>
          <w:szCs w:val="20"/>
          <w:lang w:val="en-US"/>
        </w:rPr>
      </w:pPr>
    </w:p>
    <w:p w14:paraId="47360166" w14:textId="7DE07C12" w:rsidR="007F51FE" w:rsidRPr="00592C8A" w:rsidRDefault="007F51FE" w:rsidP="00833D5A">
      <w:pPr>
        <w:spacing w:line="240" w:lineRule="auto"/>
        <w:rPr>
          <w:rFonts w:eastAsia="Calibri" w:cs="Calibri"/>
          <w:b/>
          <w:sz w:val="20"/>
          <w:szCs w:val="20"/>
          <w:lang w:val="en-US"/>
        </w:rPr>
      </w:pPr>
    </w:p>
    <w:p w14:paraId="2804AC76" w14:textId="77777777" w:rsidR="007F51FE" w:rsidRPr="00592C8A" w:rsidRDefault="007F51FE" w:rsidP="00833D5A">
      <w:pPr>
        <w:spacing w:line="240" w:lineRule="auto"/>
        <w:rPr>
          <w:rFonts w:eastAsia="Calibri" w:cs="Calibri"/>
          <w:b/>
          <w:sz w:val="20"/>
          <w:szCs w:val="20"/>
          <w:lang w:val="en-US"/>
        </w:rPr>
      </w:pPr>
    </w:p>
    <w:p w14:paraId="0814866D" w14:textId="77777777" w:rsidR="00833D5A" w:rsidRPr="00592C8A" w:rsidRDefault="00833D5A" w:rsidP="00833D5A">
      <w:pPr>
        <w:spacing w:line="240" w:lineRule="auto"/>
        <w:jc w:val="center"/>
        <w:rPr>
          <w:rFonts w:eastAsia="Calibri" w:cs="Calibri"/>
          <w:b/>
          <w:sz w:val="20"/>
          <w:szCs w:val="20"/>
          <w:lang w:val="en-US"/>
        </w:rPr>
      </w:pPr>
    </w:p>
    <w:p w14:paraId="1675B461" w14:textId="77777777" w:rsidR="00833D5A" w:rsidRPr="00592C8A" w:rsidRDefault="00833D5A" w:rsidP="00833D5A">
      <w:pPr>
        <w:spacing w:line="240" w:lineRule="auto"/>
        <w:jc w:val="center"/>
        <w:rPr>
          <w:rFonts w:eastAsia="Calibri" w:cs="Calibri"/>
          <w:b/>
          <w:sz w:val="20"/>
          <w:szCs w:val="20"/>
          <w:lang w:val="en-US"/>
        </w:rPr>
      </w:pPr>
    </w:p>
    <w:p w14:paraId="54B06DBA" w14:textId="4B540398" w:rsidR="00833D5A" w:rsidRPr="009D52FD" w:rsidRDefault="003630BB" w:rsidP="007D598F">
      <w:pPr>
        <w:spacing w:line="240" w:lineRule="auto"/>
        <w:jc w:val="center"/>
        <w:rPr>
          <w:rFonts w:eastAsia="Calibri" w:cs="Calibri"/>
          <w:b/>
          <w:sz w:val="20"/>
          <w:szCs w:val="20"/>
          <w:lang w:val="en-US"/>
        </w:rPr>
      </w:pPr>
      <w:r w:rsidRPr="009D52FD">
        <w:rPr>
          <w:rFonts w:eastAsia="Calibri" w:cs="Calibri"/>
          <w:b/>
          <w:sz w:val="20"/>
          <w:szCs w:val="20"/>
          <w:lang w:val="en-US"/>
        </w:rPr>
        <w:t>INTER-AMERICAN COURT OF HUMAN RIGHT</w:t>
      </w:r>
      <w:r w:rsidR="007F51FE" w:rsidRPr="009D52FD">
        <w:rPr>
          <w:rFonts w:eastAsia="Calibri" w:cs="Calibri"/>
          <w:b/>
          <w:sz w:val="20"/>
          <w:szCs w:val="20"/>
          <w:lang w:val="en-US"/>
        </w:rPr>
        <w:t>S</w:t>
      </w:r>
    </w:p>
    <w:p w14:paraId="711AB582" w14:textId="609844C9" w:rsidR="007F51FE" w:rsidRPr="009D52FD" w:rsidRDefault="007F51FE" w:rsidP="007D598F">
      <w:pPr>
        <w:spacing w:line="240" w:lineRule="auto"/>
        <w:jc w:val="center"/>
        <w:rPr>
          <w:rFonts w:eastAsia="Calibri" w:cs="Calibri"/>
          <w:b/>
          <w:sz w:val="20"/>
          <w:szCs w:val="20"/>
          <w:lang w:val="en-US"/>
        </w:rPr>
      </w:pPr>
    </w:p>
    <w:p w14:paraId="0F6E5FAD" w14:textId="5343878E" w:rsidR="00833D5A" w:rsidRPr="009D52FD" w:rsidRDefault="00833D5A" w:rsidP="00833D5A">
      <w:pPr>
        <w:spacing w:line="240" w:lineRule="auto"/>
        <w:jc w:val="center"/>
        <w:rPr>
          <w:rFonts w:eastAsia="Calibri" w:cs="Calibri"/>
          <w:b/>
          <w:sz w:val="20"/>
          <w:szCs w:val="20"/>
        </w:rPr>
      </w:pPr>
      <w:r w:rsidRPr="009D52FD">
        <w:rPr>
          <w:rFonts w:eastAsia="Calibri" w:cs="Calibri"/>
          <w:b/>
          <w:sz w:val="20"/>
          <w:szCs w:val="20"/>
        </w:rPr>
        <w:t xml:space="preserve">CASO </w:t>
      </w:r>
      <w:r w:rsidR="003630BB" w:rsidRPr="009D52FD">
        <w:rPr>
          <w:rFonts w:eastAsia="Calibri" w:cs="Calibri"/>
          <w:b/>
          <w:sz w:val="20"/>
          <w:szCs w:val="20"/>
        </w:rPr>
        <w:t xml:space="preserve">LÓPEZ SOTO </w:t>
      </w:r>
      <w:r w:rsidR="003630BB" w:rsidRPr="009D52FD">
        <w:rPr>
          <w:rFonts w:eastAsia="Calibri" w:cs="Calibri"/>
          <w:b/>
          <w:i/>
          <w:iCs/>
          <w:sz w:val="20"/>
          <w:szCs w:val="20"/>
        </w:rPr>
        <w:t>ET AL.</w:t>
      </w:r>
      <w:r w:rsidRPr="009D52FD">
        <w:rPr>
          <w:rFonts w:eastAsia="Calibri" w:cs="Calibri"/>
          <w:b/>
          <w:i/>
          <w:sz w:val="20"/>
          <w:szCs w:val="20"/>
        </w:rPr>
        <w:t xml:space="preserve"> V</w:t>
      </w:r>
      <w:r w:rsidRPr="009D52FD">
        <w:rPr>
          <w:rFonts w:eastAsia="Calibri" w:cs="Calibri"/>
          <w:b/>
          <w:sz w:val="20"/>
          <w:szCs w:val="20"/>
        </w:rPr>
        <w:t>. VENEZUELA</w:t>
      </w:r>
    </w:p>
    <w:p w14:paraId="185920EE" w14:textId="77777777" w:rsidR="00833D5A" w:rsidRPr="009D52FD" w:rsidRDefault="00833D5A" w:rsidP="00833D5A">
      <w:pPr>
        <w:tabs>
          <w:tab w:val="left" w:pos="720"/>
        </w:tabs>
        <w:spacing w:line="240" w:lineRule="auto"/>
        <w:jc w:val="center"/>
        <w:rPr>
          <w:rFonts w:eastAsia="Calibri" w:cs="Verdana"/>
          <w:b/>
          <w:bCs/>
          <w:caps/>
          <w:snapToGrid w:val="0"/>
          <w:sz w:val="20"/>
          <w:szCs w:val="20"/>
          <w:lang w:eastAsia="es-ES"/>
        </w:rPr>
      </w:pPr>
    </w:p>
    <w:p w14:paraId="2E50FCF7" w14:textId="698C2B23" w:rsidR="00833D5A" w:rsidRPr="009D52FD" w:rsidRDefault="003630BB" w:rsidP="00833D5A">
      <w:pPr>
        <w:tabs>
          <w:tab w:val="left" w:pos="720"/>
        </w:tabs>
        <w:spacing w:line="240" w:lineRule="auto"/>
        <w:jc w:val="center"/>
        <w:rPr>
          <w:rFonts w:eastAsia="Calibri" w:cs="Verdana"/>
          <w:b/>
          <w:bCs/>
          <w:snapToGrid w:val="0"/>
          <w:sz w:val="20"/>
          <w:szCs w:val="20"/>
          <w:lang w:val="en-US" w:eastAsia="es-ES"/>
        </w:rPr>
      </w:pPr>
      <w:r w:rsidRPr="009D52FD">
        <w:rPr>
          <w:rFonts w:eastAsia="Calibri" w:cs="Verdana"/>
          <w:b/>
          <w:bCs/>
          <w:snapToGrid w:val="0"/>
          <w:sz w:val="20"/>
          <w:szCs w:val="20"/>
          <w:lang w:val="en-US" w:eastAsia="es-ES"/>
        </w:rPr>
        <w:t>JUDGMENT OF SEPTEMBER</w:t>
      </w:r>
      <w:r w:rsidR="00833D5A" w:rsidRPr="009D52FD">
        <w:rPr>
          <w:rFonts w:eastAsia="Calibri" w:cs="Verdana"/>
          <w:b/>
          <w:bCs/>
          <w:snapToGrid w:val="0"/>
          <w:sz w:val="20"/>
          <w:szCs w:val="20"/>
          <w:lang w:val="en-US" w:eastAsia="es-ES"/>
        </w:rPr>
        <w:t xml:space="preserve"> </w:t>
      </w:r>
      <w:r w:rsidR="00FF30EA" w:rsidRPr="009D52FD">
        <w:rPr>
          <w:rFonts w:eastAsia="Calibri" w:cs="Verdana"/>
          <w:b/>
          <w:bCs/>
          <w:snapToGrid w:val="0"/>
          <w:sz w:val="20"/>
          <w:szCs w:val="20"/>
          <w:lang w:val="en-US" w:eastAsia="es-ES"/>
        </w:rPr>
        <w:t>26</w:t>
      </w:r>
      <w:r w:rsidRPr="009D52FD">
        <w:rPr>
          <w:rFonts w:eastAsia="Calibri" w:cs="Verdana"/>
          <w:b/>
          <w:bCs/>
          <w:snapToGrid w:val="0"/>
          <w:sz w:val="20"/>
          <w:szCs w:val="20"/>
          <w:lang w:val="en-US" w:eastAsia="es-ES"/>
        </w:rPr>
        <w:t xml:space="preserve">, </w:t>
      </w:r>
      <w:r w:rsidR="00833D5A" w:rsidRPr="009D52FD">
        <w:rPr>
          <w:rFonts w:eastAsia="Calibri" w:cs="Verdana"/>
          <w:b/>
          <w:bCs/>
          <w:snapToGrid w:val="0"/>
          <w:sz w:val="20"/>
          <w:szCs w:val="20"/>
          <w:lang w:val="en-US" w:eastAsia="es-ES"/>
        </w:rPr>
        <w:t>2018</w:t>
      </w:r>
    </w:p>
    <w:p w14:paraId="7405538A" w14:textId="77777777" w:rsidR="00833D5A" w:rsidRPr="009D52FD" w:rsidRDefault="00833D5A" w:rsidP="00833D5A">
      <w:pPr>
        <w:tabs>
          <w:tab w:val="left" w:pos="720"/>
        </w:tabs>
        <w:spacing w:line="240" w:lineRule="auto"/>
        <w:jc w:val="center"/>
        <w:rPr>
          <w:rFonts w:eastAsia="Calibri" w:cs="Verdana"/>
          <w:b/>
          <w:bCs/>
          <w:caps/>
          <w:snapToGrid w:val="0"/>
          <w:sz w:val="20"/>
          <w:szCs w:val="20"/>
          <w:lang w:val="en-US" w:eastAsia="es-ES"/>
        </w:rPr>
      </w:pPr>
    </w:p>
    <w:p w14:paraId="0B62BDBC" w14:textId="64D42DF6" w:rsidR="00833D5A" w:rsidRPr="009D52FD" w:rsidRDefault="00833D5A" w:rsidP="00833D5A">
      <w:pPr>
        <w:tabs>
          <w:tab w:val="left" w:pos="720"/>
        </w:tabs>
        <w:spacing w:line="240" w:lineRule="auto"/>
        <w:jc w:val="center"/>
        <w:rPr>
          <w:rFonts w:eastAsia="Calibri" w:cs="Verdana"/>
          <w:b/>
          <w:bCs/>
          <w:caps/>
          <w:snapToGrid w:val="0"/>
          <w:sz w:val="20"/>
          <w:szCs w:val="20"/>
          <w:lang w:val="en-US" w:eastAsia="es-ES"/>
        </w:rPr>
      </w:pPr>
      <w:r w:rsidRPr="009D52FD">
        <w:rPr>
          <w:rFonts w:eastAsia="Calibri" w:cs="Verdana"/>
          <w:b/>
          <w:bCs/>
          <w:i/>
          <w:iCs/>
          <w:snapToGrid w:val="0"/>
          <w:sz w:val="20"/>
          <w:szCs w:val="20"/>
          <w:lang w:val="en-US" w:eastAsia="es-ES"/>
        </w:rPr>
        <w:t>(</w:t>
      </w:r>
      <w:r w:rsidR="003630BB" w:rsidRPr="009D52FD">
        <w:rPr>
          <w:rFonts w:eastAsia="Calibri" w:cs="Verdana"/>
          <w:b/>
          <w:bCs/>
          <w:i/>
          <w:iCs/>
          <w:snapToGrid w:val="0"/>
          <w:sz w:val="20"/>
          <w:szCs w:val="20"/>
          <w:lang w:val="en-US" w:eastAsia="es-ES"/>
        </w:rPr>
        <w:t>Merits, reparations and costs</w:t>
      </w:r>
      <w:r w:rsidRPr="009D52FD">
        <w:rPr>
          <w:rFonts w:eastAsia="Calibri" w:cs="Verdana"/>
          <w:b/>
          <w:bCs/>
          <w:i/>
          <w:iCs/>
          <w:snapToGrid w:val="0"/>
          <w:sz w:val="20"/>
          <w:szCs w:val="20"/>
          <w:lang w:val="en-US" w:eastAsia="es-ES"/>
        </w:rPr>
        <w:t>)</w:t>
      </w:r>
    </w:p>
    <w:p w14:paraId="66159EA6" w14:textId="77777777" w:rsidR="00833D5A" w:rsidRPr="009D52FD" w:rsidRDefault="00DC51F8" w:rsidP="00DC51F8">
      <w:pPr>
        <w:tabs>
          <w:tab w:val="left" w:pos="3819"/>
        </w:tabs>
        <w:spacing w:before="4" w:line="280" w:lineRule="exact"/>
        <w:rPr>
          <w:rFonts w:eastAsia="Calibri"/>
          <w:sz w:val="20"/>
          <w:szCs w:val="20"/>
          <w:lang w:val="en-US"/>
        </w:rPr>
      </w:pPr>
      <w:r w:rsidRPr="009D52FD">
        <w:rPr>
          <w:rFonts w:eastAsia="Calibri"/>
          <w:sz w:val="20"/>
          <w:szCs w:val="20"/>
          <w:lang w:val="en-US"/>
        </w:rPr>
        <w:tab/>
      </w:r>
    </w:p>
    <w:p w14:paraId="66743FD6" w14:textId="720241B2" w:rsidR="00833D5A" w:rsidRPr="009D52FD" w:rsidRDefault="00833D5A" w:rsidP="00833D5A">
      <w:pPr>
        <w:spacing w:before="4" w:line="280" w:lineRule="exact"/>
        <w:rPr>
          <w:rFonts w:eastAsia="Calibri"/>
          <w:sz w:val="20"/>
          <w:szCs w:val="20"/>
          <w:lang w:val="en-US"/>
        </w:rPr>
      </w:pPr>
    </w:p>
    <w:p w14:paraId="5B9F4C43" w14:textId="77777777" w:rsidR="003630BB" w:rsidRPr="009D52FD" w:rsidRDefault="003630BB" w:rsidP="00833D5A">
      <w:pPr>
        <w:spacing w:before="4" w:line="280" w:lineRule="exact"/>
        <w:rPr>
          <w:rFonts w:eastAsia="Calibri"/>
          <w:sz w:val="20"/>
          <w:szCs w:val="20"/>
          <w:lang w:val="en-US"/>
        </w:rPr>
      </w:pPr>
    </w:p>
    <w:p w14:paraId="14C1E669" w14:textId="77777777" w:rsidR="00833D5A" w:rsidRPr="009D52FD" w:rsidRDefault="00833D5A" w:rsidP="00833D5A">
      <w:pPr>
        <w:spacing w:before="4" w:line="280" w:lineRule="exact"/>
        <w:rPr>
          <w:rFonts w:eastAsia="Calibri"/>
          <w:sz w:val="20"/>
          <w:szCs w:val="20"/>
          <w:lang w:val="en-US"/>
        </w:rPr>
      </w:pPr>
    </w:p>
    <w:p w14:paraId="6DB112AC" w14:textId="77777777" w:rsidR="00833D5A" w:rsidRPr="009D52FD" w:rsidRDefault="00833D5A" w:rsidP="00833D5A">
      <w:pPr>
        <w:spacing w:before="4" w:line="280" w:lineRule="exact"/>
        <w:rPr>
          <w:rFonts w:eastAsia="Calibri"/>
          <w:sz w:val="20"/>
          <w:szCs w:val="20"/>
          <w:lang w:val="en-US"/>
        </w:rPr>
      </w:pPr>
    </w:p>
    <w:p w14:paraId="3D264A18" w14:textId="192C8462" w:rsidR="00833D5A" w:rsidRPr="009D52FD" w:rsidRDefault="003630BB" w:rsidP="00833D5A">
      <w:pPr>
        <w:tabs>
          <w:tab w:val="left" w:pos="720"/>
        </w:tabs>
        <w:spacing w:line="240" w:lineRule="auto"/>
        <w:rPr>
          <w:rFonts w:eastAsia="Verdana" w:cs="Verdana"/>
          <w:sz w:val="20"/>
          <w:szCs w:val="20"/>
          <w:lang w:val="en-US"/>
        </w:rPr>
      </w:pPr>
      <w:r w:rsidRPr="009D52FD">
        <w:rPr>
          <w:rFonts w:eastAsia="Verdana" w:cs="Verdana"/>
          <w:sz w:val="20"/>
          <w:szCs w:val="20"/>
          <w:lang w:val="en-US"/>
        </w:rPr>
        <w:t>In the case of</w:t>
      </w:r>
      <w:r w:rsidR="00833D5A" w:rsidRPr="009D52FD">
        <w:rPr>
          <w:rFonts w:eastAsia="Verdana" w:cs="Verdana"/>
          <w:sz w:val="20"/>
          <w:szCs w:val="20"/>
          <w:lang w:val="en-US"/>
        </w:rPr>
        <w:t xml:space="preserve"> </w:t>
      </w:r>
      <w:r w:rsidR="00833D5A" w:rsidRPr="009D52FD">
        <w:rPr>
          <w:rFonts w:eastAsia="Verdana" w:cs="Verdana"/>
          <w:i/>
          <w:sz w:val="20"/>
          <w:szCs w:val="20"/>
          <w:lang w:val="en-US"/>
        </w:rPr>
        <w:t xml:space="preserve">López </w:t>
      </w:r>
      <w:r w:rsidRPr="009D52FD">
        <w:rPr>
          <w:rFonts w:eastAsia="Verdana" w:cs="Verdana"/>
          <w:i/>
          <w:sz w:val="20"/>
          <w:szCs w:val="20"/>
          <w:lang w:val="en-US"/>
        </w:rPr>
        <w:t>Soto et al.</w:t>
      </w:r>
      <w:r w:rsidR="00833D5A" w:rsidRPr="009D52FD">
        <w:rPr>
          <w:rFonts w:eastAsia="Verdana" w:cs="Verdana"/>
          <w:sz w:val="20"/>
          <w:szCs w:val="20"/>
          <w:lang w:val="en-US"/>
        </w:rPr>
        <w:t>,</w:t>
      </w:r>
    </w:p>
    <w:p w14:paraId="00F54D12" w14:textId="77777777" w:rsidR="00833D5A" w:rsidRPr="009D52FD" w:rsidRDefault="00833D5A" w:rsidP="00833D5A">
      <w:pPr>
        <w:spacing w:before="4" w:line="240" w:lineRule="exact"/>
        <w:rPr>
          <w:rFonts w:eastAsia="Calibri"/>
          <w:sz w:val="20"/>
          <w:szCs w:val="20"/>
          <w:lang w:val="en-US"/>
        </w:rPr>
      </w:pPr>
    </w:p>
    <w:p w14:paraId="5D9A508D" w14:textId="093D9743" w:rsidR="00833D5A" w:rsidRPr="009D52FD" w:rsidRDefault="003630BB" w:rsidP="00833D5A">
      <w:pPr>
        <w:tabs>
          <w:tab w:val="left" w:pos="720"/>
        </w:tabs>
        <w:spacing w:line="240" w:lineRule="auto"/>
        <w:rPr>
          <w:rFonts w:eastAsia="Calibri" w:cs="Verdana"/>
          <w:sz w:val="20"/>
          <w:szCs w:val="20"/>
          <w:lang w:val="en-US"/>
        </w:rPr>
      </w:pPr>
      <w:r w:rsidRPr="009D52FD">
        <w:rPr>
          <w:rFonts w:eastAsia="Calibri" w:cs="Verdana"/>
          <w:sz w:val="20"/>
          <w:szCs w:val="20"/>
          <w:lang w:val="en-US"/>
        </w:rPr>
        <w:t>the Inter-American Court of Human Rights</w:t>
      </w:r>
      <w:r w:rsidR="00833D5A" w:rsidRPr="009D52FD">
        <w:rPr>
          <w:rFonts w:eastAsia="Calibri" w:cs="Verdana"/>
          <w:sz w:val="20"/>
          <w:szCs w:val="20"/>
          <w:lang w:val="en-US"/>
        </w:rPr>
        <w:t xml:space="preserve"> (</w:t>
      </w:r>
      <w:r w:rsidRPr="009D52FD">
        <w:rPr>
          <w:rFonts w:eastAsia="Calibri" w:cs="Verdana"/>
          <w:sz w:val="20"/>
          <w:szCs w:val="20"/>
          <w:lang w:val="en-US"/>
        </w:rPr>
        <w:t>hereinafter</w:t>
      </w:r>
      <w:r w:rsidR="00833D5A" w:rsidRPr="009D52FD">
        <w:rPr>
          <w:rFonts w:eastAsia="Calibri" w:cs="Verdana"/>
          <w:sz w:val="20"/>
          <w:szCs w:val="20"/>
          <w:lang w:val="en-US"/>
        </w:rPr>
        <w:t xml:space="preserve"> “</w:t>
      </w:r>
      <w:r w:rsidRPr="009D52FD">
        <w:rPr>
          <w:rFonts w:eastAsia="Calibri" w:cs="Verdana"/>
          <w:sz w:val="20"/>
          <w:szCs w:val="20"/>
          <w:lang w:val="en-US"/>
        </w:rPr>
        <w:t>the Inter-American Court</w:t>
      </w:r>
      <w:r w:rsidR="00833D5A" w:rsidRPr="009D52FD">
        <w:rPr>
          <w:rFonts w:eastAsia="Calibri" w:cs="Verdana"/>
          <w:sz w:val="20"/>
          <w:szCs w:val="20"/>
          <w:lang w:val="en-US"/>
        </w:rPr>
        <w:t>”</w:t>
      </w:r>
      <w:r w:rsidRPr="009D52FD">
        <w:rPr>
          <w:rFonts w:eastAsia="Calibri" w:cs="Verdana"/>
          <w:sz w:val="20"/>
          <w:szCs w:val="20"/>
          <w:lang w:val="en-US"/>
        </w:rPr>
        <w:t xml:space="preserve"> or </w:t>
      </w:r>
      <w:r w:rsidR="00833D5A" w:rsidRPr="009D52FD">
        <w:rPr>
          <w:rFonts w:eastAsia="Calibri" w:cs="Verdana"/>
          <w:sz w:val="20"/>
          <w:szCs w:val="20"/>
          <w:lang w:val="en-US"/>
        </w:rPr>
        <w:t>“</w:t>
      </w:r>
      <w:r w:rsidRPr="009D52FD">
        <w:rPr>
          <w:rFonts w:eastAsia="Calibri" w:cs="Verdana"/>
          <w:sz w:val="20"/>
          <w:szCs w:val="20"/>
          <w:lang w:val="en-US"/>
        </w:rPr>
        <w:t>the Court</w:t>
      </w:r>
      <w:r w:rsidR="00833D5A" w:rsidRPr="009D52FD">
        <w:rPr>
          <w:rFonts w:eastAsia="Calibri" w:cs="Verdana"/>
          <w:sz w:val="20"/>
          <w:szCs w:val="20"/>
          <w:lang w:val="en-US"/>
        </w:rPr>
        <w:t>”</w:t>
      </w:r>
      <w:r w:rsidRPr="009D52FD">
        <w:rPr>
          <w:rFonts w:eastAsia="Calibri" w:cs="Verdana"/>
          <w:sz w:val="20"/>
          <w:szCs w:val="20"/>
          <w:lang w:val="en-US"/>
        </w:rPr>
        <w:t>) composed of the following judges:</w:t>
      </w:r>
      <w:r w:rsidR="006322C2" w:rsidRPr="009D52FD">
        <w:rPr>
          <w:rStyle w:val="FootnoteReference"/>
          <w:lang w:val="en-US"/>
        </w:rPr>
        <w:footnoteReference w:customMarkFollows="1" w:id="1"/>
        <w:sym w:font="Symbol" w:char="F02A"/>
      </w:r>
    </w:p>
    <w:p w14:paraId="04112717" w14:textId="77777777" w:rsidR="00833D5A" w:rsidRPr="009D52FD" w:rsidRDefault="00833D5A" w:rsidP="00833D5A">
      <w:pPr>
        <w:tabs>
          <w:tab w:val="left" w:pos="720"/>
        </w:tabs>
        <w:spacing w:line="240" w:lineRule="auto"/>
        <w:rPr>
          <w:rFonts w:eastAsia="Calibri" w:cs="Verdana"/>
          <w:sz w:val="20"/>
          <w:szCs w:val="20"/>
          <w:lang w:val="en-US"/>
        </w:rPr>
      </w:pPr>
    </w:p>
    <w:p w14:paraId="21155195" w14:textId="0E35C89A" w:rsidR="00833D5A" w:rsidRPr="009D52FD" w:rsidRDefault="00833D5A" w:rsidP="00833D5A">
      <w:pPr>
        <w:tabs>
          <w:tab w:val="left" w:pos="720"/>
        </w:tabs>
        <w:spacing w:line="240" w:lineRule="auto"/>
        <w:rPr>
          <w:rFonts w:eastAsia="Calibri" w:cs="Verdana"/>
          <w:sz w:val="20"/>
          <w:szCs w:val="20"/>
          <w:lang w:val="en-US"/>
        </w:rPr>
      </w:pPr>
      <w:r w:rsidRPr="009D52FD">
        <w:rPr>
          <w:rFonts w:eastAsia="Calibri" w:cs="Verdana"/>
          <w:sz w:val="20"/>
          <w:szCs w:val="20"/>
          <w:lang w:val="en-US"/>
        </w:rPr>
        <w:t xml:space="preserve">Eduardo Ferrer Mac-Gregor Poisot, </w:t>
      </w:r>
      <w:r w:rsidR="003630BB" w:rsidRPr="009D52FD">
        <w:rPr>
          <w:rFonts w:eastAsia="Calibri" w:cs="Verdana"/>
          <w:sz w:val="20"/>
          <w:szCs w:val="20"/>
          <w:lang w:val="en-US"/>
        </w:rPr>
        <w:t>President</w:t>
      </w:r>
    </w:p>
    <w:p w14:paraId="49E78BC2" w14:textId="405D6648" w:rsidR="00833D5A" w:rsidRPr="009D52FD" w:rsidRDefault="00833D5A" w:rsidP="00833D5A">
      <w:pPr>
        <w:tabs>
          <w:tab w:val="left" w:pos="720"/>
        </w:tabs>
        <w:spacing w:line="240" w:lineRule="auto"/>
        <w:rPr>
          <w:rFonts w:eastAsia="Calibri" w:cs="Verdana"/>
          <w:sz w:val="20"/>
          <w:szCs w:val="20"/>
          <w:lang w:val="en-US"/>
        </w:rPr>
      </w:pPr>
      <w:r w:rsidRPr="009D52FD">
        <w:rPr>
          <w:rFonts w:eastAsia="Calibri" w:cs="Verdana"/>
          <w:sz w:val="20"/>
          <w:szCs w:val="20"/>
          <w:lang w:val="en-US"/>
        </w:rPr>
        <w:t xml:space="preserve">Eduardo Vio Grossi, </w:t>
      </w:r>
      <w:r w:rsidR="004F53EE" w:rsidRPr="009D52FD">
        <w:rPr>
          <w:rFonts w:eastAsia="Calibri" w:cs="Verdana"/>
          <w:sz w:val="20"/>
          <w:szCs w:val="20"/>
          <w:lang w:val="en-US"/>
        </w:rPr>
        <w:t>Vice</w:t>
      </w:r>
      <w:r w:rsidR="003630BB" w:rsidRPr="009D52FD">
        <w:rPr>
          <w:rFonts w:eastAsia="Calibri" w:cs="Verdana"/>
          <w:sz w:val="20"/>
          <w:szCs w:val="20"/>
          <w:lang w:val="en-US"/>
        </w:rPr>
        <w:t xml:space="preserve"> President</w:t>
      </w:r>
    </w:p>
    <w:p w14:paraId="52E96805" w14:textId="5A29BAB0" w:rsidR="00833D5A" w:rsidRPr="009D52FD" w:rsidRDefault="00833D5A" w:rsidP="00833D5A">
      <w:pPr>
        <w:tabs>
          <w:tab w:val="left" w:pos="720"/>
        </w:tabs>
        <w:spacing w:line="240" w:lineRule="auto"/>
        <w:rPr>
          <w:rFonts w:eastAsia="Calibri" w:cs="Verdana"/>
          <w:sz w:val="20"/>
          <w:szCs w:val="20"/>
          <w:lang w:val="en-US"/>
        </w:rPr>
      </w:pPr>
      <w:r w:rsidRPr="009D52FD">
        <w:rPr>
          <w:rFonts w:eastAsia="Calibri" w:cs="Verdana"/>
          <w:sz w:val="20"/>
          <w:szCs w:val="20"/>
          <w:lang w:val="en-US"/>
        </w:rPr>
        <w:t xml:space="preserve">Humberto Antonio Sierra Porto, </w:t>
      </w:r>
      <w:r w:rsidR="003630BB" w:rsidRPr="009D52FD">
        <w:rPr>
          <w:rFonts w:eastAsia="Calibri" w:cs="Verdana"/>
          <w:sz w:val="20"/>
          <w:szCs w:val="20"/>
          <w:lang w:val="en-US"/>
        </w:rPr>
        <w:t>Judge</w:t>
      </w:r>
    </w:p>
    <w:p w14:paraId="5F4859C9" w14:textId="2B3DCFB0" w:rsidR="00833D5A" w:rsidRPr="009D52FD" w:rsidRDefault="00833D5A" w:rsidP="00833D5A">
      <w:pPr>
        <w:tabs>
          <w:tab w:val="left" w:pos="720"/>
        </w:tabs>
        <w:spacing w:line="240" w:lineRule="auto"/>
        <w:rPr>
          <w:rFonts w:eastAsia="Calibri" w:cs="Verdana"/>
          <w:sz w:val="20"/>
          <w:szCs w:val="20"/>
          <w:lang w:val="en-US"/>
        </w:rPr>
      </w:pPr>
      <w:r w:rsidRPr="009D52FD">
        <w:rPr>
          <w:rFonts w:eastAsia="Calibri" w:cs="Verdana"/>
          <w:sz w:val="20"/>
          <w:szCs w:val="20"/>
          <w:lang w:val="en-US"/>
        </w:rPr>
        <w:t xml:space="preserve">Eugenio Raúl Zaffaroni, </w:t>
      </w:r>
      <w:r w:rsidR="003630BB" w:rsidRPr="009D52FD">
        <w:rPr>
          <w:rFonts w:eastAsia="Calibri" w:cs="Verdana"/>
          <w:sz w:val="20"/>
          <w:szCs w:val="20"/>
          <w:lang w:val="en-US"/>
        </w:rPr>
        <w:t>Judge</w:t>
      </w:r>
      <w:r w:rsidRPr="009D52FD">
        <w:rPr>
          <w:rFonts w:eastAsia="Calibri" w:cs="Verdana"/>
          <w:sz w:val="20"/>
          <w:szCs w:val="20"/>
          <w:lang w:val="en-US"/>
        </w:rPr>
        <w:t xml:space="preserve">, </w:t>
      </w:r>
      <w:r w:rsidR="003630BB" w:rsidRPr="009D52FD">
        <w:rPr>
          <w:rFonts w:eastAsia="Calibri" w:cs="Verdana"/>
          <w:sz w:val="20"/>
          <w:szCs w:val="20"/>
          <w:lang w:val="en-US"/>
        </w:rPr>
        <w:t>and</w:t>
      </w:r>
    </w:p>
    <w:p w14:paraId="75A96948" w14:textId="355FA6D4" w:rsidR="00833D5A" w:rsidRPr="009D52FD" w:rsidRDefault="00833D5A" w:rsidP="00833D5A">
      <w:pPr>
        <w:tabs>
          <w:tab w:val="left" w:pos="720"/>
        </w:tabs>
        <w:spacing w:line="240" w:lineRule="auto"/>
        <w:rPr>
          <w:rFonts w:eastAsia="Calibri" w:cs="Verdana"/>
          <w:sz w:val="20"/>
          <w:szCs w:val="20"/>
          <w:lang w:val="en-US"/>
        </w:rPr>
      </w:pPr>
      <w:r w:rsidRPr="009D52FD">
        <w:rPr>
          <w:rFonts w:eastAsia="Calibri" w:cs="Verdana"/>
          <w:sz w:val="20"/>
          <w:szCs w:val="20"/>
          <w:lang w:val="en-US"/>
        </w:rPr>
        <w:t xml:space="preserve">L. Patricio Pazmiño Freire, </w:t>
      </w:r>
      <w:r w:rsidR="003630BB" w:rsidRPr="009D52FD">
        <w:rPr>
          <w:rFonts w:eastAsia="Calibri" w:cs="Verdana"/>
          <w:sz w:val="20"/>
          <w:szCs w:val="20"/>
          <w:lang w:val="en-US"/>
        </w:rPr>
        <w:t>Judge</w:t>
      </w:r>
      <w:r w:rsidRPr="009D52FD">
        <w:rPr>
          <w:rFonts w:eastAsia="Calibri" w:cs="Verdana"/>
          <w:sz w:val="20"/>
          <w:szCs w:val="20"/>
          <w:lang w:val="en-US"/>
        </w:rPr>
        <w:t>;</w:t>
      </w:r>
    </w:p>
    <w:p w14:paraId="7F38D342" w14:textId="77777777" w:rsidR="00833D5A" w:rsidRPr="009D52FD" w:rsidRDefault="00833D5A" w:rsidP="00833D5A">
      <w:pPr>
        <w:tabs>
          <w:tab w:val="left" w:pos="720"/>
        </w:tabs>
        <w:spacing w:line="240" w:lineRule="auto"/>
        <w:rPr>
          <w:rFonts w:eastAsia="Calibri" w:cs="Verdana"/>
          <w:sz w:val="20"/>
          <w:szCs w:val="20"/>
          <w:lang w:val="en-US"/>
        </w:rPr>
      </w:pPr>
    </w:p>
    <w:p w14:paraId="420D7E97" w14:textId="3B4308F0" w:rsidR="00833D5A" w:rsidRPr="009D52FD" w:rsidRDefault="003630BB" w:rsidP="00833D5A">
      <w:pPr>
        <w:tabs>
          <w:tab w:val="left" w:pos="720"/>
        </w:tabs>
        <w:spacing w:line="240" w:lineRule="auto"/>
        <w:rPr>
          <w:rFonts w:eastAsia="Calibri" w:cs="Verdana"/>
          <w:sz w:val="20"/>
          <w:szCs w:val="20"/>
          <w:lang w:val="en-US"/>
        </w:rPr>
      </w:pPr>
      <w:r w:rsidRPr="009D52FD">
        <w:rPr>
          <w:rFonts w:eastAsia="Calibri" w:cs="Verdana"/>
          <w:sz w:val="20"/>
          <w:szCs w:val="20"/>
          <w:lang w:val="en-US"/>
        </w:rPr>
        <w:t>also present</w:t>
      </w:r>
      <w:r w:rsidR="00833D5A" w:rsidRPr="009D52FD">
        <w:rPr>
          <w:rFonts w:eastAsia="Calibri" w:cs="Verdana"/>
          <w:sz w:val="20"/>
          <w:szCs w:val="20"/>
          <w:lang w:val="en-US"/>
        </w:rPr>
        <w:t>,</w:t>
      </w:r>
    </w:p>
    <w:p w14:paraId="1ABE4B30" w14:textId="77777777" w:rsidR="00833D5A" w:rsidRPr="009D52FD" w:rsidRDefault="00833D5A" w:rsidP="00833D5A">
      <w:pPr>
        <w:tabs>
          <w:tab w:val="left" w:pos="720"/>
        </w:tabs>
        <w:spacing w:line="240" w:lineRule="auto"/>
        <w:rPr>
          <w:rFonts w:eastAsia="Calibri" w:cs="Verdana"/>
          <w:sz w:val="20"/>
          <w:szCs w:val="20"/>
          <w:lang w:val="en-US"/>
        </w:rPr>
      </w:pPr>
    </w:p>
    <w:p w14:paraId="11572C3C" w14:textId="08BC0F4B" w:rsidR="004F53EE" w:rsidRPr="009D52FD" w:rsidRDefault="00833D5A" w:rsidP="004F53EE">
      <w:pPr>
        <w:tabs>
          <w:tab w:val="left" w:pos="720"/>
        </w:tabs>
        <w:spacing w:line="240" w:lineRule="auto"/>
        <w:rPr>
          <w:rFonts w:eastAsia="Calibri" w:cs="Verdana"/>
          <w:sz w:val="20"/>
          <w:szCs w:val="20"/>
          <w:lang w:val="en-US"/>
        </w:rPr>
      </w:pPr>
      <w:r w:rsidRPr="009D52FD">
        <w:rPr>
          <w:rFonts w:eastAsia="Calibri" w:cs="Verdana"/>
          <w:sz w:val="20"/>
          <w:szCs w:val="20"/>
          <w:lang w:val="en-US"/>
        </w:rPr>
        <w:t xml:space="preserve">Pablo Saavedra Alessandri, </w:t>
      </w:r>
      <w:r w:rsidR="003630BB" w:rsidRPr="009D52FD">
        <w:rPr>
          <w:rFonts w:eastAsia="Calibri" w:cs="Verdana"/>
          <w:sz w:val="20"/>
          <w:szCs w:val="20"/>
          <w:lang w:val="en-US"/>
        </w:rPr>
        <w:t>Secretary</w:t>
      </w:r>
      <w:r w:rsidRPr="009D52FD">
        <w:rPr>
          <w:rFonts w:eastAsia="Calibri" w:cs="Verdana"/>
          <w:sz w:val="20"/>
          <w:szCs w:val="20"/>
          <w:lang w:val="en-US"/>
        </w:rPr>
        <w:t>,</w:t>
      </w:r>
      <w:r w:rsidR="004F53EE" w:rsidRPr="009D52FD">
        <w:rPr>
          <w:rFonts w:eastAsia="Calibri" w:cs="Verdana"/>
          <w:sz w:val="20"/>
          <w:szCs w:val="20"/>
          <w:lang w:val="en-US"/>
        </w:rPr>
        <w:t xml:space="preserve"> </w:t>
      </w:r>
      <w:r w:rsidR="003630BB" w:rsidRPr="009D52FD">
        <w:rPr>
          <w:rFonts w:eastAsia="Calibri" w:cs="Verdana"/>
          <w:sz w:val="20"/>
          <w:szCs w:val="20"/>
          <w:lang w:val="en-US"/>
        </w:rPr>
        <w:t>and</w:t>
      </w:r>
    </w:p>
    <w:p w14:paraId="5848AB53" w14:textId="782B367E" w:rsidR="00833D5A" w:rsidRPr="009D52FD" w:rsidRDefault="004F53EE" w:rsidP="004F53EE">
      <w:pPr>
        <w:tabs>
          <w:tab w:val="left" w:pos="720"/>
        </w:tabs>
        <w:spacing w:line="240" w:lineRule="auto"/>
        <w:rPr>
          <w:rFonts w:eastAsia="Calibri" w:cs="Verdana"/>
          <w:sz w:val="20"/>
          <w:szCs w:val="20"/>
          <w:lang w:val="en-US"/>
        </w:rPr>
      </w:pPr>
      <w:r w:rsidRPr="009D52FD">
        <w:rPr>
          <w:rFonts w:eastAsia="Calibri" w:cs="Verdana"/>
          <w:sz w:val="20"/>
          <w:szCs w:val="20"/>
          <w:lang w:val="en-US"/>
        </w:rPr>
        <w:t xml:space="preserve">Emilia Segares Rodríguez, </w:t>
      </w:r>
      <w:r w:rsidR="003630BB" w:rsidRPr="009D52FD">
        <w:rPr>
          <w:rFonts w:eastAsia="Calibri" w:cs="Verdana"/>
          <w:sz w:val="20"/>
          <w:szCs w:val="20"/>
          <w:lang w:val="en-US"/>
        </w:rPr>
        <w:t>Deputy Secretary</w:t>
      </w:r>
      <w:r w:rsidRPr="009D52FD">
        <w:rPr>
          <w:rFonts w:eastAsia="Calibri" w:cs="Verdana"/>
          <w:sz w:val="20"/>
          <w:szCs w:val="20"/>
          <w:lang w:val="en-US"/>
        </w:rPr>
        <w:t>,</w:t>
      </w:r>
    </w:p>
    <w:p w14:paraId="76E16B76" w14:textId="77777777" w:rsidR="00833D5A" w:rsidRPr="009D52FD" w:rsidRDefault="00833D5A" w:rsidP="00833D5A">
      <w:pPr>
        <w:tabs>
          <w:tab w:val="left" w:pos="720"/>
        </w:tabs>
        <w:spacing w:line="240" w:lineRule="auto"/>
        <w:rPr>
          <w:rFonts w:eastAsia="Calibri" w:cs="Verdana"/>
          <w:sz w:val="20"/>
          <w:szCs w:val="20"/>
          <w:lang w:val="en-US"/>
        </w:rPr>
      </w:pPr>
    </w:p>
    <w:p w14:paraId="40E485AE" w14:textId="6DFC5B08" w:rsidR="00833D5A" w:rsidRPr="009D52FD" w:rsidRDefault="00DD2E76" w:rsidP="00833D5A">
      <w:pPr>
        <w:tabs>
          <w:tab w:val="left" w:pos="720"/>
        </w:tabs>
        <w:spacing w:line="240" w:lineRule="auto"/>
        <w:rPr>
          <w:rFonts w:eastAsia="Calibri" w:cs="Verdana"/>
          <w:sz w:val="20"/>
          <w:szCs w:val="20"/>
          <w:lang w:val="en-US"/>
        </w:rPr>
      </w:pPr>
      <w:r w:rsidRPr="009D52FD">
        <w:rPr>
          <w:rFonts w:eastAsia="Calibri" w:cs="Verdana"/>
          <w:sz w:val="20"/>
          <w:szCs w:val="20"/>
          <w:lang w:val="en-US"/>
        </w:rPr>
        <w:t>p</w:t>
      </w:r>
      <w:r w:rsidR="003630BB" w:rsidRPr="009D52FD">
        <w:rPr>
          <w:rFonts w:eastAsia="Calibri" w:cs="Verdana"/>
          <w:sz w:val="20"/>
          <w:szCs w:val="20"/>
          <w:lang w:val="en-US"/>
        </w:rPr>
        <w:t>ursuant to</w:t>
      </w:r>
      <w:r w:rsidR="00833D5A" w:rsidRPr="009D52FD">
        <w:rPr>
          <w:rFonts w:eastAsia="Calibri" w:cs="Verdana"/>
          <w:sz w:val="20"/>
          <w:szCs w:val="20"/>
          <w:lang w:val="en-US"/>
        </w:rPr>
        <w:t xml:space="preserve"> </w:t>
      </w:r>
      <w:r w:rsidR="003630BB" w:rsidRPr="009D52FD">
        <w:rPr>
          <w:rFonts w:eastAsia="Calibri" w:cs="Verdana"/>
          <w:sz w:val="20"/>
          <w:szCs w:val="20"/>
          <w:lang w:val="en-US"/>
        </w:rPr>
        <w:t>Articles</w:t>
      </w:r>
      <w:r w:rsidR="00833D5A" w:rsidRPr="009D52FD">
        <w:rPr>
          <w:rFonts w:eastAsia="Calibri" w:cs="Verdana"/>
          <w:sz w:val="20"/>
          <w:szCs w:val="20"/>
          <w:lang w:val="en-US"/>
        </w:rPr>
        <w:t xml:space="preserve"> 62</w:t>
      </w:r>
      <w:r w:rsidR="003630BB" w:rsidRPr="009D52FD">
        <w:rPr>
          <w:rFonts w:eastAsia="Calibri" w:cs="Verdana"/>
          <w:sz w:val="20"/>
          <w:szCs w:val="20"/>
          <w:lang w:val="en-US"/>
        </w:rPr>
        <w:t>(</w:t>
      </w:r>
      <w:r w:rsidR="00833D5A" w:rsidRPr="009D52FD">
        <w:rPr>
          <w:rFonts w:eastAsia="Calibri" w:cs="Verdana"/>
          <w:sz w:val="20"/>
          <w:szCs w:val="20"/>
          <w:lang w:val="en-US"/>
        </w:rPr>
        <w:t>3</w:t>
      </w:r>
      <w:r w:rsidR="003630BB" w:rsidRPr="009D52FD">
        <w:rPr>
          <w:rFonts w:eastAsia="Calibri" w:cs="Verdana"/>
          <w:sz w:val="20"/>
          <w:szCs w:val="20"/>
          <w:lang w:val="en-US"/>
        </w:rPr>
        <w:t xml:space="preserve">) and </w:t>
      </w:r>
      <w:r w:rsidR="00833D5A" w:rsidRPr="009D52FD">
        <w:rPr>
          <w:rFonts w:eastAsia="Calibri" w:cs="Verdana"/>
          <w:sz w:val="20"/>
          <w:szCs w:val="20"/>
          <w:lang w:val="en-US"/>
        </w:rPr>
        <w:t>63</w:t>
      </w:r>
      <w:r w:rsidR="003630BB" w:rsidRPr="009D52FD">
        <w:rPr>
          <w:rFonts w:eastAsia="Calibri" w:cs="Verdana"/>
          <w:sz w:val="20"/>
          <w:szCs w:val="20"/>
          <w:lang w:val="en-US"/>
        </w:rPr>
        <w:t>(</w:t>
      </w:r>
      <w:r w:rsidR="00833D5A" w:rsidRPr="009D52FD">
        <w:rPr>
          <w:rFonts w:eastAsia="Calibri" w:cs="Verdana"/>
          <w:sz w:val="20"/>
          <w:szCs w:val="20"/>
          <w:lang w:val="en-US"/>
        </w:rPr>
        <w:t>1</w:t>
      </w:r>
      <w:r w:rsidR="003630BB" w:rsidRPr="009D52FD">
        <w:rPr>
          <w:rFonts w:eastAsia="Calibri" w:cs="Verdana"/>
          <w:sz w:val="20"/>
          <w:szCs w:val="20"/>
          <w:lang w:val="en-US"/>
        </w:rPr>
        <w:t>) of the American Convention on Human Rights</w:t>
      </w:r>
      <w:r w:rsidR="00833D5A" w:rsidRPr="009D52FD">
        <w:rPr>
          <w:rFonts w:eastAsia="Calibri" w:cs="Verdana"/>
          <w:sz w:val="20"/>
          <w:szCs w:val="20"/>
          <w:lang w:val="en-US"/>
        </w:rPr>
        <w:t xml:space="preserve"> (</w:t>
      </w:r>
      <w:r w:rsidR="003630BB" w:rsidRPr="009D52FD">
        <w:rPr>
          <w:rFonts w:eastAsia="Calibri" w:cs="Verdana"/>
          <w:sz w:val="20"/>
          <w:szCs w:val="20"/>
          <w:lang w:val="en-US"/>
        </w:rPr>
        <w:t>hereinafter</w:t>
      </w:r>
      <w:r w:rsidR="00833D5A" w:rsidRPr="009D52FD">
        <w:rPr>
          <w:rFonts w:eastAsia="Calibri" w:cs="Verdana"/>
          <w:sz w:val="20"/>
          <w:szCs w:val="20"/>
          <w:lang w:val="en-US"/>
        </w:rPr>
        <w:t xml:space="preserve"> “</w:t>
      </w:r>
      <w:r w:rsidR="003630BB" w:rsidRPr="009D52FD">
        <w:rPr>
          <w:rFonts w:eastAsia="Calibri" w:cs="Verdana"/>
          <w:sz w:val="20"/>
          <w:szCs w:val="20"/>
          <w:lang w:val="en-US"/>
        </w:rPr>
        <w:t>the American Convention</w:t>
      </w:r>
      <w:r w:rsidR="00833D5A" w:rsidRPr="009D52FD">
        <w:rPr>
          <w:rFonts w:eastAsia="Calibri" w:cs="Verdana"/>
          <w:sz w:val="20"/>
          <w:szCs w:val="20"/>
          <w:lang w:val="en-US"/>
        </w:rPr>
        <w:t>” o</w:t>
      </w:r>
      <w:r w:rsidR="003630BB" w:rsidRPr="009D52FD">
        <w:rPr>
          <w:rFonts w:eastAsia="Calibri" w:cs="Verdana"/>
          <w:sz w:val="20"/>
          <w:szCs w:val="20"/>
          <w:lang w:val="en-US"/>
        </w:rPr>
        <w:t>r</w:t>
      </w:r>
      <w:r w:rsidR="00833D5A" w:rsidRPr="009D52FD">
        <w:rPr>
          <w:rFonts w:eastAsia="Calibri" w:cs="Verdana"/>
          <w:sz w:val="20"/>
          <w:szCs w:val="20"/>
          <w:lang w:val="en-US"/>
        </w:rPr>
        <w:t xml:space="preserve"> “</w:t>
      </w:r>
      <w:r w:rsidR="003630BB" w:rsidRPr="009D52FD">
        <w:rPr>
          <w:rFonts w:eastAsia="Calibri" w:cs="Verdana"/>
          <w:sz w:val="20"/>
          <w:szCs w:val="20"/>
          <w:lang w:val="en-US"/>
        </w:rPr>
        <w:t>the Convention</w:t>
      </w:r>
      <w:r w:rsidR="00833D5A" w:rsidRPr="009D52FD">
        <w:rPr>
          <w:rFonts w:eastAsia="Calibri" w:cs="Verdana"/>
          <w:sz w:val="20"/>
          <w:szCs w:val="20"/>
          <w:lang w:val="en-US"/>
        </w:rPr>
        <w:t>”)</w:t>
      </w:r>
      <w:r w:rsidR="003630BB" w:rsidRPr="009D52FD">
        <w:rPr>
          <w:rFonts w:eastAsia="Calibri" w:cs="Verdana"/>
          <w:sz w:val="20"/>
          <w:szCs w:val="20"/>
          <w:lang w:val="en-US"/>
        </w:rPr>
        <w:t xml:space="preserve"> and</w:t>
      </w:r>
      <w:r w:rsidR="00833D5A" w:rsidRPr="009D52FD">
        <w:rPr>
          <w:rFonts w:eastAsia="Calibri" w:cs="Verdana"/>
          <w:sz w:val="20"/>
          <w:szCs w:val="20"/>
          <w:lang w:val="en-US"/>
        </w:rPr>
        <w:t xml:space="preserve"> </w:t>
      </w:r>
      <w:r w:rsidR="003630BB" w:rsidRPr="009D52FD">
        <w:rPr>
          <w:rFonts w:eastAsia="Calibri" w:cs="Verdana"/>
          <w:sz w:val="20"/>
          <w:szCs w:val="20"/>
          <w:lang w:val="en-US"/>
        </w:rPr>
        <w:t>Articles</w:t>
      </w:r>
      <w:r w:rsidR="00833D5A" w:rsidRPr="009D52FD">
        <w:rPr>
          <w:rFonts w:eastAsia="Calibri" w:cs="Verdana"/>
          <w:sz w:val="20"/>
          <w:szCs w:val="20"/>
          <w:lang w:val="en-US"/>
        </w:rPr>
        <w:t xml:space="preserve"> 31, 32, 62, 65</w:t>
      </w:r>
      <w:r w:rsidR="003630BB" w:rsidRPr="009D52FD">
        <w:rPr>
          <w:rFonts w:eastAsia="Calibri" w:cs="Verdana"/>
          <w:sz w:val="20"/>
          <w:szCs w:val="20"/>
          <w:lang w:val="en-US"/>
        </w:rPr>
        <w:t xml:space="preserve"> and </w:t>
      </w:r>
      <w:r w:rsidR="00833D5A" w:rsidRPr="009D52FD">
        <w:rPr>
          <w:rFonts w:eastAsia="Calibri" w:cs="Verdana"/>
          <w:sz w:val="20"/>
          <w:szCs w:val="20"/>
          <w:lang w:val="en-US"/>
        </w:rPr>
        <w:t>67</w:t>
      </w:r>
      <w:r w:rsidR="003630BB" w:rsidRPr="009D52FD">
        <w:rPr>
          <w:rFonts w:eastAsia="Calibri" w:cs="Verdana"/>
          <w:sz w:val="20"/>
          <w:szCs w:val="20"/>
          <w:lang w:val="en-US"/>
        </w:rPr>
        <w:t xml:space="preserve"> of the Rules of Procedure of the Court</w:t>
      </w:r>
      <w:r w:rsidR="00833D5A" w:rsidRPr="009D52FD">
        <w:rPr>
          <w:rFonts w:eastAsia="Calibri" w:cs="Verdana"/>
          <w:sz w:val="20"/>
          <w:szCs w:val="20"/>
          <w:lang w:val="en-US"/>
        </w:rPr>
        <w:t xml:space="preserve"> (</w:t>
      </w:r>
      <w:r w:rsidR="003630BB" w:rsidRPr="009D52FD">
        <w:rPr>
          <w:rFonts w:eastAsia="Calibri" w:cs="Verdana"/>
          <w:sz w:val="20"/>
          <w:szCs w:val="20"/>
          <w:lang w:val="en-US"/>
        </w:rPr>
        <w:t>hereinafter</w:t>
      </w:r>
      <w:r w:rsidR="00833D5A" w:rsidRPr="009D52FD">
        <w:rPr>
          <w:rFonts w:eastAsia="Calibri" w:cs="Verdana"/>
          <w:sz w:val="20"/>
          <w:szCs w:val="20"/>
          <w:lang w:val="en-US"/>
        </w:rPr>
        <w:t xml:space="preserve"> “</w:t>
      </w:r>
      <w:r w:rsidR="003630BB" w:rsidRPr="009D52FD">
        <w:rPr>
          <w:rFonts w:eastAsia="Calibri" w:cs="Verdana"/>
          <w:sz w:val="20"/>
          <w:szCs w:val="20"/>
          <w:lang w:val="en-US"/>
        </w:rPr>
        <w:t>the Rules of Procedure</w:t>
      </w:r>
      <w:r w:rsidR="00833D5A" w:rsidRPr="009D52FD">
        <w:rPr>
          <w:rFonts w:eastAsia="Calibri" w:cs="Verdana"/>
          <w:sz w:val="20"/>
          <w:szCs w:val="20"/>
          <w:lang w:val="en-US"/>
        </w:rPr>
        <w:t>” o</w:t>
      </w:r>
      <w:r w:rsidR="003630BB" w:rsidRPr="009D52FD">
        <w:rPr>
          <w:rFonts w:eastAsia="Calibri" w:cs="Verdana"/>
          <w:sz w:val="20"/>
          <w:szCs w:val="20"/>
          <w:lang w:val="en-US"/>
        </w:rPr>
        <w:t>r</w:t>
      </w:r>
      <w:r w:rsidR="00833D5A" w:rsidRPr="009D52FD">
        <w:rPr>
          <w:rFonts w:eastAsia="Calibri" w:cs="Verdana"/>
          <w:sz w:val="20"/>
          <w:szCs w:val="20"/>
          <w:lang w:val="en-US"/>
        </w:rPr>
        <w:t xml:space="preserve"> “</w:t>
      </w:r>
      <w:r w:rsidR="003630BB" w:rsidRPr="009D52FD">
        <w:rPr>
          <w:rFonts w:eastAsia="Calibri" w:cs="Verdana"/>
          <w:sz w:val="20"/>
          <w:szCs w:val="20"/>
          <w:lang w:val="en-US"/>
        </w:rPr>
        <w:t>the Court’s Rules of Procedure</w:t>
      </w:r>
      <w:r w:rsidR="00833D5A" w:rsidRPr="009D52FD">
        <w:rPr>
          <w:rFonts w:eastAsia="Calibri" w:cs="Verdana"/>
          <w:sz w:val="20"/>
          <w:szCs w:val="20"/>
          <w:lang w:val="en-US"/>
        </w:rPr>
        <w:t xml:space="preserve">”), </w:t>
      </w:r>
      <w:r w:rsidR="003630BB" w:rsidRPr="009D52FD">
        <w:rPr>
          <w:rFonts w:eastAsia="Calibri" w:cs="Verdana"/>
          <w:sz w:val="20"/>
          <w:szCs w:val="20"/>
          <w:lang w:val="en-US"/>
        </w:rPr>
        <w:t>delivers this judgment, structured as follows:</w:t>
      </w:r>
    </w:p>
    <w:p w14:paraId="19E928C6" w14:textId="77777777" w:rsidR="00833D5A" w:rsidRPr="009D52FD" w:rsidRDefault="00833D5A" w:rsidP="00637174">
      <w:pPr>
        <w:spacing w:before="4" w:line="280" w:lineRule="exact"/>
        <w:rPr>
          <w:rFonts w:eastAsia="Calibri"/>
          <w:sz w:val="20"/>
          <w:szCs w:val="20"/>
          <w:lang w:val="en-US"/>
        </w:rPr>
      </w:pPr>
    </w:p>
    <w:p w14:paraId="20CDEF20" w14:textId="77777777" w:rsidR="00833D5A" w:rsidRPr="009D52FD" w:rsidRDefault="00833D5A" w:rsidP="00637174">
      <w:pPr>
        <w:spacing w:before="4" w:line="280" w:lineRule="exact"/>
        <w:rPr>
          <w:rFonts w:eastAsia="Calibri"/>
          <w:sz w:val="20"/>
          <w:szCs w:val="20"/>
          <w:lang w:val="en-US"/>
        </w:rPr>
      </w:pPr>
    </w:p>
    <w:p w14:paraId="175B6523" w14:textId="77777777" w:rsidR="00833D5A" w:rsidRPr="009D52FD" w:rsidRDefault="00833D5A" w:rsidP="00833D5A">
      <w:pPr>
        <w:rPr>
          <w:rFonts w:eastAsia="Verdana" w:cs="Verdana"/>
          <w:position w:val="-1"/>
          <w:sz w:val="20"/>
          <w:szCs w:val="20"/>
          <w:lang w:val="en-US"/>
        </w:rPr>
      </w:pPr>
      <w:r w:rsidRPr="009D52FD">
        <w:rPr>
          <w:rFonts w:eastAsia="Verdana" w:cs="Verdana"/>
          <w:position w:val="-1"/>
          <w:sz w:val="20"/>
          <w:szCs w:val="20"/>
          <w:lang w:val="en-US"/>
        </w:rPr>
        <w:br w:type="page"/>
      </w:r>
    </w:p>
    <w:sdt>
      <w:sdtPr>
        <w:rPr>
          <w:rFonts w:ascii="Verdana" w:eastAsia="Times New Roman" w:hAnsi="Verdana" w:cs="Times New Roman"/>
          <w:b w:val="0"/>
          <w:bCs w:val="0"/>
          <w:color w:val="auto"/>
          <w:sz w:val="16"/>
          <w:szCs w:val="16"/>
          <w:lang w:eastAsia="es-CR"/>
        </w:rPr>
        <w:id w:val="740213592"/>
        <w:docPartObj>
          <w:docPartGallery w:val="Table of Contents"/>
          <w:docPartUnique/>
        </w:docPartObj>
      </w:sdtPr>
      <w:sdtContent>
        <w:p w14:paraId="2843A045" w14:textId="28F51963" w:rsidR="00731D3E" w:rsidRPr="0044397E" w:rsidRDefault="003630BB" w:rsidP="003630BB">
          <w:pPr>
            <w:pStyle w:val="TOCHeading"/>
            <w:spacing w:before="0" w:after="60" w:line="240" w:lineRule="auto"/>
            <w:jc w:val="center"/>
            <w:rPr>
              <w:rFonts w:ascii="Verdana" w:hAnsi="Verdana"/>
              <w:color w:val="auto"/>
              <w:sz w:val="16"/>
              <w:szCs w:val="16"/>
            </w:rPr>
          </w:pPr>
          <w:r w:rsidRPr="0044397E">
            <w:rPr>
              <w:rFonts w:ascii="Verdana" w:hAnsi="Verdana"/>
              <w:color w:val="auto"/>
              <w:sz w:val="16"/>
              <w:szCs w:val="16"/>
            </w:rPr>
            <w:t>TABLE OF CONTENTS</w:t>
          </w:r>
        </w:p>
        <w:p w14:paraId="14E49EE4" w14:textId="4D91A5B9" w:rsidR="009D52FD" w:rsidRPr="0044397E" w:rsidRDefault="00731D3E" w:rsidP="0044397E">
          <w:pPr>
            <w:pStyle w:val="TOC1"/>
            <w:spacing w:line="240" w:lineRule="auto"/>
            <w:rPr>
              <w:rFonts w:eastAsiaTheme="minorEastAsia" w:cstheme="minorBidi"/>
              <w:noProof/>
              <w:sz w:val="16"/>
              <w:szCs w:val="16"/>
              <w:lang w:val="en-US" w:eastAsia="en-US"/>
            </w:rPr>
          </w:pPr>
          <w:r w:rsidRPr="0044397E">
            <w:rPr>
              <w:sz w:val="16"/>
              <w:szCs w:val="16"/>
              <w:lang w:val="en-US"/>
            </w:rPr>
            <w:fldChar w:fldCharType="begin"/>
          </w:r>
          <w:r w:rsidRPr="0044397E">
            <w:rPr>
              <w:sz w:val="16"/>
              <w:szCs w:val="16"/>
              <w:lang w:val="en-US"/>
            </w:rPr>
            <w:instrText xml:space="preserve"> TOC \o "1-3" \h \z \u </w:instrText>
          </w:r>
          <w:r w:rsidRPr="0044397E">
            <w:rPr>
              <w:sz w:val="16"/>
              <w:szCs w:val="16"/>
              <w:lang w:val="en-US"/>
            </w:rPr>
            <w:fldChar w:fldCharType="separate"/>
          </w:r>
          <w:hyperlink w:anchor="_Toc51400060" w:history="1">
            <w:r w:rsidR="009D52FD" w:rsidRPr="0044397E">
              <w:rPr>
                <w:rStyle w:val="Hyperlink"/>
                <w:rFonts w:cs="Verdana"/>
                <w:b/>
                <w:bCs/>
                <w:caps/>
                <w:noProof/>
                <w:snapToGrid w:val="0"/>
                <w:sz w:val="16"/>
                <w:szCs w:val="16"/>
                <w:lang w:val="en-US"/>
              </w:rPr>
              <w:t>I</w:t>
            </w:r>
            <w:r w:rsidR="009D52FD" w:rsidRPr="0044397E">
              <w:rPr>
                <w:rStyle w:val="Hyperlink"/>
                <w:rFonts w:cs="Arial"/>
                <w:b/>
                <w:bCs/>
                <w:caps/>
                <w:noProof/>
                <w:kern w:val="2"/>
                <w:sz w:val="16"/>
                <w:szCs w:val="16"/>
                <w:lang w:val="en-US" w:eastAsia="en-US"/>
              </w:rPr>
              <w:t xml:space="preserve"> </w:t>
            </w:r>
            <w:r w:rsidR="009D52FD" w:rsidRPr="0044397E">
              <w:rPr>
                <w:rStyle w:val="Hyperlink"/>
                <w:rFonts w:cs="Verdana"/>
                <w:b/>
                <w:bCs/>
                <w:caps/>
                <w:noProof/>
                <w:snapToGrid w:val="0"/>
                <w:sz w:val="16"/>
                <w:szCs w:val="16"/>
                <w:lang w:val="en-US"/>
              </w:rPr>
              <w:t>INTRODUCTION OF THE CASE AND PURPOSE OF THE DISPUTE</w:t>
            </w:r>
            <w:r w:rsidR="009D52FD" w:rsidRPr="0044397E">
              <w:rPr>
                <w:noProof/>
                <w:webHidden/>
                <w:sz w:val="16"/>
                <w:szCs w:val="16"/>
              </w:rPr>
              <w:tab/>
            </w:r>
            <w:r w:rsidR="009D52FD" w:rsidRPr="0044397E">
              <w:rPr>
                <w:noProof/>
                <w:webHidden/>
                <w:sz w:val="16"/>
                <w:szCs w:val="16"/>
              </w:rPr>
              <w:fldChar w:fldCharType="begin"/>
            </w:r>
            <w:r w:rsidR="009D52FD" w:rsidRPr="0044397E">
              <w:rPr>
                <w:noProof/>
                <w:webHidden/>
                <w:sz w:val="16"/>
                <w:szCs w:val="16"/>
              </w:rPr>
              <w:instrText xml:space="preserve"> PAGEREF _Toc51400060 \h </w:instrText>
            </w:r>
            <w:r w:rsidR="009D52FD" w:rsidRPr="0044397E">
              <w:rPr>
                <w:noProof/>
                <w:webHidden/>
                <w:sz w:val="16"/>
                <w:szCs w:val="16"/>
              </w:rPr>
            </w:r>
            <w:r w:rsidR="009D52FD" w:rsidRPr="0044397E">
              <w:rPr>
                <w:noProof/>
                <w:webHidden/>
                <w:sz w:val="16"/>
                <w:szCs w:val="16"/>
              </w:rPr>
              <w:fldChar w:fldCharType="separate"/>
            </w:r>
            <w:r w:rsidR="000E45D1">
              <w:rPr>
                <w:noProof/>
                <w:webHidden/>
                <w:sz w:val="16"/>
                <w:szCs w:val="16"/>
              </w:rPr>
              <w:t>4</w:t>
            </w:r>
            <w:r w:rsidR="009D52FD" w:rsidRPr="0044397E">
              <w:rPr>
                <w:noProof/>
                <w:webHidden/>
                <w:sz w:val="16"/>
                <w:szCs w:val="16"/>
              </w:rPr>
              <w:fldChar w:fldCharType="end"/>
            </w:r>
          </w:hyperlink>
        </w:p>
        <w:p w14:paraId="21B04D86" w14:textId="075C56F3" w:rsidR="009D52FD" w:rsidRPr="0044397E" w:rsidRDefault="009D52FD" w:rsidP="0044397E">
          <w:pPr>
            <w:pStyle w:val="TOC1"/>
            <w:spacing w:line="240" w:lineRule="auto"/>
            <w:rPr>
              <w:rFonts w:eastAsiaTheme="minorEastAsia" w:cstheme="minorBidi"/>
              <w:noProof/>
              <w:sz w:val="16"/>
              <w:szCs w:val="16"/>
              <w:lang w:val="en-US" w:eastAsia="en-US"/>
            </w:rPr>
          </w:pPr>
          <w:hyperlink w:anchor="_Toc51400061" w:history="1">
            <w:r w:rsidRPr="0044397E">
              <w:rPr>
                <w:rStyle w:val="Hyperlink"/>
                <w:rFonts w:cs="Verdana"/>
                <w:b/>
                <w:bCs/>
                <w:caps/>
                <w:noProof/>
                <w:snapToGrid w:val="0"/>
                <w:sz w:val="16"/>
                <w:szCs w:val="16"/>
                <w:lang w:val="en-US"/>
              </w:rPr>
              <w:t>II PROCEEDINGS BEFORE THE COURT</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_Toc51400061 \h </w:instrText>
            </w:r>
            <w:r w:rsidRPr="0044397E">
              <w:rPr>
                <w:noProof/>
                <w:webHidden/>
                <w:sz w:val="16"/>
                <w:szCs w:val="16"/>
              </w:rPr>
            </w:r>
            <w:r w:rsidRPr="0044397E">
              <w:rPr>
                <w:noProof/>
                <w:webHidden/>
                <w:sz w:val="16"/>
                <w:szCs w:val="16"/>
              </w:rPr>
              <w:fldChar w:fldCharType="separate"/>
            </w:r>
            <w:r w:rsidR="000E45D1">
              <w:rPr>
                <w:noProof/>
                <w:webHidden/>
                <w:sz w:val="16"/>
                <w:szCs w:val="16"/>
              </w:rPr>
              <w:t>6</w:t>
            </w:r>
            <w:r w:rsidRPr="0044397E">
              <w:rPr>
                <w:noProof/>
                <w:webHidden/>
                <w:sz w:val="16"/>
                <w:szCs w:val="16"/>
              </w:rPr>
              <w:fldChar w:fldCharType="end"/>
            </w:r>
          </w:hyperlink>
        </w:p>
        <w:p w14:paraId="039AC61B" w14:textId="63B44821" w:rsidR="009D52FD" w:rsidRPr="0044397E" w:rsidRDefault="009D52FD" w:rsidP="0044397E">
          <w:pPr>
            <w:pStyle w:val="TOC1"/>
            <w:spacing w:line="240" w:lineRule="auto"/>
            <w:rPr>
              <w:rFonts w:eastAsiaTheme="minorEastAsia" w:cstheme="minorBidi"/>
              <w:noProof/>
              <w:sz w:val="16"/>
              <w:szCs w:val="16"/>
              <w:lang w:val="en-US" w:eastAsia="en-US"/>
            </w:rPr>
          </w:pPr>
          <w:hyperlink w:anchor="_Toc51400062" w:history="1">
            <w:r w:rsidRPr="0044397E">
              <w:rPr>
                <w:rStyle w:val="Hyperlink"/>
                <w:rFonts w:cs="Verdana"/>
                <w:b/>
                <w:bCs/>
                <w:caps/>
                <w:noProof/>
                <w:snapToGrid w:val="0"/>
                <w:sz w:val="16"/>
                <w:szCs w:val="16"/>
                <w:lang w:val="en-US"/>
              </w:rPr>
              <w:t>III JURISDICTION</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_Toc51400062 \h </w:instrText>
            </w:r>
            <w:r w:rsidRPr="0044397E">
              <w:rPr>
                <w:noProof/>
                <w:webHidden/>
                <w:sz w:val="16"/>
                <w:szCs w:val="16"/>
              </w:rPr>
            </w:r>
            <w:r w:rsidRPr="0044397E">
              <w:rPr>
                <w:noProof/>
                <w:webHidden/>
                <w:sz w:val="16"/>
                <w:szCs w:val="16"/>
              </w:rPr>
              <w:fldChar w:fldCharType="separate"/>
            </w:r>
            <w:r w:rsidR="000E45D1">
              <w:rPr>
                <w:noProof/>
                <w:webHidden/>
                <w:sz w:val="16"/>
                <w:szCs w:val="16"/>
              </w:rPr>
              <w:t>8</w:t>
            </w:r>
            <w:r w:rsidRPr="0044397E">
              <w:rPr>
                <w:noProof/>
                <w:webHidden/>
                <w:sz w:val="16"/>
                <w:szCs w:val="16"/>
              </w:rPr>
              <w:fldChar w:fldCharType="end"/>
            </w:r>
          </w:hyperlink>
        </w:p>
        <w:p w14:paraId="63AEA4AA" w14:textId="2F31D569" w:rsidR="009D52FD" w:rsidRPr="0044397E" w:rsidRDefault="009D52FD" w:rsidP="0044397E">
          <w:pPr>
            <w:pStyle w:val="TOC1"/>
            <w:spacing w:line="240" w:lineRule="auto"/>
            <w:rPr>
              <w:rFonts w:eastAsiaTheme="minorEastAsia" w:cstheme="minorBidi"/>
              <w:noProof/>
              <w:sz w:val="16"/>
              <w:szCs w:val="16"/>
              <w:lang w:val="en-US" w:eastAsia="en-US"/>
            </w:rPr>
          </w:pPr>
          <w:hyperlink w:anchor="_Toc51400063" w:history="1">
            <w:r w:rsidRPr="0044397E">
              <w:rPr>
                <w:rStyle w:val="Hyperlink"/>
                <w:rFonts w:cs="Verdana"/>
                <w:b/>
                <w:bCs/>
                <w:caps/>
                <w:noProof/>
                <w:snapToGrid w:val="0"/>
                <w:sz w:val="16"/>
                <w:szCs w:val="16"/>
                <w:lang w:val="en-US"/>
              </w:rPr>
              <w:t>IV ACKNOWLEDGEMENT OF STATE RESPONSIBILITY</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_Toc51400063 \h </w:instrText>
            </w:r>
            <w:r w:rsidRPr="0044397E">
              <w:rPr>
                <w:noProof/>
                <w:webHidden/>
                <w:sz w:val="16"/>
                <w:szCs w:val="16"/>
              </w:rPr>
            </w:r>
            <w:r w:rsidRPr="0044397E">
              <w:rPr>
                <w:noProof/>
                <w:webHidden/>
                <w:sz w:val="16"/>
                <w:szCs w:val="16"/>
              </w:rPr>
              <w:fldChar w:fldCharType="separate"/>
            </w:r>
            <w:r w:rsidR="000E45D1">
              <w:rPr>
                <w:noProof/>
                <w:webHidden/>
                <w:sz w:val="16"/>
                <w:szCs w:val="16"/>
              </w:rPr>
              <w:t>8</w:t>
            </w:r>
            <w:r w:rsidRPr="0044397E">
              <w:rPr>
                <w:noProof/>
                <w:webHidden/>
                <w:sz w:val="16"/>
                <w:szCs w:val="16"/>
              </w:rPr>
              <w:fldChar w:fldCharType="end"/>
            </w:r>
          </w:hyperlink>
        </w:p>
        <w:p w14:paraId="3DF00A10" w14:textId="76BAABB7" w:rsidR="009D52FD" w:rsidRPr="0044397E" w:rsidRDefault="009D52FD" w:rsidP="0044397E">
          <w:pPr>
            <w:pStyle w:val="TOC2"/>
            <w:rPr>
              <w:rFonts w:eastAsiaTheme="minorEastAsia" w:cstheme="minorBidi"/>
              <w:noProof/>
              <w:sz w:val="16"/>
              <w:szCs w:val="16"/>
              <w:lang w:val="en-US" w:eastAsia="en-US"/>
            </w:rPr>
          </w:pPr>
          <w:hyperlink w:anchor="_Toc51400064" w:history="1">
            <w:r w:rsidRPr="0044397E">
              <w:rPr>
                <w:rStyle w:val="Hyperlink"/>
                <w:rFonts w:eastAsia="MS Mincho"/>
                <w:b/>
                <w:bCs/>
                <w:i/>
                <w:noProof/>
                <w:sz w:val="16"/>
                <w:szCs w:val="16"/>
                <w:lang w:val="en-US"/>
              </w:rPr>
              <w:t>A.</w:t>
            </w:r>
            <w:r w:rsidRPr="0044397E">
              <w:rPr>
                <w:rFonts w:eastAsiaTheme="minorEastAsia" w:cstheme="minorBidi"/>
                <w:noProof/>
                <w:sz w:val="16"/>
                <w:szCs w:val="16"/>
                <w:lang w:val="en-US" w:eastAsia="en-US"/>
              </w:rPr>
              <w:tab/>
            </w:r>
            <w:r w:rsidRPr="0044397E">
              <w:rPr>
                <w:rStyle w:val="Hyperlink"/>
                <w:rFonts w:eastAsia="MS Mincho"/>
                <w:b/>
                <w:bCs/>
                <w:i/>
                <w:noProof/>
                <w:sz w:val="16"/>
                <w:szCs w:val="16"/>
                <w:lang w:val="en-US"/>
              </w:rPr>
              <w:t>The State’s acknowledgement of responsibility and observations of the Commission and the representatives</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_Toc51400064 \h </w:instrText>
            </w:r>
            <w:r w:rsidRPr="0044397E">
              <w:rPr>
                <w:noProof/>
                <w:webHidden/>
                <w:sz w:val="16"/>
                <w:szCs w:val="16"/>
              </w:rPr>
            </w:r>
            <w:r w:rsidRPr="0044397E">
              <w:rPr>
                <w:noProof/>
                <w:webHidden/>
                <w:sz w:val="16"/>
                <w:szCs w:val="16"/>
              </w:rPr>
              <w:fldChar w:fldCharType="separate"/>
            </w:r>
            <w:r w:rsidR="000E45D1">
              <w:rPr>
                <w:noProof/>
                <w:webHidden/>
                <w:sz w:val="16"/>
                <w:szCs w:val="16"/>
              </w:rPr>
              <w:t>8</w:t>
            </w:r>
            <w:r w:rsidRPr="0044397E">
              <w:rPr>
                <w:noProof/>
                <w:webHidden/>
                <w:sz w:val="16"/>
                <w:szCs w:val="16"/>
              </w:rPr>
              <w:fldChar w:fldCharType="end"/>
            </w:r>
          </w:hyperlink>
        </w:p>
        <w:p w14:paraId="3CBEEEC4" w14:textId="15491A5C" w:rsidR="009D52FD" w:rsidRPr="0044397E" w:rsidRDefault="009D52FD" w:rsidP="0044397E">
          <w:pPr>
            <w:pStyle w:val="TOC2"/>
            <w:rPr>
              <w:rFonts w:eastAsiaTheme="minorEastAsia" w:cstheme="minorBidi"/>
              <w:noProof/>
              <w:sz w:val="16"/>
              <w:szCs w:val="16"/>
              <w:lang w:val="en-US" w:eastAsia="en-US"/>
            </w:rPr>
          </w:pPr>
          <w:hyperlink w:anchor="_Toc51400065" w:history="1">
            <w:r w:rsidRPr="0044397E">
              <w:rPr>
                <w:rStyle w:val="Hyperlink"/>
                <w:rFonts w:eastAsia="MS Mincho"/>
                <w:b/>
                <w:bCs/>
                <w:i/>
                <w:noProof/>
                <w:sz w:val="16"/>
                <w:szCs w:val="16"/>
                <w:lang w:val="en-US"/>
              </w:rPr>
              <w:t>B.</w:t>
            </w:r>
            <w:r w:rsidRPr="0044397E">
              <w:rPr>
                <w:rFonts w:eastAsiaTheme="minorEastAsia" w:cstheme="minorBidi"/>
                <w:noProof/>
                <w:sz w:val="16"/>
                <w:szCs w:val="16"/>
                <w:lang w:val="en-US" w:eastAsia="en-US"/>
              </w:rPr>
              <w:tab/>
            </w:r>
            <w:r w:rsidRPr="0044397E">
              <w:rPr>
                <w:rStyle w:val="Hyperlink"/>
                <w:rFonts w:eastAsia="MS Mincho"/>
                <w:b/>
                <w:bCs/>
                <w:i/>
                <w:noProof/>
                <w:sz w:val="16"/>
                <w:szCs w:val="16"/>
                <w:lang w:val="en-US"/>
              </w:rPr>
              <w:t>Considerations of the Court</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_Toc51400065 \h </w:instrText>
            </w:r>
            <w:r w:rsidRPr="0044397E">
              <w:rPr>
                <w:noProof/>
                <w:webHidden/>
                <w:sz w:val="16"/>
                <w:szCs w:val="16"/>
              </w:rPr>
            </w:r>
            <w:r w:rsidRPr="0044397E">
              <w:rPr>
                <w:noProof/>
                <w:webHidden/>
                <w:sz w:val="16"/>
                <w:szCs w:val="16"/>
              </w:rPr>
              <w:fldChar w:fldCharType="separate"/>
            </w:r>
            <w:r w:rsidR="000E45D1">
              <w:rPr>
                <w:noProof/>
                <w:webHidden/>
                <w:sz w:val="16"/>
                <w:szCs w:val="16"/>
              </w:rPr>
              <w:t>11</w:t>
            </w:r>
            <w:r w:rsidRPr="0044397E">
              <w:rPr>
                <w:noProof/>
                <w:webHidden/>
                <w:sz w:val="16"/>
                <w:szCs w:val="16"/>
              </w:rPr>
              <w:fldChar w:fldCharType="end"/>
            </w:r>
          </w:hyperlink>
        </w:p>
        <w:p w14:paraId="03DA9EB6" w14:textId="79A21EA2" w:rsidR="009D52FD" w:rsidRPr="0044397E" w:rsidRDefault="009D52FD" w:rsidP="0044397E">
          <w:pPr>
            <w:pStyle w:val="TOC2"/>
            <w:rPr>
              <w:rFonts w:eastAsiaTheme="minorEastAsia" w:cstheme="minorBidi"/>
              <w:noProof/>
              <w:sz w:val="16"/>
              <w:szCs w:val="16"/>
              <w:lang w:val="en-US" w:eastAsia="en-US"/>
            </w:rPr>
          </w:pPr>
          <w:hyperlink w:anchor="_Toc51400066" w:history="1">
            <w:r w:rsidRPr="0044397E">
              <w:rPr>
                <w:rStyle w:val="Hyperlink"/>
                <w:i/>
                <w:noProof/>
                <w:sz w:val="16"/>
                <w:szCs w:val="16"/>
                <w:lang w:val="en-US"/>
              </w:rPr>
              <w:t xml:space="preserve">B.1 </w:t>
            </w:r>
            <w:r w:rsidRPr="0044397E">
              <w:rPr>
                <w:rFonts w:eastAsiaTheme="minorEastAsia" w:cstheme="minorBidi"/>
                <w:noProof/>
                <w:sz w:val="16"/>
                <w:szCs w:val="16"/>
                <w:lang w:val="en-US" w:eastAsia="en-US"/>
              </w:rPr>
              <w:tab/>
            </w:r>
            <w:r w:rsidRPr="0044397E">
              <w:rPr>
                <w:rStyle w:val="Hyperlink"/>
                <w:i/>
                <w:noProof/>
                <w:sz w:val="16"/>
                <w:szCs w:val="16"/>
                <w:lang w:val="en-US"/>
              </w:rPr>
              <w:t>The facts</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_Toc51400066 \h </w:instrText>
            </w:r>
            <w:r w:rsidRPr="0044397E">
              <w:rPr>
                <w:noProof/>
                <w:webHidden/>
                <w:sz w:val="16"/>
                <w:szCs w:val="16"/>
              </w:rPr>
            </w:r>
            <w:r w:rsidRPr="0044397E">
              <w:rPr>
                <w:noProof/>
                <w:webHidden/>
                <w:sz w:val="16"/>
                <w:szCs w:val="16"/>
              </w:rPr>
              <w:fldChar w:fldCharType="separate"/>
            </w:r>
            <w:r w:rsidR="000E45D1">
              <w:rPr>
                <w:noProof/>
                <w:webHidden/>
                <w:sz w:val="16"/>
                <w:szCs w:val="16"/>
              </w:rPr>
              <w:t>11</w:t>
            </w:r>
            <w:r w:rsidRPr="0044397E">
              <w:rPr>
                <w:noProof/>
                <w:webHidden/>
                <w:sz w:val="16"/>
                <w:szCs w:val="16"/>
              </w:rPr>
              <w:fldChar w:fldCharType="end"/>
            </w:r>
          </w:hyperlink>
        </w:p>
        <w:p w14:paraId="750766DC" w14:textId="121A8944" w:rsidR="009D52FD" w:rsidRPr="0044397E" w:rsidRDefault="009D52FD" w:rsidP="0044397E">
          <w:pPr>
            <w:pStyle w:val="TOC2"/>
            <w:rPr>
              <w:rFonts w:eastAsiaTheme="minorEastAsia" w:cstheme="minorBidi"/>
              <w:noProof/>
              <w:sz w:val="16"/>
              <w:szCs w:val="16"/>
              <w:lang w:val="en-US" w:eastAsia="en-US"/>
            </w:rPr>
          </w:pPr>
          <w:hyperlink w:anchor="_Toc51400067" w:history="1">
            <w:r w:rsidRPr="0044397E">
              <w:rPr>
                <w:rStyle w:val="Hyperlink"/>
                <w:i/>
                <w:noProof/>
                <w:sz w:val="16"/>
                <w:szCs w:val="16"/>
                <w:lang w:val="en-US"/>
              </w:rPr>
              <w:t xml:space="preserve">B.2 </w:t>
            </w:r>
            <w:r w:rsidRPr="0044397E">
              <w:rPr>
                <w:rFonts w:eastAsiaTheme="minorEastAsia" w:cstheme="minorBidi"/>
                <w:noProof/>
                <w:sz w:val="16"/>
                <w:szCs w:val="16"/>
                <w:lang w:val="en-US" w:eastAsia="en-US"/>
              </w:rPr>
              <w:tab/>
            </w:r>
            <w:r w:rsidRPr="0044397E">
              <w:rPr>
                <w:rStyle w:val="Hyperlink"/>
                <w:i/>
                <w:noProof/>
                <w:sz w:val="16"/>
                <w:szCs w:val="16"/>
                <w:lang w:val="en-US"/>
              </w:rPr>
              <w:t>The legal claims</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_Toc51400067 \h </w:instrText>
            </w:r>
            <w:r w:rsidRPr="0044397E">
              <w:rPr>
                <w:noProof/>
                <w:webHidden/>
                <w:sz w:val="16"/>
                <w:szCs w:val="16"/>
              </w:rPr>
            </w:r>
            <w:r w:rsidRPr="0044397E">
              <w:rPr>
                <w:noProof/>
                <w:webHidden/>
                <w:sz w:val="16"/>
                <w:szCs w:val="16"/>
              </w:rPr>
              <w:fldChar w:fldCharType="separate"/>
            </w:r>
            <w:r w:rsidR="000E45D1">
              <w:rPr>
                <w:noProof/>
                <w:webHidden/>
                <w:sz w:val="16"/>
                <w:szCs w:val="16"/>
              </w:rPr>
              <w:t>12</w:t>
            </w:r>
            <w:r w:rsidRPr="0044397E">
              <w:rPr>
                <w:noProof/>
                <w:webHidden/>
                <w:sz w:val="16"/>
                <w:szCs w:val="16"/>
              </w:rPr>
              <w:fldChar w:fldCharType="end"/>
            </w:r>
          </w:hyperlink>
        </w:p>
        <w:p w14:paraId="3801EF59" w14:textId="61224E3F" w:rsidR="009D52FD" w:rsidRPr="0044397E" w:rsidRDefault="009D52FD" w:rsidP="0044397E">
          <w:pPr>
            <w:pStyle w:val="TOC2"/>
            <w:rPr>
              <w:rFonts w:eastAsiaTheme="minorEastAsia" w:cstheme="minorBidi"/>
              <w:noProof/>
              <w:sz w:val="16"/>
              <w:szCs w:val="16"/>
              <w:lang w:val="en-US" w:eastAsia="en-US"/>
            </w:rPr>
          </w:pPr>
          <w:hyperlink w:anchor="_Toc51400068" w:history="1">
            <w:r w:rsidRPr="0044397E">
              <w:rPr>
                <w:rStyle w:val="Hyperlink"/>
                <w:i/>
                <w:noProof/>
                <w:sz w:val="16"/>
                <w:szCs w:val="16"/>
                <w:lang w:val="en-US"/>
              </w:rPr>
              <w:t xml:space="preserve">B.3 </w:t>
            </w:r>
            <w:r w:rsidRPr="0044397E">
              <w:rPr>
                <w:rFonts w:eastAsiaTheme="minorEastAsia" w:cstheme="minorBidi"/>
                <w:noProof/>
                <w:sz w:val="16"/>
                <w:szCs w:val="16"/>
                <w:lang w:val="en-US" w:eastAsia="en-US"/>
              </w:rPr>
              <w:tab/>
            </w:r>
            <w:r w:rsidRPr="0044397E">
              <w:rPr>
                <w:rStyle w:val="Hyperlink"/>
                <w:i/>
                <w:noProof/>
                <w:sz w:val="16"/>
                <w:szCs w:val="16"/>
                <w:lang w:val="en-US"/>
              </w:rPr>
              <w:t>The reparations</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_Toc51400068 \h </w:instrText>
            </w:r>
            <w:r w:rsidRPr="0044397E">
              <w:rPr>
                <w:noProof/>
                <w:webHidden/>
                <w:sz w:val="16"/>
                <w:szCs w:val="16"/>
              </w:rPr>
            </w:r>
            <w:r w:rsidRPr="0044397E">
              <w:rPr>
                <w:noProof/>
                <w:webHidden/>
                <w:sz w:val="16"/>
                <w:szCs w:val="16"/>
              </w:rPr>
              <w:fldChar w:fldCharType="separate"/>
            </w:r>
            <w:r w:rsidR="000E45D1">
              <w:rPr>
                <w:noProof/>
                <w:webHidden/>
                <w:sz w:val="16"/>
                <w:szCs w:val="16"/>
              </w:rPr>
              <w:t>13</w:t>
            </w:r>
            <w:r w:rsidRPr="0044397E">
              <w:rPr>
                <w:noProof/>
                <w:webHidden/>
                <w:sz w:val="16"/>
                <w:szCs w:val="16"/>
              </w:rPr>
              <w:fldChar w:fldCharType="end"/>
            </w:r>
          </w:hyperlink>
        </w:p>
        <w:p w14:paraId="3D47F2B0" w14:textId="0D9FD044" w:rsidR="009D52FD" w:rsidRPr="0044397E" w:rsidRDefault="009D52FD" w:rsidP="0044397E">
          <w:pPr>
            <w:pStyle w:val="TOC2"/>
            <w:rPr>
              <w:rFonts w:eastAsiaTheme="minorEastAsia" w:cstheme="minorBidi"/>
              <w:noProof/>
              <w:sz w:val="16"/>
              <w:szCs w:val="16"/>
              <w:lang w:val="en-US" w:eastAsia="en-US"/>
            </w:rPr>
          </w:pPr>
          <w:hyperlink w:anchor="_Toc51400069" w:history="1">
            <w:r w:rsidRPr="0044397E">
              <w:rPr>
                <w:rStyle w:val="Hyperlink"/>
                <w:i/>
                <w:noProof/>
                <w:sz w:val="16"/>
                <w:szCs w:val="16"/>
                <w:lang w:val="en-US"/>
              </w:rPr>
              <w:t xml:space="preserve">B.4 </w:t>
            </w:r>
            <w:r w:rsidRPr="0044397E">
              <w:rPr>
                <w:rFonts w:eastAsiaTheme="minorEastAsia" w:cstheme="minorBidi"/>
                <w:noProof/>
                <w:sz w:val="16"/>
                <w:szCs w:val="16"/>
                <w:lang w:val="en-US" w:eastAsia="en-US"/>
              </w:rPr>
              <w:tab/>
            </w:r>
            <w:r w:rsidRPr="0044397E">
              <w:rPr>
                <w:rStyle w:val="Hyperlink"/>
                <w:i/>
                <w:noProof/>
                <w:sz w:val="16"/>
                <w:szCs w:val="16"/>
                <w:lang w:val="en-US"/>
              </w:rPr>
              <w:t>Assessment of the scope of the partial acknowledgement of responsibility</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_Toc51400069 \h </w:instrText>
            </w:r>
            <w:r w:rsidRPr="0044397E">
              <w:rPr>
                <w:noProof/>
                <w:webHidden/>
                <w:sz w:val="16"/>
                <w:szCs w:val="16"/>
              </w:rPr>
            </w:r>
            <w:r w:rsidRPr="0044397E">
              <w:rPr>
                <w:noProof/>
                <w:webHidden/>
                <w:sz w:val="16"/>
                <w:szCs w:val="16"/>
              </w:rPr>
              <w:fldChar w:fldCharType="separate"/>
            </w:r>
            <w:r w:rsidR="000E45D1">
              <w:rPr>
                <w:noProof/>
                <w:webHidden/>
                <w:sz w:val="16"/>
                <w:szCs w:val="16"/>
              </w:rPr>
              <w:t>13</w:t>
            </w:r>
            <w:r w:rsidRPr="0044397E">
              <w:rPr>
                <w:noProof/>
                <w:webHidden/>
                <w:sz w:val="16"/>
                <w:szCs w:val="16"/>
              </w:rPr>
              <w:fldChar w:fldCharType="end"/>
            </w:r>
          </w:hyperlink>
        </w:p>
        <w:p w14:paraId="0C361D1D" w14:textId="3AB672CF" w:rsidR="009D52FD" w:rsidRPr="0044397E" w:rsidRDefault="009D52FD" w:rsidP="0044397E">
          <w:pPr>
            <w:pStyle w:val="TOC1"/>
            <w:spacing w:line="240" w:lineRule="auto"/>
            <w:rPr>
              <w:rFonts w:eastAsiaTheme="minorEastAsia" w:cstheme="minorBidi"/>
              <w:noProof/>
              <w:sz w:val="16"/>
              <w:szCs w:val="16"/>
              <w:lang w:val="en-US" w:eastAsia="en-US"/>
            </w:rPr>
          </w:pPr>
          <w:hyperlink w:anchor="_Toc51400070" w:history="1">
            <w:r w:rsidRPr="0044397E">
              <w:rPr>
                <w:rStyle w:val="Hyperlink"/>
                <w:rFonts w:cs="Verdana"/>
                <w:b/>
                <w:bCs/>
                <w:caps/>
                <w:noProof/>
                <w:snapToGrid w:val="0"/>
                <w:sz w:val="16"/>
                <w:szCs w:val="16"/>
                <w:lang w:val="en-US"/>
              </w:rPr>
              <w:t>V PRELIMINARY CONSIDERATIONS</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_Toc51400070 \h </w:instrText>
            </w:r>
            <w:r w:rsidRPr="0044397E">
              <w:rPr>
                <w:noProof/>
                <w:webHidden/>
                <w:sz w:val="16"/>
                <w:szCs w:val="16"/>
              </w:rPr>
            </w:r>
            <w:r w:rsidRPr="0044397E">
              <w:rPr>
                <w:noProof/>
                <w:webHidden/>
                <w:sz w:val="16"/>
                <w:szCs w:val="16"/>
              </w:rPr>
              <w:fldChar w:fldCharType="separate"/>
            </w:r>
            <w:r w:rsidR="000E45D1">
              <w:rPr>
                <w:noProof/>
                <w:webHidden/>
                <w:sz w:val="16"/>
                <w:szCs w:val="16"/>
              </w:rPr>
              <w:t>13</w:t>
            </w:r>
            <w:r w:rsidRPr="0044397E">
              <w:rPr>
                <w:noProof/>
                <w:webHidden/>
                <w:sz w:val="16"/>
                <w:szCs w:val="16"/>
              </w:rPr>
              <w:fldChar w:fldCharType="end"/>
            </w:r>
          </w:hyperlink>
        </w:p>
        <w:p w14:paraId="1307867A" w14:textId="572E4E8B" w:rsidR="009D52FD" w:rsidRPr="0044397E" w:rsidRDefault="009D52FD" w:rsidP="0044397E">
          <w:pPr>
            <w:pStyle w:val="TOC2"/>
            <w:rPr>
              <w:rFonts w:eastAsiaTheme="minorEastAsia" w:cstheme="minorBidi"/>
              <w:noProof/>
              <w:sz w:val="16"/>
              <w:szCs w:val="16"/>
              <w:lang w:val="en-US" w:eastAsia="en-US"/>
            </w:rPr>
          </w:pPr>
          <w:hyperlink w:anchor="_Toc51400071" w:history="1">
            <w:r w:rsidRPr="0044397E">
              <w:rPr>
                <w:rStyle w:val="Hyperlink"/>
                <w:rFonts w:eastAsia="MS Mincho"/>
                <w:b/>
                <w:bCs/>
                <w:i/>
                <w:noProof/>
                <w:sz w:val="16"/>
                <w:szCs w:val="16"/>
                <w:lang w:val="en-US"/>
              </w:rPr>
              <w:t>A.</w:t>
            </w:r>
            <w:r w:rsidRPr="0044397E">
              <w:rPr>
                <w:rFonts w:eastAsiaTheme="minorEastAsia" w:cstheme="minorBidi"/>
                <w:noProof/>
                <w:sz w:val="16"/>
                <w:szCs w:val="16"/>
                <w:lang w:val="en-US" w:eastAsia="en-US"/>
              </w:rPr>
              <w:tab/>
            </w:r>
            <w:r w:rsidRPr="0044397E">
              <w:rPr>
                <w:rStyle w:val="Hyperlink"/>
                <w:rFonts w:eastAsia="MS Mincho"/>
                <w:b/>
                <w:bCs/>
                <w:i/>
                <w:noProof/>
                <w:sz w:val="16"/>
                <w:szCs w:val="16"/>
                <w:lang w:val="en-US"/>
              </w:rPr>
              <w:t>Supposed new facts included in the representatives’ brief</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_Toc51400071 \h </w:instrText>
            </w:r>
            <w:r w:rsidRPr="0044397E">
              <w:rPr>
                <w:noProof/>
                <w:webHidden/>
                <w:sz w:val="16"/>
                <w:szCs w:val="16"/>
              </w:rPr>
            </w:r>
            <w:r w:rsidRPr="0044397E">
              <w:rPr>
                <w:noProof/>
                <w:webHidden/>
                <w:sz w:val="16"/>
                <w:szCs w:val="16"/>
              </w:rPr>
              <w:fldChar w:fldCharType="separate"/>
            </w:r>
            <w:r w:rsidR="000E45D1">
              <w:rPr>
                <w:noProof/>
                <w:webHidden/>
                <w:sz w:val="16"/>
                <w:szCs w:val="16"/>
              </w:rPr>
              <w:t>13</w:t>
            </w:r>
            <w:r w:rsidRPr="0044397E">
              <w:rPr>
                <w:noProof/>
                <w:webHidden/>
                <w:sz w:val="16"/>
                <w:szCs w:val="16"/>
              </w:rPr>
              <w:fldChar w:fldCharType="end"/>
            </w:r>
          </w:hyperlink>
        </w:p>
        <w:p w14:paraId="22BEBEDA" w14:textId="4E3A44F6" w:rsidR="009D52FD" w:rsidRPr="0044397E" w:rsidRDefault="009D52FD" w:rsidP="0044397E">
          <w:pPr>
            <w:pStyle w:val="TOC2"/>
            <w:rPr>
              <w:rFonts w:eastAsiaTheme="minorEastAsia" w:cstheme="minorBidi"/>
              <w:noProof/>
              <w:sz w:val="16"/>
              <w:szCs w:val="16"/>
              <w:lang w:val="en-US" w:eastAsia="en-US"/>
            </w:rPr>
          </w:pPr>
          <w:hyperlink w:anchor="_Toc51400072" w:history="1">
            <w:r w:rsidRPr="0044397E">
              <w:rPr>
                <w:rStyle w:val="Hyperlink"/>
                <w:i/>
                <w:noProof/>
                <w:sz w:val="16"/>
                <w:szCs w:val="16"/>
                <w:lang w:val="en-US"/>
              </w:rPr>
              <w:t xml:space="preserve">A.1 </w:t>
            </w:r>
            <w:r w:rsidRPr="0044397E">
              <w:rPr>
                <w:rFonts w:eastAsiaTheme="minorEastAsia" w:cstheme="minorBidi"/>
                <w:noProof/>
                <w:sz w:val="16"/>
                <w:szCs w:val="16"/>
                <w:lang w:val="en-US" w:eastAsia="en-US"/>
              </w:rPr>
              <w:tab/>
            </w:r>
            <w:r w:rsidRPr="0044397E">
              <w:rPr>
                <w:rStyle w:val="Hyperlink"/>
                <w:i/>
                <w:noProof/>
                <w:sz w:val="16"/>
                <w:szCs w:val="16"/>
                <w:lang w:val="en-US"/>
              </w:rPr>
              <w:t>Arguments of the State and observations of the Commission and the representatives</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_Toc51400072 \h </w:instrText>
            </w:r>
            <w:r w:rsidRPr="0044397E">
              <w:rPr>
                <w:noProof/>
                <w:webHidden/>
                <w:sz w:val="16"/>
                <w:szCs w:val="16"/>
              </w:rPr>
            </w:r>
            <w:r w:rsidRPr="0044397E">
              <w:rPr>
                <w:noProof/>
                <w:webHidden/>
                <w:sz w:val="16"/>
                <w:szCs w:val="16"/>
              </w:rPr>
              <w:fldChar w:fldCharType="separate"/>
            </w:r>
            <w:r w:rsidR="000E45D1">
              <w:rPr>
                <w:noProof/>
                <w:webHidden/>
                <w:sz w:val="16"/>
                <w:szCs w:val="16"/>
              </w:rPr>
              <w:t>14</w:t>
            </w:r>
            <w:r w:rsidRPr="0044397E">
              <w:rPr>
                <w:noProof/>
                <w:webHidden/>
                <w:sz w:val="16"/>
                <w:szCs w:val="16"/>
              </w:rPr>
              <w:fldChar w:fldCharType="end"/>
            </w:r>
          </w:hyperlink>
        </w:p>
        <w:p w14:paraId="0AAC8472" w14:textId="09F999A7" w:rsidR="009D52FD" w:rsidRPr="0044397E" w:rsidRDefault="009D52FD" w:rsidP="0044397E">
          <w:pPr>
            <w:pStyle w:val="TOC2"/>
            <w:rPr>
              <w:rFonts w:eastAsiaTheme="minorEastAsia" w:cstheme="minorBidi"/>
              <w:noProof/>
              <w:sz w:val="16"/>
              <w:szCs w:val="16"/>
              <w:lang w:val="en-US" w:eastAsia="en-US"/>
            </w:rPr>
          </w:pPr>
          <w:hyperlink w:anchor="_Toc51400073" w:history="1">
            <w:r w:rsidRPr="0044397E">
              <w:rPr>
                <w:rStyle w:val="Hyperlink"/>
                <w:i/>
                <w:noProof/>
                <w:sz w:val="16"/>
                <w:szCs w:val="16"/>
                <w:lang w:val="en-US"/>
              </w:rPr>
              <w:t xml:space="preserve">A.2 </w:t>
            </w:r>
            <w:r w:rsidRPr="0044397E">
              <w:rPr>
                <w:rFonts w:eastAsiaTheme="minorEastAsia" w:cstheme="minorBidi"/>
                <w:noProof/>
                <w:sz w:val="16"/>
                <w:szCs w:val="16"/>
                <w:lang w:val="en-US" w:eastAsia="en-US"/>
              </w:rPr>
              <w:tab/>
            </w:r>
            <w:r w:rsidRPr="0044397E">
              <w:rPr>
                <w:rStyle w:val="Hyperlink"/>
                <w:i/>
                <w:noProof/>
                <w:sz w:val="16"/>
                <w:szCs w:val="16"/>
                <w:lang w:val="en-US"/>
              </w:rPr>
              <w:t>Considerations of the Court</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_Toc51400073 \h </w:instrText>
            </w:r>
            <w:r w:rsidRPr="0044397E">
              <w:rPr>
                <w:noProof/>
                <w:webHidden/>
                <w:sz w:val="16"/>
                <w:szCs w:val="16"/>
              </w:rPr>
            </w:r>
            <w:r w:rsidRPr="0044397E">
              <w:rPr>
                <w:noProof/>
                <w:webHidden/>
                <w:sz w:val="16"/>
                <w:szCs w:val="16"/>
              </w:rPr>
              <w:fldChar w:fldCharType="separate"/>
            </w:r>
            <w:r w:rsidR="000E45D1">
              <w:rPr>
                <w:noProof/>
                <w:webHidden/>
                <w:sz w:val="16"/>
                <w:szCs w:val="16"/>
              </w:rPr>
              <w:t>14</w:t>
            </w:r>
            <w:r w:rsidRPr="0044397E">
              <w:rPr>
                <w:noProof/>
                <w:webHidden/>
                <w:sz w:val="16"/>
                <w:szCs w:val="16"/>
              </w:rPr>
              <w:fldChar w:fldCharType="end"/>
            </w:r>
          </w:hyperlink>
        </w:p>
        <w:p w14:paraId="1761B553" w14:textId="53F7C89D" w:rsidR="009D52FD" w:rsidRPr="0044397E" w:rsidRDefault="009D52FD" w:rsidP="0044397E">
          <w:pPr>
            <w:pStyle w:val="TOC2"/>
            <w:rPr>
              <w:rFonts w:eastAsiaTheme="minorEastAsia" w:cstheme="minorBidi"/>
              <w:noProof/>
              <w:sz w:val="16"/>
              <w:szCs w:val="16"/>
              <w:lang w:val="en-US" w:eastAsia="en-US"/>
            </w:rPr>
          </w:pPr>
          <w:hyperlink w:anchor="_Toc51400074" w:history="1">
            <w:r w:rsidRPr="0044397E">
              <w:rPr>
                <w:rStyle w:val="Hyperlink"/>
                <w:rFonts w:eastAsia="MS Mincho"/>
                <w:b/>
                <w:bCs/>
                <w:i/>
                <w:noProof/>
                <w:sz w:val="16"/>
                <w:szCs w:val="16"/>
                <w:lang w:val="en-US"/>
              </w:rPr>
              <w:t>B.</w:t>
            </w:r>
            <w:r w:rsidRPr="0044397E">
              <w:rPr>
                <w:rFonts w:eastAsiaTheme="minorEastAsia" w:cstheme="minorBidi"/>
                <w:noProof/>
                <w:sz w:val="16"/>
                <w:szCs w:val="16"/>
                <w:lang w:val="en-US" w:eastAsia="en-US"/>
              </w:rPr>
              <w:tab/>
            </w:r>
            <w:r w:rsidRPr="0044397E">
              <w:rPr>
                <w:rStyle w:val="Hyperlink"/>
                <w:rFonts w:eastAsia="MS Mincho"/>
                <w:b/>
                <w:bCs/>
                <w:i/>
                <w:noProof/>
                <w:sz w:val="16"/>
                <w:szCs w:val="16"/>
                <w:lang w:val="en-US"/>
              </w:rPr>
              <w:t xml:space="preserve">Considerations supposedly not included in the </w:t>
            </w:r>
            <w:r w:rsidRPr="0044397E">
              <w:rPr>
                <w:rStyle w:val="Hyperlink"/>
                <w:rFonts w:eastAsia="MS Mincho"/>
                <w:b/>
                <w:bCs/>
                <w:i/>
                <w:iCs/>
                <w:noProof/>
                <w:sz w:val="16"/>
                <w:szCs w:val="16"/>
                <w:lang w:val="en-US"/>
              </w:rPr>
              <w:t>Inter-American Commission’s Admissibility Report</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_Toc51400074 \h </w:instrText>
            </w:r>
            <w:r w:rsidRPr="0044397E">
              <w:rPr>
                <w:noProof/>
                <w:webHidden/>
                <w:sz w:val="16"/>
                <w:szCs w:val="16"/>
              </w:rPr>
            </w:r>
            <w:r w:rsidRPr="0044397E">
              <w:rPr>
                <w:noProof/>
                <w:webHidden/>
                <w:sz w:val="16"/>
                <w:szCs w:val="16"/>
              </w:rPr>
              <w:fldChar w:fldCharType="separate"/>
            </w:r>
            <w:r w:rsidR="000E45D1">
              <w:rPr>
                <w:noProof/>
                <w:webHidden/>
                <w:sz w:val="16"/>
                <w:szCs w:val="16"/>
              </w:rPr>
              <w:t>14</w:t>
            </w:r>
            <w:r w:rsidRPr="0044397E">
              <w:rPr>
                <w:noProof/>
                <w:webHidden/>
                <w:sz w:val="16"/>
                <w:szCs w:val="16"/>
              </w:rPr>
              <w:fldChar w:fldCharType="end"/>
            </w:r>
          </w:hyperlink>
        </w:p>
        <w:p w14:paraId="1A75F591" w14:textId="7074DB15" w:rsidR="009D52FD" w:rsidRPr="0044397E" w:rsidRDefault="009D52FD" w:rsidP="0044397E">
          <w:pPr>
            <w:pStyle w:val="TOC2"/>
            <w:rPr>
              <w:rFonts w:eastAsiaTheme="minorEastAsia" w:cstheme="minorBidi"/>
              <w:noProof/>
              <w:sz w:val="16"/>
              <w:szCs w:val="16"/>
              <w:lang w:val="en-US" w:eastAsia="en-US"/>
            </w:rPr>
          </w:pPr>
          <w:hyperlink w:anchor="_Toc51400075" w:history="1">
            <w:r w:rsidRPr="0044397E">
              <w:rPr>
                <w:rStyle w:val="Hyperlink"/>
                <w:i/>
                <w:noProof/>
                <w:sz w:val="16"/>
                <w:szCs w:val="16"/>
                <w:lang w:val="en-US"/>
              </w:rPr>
              <w:t xml:space="preserve">B.1 </w:t>
            </w:r>
            <w:r w:rsidRPr="0044397E">
              <w:rPr>
                <w:rFonts w:eastAsiaTheme="minorEastAsia" w:cstheme="minorBidi"/>
                <w:noProof/>
                <w:sz w:val="16"/>
                <w:szCs w:val="16"/>
                <w:lang w:val="en-US" w:eastAsia="en-US"/>
              </w:rPr>
              <w:tab/>
            </w:r>
            <w:r w:rsidRPr="0044397E">
              <w:rPr>
                <w:rStyle w:val="Hyperlink"/>
                <w:i/>
                <w:noProof/>
                <w:sz w:val="16"/>
                <w:szCs w:val="16"/>
                <w:lang w:val="en-US"/>
              </w:rPr>
              <w:t>Arguments of the State and observations of the Commission and the representatives</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_Toc51400075 \h </w:instrText>
            </w:r>
            <w:r w:rsidRPr="0044397E">
              <w:rPr>
                <w:noProof/>
                <w:webHidden/>
                <w:sz w:val="16"/>
                <w:szCs w:val="16"/>
              </w:rPr>
            </w:r>
            <w:r w:rsidRPr="0044397E">
              <w:rPr>
                <w:noProof/>
                <w:webHidden/>
                <w:sz w:val="16"/>
                <w:szCs w:val="16"/>
              </w:rPr>
              <w:fldChar w:fldCharType="separate"/>
            </w:r>
            <w:r w:rsidR="000E45D1">
              <w:rPr>
                <w:noProof/>
                <w:webHidden/>
                <w:sz w:val="16"/>
                <w:szCs w:val="16"/>
              </w:rPr>
              <w:t>14</w:t>
            </w:r>
            <w:r w:rsidRPr="0044397E">
              <w:rPr>
                <w:noProof/>
                <w:webHidden/>
                <w:sz w:val="16"/>
                <w:szCs w:val="16"/>
              </w:rPr>
              <w:fldChar w:fldCharType="end"/>
            </w:r>
          </w:hyperlink>
        </w:p>
        <w:p w14:paraId="3A5A68EF" w14:textId="47FD8EE8" w:rsidR="009D52FD" w:rsidRPr="0044397E" w:rsidRDefault="009D52FD" w:rsidP="0044397E">
          <w:pPr>
            <w:pStyle w:val="TOC2"/>
            <w:rPr>
              <w:rFonts w:eastAsiaTheme="minorEastAsia" w:cstheme="minorBidi"/>
              <w:noProof/>
              <w:sz w:val="16"/>
              <w:szCs w:val="16"/>
              <w:lang w:val="en-US" w:eastAsia="en-US"/>
            </w:rPr>
          </w:pPr>
          <w:hyperlink w:anchor="_Toc51400076" w:history="1">
            <w:r w:rsidRPr="0044397E">
              <w:rPr>
                <w:rStyle w:val="Hyperlink"/>
                <w:i/>
                <w:noProof/>
                <w:sz w:val="16"/>
                <w:szCs w:val="16"/>
                <w:lang w:val="en-US"/>
              </w:rPr>
              <w:t xml:space="preserve">B.2 </w:t>
            </w:r>
            <w:r w:rsidRPr="0044397E">
              <w:rPr>
                <w:rFonts w:eastAsiaTheme="minorEastAsia" w:cstheme="minorBidi"/>
                <w:noProof/>
                <w:sz w:val="16"/>
                <w:szCs w:val="16"/>
                <w:lang w:val="en-US" w:eastAsia="en-US"/>
              </w:rPr>
              <w:tab/>
            </w:r>
            <w:r w:rsidRPr="0044397E">
              <w:rPr>
                <w:rStyle w:val="Hyperlink"/>
                <w:i/>
                <w:noProof/>
                <w:sz w:val="16"/>
                <w:szCs w:val="16"/>
                <w:lang w:val="en-US"/>
              </w:rPr>
              <w:t>Considerations of the Court</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_Toc51400076 \h </w:instrText>
            </w:r>
            <w:r w:rsidRPr="0044397E">
              <w:rPr>
                <w:noProof/>
                <w:webHidden/>
                <w:sz w:val="16"/>
                <w:szCs w:val="16"/>
              </w:rPr>
            </w:r>
            <w:r w:rsidRPr="0044397E">
              <w:rPr>
                <w:noProof/>
                <w:webHidden/>
                <w:sz w:val="16"/>
                <w:szCs w:val="16"/>
              </w:rPr>
              <w:fldChar w:fldCharType="separate"/>
            </w:r>
            <w:r w:rsidR="000E45D1">
              <w:rPr>
                <w:noProof/>
                <w:webHidden/>
                <w:sz w:val="16"/>
                <w:szCs w:val="16"/>
              </w:rPr>
              <w:t>15</w:t>
            </w:r>
            <w:r w:rsidRPr="0044397E">
              <w:rPr>
                <w:noProof/>
                <w:webHidden/>
                <w:sz w:val="16"/>
                <w:szCs w:val="16"/>
              </w:rPr>
              <w:fldChar w:fldCharType="end"/>
            </w:r>
          </w:hyperlink>
        </w:p>
        <w:p w14:paraId="39786793" w14:textId="37DEADDF" w:rsidR="009D52FD" w:rsidRPr="0044397E" w:rsidRDefault="009D52FD" w:rsidP="0044397E">
          <w:pPr>
            <w:pStyle w:val="TOC1"/>
            <w:spacing w:line="240" w:lineRule="auto"/>
            <w:rPr>
              <w:rFonts w:eastAsiaTheme="minorEastAsia" w:cstheme="minorBidi"/>
              <w:noProof/>
              <w:sz w:val="16"/>
              <w:szCs w:val="16"/>
              <w:lang w:val="en-US" w:eastAsia="en-US"/>
            </w:rPr>
          </w:pPr>
          <w:hyperlink w:anchor="_Toc51400077" w:history="1">
            <w:r w:rsidRPr="0044397E">
              <w:rPr>
                <w:rStyle w:val="Hyperlink"/>
                <w:rFonts w:cs="Verdana"/>
                <w:b/>
                <w:bCs/>
                <w:caps/>
                <w:noProof/>
                <w:snapToGrid w:val="0"/>
                <w:sz w:val="16"/>
                <w:szCs w:val="16"/>
                <w:lang w:val="en-US"/>
              </w:rPr>
              <w:t>VI EVIDENCE</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_Toc51400077 \h </w:instrText>
            </w:r>
            <w:r w:rsidRPr="0044397E">
              <w:rPr>
                <w:noProof/>
                <w:webHidden/>
                <w:sz w:val="16"/>
                <w:szCs w:val="16"/>
              </w:rPr>
            </w:r>
            <w:r w:rsidRPr="0044397E">
              <w:rPr>
                <w:noProof/>
                <w:webHidden/>
                <w:sz w:val="16"/>
                <w:szCs w:val="16"/>
              </w:rPr>
              <w:fldChar w:fldCharType="separate"/>
            </w:r>
            <w:r w:rsidR="000E45D1">
              <w:rPr>
                <w:noProof/>
                <w:webHidden/>
                <w:sz w:val="16"/>
                <w:szCs w:val="16"/>
              </w:rPr>
              <w:t>15</w:t>
            </w:r>
            <w:r w:rsidRPr="0044397E">
              <w:rPr>
                <w:noProof/>
                <w:webHidden/>
                <w:sz w:val="16"/>
                <w:szCs w:val="16"/>
              </w:rPr>
              <w:fldChar w:fldCharType="end"/>
            </w:r>
          </w:hyperlink>
        </w:p>
        <w:p w14:paraId="5B2A4892" w14:textId="306F1CB0" w:rsidR="009D52FD" w:rsidRPr="0044397E" w:rsidRDefault="009D52FD" w:rsidP="0044397E">
          <w:pPr>
            <w:pStyle w:val="TOC2"/>
            <w:rPr>
              <w:rFonts w:eastAsiaTheme="minorEastAsia" w:cstheme="minorBidi"/>
              <w:noProof/>
              <w:sz w:val="16"/>
              <w:szCs w:val="16"/>
              <w:lang w:val="en-US" w:eastAsia="en-US"/>
            </w:rPr>
          </w:pPr>
          <w:hyperlink w:anchor="_Toc51400078" w:history="1">
            <w:r w:rsidRPr="0044397E">
              <w:rPr>
                <w:rStyle w:val="Hyperlink"/>
                <w:rFonts w:eastAsia="MS Mincho"/>
                <w:b/>
                <w:bCs/>
                <w:i/>
                <w:noProof/>
                <w:sz w:val="16"/>
                <w:szCs w:val="16"/>
                <w:lang w:val="en-US"/>
              </w:rPr>
              <w:t>A.</w:t>
            </w:r>
            <w:r w:rsidRPr="0044397E">
              <w:rPr>
                <w:rFonts w:eastAsiaTheme="minorEastAsia" w:cstheme="minorBidi"/>
                <w:noProof/>
                <w:sz w:val="16"/>
                <w:szCs w:val="16"/>
                <w:lang w:val="en-US" w:eastAsia="en-US"/>
              </w:rPr>
              <w:tab/>
            </w:r>
            <w:r w:rsidRPr="0044397E">
              <w:rPr>
                <w:rStyle w:val="Hyperlink"/>
                <w:rFonts w:eastAsia="MS Mincho"/>
                <w:b/>
                <w:bCs/>
                <w:i/>
                <w:noProof/>
                <w:sz w:val="16"/>
                <w:szCs w:val="16"/>
                <w:lang w:val="en-US"/>
              </w:rPr>
              <w:t>Admission of the evidence</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_Toc51400078 \h </w:instrText>
            </w:r>
            <w:r w:rsidRPr="0044397E">
              <w:rPr>
                <w:noProof/>
                <w:webHidden/>
                <w:sz w:val="16"/>
                <w:szCs w:val="16"/>
              </w:rPr>
            </w:r>
            <w:r w:rsidRPr="0044397E">
              <w:rPr>
                <w:noProof/>
                <w:webHidden/>
                <w:sz w:val="16"/>
                <w:szCs w:val="16"/>
              </w:rPr>
              <w:fldChar w:fldCharType="separate"/>
            </w:r>
            <w:r w:rsidR="000E45D1">
              <w:rPr>
                <w:noProof/>
                <w:webHidden/>
                <w:sz w:val="16"/>
                <w:szCs w:val="16"/>
              </w:rPr>
              <w:t>15</w:t>
            </w:r>
            <w:r w:rsidRPr="0044397E">
              <w:rPr>
                <w:noProof/>
                <w:webHidden/>
                <w:sz w:val="16"/>
                <w:szCs w:val="16"/>
              </w:rPr>
              <w:fldChar w:fldCharType="end"/>
            </w:r>
          </w:hyperlink>
        </w:p>
        <w:p w14:paraId="002EDE89" w14:textId="3A203F20" w:rsidR="009D52FD" w:rsidRPr="0044397E" w:rsidRDefault="009D52FD" w:rsidP="0044397E">
          <w:pPr>
            <w:pStyle w:val="TOC2"/>
            <w:rPr>
              <w:rFonts w:eastAsiaTheme="minorEastAsia" w:cstheme="minorBidi"/>
              <w:noProof/>
              <w:sz w:val="16"/>
              <w:szCs w:val="16"/>
              <w:lang w:val="en-US" w:eastAsia="en-US"/>
            </w:rPr>
          </w:pPr>
          <w:hyperlink w:anchor="_Toc51400079" w:history="1">
            <w:r w:rsidRPr="0044397E">
              <w:rPr>
                <w:rStyle w:val="Hyperlink"/>
                <w:i/>
                <w:noProof/>
                <w:sz w:val="16"/>
                <w:szCs w:val="16"/>
                <w:lang w:val="en-US"/>
              </w:rPr>
              <w:t xml:space="preserve">A.1 </w:t>
            </w:r>
            <w:r w:rsidRPr="0044397E">
              <w:rPr>
                <w:rFonts w:eastAsiaTheme="minorEastAsia" w:cstheme="minorBidi"/>
                <w:noProof/>
                <w:sz w:val="16"/>
                <w:szCs w:val="16"/>
                <w:lang w:val="en-US" w:eastAsia="en-US"/>
              </w:rPr>
              <w:tab/>
            </w:r>
            <w:r w:rsidRPr="0044397E">
              <w:rPr>
                <w:rStyle w:val="Hyperlink"/>
                <w:i/>
                <w:noProof/>
                <w:sz w:val="16"/>
                <w:szCs w:val="16"/>
                <w:lang w:val="en-US"/>
              </w:rPr>
              <w:t>Admission of the documentary evidence</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_Toc51400079 \h </w:instrText>
            </w:r>
            <w:r w:rsidRPr="0044397E">
              <w:rPr>
                <w:noProof/>
                <w:webHidden/>
                <w:sz w:val="16"/>
                <w:szCs w:val="16"/>
              </w:rPr>
            </w:r>
            <w:r w:rsidRPr="0044397E">
              <w:rPr>
                <w:noProof/>
                <w:webHidden/>
                <w:sz w:val="16"/>
                <w:szCs w:val="16"/>
              </w:rPr>
              <w:fldChar w:fldCharType="separate"/>
            </w:r>
            <w:r w:rsidR="000E45D1">
              <w:rPr>
                <w:noProof/>
                <w:webHidden/>
                <w:sz w:val="16"/>
                <w:szCs w:val="16"/>
              </w:rPr>
              <w:t>15</w:t>
            </w:r>
            <w:r w:rsidRPr="0044397E">
              <w:rPr>
                <w:noProof/>
                <w:webHidden/>
                <w:sz w:val="16"/>
                <w:szCs w:val="16"/>
              </w:rPr>
              <w:fldChar w:fldCharType="end"/>
            </w:r>
          </w:hyperlink>
        </w:p>
        <w:p w14:paraId="211BEAEA" w14:textId="01E58E64" w:rsidR="009D52FD" w:rsidRPr="0044397E" w:rsidRDefault="009D52FD" w:rsidP="0044397E">
          <w:pPr>
            <w:pStyle w:val="TOC2"/>
            <w:rPr>
              <w:rFonts w:eastAsiaTheme="minorEastAsia" w:cstheme="minorBidi"/>
              <w:noProof/>
              <w:sz w:val="16"/>
              <w:szCs w:val="16"/>
              <w:lang w:val="en-US" w:eastAsia="en-US"/>
            </w:rPr>
          </w:pPr>
          <w:hyperlink w:anchor="_Toc51400080" w:history="1">
            <w:r w:rsidRPr="0044397E">
              <w:rPr>
                <w:rStyle w:val="Hyperlink"/>
                <w:i/>
                <w:noProof/>
                <w:sz w:val="16"/>
                <w:szCs w:val="16"/>
                <w:lang w:val="en-US"/>
              </w:rPr>
              <w:t xml:space="preserve">A.2 </w:t>
            </w:r>
            <w:r w:rsidRPr="0044397E">
              <w:rPr>
                <w:rFonts w:eastAsiaTheme="minorEastAsia" w:cstheme="minorBidi"/>
                <w:noProof/>
                <w:sz w:val="16"/>
                <w:szCs w:val="16"/>
                <w:lang w:val="en-US" w:eastAsia="en-US"/>
              </w:rPr>
              <w:tab/>
            </w:r>
            <w:r w:rsidRPr="0044397E">
              <w:rPr>
                <w:rStyle w:val="Hyperlink"/>
                <w:i/>
                <w:noProof/>
                <w:sz w:val="16"/>
                <w:szCs w:val="16"/>
                <w:lang w:val="en-US"/>
              </w:rPr>
              <w:t>Admission of the statements and expert opinions</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_Toc51400080 \h </w:instrText>
            </w:r>
            <w:r w:rsidRPr="0044397E">
              <w:rPr>
                <w:noProof/>
                <w:webHidden/>
                <w:sz w:val="16"/>
                <w:szCs w:val="16"/>
              </w:rPr>
            </w:r>
            <w:r w:rsidRPr="0044397E">
              <w:rPr>
                <w:noProof/>
                <w:webHidden/>
                <w:sz w:val="16"/>
                <w:szCs w:val="16"/>
              </w:rPr>
              <w:fldChar w:fldCharType="separate"/>
            </w:r>
            <w:r w:rsidR="000E45D1">
              <w:rPr>
                <w:noProof/>
                <w:webHidden/>
                <w:sz w:val="16"/>
                <w:szCs w:val="16"/>
              </w:rPr>
              <w:t>17</w:t>
            </w:r>
            <w:r w:rsidRPr="0044397E">
              <w:rPr>
                <w:noProof/>
                <w:webHidden/>
                <w:sz w:val="16"/>
                <w:szCs w:val="16"/>
              </w:rPr>
              <w:fldChar w:fldCharType="end"/>
            </w:r>
          </w:hyperlink>
        </w:p>
        <w:p w14:paraId="470FCEE0" w14:textId="76BD35BB" w:rsidR="009D52FD" w:rsidRPr="0044397E" w:rsidRDefault="009D52FD" w:rsidP="0044397E">
          <w:pPr>
            <w:pStyle w:val="TOC1"/>
            <w:spacing w:line="240" w:lineRule="auto"/>
            <w:rPr>
              <w:rFonts w:eastAsiaTheme="minorEastAsia" w:cstheme="minorBidi"/>
              <w:noProof/>
              <w:sz w:val="16"/>
              <w:szCs w:val="16"/>
              <w:lang w:val="en-US" w:eastAsia="en-US"/>
            </w:rPr>
          </w:pPr>
          <w:hyperlink w:anchor="_Toc51400081" w:history="1">
            <w:r w:rsidRPr="0044397E">
              <w:rPr>
                <w:rStyle w:val="Hyperlink"/>
                <w:rFonts w:cs="Verdana"/>
                <w:b/>
                <w:bCs/>
                <w:caps/>
                <w:noProof/>
                <w:snapToGrid w:val="0"/>
                <w:sz w:val="16"/>
                <w:szCs w:val="16"/>
                <w:lang w:val="en-US"/>
              </w:rPr>
              <w:t>ViI FACTS</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_Toc51400081 \h </w:instrText>
            </w:r>
            <w:r w:rsidRPr="0044397E">
              <w:rPr>
                <w:noProof/>
                <w:webHidden/>
                <w:sz w:val="16"/>
                <w:szCs w:val="16"/>
              </w:rPr>
            </w:r>
            <w:r w:rsidRPr="0044397E">
              <w:rPr>
                <w:noProof/>
                <w:webHidden/>
                <w:sz w:val="16"/>
                <w:szCs w:val="16"/>
              </w:rPr>
              <w:fldChar w:fldCharType="separate"/>
            </w:r>
            <w:r w:rsidR="000E45D1">
              <w:rPr>
                <w:noProof/>
                <w:webHidden/>
                <w:sz w:val="16"/>
                <w:szCs w:val="16"/>
              </w:rPr>
              <w:t>18</w:t>
            </w:r>
            <w:r w:rsidRPr="0044397E">
              <w:rPr>
                <w:noProof/>
                <w:webHidden/>
                <w:sz w:val="16"/>
                <w:szCs w:val="16"/>
              </w:rPr>
              <w:fldChar w:fldCharType="end"/>
            </w:r>
          </w:hyperlink>
        </w:p>
        <w:p w14:paraId="4480549F" w14:textId="0492C6A4" w:rsidR="009D52FD" w:rsidRPr="0044397E" w:rsidRDefault="009D52FD" w:rsidP="0044397E">
          <w:pPr>
            <w:pStyle w:val="TOC2"/>
            <w:rPr>
              <w:rFonts w:eastAsiaTheme="minorEastAsia" w:cstheme="minorBidi"/>
              <w:noProof/>
              <w:sz w:val="16"/>
              <w:szCs w:val="16"/>
              <w:lang w:val="en-US" w:eastAsia="en-US"/>
            </w:rPr>
          </w:pPr>
          <w:hyperlink w:anchor="_Toc51400082" w:history="1">
            <w:r w:rsidRPr="0044397E">
              <w:rPr>
                <w:rStyle w:val="Hyperlink"/>
                <w:rFonts w:eastAsia="MS Mincho"/>
                <w:b/>
                <w:bCs/>
                <w:i/>
                <w:noProof/>
                <w:sz w:val="16"/>
                <w:szCs w:val="16"/>
                <w:lang w:val="en-US"/>
              </w:rPr>
              <w:t xml:space="preserve">A. </w:t>
            </w:r>
            <w:r w:rsidRPr="0044397E">
              <w:rPr>
                <w:rFonts w:eastAsiaTheme="minorEastAsia" w:cstheme="minorBidi"/>
                <w:noProof/>
                <w:sz w:val="16"/>
                <w:szCs w:val="16"/>
                <w:lang w:val="en-US" w:eastAsia="en-US"/>
              </w:rPr>
              <w:tab/>
            </w:r>
            <w:r w:rsidRPr="0044397E">
              <w:rPr>
                <w:rStyle w:val="Hyperlink"/>
                <w:rFonts w:eastAsia="MS Mincho"/>
                <w:b/>
                <w:bCs/>
                <w:i/>
                <w:noProof/>
                <w:sz w:val="16"/>
                <w:szCs w:val="16"/>
                <w:lang w:val="en-US"/>
              </w:rPr>
              <w:t>Background information</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_Toc51400082 \h </w:instrText>
            </w:r>
            <w:r w:rsidRPr="0044397E">
              <w:rPr>
                <w:noProof/>
                <w:webHidden/>
                <w:sz w:val="16"/>
                <w:szCs w:val="16"/>
              </w:rPr>
            </w:r>
            <w:r w:rsidRPr="0044397E">
              <w:rPr>
                <w:noProof/>
                <w:webHidden/>
                <w:sz w:val="16"/>
                <w:szCs w:val="16"/>
              </w:rPr>
              <w:fldChar w:fldCharType="separate"/>
            </w:r>
            <w:r w:rsidR="000E45D1">
              <w:rPr>
                <w:noProof/>
                <w:webHidden/>
                <w:sz w:val="16"/>
                <w:szCs w:val="16"/>
              </w:rPr>
              <w:t>18</w:t>
            </w:r>
            <w:r w:rsidRPr="0044397E">
              <w:rPr>
                <w:noProof/>
                <w:webHidden/>
                <w:sz w:val="16"/>
                <w:szCs w:val="16"/>
              </w:rPr>
              <w:fldChar w:fldCharType="end"/>
            </w:r>
          </w:hyperlink>
        </w:p>
        <w:p w14:paraId="0A3B2B29" w14:textId="2F7AB5A5" w:rsidR="009D52FD" w:rsidRPr="0044397E" w:rsidRDefault="009D52FD" w:rsidP="0044397E">
          <w:pPr>
            <w:pStyle w:val="TOC2"/>
            <w:rPr>
              <w:rFonts w:eastAsiaTheme="minorEastAsia" w:cstheme="minorBidi"/>
              <w:noProof/>
              <w:sz w:val="16"/>
              <w:szCs w:val="16"/>
              <w:lang w:val="en-US" w:eastAsia="en-US"/>
            </w:rPr>
          </w:pPr>
          <w:hyperlink w:anchor="_Toc51400083" w:history="1">
            <w:r w:rsidRPr="0044397E">
              <w:rPr>
                <w:rStyle w:val="Hyperlink"/>
                <w:rFonts w:eastAsia="MS Mincho"/>
                <w:b/>
                <w:bCs/>
                <w:i/>
                <w:noProof/>
                <w:sz w:val="16"/>
                <w:szCs w:val="16"/>
                <w:lang w:val="en-US"/>
              </w:rPr>
              <w:t xml:space="preserve">B. </w:t>
            </w:r>
            <w:r w:rsidRPr="0044397E">
              <w:rPr>
                <w:rFonts w:eastAsiaTheme="minorEastAsia" w:cstheme="minorBidi"/>
                <w:noProof/>
                <w:sz w:val="16"/>
                <w:szCs w:val="16"/>
                <w:lang w:val="en-US" w:eastAsia="en-US"/>
              </w:rPr>
              <w:tab/>
            </w:r>
            <w:r w:rsidRPr="0044397E">
              <w:rPr>
                <w:rStyle w:val="Hyperlink"/>
                <w:rFonts w:eastAsia="MS Mincho"/>
                <w:b/>
                <w:bCs/>
                <w:i/>
                <w:noProof/>
                <w:sz w:val="16"/>
                <w:szCs w:val="16"/>
                <w:lang w:val="en-US"/>
              </w:rPr>
              <w:t>The deprivation of liberty and the acts of physical, verbal, psychological and sexual violence against Linda Loaiza López Soto</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_Toc51400083 \h </w:instrText>
            </w:r>
            <w:r w:rsidRPr="0044397E">
              <w:rPr>
                <w:noProof/>
                <w:webHidden/>
                <w:sz w:val="16"/>
                <w:szCs w:val="16"/>
              </w:rPr>
            </w:r>
            <w:r w:rsidRPr="0044397E">
              <w:rPr>
                <w:noProof/>
                <w:webHidden/>
                <w:sz w:val="16"/>
                <w:szCs w:val="16"/>
              </w:rPr>
              <w:fldChar w:fldCharType="separate"/>
            </w:r>
            <w:r w:rsidR="000E45D1">
              <w:rPr>
                <w:noProof/>
                <w:webHidden/>
                <w:sz w:val="16"/>
                <w:szCs w:val="16"/>
              </w:rPr>
              <w:t>19</w:t>
            </w:r>
            <w:r w:rsidRPr="0044397E">
              <w:rPr>
                <w:noProof/>
                <w:webHidden/>
                <w:sz w:val="16"/>
                <w:szCs w:val="16"/>
              </w:rPr>
              <w:fldChar w:fldCharType="end"/>
            </w:r>
          </w:hyperlink>
        </w:p>
        <w:p w14:paraId="1AF37DBE" w14:textId="736BC78B" w:rsidR="009D52FD" w:rsidRPr="0044397E" w:rsidRDefault="009D52FD" w:rsidP="0044397E">
          <w:pPr>
            <w:pStyle w:val="TOC2"/>
            <w:rPr>
              <w:rFonts w:eastAsiaTheme="minorEastAsia" w:cstheme="minorBidi"/>
              <w:noProof/>
              <w:sz w:val="16"/>
              <w:szCs w:val="16"/>
              <w:lang w:val="en-US" w:eastAsia="en-US"/>
            </w:rPr>
          </w:pPr>
          <w:hyperlink w:anchor="_Toc51400084" w:history="1">
            <w:r w:rsidRPr="0044397E">
              <w:rPr>
                <w:rStyle w:val="Hyperlink"/>
                <w:rFonts w:eastAsia="MS Mincho"/>
                <w:b/>
                <w:bCs/>
                <w:i/>
                <w:noProof/>
                <w:sz w:val="16"/>
                <w:szCs w:val="16"/>
                <w:lang w:val="en-US"/>
              </w:rPr>
              <w:t xml:space="preserve">C. </w:t>
            </w:r>
            <w:r w:rsidRPr="0044397E">
              <w:rPr>
                <w:rFonts w:eastAsiaTheme="minorEastAsia" w:cstheme="minorBidi"/>
                <w:noProof/>
                <w:sz w:val="16"/>
                <w:szCs w:val="16"/>
                <w:lang w:val="en-US" w:eastAsia="en-US"/>
              </w:rPr>
              <w:tab/>
            </w:r>
            <w:r w:rsidRPr="0044397E">
              <w:rPr>
                <w:rStyle w:val="Hyperlink"/>
                <w:rFonts w:eastAsia="MS Mincho"/>
                <w:b/>
                <w:bCs/>
                <w:i/>
                <w:noProof/>
                <w:sz w:val="16"/>
                <w:szCs w:val="16"/>
                <w:lang w:val="en-US"/>
              </w:rPr>
              <w:t>Actions undertaken by Linda Loaiza López Soto’s family</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_Toc51400084 \h </w:instrText>
            </w:r>
            <w:r w:rsidRPr="0044397E">
              <w:rPr>
                <w:noProof/>
                <w:webHidden/>
                <w:sz w:val="16"/>
                <w:szCs w:val="16"/>
              </w:rPr>
            </w:r>
            <w:r w:rsidRPr="0044397E">
              <w:rPr>
                <w:noProof/>
                <w:webHidden/>
                <w:sz w:val="16"/>
                <w:szCs w:val="16"/>
              </w:rPr>
              <w:fldChar w:fldCharType="separate"/>
            </w:r>
            <w:r w:rsidR="000E45D1">
              <w:rPr>
                <w:noProof/>
                <w:webHidden/>
                <w:sz w:val="16"/>
                <w:szCs w:val="16"/>
              </w:rPr>
              <w:t>21</w:t>
            </w:r>
            <w:r w:rsidRPr="0044397E">
              <w:rPr>
                <w:noProof/>
                <w:webHidden/>
                <w:sz w:val="16"/>
                <w:szCs w:val="16"/>
              </w:rPr>
              <w:fldChar w:fldCharType="end"/>
            </w:r>
          </w:hyperlink>
        </w:p>
        <w:p w14:paraId="0A2B9E32" w14:textId="26150C1E" w:rsidR="009D52FD" w:rsidRPr="0044397E" w:rsidRDefault="009D52FD" w:rsidP="0044397E">
          <w:pPr>
            <w:pStyle w:val="TOC2"/>
            <w:rPr>
              <w:rFonts w:eastAsiaTheme="minorEastAsia" w:cstheme="minorBidi"/>
              <w:noProof/>
              <w:sz w:val="16"/>
              <w:szCs w:val="16"/>
              <w:lang w:val="en-US" w:eastAsia="en-US"/>
            </w:rPr>
          </w:pPr>
          <w:hyperlink w:anchor="_Toc51400085" w:history="1">
            <w:r w:rsidRPr="0044397E">
              <w:rPr>
                <w:rStyle w:val="Hyperlink"/>
                <w:rFonts w:eastAsia="MS Mincho"/>
                <w:b/>
                <w:bCs/>
                <w:i/>
                <w:noProof/>
                <w:sz w:val="16"/>
                <w:szCs w:val="16"/>
                <w:lang w:val="en-US"/>
              </w:rPr>
              <w:t xml:space="preserve">D. </w:t>
            </w:r>
            <w:r w:rsidRPr="0044397E">
              <w:rPr>
                <w:rFonts w:eastAsiaTheme="minorEastAsia" w:cstheme="minorBidi"/>
                <w:noProof/>
                <w:sz w:val="16"/>
                <w:szCs w:val="16"/>
                <w:lang w:val="en-US" w:eastAsia="en-US"/>
              </w:rPr>
              <w:tab/>
            </w:r>
            <w:r w:rsidRPr="0044397E">
              <w:rPr>
                <w:rStyle w:val="Hyperlink"/>
                <w:rFonts w:eastAsia="MS Mincho"/>
                <w:b/>
                <w:bCs/>
                <w:i/>
                <w:noProof/>
                <w:sz w:val="16"/>
                <w:szCs w:val="16"/>
                <w:lang w:val="en-US"/>
              </w:rPr>
              <w:t>Linda Loaiza López Soto’s rescue, her reunion with her family and the physical and psychological aftereffects</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_Toc51400085 \h </w:instrText>
            </w:r>
            <w:r w:rsidRPr="0044397E">
              <w:rPr>
                <w:noProof/>
                <w:webHidden/>
                <w:sz w:val="16"/>
                <w:szCs w:val="16"/>
              </w:rPr>
            </w:r>
            <w:r w:rsidRPr="0044397E">
              <w:rPr>
                <w:noProof/>
                <w:webHidden/>
                <w:sz w:val="16"/>
                <w:szCs w:val="16"/>
              </w:rPr>
              <w:fldChar w:fldCharType="separate"/>
            </w:r>
            <w:r w:rsidR="000E45D1">
              <w:rPr>
                <w:noProof/>
                <w:webHidden/>
                <w:sz w:val="16"/>
                <w:szCs w:val="16"/>
              </w:rPr>
              <w:t>22</w:t>
            </w:r>
            <w:r w:rsidRPr="0044397E">
              <w:rPr>
                <w:noProof/>
                <w:webHidden/>
                <w:sz w:val="16"/>
                <w:szCs w:val="16"/>
              </w:rPr>
              <w:fldChar w:fldCharType="end"/>
            </w:r>
          </w:hyperlink>
        </w:p>
        <w:p w14:paraId="4660922C" w14:textId="67502F2F" w:rsidR="009D52FD" w:rsidRPr="0044397E" w:rsidRDefault="009D52FD" w:rsidP="0044397E">
          <w:pPr>
            <w:pStyle w:val="TOC2"/>
            <w:rPr>
              <w:rFonts w:eastAsiaTheme="minorEastAsia" w:cstheme="minorBidi"/>
              <w:noProof/>
              <w:sz w:val="16"/>
              <w:szCs w:val="16"/>
              <w:lang w:val="en-US" w:eastAsia="en-US"/>
            </w:rPr>
          </w:pPr>
          <w:hyperlink w:anchor="_Toc51400086" w:history="1">
            <w:r w:rsidRPr="0044397E">
              <w:rPr>
                <w:rStyle w:val="Hyperlink"/>
                <w:rFonts w:eastAsia="MS Mincho"/>
                <w:b/>
                <w:bCs/>
                <w:i/>
                <w:noProof/>
                <w:sz w:val="16"/>
                <w:szCs w:val="16"/>
                <w:lang w:val="en-US"/>
              </w:rPr>
              <w:t xml:space="preserve">E. </w:t>
            </w:r>
            <w:r w:rsidRPr="0044397E">
              <w:rPr>
                <w:rFonts w:eastAsiaTheme="minorEastAsia" w:cstheme="minorBidi"/>
                <w:noProof/>
                <w:sz w:val="16"/>
                <w:szCs w:val="16"/>
                <w:lang w:val="en-US" w:eastAsia="en-US"/>
              </w:rPr>
              <w:tab/>
            </w:r>
            <w:r w:rsidRPr="0044397E">
              <w:rPr>
                <w:rStyle w:val="Hyperlink"/>
                <w:rFonts w:eastAsia="MS Mincho"/>
                <w:b/>
                <w:bCs/>
                <w:i/>
                <w:noProof/>
                <w:sz w:val="16"/>
                <w:szCs w:val="16"/>
                <w:lang w:val="en-US"/>
              </w:rPr>
              <w:t>Investigation and judicial proceedings for the acts of violence perpetrated against Linda Loaiza López Soto</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_Toc51400086 \h </w:instrText>
            </w:r>
            <w:r w:rsidRPr="0044397E">
              <w:rPr>
                <w:noProof/>
                <w:webHidden/>
                <w:sz w:val="16"/>
                <w:szCs w:val="16"/>
              </w:rPr>
            </w:r>
            <w:r w:rsidRPr="0044397E">
              <w:rPr>
                <w:noProof/>
                <w:webHidden/>
                <w:sz w:val="16"/>
                <w:szCs w:val="16"/>
              </w:rPr>
              <w:fldChar w:fldCharType="separate"/>
            </w:r>
            <w:r w:rsidR="000E45D1">
              <w:rPr>
                <w:noProof/>
                <w:webHidden/>
                <w:sz w:val="16"/>
                <w:szCs w:val="16"/>
              </w:rPr>
              <w:t>25</w:t>
            </w:r>
            <w:r w:rsidRPr="0044397E">
              <w:rPr>
                <w:noProof/>
                <w:webHidden/>
                <w:sz w:val="16"/>
                <w:szCs w:val="16"/>
              </w:rPr>
              <w:fldChar w:fldCharType="end"/>
            </w:r>
          </w:hyperlink>
        </w:p>
        <w:p w14:paraId="01D469B2" w14:textId="4AD4D08B" w:rsidR="009D52FD" w:rsidRPr="0044397E" w:rsidRDefault="009D52FD" w:rsidP="0044397E">
          <w:pPr>
            <w:pStyle w:val="TOC2"/>
            <w:rPr>
              <w:rFonts w:eastAsiaTheme="minorEastAsia" w:cstheme="minorBidi"/>
              <w:noProof/>
              <w:sz w:val="16"/>
              <w:szCs w:val="16"/>
              <w:lang w:val="en-US" w:eastAsia="en-US"/>
            </w:rPr>
          </w:pPr>
          <w:hyperlink w:anchor="_Toc51400087" w:history="1">
            <w:r w:rsidRPr="0044397E">
              <w:rPr>
                <w:rStyle w:val="Hyperlink"/>
                <w:rFonts w:eastAsia="MS Mincho"/>
                <w:b/>
                <w:bCs/>
                <w:i/>
                <w:noProof/>
                <w:sz w:val="16"/>
                <w:szCs w:val="16"/>
                <w:lang w:val="en-US"/>
              </w:rPr>
              <w:t xml:space="preserve">F. </w:t>
            </w:r>
            <w:r w:rsidRPr="0044397E">
              <w:rPr>
                <w:rFonts w:eastAsiaTheme="minorEastAsia" w:cstheme="minorBidi"/>
                <w:noProof/>
                <w:sz w:val="16"/>
                <w:szCs w:val="16"/>
                <w:lang w:val="en-US" w:eastAsia="en-US"/>
              </w:rPr>
              <w:tab/>
            </w:r>
            <w:r w:rsidRPr="0044397E">
              <w:rPr>
                <w:rStyle w:val="Hyperlink"/>
                <w:rFonts w:eastAsia="MS Mincho"/>
                <w:b/>
                <w:bCs/>
                <w:i/>
                <w:noProof/>
                <w:sz w:val="16"/>
                <w:szCs w:val="16"/>
                <w:lang w:val="en-US"/>
              </w:rPr>
              <w:t>Venezuela’s legal framework</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_Toc51400087 \h </w:instrText>
            </w:r>
            <w:r w:rsidRPr="0044397E">
              <w:rPr>
                <w:noProof/>
                <w:webHidden/>
                <w:sz w:val="16"/>
                <w:szCs w:val="16"/>
              </w:rPr>
            </w:r>
            <w:r w:rsidRPr="0044397E">
              <w:rPr>
                <w:noProof/>
                <w:webHidden/>
                <w:sz w:val="16"/>
                <w:szCs w:val="16"/>
              </w:rPr>
              <w:fldChar w:fldCharType="separate"/>
            </w:r>
            <w:r w:rsidR="000E45D1">
              <w:rPr>
                <w:noProof/>
                <w:webHidden/>
                <w:sz w:val="16"/>
                <w:szCs w:val="16"/>
              </w:rPr>
              <w:t>35</w:t>
            </w:r>
            <w:r w:rsidRPr="0044397E">
              <w:rPr>
                <w:noProof/>
                <w:webHidden/>
                <w:sz w:val="16"/>
                <w:szCs w:val="16"/>
              </w:rPr>
              <w:fldChar w:fldCharType="end"/>
            </w:r>
          </w:hyperlink>
        </w:p>
        <w:p w14:paraId="4CE77E9F" w14:textId="07AE39F1" w:rsidR="009D52FD" w:rsidRPr="0044397E" w:rsidRDefault="009D52FD" w:rsidP="0044397E">
          <w:pPr>
            <w:pStyle w:val="TOC1"/>
            <w:spacing w:line="240" w:lineRule="auto"/>
            <w:rPr>
              <w:rFonts w:eastAsiaTheme="minorEastAsia" w:cstheme="minorBidi"/>
              <w:noProof/>
              <w:sz w:val="16"/>
              <w:szCs w:val="16"/>
              <w:lang w:val="en-US" w:eastAsia="en-US"/>
            </w:rPr>
          </w:pPr>
          <w:hyperlink w:anchor="_Toc51400088" w:history="1">
            <w:r w:rsidRPr="0044397E">
              <w:rPr>
                <w:rStyle w:val="Hyperlink"/>
                <w:rFonts w:cs="Verdana"/>
                <w:b/>
                <w:bCs/>
                <w:caps/>
                <w:noProof/>
                <w:snapToGrid w:val="0"/>
                <w:sz w:val="16"/>
                <w:szCs w:val="16"/>
                <w:lang w:val="en-US"/>
              </w:rPr>
              <w:t>vIii MERITS</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_Toc51400088 \h </w:instrText>
            </w:r>
            <w:r w:rsidRPr="0044397E">
              <w:rPr>
                <w:noProof/>
                <w:webHidden/>
                <w:sz w:val="16"/>
                <w:szCs w:val="16"/>
              </w:rPr>
            </w:r>
            <w:r w:rsidRPr="0044397E">
              <w:rPr>
                <w:noProof/>
                <w:webHidden/>
                <w:sz w:val="16"/>
                <w:szCs w:val="16"/>
              </w:rPr>
              <w:fldChar w:fldCharType="separate"/>
            </w:r>
            <w:r w:rsidR="000E45D1">
              <w:rPr>
                <w:noProof/>
                <w:webHidden/>
                <w:sz w:val="16"/>
                <w:szCs w:val="16"/>
              </w:rPr>
              <w:t>38</w:t>
            </w:r>
            <w:r w:rsidRPr="0044397E">
              <w:rPr>
                <w:noProof/>
                <w:webHidden/>
                <w:sz w:val="16"/>
                <w:szCs w:val="16"/>
              </w:rPr>
              <w:fldChar w:fldCharType="end"/>
            </w:r>
          </w:hyperlink>
        </w:p>
        <w:p w14:paraId="67F17300" w14:textId="675C86FC" w:rsidR="009D52FD" w:rsidRPr="0044397E" w:rsidRDefault="009D52FD" w:rsidP="0044397E">
          <w:pPr>
            <w:pStyle w:val="TOC1"/>
            <w:spacing w:line="240" w:lineRule="auto"/>
            <w:rPr>
              <w:rFonts w:eastAsiaTheme="minorEastAsia" w:cstheme="minorBidi"/>
              <w:noProof/>
              <w:sz w:val="16"/>
              <w:szCs w:val="16"/>
              <w:lang w:val="en-US" w:eastAsia="en-US"/>
            </w:rPr>
          </w:pPr>
          <w:hyperlink w:anchor="_Toc51400089" w:history="1">
            <w:r w:rsidRPr="0044397E">
              <w:rPr>
                <w:rStyle w:val="Hyperlink"/>
                <w:rFonts w:cs="Arial"/>
                <w:b/>
                <w:bCs/>
                <w:caps/>
                <w:noProof/>
                <w:kern w:val="2"/>
                <w:sz w:val="16"/>
                <w:szCs w:val="16"/>
                <w:lang w:val="en-US" w:eastAsia="en-US"/>
              </w:rPr>
              <w:t xml:space="preserve">VIII-1 RIGHTS TO RECOGNITION OF JURIDICAL PERSONALITY, personal INTEGRITY, PROHIBITION OF TORTURE AND OTHER CRUEL, INHUMAN OR DEGRADING TREATMENt, PROHIBITION OF SLAVERY, PERSONAL LIBERTY, Dignity, autonomy and privacy, </w:t>
            </w:r>
            <w:r w:rsidRPr="0044397E">
              <w:rPr>
                <w:rStyle w:val="Hyperlink"/>
                <w:rFonts w:cs="Verdana"/>
                <w:b/>
                <w:bCs/>
                <w:caps/>
                <w:noProof/>
                <w:snapToGrid w:val="0"/>
                <w:sz w:val="16"/>
                <w:szCs w:val="16"/>
                <w:lang w:val="en-US"/>
              </w:rPr>
              <w:t>Movement and residence AND</w:t>
            </w:r>
            <w:r w:rsidRPr="0044397E">
              <w:rPr>
                <w:rStyle w:val="Hyperlink"/>
                <w:rFonts w:cs="Arial"/>
                <w:b/>
                <w:bCs/>
                <w:caps/>
                <w:noProof/>
                <w:kern w:val="2"/>
                <w:sz w:val="16"/>
                <w:szCs w:val="16"/>
                <w:lang w:val="en-US" w:eastAsia="en-US"/>
              </w:rPr>
              <w:t xml:space="preserve"> Equality before the law, </w:t>
            </w:r>
            <w:r w:rsidRPr="0044397E">
              <w:rPr>
                <w:rStyle w:val="Hyperlink"/>
                <w:rFonts w:cs="Verdana"/>
                <w:b/>
                <w:bCs/>
                <w:caps/>
                <w:noProof/>
                <w:snapToGrid w:val="0"/>
                <w:sz w:val="16"/>
                <w:szCs w:val="16"/>
                <w:lang w:val="en-US"/>
              </w:rPr>
              <w:t>IN RELATION TO the obligation to respeCt and to ensure These rights WITHOUT DISCRIMINATION,</w:t>
            </w:r>
            <w:r w:rsidRPr="0044397E">
              <w:rPr>
                <w:rStyle w:val="Hyperlink"/>
                <w:rFonts w:cs="Arial"/>
                <w:b/>
                <w:bCs/>
                <w:caps/>
                <w:noProof/>
                <w:kern w:val="2"/>
                <w:sz w:val="16"/>
                <w:szCs w:val="16"/>
                <w:lang w:val="en-US" w:eastAsia="en-US"/>
              </w:rPr>
              <w:t xml:space="preserve"> AS WELL AS to Article 7(a) and (B) of the Convention of Belém do pará and ARTICLES 1, 6 and 8 OF THE ICPPT</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_Toc51400089 \h </w:instrText>
            </w:r>
            <w:r w:rsidRPr="0044397E">
              <w:rPr>
                <w:noProof/>
                <w:webHidden/>
                <w:sz w:val="16"/>
                <w:szCs w:val="16"/>
              </w:rPr>
            </w:r>
            <w:r w:rsidRPr="0044397E">
              <w:rPr>
                <w:noProof/>
                <w:webHidden/>
                <w:sz w:val="16"/>
                <w:szCs w:val="16"/>
              </w:rPr>
              <w:fldChar w:fldCharType="separate"/>
            </w:r>
            <w:r w:rsidR="000E45D1">
              <w:rPr>
                <w:noProof/>
                <w:webHidden/>
                <w:sz w:val="16"/>
                <w:szCs w:val="16"/>
              </w:rPr>
              <w:t>39</w:t>
            </w:r>
            <w:r w:rsidRPr="0044397E">
              <w:rPr>
                <w:noProof/>
                <w:webHidden/>
                <w:sz w:val="16"/>
                <w:szCs w:val="16"/>
              </w:rPr>
              <w:fldChar w:fldCharType="end"/>
            </w:r>
          </w:hyperlink>
        </w:p>
        <w:p w14:paraId="34D5C4A8" w14:textId="71AA77C3" w:rsidR="009D52FD" w:rsidRPr="0044397E" w:rsidRDefault="009D52FD" w:rsidP="0044397E">
          <w:pPr>
            <w:pStyle w:val="TOC2"/>
            <w:rPr>
              <w:rFonts w:eastAsiaTheme="minorEastAsia" w:cstheme="minorBidi"/>
              <w:noProof/>
              <w:sz w:val="16"/>
              <w:szCs w:val="16"/>
              <w:lang w:val="en-US" w:eastAsia="en-US"/>
            </w:rPr>
          </w:pPr>
          <w:hyperlink w:anchor="_Toc51400090" w:history="1">
            <w:r w:rsidRPr="0044397E">
              <w:rPr>
                <w:rStyle w:val="Hyperlink"/>
                <w:rFonts w:eastAsia="MS Mincho" w:cs="Arial"/>
                <w:b/>
                <w:bCs/>
                <w:i/>
                <w:noProof/>
                <w:sz w:val="16"/>
                <w:szCs w:val="16"/>
                <w:lang w:val="en-US" w:eastAsia="en-US"/>
              </w:rPr>
              <w:t>A.</w:t>
            </w:r>
            <w:r w:rsidRPr="0044397E">
              <w:rPr>
                <w:rFonts w:eastAsiaTheme="minorEastAsia" w:cstheme="minorBidi"/>
                <w:noProof/>
                <w:sz w:val="16"/>
                <w:szCs w:val="16"/>
                <w:lang w:val="en-US" w:eastAsia="en-US"/>
              </w:rPr>
              <w:tab/>
            </w:r>
            <w:r w:rsidRPr="0044397E">
              <w:rPr>
                <w:rStyle w:val="Hyperlink"/>
                <w:rFonts w:eastAsia="MS Mincho" w:cs="Arial"/>
                <w:b/>
                <w:bCs/>
                <w:i/>
                <w:noProof/>
                <w:sz w:val="16"/>
                <w:szCs w:val="16"/>
                <w:lang w:val="en-US" w:eastAsia="en-US"/>
              </w:rPr>
              <w:t>Arguments of the parties and of the Commission</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_Toc51400090 \h </w:instrText>
            </w:r>
            <w:r w:rsidRPr="0044397E">
              <w:rPr>
                <w:noProof/>
                <w:webHidden/>
                <w:sz w:val="16"/>
                <w:szCs w:val="16"/>
              </w:rPr>
            </w:r>
            <w:r w:rsidRPr="0044397E">
              <w:rPr>
                <w:noProof/>
                <w:webHidden/>
                <w:sz w:val="16"/>
                <w:szCs w:val="16"/>
              </w:rPr>
              <w:fldChar w:fldCharType="separate"/>
            </w:r>
            <w:r w:rsidR="000E45D1">
              <w:rPr>
                <w:noProof/>
                <w:webHidden/>
                <w:sz w:val="16"/>
                <w:szCs w:val="16"/>
              </w:rPr>
              <w:t>39</w:t>
            </w:r>
            <w:r w:rsidRPr="0044397E">
              <w:rPr>
                <w:noProof/>
                <w:webHidden/>
                <w:sz w:val="16"/>
                <w:szCs w:val="16"/>
              </w:rPr>
              <w:fldChar w:fldCharType="end"/>
            </w:r>
          </w:hyperlink>
        </w:p>
        <w:p w14:paraId="07E62BF7" w14:textId="1D7413DB" w:rsidR="009D52FD" w:rsidRPr="0044397E" w:rsidRDefault="009D52FD" w:rsidP="0044397E">
          <w:pPr>
            <w:pStyle w:val="TOC2"/>
            <w:rPr>
              <w:rFonts w:eastAsiaTheme="minorEastAsia" w:cstheme="minorBidi"/>
              <w:noProof/>
              <w:sz w:val="16"/>
              <w:szCs w:val="16"/>
              <w:lang w:val="en-US" w:eastAsia="en-US"/>
            </w:rPr>
          </w:pPr>
          <w:hyperlink w:anchor="_Toc51400091" w:history="1">
            <w:r w:rsidRPr="0044397E">
              <w:rPr>
                <w:rStyle w:val="Hyperlink"/>
                <w:rFonts w:eastAsia="MS Mincho" w:cs="Arial"/>
                <w:b/>
                <w:bCs/>
                <w:i/>
                <w:noProof/>
                <w:sz w:val="16"/>
                <w:szCs w:val="16"/>
                <w:lang w:val="en-US" w:eastAsia="en-US"/>
              </w:rPr>
              <w:t>B.</w:t>
            </w:r>
            <w:r w:rsidRPr="0044397E">
              <w:rPr>
                <w:rFonts w:eastAsiaTheme="minorEastAsia" w:cstheme="minorBidi"/>
                <w:noProof/>
                <w:sz w:val="16"/>
                <w:szCs w:val="16"/>
                <w:lang w:val="en-US" w:eastAsia="en-US"/>
              </w:rPr>
              <w:tab/>
            </w:r>
            <w:r w:rsidRPr="0044397E">
              <w:rPr>
                <w:rStyle w:val="Hyperlink"/>
                <w:rFonts w:eastAsia="MS Mincho" w:cs="Arial"/>
                <w:b/>
                <w:bCs/>
                <w:i/>
                <w:noProof/>
                <w:sz w:val="16"/>
                <w:szCs w:val="16"/>
                <w:lang w:val="en-US" w:eastAsia="en-US"/>
              </w:rPr>
              <w:t>Considerations of the Court</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_Toc51400091 \h </w:instrText>
            </w:r>
            <w:r w:rsidRPr="0044397E">
              <w:rPr>
                <w:noProof/>
                <w:webHidden/>
                <w:sz w:val="16"/>
                <w:szCs w:val="16"/>
              </w:rPr>
            </w:r>
            <w:r w:rsidRPr="0044397E">
              <w:rPr>
                <w:noProof/>
                <w:webHidden/>
                <w:sz w:val="16"/>
                <w:szCs w:val="16"/>
              </w:rPr>
              <w:fldChar w:fldCharType="separate"/>
            </w:r>
            <w:r w:rsidR="000E45D1">
              <w:rPr>
                <w:noProof/>
                <w:webHidden/>
                <w:sz w:val="16"/>
                <w:szCs w:val="16"/>
              </w:rPr>
              <w:t>42</w:t>
            </w:r>
            <w:r w:rsidRPr="0044397E">
              <w:rPr>
                <w:noProof/>
                <w:webHidden/>
                <w:sz w:val="16"/>
                <w:szCs w:val="16"/>
              </w:rPr>
              <w:fldChar w:fldCharType="end"/>
            </w:r>
          </w:hyperlink>
        </w:p>
        <w:p w14:paraId="2431486C" w14:textId="3BEF81E6" w:rsidR="009D52FD" w:rsidRPr="0044397E" w:rsidRDefault="009D52FD" w:rsidP="0044397E">
          <w:pPr>
            <w:pStyle w:val="TOC2"/>
            <w:rPr>
              <w:rFonts w:eastAsiaTheme="minorEastAsia" w:cstheme="minorBidi"/>
              <w:noProof/>
              <w:sz w:val="16"/>
              <w:szCs w:val="16"/>
              <w:lang w:val="en-US" w:eastAsia="en-US"/>
            </w:rPr>
          </w:pPr>
          <w:hyperlink w:anchor="_Toc51400092" w:history="1">
            <w:r w:rsidRPr="0044397E">
              <w:rPr>
                <w:rStyle w:val="Hyperlink"/>
                <w:rFonts w:eastAsia="MS Mincho" w:cs="Arial"/>
                <w:bCs/>
                <w:i/>
                <w:noProof/>
                <w:sz w:val="16"/>
                <w:szCs w:val="16"/>
                <w:lang w:val="en-US" w:eastAsia="en-US"/>
              </w:rPr>
              <w:t xml:space="preserve">B.1 </w:t>
            </w:r>
            <w:r w:rsidRPr="0044397E">
              <w:rPr>
                <w:rFonts w:eastAsiaTheme="minorEastAsia" w:cstheme="minorBidi"/>
                <w:noProof/>
                <w:sz w:val="16"/>
                <w:szCs w:val="16"/>
                <w:lang w:val="en-US" w:eastAsia="en-US"/>
              </w:rPr>
              <w:tab/>
            </w:r>
            <w:r w:rsidRPr="0044397E">
              <w:rPr>
                <w:rStyle w:val="Hyperlink"/>
                <w:rFonts w:eastAsia="MS Mincho" w:cs="Arial"/>
                <w:bCs/>
                <w:i/>
                <w:noProof/>
                <w:sz w:val="16"/>
                <w:szCs w:val="16"/>
                <w:lang w:val="en-US" w:eastAsia="en-US"/>
              </w:rPr>
              <w:t>State obligations in light of the American Convention and Article 7 of the Convention of Belém do Pará in cases of violence against women</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_Toc51400092 \h </w:instrText>
            </w:r>
            <w:r w:rsidRPr="0044397E">
              <w:rPr>
                <w:noProof/>
                <w:webHidden/>
                <w:sz w:val="16"/>
                <w:szCs w:val="16"/>
              </w:rPr>
            </w:r>
            <w:r w:rsidRPr="0044397E">
              <w:rPr>
                <w:noProof/>
                <w:webHidden/>
                <w:sz w:val="16"/>
                <w:szCs w:val="16"/>
              </w:rPr>
              <w:fldChar w:fldCharType="separate"/>
            </w:r>
            <w:r w:rsidR="000E45D1">
              <w:rPr>
                <w:noProof/>
                <w:webHidden/>
                <w:sz w:val="16"/>
                <w:szCs w:val="16"/>
              </w:rPr>
              <w:t>43</w:t>
            </w:r>
            <w:r w:rsidRPr="0044397E">
              <w:rPr>
                <w:noProof/>
                <w:webHidden/>
                <w:sz w:val="16"/>
                <w:szCs w:val="16"/>
              </w:rPr>
              <w:fldChar w:fldCharType="end"/>
            </w:r>
          </w:hyperlink>
        </w:p>
        <w:p w14:paraId="11B418BA" w14:textId="207397B0" w:rsidR="009D52FD" w:rsidRPr="0044397E" w:rsidRDefault="009D52FD" w:rsidP="0044397E">
          <w:pPr>
            <w:pStyle w:val="TOC2"/>
            <w:rPr>
              <w:rFonts w:eastAsiaTheme="minorEastAsia" w:cstheme="minorBidi"/>
              <w:noProof/>
              <w:sz w:val="16"/>
              <w:szCs w:val="16"/>
              <w:lang w:val="en-US" w:eastAsia="en-US"/>
            </w:rPr>
          </w:pPr>
          <w:hyperlink w:anchor="_Toc51400093" w:history="1">
            <w:r w:rsidRPr="0044397E">
              <w:rPr>
                <w:rStyle w:val="Hyperlink"/>
                <w:rFonts w:eastAsia="MS Mincho" w:cs="Arial"/>
                <w:bCs/>
                <w:i/>
                <w:noProof/>
                <w:sz w:val="16"/>
                <w:szCs w:val="16"/>
                <w:lang w:val="en-US" w:eastAsia="en-US"/>
              </w:rPr>
              <w:t>B.2</w:t>
            </w:r>
            <w:r w:rsidRPr="0044397E">
              <w:rPr>
                <w:rFonts w:eastAsiaTheme="minorEastAsia" w:cstheme="minorBidi"/>
                <w:noProof/>
                <w:sz w:val="16"/>
                <w:szCs w:val="16"/>
                <w:lang w:val="en-US" w:eastAsia="en-US"/>
              </w:rPr>
              <w:tab/>
            </w:r>
            <w:r w:rsidRPr="0044397E">
              <w:rPr>
                <w:rStyle w:val="Hyperlink"/>
                <w:rFonts w:eastAsia="MS Mincho" w:cs="Arial"/>
                <w:bCs/>
                <w:i/>
                <w:noProof/>
                <w:sz w:val="16"/>
                <w:szCs w:val="16"/>
                <w:lang w:val="en-US" w:eastAsia="en-US"/>
              </w:rPr>
              <w:t>Attribution to the State of responsibility for acts of private individuals</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_Toc51400093 \h </w:instrText>
            </w:r>
            <w:r w:rsidRPr="0044397E">
              <w:rPr>
                <w:noProof/>
                <w:webHidden/>
                <w:sz w:val="16"/>
                <w:szCs w:val="16"/>
              </w:rPr>
            </w:r>
            <w:r w:rsidRPr="0044397E">
              <w:rPr>
                <w:noProof/>
                <w:webHidden/>
                <w:sz w:val="16"/>
                <w:szCs w:val="16"/>
              </w:rPr>
              <w:fldChar w:fldCharType="separate"/>
            </w:r>
            <w:r w:rsidR="000E45D1">
              <w:rPr>
                <w:noProof/>
                <w:webHidden/>
                <w:sz w:val="16"/>
                <w:szCs w:val="16"/>
              </w:rPr>
              <w:t>46</w:t>
            </w:r>
            <w:r w:rsidRPr="0044397E">
              <w:rPr>
                <w:noProof/>
                <w:webHidden/>
                <w:sz w:val="16"/>
                <w:szCs w:val="16"/>
              </w:rPr>
              <w:fldChar w:fldCharType="end"/>
            </w:r>
          </w:hyperlink>
        </w:p>
        <w:p w14:paraId="4525419B" w14:textId="3FADA68F" w:rsidR="009D52FD" w:rsidRPr="0044397E" w:rsidRDefault="009D52FD" w:rsidP="0044397E">
          <w:pPr>
            <w:pStyle w:val="TOC2"/>
            <w:rPr>
              <w:rFonts w:eastAsiaTheme="minorEastAsia" w:cstheme="minorBidi"/>
              <w:noProof/>
              <w:sz w:val="16"/>
              <w:szCs w:val="16"/>
              <w:lang w:val="en-US" w:eastAsia="en-US"/>
            </w:rPr>
          </w:pPr>
          <w:hyperlink w:anchor="_Toc51400094" w:history="1">
            <w:r w:rsidRPr="0044397E">
              <w:rPr>
                <w:rStyle w:val="Hyperlink"/>
                <w:rFonts w:eastAsia="MS Mincho" w:cs="Arial"/>
                <w:bCs/>
                <w:i/>
                <w:noProof/>
                <w:sz w:val="16"/>
                <w:szCs w:val="16"/>
                <w:lang w:val="en-US" w:eastAsia="en-US"/>
              </w:rPr>
              <w:t xml:space="preserve">B.3 </w:t>
            </w:r>
            <w:r w:rsidRPr="0044397E">
              <w:rPr>
                <w:rFonts w:eastAsiaTheme="minorEastAsia" w:cstheme="minorBidi"/>
                <w:noProof/>
                <w:sz w:val="16"/>
                <w:szCs w:val="16"/>
                <w:lang w:val="en-US" w:eastAsia="en-US"/>
              </w:rPr>
              <w:tab/>
            </w:r>
            <w:r w:rsidRPr="0044397E">
              <w:rPr>
                <w:rStyle w:val="Hyperlink"/>
                <w:rFonts w:eastAsia="MS Mincho" w:cs="Arial"/>
                <w:bCs/>
                <w:i/>
                <w:noProof/>
                <w:sz w:val="16"/>
                <w:szCs w:val="16"/>
                <w:lang w:val="en-US" w:eastAsia="en-US"/>
              </w:rPr>
              <w:t>Analysis of attribution of responsibility in this specific case</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_Toc51400094 \h </w:instrText>
            </w:r>
            <w:r w:rsidRPr="0044397E">
              <w:rPr>
                <w:noProof/>
                <w:webHidden/>
                <w:sz w:val="16"/>
                <w:szCs w:val="16"/>
              </w:rPr>
            </w:r>
            <w:r w:rsidRPr="0044397E">
              <w:rPr>
                <w:noProof/>
                <w:webHidden/>
                <w:sz w:val="16"/>
                <w:szCs w:val="16"/>
              </w:rPr>
              <w:fldChar w:fldCharType="separate"/>
            </w:r>
            <w:r w:rsidR="000E45D1">
              <w:rPr>
                <w:noProof/>
                <w:webHidden/>
                <w:sz w:val="16"/>
                <w:szCs w:val="16"/>
              </w:rPr>
              <w:t>49</w:t>
            </w:r>
            <w:r w:rsidRPr="0044397E">
              <w:rPr>
                <w:noProof/>
                <w:webHidden/>
                <w:sz w:val="16"/>
                <w:szCs w:val="16"/>
              </w:rPr>
              <w:fldChar w:fldCharType="end"/>
            </w:r>
          </w:hyperlink>
        </w:p>
        <w:p w14:paraId="4152AD54" w14:textId="19F1795A" w:rsidR="009D52FD" w:rsidRPr="0044397E" w:rsidRDefault="009D52FD" w:rsidP="0044397E">
          <w:pPr>
            <w:pStyle w:val="TOC2"/>
            <w:rPr>
              <w:rFonts w:eastAsiaTheme="minorEastAsia" w:cstheme="minorBidi"/>
              <w:noProof/>
              <w:sz w:val="16"/>
              <w:szCs w:val="16"/>
              <w:lang w:val="en-US" w:eastAsia="en-US"/>
            </w:rPr>
          </w:pPr>
          <w:hyperlink w:anchor="_Toc51400095" w:history="1">
            <w:r w:rsidRPr="0044397E">
              <w:rPr>
                <w:rStyle w:val="Hyperlink"/>
                <w:rFonts w:eastAsia="MS Mincho" w:cs="Arial"/>
                <w:bCs/>
                <w:i/>
                <w:noProof/>
                <w:sz w:val="16"/>
                <w:szCs w:val="16"/>
                <w:lang w:val="en-US" w:eastAsia="en-US"/>
              </w:rPr>
              <w:t xml:space="preserve">B.4 </w:t>
            </w:r>
            <w:r w:rsidRPr="0044397E">
              <w:rPr>
                <w:rFonts w:eastAsiaTheme="minorEastAsia" w:cstheme="minorBidi"/>
                <w:noProof/>
                <w:sz w:val="16"/>
                <w:szCs w:val="16"/>
                <w:lang w:val="en-US" w:eastAsia="en-US"/>
              </w:rPr>
              <w:tab/>
            </w:r>
            <w:r w:rsidRPr="0044397E">
              <w:rPr>
                <w:rStyle w:val="Hyperlink"/>
                <w:rFonts w:eastAsia="MS Mincho" w:cs="Arial"/>
                <w:bCs/>
                <w:i/>
                <w:noProof/>
                <w:sz w:val="16"/>
                <w:szCs w:val="16"/>
                <w:lang w:val="en-US" w:eastAsia="en-US"/>
              </w:rPr>
              <w:t>State responsibility for sexual slavery</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_Toc51400095 \h </w:instrText>
            </w:r>
            <w:r w:rsidRPr="0044397E">
              <w:rPr>
                <w:noProof/>
                <w:webHidden/>
                <w:sz w:val="16"/>
                <w:szCs w:val="16"/>
              </w:rPr>
            </w:r>
            <w:r w:rsidRPr="0044397E">
              <w:rPr>
                <w:noProof/>
                <w:webHidden/>
                <w:sz w:val="16"/>
                <w:szCs w:val="16"/>
              </w:rPr>
              <w:fldChar w:fldCharType="separate"/>
            </w:r>
            <w:r w:rsidR="000E45D1">
              <w:rPr>
                <w:noProof/>
                <w:webHidden/>
                <w:sz w:val="16"/>
                <w:szCs w:val="16"/>
              </w:rPr>
              <w:t>55</w:t>
            </w:r>
            <w:r w:rsidRPr="0044397E">
              <w:rPr>
                <w:noProof/>
                <w:webHidden/>
                <w:sz w:val="16"/>
                <w:szCs w:val="16"/>
              </w:rPr>
              <w:fldChar w:fldCharType="end"/>
            </w:r>
          </w:hyperlink>
        </w:p>
        <w:p w14:paraId="1BD03713" w14:textId="42FFD685" w:rsidR="009D52FD" w:rsidRPr="0044397E" w:rsidRDefault="009D52FD" w:rsidP="0044397E">
          <w:pPr>
            <w:pStyle w:val="TOC2"/>
            <w:rPr>
              <w:rFonts w:eastAsiaTheme="minorEastAsia" w:cstheme="minorBidi"/>
              <w:noProof/>
              <w:sz w:val="16"/>
              <w:szCs w:val="16"/>
              <w:lang w:val="en-US" w:eastAsia="en-US"/>
            </w:rPr>
          </w:pPr>
          <w:hyperlink w:anchor="_Toc51400096" w:history="1">
            <w:r w:rsidRPr="0044397E">
              <w:rPr>
                <w:rStyle w:val="Hyperlink"/>
                <w:rFonts w:eastAsia="MS Mincho" w:cs="Arial"/>
                <w:bCs/>
                <w:i/>
                <w:noProof/>
                <w:sz w:val="16"/>
                <w:szCs w:val="16"/>
                <w:lang w:val="en-US" w:eastAsia="en-US"/>
              </w:rPr>
              <w:t xml:space="preserve">B.5 </w:t>
            </w:r>
            <w:r w:rsidRPr="0044397E">
              <w:rPr>
                <w:rFonts w:eastAsiaTheme="minorEastAsia" w:cstheme="minorBidi"/>
                <w:noProof/>
                <w:sz w:val="16"/>
                <w:szCs w:val="16"/>
                <w:lang w:val="en-US" w:eastAsia="en-US"/>
              </w:rPr>
              <w:tab/>
            </w:r>
            <w:r w:rsidRPr="0044397E">
              <w:rPr>
                <w:rStyle w:val="Hyperlink"/>
                <w:rFonts w:eastAsia="MS Mincho" w:cs="Arial"/>
                <w:bCs/>
                <w:i/>
                <w:noProof/>
                <w:sz w:val="16"/>
                <w:szCs w:val="16"/>
                <w:lang w:val="en-US" w:eastAsia="en-US"/>
              </w:rPr>
              <w:t>State responsibility for acts of torture</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_Toc51400096 \h </w:instrText>
            </w:r>
            <w:r w:rsidRPr="0044397E">
              <w:rPr>
                <w:noProof/>
                <w:webHidden/>
                <w:sz w:val="16"/>
                <w:szCs w:val="16"/>
              </w:rPr>
            </w:r>
            <w:r w:rsidRPr="0044397E">
              <w:rPr>
                <w:noProof/>
                <w:webHidden/>
                <w:sz w:val="16"/>
                <w:szCs w:val="16"/>
              </w:rPr>
              <w:fldChar w:fldCharType="separate"/>
            </w:r>
            <w:r w:rsidR="000E45D1">
              <w:rPr>
                <w:noProof/>
                <w:webHidden/>
                <w:sz w:val="16"/>
                <w:szCs w:val="16"/>
              </w:rPr>
              <w:t>58</w:t>
            </w:r>
            <w:r w:rsidRPr="0044397E">
              <w:rPr>
                <w:noProof/>
                <w:webHidden/>
                <w:sz w:val="16"/>
                <w:szCs w:val="16"/>
              </w:rPr>
              <w:fldChar w:fldCharType="end"/>
            </w:r>
          </w:hyperlink>
        </w:p>
        <w:p w14:paraId="1DDD994A" w14:textId="76F35BF2" w:rsidR="009D52FD" w:rsidRPr="0044397E" w:rsidRDefault="009D52FD" w:rsidP="0044397E">
          <w:pPr>
            <w:pStyle w:val="TOC2"/>
            <w:rPr>
              <w:rFonts w:eastAsiaTheme="minorEastAsia" w:cstheme="minorBidi"/>
              <w:noProof/>
              <w:sz w:val="16"/>
              <w:szCs w:val="16"/>
              <w:lang w:val="en-US" w:eastAsia="en-US"/>
            </w:rPr>
          </w:pPr>
          <w:hyperlink w:anchor="_Toc51400097" w:history="1">
            <w:r w:rsidRPr="0044397E">
              <w:rPr>
                <w:rStyle w:val="Hyperlink"/>
                <w:rFonts w:eastAsia="MS Mincho" w:cs="Arial"/>
                <w:bCs/>
                <w:i/>
                <w:noProof/>
                <w:sz w:val="16"/>
                <w:szCs w:val="16"/>
                <w:lang w:val="en-US" w:eastAsia="en-US"/>
              </w:rPr>
              <w:t xml:space="preserve">B.6 </w:t>
            </w:r>
            <w:r w:rsidRPr="0044397E">
              <w:rPr>
                <w:rFonts w:eastAsiaTheme="minorEastAsia" w:cstheme="minorBidi"/>
                <w:noProof/>
                <w:sz w:val="16"/>
                <w:szCs w:val="16"/>
                <w:lang w:val="en-US" w:eastAsia="en-US"/>
              </w:rPr>
              <w:tab/>
            </w:r>
            <w:r w:rsidRPr="0044397E">
              <w:rPr>
                <w:rStyle w:val="Hyperlink"/>
                <w:rFonts w:eastAsia="MS Mincho" w:cs="Arial"/>
                <w:bCs/>
                <w:i/>
                <w:noProof/>
                <w:sz w:val="16"/>
                <w:szCs w:val="16"/>
                <w:lang w:val="en-US" w:eastAsia="en-US"/>
              </w:rPr>
              <w:t>Conclusion</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_Toc51400097 \h </w:instrText>
            </w:r>
            <w:r w:rsidRPr="0044397E">
              <w:rPr>
                <w:noProof/>
                <w:webHidden/>
                <w:sz w:val="16"/>
                <w:szCs w:val="16"/>
              </w:rPr>
            </w:r>
            <w:r w:rsidRPr="0044397E">
              <w:rPr>
                <w:noProof/>
                <w:webHidden/>
                <w:sz w:val="16"/>
                <w:szCs w:val="16"/>
              </w:rPr>
              <w:fldChar w:fldCharType="separate"/>
            </w:r>
            <w:r w:rsidR="000E45D1">
              <w:rPr>
                <w:noProof/>
                <w:webHidden/>
                <w:sz w:val="16"/>
                <w:szCs w:val="16"/>
              </w:rPr>
              <w:t>62</w:t>
            </w:r>
            <w:r w:rsidRPr="0044397E">
              <w:rPr>
                <w:noProof/>
                <w:webHidden/>
                <w:sz w:val="16"/>
                <w:szCs w:val="16"/>
              </w:rPr>
              <w:fldChar w:fldCharType="end"/>
            </w:r>
          </w:hyperlink>
        </w:p>
        <w:p w14:paraId="594E6700" w14:textId="3E900BD2" w:rsidR="009D52FD" w:rsidRPr="0044397E" w:rsidRDefault="009D52FD" w:rsidP="0044397E">
          <w:pPr>
            <w:pStyle w:val="TOC1"/>
            <w:spacing w:line="240" w:lineRule="auto"/>
            <w:rPr>
              <w:rFonts w:eastAsiaTheme="minorEastAsia" w:cstheme="minorBidi"/>
              <w:noProof/>
              <w:sz w:val="16"/>
              <w:szCs w:val="16"/>
              <w:lang w:val="en-US" w:eastAsia="en-US"/>
            </w:rPr>
          </w:pPr>
          <w:hyperlink w:anchor="_Toc51400098" w:history="1">
            <w:r w:rsidRPr="0044397E">
              <w:rPr>
                <w:rStyle w:val="Hyperlink"/>
                <w:rFonts w:cs="Arial"/>
                <w:b/>
                <w:bCs/>
                <w:caps/>
                <w:noProof/>
                <w:kern w:val="2"/>
                <w:sz w:val="16"/>
                <w:szCs w:val="16"/>
                <w:lang w:val="en-US" w:eastAsia="en-US"/>
              </w:rPr>
              <w:t>VIII-2 rights to Personal integrity, Prohibition of torture and other cruel, inhuman or degrading treatment, DIGNITY, AUTONOMY AND privacy, JUDICIAL GUARANTEES, Equality before the law and JUDICIAL PROTECTION, IN RELATION TO The obligations to respect and to ensure THESE rights WITHOUT DISCRIMINATION, and To adopt domestic legal provisions, AS WELL AS to Article 7 of the Convention of Belém do pará and ARTICLES 1, 6 and 8 OF THE ICPPT</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_Toc51400098 \h </w:instrText>
            </w:r>
            <w:r w:rsidRPr="0044397E">
              <w:rPr>
                <w:noProof/>
                <w:webHidden/>
                <w:sz w:val="16"/>
                <w:szCs w:val="16"/>
              </w:rPr>
            </w:r>
            <w:r w:rsidRPr="0044397E">
              <w:rPr>
                <w:noProof/>
                <w:webHidden/>
                <w:sz w:val="16"/>
                <w:szCs w:val="16"/>
              </w:rPr>
              <w:fldChar w:fldCharType="separate"/>
            </w:r>
            <w:r w:rsidR="000E45D1">
              <w:rPr>
                <w:noProof/>
                <w:webHidden/>
                <w:sz w:val="16"/>
                <w:szCs w:val="16"/>
              </w:rPr>
              <w:t>63</w:t>
            </w:r>
            <w:r w:rsidRPr="0044397E">
              <w:rPr>
                <w:noProof/>
                <w:webHidden/>
                <w:sz w:val="16"/>
                <w:szCs w:val="16"/>
              </w:rPr>
              <w:fldChar w:fldCharType="end"/>
            </w:r>
          </w:hyperlink>
        </w:p>
        <w:p w14:paraId="2FD250E7" w14:textId="3A27B551" w:rsidR="009D52FD" w:rsidRPr="0044397E" w:rsidRDefault="009D52FD" w:rsidP="0044397E">
          <w:pPr>
            <w:pStyle w:val="TOC2"/>
            <w:rPr>
              <w:rFonts w:eastAsiaTheme="minorEastAsia" w:cstheme="minorBidi"/>
              <w:noProof/>
              <w:sz w:val="16"/>
              <w:szCs w:val="16"/>
              <w:lang w:val="en-US" w:eastAsia="en-US"/>
            </w:rPr>
          </w:pPr>
          <w:hyperlink w:anchor="_Toc51400099" w:history="1">
            <w:r w:rsidRPr="0044397E">
              <w:rPr>
                <w:rStyle w:val="Hyperlink"/>
                <w:rFonts w:eastAsia="MS Mincho" w:cs="Arial"/>
                <w:b/>
                <w:bCs/>
                <w:i/>
                <w:noProof/>
                <w:sz w:val="16"/>
                <w:szCs w:val="16"/>
                <w:lang w:val="en-US" w:eastAsia="en-US"/>
              </w:rPr>
              <w:t>A.</w:t>
            </w:r>
            <w:r w:rsidRPr="0044397E">
              <w:rPr>
                <w:rFonts w:eastAsiaTheme="minorEastAsia" w:cstheme="minorBidi"/>
                <w:noProof/>
                <w:sz w:val="16"/>
                <w:szCs w:val="16"/>
                <w:lang w:val="en-US" w:eastAsia="en-US"/>
              </w:rPr>
              <w:tab/>
            </w:r>
            <w:r w:rsidRPr="0044397E">
              <w:rPr>
                <w:rStyle w:val="Hyperlink"/>
                <w:rFonts w:eastAsia="MS Mincho" w:cs="Arial"/>
                <w:b/>
                <w:bCs/>
                <w:i/>
                <w:noProof/>
                <w:sz w:val="16"/>
                <w:szCs w:val="16"/>
                <w:lang w:val="en-US" w:eastAsia="en-US"/>
              </w:rPr>
              <w:t>Arguments of the parties and of the Commission</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_Toc51400099 \h </w:instrText>
            </w:r>
            <w:r w:rsidRPr="0044397E">
              <w:rPr>
                <w:noProof/>
                <w:webHidden/>
                <w:sz w:val="16"/>
                <w:szCs w:val="16"/>
              </w:rPr>
            </w:r>
            <w:r w:rsidRPr="0044397E">
              <w:rPr>
                <w:noProof/>
                <w:webHidden/>
                <w:sz w:val="16"/>
                <w:szCs w:val="16"/>
              </w:rPr>
              <w:fldChar w:fldCharType="separate"/>
            </w:r>
            <w:r w:rsidR="000E45D1">
              <w:rPr>
                <w:noProof/>
                <w:webHidden/>
                <w:sz w:val="16"/>
                <w:szCs w:val="16"/>
              </w:rPr>
              <w:t>63</w:t>
            </w:r>
            <w:r w:rsidRPr="0044397E">
              <w:rPr>
                <w:noProof/>
                <w:webHidden/>
                <w:sz w:val="16"/>
                <w:szCs w:val="16"/>
              </w:rPr>
              <w:fldChar w:fldCharType="end"/>
            </w:r>
          </w:hyperlink>
        </w:p>
        <w:p w14:paraId="327688F5" w14:textId="2CB251F2" w:rsidR="009D52FD" w:rsidRPr="0044397E" w:rsidRDefault="009D52FD" w:rsidP="0044397E">
          <w:pPr>
            <w:pStyle w:val="TOC2"/>
            <w:rPr>
              <w:rFonts w:eastAsiaTheme="minorEastAsia" w:cstheme="minorBidi"/>
              <w:noProof/>
              <w:sz w:val="16"/>
              <w:szCs w:val="16"/>
              <w:lang w:val="en-US" w:eastAsia="en-US"/>
            </w:rPr>
          </w:pPr>
          <w:hyperlink w:anchor="_Toc51400100" w:history="1">
            <w:r w:rsidRPr="0044397E">
              <w:rPr>
                <w:rStyle w:val="Hyperlink"/>
                <w:rFonts w:eastAsia="MS Mincho" w:cs="Arial"/>
                <w:b/>
                <w:bCs/>
                <w:i/>
                <w:noProof/>
                <w:sz w:val="16"/>
                <w:szCs w:val="16"/>
                <w:lang w:val="en-US" w:eastAsia="en-US"/>
              </w:rPr>
              <w:t>B.</w:t>
            </w:r>
            <w:r w:rsidRPr="0044397E">
              <w:rPr>
                <w:rFonts w:eastAsiaTheme="minorEastAsia" w:cstheme="minorBidi"/>
                <w:noProof/>
                <w:sz w:val="16"/>
                <w:szCs w:val="16"/>
                <w:lang w:val="en-US" w:eastAsia="en-US"/>
              </w:rPr>
              <w:tab/>
            </w:r>
            <w:r w:rsidRPr="0044397E">
              <w:rPr>
                <w:rStyle w:val="Hyperlink"/>
                <w:rFonts w:eastAsia="MS Mincho" w:cs="Arial"/>
                <w:b/>
                <w:bCs/>
                <w:i/>
                <w:noProof/>
                <w:sz w:val="16"/>
                <w:szCs w:val="16"/>
                <w:lang w:val="en-US" w:eastAsia="en-US"/>
              </w:rPr>
              <w:t>Considerations of the Court</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_Toc51400100 \h </w:instrText>
            </w:r>
            <w:r w:rsidRPr="0044397E">
              <w:rPr>
                <w:noProof/>
                <w:webHidden/>
                <w:sz w:val="16"/>
                <w:szCs w:val="16"/>
              </w:rPr>
            </w:r>
            <w:r w:rsidRPr="0044397E">
              <w:rPr>
                <w:noProof/>
                <w:webHidden/>
                <w:sz w:val="16"/>
                <w:szCs w:val="16"/>
              </w:rPr>
              <w:fldChar w:fldCharType="separate"/>
            </w:r>
            <w:r w:rsidR="000E45D1">
              <w:rPr>
                <w:noProof/>
                <w:webHidden/>
                <w:sz w:val="16"/>
                <w:szCs w:val="16"/>
              </w:rPr>
              <w:t>66</w:t>
            </w:r>
            <w:r w:rsidRPr="0044397E">
              <w:rPr>
                <w:noProof/>
                <w:webHidden/>
                <w:sz w:val="16"/>
                <w:szCs w:val="16"/>
              </w:rPr>
              <w:fldChar w:fldCharType="end"/>
            </w:r>
          </w:hyperlink>
        </w:p>
        <w:p w14:paraId="0870ED15" w14:textId="72C1E3EC" w:rsidR="009D52FD" w:rsidRPr="0044397E" w:rsidRDefault="009D52FD" w:rsidP="0044397E">
          <w:pPr>
            <w:pStyle w:val="TOC2"/>
            <w:rPr>
              <w:rFonts w:eastAsiaTheme="minorEastAsia" w:cstheme="minorBidi"/>
              <w:noProof/>
              <w:sz w:val="16"/>
              <w:szCs w:val="16"/>
              <w:lang w:val="en-US" w:eastAsia="en-US"/>
            </w:rPr>
          </w:pPr>
          <w:hyperlink w:anchor="_Toc51400101" w:history="1">
            <w:r w:rsidRPr="0044397E">
              <w:rPr>
                <w:rStyle w:val="Hyperlink"/>
                <w:rFonts w:eastAsia="MS Mincho" w:cs="Arial"/>
                <w:bCs/>
                <w:i/>
                <w:noProof/>
                <w:sz w:val="16"/>
                <w:szCs w:val="16"/>
                <w:lang w:val="en-US" w:eastAsia="en-US"/>
              </w:rPr>
              <w:t xml:space="preserve">B.1 </w:t>
            </w:r>
            <w:r w:rsidRPr="0044397E">
              <w:rPr>
                <w:rFonts w:eastAsiaTheme="minorEastAsia" w:cstheme="minorBidi"/>
                <w:noProof/>
                <w:sz w:val="16"/>
                <w:szCs w:val="16"/>
                <w:lang w:val="en-US" w:eastAsia="en-US"/>
              </w:rPr>
              <w:tab/>
            </w:r>
            <w:r w:rsidRPr="0044397E">
              <w:rPr>
                <w:rStyle w:val="Hyperlink"/>
                <w:rFonts w:eastAsia="MS Mincho" w:cs="Arial"/>
                <w:bCs/>
                <w:i/>
                <w:noProof/>
                <w:sz w:val="16"/>
                <w:szCs w:val="16"/>
                <w:lang w:val="en-US" w:eastAsia="en-US"/>
              </w:rPr>
              <w:t>Access to justice in equal conditions for women victims of violence</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_Toc51400101 \h </w:instrText>
            </w:r>
            <w:r w:rsidRPr="0044397E">
              <w:rPr>
                <w:noProof/>
                <w:webHidden/>
                <w:sz w:val="16"/>
                <w:szCs w:val="16"/>
              </w:rPr>
            </w:r>
            <w:r w:rsidRPr="0044397E">
              <w:rPr>
                <w:noProof/>
                <w:webHidden/>
                <w:sz w:val="16"/>
                <w:szCs w:val="16"/>
              </w:rPr>
              <w:fldChar w:fldCharType="separate"/>
            </w:r>
            <w:r w:rsidR="000E45D1">
              <w:rPr>
                <w:noProof/>
                <w:webHidden/>
                <w:sz w:val="16"/>
                <w:szCs w:val="16"/>
              </w:rPr>
              <w:t>67</w:t>
            </w:r>
            <w:r w:rsidRPr="0044397E">
              <w:rPr>
                <w:noProof/>
                <w:webHidden/>
                <w:sz w:val="16"/>
                <w:szCs w:val="16"/>
              </w:rPr>
              <w:fldChar w:fldCharType="end"/>
            </w:r>
          </w:hyperlink>
        </w:p>
        <w:p w14:paraId="6F43FC71" w14:textId="4215B2F5" w:rsidR="009D52FD" w:rsidRPr="0044397E" w:rsidRDefault="009D52FD" w:rsidP="0044397E">
          <w:pPr>
            <w:pStyle w:val="TOC2"/>
            <w:rPr>
              <w:rFonts w:eastAsiaTheme="minorEastAsia" w:cstheme="minorBidi"/>
              <w:noProof/>
              <w:sz w:val="16"/>
              <w:szCs w:val="16"/>
              <w:lang w:val="en-US" w:eastAsia="en-US"/>
            </w:rPr>
          </w:pPr>
          <w:hyperlink w:anchor="_Toc51400102" w:history="1">
            <w:r w:rsidRPr="0044397E">
              <w:rPr>
                <w:rStyle w:val="Hyperlink"/>
                <w:rFonts w:eastAsia="MS Mincho" w:cs="Arial"/>
                <w:bCs/>
                <w:i/>
                <w:noProof/>
                <w:sz w:val="16"/>
                <w:szCs w:val="16"/>
                <w:lang w:val="en-US" w:eastAsia="en-US"/>
              </w:rPr>
              <w:t xml:space="preserve">B.2 </w:t>
            </w:r>
            <w:r w:rsidRPr="0044397E">
              <w:rPr>
                <w:rFonts w:eastAsiaTheme="minorEastAsia" w:cstheme="minorBidi"/>
                <w:noProof/>
                <w:sz w:val="16"/>
                <w:szCs w:val="16"/>
                <w:lang w:val="en-US" w:eastAsia="en-US"/>
              </w:rPr>
              <w:tab/>
            </w:r>
            <w:r w:rsidRPr="0044397E">
              <w:rPr>
                <w:rStyle w:val="Hyperlink"/>
                <w:rFonts w:eastAsia="MS Mincho" w:cs="Arial"/>
                <w:bCs/>
                <w:i/>
                <w:noProof/>
                <w:sz w:val="16"/>
                <w:szCs w:val="16"/>
                <w:lang w:val="en-US" w:eastAsia="en-US"/>
              </w:rPr>
              <w:t>Unjustified unequal treatment in the Venezuelan Criminal Code</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_Toc51400102 \h </w:instrText>
            </w:r>
            <w:r w:rsidRPr="0044397E">
              <w:rPr>
                <w:noProof/>
                <w:webHidden/>
                <w:sz w:val="16"/>
                <w:szCs w:val="16"/>
              </w:rPr>
            </w:r>
            <w:r w:rsidRPr="0044397E">
              <w:rPr>
                <w:noProof/>
                <w:webHidden/>
                <w:sz w:val="16"/>
                <w:szCs w:val="16"/>
              </w:rPr>
              <w:fldChar w:fldCharType="separate"/>
            </w:r>
            <w:r w:rsidR="000E45D1">
              <w:rPr>
                <w:noProof/>
                <w:webHidden/>
                <w:sz w:val="16"/>
                <w:szCs w:val="16"/>
              </w:rPr>
              <w:t>69</w:t>
            </w:r>
            <w:r w:rsidRPr="0044397E">
              <w:rPr>
                <w:noProof/>
                <w:webHidden/>
                <w:sz w:val="16"/>
                <w:szCs w:val="16"/>
              </w:rPr>
              <w:fldChar w:fldCharType="end"/>
            </w:r>
          </w:hyperlink>
        </w:p>
        <w:p w14:paraId="1E3875A3" w14:textId="0B943292" w:rsidR="009D52FD" w:rsidRPr="0044397E" w:rsidRDefault="009D52FD" w:rsidP="0044397E">
          <w:pPr>
            <w:pStyle w:val="TOC2"/>
            <w:rPr>
              <w:rFonts w:eastAsiaTheme="minorEastAsia" w:cstheme="minorBidi"/>
              <w:noProof/>
              <w:sz w:val="16"/>
              <w:szCs w:val="16"/>
              <w:lang w:val="en-US" w:eastAsia="en-US"/>
            </w:rPr>
          </w:pPr>
          <w:hyperlink w:anchor="_Toc51400103" w:history="1">
            <w:r w:rsidRPr="0044397E">
              <w:rPr>
                <w:rStyle w:val="Hyperlink"/>
                <w:rFonts w:eastAsia="MS Mincho" w:cs="Arial"/>
                <w:bCs/>
                <w:i/>
                <w:noProof/>
                <w:sz w:val="16"/>
                <w:szCs w:val="16"/>
                <w:lang w:val="en-US" w:eastAsia="en-US"/>
              </w:rPr>
              <w:t xml:space="preserve">B.3 </w:t>
            </w:r>
            <w:r w:rsidRPr="0044397E">
              <w:rPr>
                <w:rFonts w:eastAsiaTheme="minorEastAsia" w:cstheme="minorBidi"/>
                <w:noProof/>
                <w:sz w:val="16"/>
                <w:szCs w:val="16"/>
                <w:lang w:val="en-US" w:eastAsia="en-US"/>
              </w:rPr>
              <w:tab/>
            </w:r>
            <w:r w:rsidRPr="0044397E">
              <w:rPr>
                <w:rStyle w:val="Hyperlink"/>
                <w:rFonts w:eastAsia="MS Mincho" w:cs="Arial"/>
                <w:bCs/>
                <w:i/>
                <w:noProof/>
                <w:sz w:val="16"/>
                <w:szCs w:val="16"/>
                <w:lang w:val="en-US" w:eastAsia="en-US"/>
              </w:rPr>
              <w:t>Use of prejudicial gender stereotypes during the investigation and the trial</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_Toc51400103 \h </w:instrText>
            </w:r>
            <w:r w:rsidRPr="0044397E">
              <w:rPr>
                <w:noProof/>
                <w:webHidden/>
                <w:sz w:val="16"/>
                <w:szCs w:val="16"/>
              </w:rPr>
            </w:r>
            <w:r w:rsidRPr="0044397E">
              <w:rPr>
                <w:noProof/>
                <w:webHidden/>
                <w:sz w:val="16"/>
                <w:szCs w:val="16"/>
              </w:rPr>
              <w:fldChar w:fldCharType="separate"/>
            </w:r>
            <w:r w:rsidR="000E45D1">
              <w:rPr>
                <w:noProof/>
                <w:webHidden/>
                <w:sz w:val="16"/>
                <w:szCs w:val="16"/>
              </w:rPr>
              <w:t>71</w:t>
            </w:r>
            <w:r w:rsidRPr="0044397E">
              <w:rPr>
                <w:noProof/>
                <w:webHidden/>
                <w:sz w:val="16"/>
                <w:szCs w:val="16"/>
              </w:rPr>
              <w:fldChar w:fldCharType="end"/>
            </w:r>
          </w:hyperlink>
        </w:p>
        <w:p w14:paraId="7705A7FB" w14:textId="64CE5811" w:rsidR="009D52FD" w:rsidRPr="0044397E" w:rsidRDefault="009D52FD" w:rsidP="0044397E">
          <w:pPr>
            <w:pStyle w:val="TOC2"/>
            <w:rPr>
              <w:rFonts w:eastAsiaTheme="minorEastAsia" w:cstheme="minorBidi"/>
              <w:noProof/>
              <w:sz w:val="16"/>
              <w:szCs w:val="16"/>
              <w:lang w:val="en-US" w:eastAsia="en-US"/>
            </w:rPr>
          </w:pPr>
          <w:hyperlink w:anchor="_Toc51400104" w:history="1">
            <w:r w:rsidRPr="0044397E">
              <w:rPr>
                <w:rStyle w:val="Hyperlink"/>
                <w:rFonts w:eastAsia="MS Mincho" w:cs="Arial"/>
                <w:bCs/>
                <w:i/>
                <w:noProof/>
                <w:sz w:val="16"/>
                <w:szCs w:val="16"/>
                <w:lang w:val="en-US" w:eastAsia="en-US"/>
              </w:rPr>
              <w:t xml:space="preserve">B.4 </w:t>
            </w:r>
            <w:r w:rsidRPr="0044397E">
              <w:rPr>
                <w:rFonts w:eastAsiaTheme="minorEastAsia" w:cstheme="minorBidi"/>
                <w:noProof/>
                <w:sz w:val="16"/>
                <w:szCs w:val="16"/>
                <w:lang w:val="en-US" w:eastAsia="en-US"/>
              </w:rPr>
              <w:tab/>
            </w:r>
            <w:r w:rsidRPr="0044397E">
              <w:rPr>
                <w:rStyle w:val="Hyperlink"/>
                <w:rFonts w:eastAsia="MS Mincho" w:cs="Arial"/>
                <w:bCs/>
                <w:i/>
                <w:noProof/>
                <w:sz w:val="16"/>
                <w:szCs w:val="16"/>
                <w:lang w:val="en-US" w:eastAsia="en-US"/>
              </w:rPr>
              <w:t>Violations of personal integrity and revictimization</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_Toc51400104 \h </w:instrText>
            </w:r>
            <w:r w:rsidRPr="0044397E">
              <w:rPr>
                <w:noProof/>
                <w:webHidden/>
                <w:sz w:val="16"/>
                <w:szCs w:val="16"/>
              </w:rPr>
            </w:r>
            <w:r w:rsidRPr="0044397E">
              <w:rPr>
                <w:noProof/>
                <w:webHidden/>
                <w:sz w:val="16"/>
                <w:szCs w:val="16"/>
              </w:rPr>
              <w:fldChar w:fldCharType="separate"/>
            </w:r>
            <w:r w:rsidR="000E45D1">
              <w:rPr>
                <w:noProof/>
                <w:webHidden/>
                <w:sz w:val="16"/>
                <w:szCs w:val="16"/>
              </w:rPr>
              <w:t>72</w:t>
            </w:r>
            <w:r w:rsidRPr="0044397E">
              <w:rPr>
                <w:noProof/>
                <w:webHidden/>
                <w:sz w:val="16"/>
                <w:szCs w:val="16"/>
              </w:rPr>
              <w:fldChar w:fldCharType="end"/>
            </w:r>
          </w:hyperlink>
        </w:p>
        <w:p w14:paraId="2F0A4A1C" w14:textId="5F70DDDB" w:rsidR="009D52FD" w:rsidRPr="0044397E" w:rsidRDefault="009D52FD" w:rsidP="0044397E">
          <w:pPr>
            <w:pStyle w:val="TOC2"/>
            <w:rPr>
              <w:rFonts w:eastAsiaTheme="minorEastAsia" w:cstheme="minorBidi"/>
              <w:noProof/>
              <w:sz w:val="16"/>
              <w:szCs w:val="16"/>
              <w:lang w:val="en-US" w:eastAsia="en-US"/>
            </w:rPr>
          </w:pPr>
          <w:hyperlink w:anchor="_Toc51400105" w:history="1">
            <w:r w:rsidRPr="0044397E">
              <w:rPr>
                <w:rStyle w:val="Hyperlink"/>
                <w:rFonts w:eastAsia="MS Mincho" w:cs="Arial"/>
                <w:bCs/>
                <w:i/>
                <w:noProof/>
                <w:sz w:val="16"/>
                <w:szCs w:val="16"/>
                <w:lang w:val="en-US" w:eastAsia="en-US"/>
              </w:rPr>
              <w:t xml:space="preserve">B.5 </w:t>
            </w:r>
            <w:r w:rsidRPr="0044397E">
              <w:rPr>
                <w:rFonts w:eastAsiaTheme="minorEastAsia" w:cstheme="minorBidi"/>
                <w:noProof/>
                <w:sz w:val="16"/>
                <w:szCs w:val="16"/>
                <w:lang w:val="en-US" w:eastAsia="en-US"/>
              </w:rPr>
              <w:tab/>
            </w:r>
            <w:r w:rsidRPr="0044397E">
              <w:rPr>
                <w:rStyle w:val="Hyperlink"/>
                <w:rFonts w:eastAsia="MS Mincho" w:cs="Arial"/>
                <w:bCs/>
                <w:i/>
                <w:noProof/>
                <w:sz w:val="16"/>
                <w:szCs w:val="16"/>
                <w:lang w:val="en-US" w:eastAsia="en-US"/>
              </w:rPr>
              <w:t>Lack of adequate measures of protection and investigation of the threats and harassment of Linda Loaiza López Soto, her family and her lawyer</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_Toc51400105 \h </w:instrText>
            </w:r>
            <w:r w:rsidRPr="0044397E">
              <w:rPr>
                <w:noProof/>
                <w:webHidden/>
                <w:sz w:val="16"/>
                <w:szCs w:val="16"/>
              </w:rPr>
            </w:r>
            <w:r w:rsidRPr="0044397E">
              <w:rPr>
                <w:noProof/>
                <w:webHidden/>
                <w:sz w:val="16"/>
                <w:szCs w:val="16"/>
              </w:rPr>
              <w:fldChar w:fldCharType="separate"/>
            </w:r>
            <w:r w:rsidR="000E45D1">
              <w:rPr>
                <w:noProof/>
                <w:webHidden/>
                <w:sz w:val="16"/>
                <w:szCs w:val="16"/>
              </w:rPr>
              <w:t>74</w:t>
            </w:r>
            <w:r w:rsidRPr="0044397E">
              <w:rPr>
                <w:noProof/>
                <w:webHidden/>
                <w:sz w:val="16"/>
                <w:szCs w:val="16"/>
              </w:rPr>
              <w:fldChar w:fldCharType="end"/>
            </w:r>
          </w:hyperlink>
        </w:p>
        <w:p w14:paraId="38C9ECD0" w14:textId="67C1DFE3" w:rsidR="009D52FD" w:rsidRPr="0044397E" w:rsidRDefault="009D52FD" w:rsidP="0044397E">
          <w:pPr>
            <w:pStyle w:val="TOC2"/>
            <w:rPr>
              <w:rFonts w:eastAsiaTheme="minorEastAsia" w:cstheme="minorBidi"/>
              <w:noProof/>
              <w:sz w:val="16"/>
              <w:szCs w:val="16"/>
              <w:lang w:val="en-US" w:eastAsia="en-US"/>
            </w:rPr>
          </w:pPr>
          <w:hyperlink w:anchor="_Toc51400106" w:history="1">
            <w:r w:rsidRPr="0044397E">
              <w:rPr>
                <w:rStyle w:val="Hyperlink"/>
                <w:rFonts w:eastAsia="MS Mincho" w:cs="Arial"/>
                <w:bCs/>
                <w:i/>
                <w:noProof/>
                <w:sz w:val="16"/>
                <w:szCs w:val="16"/>
                <w:lang w:val="en-US" w:eastAsia="en-US"/>
              </w:rPr>
              <w:t xml:space="preserve">B.6 </w:t>
            </w:r>
            <w:r w:rsidRPr="0044397E">
              <w:rPr>
                <w:rFonts w:eastAsiaTheme="minorEastAsia" w:cstheme="minorBidi"/>
                <w:noProof/>
                <w:sz w:val="16"/>
                <w:szCs w:val="16"/>
                <w:lang w:val="en-US" w:eastAsia="en-US"/>
              </w:rPr>
              <w:tab/>
            </w:r>
            <w:r w:rsidRPr="0044397E">
              <w:rPr>
                <w:rStyle w:val="Hyperlink"/>
                <w:rFonts w:eastAsia="MS Mincho" w:cs="Arial"/>
                <w:bCs/>
                <w:i/>
                <w:noProof/>
                <w:sz w:val="16"/>
                <w:szCs w:val="16"/>
                <w:lang w:val="en-US" w:eastAsia="en-US"/>
              </w:rPr>
              <w:t>Inadequate legal definition of the crime of torture</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_Toc51400106 \h </w:instrText>
            </w:r>
            <w:r w:rsidRPr="0044397E">
              <w:rPr>
                <w:noProof/>
                <w:webHidden/>
                <w:sz w:val="16"/>
                <w:szCs w:val="16"/>
              </w:rPr>
            </w:r>
            <w:r w:rsidRPr="0044397E">
              <w:rPr>
                <w:noProof/>
                <w:webHidden/>
                <w:sz w:val="16"/>
                <w:szCs w:val="16"/>
              </w:rPr>
              <w:fldChar w:fldCharType="separate"/>
            </w:r>
            <w:r w:rsidR="000E45D1">
              <w:rPr>
                <w:noProof/>
                <w:webHidden/>
                <w:sz w:val="16"/>
                <w:szCs w:val="16"/>
              </w:rPr>
              <w:t>76</w:t>
            </w:r>
            <w:r w:rsidRPr="0044397E">
              <w:rPr>
                <w:noProof/>
                <w:webHidden/>
                <w:sz w:val="16"/>
                <w:szCs w:val="16"/>
              </w:rPr>
              <w:fldChar w:fldCharType="end"/>
            </w:r>
          </w:hyperlink>
        </w:p>
        <w:p w14:paraId="358EBCD5" w14:textId="6F6BDFC4" w:rsidR="009D52FD" w:rsidRPr="0044397E" w:rsidRDefault="009D52FD" w:rsidP="0044397E">
          <w:pPr>
            <w:pStyle w:val="TOC2"/>
            <w:rPr>
              <w:rFonts w:eastAsiaTheme="minorEastAsia" w:cstheme="minorBidi"/>
              <w:noProof/>
              <w:sz w:val="16"/>
              <w:szCs w:val="16"/>
              <w:lang w:val="en-US" w:eastAsia="en-US"/>
            </w:rPr>
          </w:pPr>
          <w:hyperlink w:anchor="_Toc51400107" w:history="1">
            <w:r w:rsidRPr="0044397E">
              <w:rPr>
                <w:rStyle w:val="Hyperlink"/>
                <w:rFonts w:eastAsia="MS Mincho" w:cs="Arial"/>
                <w:bCs/>
                <w:i/>
                <w:noProof/>
                <w:sz w:val="16"/>
                <w:szCs w:val="16"/>
                <w:lang w:val="en-US" w:eastAsia="en-US"/>
              </w:rPr>
              <w:t>B.7</w:t>
            </w:r>
            <w:r w:rsidRPr="0044397E">
              <w:rPr>
                <w:rFonts w:eastAsiaTheme="minorEastAsia" w:cstheme="minorBidi"/>
                <w:noProof/>
                <w:sz w:val="16"/>
                <w:szCs w:val="16"/>
                <w:lang w:val="en-US" w:eastAsia="en-US"/>
              </w:rPr>
              <w:tab/>
            </w:r>
            <w:r w:rsidRPr="0044397E">
              <w:rPr>
                <w:rStyle w:val="Hyperlink"/>
                <w:rFonts w:eastAsia="MS Mincho" w:cs="Arial"/>
                <w:bCs/>
                <w:i/>
                <w:noProof/>
                <w:sz w:val="16"/>
                <w:szCs w:val="16"/>
                <w:lang w:val="en-US" w:eastAsia="en-US"/>
              </w:rPr>
              <w:t>Conclusion</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_Toc51400107 \h </w:instrText>
            </w:r>
            <w:r w:rsidRPr="0044397E">
              <w:rPr>
                <w:noProof/>
                <w:webHidden/>
                <w:sz w:val="16"/>
                <w:szCs w:val="16"/>
              </w:rPr>
            </w:r>
            <w:r w:rsidRPr="0044397E">
              <w:rPr>
                <w:noProof/>
                <w:webHidden/>
                <w:sz w:val="16"/>
                <w:szCs w:val="16"/>
              </w:rPr>
              <w:fldChar w:fldCharType="separate"/>
            </w:r>
            <w:r w:rsidR="000E45D1">
              <w:rPr>
                <w:noProof/>
                <w:webHidden/>
                <w:sz w:val="16"/>
                <w:szCs w:val="16"/>
              </w:rPr>
              <w:t>77</w:t>
            </w:r>
            <w:r w:rsidRPr="0044397E">
              <w:rPr>
                <w:noProof/>
                <w:webHidden/>
                <w:sz w:val="16"/>
                <w:szCs w:val="16"/>
              </w:rPr>
              <w:fldChar w:fldCharType="end"/>
            </w:r>
          </w:hyperlink>
        </w:p>
        <w:p w14:paraId="3FEF05FB" w14:textId="40D3C56D" w:rsidR="009D52FD" w:rsidRPr="0044397E" w:rsidRDefault="009D52FD" w:rsidP="0044397E">
          <w:pPr>
            <w:pStyle w:val="TOC1"/>
            <w:spacing w:line="240" w:lineRule="auto"/>
            <w:rPr>
              <w:rFonts w:eastAsiaTheme="minorEastAsia" w:cstheme="minorBidi"/>
              <w:noProof/>
              <w:sz w:val="16"/>
              <w:szCs w:val="16"/>
              <w:lang w:val="en-US" w:eastAsia="en-US"/>
            </w:rPr>
          </w:pPr>
          <w:hyperlink w:anchor="_Toc51400108" w:history="1">
            <w:r w:rsidRPr="0044397E">
              <w:rPr>
                <w:rStyle w:val="Hyperlink"/>
                <w:rFonts w:cs="Arial"/>
                <w:b/>
                <w:bCs/>
                <w:caps/>
                <w:noProof/>
                <w:sz w:val="16"/>
                <w:szCs w:val="16"/>
                <w:lang w:val="en-US" w:eastAsia="en-US"/>
              </w:rPr>
              <w:t>VIII-3 RIGHT TO Personal integrity OF THE FAMILY IN RELATION TO THE OBLIGATION TO RESPECT RIGHTS</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_Toc51400108 \h </w:instrText>
            </w:r>
            <w:r w:rsidRPr="0044397E">
              <w:rPr>
                <w:noProof/>
                <w:webHidden/>
                <w:sz w:val="16"/>
                <w:szCs w:val="16"/>
              </w:rPr>
            </w:r>
            <w:r w:rsidRPr="0044397E">
              <w:rPr>
                <w:noProof/>
                <w:webHidden/>
                <w:sz w:val="16"/>
                <w:szCs w:val="16"/>
              </w:rPr>
              <w:fldChar w:fldCharType="separate"/>
            </w:r>
            <w:r w:rsidR="000E45D1">
              <w:rPr>
                <w:noProof/>
                <w:webHidden/>
                <w:sz w:val="16"/>
                <w:szCs w:val="16"/>
              </w:rPr>
              <w:t>78</w:t>
            </w:r>
            <w:r w:rsidRPr="0044397E">
              <w:rPr>
                <w:noProof/>
                <w:webHidden/>
                <w:sz w:val="16"/>
                <w:szCs w:val="16"/>
              </w:rPr>
              <w:fldChar w:fldCharType="end"/>
            </w:r>
          </w:hyperlink>
        </w:p>
        <w:p w14:paraId="4FC5366A" w14:textId="04067340" w:rsidR="009D52FD" w:rsidRPr="0044397E" w:rsidRDefault="009D52FD" w:rsidP="0044397E">
          <w:pPr>
            <w:pStyle w:val="TOC2"/>
            <w:rPr>
              <w:rFonts w:eastAsiaTheme="minorEastAsia" w:cstheme="minorBidi"/>
              <w:noProof/>
              <w:sz w:val="16"/>
              <w:szCs w:val="16"/>
              <w:lang w:val="en-US" w:eastAsia="en-US"/>
            </w:rPr>
          </w:pPr>
          <w:hyperlink w:anchor="_Toc51400109" w:history="1">
            <w:r w:rsidRPr="0044397E">
              <w:rPr>
                <w:rStyle w:val="Hyperlink"/>
                <w:rFonts w:eastAsia="MS Mincho" w:cs="Arial"/>
                <w:b/>
                <w:bCs/>
                <w:i/>
                <w:noProof/>
                <w:sz w:val="16"/>
                <w:szCs w:val="16"/>
                <w:lang w:val="en-US" w:eastAsia="en-US"/>
              </w:rPr>
              <w:t>A.</w:t>
            </w:r>
            <w:r w:rsidRPr="0044397E">
              <w:rPr>
                <w:rFonts w:eastAsiaTheme="minorEastAsia" w:cstheme="minorBidi"/>
                <w:noProof/>
                <w:sz w:val="16"/>
                <w:szCs w:val="16"/>
                <w:lang w:val="en-US" w:eastAsia="en-US"/>
              </w:rPr>
              <w:tab/>
            </w:r>
            <w:r w:rsidRPr="0044397E">
              <w:rPr>
                <w:rStyle w:val="Hyperlink"/>
                <w:rFonts w:eastAsia="MS Mincho" w:cs="Arial"/>
                <w:b/>
                <w:bCs/>
                <w:i/>
                <w:noProof/>
                <w:sz w:val="16"/>
                <w:szCs w:val="16"/>
                <w:lang w:val="en-US" w:eastAsia="en-US"/>
              </w:rPr>
              <w:t>Arguments of the parties and of the Commission</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_Toc51400109 \h </w:instrText>
            </w:r>
            <w:r w:rsidRPr="0044397E">
              <w:rPr>
                <w:noProof/>
                <w:webHidden/>
                <w:sz w:val="16"/>
                <w:szCs w:val="16"/>
              </w:rPr>
            </w:r>
            <w:r w:rsidRPr="0044397E">
              <w:rPr>
                <w:noProof/>
                <w:webHidden/>
                <w:sz w:val="16"/>
                <w:szCs w:val="16"/>
              </w:rPr>
              <w:fldChar w:fldCharType="separate"/>
            </w:r>
            <w:r w:rsidR="000E45D1">
              <w:rPr>
                <w:noProof/>
                <w:webHidden/>
                <w:sz w:val="16"/>
                <w:szCs w:val="16"/>
              </w:rPr>
              <w:t>78</w:t>
            </w:r>
            <w:r w:rsidRPr="0044397E">
              <w:rPr>
                <w:noProof/>
                <w:webHidden/>
                <w:sz w:val="16"/>
                <w:szCs w:val="16"/>
              </w:rPr>
              <w:fldChar w:fldCharType="end"/>
            </w:r>
          </w:hyperlink>
        </w:p>
        <w:p w14:paraId="5BC55E3E" w14:textId="7AAAB8F0" w:rsidR="009D52FD" w:rsidRPr="0044397E" w:rsidRDefault="009D52FD" w:rsidP="0044397E">
          <w:pPr>
            <w:pStyle w:val="TOC2"/>
            <w:rPr>
              <w:rFonts w:eastAsiaTheme="minorEastAsia" w:cstheme="minorBidi"/>
              <w:noProof/>
              <w:sz w:val="16"/>
              <w:szCs w:val="16"/>
              <w:lang w:val="en-US" w:eastAsia="en-US"/>
            </w:rPr>
          </w:pPr>
          <w:hyperlink w:anchor="_Toc51400110" w:history="1">
            <w:r w:rsidRPr="0044397E">
              <w:rPr>
                <w:rStyle w:val="Hyperlink"/>
                <w:rFonts w:eastAsia="MS Mincho" w:cs="Arial"/>
                <w:b/>
                <w:bCs/>
                <w:i/>
                <w:noProof/>
                <w:sz w:val="16"/>
                <w:szCs w:val="16"/>
                <w:lang w:val="en-US" w:eastAsia="en-US"/>
              </w:rPr>
              <w:t>B.</w:t>
            </w:r>
            <w:r w:rsidRPr="0044397E">
              <w:rPr>
                <w:rFonts w:eastAsiaTheme="minorEastAsia" w:cstheme="minorBidi"/>
                <w:noProof/>
                <w:sz w:val="16"/>
                <w:szCs w:val="16"/>
                <w:lang w:val="en-US" w:eastAsia="en-US"/>
              </w:rPr>
              <w:tab/>
            </w:r>
            <w:r w:rsidRPr="0044397E">
              <w:rPr>
                <w:rStyle w:val="Hyperlink"/>
                <w:rFonts w:eastAsia="MS Mincho" w:cs="Arial"/>
                <w:b/>
                <w:bCs/>
                <w:i/>
                <w:noProof/>
                <w:sz w:val="16"/>
                <w:szCs w:val="16"/>
                <w:lang w:val="en-US" w:eastAsia="en-US"/>
              </w:rPr>
              <w:t>Considerations of the Court</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_Toc51400110 \h </w:instrText>
            </w:r>
            <w:r w:rsidRPr="0044397E">
              <w:rPr>
                <w:noProof/>
                <w:webHidden/>
                <w:sz w:val="16"/>
                <w:szCs w:val="16"/>
              </w:rPr>
            </w:r>
            <w:r w:rsidRPr="0044397E">
              <w:rPr>
                <w:noProof/>
                <w:webHidden/>
                <w:sz w:val="16"/>
                <w:szCs w:val="16"/>
              </w:rPr>
              <w:fldChar w:fldCharType="separate"/>
            </w:r>
            <w:r w:rsidR="000E45D1">
              <w:rPr>
                <w:noProof/>
                <w:webHidden/>
                <w:sz w:val="16"/>
                <w:szCs w:val="16"/>
              </w:rPr>
              <w:t>79</w:t>
            </w:r>
            <w:r w:rsidRPr="0044397E">
              <w:rPr>
                <w:noProof/>
                <w:webHidden/>
                <w:sz w:val="16"/>
                <w:szCs w:val="16"/>
              </w:rPr>
              <w:fldChar w:fldCharType="end"/>
            </w:r>
          </w:hyperlink>
        </w:p>
        <w:p w14:paraId="3DBD5348" w14:textId="600DBCB2" w:rsidR="009D52FD" w:rsidRPr="0044397E" w:rsidRDefault="009D52FD" w:rsidP="0044397E">
          <w:pPr>
            <w:pStyle w:val="TOC1"/>
            <w:spacing w:line="240" w:lineRule="auto"/>
            <w:rPr>
              <w:rFonts w:eastAsiaTheme="minorEastAsia" w:cstheme="minorBidi"/>
              <w:noProof/>
              <w:sz w:val="16"/>
              <w:szCs w:val="16"/>
              <w:lang w:val="en-US" w:eastAsia="en-US"/>
            </w:rPr>
          </w:pPr>
          <w:hyperlink w:anchor="_Toc51400111" w:history="1">
            <w:r w:rsidRPr="0044397E">
              <w:rPr>
                <w:rStyle w:val="Hyperlink"/>
                <w:rFonts w:cs="Verdana"/>
                <w:b/>
                <w:bCs/>
                <w:caps/>
                <w:noProof/>
                <w:snapToGrid w:val="0"/>
                <w:sz w:val="16"/>
                <w:szCs w:val="16"/>
                <w:lang w:val="en-US"/>
              </w:rPr>
              <w:t>IX REPARATIONS (</w:t>
            </w:r>
            <w:r w:rsidRPr="0044397E">
              <w:rPr>
                <w:rStyle w:val="Hyperlink"/>
                <w:rFonts w:cs="Verdana"/>
                <w:b/>
                <w:bCs/>
                <w:noProof/>
                <w:snapToGrid w:val="0"/>
                <w:sz w:val="16"/>
                <w:szCs w:val="16"/>
                <w:lang w:val="en-US"/>
              </w:rPr>
              <w:t>Application of Article 63(1) of the American Convention</w:t>
            </w:r>
            <w:r w:rsidRPr="0044397E">
              <w:rPr>
                <w:rStyle w:val="Hyperlink"/>
                <w:rFonts w:cs="Verdana"/>
                <w:b/>
                <w:bCs/>
                <w:caps/>
                <w:noProof/>
                <w:snapToGrid w:val="0"/>
                <w:sz w:val="16"/>
                <w:szCs w:val="16"/>
                <w:lang w:val="en-US"/>
              </w:rPr>
              <w:t>)</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_Toc51400111 \h </w:instrText>
            </w:r>
            <w:r w:rsidRPr="0044397E">
              <w:rPr>
                <w:noProof/>
                <w:webHidden/>
                <w:sz w:val="16"/>
                <w:szCs w:val="16"/>
              </w:rPr>
            </w:r>
            <w:r w:rsidRPr="0044397E">
              <w:rPr>
                <w:noProof/>
                <w:webHidden/>
                <w:sz w:val="16"/>
                <w:szCs w:val="16"/>
              </w:rPr>
              <w:fldChar w:fldCharType="separate"/>
            </w:r>
            <w:r w:rsidR="000E45D1">
              <w:rPr>
                <w:noProof/>
                <w:webHidden/>
                <w:sz w:val="16"/>
                <w:szCs w:val="16"/>
              </w:rPr>
              <w:t>81</w:t>
            </w:r>
            <w:r w:rsidRPr="0044397E">
              <w:rPr>
                <w:noProof/>
                <w:webHidden/>
                <w:sz w:val="16"/>
                <w:szCs w:val="16"/>
              </w:rPr>
              <w:fldChar w:fldCharType="end"/>
            </w:r>
          </w:hyperlink>
        </w:p>
        <w:p w14:paraId="2330B412" w14:textId="2A4A9826" w:rsidR="009D52FD" w:rsidRPr="0044397E" w:rsidRDefault="009D52FD" w:rsidP="0044397E">
          <w:pPr>
            <w:pStyle w:val="TOC2"/>
            <w:rPr>
              <w:rFonts w:eastAsiaTheme="minorEastAsia" w:cstheme="minorBidi"/>
              <w:noProof/>
              <w:sz w:val="16"/>
              <w:szCs w:val="16"/>
              <w:lang w:val="en-US" w:eastAsia="en-US"/>
            </w:rPr>
          </w:pPr>
          <w:hyperlink w:anchor="_Toc51400112" w:history="1">
            <w:r w:rsidRPr="0044397E">
              <w:rPr>
                <w:rStyle w:val="Hyperlink"/>
                <w:rFonts w:eastAsia="MS Mincho"/>
                <w:b/>
                <w:bCs/>
                <w:i/>
                <w:noProof/>
                <w:sz w:val="16"/>
                <w:szCs w:val="16"/>
                <w:lang w:val="en-US"/>
              </w:rPr>
              <w:t>A.</w:t>
            </w:r>
            <w:r w:rsidRPr="0044397E">
              <w:rPr>
                <w:rFonts w:eastAsiaTheme="minorEastAsia" w:cstheme="minorBidi"/>
                <w:noProof/>
                <w:sz w:val="16"/>
                <w:szCs w:val="16"/>
                <w:lang w:val="en-US" w:eastAsia="en-US"/>
              </w:rPr>
              <w:tab/>
            </w:r>
            <w:r w:rsidRPr="0044397E">
              <w:rPr>
                <w:rStyle w:val="Hyperlink"/>
                <w:rFonts w:eastAsia="MS Mincho"/>
                <w:b/>
                <w:bCs/>
                <w:i/>
                <w:noProof/>
                <w:sz w:val="16"/>
                <w:szCs w:val="16"/>
                <w:lang w:val="en-US"/>
              </w:rPr>
              <w:t>Injured party</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_Toc51400112 \h </w:instrText>
            </w:r>
            <w:r w:rsidRPr="0044397E">
              <w:rPr>
                <w:noProof/>
                <w:webHidden/>
                <w:sz w:val="16"/>
                <w:szCs w:val="16"/>
              </w:rPr>
            </w:r>
            <w:r w:rsidRPr="0044397E">
              <w:rPr>
                <w:noProof/>
                <w:webHidden/>
                <w:sz w:val="16"/>
                <w:szCs w:val="16"/>
              </w:rPr>
              <w:fldChar w:fldCharType="separate"/>
            </w:r>
            <w:r w:rsidR="000E45D1">
              <w:rPr>
                <w:noProof/>
                <w:webHidden/>
                <w:sz w:val="16"/>
                <w:szCs w:val="16"/>
              </w:rPr>
              <w:t>82</w:t>
            </w:r>
            <w:r w:rsidRPr="0044397E">
              <w:rPr>
                <w:noProof/>
                <w:webHidden/>
                <w:sz w:val="16"/>
                <w:szCs w:val="16"/>
              </w:rPr>
              <w:fldChar w:fldCharType="end"/>
            </w:r>
          </w:hyperlink>
        </w:p>
        <w:p w14:paraId="1E78D1E2" w14:textId="601F64AE" w:rsidR="009D52FD" w:rsidRPr="0044397E" w:rsidRDefault="009D52FD" w:rsidP="0044397E">
          <w:pPr>
            <w:pStyle w:val="TOC2"/>
            <w:rPr>
              <w:rFonts w:eastAsiaTheme="minorEastAsia" w:cstheme="minorBidi"/>
              <w:noProof/>
              <w:sz w:val="16"/>
              <w:szCs w:val="16"/>
              <w:lang w:val="en-US" w:eastAsia="en-US"/>
            </w:rPr>
          </w:pPr>
          <w:hyperlink w:anchor="_Toc51400113" w:history="1">
            <w:r w:rsidRPr="0044397E">
              <w:rPr>
                <w:rStyle w:val="Hyperlink"/>
                <w:rFonts w:eastAsia="MS Mincho"/>
                <w:b/>
                <w:bCs/>
                <w:i/>
                <w:noProof/>
                <w:sz w:val="16"/>
                <w:szCs w:val="16"/>
                <w:lang w:val="en-US"/>
              </w:rPr>
              <w:t>B.</w:t>
            </w:r>
            <w:r w:rsidRPr="0044397E">
              <w:rPr>
                <w:rFonts w:eastAsiaTheme="minorEastAsia" w:cstheme="minorBidi"/>
                <w:noProof/>
                <w:sz w:val="16"/>
                <w:szCs w:val="16"/>
                <w:lang w:val="en-US" w:eastAsia="en-US"/>
              </w:rPr>
              <w:tab/>
            </w:r>
            <w:r w:rsidRPr="0044397E">
              <w:rPr>
                <w:rStyle w:val="Hyperlink"/>
                <w:rFonts w:eastAsia="MS Mincho"/>
                <w:b/>
                <w:bCs/>
                <w:i/>
                <w:noProof/>
                <w:sz w:val="16"/>
                <w:szCs w:val="16"/>
                <w:lang w:val="en-US"/>
              </w:rPr>
              <w:t>Obligation to investigate the facts and identify, prosecute and punish, as appropriate, those responsible</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_Toc51400113 \h </w:instrText>
            </w:r>
            <w:r w:rsidRPr="0044397E">
              <w:rPr>
                <w:noProof/>
                <w:webHidden/>
                <w:sz w:val="16"/>
                <w:szCs w:val="16"/>
              </w:rPr>
            </w:r>
            <w:r w:rsidRPr="0044397E">
              <w:rPr>
                <w:noProof/>
                <w:webHidden/>
                <w:sz w:val="16"/>
                <w:szCs w:val="16"/>
              </w:rPr>
              <w:fldChar w:fldCharType="separate"/>
            </w:r>
            <w:r w:rsidR="000E45D1">
              <w:rPr>
                <w:noProof/>
                <w:webHidden/>
                <w:sz w:val="16"/>
                <w:szCs w:val="16"/>
              </w:rPr>
              <w:t>82</w:t>
            </w:r>
            <w:r w:rsidRPr="0044397E">
              <w:rPr>
                <w:noProof/>
                <w:webHidden/>
                <w:sz w:val="16"/>
                <w:szCs w:val="16"/>
              </w:rPr>
              <w:fldChar w:fldCharType="end"/>
            </w:r>
          </w:hyperlink>
        </w:p>
        <w:p w14:paraId="1C189F8C" w14:textId="04EAF295" w:rsidR="009D52FD" w:rsidRPr="0044397E" w:rsidRDefault="009D52FD" w:rsidP="0044397E">
          <w:pPr>
            <w:pStyle w:val="TOC2"/>
            <w:rPr>
              <w:rFonts w:eastAsiaTheme="minorEastAsia" w:cstheme="minorBidi"/>
              <w:noProof/>
              <w:sz w:val="16"/>
              <w:szCs w:val="16"/>
              <w:lang w:val="en-US" w:eastAsia="en-US"/>
            </w:rPr>
          </w:pPr>
          <w:hyperlink w:anchor="_Toc51400114" w:history="1">
            <w:r w:rsidRPr="0044397E">
              <w:rPr>
                <w:rStyle w:val="Hyperlink"/>
                <w:i/>
                <w:noProof/>
                <w:sz w:val="16"/>
                <w:szCs w:val="16"/>
                <w:lang w:val="en-US"/>
              </w:rPr>
              <w:t xml:space="preserve">B.1 </w:t>
            </w:r>
            <w:r w:rsidRPr="0044397E">
              <w:rPr>
                <w:rFonts w:eastAsiaTheme="minorEastAsia" w:cstheme="minorBidi"/>
                <w:noProof/>
                <w:sz w:val="16"/>
                <w:szCs w:val="16"/>
                <w:lang w:val="en-US" w:eastAsia="en-US"/>
              </w:rPr>
              <w:tab/>
            </w:r>
            <w:r w:rsidRPr="0044397E">
              <w:rPr>
                <w:rStyle w:val="Hyperlink"/>
                <w:i/>
                <w:noProof/>
                <w:sz w:val="16"/>
                <w:szCs w:val="16"/>
                <w:lang w:val="en-US"/>
              </w:rPr>
              <w:t>Investigation, determination, prosecution and punishment, as appropriate, of all those responsible</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_Toc51400114 \h </w:instrText>
            </w:r>
            <w:r w:rsidRPr="0044397E">
              <w:rPr>
                <w:noProof/>
                <w:webHidden/>
                <w:sz w:val="16"/>
                <w:szCs w:val="16"/>
              </w:rPr>
            </w:r>
            <w:r w:rsidRPr="0044397E">
              <w:rPr>
                <w:noProof/>
                <w:webHidden/>
                <w:sz w:val="16"/>
                <w:szCs w:val="16"/>
              </w:rPr>
              <w:fldChar w:fldCharType="separate"/>
            </w:r>
            <w:r w:rsidR="000E45D1">
              <w:rPr>
                <w:noProof/>
                <w:webHidden/>
                <w:sz w:val="16"/>
                <w:szCs w:val="16"/>
              </w:rPr>
              <w:t>82</w:t>
            </w:r>
            <w:r w:rsidRPr="0044397E">
              <w:rPr>
                <w:noProof/>
                <w:webHidden/>
                <w:sz w:val="16"/>
                <w:szCs w:val="16"/>
              </w:rPr>
              <w:fldChar w:fldCharType="end"/>
            </w:r>
          </w:hyperlink>
        </w:p>
        <w:p w14:paraId="77AD8C88" w14:textId="099F1242" w:rsidR="009D52FD" w:rsidRPr="0044397E" w:rsidRDefault="009D52FD" w:rsidP="0044397E">
          <w:pPr>
            <w:pStyle w:val="TOC2"/>
            <w:rPr>
              <w:rFonts w:eastAsiaTheme="minorEastAsia" w:cstheme="minorBidi"/>
              <w:noProof/>
              <w:sz w:val="16"/>
              <w:szCs w:val="16"/>
              <w:lang w:val="en-US" w:eastAsia="en-US"/>
            </w:rPr>
          </w:pPr>
          <w:hyperlink w:anchor="_Toc51400115" w:history="1">
            <w:r w:rsidRPr="0044397E">
              <w:rPr>
                <w:rStyle w:val="Hyperlink"/>
                <w:i/>
                <w:noProof/>
                <w:sz w:val="16"/>
                <w:szCs w:val="16"/>
                <w:lang w:val="en-US"/>
              </w:rPr>
              <w:t xml:space="preserve">B.2 </w:t>
            </w:r>
            <w:r w:rsidRPr="0044397E">
              <w:rPr>
                <w:rFonts w:eastAsiaTheme="minorEastAsia" w:cstheme="minorBidi"/>
                <w:noProof/>
                <w:sz w:val="16"/>
                <w:szCs w:val="16"/>
                <w:lang w:val="en-US" w:eastAsia="en-US"/>
              </w:rPr>
              <w:tab/>
            </w:r>
            <w:r w:rsidRPr="0044397E">
              <w:rPr>
                <w:rStyle w:val="Hyperlink"/>
                <w:i/>
                <w:noProof/>
                <w:sz w:val="16"/>
                <w:szCs w:val="16"/>
                <w:lang w:val="en-US"/>
              </w:rPr>
              <w:t>Investigation, determination, prosecution and punishment, as appropriate, of those responsible for obstructing access to justice</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_Toc51400115 \h </w:instrText>
            </w:r>
            <w:r w:rsidRPr="0044397E">
              <w:rPr>
                <w:noProof/>
                <w:webHidden/>
                <w:sz w:val="16"/>
                <w:szCs w:val="16"/>
              </w:rPr>
            </w:r>
            <w:r w:rsidRPr="0044397E">
              <w:rPr>
                <w:noProof/>
                <w:webHidden/>
                <w:sz w:val="16"/>
                <w:szCs w:val="16"/>
              </w:rPr>
              <w:fldChar w:fldCharType="separate"/>
            </w:r>
            <w:r w:rsidR="000E45D1">
              <w:rPr>
                <w:noProof/>
                <w:webHidden/>
                <w:sz w:val="16"/>
                <w:szCs w:val="16"/>
              </w:rPr>
              <w:t>83</w:t>
            </w:r>
            <w:r w:rsidRPr="0044397E">
              <w:rPr>
                <w:noProof/>
                <w:webHidden/>
                <w:sz w:val="16"/>
                <w:szCs w:val="16"/>
              </w:rPr>
              <w:fldChar w:fldCharType="end"/>
            </w:r>
          </w:hyperlink>
        </w:p>
        <w:p w14:paraId="57F532F8" w14:textId="3B3C562C" w:rsidR="009D52FD" w:rsidRPr="0044397E" w:rsidRDefault="009D52FD" w:rsidP="0044397E">
          <w:pPr>
            <w:pStyle w:val="TOC2"/>
            <w:rPr>
              <w:rFonts w:eastAsiaTheme="minorEastAsia" w:cstheme="minorBidi"/>
              <w:noProof/>
              <w:sz w:val="16"/>
              <w:szCs w:val="16"/>
              <w:lang w:val="en-US" w:eastAsia="en-US"/>
            </w:rPr>
          </w:pPr>
          <w:hyperlink w:anchor="_Toc51400116" w:history="1">
            <w:r w:rsidRPr="0044397E">
              <w:rPr>
                <w:rStyle w:val="Hyperlink"/>
                <w:rFonts w:eastAsia="MS Mincho"/>
                <w:b/>
                <w:bCs/>
                <w:i/>
                <w:noProof/>
                <w:sz w:val="16"/>
                <w:szCs w:val="16"/>
                <w:lang w:val="en-US"/>
              </w:rPr>
              <w:t>C.</w:t>
            </w:r>
            <w:r w:rsidRPr="0044397E">
              <w:rPr>
                <w:rFonts w:eastAsiaTheme="minorEastAsia" w:cstheme="minorBidi"/>
                <w:noProof/>
                <w:sz w:val="16"/>
                <w:szCs w:val="16"/>
                <w:lang w:val="en-US" w:eastAsia="en-US"/>
              </w:rPr>
              <w:tab/>
            </w:r>
            <w:r w:rsidRPr="0044397E">
              <w:rPr>
                <w:rStyle w:val="Hyperlink"/>
                <w:rFonts w:eastAsia="MS Mincho"/>
                <w:b/>
                <w:bCs/>
                <w:i/>
                <w:noProof/>
                <w:sz w:val="16"/>
                <w:szCs w:val="16"/>
                <w:lang w:val="en-US"/>
              </w:rPr>
              <w:t>Measures of rehabilitation and satisfaction and guarantees of non-repetition</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_Toc51400116 \h </w:instrText>
            </w:r>
            <w:r w:rsidRPr="0044397E">
              <w:rPr>
                <w:noProof/>
                <w:webHidden/>
                <w:sz w:val="16"/>
                <w:szCs w:val="16"/>
              </w:rPr>
            </w:r>
            <w:r w:rsidRPr="0044397E">
              <w:rPr>
                <w:noProof/>
                <w:webHidden/>
                <w:sz w:val="16"/>
                <w:szCs w:val="16"/>
              </w:rPr>
              <w:fldChar w:fldCharType="separate"/>
            </w:r>
            <w:r w:rsidR="000E45D1">
              <w:rPr>
                <w:noProof/>
                <w:webHidden/>
                <w:sz w:val="16"/>
                <w:szCs w:val="16"/>
              </w:rPr>
              <w:t>84</w:t>
            </w:r>
            <w:r w:rsidRPr="0044397E">
              <w:rPr>
                <w:noProof/>
                <w:webHidden/>
                <w:sz w:val="16"/>
                <w:szCs w:val="16"/>
              </w:rPr>
              <w:fldChar w:fldCharType="end"/>
            </w:r>
          </w:hyperlink>
        </w:p>
        <w:p w14:paraId="74B12DC8" w14:textId="0B110CA4" w:rsidR="009D52FD" w:rsidRPr="0044397E" w:rsidRDefault="009D52FD" w:rsidP="0044397E">
          <w:pPr>
            <w:pStyle w:val="TOC2"/>
            <w:rPr>
              <w:rFonts w:eastAsiaTheme="minorEastAsia" w:cstheme="minorBidi"/>
              <w:noProof/>
              <w:sz w:val="16"/>
              <w:szCs w:val="16"/>
              <w:lang w:val="en-US" w:eastAsia="en-US"/>
            </w:rPr>
          </w:pPr>
          <w:hyperlink w:anchor="_Toc51400117" w:history="1">
            <w:r w:rsidRPr="0044397E">
              <w:rPr>
                <w:rStyle w:val="Hyperlink"/>
                <w:i/>
                <w:noProof/>
                <w:sz w:val="16"/>
                <w:szCs w:val="16"/>
                <w:lang w:val="en-US"/>
              </w:rPr>
              <w:t xml:space="preserve">C.1 </w:t>
            </w:r>
            <w:r w:rsidRPr="0044397E">
              <w:rPr>
                <w:rFonts w:eastAsiaTheme="minorEastAsia" w:cstheme="minorBidi"/>
                <w:noProof/>
                <w:sz w:val="16"/>
                <w:szCs w:val="16"/>
                <w:lang w:val="en-US" w:eastAsia="en-US"/>
              </w:rPr>
              <w:tab/>
            </w:r>
            <w:r w:rsidRPr="0044397E">
              <w:rPr>
                <w:rStyle w:val="Hyperlink"/>
                <w:i/>
                <w:noProof/>
                <w:sz w:val="16"/>
                <w:szCs w:val="16"/>
                <w:lang w:val="en-US"/>
              </w:rPr>
              <w:t>Measures of rehabilitation</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_Toc51400117 \h </w:instrText>
            </w:r>
            <w:r w:rsidRPr="0044397E">
              <w:rPr>
                <w:noProof/>
                <w:webHidden/>
                <w:sz w:val="16"/>
                <w:szCs w:val="16"/>
              </w:rPr>
            </w:r>
            <w:r w:rsidRPr="0044397E">
              <w:rPr>
                <w:noProof/>
                <w:webHidden/>
                <w:sz w:val="16"/>
                <w:szCs w:val="16"/>
              </w:rPr>
              <w:fldChar w:fldCharType="separate"/>
            </w:r>
            <w:r w:rsidR="000E45D1">
              <w:rPr>
                <w:noProof/>
                <w:webHidden/>
                <w:sz w:val="16"/>
                <w:szCs w:val="16"/>
              </w:rPr>
              <w:t>84</w:t>
            </w:r>
            <w:r w:rsidRPr="0044397E">
              <w:rPr>
                <w:noProof/>
                <w:webHidden/>
                <w:sz w:val="16"/>
                <w:szCs w:val="16"/>
              </w:rPr>
              <w:fldChar w:fldCharType="end"/>
            </w:r>
          </w:hyperlink>
        </w:p>
        <w:p w14:paraId="4C363BC1" w14:textId="38C9F41F" w:rsidR="009D52FD" w:rsidRPr="0044397E" w:rsidRDefault="009D52FD" w:rsidP="0044397E">
          <w:pPr>
            <w:pStyle w:val="TOC2"/>
            <w:rPr>
              <w:rFonts w:eastAsiaTheme="minorEastAsia" w:cstheme="minorBidi"/>
              <w:noProof/>
              <w:sz w:val="16"/>
              <w:szCs w:val="16"/>
              <w:lang w:val="en-US" w:eastAsia="en-US"/>
            </w:rPr>
          </w:pPr>
          <w:hyperlink w:anchor="_Toc51400118" w:history="1">
            <w:r w:rsidRPr="0044397E">
              <w:rPr>
                <w:rStyle w:val="Hyperlink"/>
                <w:i/>
                <w:noProof/>
                <w:sz w:val="16"/>
                <w:szCs w:val="16"/>
                <w:lang w:val="en-US"/>
              </w:rPr>
              <w:t xml:space="preserve">C.2 </w:t>
            </w:r>
            <w:r w:rsidRPr="0044397E">
              <w:rPr>
                <w:rFonts w:eastAsiaTheme="minorEastAsia" w:cstheme="minorBidi"/>
                <w:noProof/>
                <w:sz w:val="16"/>
                <w:szCs w:val="16"/>
                <w:lang w:val="en-US" w:eastAsia="en-US"/>
              </w:rPr>
              <w:tab/>
            </w:r>
            <w:r w:rsidRPr="0044397E">
              <w:rPr>
                <w:rStyle w:val="Hyperlink"/>
                <w:i/>
                <w:noProof/>
                <w:sz w:val="16"/>
                <w:szCs w:val="16"/>
                <w:lang w:val="en-US"/>
              </w:rPr>
              <w:t>Measures of satisfaction</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_Toc51400118 \h </w:instrText>
            </w:r>
            <w:r w:rsidRPr="0044397E">
              <w:rPr>
                <w:noProof/>
                <w:webHidden/>
                <w:sz w:val="16"/>
                <w:szCs w:val="16"/>
              </w:rPr>
            </w:r>
            <w:r w:rsidRPr="0044397E">
              <w:rPr>
                <w:noProof/>
                <w:webHidden/>
                <w:sz w:val="16"/>
                <w:szCs w:val="16"/>
              </w:rPr>
              <w:fldChar w:fldCharType="separate"/>
            </w:r>
            <w:r w:rsidR="000E45D1">
              <w:rPr>
                <w:noProof/>
                <w:webHidden/>
                <w:sz w:val="16"/>
                <w:szCs w:val="16"/>
              </w:rPr>
              <w:t>86</w:t>
            </w:r>
            <w:r w:rsidRPr="0044397E">
              <w:rPr>
                <w:noProof/>
                <w:webHidden/>
                <w:sz w:val="16"/>
                <w:szCs w:val="16"/>
              </w:rPr>
              <w:fldChar w:fldCharType="end"/>
            </w:r>
          </w:hyperlink>
        </w:p>
        <w:p w14:paraId="579F3CBE" w14:textId="465EDE15" w:rsidR="009D52FD" w:rsidRPr="0044397E" w:rsidRDefault="009D52FD" w:rsidP="0044397E">
          <w:pPr>
            <w:pStyle w:val="TOC2"/>
            <w:rPr>
              <w:rFonts w:eastAsiaTheme="minorEastAsia" w:cstheme="minorBidi"/>
              <w:noProof/>
              <w:sz w:val="16"/>
              <w:szCs w:val="16"/>
              <w:lang w:val="en-US" w:eastAsia="en-US"/>
            </w:rPr>
          </w:pPr>
          <w:hyperlink w:anchor="_Toc51400119" w:history="1">
            <w:r w:rsidRPr="0044397E">
              <w:rPr>
                <w:rStyle w:val="Hyperlink"/>
                <w:i/>
                <w:noProof/>
                <w:sz w:val="16"/>
                <w:szCs w:val="16"/>
                <w:lang w:val="en-US"/>
              </w:rPr>
              <w:t xml:space="preserve">C.3 </w:t>
            </w:r>
            <w:r w:rsidRPr="0044397E">
              <w:rPr>
                <w:rFonts w:eastAsiaTheme="minorEastAsia" w:cstheme="minorBidi"/>
                <w:noProof/>
                <w:sz w:val="16"/>
                <w:szCs w:val="16"/>
                <w:lang w:val="en-US" w:eastAsia="en-US"/>
              </w:rPr>
              <w:tab/>
            </w:r>
            <w:r w:rsidRPr="0044397E">
              <w:rPr>
                <w:rStyle w:val="Hyperlink"/>
                <w:i/>
                <w:noProof/>
                <w:sz w:val="16"/>
                <w:szCs w:val="16"/>
                <w:lang w:val="en-US"/>
              </w:rPr>
              <w:t>Guarantees of non-repetition</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_Toc51400119 \h </w:instrText>
            </w:r>
            <w:r w:rsidRPr="0044397E">
              <w:rPr>
                <w:noProof/>
                <w:webHidden/>
                <w:sz w:val="16"/>
                <w:szCs w:val="16"/>
              </w:rPr>
            </w:r>
            <w:r w:rsidRPr="0044397E">
              <w:rPr>
                <w:noProof/>
                <w:webHidden/>
                <w:sz w:val="16"/>
                <w:szCs w:val="16"/>
              </w:rPr>
              <w:fldChar w:fldCharType="separate"/>
            </w:r>
            <w:r w:rsidR="000E45D1">
              <w:rPr>
                <w:noProof/>
                <w:webHidden/>
                <w:sz w:val="16"/>
                <w:szCs w:val="16"/>
              </w:rPr>
              <w:t>89</w:t>
            </w:r>
            <w:r w:rsidRPr="0044397E">
              <w:rPr>
                <w:noProof/>
                <w:webHidden/>
                <w:sz w:val="16"/>
                <w:szCs w:val="16"/>
              </w:rPr>
              <w:fldChar w:fldCharType="end"/>
            </w:r>
          </w:hyperlink>
        </w:p>
        <w:p w14:paraId="12EA38DE" w14:textId="3A421440" w:rsidR="009D52FD" w:rsidRPr="0044397E" w:rsidRDefault="009D52FD" w:rsidP="0044397E">
          <w:pPr>
            <w:pStyle w:val="TOC2"/>
            <w:rPr>
              <w:rFonts w:eastAsiaTheme="minorEastAsia" w:cstheme="minorBidi"/>
              <w:noProof/>
              <w:sz w:val="16"/>
              <w:szCs w:val="16"/>
              <w:lang w:val="en-US" w:eastAsia="en-US"/>
            </w:rPr>
          </w:pPr>
          <w:hyperlink w:anchor="_Toc51400120" w:history="1">
            <w:r w:rsidRPr="0044397E">
              <w:rPr>
                <w:rStyle w:val="Hyperlink"/>
                <w:i/>
                <w:noProof/>
                <w:sz w:val="16"/>
                <w:szCs w:val="16"/>
                <w:lang w:val="en-US"/>
              </w:rPr>
              <w:t xml:space="preserve">C.4 </w:t>
            </w:r>
            <w:r w:rsidRPr="0044397E">
              <w:rPr>
                <w:rFonts w:eastAsiaTheme="minorEastAsia" w:cstheme="minorBidi"/>
                <w:noProof/>
                <w:sz w:val="16"/>
                <w:szCs w:val="16"/>
                <w:lang w:val="en-US" w:eastAsia="en-US"/>
              </w:rPr>
              <w:tab/>
            </w:r>
            <w:r w:rsidRPr="0044397E">
              <w:rPr>
                <w:rStyle w:val="Hyperlink"/>
                <w:i/>
                <w:noProof/>
                <w:sz w:val="16"/>
                <w:szCs w:val="16"/>
                <w:lang w:val="en-US"/>
              </w:rPr>
              <w:t>Other measures requested</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_Toc51400120 \h </w:instrText>
            </w:r>
            <w:r w:rsidRPr="0044397E">
              <w:rPr>
                <w:noProof/>
                <w:webHidden/>
                <w:sz w:val="16"/>
                <w:szCs w:val="16"/>
              </w:rPr>
            </w:r>
            <w:r w:rsidRPr="0044397E">
              <w:rPr>
                <w:noProof/>
                <w:webHidden/>
                <w:sz w:val="16"/>
                <w:szCs w:val="16"/>
              </w:rPr>
              <w:fldChar w:fldCharType="separate"/>
            </w:r>
            <w:r w:rsidR="000E45D1">
              <w:rPr>
                <w:noProof/>
                <w:webHidden/>
                <w:sz w:val="16"/>
                <w:szCs w:val="16"/>
              </w:rPr>
              <w:t>97</w:t>
            </w:r>
            <w:r w:rsidRPr="0044397E">
              <w:rPr>
                <w:noProof/>
                <w:webHidden/>
                <w:sz w:val="16"/>
                <w:szCs w:val="16"/>
              </w:rPr>
              <w:fldChar w:fldCharType="end"/>
            </w:r>
          </w:hyperlink>
        </w:p>
        <w:p w14:paraId="3E944915" w14:textId="3B12F479" w:rsidR="009D52FD" w:rsidRPr="0044397E" w:rsidRDefault="009D52FD" w:rsidP="0044397E">
          <w:pPr>
            <w:pStyle w:val="TOC2"/>
            <w:rPr>
              <w:rFonts w:eastAsiaTheme="minorEastAsia" w:cstheme="minorBidi"/>
              <w:noProof/>
              <w:sz w:val="16"/>
              <w:szCs w:val="16"/>
              <w:lang w:val="en-US" w:eastAsia="en-US"/>
            </w:rPr>
          </w:pPr>
          <w:hyperlink w:anchor="_Toc51400121" w:history="1">
            <w:r w:rsidRPr="0044397E">
              <w:rPr>
                <w:rStyle w:val="Hyperlink"/>
                <w:rFonts w:eastAsia="MS Mincho"/>
                <w:b/>
                <w:bCs/>
                <w:i/>
                <w:noProof/>
                <w:sz w:val="16"/>
                <w:szCs w:val="16"/>
                <w:lang w:val="en-US"/>
              </w:rPr>
              <w:t>D.</w:t>
            </w:r>
            <w:r w:rsidRPr="0044397E">
              <w:rPr>
                <w:rFonts w:eastAsiaTheme="minorEastAsia" w:cstheme="minorBidi"/>
                <w:noProof/>
                <w:sz w:val="16"/>
                <w:szCs w:val="16"/>
                <w:lang w:val="en-US" w:eastAsia="en-US"/>
              </w:rPr>
              <w:tab/>
            </w:r>
            <w:r w:rsidRPr="0044397E">
              <w:rPr>
                <w:rStyle w:val="Hyperlink"/>
                <w:rFonts w:eastAsia="MS Mincho"/>
                <w:b/>
                <w:bCs/>
                <w:i/>
                <w:noProof/>
                <w:sz w:val="16"/>
                <w:szCs w:val="16"/>
                <w:lang w:val="en-US"/>
              </w:rPr>
              <w:t>Compensation</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_Toc51400121 \h </w:instrText>
            </w:r>
            <w:r w:rsidRPr="0044397E">
              <w:rPr>
                <w:noProof/>
                <w:webHidden/>
                <w:sz w:val="16"/>
                <w:szCs w:val="16"/>
              </w:rPr>
            </w:r>
            <w:r w:rsidRPr="0044397E">
              <w:rPr>
                <w:noProof/>
                <w:webHidden/>
                <w:sz w:val="16"/>
                <w:szCs w:val="16"/>
              </w:rPr>
              <w:fldChar w:fldCharType="separate"/>
            </w:r>
            <w:r w:rsidR="000E45D1">
              <w:rPr>
                <w:noProof/>
                <w:webHidden/>
                <w:sz w:val="16"/>
                <w:szCs w:val="16"/>
              </w:rPr>
              <w:t>98</w:t>
            </w:r>
            <w:r w:rsidRPr="0044397E">
              <w:rPr>
                <w:noProof/>
                <w:webHidden/>
                <w:sz w:val="16"/>
                <w:szCs w:val="16"/>
              </w:rPr>
              <w:fldChar w:fldCharType="end"/>
            </w:r>
          </w:hyperlink>
        </w:p>
        <w:p w14:paraId="59C47974" w14:textId="7C12D700" w:rsidR="009D52FD" w:rsidRPr="0044397E" w:rsidRDefault="009D52FD" w:rsidP="0044397E">
          <w:pPr>
            <w:pStyle w:val="TOC2"/>
            <w:rPr>
              <w:rFonts w:eastAsiaTheme="minorEastAsia" w:cstheme="minorBidi"/>
              <w:noProof/>
              <w:sz w:val="16"/>
              <w:szCs w:val="16"/>
              <w:lang w:val="en-US" w:eastAsia="en-US"/>
            </w:rPr>
          </w:pPr>
          <w:hyperlink w:anchor="_Toc51400122" w:history="1">
            <w:r w:rsidRPr="0044397E">
              <w:rPr>
                <w:rStyle w:val="Hyperlink"/>
                <w:i/>
                <w:noProof/>
                <w:sz w:val="16"/>
                <w:szCs w:val="16"/>
                <w:lang w:val="en-US"/>
              </w:rPr>
              <w:t>D.1</w:t>
            </w:r>
            <w:r w:rsidRPr="0044397E">
              <w:rPr>
                <w:rFonts w:eastAsiaTheme="minorEastAsia" w:cstheme="minorBidi"/>
                <w:noProof/>
                <w:sz w:val="16"/>
                <w:szCs w:val="16"/>
                <w:lang w:val="en-US" w:eastAsia="en-US"/>
              </w:rPr>
              <w:tab/>
            </w:r>
            <w:r w:rsidRPr="0044397E">
              <w:rPr>
                <w:rStyle w:val="Hyperlink"/>
                <w:i/>
                <w:noProof/>
                <w:sz w:val="16"/>
                <w:szCs w:val="16"/>
                <w:lang w:val="en-US"/>
              </w:rPr>
              <w:t>Pecuniary damage</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_Toc51400122 \h </w:instrText>
            </w:r>
            <w:r w:rsidRPr="0044397E">
              <w:rPr>
                <w:noProof/>
                <w:webHidden/>
                <w:sz w:val="16"/>
                <w:szCs w:val="16"/>
              </w:rPr>
            </w:r>
            <w:r w:rsidRPr="0044397E">
              <w:rPr>
                <w:noProof/>
                <w:webHidden/>
                <w:sz w:val="16"/>
                <w:szCs w:val="16"/>
              </w:rPr>
              <w:fldChar w:fldCharType="separate"/>
            </w:r>
            <w:r w:rsidR="000E45D1">
              <w:rPr>
                <w:noProof/>
                <w:webHidden/>
                <w:sz w:val="16"/>
                <w:szCs w:val="16"/>
              </w:rPr>
              <w:t>99</w:t>
            </w:r>
            <w:r w:rsidRPr="0044397E">
              <w:rPr>
                <w:noProof/>
                <w:webHidden/>
                <w:sz w:val="16"/>
                <w:szCs w:val="16"/>
              </w:rPr>
              <w:fldChar w:fldCharType="end"/>
            </w:r>
          </w:hyperlink>
        </w:p>
        <w:p w14:paraId="61743446" w14:textId="18A6F366" w:rsidR="009D52FD" w:rsidRPr="0044397E" w:rsidRDefault="009D52FD" w:rsidP="0044397E">
          <w:pPr>
            <w:pStyle w:val="TOC2"/>
            <w:rPr>
              <w:rFonts w:eastAsiaTheme="minorEastAsia" w:cstheme="minorBidi"/>
              <w:noProof/>
              <w:sz w:val="16"/>
              <w:szCs w:val="16"/>
              <w:lang w:val="en-US" w:eastAsia="en-US"/>
            </w:rPr>
          </w:pPr>
          <w:hyperlink w:anchor="_Toc51400123" w:history="1">
            <w:r w:rsidRPr="0044397E">
              <w:rPr>
                <w:rStyle w:val="Hyperlink"/>
                <w:i/>
                <w:noProof/>
                <w:sz w:val="16"/>
                <w:szCs w:val="16"/>
                <w:lang w:val="en-US"/>
              </w:rPr>
              <w:t>D.2</w:t>
            </w:r>
            <w:r w:rsidRPr="0044397E">
              <w:rPr>
                <w:rFonts w:eastAsiaTheme="minorEastAsia" w:cstheme="minorBidi"/>
                <w:noProof/>
                <w:sz w:val="16"/>
                <w:szCs w:val="16"/>
                <w:lang w:val="en-US" w:eastAsia="en-US"/>
              </w:rPr>
              <w:tab/>
            </w:r>
            <w:r w:rsidRPr="0044397E">
              <w:rPr>
                <w:rStyle w:val="Hyperlink"/>
                <w:i/>
                <w:noProof/>
                <w:sz w:val="16"/>
                <w:szCs w:val="16"/>
                <w:lang w:val="en-US"/>
              </w:rPr>
              <w:t>Non-pecuniary damage</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_Toc51400123 \h </w:instrText>
            </w:r>
            <w:r w:rsidRPr="0044397E">
              <w:rPr>
                <w:noProof/>
                <w:webHidden/>
                <w:sz w:val="16"/>
                <w:szCs w:val="16"/>
              </w:rPr>
            </w:r>
            <w:r w:rsidRPr="0044397E">
              <w:rPr>
                <w:noProof/>
                <w:webHidden/>
                <w:sz w:val="16"/>
                <w:szCs w:val="16"/>
              </w:rPr>
              <w:fldChar w:fldCharType="separate"/>
            </w:r>
            <w:r w:rsidR="000E45D1">
              <w:rPr>
                <w:noProof/>
                <w:webHidden/>
                <w:sz w:val="16"/>
                <w:szCs w:val="16"/>
              </w:rPr>
              <w:t>100</w:t>
            </w:r>
            <w:r w:rsidRPr="0044397E">
              <w:rPr>
                <w:noProof/>
                <w:webHidden/>
                <w:sz w:val="16"/>
                <w:szCs w:val="16"/>
              </w:rPr>
              <w:fldChar w:fldCharType="end"/>
            </w:r>
          </w:hyperlink>
        </w:p>
        <w:p w14:paraId="4206592A" w14:textId="08BBE137" w:rsidR="009D52FD" w:rsidRPr="0044397E" w:rsidRDefault="009D52FD" w:rsidP="0044397E">
          <w:pPr>
            <w:pStyle w:val="TOC2"/>
            <w:rPr>
              <w:rFonts w:eastAsiaTheme="minorEastAsia" w:cstheme="minorBidi"/>
              <w:noProof/>
              <w:sz w:val="16"/>
              <w:szCs w:val="16"/>
              <w:lang w:val="en-US" w:eastAsia="en-US"/>
            </w:rPr>
          </w:pPr>
          <w:hyperlink w:anchor="_Toc51400124" w:history="1">
            <w:r w:rsidRPr="0044397E">
              <w:rPr>
                <w:rStyle w:val="Hyperlink"/>
                <w:rFonts w:eastAsia="MS Mincho"/>
                <w:b/>
                <w:bCs/>
                <w:i/>
                <w:noProof/>
                <w:sz w:val="16"/>
                <w:szCs w:val="16"/>
                <w:lang w:val="en-US"/>
              </w:rPr>
              <w:t>E.</w:t>
            </w:r>
            <w:r w:rsidRPr="0044397E">
              <w:rPr>
                <w:rFonts w:eastAsiaTheme="minorEastAsia" w:cstheme="minorBidi"/>
                <w:noProof/>
                <w:sz w:val="16"/>
                <w:szCs w:val="16"/>
                <w:lang w:val="en-US" w:eastAsia="en-US"/>
              </w:rPr>
              <w:tab/>
            </w:r>
            <w:r w:rsidRPr="0044397E">
              <w:rPr>
                <w:rStyle w:val="Hyperlink"/>
                <w:rFonts w:eastAsia="MS Mincho"/>
                <w:b/>
                <w:bCs/>
                <w:i/>
                <w:noProof/>
                <w:sz w:val="16"/>
                <w:szCs w:val="16"/>
                <w:lang w:val="en-US"/>
              </w:rPr>
              <w:t>Costs and expenses</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_Toc51400124 \h </w:instrText>
            </w:r>
            <w:r w:rsidRPr="0044397E">
              <w:rPr>
                <w:noProof/>
                <w:webHidden/>
                <w:sz w:val="16"/>
                <w:szCs w:val="16"/>
              </w:rPr>
            </w:r>
            <w:r w:rsidRPr="0044397E">
              <w:rPr>
                <w:noProof/>
                <w:webHidden/>
                <w:sz w:val="16"/>
                <w:szCs w:val="16"/>
              </w:rPr>
              <w:fldChar w:fldCharType="separate"/>
            </w:r>
            <w:r w:rsidR="000E45D1">
              <w:rPr>
                <w:noProof/>
                <w:webHidden/>
                <w:sz w:val="16"/>
                <w:szCs w:val="16"/>
              </w:rPr>
              <w:t>101</w:t>
            </w:r>
            <w:r w:rsidRPr="0044397E">
              <w:rPr>
                <w:noProof/>
                <w:webHidden/>
                <w:sz w:val="16"/>
                <w:szCs w:val="16"/>
              </w:rPr>
              <w:fldChar w:fldCharType="end"/>
            </w:r>
          </w:hyperlink>
        </w:p>
        <w:p w14:paraId="08978424" w14:textId="7D5FCD54" w:rsidR="009D52FD" w:rsidRPr="0044397E" w:rsidRDefault="009D52FD" w:rsidP="0044397E">
          <w:pPr>
            <w:pStyle w:val="TOC2"/>
            <w:rPr>
              <w:rFonts w:eastAsiaTheme="minorEastAsia" w:cstheme="minorBidi"/>
              <w:noProof/>
              <w:sz w:val="16"/>
              <w:szCs w:val="16"/>
              <w:lang w:val="en-US" w:eastAsia="en-US"/>
            </w:rPr>
          </w:pPr>
          <w:hyperlink w:anchor="_Toc51400125" w:history="1">
            <w:r w:rsidRPr="0044397E">
              <w:rPr>
                <w:rStyle w:val="Hyperlink"/>
                <w:rFonts w:eastAsia="MS Mincho"/>
                <w:b/>
                <w:bCs/>
                <w:i/>
                <w:noProof/>
                <w:sz w:val="16"/>
                <w:szCs w:val="16"/>
                <w:lang w:val="en-US"/>
              </w:rPr>
              <w:t>F.</w:t>
            </w:r>
            <w:r w:rsidRPr="0044397E">
              <w:rPr>
                <w:rFonts w:eastAsiaTheme="minorEastAsia" w:cstheme="minorBidi"/>
                <w:noProof/>
                <w:sz w:val="16"/>
                <w:szCs w:val="16"/>
                <w:lang w:val="en-US" w:eastAsia="en-US"/>
              </w:rPr>
              <w:tab/>
            </w:r>
            <w:r w:rsidRPr="0044397E">
              <w:rPr>
                <w:rStyle w:val="Hyperlink"/>
                <w:rFonts w:eastAsia="MS Mincho"/>
                <w:b/>
                <w:bCs/>
                <w:i/>
                <w:noProof/>
                <w:sz w:val="16"/>
                <w:szCs w:val="16"/>
                <w:lang w:val="en-US"/>
              </w:rPr>
              <w:t>Reimbursement of expenses to the Victims’ Legal Assistance Fund of the Inter-American Court</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_Toc51400125 \h </w:instrText>
            </w:r>
            <w:r w:rsidRPr="0044397E">
              <w:rPr>
                <w:noProof/>
                <w:webHidden/>
                <w:sz w:val="16"/>
                <w:szCs w:val="16"/>
              </w:rPr>
            </w:r>
            <w:r w:rsidRPr="0044397E">
              <w:rPr>
                <w:noProof/>
                <w:webHidden/>
                <w:sz w:val="16"/>
                <w:szCs w:val="16"/>
              </w:rPr>
              <w:fldChar w:fldCharType="separate"/>
            </w:r>
            <w:r w:rsidR="000E45D1">
              <w:rPr>
                <w:noProof/>
                <w:webHidden/>
                <w:sz w:val="16"/>
                <w:szCs w:val="16"/>
              </w:rPr>
              <w:t>103</w:t>
            </w:r>
            <w:r w:rsidRPr="0044397E">
              <w:rPr>
                <w:noProof/>
                <w:webHidden/>
                <w:sz w:val="16"/>
                <w:szCs w:val="16"/>
              </w:rPr>
              <w:fldChar w:fldCharType="end"/>
            </w:r>
          </w:hyperlink>
        </w:p>
        <w:p w14:paraId="37B5116D" w14:textId="5B20F06B" w:rsidR="009D52FD" w:rsidRPr="0044397E" w:rsidRDefault="009D52FD" w:rsidP="0044397E">
          <w:pPr>
            <w:pStyle w:val="TOC2"/>
            <w:rPr>
              <w:rFonts w:eastAsiaTheme="minorEastAsia" w:cstheme="minorBidi"/>
              <w:noProof/>
              <w:sz w:val="16"/>
              <w:szCs w:val="16"/>
              <w:lang w:val="en-US" w:eastAsia="en-US"/>
            </w:rPr>
          </w:pPr>
          <w:hyperlink w:anchor="_Toc51400126" w:history="1">
            <w:r w:rsidRPr="0044397E">
              <w:rPr>
                <w:rStyle w:val="Hyperlink"/>
                <w:rFonts w:eastAsia="MS Mincho"/>
                <w:b/>
                <w:bCs/>
                <w:i/>
                <w:noProof/>
                <w:sz w:val="16"/>
                <w:szCs w:val="16"/>
                <w:lang w:val="en-US"/>
              </w:rPr>
              <w:t>G.</w:t>
            </w:r>
            <w:r w:rsidRPr="0044397E">
              <w:rPr>
                <w:rFonts w:eastAsiaTheme="minorEastAsia" w:cstheme="minorBidi"/>
                <w:noProof/>
                <w:sz w:val="16"/>
                <w:szCs w:val="16"/>
                <w:lang w:val="en-US" w:eastAsia="en-US"/>
              </w:rPr>
              <w:tab/>
            </w:r>
            <w:r w:rsidRPr="0044397E">
              <w:rPr>
                <w:rStyle w:val="Hyperlink"/>
                <w:rFonts w:eastAsia="MS Mincho"/>
                <w:b/>
                <w:bCs/>
                <w:i/>
                <w:noProof/>
                <w:sz w:val="16"/>
                <w:szCs w:val="16"/>
                <w:lang w:val="en-US"/>
              </w:rPr>
              <w:t>Reimbursement of expenses to the Victims’ Legal Assistance Fund of the Inter-American Commission</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_Toc51400126 \h </w:instrText>
            </w:r>
            <w:r w:rsidRPr="0044397E">
              <w:rPr>
                <w:noProof/>
                <w:webHidden/>
                <w:sz w:val="16"/>
                <w:szCs w:val="16"/>
              </w:rPr>
            </w:r>
            <w:r w:rsidRPr="0044397E">
              <w:rPr>
                <w:noProof/>
                <w:webHidden/>
                <w:sz w:val="16"/>
                <w:szCs w:val="16"/>
              </w:rPr>
              <w:fldChar w:fldCharType="separate"/>
            </w:r>
            <w:r w:rsidR="000E45D1">
              <w:rPr>
                <w:noProof/>
                <w:webHidden/>
                <w:sz w:val="16"/>
                <w:szCs w:val="16"/>
              </w:rPr>
              <w:t>104</w:t>
            </w:r>
            <w:r w:rsidRPr="0044397E">
              <w:rPr>
                <w:noProof/>
                <w:webHidden/>
                <w:sz w:val="16"/>
                <w:szCs w:val="16"/>
              </w:rPr>
              <w:fldChar w:fldCharType="end"/>
            </w:r>
          </w:hyperlink>
        </w:p>
        <w:p w14:paraId="386A4CDA" w14:textId="30D08D28" w:rsidR="009D52FD" w:rsidRPr="0044397E" w:rsidRDefault="009D52FD" w:rsidP="0044397E">
          <w:pPr>
            <w:pStyle w:val="TOC2"/>
            <w:rPr>
              <w:rFonts w:eastAsiaTheme="minorEastAsia" w:cstheme="minorBidi"/>
              <w:noProof/>
              <w:sz w:val="16"/>
              <w:szCs w:val="16"/>
              <w:lang w:val="en-US" w:eastAsia="en-US"/>
            </w:rPr>
          </w:pPr>
          <w:hyperlink w:anchor="_Toc51400127" w:history="1">
            <w:r w:rsidRPr="0044397E">
              <w:rPr>
                <w:rStyle w:val="Hyperlink"/>
                <w:rFonts w:eastAsia="MS Mincho"/>
                <w:b/>
                <w:bCs/>
                <w:i/>
                <w:noProof/>
                <w:sz w:val="16"/>
                <w:szCs w:val="16"/>
                <w:lang w:val="en-US"/>
              </w:rPr>
              <w:t>H.</w:t>
            </w:r>
            <w:r w:rsidRPr="0044397E">
              <w:rPr>
                <w:rFonts w:eastAsiaTheme="minorEastAsia" w:cstheme="minorBidi"/>
                <w:noProof/>
                <w:sz w:val="16"/>
                <w:szCs w:val="16"/>
                <w:lang w:val="en-US" w:eastAsia="en-US"/>
              </w:rPr>
              <w:tab/>
            </w:r>
            <w:r w:rsidRPr="0044397E">
              <w:rPr>
                <w:rStyle w:val="Hyperlink"/>
                <w:rFonts w:eastAsia="MS Mincho"/>
                <w:b/>
                <w:bCs/>
                <w:i/>
                <w:noProof/>
                <w:sz w:val="16"/>
                <w:szCs w:val="16"/>
                <w:lang w:val="en-US"/>
              </w:rPr>
              <w:t>Method of compliance with the payments ordered</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_Toc51400127 \h </w:instrText>
            </w:r>
            <w:r w:rsidRPr="0044397E">
              <w:rPr>
                <w:noProof/>
                <w:webHidden/>
                <w:sz w:val="16"/>
                <w:szCs w:val="16"/>
              </w:rPr>
            </w:r>
            <w:r w:rsidRPr="0044397E">
              <w:rPr>
                <w:noProof/>
                <w:webHidden/>
                <w:sz w:val="16"/>
                <w:szCs w:val="16"/>
              </w:rPr>
              <w:fldChar w:fldCharType="separate"/>
            </w:r>
            <w:r w:rsidR="000E45D1">
              <w:rPr>
                <w:noProof/>
                <w:webHidden/>
                <w:sz w:val="16"/>
                <w:szCs w:val="16"/>
              </w:rPr>
              <w:t>104</w:t>
            </w:r>
            <w:r w:rsidRPr="0044397E">
              <w:rPr>
                <w:noProof/>
                <w:webHidden/>
                <w:sz w:val="16"/>
                <w:szCs w:val="16"/>
              </w:rPr>
              <w:fldChar w:fldCharType="end"/>
            </w:r>
          </w:hyperlink>
        </w:p>
        <w:p w14:paraId="61132142" w14:textId="37A54BAE" w:rsidR="009D52FD" w:rsidRPr="0044397E" w:rsidRDefault="009D52FD" w:rsidP="0044397E">
          <w:pPr>
            <w:pStyle w:val="TOC1"/>
            <w:spacing w:line="240" w:lineRule="auto"/>
            <w:rPr>
              <w:rFonts w:eastAsiaTheme="minorEastAsia" w:cstheme="minorBidi"/>
              <w:noProof/>
              <w:sz w:val="16"/>
              <w:szCs w:val="16"/>
              <w:lang w:val="en-US" w:eastAsia="en-US"/>
            </w:rPr>
          </w:pPr>
          <w:hyperlink w:anchor="_Toc51400128" w:history="1">
            <w:r w:rsidRPr="0044397E">
              <w:rPr>
                <w:rStyle w:val="Hyperlink"/>
                <w:rFonts w:cs="Verdana"/>
                <w:b/>
                <w:bCs/>
                <w:caps/>
                <w:noProof/>
                <w:snapToGrid w:val="0"/>
                <w:sz w:val="16"/>
                <w:szCs w:val="16"/>
                <w:lang w:val="en-US"/>
              </w:rPr>
              <w:t>X OPERATIVE PARAGRAPHS</w:t>
            </w:r>
            <w:r w:rsidRPr="0044397E">
              <w:rPr>
                <w:noProof/>
                <w:webHidden/>
                <w:sz w:val="16"/>
                <w:szCs w:val="16"/>
              </w:rPr>
              <w:tab/>
            </w:r>
            <w:r w:rsidRPr="0044397E">
              <w:rPr>
                <w:noProof/>
                <w:webHidden/>
                <w:sz w:val="16"/>
                <w:szCs w:val="16"/>
              </w:rPr>
              <w:fldChar w:fldCharType="begin"/>
            </w:r>
            <w:r w:rsidRPr="0044397E">
              <w:rPr>
                <w:noProof/>
                <w:webHidden/>
                <w:sz w:val="16"/>
                <w:szCs w:val="16"/>
              </w:rPr>
              <w:instrText xml:space="preserve"> PAGEREF _Toc51400128 \h </w:instrText>
            </w:r>
            <w:r w:rsidRPr="0044397E">
              <w:rPr>
                <w:noProof/>
                <w:webHidden/>
                <w:sz w:val="16"/>
                <w:szCs w:val="16"/>
              </w:rPr>
            </w:r>
            <w:r w:rsidRPr="0044397E">
              <w:rPr>
                <w:noProof/>
                <w:webHidden/>
                <w:sz w:val="16"/>
                <w:szCs w:val="16"/>
              </w:rPr>
              <w:fldChar w:fldCharType="separate"/>
            </w:r>
            <w:r w:rsidR="000E45D1">
              <w:rPr>
                <w:noProof/>
                <w:webHidden/>
                <w:sz w:val="16"/>
                <w:szCs w:val="16"/>
              </w:rPr>
              <w:t>105</w:t>
            </w:r>
            <w:r w:rsidRPr="0044397E">
              <w:rPr>
                <w:noProof/>
                <w:webHidden/>
                <w:sz w:val="16"/>
                <w:szCs w:val="16"/>
              </w:rPr>
              <w:fldChar w:fldCharType="end"/>
            </w:r>
          </w:hyperlink>
        </w:p>
        <w:p w14:paraId="18FCC2F3" w14:textId="35EFC78E" w:rsidR="00731D3E" w:rsidRPr="009D52FD" w:rsidRDefault="00731D3E" w:rsidP="0044397E">
          <w:pPr>
            <w:spacing w:line="240" w:lineRule="auto"/>
            <w:rPr>
              <w:sz w:val="16"/>
              <w:szCs w:val="16"/>
              <w:lang w:val="en-US"/>
            </w:rPr>
          </w:pPr>
          <w:r w:rsidRPr="0044397E">
            <w:rPr>
              <w:b/>
              <w:bCs/>
              <w:sz w:val="16"/>
              <w:szCs w:val="16"/>
              <w:lang w:val="en-US"/>
            </w:rPr>
            <w:fldChar w:fldCharType="end"/>
          </w:r>
        </w:p>
      </w:sdtContent>
    </w:sdt>
    <w:p w14:paraId="33CFA41E" w14:textId="77777777" w:rsidR="00731D3E" w:rsidRPr="009D52FD" w:rsidRDefault="00731D3E" w:rsidP="0044397E">
      <w:pPr>
        <w:widowControl/>
        <w:adjustRightInd/>
        <w:spacing w:line="240" w:lineRule="auto"/>
        <w:jc w:val="left"/>
        <w:textAlignment w:val="auto"/>
        <w:rPr>
          <w:sz w:val="16"/>
          <w:szCs w:val="16"/>
          <w:lang w:val="en-US"/>
        </w:rPr>
      </w:pPr>
      <w:r w:rsidRPr="009D52FD">
        <w:rPr>
          <w:sz w:val="16"/>
          <w:szCs w:val="16"/>
          <w:lang w:val="en-US"/>
        </w:rPr>
        <w:br w:type="page"/>
      </w:r>
    </w:p>
    <w:p w14:paraId="3FD7E372" w14:textId="0373A26D" w:rsidR="00731D3E" w:rsidRPr="009D52FD" w:rsidRDefault="00731D3E" w:rsidP="00731D3E">
      <w:pPr>
        <w:keepNext/>
        <w:keepLines/>
        <w:tabs>
          <w:tab w:val="left" w:pos="851"/>
        </w:tabs>
        <w:spacing w:line="240" w:lineRule="auto"/>
        <w:jc w:val="center"/>
        <w:outlineLvl w:val="0"/>
        <w:rPr>
          <w:rFonts w:cs="Verdana"/>
          <w:b/>
          <w:bCs/>
          <w:caps/>
          <w:snapToGrid w:val="0"/>
          <w:sz w:val="20"/>
          <w:szCs w:val="20"/>
          <w:lang w:val="en-US"/>
        </w:rPr>
      </w:pPr>
      <w:bookmarkStart w:id="0" w:name="_Toc51400060"/>
      <w:r w:rsidRPr="009D52FD">
        <w:rPr>
          <w:rFonts w:cs="Verdana"/>
          <w:b/>
          <w:bCs/>
          <w:caps/>
          <w:snapToGrid w:val="0"/>
          <w:sz w:val="20"/>
          <w:szCs w:val="20"/>
          <w:lang w:val="en-US"/>
        </w:rPr>
        <w:lastRenderedPageBreak/>
        <w:t>I</w:t>
      </w:r>
      <w:r w:rsidRPr="009D52FD">
        <w:rPr>
          <w:rFonts w:cs="Arial"/>
          <w:b/>
          <w:bCs/>
          <w:caps/>
          <w:kern w:val="2"/>
          <w:sz w:val="20"/>
          <w:szCs w:val="20"/>
          <w:lang w:val="en-US" w:eastAsia="en-US"/>
        </w:rPr>
        <w:br/>
      </w:r>
      <w:r w:rsidR="003630BB" w:rsidRPr="009D52FD">
        <w:rPr>
          <w:rFonts w:cs="Verdana"/>
          <w:b/>
          <w:bCs/>
          <w:caps/>
          <w:snapToGrid w:val="0"/>
          <w:sz w:val="20"/>
          <w:szCs w:val="20"/>
          <w:lang w:val="en-US"/>
        </w:rPr>
        <w:t>INTRODUCTION OF THE CASE AND PURPOSE OF THE DISPUTE</w:t>
      </w:r>
      <w:bookmarkEnd w:id="0"/>
    </w:p>
    <w:p w14:paraId="583D705E" w14:textId="77777777" w:rsidR="00731D3E" w:rsidRPr="009D52FD" w:rsidRDefault="00731D3E" w:rsidP="00731D3E">
      <w:pPr>
        <w:pStyle w:val="ListParagraph"/>
        <w:spacing w:line="240" w:lineRule="auto"/>
        <w:ind w:left="0"/>
        <w:rPr>
          <w:sz w:val="20"/>
          <w:szCs w:val="20"/>
          <w:lang w:val="en-US"/>
        </w:rPr>
      </w:pPr>
    </w:p>
    <w:p w14:paraId="480CABD3" w14:textId="4AB4D202" w:rsidR="00731D3E" w:rsidRPr="009D52FD" w:rsidRDefault="0050774C" w:rsidP="00483040">
      <w:pPr>
        <w:numPr>
          <w:ilvl w:val="0"/>
          <w:numId w:val="1"/>
        </w:numPr>
        <w:tabs>
          <w:tab w:val="left" w:pos="567"/>
          <w:tab w:val="num" w:pos="1569"/>
          <w:tab w:val="num" w:pos="12305"/>
        </w:tabs>
        <w:spacing w:line="240" w:lineRule="auto"/>
        <w:ind w:left="0" w:firstLine="0"/>
        <w:rPr>
          <w:sz w:val="20"/>
          <w:szCs w:val="20"/>
          <w:lang w:val="en-US"/>
        </w:rPr>
      </w:pPr>
      <w:r w:rsidRPr="009D52FD">
        <w:rPr>
          <w:i/>
          <w:sz w:val="20"/>
          <w:szCs w:val="20"/>
          <w:lang w:val="en-US"/>
        </w:rPr>
        <w:t>The case submitted to</w:t>
      </w:r>
      <w:r w:rsidR="00731D3E" w:rsidRPr="009D52FD">
        <w:rPr>
          <w:i/>
          <w:sz w:val="20"/>
          <w:szCs w:val="20"/>
          <w:lang w:val="en-US"/>
        </w:rPr>
        <w:t xml:space="preserve"> </w:t>
      </w:r>
      <w:r w:rsidR="003630BB" w:rsidRPr="009D52FD">
        <w:rPr>
          <w:i/>
          <w:sz w:val="20"/>
          <w:szCs w:val="20"/>
          <w:lang w:val="en-US"/>
        </w:rPr>
        <w:t>the Court</w:t>
      </w:r>
      <w:r w:rsidR="00731D3E" w:rsidRPr="009D52FD">
        <w:rPr>
          <w:i/>
          <w:sz w:val="20"/>
          <w:szCs w:val="20"/>
          <w:lang w:val="en-US"/>
        </w:rPr>
        <w:t xml:space="preserve">. </w:t>
      </w:r>
      <w:r w:rsidRPr="009D52FD">
        <w:rPr>
          <w:sz w:val="20"/>
          <w:szCs w:val="20"/>
          <w:lang w:val="en-US"/>
        </w:rPr>
        <w:t>On November 2,</w:t>
      </w:r>
      <w:r w:rsidR="00731D3E" w:rsidRPr="009D52FD">
        <w:rPr>
          <w:sz w:val="20"/>
          <w:szCs w:val="20"/>
          <w:lang w:val="en-US"/>
        </w:rPr>
        <w:t xml:space="preserve"> 2016</w:t>
      </w:r>
      <w:r w:rsidRPr="009D52FD">
        <w:rPr>
          <w:sz w:val="20"/>
          <w:szCs w:val="20"/>
          <w:lang w:val="en-US"/>
        </w:rPr>
        <w:t>,</w:t>
      </w:r>
      <w:r w:rsidR="00731D3E" w:rsidRPr="009D52FD">
        <w:rPr>
          <w:sz w:val="20"/>
          <w:szCs w:val="20"/>
          <w:lang w:val="en-US"/>
        </w:rPr>
        <w:t xml:space="preserve"> </w:t>
      </w:r>
      <w:r w:rsidR="003630BB" w:rsidRPr="009D52FD">
        <w:rPr>
          <w:sz w:val="20"/>
          <w:szCs w:val="20"/>
          <w:lang w:val="en-US"/>
        </w:rPr>
        <w:t>the Inter-American Commission on Human Rights</w:t>
      </w:r>
      <w:r w:rsidR="00731D3E" w:rsidRPr="009D52FD">
        <w:rPr>
          <w:sz w:val="20"/>
          <w:szCs w:val="20"/>
          <w:lang w:val="en-US"/>
        </w:rPr>
        <w:t xml:space="preserve"> (</w:t>
      </w:r>
      <w:r w:rsidR="003630BB" w:rsidRPr="009D52FD">
        <w:rPr>
          <w:sz w:val="20"/>
          <w:szCs w:val="20"/>
          <w:lang w:val="en-US"/>
        </w:rPr>
        <w:t>hereinafter</w:t>
      </w:r>
      <w:r w:rsidR="00731D3E" w:rsidRPr="009D52FD">
        <w:rPr>
          <w:sz w:val="20"/>
          <w:szCs w:val="20"/>
          <w:lang w:val="en-US"/>
        </w:rPr>
        <w:t xml:space="preserve"> “</w:t>
      </w:r>
      <w:r w:rsidR="003630BB" w:rsidRPr="009D52FD">
        <w:rPr>
          <w:sz w:val="20"/>
          <w:szCs w:val="20"/>
          <w:lang w:val="en-US"/>
        </w:rPr>
        <w:t>the Inter-American Commission</w:t>
      </w:r>
      <w:r w:rsidR="00731D3E" w:rsidRPr="009D52FD">
        <w:rPr>
          <w:sz w:val="20"/>
          <w:szCs w:val="20"/>
          <w:lang w:val="en-US"/>
        </w:rPr>
        <w:t>” o</w:t>
      </w:r>
      <w:r w:rsidRPr="009D52FD">
        <w:rPr>
          <w:sz w:val="20"/>
          <w:szCs w:val="20"/>
          <w:lang w:val="en-US"/>
        </w:rPr>
        <w:t>r</w:t>
      </w:r>
      <w:r w:rsidR="00731D3E" w:rsidRPr="009D52FD">
        <w:rPr>
          <w:sz w:val="20"/>
          <w:szCs w:val="20"/>
          <w:lang w:val="en-US"/>
        </w:rPr>
        <w:t xml:space="preserve"> “</w:t>
      </w:r>
      <w:r w:rsidR="003630BB" w:rsidRPr="009D52FD">
        <w:rPr>
          <w:sz w:val="20"/>
          <w:szCs w:val="20"/>
          <w:lang w:val="en-US"/>
        </w:rPr>
        <w:t>the Commission</w:t>
      </w:r>
      <w:r w:rsidR="00731D3E" w:rsidRPr="009D52FD">
        <w:rPr>
          <w:sz w:val="20"/>
          <w:szCs w:val="20"/>
          <w:lang w:val="en-US"/>
        </w:rPr>
        <w:t xml:space="preserve">”) </w:t>
      </w:r>
      <w:r w:rsidRPr="009D52FD">
        <w:rPr>
          <w:sz w:val="20"/>
          <w:szCs w:val="20"/>
          <w:lang w:val="en-US"/>
        </w:rPr>
        <w:t>submitted to the jurisdiction</w:t>
      </w:r>
      <w:r w:rsidR="003630BB" w:rsidRPr="009D52FD">
        <w:rPr>
          <w:sz w:val="20"/>
          <w:szCs w:val="20"/>
          <w:lang w:val="en-US"/>
        </w:rPr>
        <w:t xml:space="preserve"> of the Court</w:t>
      </w:r>
      <w:r w:rsidR="00731D3E" w:rsidRPr="009D52FD">
        <w:rPr>
          <w:sz w:val="20"/>
          <w:szCs w:val="20"/>
          <w:lang w:val="en-US"/>
        </w:rPr>
        <w:t xml:space="preserve"> </w:t>
      </w:r>
      <w:r w:rsidRPr="009D52FD">
        <w:rPr>
          <w:sz w:val="20"/>
          <w:szCs w:val="20"/>
          <w:lang w:val="en-US"/>
        </w:rPr>
        <w:t>the case of</w:t>
      </w:r>
      <w:r w:rsidR="00731D3E" w:rsidRPr="009D52FD">
        <w:rPr>
          <w:sz w:val="20"/>
          <w:szCs w:val="20"/>
          <w:lang w:val="en-US"/>
        </w:rPr>
        <w:t xml:space="preserve"> “Linda Loaiza López Soto</w:t>
      </w:r>
      <w:r w:rsidR="003630BB" w:rsidRPr="009D52FD">
        <w:rPr>
          <w:sz w:val="20"/>
          <w:szCs w:val="20"/>
          <w:lang w:val="en-US"/>
        </w:rPr>
        <w:t xml:space="preserve"> and </w:t>
      </w:r>
      <w:r w:rsidR="00731D3E" w:rsidRPr="009D52FD">
        <w:rPr>
          <w:sz w:val="20"/>
          <w:szCs w:val="20"/>
          <w:lang w:val="en-US"/>
        </w:rPr>
        <w:t>f</w:t>
      </w:r>
      <w:r w:rsidRPr="009D52FD">
        <w:rPr>
          <w:sz w:val="20"/>
          <w:szCs w:val="20"/>
          <w:lang w:val="en-US"/>
        </w:rPr>
        <w:t>amily</w:t>
      </w:r>
      <w:r w:rsidR="00731D3E" w:rsidRPr="009D52FD">
        <w:rPr>
          <w:sz w:val="20"/>
          <w:szCs w:val="20"/>
          <w:lang w:val="en-US"/>
        </w:rPr>
        <w:t xml:space="preserve">” </w:t>
      </w:r>
      <w:r w:rsidRPr="009D52FD">
        <w:rPr>
          <w:sz w:val="20"/>
          <w:szCs w:val="20"/>
          <w:lang w:val="en-US"/>
        </w:rPr>
        <w:t>against the Bolivarian Republic of</w:t>
      </w:r>
      <w:r w:rsidR="00731D3E" w:rsidRPr="009D52FD">
        <w:rPr>
          <w:sz w:val="20"/>
          <w:szCs w:val="20"/>
          <w:lang w:val="en-US"/>
        </w:rPr>
        <w:t xml:space="preserve"> Venezuela (</w:t>
      </w:r>
      <w:r w:rsidR="003630BB" w:rsidRPr="009D52FD">
        <w:rPr>
          <w:sz w:val="20"/>
          <w:szCs w:val="20"/>
          <w:lang w:val="en-US"/>
        </w:rPr>
        <w:t>hereinafter</w:t>
      </w:r>
      <w:r w:rsidR="00731D3E" w:rsidRPr="009D52FD">
        <w:rPr>
          <w:sz w:val="20"/>
          <w:szCs w:val="20"/>
          <w:lang w:val="en-US"/>
        </w:rPr>
        <w:t xml:space="preserve"> “</w:t>
      </w:r>
      <w:r w:rsidRPr="009D52FD">
        <w:rPr>
          <w:sz w:val="20"/>
          <w:szCs w:val="20"/>
          <w:lang w:val="en-US"/>
        </w:rPr>
        <w:t>the State of</w:t>
      </w:r>
      <w:r w:rsidR="00731D3E" w:rsidRPr="009D52FD">
        <w:rPr>
          <w:sz w:val="20"/>
          <w:szCs w:val="20"/>
          <w:lang w:val="en-US"/>
        </w:rPr>
        <w:t xml:space="preserve"> Venezuela</w:t>
      </w:r>
      <w:r w:rsidR="00FF305E" w:rsidRPr="009D52FD">
        <w:rPr>
          <w:sz w:val="20"/>
          <w:szCs w:val="20"/>
          <w:lang w:val="en-US"/>
        </w:rPr>
        <w:t>,</w:t>
      </w:r>
      <w:r w:rsidR="00731D3E" w:rsidRPr="009D52FD">
        <w:rPr>
          <w:sz w:val="20"/>
          <w:szCs w:val="20"/>
          <w:lang w:val="en-US"/>
        </w:rPr>
        <w:t>” “</w:t>
      </w:r>
      <w:r w:rsidRPr="009D52FD">
        <w:rPr>
          <w:sz w:val="20"/>
          <w:szCs w:val="20"/>
          <w:lang w:val="en-US"/>
        </w:rPr>
        <w:t>the Venezuelan State</w:t>
      </w:r>
      <w:r w:rsidR="00FF305E" w:rsidRPr="009D52FD">
        <w:rPr>
          <w:sz w:val="20"/>
          <w:szCs w:val="20"/>
          <w:lang w:val="en-US"/>
        </w:rPr>
        <w:t>,</w:t>
      </w:r>
      <w:r w:rsidR="00731D3E" w:rsidRPr="009D52FD">
        <w:rPr>
          <w:sz w:val="20"/>
          <w:szCs w:val="20"/>
          <w:lang w:val="en-US"/>
        </w:rPr>
        <w:t>”</w:t>
      </w:r>
      <w:r w:rsidR="007A7D2F" w:rsidRPr="009D52FD">
        <w:rPr>
          <w:sz w:val="20"/>
          <w:szCs w:val="20"/>
          <w:lang w:val="en-US"/>
        </w:rPr>
        <w:t xml:space="preserve"> “</w:t>
      </w:r>
      <w:r w:rsidR="003630BB" w:rsidRPr="009D52FD">
        <w:rPr>
          <w:sz w:val="20"/>
          <w:szCs w:val="20"/>
          <w:lang w:val="en-US"/>
        </w:rPr>
        <w:t>the State</w:t>
      </w:r>
      <w:r w:rsidR="007A7D2F" w:rsidRPr="009D52FD">
        <w:rPr>
          <w:sz w:val="20"/>
          <w:szCs w:val="20"/>
          <w:lang w:val="en-US"/>
        </w:rPr>
        <w:t>”</w:t>
      </w:r>
      <w:r w:rsidR="00731D3E" w:rsidRPr="009D52FD">
        <w:rPr>
          <w:sz w:val="20"/>
          <w:szCs w:val="20"/>
          <w:lang w:val="en-US"/>
        </w:rPr>
        <w:t xml:space="preserve"> o</w:t>
      </w:r>
      <w:r w:rsidRPr="009D52FD">
        <w:rPr>
          <w:sz w:val="20"/>
          <w:szCs w:val="20"/>
          <w:lang w:val="en-US"/>
        </w:rPr>
        <w:t>r</w:t>
      </w:r>
      <w:r w:rsidR="00731D3E" w:rsidRPr="009D52FD">
        <w:rPr>
          <w:sz w:val="20"/>
          <w:szCs w:val="20"/>
          <w:lang w:val="en-US"/>
        </w:rPr>
        <w:t xml:space="preserve"> “Venezuela”). </w:t>
      </w:r>
      <w:r w:rsidRPr="009D52FD">
        <w:rPr>
          <w:sz w:val="20"/>
          <w:szCs w:val="20"/>
          <w:lang w:val="en-US"/>
        </w:rPr>
        <w:t>According to</w:t>
      </w:r>
      <w:r w:rsidR="00731D3E" w:rsidRPr="009D52FD">
        <w:rPr>
          <w:sz w:val="20"/>
          <w:szCs w:val="20"/>
          <w:lang w:val="en-US"/>
        </w:rPr>
        <w:t xml:space="preserve"> </w:t>
      </w:r>
      <w:r w:rsidR="003630BB" w:rsidRPr="009D52FD">
        <w:rPr>
          <w:sz w:val="20"/>
          <w:szCs w:val="20"/>
          <w:lang w:val="en-US"/>
        </w:rPr>
        <w:t>the Commission</w:t>
      </w:r>
      <w:r w:rsidR="00731D3E" w:rsidRPr="009D52FD">
        <w:rPr>
          <w:sz w:val="20"/>
          <w:szCs w:val="20"/>
          <w:lang w:val="en-US"/>
        </w:rPr>
        <w:t xml:space="preserve">, </w:t>
      </w:r>
      <w:r w:rsidRPr="009D52FD">
        <w:rPr>
          <w:sz w:val="20"/>
          <w:szCs w:val="20"/>
          <w:lang w:val="en-US"/>
        </w:rPr>
        <w:t xml:space="preserve">the case relates to the alleged international responsibility </w:t>
      </w:r>
      <w:r w:rsidR="003630BB" w:rsidRPr="009D52FD">
        <w:rPr>
          <w:sz w:val="20"/>
          <w:szCs w:val="20"/>
          <w:lang w:val="en-US"/>
        </w:rPr>
        <w:t xml:space="preserve">of </w:t>
      </w:r>
      <w:r w:rsidRPr="009D52FD">
        <w:rPr>
          <w:sz w:val="20"/>
          <w:szCs w:val="20"/>
          <w:lang w:val="en-US"/>
        </w:rPr>
        <w:t>the State of</w:t>
      </w:r>
      <w:r w:rsidR="00731D3E" w:rsidRPr="009D52FD">
        <w:rPr>
          <w:sz w:val="20"/>
          <w:szCs w:val="20"/>
          <w:lang w:val="en-US"/>
        </w:rPr>
        <w:t xml:space="preserve"> Venezuela </w:t>
      </w:r>
      <w:r w:rsidRPr="009D52FD">
        <w:rPr>
          <w:sz w:val="20"/>
          <w:szCs w:val="20"/>
          <w:lang w:val="en-US"/>
        </w:rPr>
        <w:t xml:space="preserve">for the presumed failure to comply with the obligation of prevention, owing to the deprivation of liberty endured by Linda Loaiza López Soto, who was 18 years of age at the time, between March 27 and July 19, 2001, by </w:t>
      </w:r>
      <w:r w:rsidR="00544F92" w:rsidRPr="009D52FD">
        <w:rPr>
          <w:sz w:val="20"/>
          <w:szCs w:val="20"/>
          <w:lang w:val="en-US"/>
        </w:rPr>
        <w:t>a</w:t>
      </w:r>
      <w:r w:rsidR="00FF305E" w:rsidRPr="009D52FD">
        <w:rPr>
          <w:sz w:val="20"/>
          <w:szCs w:val="20"/>
          <w:lang w:val="en-US"/>
        </w:rPr>
        <w:t xml:space="preserve"> private</w:t>
      </w:r>
      <w:r w:rsidRPr="009D52FD">
        <w:rPr>
          <w:sz w:val="20"/>
          <w:szCs w:val="20"/>
          <w:lang w:val="en-US"/>
        </w:rPr>
        <w:t xml:space="preserve"> </w:t>
      </w:r>
      <w:r w:rsidR="00F75897" w:rsidRPr="009D52FD">
        <w:rPr>
          <w:sz w:val="20"/>
          <w:szCs w:val="20"/>
          <w:lang w:val="en-US"/>
        </w:rPr>
        <w:t>individual</w:t>
      </w:r>
      <w:r w:rsidRPr="009D52FD">
        <w:rPr>
          <w:sz w:val="20"/>
          <w:szCs w:val="20"/>
          <w:lang w:val="en-US"/>
        </w:rPr>
        <w:t xml:space="preserve">, and to the acts of violence that she suffered for almost four months, which presumably included mutilation, severe physical injuries and psychological harm inflicted with extreme cruelty, as well as repeated forms of sexual violence and rape, all of which had </w:t>
      </w:r>
      <w:r w:rsidR="00483040" w:rsidRPr="009D52FD">
        <w:rPr>
          <w:sz w:val="20"/>
          <w:szCs w:val="20"/>
          <w:lang w:val="en-US"/>
        </w:rPr>
        <w:t>a profound</w:t>
      </w:r>
      <w:r w:rsidRPr="009D52FD">
        <w:rPr>
          <w:sz w:val="20"/>
          <w:szCs w:val="20"/>
          <w:lang w:val="en-US"/>
        </w:rPr>
        <w:t xml:space="preserve"> and irreversible </w:t>
      </w:r>
      <w:r w:rsidR="00483040" w:rsidRPr="009D52FD">
        <w:rPr>
          <w:sz w:val="20"/>
          <w:szCs w:val="20"/>
          <w:lang w:val="en-US"/>
        </w:rPr>
        <w:t>impact</w:t>
      </w:r>
      <w:r w:rsidRPr="009D52FD">
        <w:rPr>
          <w:sz w:val="20"/>
          <w:szCs w:val="20"/>
          <w:lang w:val="en-US"/>
        </w:rPr>
        <w:t xml:space="preserve"> on her life. The Commission also established that </w:t>
      </w:r>
      <w:r w:rsidR="00483040" w:rsidRPr="009D52FD">
        <w:rPr>
          <w:sz w:val="20"/>
          <w:szCs w:val="20"/>
          <w:lang w:val="en-US"/>
        </w:rPr>
        <w:t>this revealed a situation of acquiescence</w:t>
      </w:r>
      <w:r w:rsidR="00FF305E" w:rsidRPr="009D52FD">
        <w:rPr>
          <w:sz w:val="20"/>
          <w:szCs w:val="20"/>
          <w:lang w:val="en-US"/>
        </w:rPr>
        <w:t xml:space="preserve"> by the State</w:t>
      </w:r>
      <w:r w:rsidR="00483040" w:rsidRPr="009D52FD">
        <w:rPr>
          <w:sz w:val="20"/>
          <w:szCs w:val="20"/>
          <w:lang w:val="en-US"/>
        </w:rPr>
        <w:t xml:space="preserve"> and, therefore, the gross acts of physical, psychological and sexual violence suffered by Linda </w:t>
      </w:r>
      <w:r w:rsidR="00731D3E" w:rsidRPr="009D52FD">
        <w:rPr>
          <w:sz w:val="20"/>
          <w:szCs w:val="20"/>
          <w:lang w:val="en-US"/>
        </w:rPr>
        <w:t xml:space="preserve">Loaiza López Soto </w:t>
      </w:r>
      <w:r w:rsidR="00483040" w:rsidRPr="009D52FD">
        <w:rPr>
          <w:sz w:val="20"/>
          <w:szCs w:val="20"/>
          <w:lang w:val="en-US"/>
        </w:rPr>
        <w:t xml:space="preserve">had constituted failure to comply with the State’s obligations </w:t>
      </w:r>
      <w:r w:rsidR="00FF305E" w:rsidRPr="009D52FD">
        <w:rPr>
          <w:sz w:val="20"/>
          <w:szCs w:val="20"/>
          <w:lang w:val="en-US"/>
        </w:rPr>
        <w:t>concerning</w:t>
      </w:r>
      <w:r w:rsidR="00483040" w:rsidRPr="009D52FD">
        <w:rPr>
          <w:sz w:val="20"/>
          <w:szCs w:val="20"/>
          <w:lang w:val="en-US"/>
        </w:rPr>
        <w:t xml:space="preserve"> the absolute prohibition of torture and cruel, inhuman and degrading treatment. It also alleged that the State had failed to comply with its obligation to</w:t>
      </w:r>
      <w:r w:rsidR="00FF305E" w:rsidRPr="009D52FD">
        <w:rPr>
          <w:sz w:val="20"/>
          <w:szCs w:val="20"/>
          <w:lang w:val="en-US"/>
        </w:rPr>
        <w:t xml:space="preserve"> undertake</w:t>
      </w:r>
      <w:r w:rsidR="00483040" w:rsidRPr="009D52FD">
        <w:rPr>
          <w:sz w:val="20"/>
          <w:szCs w:val="20"/>
          <w:lang w:val="en-US"/>
        </w:rPr>
        <w:t xml:space="preserve"> investigat</w:t>
      </w:r>
      <w:r w:rsidR="00FF305E" w:rsidRPr="009D52FD">
        <w:rPr>
          <w:sz w:val="20"/>
          <w:szCs w:val="20"/>
          <w:lang w:val="en-US"/>
        </w:rPr>
        <w:t>ions</w:t>
      </w:r>
      <w:r w:rsidR="00483040" w:rsidRPr="009D52FD">
        <w:rPr>
          <w:sz w:val="20"/>
          <w:szCs w:val="20"/>
          <w:lang w:val="en-US"/>
        </w:rPr>
        <w:t xml:space="preserve"> within a reasonable time</w:t>
      </w:r>
      <w:r w:rsidR="00FF305E" w:rsidRPr="009D52FD">
        <w:rPr>
          <w:sz w:val="20"/>
          <w:szCs w:val="20"/>
          <w:lang w:val="en-US"/>
        </w:rPr>
        <w:t>,</w:t>
      </w:r>
      <w:r w:rsidR="00483040" w:rsidRPr="009D52FD">
        <w:rPr>
          <w:sz w:val="20"/>
          <w:szCs w:val="20"/>
          <w:lang w:val="en-US"/>
        </w:rPr>
        <w:t xml:space="preserve"> and that the presumed victim had not been provided with access to justice under equal conditions. Furthermore, it argued that the </w:t>
      </w:r>
      <w:r w:rsidR="00FF305E" w:rsidRPr="009D52FD">
        <w:rPr>
          <w:sz w:val="20"/>
          <w:szCs w:val="20"/>
          <w:lang w:val="en-US"/>
        </w:rPr>
        <w:t>egregious</w:t>
      </w:r>
      <w:r w:rsidR="00483040" w:rsidRPr="009D52FD">
        <w:rPr>
          <w:sz w:val="20"/>
          <w:szCs w:val="20"/>
          <w:lang w:val="en-US"/>
        </w:rPr>
        <w:t xml:space="preserve"> acts of violence she suffered had been investigated and prosecuted under a discriminatory legal framework that was incompatible with the American Convention and allowed the discussion to focus on speculations about the victim’s life rather than on elucidation of what had happened and determination of the corresponding responsibilities. According to the Commission, “the gravity of the facts that </w:t>
      </w:r>
      <w:r w:rsidR="00FF305E" w:rsidRPr="009D52FD">
        <w:rPr>
          <w:sz w:val="20"/>
          <w:szCs w:val="20"/>
          <w:lang w:val="en-US"/>
        </w:rPr>
        <w:t>occurred</w:t>
      </w:r>
      <w:r w:rsidR="00483040" w:rsidRPr="009D52FD">
        <w:rPr>
          <w:sz w:val="20"/>
          <w:szCs w:val="20"/>
          <w:lang w:val="en-US"/>
        </w:rPr>
        <w:t>, added to the absence of a timely and adequate judicial response</w:t>
      </w:r>
      <w:r w:rsidR="00FF305E" w:rsidRPr="009D52FD">
        <w:rPr>
          <w:sz w:val="20"/>
          <w:szCs w:val="20"/>
          <w:lang w:val="en-US"/>
        </w:rPr>
        <w:t>,</w:t>
      </w:r>
      <w:r w:rsidR="00483040" w:rsidRPr="009D52FD">
        <w:rPr>
          <w:sz w:val="20"/>
          <w:szCs w:val="20"/>
          <w:lang w:val="en-US"/>
        </w:rPr>
        <w:t xml:space="preserve"> extended beyond the direct [presumed] victim and included her family.</w:t>
      </w:r>
      <w:r w:rsidR="00662427" w:rsidRPr="009D52FD">
        <w:rPr>
          <w:sz w:val="20"/>
          <w:szCs w:val="20"/>
          <w:lang w:val="en-US"/>
        </w:rPr>
        <w:t>”</w:t>
      </w:r>
      <w:r w:rsidR="00662427" w:rsidRPr="009D52FD">
        <w:rPr>
          <w:rStyle w:val="FootnoteReference"/>
          <w:sz w:val="20"/>
          <w:szCs w:val="20"/>
          <w:lang w:val="en-US"/>
        </w:rPr>
        <w:footnoteReference w:id="2"/>
      </w:r>
    </w:p>
    <w:p w14:paraId="2928AA26" w14:textId="77777777" w:rsidR="00731D3E" w:rsidRPr="009D52FD" w:rsidRDefault="00731D3E" w:rsidP="00731D3E">
      <w:pPr>
        <w:pStyle w:val="ListParagraph"/>
        <w:spacing w:line="240" w:lineRule="auto"/>
        <w:ind w:left="0"/>
        <w:rPr>
          <w:sz w:val="20"/>
          <w:szCs w:val="20"/>
          <w:lang w:val="en-US"/>
        </w:rPr>
      </w:pPr>
    </w:p>
    <w:p w14:paraId="18144E3F" w14:textId="7BA9881D" w:rsidR="00731D3E" w:rsidRPr="009D52FD" w:rsidRDefault="00D32B3E" w:rsidP="00310CFF">
      <w:pPr>
        <w:numPr>
          <w:ilvl w:val="0"/>
          <w:numId w:val="1"/>
        </w:numPr>
        <w:tabs>
          <w:tab w:val="left" w:pos="567"/>
          <w:tab w:val="num" w:pos="1569"/>
          <w:tab w:val="num" w:pos="12305"/>
        </w:tabs>
        <w:spacing w:line="240" w:lineRule="auto"/>
        <w:ind w:left="0" w:firstLine="0"/>
        <w:rPr>
          <w:sz w:val="20"/>
          <w:szCs w:val="20"/>
          <w:lang w:val="en-US"/>
        </w:rPr>
      </w:pPr>
      <w:r w:rsidRPr="009D52FD">
        <w:rPr>
          <w:i/>
          <w:sz w:val="20"/>
          <w:szCs w:val="20"/>
          <w:lang w:val="en-US"/>
        </w:rPr>
        <w:t>Procedure before</w:t>
      </w:r>
      <w:r w:rsidR="00731D3E" w:rsidRPr="009D52FD">
        <w:rPr>
          <w:i/>
          <w:sz w:val="20"/>
          <w:szCs w:val="20"/>
          <w:lang w:val="en-US"/>
        </w:rPr>
        <w:t xml:space="preserve"> </w:t>
      </w:r>
      <w:r w:rsidR="003630BB" w:rsidRPr="009D52FD">
        <w:rPr>
          <w:i/>
          <w:sz w:val="20"/>
          <w:szCs w:val="20"/>
          <w:lang w:val="en-US"/>
        </w:rPr>
        <w:t>the Commission</w:t>
      </w:r>
      <w:r w:rsidR="00731D3E" w:rsidRPr="009D52FD">
        <w:rPr>
          <w:i/>
          <w:sz w:val="20"/>
          <w:szCs w:val="20"/>
          <w:lang w:val="en-US"/>
        </w:rPr>
        <w:t>.</w:t>
      </w:r>
      <w:r w:rsidR="00731D3E" w:rsidRPr="009D52FD">
        <w:rPr>
          <w:sz w:val="20"/>
          <w:szCs w:val="20"/>
          <w:lang w:val="en-US"/>
        </w:rPr>
        <w:t xml:space="preserve"> </w:t>
      </w:r>
      <w:r w:rsidR="00826D87" w:rsidRPr="009D52FD">
        <w:rPr>
          <w:sz w:val="20"/>
          <w:szCs w:val="20"/>
          <w:lang w:val="en-US"/>
        </w:rPr>
        <w:t xml:space="preserve">The procedure before </w:t>
      </w:r>
      <w:r w:rsidR="003630BB" w:rsidRPr="009D52FD">
        <w:rPr>
          <w:sz w:val="20"/>
          <w:szCs w:val="20"/>
          <w:lang w:val="en-US"/>
        </w:rPr>
        <w:t>the Commission</w:t>
      </w:r>
      <w:r w:rsidR="00731D3E" w:rsidRPr="009D52FD">
        <w:rPr>
          <w:sz w:val="20"/>
          <w:szCs w:val="20"/>
          <w:lang w:val="en-US"/>
        </w:rPr>
        <w:t xml:space="preserve"> </w:t>
      </w:r>
      <w:r w:rsidR="00826D87" w:rsidRPr="009D52FD">
        <w:rPr>
          <w:sz w:val="20"/>
          <w:szCs w:val="20"/>
          <w:lang w:val="en-US"/>
        </w:rPr>
        <w:t>was as follows</w:t>
      </w:r>
      <w:r w:rsidR="00731D3E" w:rsidRPr="009D52FD">
        <w:rPr>
          <w:sz w:val="20"/>
          <w:szCs w:val="20"/>
          <w:lang w:val="en-US"/>
        </w:rPr>
        <w:t>:</w:t>
      </w:r>
    </w:p>
    <w:p w14:paraId="5E0A8394" w14:textId="77777777" w:rsidR="00731D3E" w:rsidRPr="009D52FD" w:rsidRDefault="00731D3E" w:rsidP="009A03A1">
      <w:pPr>
        <w:pStyle w:val="ListParagraph"/>
        <w:spacing w:line="240" w:lineRule="auto"/>
        <w:rPr>
          <w:sz w:val="20"/>
          <w:szCs w:val="20"/>
          <w:lang w:val="en-US"/>
        </w:rPr>
      </w:pPr>
    </w:p>
    <w:p w14:paraId="5466A38D" w14:textId="1FF4D509" w:rsidR="00731D3E" w:rsidRPr="009D52FD" w:rsidRDefault="00731D3E" w:rsidP="00935F35">
      <w:pPr>
        <w:pStyle w:val="ListParagraph"/>
        <w:widowControl/>
        <w:numPr>
          <w:ilvl w:val="0"/>
          <w:numId w:val="2"/>
        </w:numPr>
        <w:adjustRightInd/>
        <w:spacing w:line="240" w:lineRule="auto"/>
        <w:textAlignment w:val="auto"/>
        <w:rPr>
          <w:sz w:val="20"/>
          <w:szCs w:val="20"/>
          <w:lang w:val="en-US"/>
        </w:rPr>
      </w:pPr>
      <w:r w:rsidRPr="009D52FD">
        <w:rPr>
          <w:i/>
          <w:sz w:val="20"/>
          <w:szCs w:val="20"/>
          <w:lang w:val="en-US"/>
        </w:rPr>
        <w:t>Peti</w:t>
      </w:r>
      <w:r w:rsidR="00826D87" w:rsidRPr="009D52FD">
        <w:rPr>
          <w:i/>
          <w:sz w:val="20"/>
          <w:szCs w:val="20"/>
          <w:lang w:val="en-US"/>
        </w:rPr>
        <w:t>tio</w:t>
      </w:r>
      <w:r w:rsidRPr="009D52FD">
        <w:rPr>
          <w:i/>
          <w:sz w:val="20"/>
          <w:szCs w:val="20"/>
          <w:lang w:val="en-US"/>
        </w:rPr>
        <w:t xml:space="preserve">n. </w:t>
      </w:r>
      <w:r w:rsidR="00826D87" w:rsidRPr="009D52FD">
        <w:rPr>
          <w:sz w:val="20"/>
          <w:szCs w:val="20"/>
          <w:lang w:val="en-US"/>
        </w:rPr>
        <w:t>On November 12,</w:t>
      </w:r>
      <w:r w:rsidRPr="009D52FD">
        <w:rPr>
          <w:sz w:val="20"/>
          <w:szCs w:val="20"/>
          <w:lang w:val="en-US"/>
        </w:rPr>
        <w:t xml:space="preserve"> 2007</w:t>
      </w:r>
      <w:r w:rsidR="00826D87" w:rsidRPr="009D52FD">
        <w:rPr>
          <w:sz w:val="20"/>
          <w:szCs w:val="20"/>
          <w:lang w:val="en-US"/>
        </w:rPr>
        <w:t>,</w:t>
      </w:r>
      <w:r w:rsidRPr="009D52FD">
        <w:rPr>
          <w:sz w:val="20"/>
          <w:szCs w:val="20"/>
          <w:lang w:val="en-US"/>
        </w:rPr>
        <w:t xml:space="preserve"> Linda Loaiza López Soto</w:t>
      </w:r>
      <w:r w:rsidR="003630BB" w:rsidRPr="009D52FD">
        <w:rPr>
          <w:sz w:val="20"/>
          <w:szCs w:val="20"/>
          <w:lang w:val="en-US"/>
        </w:rPr>
        <w:t xml:space="preserve"> and </w:t>
      </w:r>
      <w:r w:rsidRPr="009D52FD">
        <w:rPr>
          <w:sz w:val="20"/>
          <w:szCs w:val="20"/>
          <w:lang w:val="en-US"/>
        </w:rPr>
        <w:t>Juan Bernardo Delgado</w:t>
      </w:r>
      <w:r w:rsidR="00CE52E3" w:rsidRPr="009D52FD">
        <w:rPr>
          <w:sz w:val="20"/>
          <w:szCs w:val="20"/>
          <w:lang w:val="en-US"/>
        </w:rPr>
        <w:t xml:space="preserve"> Linares</w:t>
      </w:r>
      <w:r w:rsidRPr="009D52FD">
        <w:rPr>
          <w:sz w:val="20"/>
          <w:szCs w:val="20"/>
          <w:lang w:val="en-US"/>
        </w:rPr>
        <w:t xml:space="preserve"> (</w:t>
      </w:r>
      <w:r w:rsidR="003630BB" w:rsidRPr="009D52FD">
        <w:rPr>
          <w:sz w:val="20"/>
          <w:szCs w:val="20"/>
          <w:lang w:val="en-US"/>
        </w:rPr>
        <w:t>hereinafter</w:t>
      </w:r>
      <w:r w:rsidRPr="009D52FD">
        <w:rPr>
          <w:sz w:val="20"/>
          <w:szCs w:val="20"/>
          <w:lang w:val="en-US"/>
        </w:rPr>
        <w:t xml:space="preserve"> “</w:t>
      </w:r>
      <w:r w:rsidR="00826D87" w:rsidRPr="009D52FD">
        <w:rPr>
          <w:sz w:val="20"/>
          <w:szCs w:val="20"/>
          <w:lang w:val="en-US"/>
        </w:rPr>
        <w:t>the petitioners</w:t>
      </w:r>
      <w:r w:rsidRPr="009D52FD">
        <w:rPr>
          <w:sz w:val="20"/>
          <w:szCs w:val="20"/>
          <w:lang w:val="en-US"/>
        </w:rPr>
        <w:t xml:space="preserve">”) </w:t>
      </w:r>
      <w:r w:rsidR="00826D87" w:rsidRPr="009D52FD">
        <w:rPr>
          <w:sz w:val="20"/>
          <w:szCs w:val="20"/>
          <w:lang w:val="en-US"/>
        </w:rPr>
        <w:t>lodged the initial petition before</w:t>
      </w:r>
      <w:r w:rsidRPr="009D52FD">
        <w:rPr>
          <w:sz w:val="20"/>
          <w:szCs w:val="20"/>
          <w:lang w:val="en-US"/>
        </w:rPr>
        <w:t xml:space="preserve"> </w:t>
      </w:r>
      <w:r w:rsidR="003630BB" w:rsidRPr="009D52FD">
        <w:rPr>
          <w:sz w:val="20"/>
          <w:szCs w:val="20"/>
          <w:lang w:val="en-US"/>
        </w:rPr>
        <w:t>the Commission</w:t>
      </w:r>
      <w:r w:rsidRPr="009D52FD">
        <w:rPr>
          <w:sz w:val="20"/>
          <w:szCs w:val="20"/>
          <w:lang w:val="en-US"/>
        </w:rPr>
        <w:t>.</w:t>
      </w:r>
    </w:p>
    <w:p w14:paraId="009D2973" w14:textId="77777777" w:rsidR="00731D3E" w:rsidRPr="009D52FD" w:rsidRDefault="00731D3E" w:rsidP="00731D3E">
      <w:pPr>
        <w:pStyle w:val="ListParagraph"/>
        <w:spacing w:line="240" w:lineRule="auto"/>
        <w:rPr>
          <w:sz w:val="20"/>
          <w:szCs w:val="20"/>
          <w:lang w:val="en-US"/>
        </w:rPr>
      </w:pPr>
    </w:p>
    <w:p w14:paraId="284BD05C" w14:textId="0F29CD30" w:rsidR="00731D3E" w:rsidRPr="009D52FD" w:rsidRDefault="00483040" w:rsidP="00935F35">
      <w:pPr>
        <w:pStyle w:val="ListParagraph"/>
        <w:widowControl/>
        <w:numPr>
          <w:ilvl w:val="0"/>
          <w:numId w:val="2"/>
        </w:numPr>
        <w:adjustRightInd/>
        <w:spacing w:line="240" w:lineRule="auto"/>
        <w:textAlignment w:val="auto"/>
        <w:rPr>
          <w:sz w:val="20"/>
          <w:szCs w:val="20"/>
          <w:lang w:val="en-US"/>
        </w:rPr>
      </w:pPr>
      <w:r w:rsidRPr="009D52FD">
        <w:rPr>
          <w:i/>
          <w:sz w:val="20"/>
          <w:szCs w:val="20"/>
          <w:lang w:val="en-US"/>
        </w:rPr>
        <w:t>Admissibility Report</w:t>
      </w:r>
      <w:r w:rsidR="00731D3E" w:rsidRPr="009D52FD">
        <w:rPr>
          <w:i/>
          <w:sz w:val="20"/>
          <w:szCs w:val="20"/>
          <w:lang w:val="en-US"/>
        </w:rPr>
        <w:t>.</w:t>
      </w:r>
      <w:r w:rsidR="00731D3E" w:rsidRPr="009D52FD">
        <w:rPr>
          <w:sz w:val="20"/>
          <w:szCs w:val="20"/>
          <w:lang w:val="en-US"/>
        </w:rPr>
        <w:t xml:space="preserve"> </w:t>
      </w:r>
      <w:r w:rsidR="00826D87" w:rsidRPr="009D52FD">
        <w:rPr>
          <w:sz w:val="20"/>
          <w:szCs w:val="20"/>
          <w:lang w:val="en-US"/>
        </w:rPr>
        <w:t>On November 1,</w:t>
      </w:r>
      <w:r w:rsidR="00731D3E" w:rsidRPr="009D52FD">
        <w:rPr>
          <w:sz w:val="20"/>
          <w:szCs w:val="20"/>
          <w:lang w:val="en-US"/>
        </w:rPr>
        <w:t xml:space="preserve"> 2010</w:t>
      </w:r>
      <w:r w:rsidR="00826D87" w:rsidRPr="009D52FD">
        <w:rPr>
          <w:sz w:val="20"/>
          <w:szCs w:val="20"/>
          <w:lang w:val="en-US"/>
        </w:rPr>
        <w:t>,</w:t>
      </w:r>
      <w:r w:rsidR="00731D3E" w:rsidRPr="009D52FD">
        <w:rPr>
          <w:sz w:val="20"/>
          <w:szCs w:val="20"/>
          <w:lang w:val="en-US"/>
        </w:rPr>
        <w:t xml:space="preserve"> </w:t>
      </w:r>
      <w:r w:rsidR="003630BB" w:rsidRPr="009D52FD">
        <w:rPr>
          <w:sz w:val="20"/>
          <w:szCs w:val="20"/>
          <w:lang w:val="en-US"/>
        </w:rPr>
        <w:t>the Commission</w:t>
      </w:r>
      <w:r w:rsidR="00731D3E" w:rsidRPr="009D52FD">
        <w:rPr>
          <w:sz w:val="20"/>
          <w:szCs w:val="20"/>
          <w:lang w:val="en-US"/>
        </w:rPr>
        <w:t xml:space="preserve"> </w:t>
      </w:r>
      <w:r w:rsidR="00826D87" w:rsidRPr="009D52FD">
        <w:rPr>
          <w:sz w:val="20"/>
          <w:szCs w:val="20"/>
          <w:lang w:val="en-US"/>
        </w:rPr>
        <w:t>adopted</w:t>
      </w:r>
      <w:r w:rsidRPr="009D52FD">
        <w:rPr>
          <w:sz w:val="20"/>
          <w:szCs w:val="20"/>
          <w:lang w:val="en-US"/>
        </w:rPr>
        <w:t xml:space="preserve"> Admissibility Report</w:t>
      </w:r>
      <w:r w:rsidR="00731D3E" w:rsidRPr="009D52FD">
        <w:rPr>
          <w:sz w:val="20"/>
          <w:szCs w:val="20"/>
          <w:lang w:val="en-US"/>
        </w:rPr>
        <w:t xml:space="preserve"> No. 154/10, </w:t>
      </w:r>
      <w:r w:rsidR="00826D87" w:rsidRPr="009D52FD">
        <w:rPr>
          <w:sz w:val="20"/>
          <w:szCs w:val="20"/>
          <w:lang w:val="en-US"/>
        </w:rPr>
        <w:t>in which it concluded that the petition was admissible.</w:t>
      </w:r>
      <w:r w:rsidR="00731D3E" w:rsidRPr="009D52FD">
        <w:rPr>
          <w:rStyle w:val="FootnoteReference"/>
          <w:sz w:val="20"/>
          <w:szCs w:val="20"/>
          <w:lang w:val="en-US"/>
        </w:rPr>
        <w:footnoteReference w:id="3"/>
      </w:r>
    </w:p>
    <w:p w14:paraId="7F851A02" w14:textId="77777777" w:rsidR="00731D3E" w:rsidRPr="009D52FD" w:rsidRDefault="00731D3E" w:rsidP="00731D3E">
      <w:pPr>
        <w:spacing w:line="240" w:lineRule="auto"/>
        <w:rPr>
          <w:sz w:val="20"/>
          <w:szCs w:val="20"/>
          <w:lang w:val="en-US"/>
        </w:rPr>
      </w:pPr>
    </w:p>
    <w:p w14:paraId="31471A97" w14:textId="55237E36" w:rsidR="00731D3E" w:rsidRPr="009D52FD" w:rsidRDefault="00483040" w:rsidP="00EB24F2">
      <w:pPr>
        <w:pStyle w:val="ListParagraph"/>
        <w:widowControl/>
        <w:numPr>
          <w:ilvl w:val="0"/>
          <w:numId w:val="2"/>
        </w:numPr>
        <w:adjustRightInd/>
        <w:spacing w:line="240" w:lineRule="auto"/>
        <w:textAlignment w:val="auto"/>
        <w:rPr>
          <w:sz w:val="20"/>
          <w:szCs w:val="20"/>
          <w:lang w:val="en-US"/>
        </w:rPr>
      </w:pPr>
      <w:r w:rsidRPr="009D52FD">
        <w:rPr>
          <w:i/>
          <w:sz w:val="20"/>
          <w:szCs w:val="20"/>
          <w:lang w:val="en-US"/>
        </w:rPr>
        <w:t>Merits Report</w:t>
      </w:r>
      <w:r w:rsidR="00731D3E" w:rsidRPr="009D52FD">
        <w:rPr>
          <w:i/>
          <w:sz w:val="20"/>
          <w:szCs w:val="20"/>
          <w:lang w:val="en-US"/>
        </w:rPr>
        <w:t>.</w:t>
      </w:r>
      <w:r w:rsidR="00731D3E" w:rsidRPr="009D52FD">
        <w:rPr>
          <w:sz w:val="20"/>
          <w:szCs w:val="20"/>
          <w:lang w:val="en-US"/>
        </w:rPr>
        <w:t xml:space="preserve"> </w:t>
      </w:r>
      <w:r w:rsidR="00826D87" w:rsidRPr="009D52FD">
        <w:rPr>
          <w:sz w:val="20"/>
          <w:szCs w:val="20"/>
          <w:lang w:val="en-US"/>
        </w:rPr>
        <w:t>On July 29,</w:t>
      </w:r>
      <w:r w:rsidR="00731D3E" w:rsidRPr="009D52FD">
        <w:rPr>
          <w:sz w:val="20"/>
          <w:szCs w:val="20"/>
          <w:lang w:val="en-US"/>
        </w:rPr>
        <w:t xml:space="preserve"> 2016</w:t>
      </w:r>
      <w:r w:rsidR="00826D87" w:rsidRPr="009D52FD">
        <w:rPr>
          <w:sz w:val="20"/>
          <w:szCs w:val="20"/>
          <w:lang w:val="en-US"/>
        </w:rPr>
        <w:t xml:space="preserve">, </w:t>
      </w:r>
      <w:r w:rsidR="003630BB" w:rsidRPr="009D52FD">
        <w:rPr>
          <w:sz w:val="20"/>
          <w:szCs w:val="20"/>
          <w:lang w:val="en-US"/>
        </w:rPr>
        <w:t>the Commission</w:t>
      </w:r>
      <w:r w:rsidR="00731D3E" w:rsidRPr="009D52FD">
        <w:rPr>
          <w:sz w:val="20"/>
          <w:szCs w:val="20"/>
          <w:lang w:val="en-US"/>
        </w:rPr>
        <w:t xml:space="preserve"> </w:t>
      </w:r>
      <w:r w:rsidR="00826D87" w:rsidRPr="009D52FD">
        <w:rPr>
          <w:sz w:val="20"/>
          <w:szCs w:val="20"/>
          <w:lang w:val="en-US"/>
        </w:rPr>
        <w:t>adopted</w:t>
      </w:r>
      <w:r w:rsidRPr="009D52FD">
        <w:rPr>
          <w:sz w:val="20"/>
          <w:szCs w:val="20"/>
          <w:lang w:val="en-US"/>
        </w:rPr>
        <w:t xml:space="preserve"> Merits Report</w:t>
      </w:r>
      <w:r w:rsidR="00731D3E" w:rsidRPr="009D52FD">
        <w:rPr>
          <w:sz w:val="20"/>
          <w:szCs w:val="20"/>
          <w:lang w:val="en-US"/>
        </w:rPr>
        <w:t xml:space="preserve"> No. 33/16</w:t>
      </w:r>
      <w:r w:rsidR="00826D87" w:rsidRPr="009D52FD">
        <w:rPr>
          <w:sz w:val="20"/>
          <w:szCs w:val="20"/>
          <w:lang w:val="en-US"/>
        </w:rPr>
        <w:t xml:space="preserve"> pursuant to </w:t>
      </w:r>
      <w:r w:rsidR="003630BB" w:rsidRPr="009D52FD">
        <w:rPr>
          <w:sz w:val="20"/>
          <w:szCs w:val="20"/>
          <w:lang w:val="en-US"/>
        </w:rPr>
        <w:t>Article</w:t>
      </w:r>
      <w:r w:rsidR="00731D3E" w:rsidRPr="009D52FD">
        <w:rPr>
          <w:sz w:val="20"/>
          <w:szCs w:val="20"/>
          <w:lang w:val="en-US"/>
        </w:rPr>
        <w:t xml:space="preserve"> 50</w:t>
      </w:r>
      <w:r w:rsidR="003630BB" w:rsidRPr="009D52FD">
        <w:rPr>
          <w:sz w:val="20"/>
          <w:szCs w:val="20"/>
          <w:lang w:val="en-US"/>
        </w:rPr>
        <w:t xml:space="preserve"> of the Convention</w:t>
      </w:r>
      <w:r w:rsidR="00731D3E" w:rsidRPr="009D52FD">
        <w:rPr>
          <w:sz w:val="20"/>
          <w:szCs w:val="20"/>
          <w:lang w:val="en-US"/>
        </w:rPr>
        <w:t xml:space="preserve"> (</w:t>
      </w:r>
      <w:r w:rsidR="003630BB" w:rsidRPr="009D52FD">
        <w:rPr>
          <w:sz w:val="20"/>
          <w:szCs w:val="20"/>
          <w:lang w:val="en-US"/>
        </w:rPr>
        <w:t>hereinafter</w:t>
      </w:r>
      <w:r w:rsidR="00731D3E" w:rsidRPr="009D52FD">
        <w:rPr>
          <w:sz w:val="20"/>
          <w:szCs w:val="20"/>
          <w:lang w:val="en-US"/>
        </w:rPr>
        <w:t xml:space="preserve"> “</w:t>
      </w:r>
      <w:r w:rsidRPr="009D52FD">
        <w:rPr>
          <w:sz w:val="20"/>
          <w:szCs w:val="20"/>
          <w:lang w:val="en-US"/>
        </w:rPr>
        <w:t>the Merits Report</w:t>
      </w:r>
      <w:r w:rsidR="00731D3E" w:rsidRPr="009D52FD">
        <w:rPr>
          <w:sz w:val="20"/>
          <w:szCs w:val="20"/>
          <w:lang w:val="en-US"/>
        </w:rPr>
        <w:t>” o</w:t>
      </w:r>
      <w:r w:rsidR="00826D87" w:rsidRPr="009D52FD">
        <w:rPr>
          <w:sz w:val="20"/>
          <w:szCs w:val="20"/>
          <w:lang w:val="en-US"/>
        </w:rPr>
        <w:t>r</w:t>
      </w:r>
      <w:r w:rsidR="00731D3E" w:rsidRPr="009D52FD">
        <w:rPr>
          <w:sz w:val="20"/>
          <w:szCs w:val="20"/>
          <w:lang w:val="en-US"/>
        </w:rPr>
        <w:t xml:space="preserve"> “</w:t>
      </w:r>
      <w:r w:rsidR="00826D87" w:rsidRPr="009D52FD">
        <w:rPr>
          <w:sz w:val="20"/>
          <w:szCs w:val="20"/>
          <w:lang w:val="en-US"/>
        </w:rPr>
        <w:t>Report</w:t>
      </w:r>
      <w:r w:rsidR="00731D3E" w:rsidRPr="009D52FD">
        <w:rPr>
          <w:sz w:val="20"/>
          <w:szCs w:val="20"/>
          <w:lang w:val="en-US"/>
        </w:rPr>
        <w:t xml:space="preserve"> No. 33/16”), </w:t>
      </w:r>
      <w:r w:rsidR="00826D87" w:rsidRPr="009D52FD">
        <w:rPr>
          <w:sz w:val="20"/>
          <w:szCs w:val="20"/>
          <w:lang w:val="en-US"/>
        </w:rPr>
        <w:t>in which it reached a series of conclusions,</w:t>
      </w:r>
      <w:r w:rsidR="00E476C8" w:rsidRPr="009D52FD">
        <w:rPr>
          <w:rStyle w:val="FootnoteReference"/>
          <w:sz w:val="20"/>
          <w:szCs w:val="20"/>
          <w:lang w:val="en-US"/>
        </w:rPr>
        <w:footnoteReference w:id="4"/>
      </w:r>
      <w:r w:rsidR="003630BB" w:rsidRPr="009D52FD">
        <w:rPr>
          <w:sz w:val="20"/>
          <w:szCs w:val="20"/>
          <w:lang w:val="en-US"/>
        </w:rPr>
        <w:t xml:space="preserve"> and </w:t>
      </w:r>
      <w:r w:rsidR="00826D87" w:rsidRPr="009D52FD">
        <w:rPr>
          <w:sz w:val="20"/>
          <w:szCs w:val="20"/>
          <w:lang w:val="en-US"/>
        </w:rPr>
        <w:t>made several recommendations to the State.</w:t>
      </w:r>
      <w:r w:rsidR="00E476C8" w:rsidRPr="009D52FD">
        <w:rPr>
          <w:rStyle w:val="FootnoteReference"/>
          <w:sz w:val="20"/>
          <w:szCs w:val="20"/>
          <w:lang w:val="en-US"/>
        </w:rPr>
        <w:footnoteReference w:id="5"/>
      </w:r>
      <w:r w:rsidR="00731D3E" w:rsidRPr="009D52FD">
        <w:rPr>
          <w:sz w:val="20"/>
          <w:szCs w:val="20"/>
          <w:lang w:val="en-US"/>
        </w:rPr>
        <w:t xml:space="preserve"> </w:t>
      </w:r>
      <w:r w:rsidRPr="009D52FD">
        <w:rPr>
          <w:sz w:val="20"/>
          <w:szCs w:val="20"/>
          <w:lang w:val="en-US"/>
        </w:rPr>
        <w:t>The Merits Report</w:t>
      </w:r>
      <w:r w:rsidR="00E476C8" w:rsidRPr="009D52FD">
        <w:rPr>
          <w:sz w:val="20"/>
          <w:szCs w:val="20"/>
          <w:lang w:val="en-US"/>
        </w:rPr>
        <w:t xml:space="preserve"> </w:t>
      </w:r>
      <w:r w:rsidR="00826D87" w:rsidRPr="009D52FD">
        <w:rPr>
          <w:sz w:val="20"/>
          <w:szCs w:val="20"/>
          <w:lang w:val="en-US"/>
        </w:rPr>
        <w:t>was notified to the State on August 2,</w:t>
      </w:r>
      <w:r w:rsidR="00E476C8" w:rsidRPr="009D52FD">
        <w:rPr>
          <w:sz w:val="20"/>
          <w:szCs w:val="20"/>
          <w:lang w:val="en-US"/>
        </w:rPr>
        <w:t xml:space="preserve"> 2016.</w:t>
      </w:r>
    </w:p>
    <w:p w14:paraId="0FD3CD9A" w14:textId="428A6517" w:rsidR="00731D3E" w:rsidRPr="009D52FD" w:rsidRDefault="00826D87" w:rsidP="00935F35">
      <w:pPr>
        <w:pStyle w:val="ListParagraph"/>
        <w:widowControl/>
        <w:numPr>
          <w:ilvl w:val="0"/>
          <w:numId w:val="2"/>
        </w:numPr>
        <w:adjustRightInd/>
        <w:spacing w:line="240" w:lineRule="auto"/>
        <w:textAlignment w:val="auto"/>
        <w:rPr>
          <w:sz w:val="20"/>
          <w:szCs w:val="20"/>
          <w:lang w:val="en-US"/>
        </w:rPr>
      </w:pPr>
      <w:r w:rsidRPr="009D52FD">
        <w:rPr>
          <w:i/>
          <w:sz w:val="20"/>
          <w:szCs w:val="20"/>
          <w:lang w:val="en-US"/>
        </w:rPr>
        <w:lastRenderedPageBreak/>
        <w:t>Report</w:t>
      </w:r>
      <w:r w:rsidR="003630BB" w:rsidRPr="009D52FD">
        <w:rPr>
          <w:i/>
          <w:sz w:val="20"/>
          <w:szCs w:val="20"/>
          <w:lang w:val="en-US"/>
        </w:rPr>
        <w:t xml:space="preserve"> </w:t>
      </w:r>
      <w:r w:rsidRPr="009D52FD">
        <w:rPr>
          <w:i/>
          <w:sz w:val="20"/>
          <w:szCs w:val="20"/>
          <w:lang w:val="en-US"/>
        </w:rPr>
        <w:t>on the</w:t>
      </w:r>
      <w:r w:rsidR="003630BB" w:rsidRPr="009D52FD">
        <w:rPr>
          <w:i/>
          <w:sz w:val="20"/>
          <w:szCs w:val="20"/>
          <w:lang w:val="en-US"/>
        </w:rPr>
        <w:t xml:space="preserve"> Commission</w:t>
      </w:r>
      <w:r w:rsidRPr="009D52FD">
        <w:rPr>
          <w:i/>
          <w:sz w:val="20"/>
          <w:szCs w:val="20"/>
          <w:lang w:val="en-US"/>
        </w:rPr>
        <w:t>’s recommendations</w:t>
      </w:r>
      <w:r w:rsidR="00731D3E" w:rsidRPr="009D52FD">
        <w:rPr>
          <w:i/>
          <w:sz w:val="20"/>
          <w:szCs w:val="20"/>
          <w:lang w:val="en-US"/>
        </w:rPr>
        <w:t>.</w:t>
      </w:r>
      <w:r w:rsidR="00731D3E" w:rsidRPr="009D52FD">
        <w:rPr>
          <w:sz w:val="20"/>
          <w:szCs w:val="20"/>
          <w:lang w:val="en-US"/>
        </w:rPr>
        <w:t xml:space="preserve"> </w:t>
      </w:r>
      <w:r w:rsidR="0050774C" w:rsidRPr="009D52FD">
        <w:rPr>
          <w:sz w:val="20"/>
          <w:szCs w:val="20"/>
          <w:lang w:val="en-US"/>
        </w:rPr>
        <w:t>The Venezuelan State</w:t>
      </w:r>
      <w:r w:rsidR="00731D3E" w:rsidRPr="009D52FD">
        <w:rPr>
          <w:sz w:val="20"/>
          <w:szCs w:val="20"/>
          <w:lang w:val="en-US"/>
        </w:rPr>
        <w:t xml:space="preserve"> </w:t>
      </w:r>
      <w:r w:rsidRPr="009D52FD">
        <w:rPr>
          <w:sz w:val="20"/>
          <w:szCs w:val="20"/>
          <w:lang w:val="en-US"/>
        </w:rPr>
        <w:t xml:space="preserve">did not respond in any way to the Commission’s </w:t>
      </w:r>
      <w:r w:rsidR="00483040" w:rsidRPr="009D52FD">
        <w:rPr>
          <w:sz w:val="20"/>
          <w:szCs w:val="20"/>
          <w:lang w:val="en-US"/>
        </w:rPr>
        <w:t>Merits Report</w:t>
      </w:r>
      <w:r w:rsidR="00731D3E" w:rsidRPr="009D52FD">
        <w:rPr>
          <w:sz w:val="20"/>
          <w:szCs w:val="20"/>
          <w:lang w:val="en-US"/>
        </w:rPr>
        <w:t>.</w:t>
      </w:r>
    </w:p>
    <w:p w14:paraId="4B835001" w14:textId="77777777" w:rsidR="00731D3E" w:rsidRPr="009D52FD" w:rsidRDefault="00731D3E" w:rsidP="00731D3E">
      <w:pPr>
        <w:pStyle w:val="ListParagraph"/>
        <w:spacing w:line="240" w:lineRule="auto"/>
        <w:rPr>
          <w:sz w:val="20"/>
          <w:szCs w:val="20"/>
          <w:lang w:val="en-US"/>
        </w:rPr>
      </w:pPr>
    </w:p>
    <w:p w14:paraId="4C3BE6EE" w14:textId="70C3EF98" w:rsidR="00731D3E" w:rsidRPr="009D52FD" w:rsidRDefault="00826D87" w:rsidP="00EB24F2">
      <w:pPr>
        <w:pStyle w:val="ListParagraph"/>
        <w:widowControl/>
        <w:numPr>
          <w:ilvl w:val="0"/>
          <w:numId w:val="2"/>
        </w:numPr>
        <w:adjustRightInd/>
        <w:spacing w:line="240" w:lineRule="auto"/>
        <w:textAlignment w:val="auto"/>
        <w:rPr>
          <w:sz w:val="20"/>
          <w:szCs w:val="20"/>
          <w:lang w:val="en-US"/>
        </w:rPr>
      </w:pPr>
      <w:r w:rsidRPr="009D52FD">
        <w:rPr>
          <w:i/>
          <w:sz w:val="20"/>
          <w:szCs w:val="20"/>
          <w:lang w:val="en-US"/>
        </w:rPr>
        <w:t>Submission to</w:t>
      </w:r>
      <w:r w:rsidR="00731D3E" w:rsidRPr="009D52FD">
        <w:rPr>
          <w:i/>
          <w:sz w:val="20"/>
          <w:szCs w:val="20"/>
          <w:lang w:val="en-US"/>
        </w:rPr>
        <w:t xml:space="preserve"> </w:t>
      </w:r>
      <w:r w:rsidR="003630BB" w:rsidRPr="009D52FD">
        <w:rPr>
          <w:i/>
          <w:sz w:val="20"/>
          <w:szCs w:val="20"/>
          <w:lang w:val="en-US"/>
        </w:rPr>
        <w:t>the Court</w:t>
      </w:r>
      <w:r w:rsidR="00731D3E" w:rsidRPr="009D52FD">
        <w:rPr>
          <w:i/>
          <w:sz w:val="20"/>
          <w:szCs w:val="20"/>
          <w:lang w:val="en-US"/>
        </w:rPr>
        <w:t>.</w:t>
      </w:r>
      <w:r w:rsidR="00731D3E" w:rsidRPr="009D52FD">
        <w:rPr>
          <w:sz w:val="20"/>
          <w:szCs w:val="20"/>
          <w:lang w:val="en-US"/>
        </w:rPr>
        <w:t xml:space="preserve"> </w:t>
      </w:r>
      <w:r w:rsidRPr="009D52FD">
        <w:rPr>
          <w:sz w:val="20"/>
          <w:szCs w:val="20"/>
          <w:lang w:val="en-US"/>
        </w:rPr>
        <w:t>On November 2,</w:t>
      </w:r>
      <w:r w:rsidR="00731D3E" w:rsidRPr="009D52FD">
        <w:rPr>
          <w:sz w:val="20"/>
          <w:szCs w:val="20"/>
          <w:lang w:val="en-US"/>
        </w:rPr>
        <w:t xml:space="preserve"> 2016</w:t>
      </w:r>
      <w:r w:rsidRPr="009D52FD">
        <w:rPr>
          <w:sz w:val="20"/>
          <w:szCs w:val="20"/>
          <w:lang w:val="en-US"/>
        </w:rPr>
        <w:t>,</w:t>
      </w:r>
      <w:r w:rsidR="00731D3E" w:rsidRPr="009D52FD">
        <w:rPr>
          <w:sz w:val="20"/>
          <w:szCs w:val="20"/>
          <w:lang w:val="en-US"/>
        </w:rPr>
        <w:t xml:space="preserve"> </w:t>
      </w:r>
      <w:r w:rsidR="003630BB" w:rsidRPr="009D52FD">
        <w:rPr>
          <w:sz w:val="20"/>
          <w:szCs w:val="20"/>
          <w:lang w:val="en-US"/>
        </w:rPr>
        <w:t>the Commission</w:t>
      </w:r>
      <w:r w:rsidR="00731D3E" w:rsidRPr="009D52FD">
        <w:rPr>
          <w:sz w:val="20"/>
          <w:szCs w:val="20"/>
          <w:lang w:val="en-US"/>
        </w:rPr>
        <w:t xml:space="preserve"> </w:t>
      </w:r>
      <w:r w:rsidRPr="009D52FD">
        <w:rPr>
          <w:sz w:val="20"/>
          <w:szCs w:val="20"/>
          <w:lang w:val="en-US"/>
        </w:rPr>
        <w:t>submitted all the facts and human rights violations descri</w:t>
      </w:r>
      <w:r w:rsidR="00EB24F2" w:rsidRPr="009D52FD">
        <w:rPr>
          <w:sz w:val="20"/>
          <w:szCs w:val="20"/>
          <w:lang w:val="en-US"/>
        </w:rPr>
        <w:t>b</w:t>
      </w:r>
      <w:r w:rsidRPr="009D52FD">
        <w:rPr>
          <w:sz w:val="20"/>
          <w:szCs w:val="20"/>
          <w:lang w:val="en-US"/>
        </w:rPr>
        <w:t xml:space="preserve">ed in the Merits Report to the jurisdiction </w:t>
      </w:r>
      <w:r w:rsidR="003630BB" w:rsidRPr="009D52FD">
        <w:rPr>
          <w:sz w:val="20"/>
          <w:szCs w:val="20"/>
          <w:lang w:val="en-US"/>
        </w:rPr>
        <w:t>of the Inter-American Court</w:t>
      </w:r>
      <w:r w:rsidR="00731D3E" w:rsidRPr="009D52FD">
        <w:rPr>
          <w:sz w:val="20"/>
          <w:szCs w:val="20"/>
          <w:lang w:val="en-US"/>
        </w:rPr>
        <w:t xml:space="preserve"> “</w:t>
      </w:r>
      <w:r w:rsidRPr="009D52FD">
        <w:rPr>
          <w:sz w:val="20"/>
          <w:szCs w:val="20"/>
          <w:lang w:val="en-US"/>
        </w:rPr>
        <w:t xml:space="preserve">owing to the need to obtain justice for the [presumed] victim </w:t>
      </w:r>
      <w:r w:rsidR="00DB6AF5" w:rsidRPr="009D52FD">
        <w:rPr>
          <w:sz w:val="20"/>
          <w:szCs w:val="20"/>
          <w:lang w:val="en-US"/>
        </w:rPr>
        <w:t>[…]</w:t>
      </w:r>
      <w:r w:rsidRPr="009D52FD">
        <w:rPr>
          <w:sz w:val="20"/>
          <w:szCs w:val="20"/>
          <w:lang w:val="en-US"/>
        </w:rPr>
        <w:t xml:space="preserve"> and the members of her family.</w:t>
      </w:r>
      <w:r w:rsidR="00731D3E" w:rsidRPr="009D52FD">
        <w:rPr>
          <w:sz w:val="20"/>
          <w:szCs w:val="20"/>
          <w:lang w:val="en-US"/>
        </w:rPr>
        <w:t>”</w:t>
      </w:r>
      <w:r w:rsidR="00731D3E" w:rsidRPr="009D52FD">
        <w:rPr>
          <w:rStyle w:val="FootnoteReference"/>
          <w:sz w:val="20"/>
          <w:szCs w:val="20"/>
          <w:lang w:val="en-US"/>
        </w:rPr>
        <w:footnoteReference w:id="6"/>
      </w:r>
    </w:p>
    <w:p w14:paraId="27CB86CB" w14:textId="77777777" w:rsidR="00EB24F2" w:rsidRPr="009D52FD" w:rsidRDefault="00EB24F2" w:rsidP="00EB24F2">
      <w:pPr>
        <w:widowControl/>
        <w:adjustRightInd/>
        <w:spacing w:line="240" w:lineRule="auto"/>
        <w:textAlignment w:val="auto"/>
        <w:rPr>
          <w:sz w:val="20"/>
          <w:szCs w:val="20"/>
          <w:lang w:val="en-US"/>
        </w:rPr>
      </w:pPr>
    </w:p>
    <w:p w14:paraId="5B96579F" w14:textId="34244E1F" w:rsidR="00731D3E" w:rsidRPr="009D52FD" w:rsidRDefault="009459E7" w:rsidP="00731D3E">
      <w:pPr>
        <w:numPr>
          <w:ilvl w:val="0"/>
          <w:numId w:val="1"/>
        </w:numPr>
        <w:tabs>
          <w:tab w:val="left" w:pos="567"/>
          <w:tab w:val="num" w:pos="1569"/>
          <w:tab w:val="num" w:pos="12305"/>
        </w:tabs>
        <w:spacing w:line="240" w:lineRule="auto"/>
        <w:ind w:left="0" w:firstLine="0"/>
        <w:rPr>
          <w:sz w:val="20"/>
          <w:szCs w:val="20"/>
          <w:lang w:val="en-US"/>
        </w:rPr>
      </w:pPr>
      <w:r w:rsidRPr="009D52FD">
        <w:rPr>
          <w:i/>
          <w:sz w:val="20"/>
          <w:szCs w:val="20"/>
          <w:lang w:val="en-US"/>
        </w:rPr>
        <w:t>Request</w:t>
      </w:r>
      <w:r w:rsidR="00731D3E" w:rsidRPr="009D52FD">
        <w:rPr>
          <w:i/>
          <w:sz w:val="20"/>
          <w:szCs w:val="20"/>
          <w:lang w:val="en-US"/>
        </w:rPr>
        <w:t>s</w:t>
      </w:r>
      <w:r w:rsidR="003630BB" w:rsidRPr="009D52FD">
        <w:rPr>
          <w:i/>
          <w:sz w:val="20"/>
          <w:szCs w:val="20"/>
          <w:lang w:val="en-US"/>
        </w:rPr>
        <w:t xml:space="preserve"> of the Inter-American Commission</w:t>
      </w:r>
      <w:r w:rsidR="00731D3E" w:rsidRPr="009D52FD">
        <w:rPr>
          <w:i/>
          <w:sz w:val="20"/>
          <w:szCs w:val="20"/>
          <w:lang w:val="en-US"/>
        </w:rPr>
        <w:t xml:space="preserve">. </w:t>
      </w:r>
      <w:r w:rsidRPr="009D52FD">
        <w:rPr>
          <w:sz w:val="20"/>
          <w:szCs w:val="20"/>
          <w:lang w:val="en-US"/>
        </w:rPr>
        <w:t>Based on the foregoing</w:t>
      </w:r>
      <w:r w:rsidR="00731D3E" w:rsidRPr="009D52FD">
        <w:rPr>
          <w:sz w:val="20"/>
          <w:szCs w:val="20"/>
          <w:lang w:val="en-US"/>
        </w:rPr>
        <w:t xml:space="preserve">, </w:t>
      </w:r>
      <w:r w:rsidR="003630BB" w:rsidRPr="009D52FD">
        <w:rPr>
          <w:sz w:val="20"/>
          <w:szCs w:val="20"/>
          <w:lang w:val="en-US"/>
        </w:rPr>
        <w:t>the Commission</w:t>
      </w:r>
      <w:r w:rsidR="00731D3E" w:rsidRPr="009D52FD">
        <w:rPr>
          <w:sz w:val="20"/>
          <w:szCs w:val="20"/>
          <w:lang w:val="en-US"/>
        </w:rPr>
        <w:t xml:space="preserve"> </w:t>
      </w:r>
      <w:r w:rsidRPr="009D52FD">
        <w:rPr>
          <w:sz w:val="20"/>
          <w:szCs w:val="20"/>
          <w:lang w:val="en-US"/>
        </w:rPr>
        <w:t xml:space="preserve">asked the Court to declare the international responsibility </w:t>
      </w:r>
      <w:r w:rsidR="003630BB" w:rsidRPr="009D52FD">
        <w:rPr>
          <w:sz w:val="20"/>
          <w:szCs w:val="20"/>
          <w:lang w:val="en-US"/>
        </w:rPr>
        <w:t>of the State</w:t>
      </w:r>
      <w:r w:rsidR="00731D3E" w:rsidRPr="009D52FD">
        <w:rPr>
          <w:sz w:val="20"/>
          <w:szCs w:val="20"/>
          <w:lang w:val="en-US"/>
        </w:rPr>
        <w:t xml:space="preserve"> </w:t>
      </w:r>
      <w:r w:rsidRPr="009D52FD">
        <w:rPr>
          <w:sz w:val="20"/>
          <w:szCs w:val="20"/>
          <w:lang w:val="en-US"/>
        </w:rPr>
        <w:t xml:space="preserve">for the violations indicated in its </w:t>
      </w:r>
      <w:r w:rsidR="00483040" w:rsidRPr="009D52FD">
        <w:rPr>
          <w:sz w:val="20"/>
          <w:szCs w:val="20"/>
          <w:lang w:val="en-US"/>
        </w:rPr>
        <w:t>Merits Report</w:t>
      </w:r>
      <w:r w:rsidR="00731D3E" w:rsidRPr="009D52FD">
        <w:rPr>
          <w:sz w:val="20"/>
          <w:szCs w:val="20"/>
          <w:lang w:val="en-US"/>
        </w:rPr>
        <w:t xml:space="preserve"> (</w:t>
      </w:r>
      <w:r w:rsidR="00731D3E" w:rsidRPr="009D52FD">
        <w:rPr>
          <w:i/>
          <w:sz w:val="20"/>
          <w:szCs w:val="20"/>
          <w:lang w:val="en-US"/>
        </w:rPr>
        <w:t xml:space="preserve">supra </w:t>
      </w:r>
      <w:r w:rsidRPr="009D52FD">
        <w:rPr>
          <w:sz w:val="20"/>
          <w:szCs w:val="20"/>
          <w:lang w:val="en-US"/>
        </w:rPr>
        <w:t>para.</w:t>
      </w:r>
      <w:r w:rsidR="00731D3E" w:rsidRPr="009D52FD">
        <w:rPr>
          <w:sz w:val="20"/>
          <w:szCs w:val="20"/>
          <w:lang w:val="en-US"/>
        </w:rPr>
        <w:t xml:space="preserve"> 2.c.a). </w:t>
      </w:r>
      <w:r w:rsidRPr="009D52FD">
        <w:rPr>
          <w:sz w:val="20"/>
          <w:szCs w:val="20"/>
          <w:lang w:val="en-US"/>
        </w:rPr>
        <w:t>The</w:t>
      </w:r>
      <w:r w:rsidR="003630BB" w:rsidRPr="009D52FD">
        <w:rPr>
          <w:sz w:val="20"/>
          <w:szCs w:val="20"/>
          <w:lang w:val="en-US"/>
        </w:rPr>
        <w:t xml:space="preserve"> Commission</w:t>
      </w:r>
      <w:r w:rsidR="00731D3E" w:rsidRPr="009D52FD">
        <w:rPr>
          <w:sz w:val="20"/>
          <w:szCs w:val="20"/>
          <w:lang w:val="en-US"/>
        </w:rPr>
        <w:t xml:space="preserve"> </w:t>
      </w:r>
      <w:r w:rsidRPr="009D52FD">
        <w:rPr>
          <w:sz w:val="20"/>
          <w:szCs w:val="20"/>
          <w:lang w:val="en-US"/>
        </w:rPr>
        <w:t>also asked</w:t>
      </w:r>
      <w:r w:rsidR="00731D3E" w:rsidRPr="009D52FD">
        <w:rPr>
          <w:sz w:val="20"/>
          <w:szCs w:val="20"/>
          <w:lang w:val="en-US"/>
        </w:rPr>
        <w:t xml:space="preserve"> </w:t>
      </w:r>
      <w:r w:rsidR="003630BB" w:rsidRPr="009D52FD">
        <w:rPr>
          <w:sz w:val="20"/>
          <w:szCs w:val="20"/>
          <w:lang w:val="en-US"/>
        </w:rPr>
        <w:t>the Court</w:t>
      </w:r>
      <w:r w:rsidR="00731D3E" w:rsidRPr="009D52FD">
        <w:rPr>
          <w:sz w:val="20"/>
          <w:szCs w:val="20"/>
          <w:lang w:val="en-US"/>
        </w:rPr>
        <w:t xml:space="preserve"> </w:t>
      </w:r>
      <w:r w:rsidRPr="009D52FD">
        <w:rPr>
          <w:sz w:val="20"/>
          <w:szCs w:val="20"/>
          <w:lang w:val="en-US"/>
        </w:rPr>
        <w:t>to order to the State to adopt</w:t>
      </w:r>
      <w:r w:rsidR="00EB0EB6" w:rsidRPr="009D52FD">
        <w:rPr>
          <w:sz w:val="20"/>
          <w:szCs w:val="20"/>
          <w:lang w:val="en-US"/>
        </w:rPr>
        <w:t xml:space="preserve"> measures of repar</w:t>
      </w:r>
      <w:r w:rsidR="0081578D" w:rsidRPr="009D52FD">
        <w:rPr>
          <w:sz w:val="20"/>
          <w:szCs w:val="20"/>
          <w:lang w:val="en-US"/>
        </w:rPr>
        <w:t>a</w:t>
      </w:r>
      <w:r w:rsidR="00EB0EB6" w:rsidRPr="009D52FD">
        <w:rPr>
          <w:sz w:val="20"/>
          <w:szCs w:val="20"/>
          <w:lang w:val="en-US"/>
        </w:rPr>
        <w:t>tion, which are described and analyzed in Chapter</w:t>
      </w:r>
      <w:r w:rsidR="001B207F" w:rsidRPr="009D52FD">
        <w:rPr>
          <w:sz w:val="20"/>
          <w:szCs w:val="20"/>
          <w:lang w:val="en-US"/>
        </w:rPr>
        <w:t xml:space="preserve"> IX</w:t>
      </w:r>
      <w:r w:rsidR="00731D3E" w:rsidRPr="009D52FD">
        <w:rPr>
          <w:sz w:val="20"/>
          <w:szCs w:val="20"/>
          <w:lang w:val="en-US"/>
        </w:rPr>
        <w:t xml:space="preserve"> </w:t>
      </w:r>
      <w:r w:rsidR="00EB0EB6" w:rsidRPr="009D52FD">
        <w:rPr>
          <w:sz w:val="20"/>
          <w:szCs w:val="20"/>
          <w:lang w:val="en-US"/>
        </w:rPr>
        <w:t>of this judgment</w:t>
      </w:r>
      <w:r w:rsidR="00655884" w:rsidRPr="009D52FD">
        <w:rPr>
          <w:sz w:val="20"/>
          <w:szCs w:val="20"/>
          <w:lang w:val="en-US"/>
        </w:rPr>
        <w:t>.</w:t>
      </w:r>
    </w:p>
    <w:p w14:paraId="31AC4588" w14:textId="2BD61F0D" w:rsidR="00731D3E" w:rsidRPr="009D52FD" w:rsidRDefault="00731D3E" w:rsidP="00731D3E">
      <w:pPr>
        <w:keepNext/>
        <w:keepLines/>
        <w:tabs>
          <w:tab w:val="left" w:pos="851"/>
        </w:tabs>
        <w:spacing w:line="240" w:lineRule="auto"/>
        <w:jc w:val="center"/>
        <w:outlineLvl w:val="0"/>
        <w:rPr>
          <w:rFonts w:cs="Verdana"/>
          <w:b/>
          <w:bCs/>
          <w:caps/>
          <w:snapToGrid w:val="0"/>
          <w:sz w:val="20"/>
          <w:szCs w:val="20"/>
          <w:lang w:val="en-US"/>
        </w:rPr>
      </w:pPr>
      <w:bookmarkStart w:id="1" w:name="_Toc51400061"/>
      <w:r w:rsidRPr="009D52FD">
        <w:rPr>
          <w:rFonts w:cs="Verdana"/>
          <w:b/>
          <w:bCs/>
          <w:caps/>
          <w:snapToGrid w:val="0"/>
          <w:sz w:val="20"/>
          <w:szCs w:val="20"/>
          <w:lang w:val="en-US"/>
        </w:rPr>
        <w:lastRenderedPageBreak/>
        <w:t>II</w:t>
      </w:r>
      <w:r w:rsidRPr="009D52FD">
        <w:rPr>
          <w:rFonts w:cs="Verdana"/>
          <w:b/>
          <w:bCs/>
          <w:caps/>
          <w:snapToGrid w:val="0"/>
          <w:sz w:val="20"/>
          <w:szCs w:val="20"/>
          <w:lang w:val="en-US"/>
        </w:rPr>
        <w:br/>
      </w:r>
      <w:r w:rsidR="00EB0EB6" w:rsidRPr="009D52FD">
        <w:rPr>
          <w:rFonts w:cs="Verdana"/>
          <w:b/>
          <w:bCs/>
          <w:caps/>
          <w:snapToGrid w:val="0"/>
          <w:sz w:val="20"/>
          <w:szCs w:val="20"/>
          <w:lang w:val="en-US"/>
        </w:rPr>
        <w:t>PROCEEDINGS BEFORE THE</w:t>
      </w:r>
      <w:r w:rsidR="003630BB" w:rsidRPr="009D52FD">
        <w:rPr>
          <w:rFonts w:cs="Verdana"/>
          <w:b/>
          <w:bCs/>
          <w:caps/>
          <w:snapToGrid w:val="0"/>
          <w:sz w:val="20"/>
          <w:szCs w:val="20"/>
          <w:lang w:val="en-US"/>
        </w:rPr>
        <w:t xml:space="preserve"> COURT</w:t>
      </w:r>
      <w:bookmarkEnd w:id="1"/>
    </w:p>
    <w:p w14:paraId="38F432EC" w14:textId="77777777" w:rsidR="00731D3E" w:rsidRPr="009D52FD" w:rsidRDefault="00731D3E" w:rsidP="00731D3E">
      <w:pPr>
        <w:spacing w:line="240" w:lineRule="auto"/>
        <w:jc w:val="center"/>
        <w:rPr>
          <w:b/>
          <w:sz w:val="20"/>
          <w:szCs w:val="20"/>
          <w:lang w:val="en-US"/>
        </w:rPr>
      </w:pPr>
    </w:p>
    <w:p w14:paraId="0B524A46" w14:textId="528234FD" w:rsidR="00731D3E" w:rsidRPr="009D52FD" w:rsidRDefault="00EB0EB6" w:rsidP="00731D3E">
      <w:pPr>
        <w:numPr>
          <w:ilvl w:val="0"/>
          <w:numId w:val="1"/>
        </w:numPr>
        <w:tabs>
          <w:tab w:val="left" w:pos="567"/>
          <w:tab w:val="num" w:pos="1569"/>
          <w:tab w:val="num" w:pos="12305"/>
        </w:tabs>
        <w:spacing w:line="240" w:lineRule="auto"/>
        <w:ind w:left="0" w:firstLine="0"/>
        <w:rPr>
          <w:sz w:val="20"/>
          <w:szCs w:val="20"/>
          <w:lang w:val="en-US"/>
        </w:rPr>
      </w:pPr>
      <w:r w:rsidRPr="009D52FD">
        <w:rPr>
          <w:i/>
          <w:sz w:val="20"/>
          <w:szCs w:val="20"/>
          <w:lang w:val="en-US"/>
        </w:rPr>
        <w:t>Notification to</w:t>
      </w:r>
      <w:r w:rsidR="00731D3E" w:rsidRPr="009D52FD">
        <w:rPr>
          <w:i/>
          <w:sz w:val="20"/>
          <w:szCs w:val="20"/>
          <w:lang w:val="en-US"/>
        </w:rPr>
        <w:t xml:space="preserve"> </w:t>
      </w:r>
      <w:r w:rsidR="003630BB" w:rsidRPr="009D52FD">
        <w:rPr>
          <w:i/>
          <w:sz w:val="20"/>
          <w:szCs w:val="20"/>
          <w:lang w:val="en-US"/>
        </w:rPr>
        <w:t xml:space="preserve">the representatives and </w:t>
      </w:r>
      <w:r w:rsidRPr="009D52FD">
        <w:rPr>
          <w:i/>
          <w:sz w:val="20"/>
          <w:szCs w:val="20"/>
          <w:lang w:val="en-US"/>
        </w:rPr>
        <w:t>to the State</w:t>
      </w:r>
      <w:r w:rsidR="00731D3E" w:rsidRPr="009D52FD">
        <w:rPr>
          <w:i/>
          <w:sz w:val="20"/>
          <w:szCs w:val="20"/>
          <w:lang w:val="en-US"/>
        </w:rPr>
        <w:t xml:space="preserve">. </w:t>
      </w:r>
      <w:r w:rsidRPr="009D52FD">
        <w:rPr>
          <w:sz w:val="20"/>
          <w:szCs w:val="20"/>
          <w:lang w:val="en-US"/>
        </w:rPr>
        <w:t xml:space="preserve">The submission of the case was notified by the Court to </w:t>
      </w:r>
      <w:r w:rsidR="003630BB" w:rsidRPr="009D52FD">
        <w:rPr>
          <w:sz w:val="20"/>
          <w:szCs w:val="20"/>
          <w:lang w:val="en-US"/>
        </w:rPr>
        <w:t>representatives</w:t>
      </w:r>
      <w:r w:rsidR="00325A95" w:rsidRPr="009D52FD">
        <w:rPr>
          <w:sz w:val="20"/>
          <w:szCs w:val="20"/>
          <w:lang w:val="en-US"/>
        </w:rPr>
        <w:t xml:space="preserve"> of the </w:t>
      </w:r>
      <w:r w:rsidRPr="009D52FD">
        <w:rPr>
          <w:sz w:val="20"/>
          <w:szCs w:val="20"/>
          <w:lang w:val="en-US"/>
        </w:rPr>
        <w:t>presumed victims</w:t>
      </w:r>
      <w:r w:rsidR="00AF0F13" w:rsidRPr="009D52FD">
        <w:rPr>
          <w:rStyle w:val="FootnoteReference"/>
          <w:sz w:val="20"/>
          <w:szCs w:val="20"/>
          <w:lang w:val="en-US"/>
        </w:rPr>
        <w:footnoteReference w:id="7"/>
      </w:r>
      <w:r w:rsidR="00731D3E" w:rsidRPr="009D52FD">
        <w:rPr>
          <w:sz w:val="20"/>
          <w:szCs w:val="20"/>
          <w:lang w:val="en-US"/>
        </w:rPr>
        <w:t xml:space="preserve"> (</w:t>
      </w:r>
      <w:r w:rsidR="003630BB" w:rsidRPr="009D52FD">
        <w:rPr>
          <w:sz w:val="20"/>
          <w:szCs w:val="20"/>
          <w:lang w:val="en-US"/>
        </w:rPr>
        <w:t>hereinafter</w:t>
      </w:r>
      <w:r w:rsidR="00731D3E" w:rsidRPr="009D52FD">
        <w:rPr>
          <w:sz w:val="20"/>
          <w:szCs w:val="20"/>
          <w:lang w:val="en-US"/>
        </w:rPr>
        <w:t xml:space="preserve"> “</w:t>
      </w:r>
      <w:r w:rsidR="003630BB" w:rsidRPr="009D52FD">
        <w:rPr>
          <w:sz w:val="20"/>
          <w:szCs w:val="20"/>
          <w:lang w:val="en-US"/>
        </w:rPr>
        <w:t>the representatives</w:t>
      </w:r>
      <w:r w:rsidR="00731D3E" w:rsidRPr="009D52FD">
        <w:rPr>
          <w:sz w:val="20"/>
          <w:szCs w:val="20"/>
          <w:lang w:val="en-US"/>
        </w:rPr>
        <w:t>”)</w:t>
      </w:r>
      <w:r w:rsidR="003630BB" w:rsidRPr="009D52FD">
        <w:rPr>
          <w:sz w:val="20"/>
          <w:szCs w:val="20"/>
          <w:lang w:val="en-US"/>
        </w:rPr>
        <w:t xml:space="preserve"> and </w:t>
      </w:r>
      <w:r w:rsidRPr="009D52FD">
        <w:rPr>
          <w:sz w:val="20"/>
          <w:szCs w:val="20"/>
          <w:lang w:val="en-US"/>
        </w:rPr>
        <w:t>to the State on January 30,</w:t>
      </w:r>
      <w:r w:rsidR="00731D3E" w:rsidRPr="009D52FD">
        <w:rPr>
          <w:sz w:val="20"/>
          <w:szCs w:val="20"/>
          <w:lang w:val="en-US"/>
        </w:rPr>
        <w:t xml:space="preserve"> 2017.</w:t>
      </w:r>
    </w:p>
    <w:p w14:paraId="6EF81E4B" w14:textId="75286724" w:rsidR="00731D3E" w:rsidRPr="009D52FD" w:rsidRDefault="00731D3E" w:rsidP="00731D3E">
      <w:pPr>
        <w:pStyle w:val="ListParagraph"/>
        <w:spacing w:line="240" w:lineRule="auto"/>
        <w:rPr>
          <w:sz w:val="20"/>
          <w:szCs w:val="20"/>
          <w:lang w:val="en-US"/>
        </w:rPr>
      </w:pPr>
    </w:p>
    <w:p w14:paraId="3FAF0C4C" w14:textId="3D2BCAD4" w:rsidR="00731D3E" w:rsidRPr="009D52FD" w:rsidRDefault="000F4AFF" w:rsidP="00731D3E">
      <w:pPr>
        <w:numPr>
          <w:ilvl w:val="0"/>
          <w:numId w:val="1"/>
        </w:numPr>
        <w:tabs>
          <w:tab w:val="left" w:pos="567"/>
          <w:tab w:val="num" w:pos="1569"/>
          <w:tab w:val="num" w:pos="12305"/>
        </w:tabs>
        <w:spacing w:line="240" w:lineRule="auto"/>
        <w:ind w:left="0" w:firstLine="0"/>
        <w:rPr>
          <w:sz w:val="20"/>
          <w:szCs w:val="20"/>
          <w:lang w:val="en-US"/>
        </w:rPr>
      </w:pPr>
      <w:r w:rsidRPr="009D52FD">
        <w:rPr>
          <w:i/>
          <w:sz w:val="20"/>
          <w:szCs w:val="20"/>
          <w:lang w:val="en-US"/>
        </w:rPr>
        <w:t>Brief with motions, pleadings and evidence  brief</w:t>
      </w:r>
      <w:r w:rsidR="00731D3E" w:rsidRPr="009D52FD">
        <w:rPr>
          <w:i/>
          <w:sz w:val="20"/>
          <w:szCs w:val="20"/>
          <w:lang w:val="en-US"/>
        </w:rPr>
        <w:t>.</w:t>
      </w:r>
      <w:r w:rsidR="00731D3E" w:rsidRPr="009D52FD">
        <w:rPr>
          <w:sz w:val="20"/>
          <w:szCs w:val="20"/>
          <w:lang w:val="en-US"/>
        </w:rPr>
        <w:t xml:space="preserve"> </w:t>
      </w:r>
      <w:r w:rsidR="00325A95" w:rsidRPr="009D52FD">
        <w:rPr>
          <w:sz w:val="20"/>
          <w:szCs w:val="20"/>
          <w:lang w:val="en-US"/>
        </w:rPr>
        <w:t xml:space="preserve">On March </w:t>
      </w:r>
      <w:r w:rsidR="00731D3E" w:rsidRPr="009D52FD">
        <w:rPr>
          <w:sz w:val="20"/>
          <w:szCs w:val="20"/>
          <w:lang w:val="en-US"/>
        </w:rPr>
        <w:t>30</w:t>
      </w:r>
      <w:r w:rsidR="00325A95" w:rsidRPr="009D52FD">
        <w:rPr>
          <w:sz w:val="20"/>
          <w:szCs w:val="20"/>
          <w:lang w:val="en-US"/>
        </w:rPr>
        <w:t xml:space="preserve">, </w:t>
      </w:r>
      <w:r w:rsidR="00731D3E" w:rsidRPr="009D52FD">
        <w:rPr>
          <w:sz w:val="20"/>
          <w:szCs w:val="20"/>
          <w:lang w:val="en-US"/>
        </w:rPr>
        <w:t>2017</w:t>
      </w:r>
      <w:r w:rsidR="00325A95" w:rsidRPr="009D52FD">
        <w:rPr>
          <w:sz w:val="20"/>
          <w:szCs w:val="20"/>
          <w:lang w:val="en-US"/>
        </w:rPr>
        <w:t>,</w:t>
      </w:r>
      <w:r w:rsidR="00731D3E" w:rsidRPr="009D52FD">
        <w:rPr>
          <w:sz w:val="20"/>
          <w:szCs w:val="20"/>
          <w:lang w:val="en-US"/>
        </w:rPr>
        <w:t xml:space="preserve"> </w:t>
      </w:r>
      <w:r w:rsidR="003630BB" w:rsidRPr="009D52FD">
        <w:rPr>
          <w:sz w:val="20"/>
          <w:szCs w:val="20"/>
          <w:lang w:val="en-US"/>
        </w:rPr>
        <w:t>the representatives</w:t>
      </w:r>
      <w:r w:rsidR="00325A95" w:rsidRPr="009D52FD">
        <w:rPr>
          <w:sz w:val="20"/>
          <w:szCs w:val="20"/>
          <w:lang w:val="en-US"/>
        </w:rPr>
        <w:t xml:space="preserve"> of the </w:t>
      </w:r>
      <w:r w:rsidR="00EB0EB6" w:rsidRPr="009D52FD">
        <w:rPr>
          <w:sz w:val="20"/>
          <w:szCs w:val="20"/>
          <w:lang w:val="en-US"/>
        </w:rPr>
        <w:t>presumed victims</w:t>
      </w:r>
      <w:r w:rsidR="00731D3E" w:rsidRPr="009D52FD">
        <w:rPr>
          <w:sz w:val="20"/>
          <w:szCs w:val="20"/>
          <w:lang w:val="en-US"/>
        </w:rPr>
        <w:t xml:space="preserve"> </w:t>
      </w:r>
      <w:r w:rsidR="00325A95" w:rsidRPr="009D52FD">
        <w:rPr>
          <w:sz w:val="20"/>
          <w:szCs w:val="20"/>
          <w:lang w:val="en-US"/>
        </w:rPr>
        <w:t>submitted their</w:t>
      </w:r>
      <w:r w:rsidR="00731D3E" w:rsidRPr="009D52FD">
        <w:rPr>
          <w:sz w:val="20"/>
          <w:szCs w:val="20"/>
          <w:lang w:val="en-US"/>
        </w:rPr>
        <w:t xml:space="preserve"> </w:t>
      </w:r>
      <w:r w:rsidRPr="009D52FD">
        <w:rPr>
          <w:sz w:val="20"/>
          <w:szCs w:val="20"/>
          <w:lang w:val="en-US"/>
        </w:rPr>
        <w:t xml:space="preserve">brief with </w:t>
      </w:r>
      <w:r w:rsidR="000F738B" w:rsidRPr="009D52FD">
        <w:rPr>
          <w:sz w:val="20"/>
          <w:szCs w:val="20"/>
          <w:lang w:val="en-US"/>
        </w:rPr>
        <w:t>pleadings, motions and evidence</w:t>
      </w:r>
      <w:r w:rsidRPr="009D52FD">
        <w:rPr>
          <w:sz w:val="20"/>
          <w:szCs w:val="20"/>
          <w:lang w:val="en-US"/>
        </w:rPr>
        <w:t xml:space="preserve"> </w:t>
      </w:r>
      <w:r w:rsidR="00731D3E" w:rsidRPr="009D52FD">
        <w:rPr>
          <w:sz w:val="20"/>
          <w:szCs w:val="20"/>
          <w:lang w:val="en-US"/>
        </w:rPr>
        <w:t>(</w:t>
      </w:r>
      <w:r w:rsidR="003630BB" w:rsidRPr="009D52FD">
        <w:rPr>
          <w:sz w:val="20"/>
          <w:szCs w:val="20"/>
          <w:lang w:val="en-US"/>
        </w:rPr>
        <w:t>hereinafter</w:t>
      </w:r>
      <w:r w:rsidR="00731D3E" w:rsidRPr="009D52FD">
        <w:rPr>
          <w:sz w:val="20"/>
          <w:szCs w:val="20"/>
          <w:lang w:val="en-US"/>
        </w:rPr>
        <w:t xml:space="preserve"> “</w:t>
      </w:r>
      <w:r w:rsidR="000F738B" w:rsidRPr="009D52FD">
        <w:rPr>
          <w:sz w:val="20"/>
          <w:szCs w:val="20"/>
          <w:lang w:val="en-US"/>
        </w:rPr>
        <w:t>the pleadings and motions brief</w:t>
      </w:r>
      <w:r w:rsidR="00731D3E" w:rsidRPr="009D52FD">
        <w:rPr>
          <w:sz w:val="20"/>
          <w:szCs w:val="20"/>
          <w:lang w:val="en-US"/>
        </w:rPr>
        <w:t>”)</w:t>
      </w:r>
      <w:r w:rsidR="00325A95" w:rsidRPr="009D52FD">
        <w:rPr>
          <w:sz w:val="20"/>
          <w:szCs w:val="20"/>
          <w:lang w:val="en-US"/>
        </w:rPr>
        <w:t xml:space="preserve"> to the Court</w:t>
      </w:r>
      <w:r w:rsidR="00731D3E" w:rsidRPr="009D52FD">
        <w:rPr>
          <w:sz w:val="20"/>
          <w:szCs w:val="20"/>
          <w:lang w:val="en-US"/>
        </w:rPr>
        <w:t xml:space="preserve">. </w:t>
      </w:r>
      <w:r w:rsidR="003630BB" w:rsidRPr="009D52FD">
        <w:rPr>
          <w:sz w:val="20"/>
          <w:szCs w:val="20"/>
          <w:lang w:val="en-US"/>
        </w:rPr>
        <w:t>The representatives</w:t>
      </w:r>
      <w:r w:rsidR="00731D3E" w:rsidRPr="009D52FD">
        <w:rPr>
          <w:sz w:val="20"/>
          <w:szCs w:val="20"/>
          <w:lang w:val="en-US"/>
        </w:rPr>
        <w:t xml:space="preserve"> </w:t>
      </w:r>
      <w:r w:rsidR="00325A95" w:rsidRPr="009D52FD">
        <w:rPr>
          <w:sz w:val="20"/>
          <w:szCs w:val="20"/>
          <w:lang w:val="en-US"/>
        </w:rPr>
        <w:t xml:space="preserve">agreed substantially with the </w:t>
      </w:r>
      <w:r w:rsidR="000F738B" w:rsidRPr="009D52FD">
        <w:rPr>
          <w:sz w:val="20"/>
          <w:szCs w:val="20"/>
          <w:lang w:val="en-US"/>
        </w:rPr>
        <w:t xml:space="preserve">Commission’s </w:t>
      </w:r>
      <w:r w:rsidR="00325A95" w:rsidRPr="009D52FD">
        <w:rPr>
          <w:sz w:val="20"/>
          <w:szCs w:val="20"/>
          <w:lang w:val="en-US"/>
        </w:rPr>
        <w:t xml:space="preserve">allegations </w:t>
      </w:r>
      <w:r w:rsidR="003630BB" w:rsidRPr="009D52FD">
        <w:rPr>
          <w:sz w:val="20"/>
          <w:szCs w:val="20"/>
          <w:lang w:val="en-US"/>
        </w:rPr>
        <w:t xml:space="preserve">and </w:t>
      </w:r>
      <w:r w:rsidR="00325A95" w:rsidRPr="009D52FD">
        <w:rPr>
          <w:sz w:val="20"/>
          <w:szCs w:val="20"/>
          <w:lang w:val="en-US"/>
        </w:rPr>
        <w:t>asked</w:t>
      </w:r>
      <w:r w:rsidR="00731D3E" w:rsidRPr="009D52FD">
        <w:rPr>
          <w:sz w:val="20"/>
          <w:szCs w:val="20"/>
          <w:lang w:val="en-US"/>
        </w:rPr>
        <w:t xml:space="preserve"> </w:t>
      </w:r>
      <w:r w:rsidR="003630BB" w:rsidRPr="009D52FD">
        <w:rPr>
          <w:sz w:val="20"/>
          <w:szCs w:val="20"/>
          <w:lang w:val="en-US"/>
        </w:rPr>
        <w:t>the Court</w:t>
      </w:r>
      <w:r w:rsidR="00731D3E" w:rsidRPr="009D52FD">
        <w:rPr>
          <w:sz w:val="20"/>
          <w:szCs w:val="20"/>
          <w:lang w:val="en-US"/>
        </w:rPr>
        <w:t xml:space="preserve"> </w:t>
      </w:r>
      <w:r w:rsidR="00325A95" w:rsidRPr="009D52FD">
        <w:rPr>
          <w:sz w:val="20"/>
          <w:szCs w:val="20"/>
          <w:lang w:val="en-US"/>
        </w:rPr>
        <w:t xml:space="preserve">to declare the international responsibility </w:t>
      </w:r>
      <w:r w:rsidR="003630BB" w:rsidRPr="009D52FD">
        <w:rPr>
          <w:sz w:val="20"/>
          <w:szCs w:val="20"/>
          <w:lang w:val="en-US"/>
        </w:rPr>
        <w:t>of the State</w:t>
      </w:r>
      <w:r w:rsidR="00731D3E" w:rsidRPr="009D52FD">
        <w:rPr>
          <w:sz w:val="20"/>
          <w:szCs w:val="20"/>
          <w:lang w:val="en-US"/>
        </w:rPr>
        <w:t xml:space="preserve"> </w:t>
      </w:r>
      <w:r w:rsidR="00325A95" w:rsidRPr="009D52FD">
        <w:rPr>
          <w:sz w:val="20"/>
          <w:szCs w:val="20"/>
          <w:lang w:val="en-US"/>
        </w:rPr>
        <w:t xml:space="preserve">for the violation of the same articles alleged by </w:t>
      </w:r>
      <w:r w:rsidR="003630BB" w:rsidRPr="009D52FD">
        <w:rPr>
          <w:sz w:val="20"/>
          <w:szCs w:val="20"/>
          <w:lang w:val="en-US"/>
        </w:rPr>
        <w:t>the Commission</w:t>
      </w:r>
      <w:r w:rsidR="00731D3E" w:rsidRPr="009D52FD">
        <w:rPr>
          <w:sz w:val="20"/>
          <w:szCs w:val="20"/>
          <w:lang w:val="en-US"/>
        </w:rPr>
        <w:t xml:space="preserve"> </w:t>
      </w:r>
      <w:r w:rsidR="00325A95" w:rsidRPr="009D52FD">
        <w:rPr>
          <w:sz w:val="20"/>
          <w:szCs w:val="20"/>
          <w:lang w:val="en-US"/>
        </w:rPr>
        <w:t>and, in addition, the violation of</w:t>
      </w:r>
      <w:r w:rsidR="00731D3E" w:rsidRPr="009D52FD">
        <w:rPr>
          <w:sz w:val="20"/>
          <w:szCs w:val="20"/>
          <w:lang w:val="en-US"/>
        </w:rPr>
        <w:t xml:space="preserve"> </w:t>
      </w:r>
      <w:r w:rsidR="003630BB" w:rsidRPr="009D52FD">
        <w:rPr>
          <w:sz w:val="20"/>
          <w:szCs w:val="20"/>
          <w:lang w:val="en-US"/>
        </w:rPr>
        <w:t>Articles</w:t>
      </w:r>
      <w:r w:rsidR="00683D83" w:rsidRPr="009D52FD">
        <w:rPr>
          <w:sz w:val="20"/>
          <w:szCs w:val="20"/>
          <w:lang w:val="en-US"/>
        </w:rPr>
        <w:t xml:space="preserve"> </w:t>
      </w:r>
      <w:r w:rsidR="00731D3E" w:rsidRPr="009D52FD">
        <w:rPr>
          <w:sz w:val="20"/>
          <w:szCs w:val="20"/>
          <w:lang w:val="en-US"/>
        </w:rPr>
        <w:t>3, 6</w:t>
      </w:r>
      <w:r w:rsidR="003630BB" w:rsidRPr="009D52FD">
        <w:rPr>
          <w:sz w:val="20"/>
          <w:szCs w:val="20"/>
          <w:lang w:val="en-US"/>
        </w:rPr>
        <w:t xml:space="preserve"> and </w:t>
      </w:r>
      <w:r w:rsidR="00731D3E" w:rsidRPr="009D52FD">
        <w:rPr>
          <w:sz w:val="20"/>
          <w:szCs w:val="20"/>
          <w:lang w:val="en-US"/>
        </w:rPr>
        <w:t xml:space="preserve">22, </w:t>
      </w:r>
      <w:r w:rsidR="00325A95" w:rsidRPr="009D52FD">
        <w:rPr>
          <w:sz w:val="20"/>
          <w:szCs w:val="20"/>
          <w:lang w:val="en-US"/>
        </w:rPr>
        <w:t>in relation to</w:t>
      </w:r>
      <w:r w:rsidR="00731D3E" w:rsidRPr="009D52FD">
        <w:rPr>
          <w:sz w:val="20"/>
          <w:szCs w:val="20"/>
          <w:lang w:val="en-US"/>
        </w:rPr>
        <w:t xml:space="preserve"> </w:t>
      </w:r>
      <w:r w:rsidR="00483040" w:rsidRPr="009D52FD">
        <w:rPr>
          <w:sz w:val="20"/>
          <w:szCs w:val="20"/>
          <w:lang w:val="en-US"/>
        </w:rPr>
        <w:t>Articles 1(1)</w:t>
      </w:r>
      <w:r w:rsidR="003630BB" w:rsidRPr="009D52FD">
        <w:rPr>
          <w:sz w:val="20"/>
          <w:szCs w:val="20"/>
          <w:lang w:val="en-US"/>
        </w:rPr>
        <w:t xml:space="preserve"> and </w:t>
      </w:r>
      <w:r w:rsidR="00731D3E" w:rsidRPr="009D52FD">
        <w:rPr>
          <w:sz w:val="20"/>
          <w:szCs w:val="20"/>
          <w:lang w:val="en-US"/>
        </w:rPr>
        <w:t>2</w:t>
      </w:r>
      <w:r w:rsidR="003630BB" w:rsidRPr="009D52FD">
        <w:rPr>
          <w:sz w:val="20"/>
          <w:szCs w:val="20"/>
          <w:lang w:val="en-US"/>
        </w:rPr>
        <w:t xml:space="preserve"> of the American Convention</w:t>
      </w:r>
      <w:r w:rsidR="00731D3E" w:rsidRPr="009D52FD">
        <w:rPr>
          <w:sz w:val="20"/>
          <w:szCs w:val="20"/>
          <w:lang w:val="en-US"/>
        </w:rPr>
        <w:t xml:space="preserve">, </w:t>
      </w:r>
      <w:r w:rsidR="003630BB" w:rsidRPr="009D52FD">
        <w:rPr>
          <w:sz w:val="20"/>
          <w:szCs w:val="20"/>
          <w:lang w:val="en-US"/>
        </w:rPr>
        <w:t>Article</w:t>
      </w:r>
      <w:r w:rsidR="00731D3E" w:rsidRPr="009D52FD">
        <w:rPr>
          <w:sz w:val="20"/>
          <w:szCs w:val="20"/>
          <w:lang w:val="en-US"/>
        </w:rPr>
        <w:t xml:space="preserve"> 7</w:t>
      </w:r>
      <w:r w:rsidR="003630BB" w:rsidRPr="009D52FD">
        <w:rPr>
          <w:sz w:val="20"/>
          <w:szCs w:val="20"/>
          <w:lang w:val="en-US"/>
        </w:rPr>
        <w:t xml:space="preserve"> of the </w:t>
      </w:r>
      <w:r w:rsidR="00D32B3E" w:rsidRPr="009D52FD">
        <w:rPr>
          <w:sz w:val="20"/>
          <w:szCs w:val="20"/>
          <w:lang w:val="en-US"/>
        </w:rPr>
        <w:t>Inter-American Convention for the Prevention, Punishment and Eradication of Violence against Women</w:t>
      </w:r>
      <w:r w:rsidR="007616A5" w:rsidRPr="009D52FD">
        <w:rPr>
          <w:sz w:val="20"/>
          <w:szCs w:val="20"/>
          <w:lang w:val="en-US"/>
        </w:rPr>
        <w:t xml:space="preserve"> (</w:t>
      </w:r>
      <w:r w:rsidR="003630BB" w:rsidRPr="009D52FD">
        <w:rPr>
          <w:sz w:val="20"/>
          <w:szCs w:val="20"/>
          <w:lang w:val="en-US"/>
        </w:rPr>
        <w:t>hereinafter</w:t>
      </w:r>
      <w:r w:rsidR="007616A5" w:rsidRPr="009D52FD">
        <w:rPr>
          <w:sz w:val="20"/>
          <w:szCs w:val="20"/>
          <w:lang w:val="en-US"/>
        </w:rPr>
        <w:t xml:space="preserve"> “Conven</w:t>
      </w:r>
      <w:r w:rsidR="00325A95" w:rsidRPr="009D52FD">
        <w:rPr>
          <w:sz w:val="20"/>
          <w:szCs w:val="20"/>
          <w:lang w:val="en-US"/>
        </w:rPr>
        <w:t>tion</w:t>
      </w:r>
      <w:r w:rsidR="007616A5" w:rsidRPr="009D52FD">
        <w:rPr>
          <w:sz w:val="20"/>
          <w:szCs w:val="20"/>
          <w:lang w:val="en-US"/>
        </w:rPr>
        <w:t xml:space="preserve"> </w:t>
      </w:r>
      <w:r w:rsidR="00483040" w:rsidRPr="009D52FD">
        <w:rPr>
          <w:sz w:val="20"/>
          <w:szCs w:val="20"/>
          <w:lang w:val="en-US"/>
        </w:rPr>
        <w:t>of Belém</w:t>
      </w:r>
      <w:r w:rsidR="007616A5" w:rsidRPr="009D52FD">
        <w:rPr>
          <w:sz w:val="20"/>
          <w:szCs w:val="20"/>
          <w:lang w:val="en-US"/>
        </w:rPr>
        <w:t xml:space="preserve"> do Pará”)</w:t>
      </w:r>
      <w:r w:rsidR="003630BB" w:rsidRPr="009D52FD">
        <w:rPr>
          <w:sz w:val="20"/>
          <w:szCs w:val="20"/>
          <w:lang w:val="en-US"/>
        </w:rPr>
        <w:t xml:space="preserve"> and Articles</w:t>
      </w:r>
      <w:r w:rsidR="00731D3E" w:rsidRPr="009D52FD">
        <w:rPr>
          <w:sz w:val="20"/>
          <w:szCs w:val="20"/>
          <w:lang w:val="en-US"/>
        </w:rPr>
        <w:t xml:space="preserve"> 1, 6</w:t>
      </w:r>
      <w:r w:rsidR="003630BB" w:rsidRPr="009D52FD">
        <w:rPr>
          <w:sz w:val="20"/>
          <w:szCs w:val="20"/>
          <w:lang w:val="en-US"/>
        </w:rPr>
        <w:t xml:space="preserve"> and </w:t>
      </w:r>
      <w:r w:rsidR="00731D3E" w:rsidRPr="009D52FD">
        <w:rPr>
          <w:sz w:val="20"/>
          <w:szCs w:val="20"/>
          <w:lang w:val="en-US"/>
        </w:rPr>
        <w:t>8</w:t>
      </w:r>
      <w:r w:rsidR="003630BB" w:rsidRPr="009D52FD">
        <w:rPr>
          <w:sz w:val="20"/>
          <w:szCs w:val="20"/>
          <w:lang w:val="en-US"/>
        </w:rPr>
        <w:t xml:space="preserve"> of the </w:t>
      </w:r>
      <w:r w:rsidR="00D32B3E" w:rsidRPr="009D52FD">
        <w:rPr>
          <w:sz w:val="20"/>
          <w:szCs w:val="20"/>
          <w:lang w:val="en-US"/>
        </w:rPr>
        <w:t>Inter-American Convention to Prevent and Punish Torture</w:t>
      </w:r>
      <w:r w:rsidR="00742AAC" w:rsidRPr="009D52FD">
        <w:rPr>
          <w:sz w:val="20"/>
          <w:szCs w:val="20"/>
          <w:lang w:val="en-US"/>
        </w:rPr>
        <w:t xml:space="preserve"> (</w:t>
      </w:r>
      <w:r w:rsidR="003630BB" w:rsidRPr="009D52FD">
        <w:rPr>
          <w:sz w:val="20"/>
          <w:szCs w:val="20"/>
          <w:lang w:val="en-US"/>
        </w:rPr>
        <w:t>hereinafter</w:t>
      </w:r>
      <w:r w:rsidR="00742AAC" w:rsidRPr="009D52FD">
        <w:rPr>
          <w:sz w:val="20"/>
          <w:szCs w:val="20"/>
          <w:lang w:val="en-US"/>
        </w:rPr>
        <w:t xml:space="preserve"> “</w:t>
      </w:r>
      <w:r w:rsidR="00325A95" w:rsidRPr="009D52FD">
        <w:rPr>
          <w:sz w:val="20"/>
          <w:szCs w:val="20"/>
          <w:lang w:val="en-US"/>
        </w:rPr>
        <w:t>ICCPT</w:t>
      </w:r>
      <w:r w:rsidR="00742AAC" w:rsidRPr="009D52FD">
        <w:rPr>
          <w:sz w:val="20"/>
          <w:szCs w:val="20"/>
          <w:lang w:val="en-US"/>
        </w:rPr>
        <w:t>”)</w:t>
      </w:r>
      <w:r w:rsidR="00731D3E" w:rsidRPr="009D52FD">
        <w:rPr>
          <w:sz w:val="20"/>
          <w:szCs w:val="20"/>
          <w:lang w:val="en-US"/>
        </w:rPr>
        <w:t xml:space="preserve">, </w:t>
      </w:r>
      <w:r w:rsidR="00483040" w:rsidRPr="009D52FD">
        <w:rPr>
          <w:sz w:val="20"/>
          <w:szCs w:val="20"/>
          <w:lang w:val="en-US"/>
        </w:rPr>
        <w:t>to the detriment of</w:t>
      </w:r>
      <w:r w:rsidR="00731D3E" w:rsidRPr="009D52FD">
        <w:rPr>
          <w:sz w:val="20"/>
          <w:szCs w:val="20"/>
          <w:lang w:val="en-US"/>
        </w:rPr>
        <w:t xml:space="preserve"> Linda Loaiza</w:t>
      </w:r>
      <w:r w:rsidR="00AF0F13" w:rsidRPr="009D52FD">
        <w:rPr>
          <w:sz w:val="20"/>
          <w:szCs w:val="20"/>
          <w:lang w:val="en-US"/>
        </w:rPr>
        <w:t xml:space="preserve"> López Soto</w:t>
      </w:r>
      <w:r w:rsidR="00731D3E" w:rsidRPr="009D52FD">
        <w:rPr>
          <w:sz w:val="20"/>
          <w:szCs w:val="20"/>
          <w:lang w:val="en-US"/>
        </w:rPr>
        <w:t xml:space="preserve">. </w:t>
      </w:r>
      <w:r w:rsidR="000F738B" w:rsidRPr="009D52FD">
        <w:rPr>
          <w:sz w:val="20"/>
          <w:szCs w:val="20"/>
          <w:lang w:val="en-US"/>
        </w:rPr>
        <w:t>In addition</w:t>
      </w:r>
      <w:r w:rsidR="00325A95" w:rsidRPr="009D52FD">
        <w:rPr>
          <w:sz w:val="20"/>
          <w:szCs w:val="20"/>
          <w:lang w:val="en-US"/>
        </w:rPr>
        <w:t>, the</w:t>
      </w:r>
      <w:r w:rsidR="00EB0EB6" w:rsidRPr="009D52FD">
        <w:rPr>
          <w:sz w:val="20"/>
          <w:szCs w:val="20"/>
          <w:lang w:val="en-US"/>
        </w:rPr>
        <w:t xml:space="preserve"> presumed victims</w:t>
      </w:r>
      <w:r w:rsidR="00731D3E" w:rsidRPr="009D52FD">
        <w:rPr>
          <w:sz w:val="20"/>
          <w:szCs w:val="20"/>
          <w:lang w:val="en-US"/>
        </w:rPr>
        <w:t xml:space="preserve"> </w:t>
      </w:r>
      <w:r w:rsidR="00325A95" w:rsidRPr="009D52FD">
        <w:rPr>
          <w:sz w:val="20"/>
          <w:szCs w:val="20"/>
          <w:lang w:val="en-US"/>
        </w:rPr>
        <w:t>requested, through their representatives, access to the</w:t>
      </w:r>
      <w:r w:rsidR="00731D3E" w:rsidRPr="009D52FD">
        <w:rPr>
          <w:sz w:val="20"/>
          <w:szCs w:val="20"/>
          <w:lang w:val="en-US"/>
        </w:rPr>
        <w:t xml:space="preserve"> </w:t>
      </w:r>
      <w:r w:rsidR="00325A95" w:rsidRPr="009D52FD">
        <w:rPr>
          <w:sz w:val="20"/>
          <w:szCs w:val="20"/>
          <w:lang w:val="en-US"/>
        </w:rPr>
        <w:t>Victims’ Legal Assistance Fund</w:t>
      </w:r>
      <w:r w:rsidR="003630BB" w:rsidRPr="009D52FD">
        <w:rPr>
          <w:sz w:val="20"/>
          <w:szCs w:val="20"/>
          <w:lang w:val="en-US"/>
        </w:rPr>
        <w:t xml:space="preserve"> of the Inter-American Court</w:t>
      </w:r>
      <w:r w:rsidR="00731D3E" w:rsidRPr="009D52FD">
        <w:rPr>
          <w:sz w:val="20"/>
          <w:szCs w:val="20"/>
          <w:lang w:val="en-US"/>
        </w:rPr>
        <w:t xml:space="preserve"> (</w:t>
      </w:r>
      <w:r w:rsidR="003630BB" w:rsidRPr="009D52FD">
        <w:rPr>
          <w:sz w:val="20"/>
          <w:szCs w:val="20"/>
          <w:lang w:val="en-US"/>
        </w:rPr>
        <w:t>hereinafter</w:t>
      </w:r>
      <w:r w:rsidR="00731D3E" w:rsidRPr="009D52FD">
        <w:rPr>
          <w:sz w:val="20"/>
          <w:szCs w:val="20"/>
          <w:lang w:val="en-US"/>
        </w:rPr>
        <w:t xml:space="preserve"> “</w:t>
      </w:r>
      <w:r w:rsidR="00325A95" w:rsidRPr="009D52FD">
        <w:rPr>
          <w:sz w:val="20"/>
          <w:szCs w:val="20"/>
          <w:lang w:val="en-US"/>
        </w:rPr>
        <w:t>the Court’s Legal Assistance Fund</w:t>
      </w:r>
      <w:r w:rsidR="00731D3E" w:rsidRPr="009D52FD">
        <w:rPr>
          <w:sz w:val="20"/>
          <w:szCs w:val="20"/>
          <w:lang w:val="en-US"/>
        </w:rPr>
        <w:t>” o</w:t>
      </w:r>
      <w:r w:rsidR="00325A95" w:rsidRPr="009D52FD">
        <w:rPr>
          <w:sz w:val="20"/>
          <w:szCs w:val="20"/>
          <w:lang w:val="en-US"/>
        </w:rPr>
        <w:t>r</w:t>
      </w:r>
      <w:r w:rsidR="00731D3E" w:rsidRPr="009D52FD">
        <w:rPr>
          <w:sz w:val="20"/>
          <w:szCs w:val="20"/>
          <w:lang w:val="en-US"/>
        </w:rPr>
        <w:t xml:space="preserve"> </w:t>
      </w:r>
      <w:r w:rsidR="00325A95" w:rsidRPr="009D52FD">
        <w:rPr>
          <w:sz w:val="20"/>
          <w:szCs w:val="20"/>
          <w:lang w:val="en-US"/>
        </w:rPr>
        <w:t>“the Fund</w:t>
      </w:r>
      <w:r w:rsidR="00731D3E" w:rsidRPr="009D52FD">
        <w:rPr>
          <w:sz w:val="20"/>
          <w:szCs w:val="20"/>
          <w:lang w:val="en-US"/>
        </w:rPr>
        <w:t xml:space="preserve">”). </w:t>
      </w:r>
      <w:r w:rsidR="00325A95" w:rsidRPr="009D52FD">
        <w:rPr>
          <w:sz w:val="20"/>
          <w:szCs w:val="20"/>
          <w:lang w:val="en-US"/>
        </w:rPr>
        <w:t>Lastly, they asked the Court to order the State to adopt various measures of reparations and to reimburse certain costs and expenses</w:t>
      </w:r>
      <w:r w:rsidR="00731D3E" w:rsidRPr="009D52FD">
        <w:rPr>
          <w:sz w:val="20"/>
          <w:szCs w:val="20"/>
          <w:lang w:val="en-US"/>
        </w:rPr>
        <w:t>.</w:t>
      </w:r>
    </w:p>
    <w:p w14:paraId="39778C90" w14:textId="77777777" w:rsidR="00731D3E" w:rsidRPr="009D52FD" w:rsidRDefault="00731D3E" w:rsidP="00731D3E">
      <w:pPr>
        <w:pStyle w:val="ListParagraph"/>
        <w:spacing w:line="240" w:lineRule="auto"/>
        <w:rPr>
          <w:sz w:val="20"/>
          <w:szCs w:val="20"/>
          <w:lang w:val="en-US"/>
        </w:rPr>
      </w:pPr>
    </w:p>
    <w:p w14:paraId="3A5838B2" w14:textId="03109C26" w:rsidR="00731D3E" w:rsidRPr="009D52FD" w:rsidRDefault="00325A95" w:rsidP="00731D3E">
      <w:pPr>
        <w:numPr>
          <w:ilvl w:val="0"/>
          <w:numId w:val="1"/>
        </w:numPr>
        <w:tabs>
          <w:tab w:val="left" w:pos="567"/>
          <w:tab w:val="num" w:pos="1569"/>
          <w:tab w:val="num" w:pos="12305"/>
        </w:tabs>
        <w:spacing w:line="240" w:lineRule="auto"/>
        <w:ind w:left="0" w:firstLine="0"/>
        <w:rPr>
          <w:sz w:val="20"/>
          <w:szCs w:val="20"/>
          <w:lang w:val="en-US"/>
        </w:rPr>
      </w:pPr>
      <w:r w:rsidRPr="009D52FD">
        <w:rPr>
          <w:i/>
          <w:sz w:val="20"/>
          <w:szCs w:val="20"/>
          <w:lang w:val="en-US"/>
        </w:rPr>
        <w:t>Answering brief</w:t>
      </w:r>
      <w:r w:rsidR="00731D3E" w:rsidRPr="009D52FD">
        <w:rPr>
          <w:i/>
          <w:sz w:val="20"/>
          <w:szCs w:val="20"/>
          <w:lang w:val="en-US"/>
        </w:rPr>
        <w:t>.</w:t>
      </w:r>
      <w:r w:rsidR="00731D3E" w:rsidRPr="009D52FD">
        <w:rPr>
          <w:sz w:val="20"/>
          <w:szCs w:val="20"/>
          <w:lang w:val="en-US"/>
        </w:rPr>
        <w:t xml:space="preserve"> </w:t>
      </w:r>
      <w:r w:rsidRPr="009D52FD">
        <w:rPr>
          <w:iCs/>
          <w:sz w:val="20"/>
          <w:szCs w:val="20"/>
          <w:lang w:val="en-US"/>
        </w:rPr>
        <w:t>On August 1,</w:t>
      </w:r>
      <w:r w:rsidR="00731D3E" w:rsidRPr="009D52FD">
        <w:rPr>
          <w:sz w:val="20"/>
          <w:szCs w:val="20"/>
          <w:lang w:val="en-US"/>
        </w:rPr>
        <w:t xml:space="preserve"> 2017</w:t>
      </w:r>
      <w:r w:rsidRPr="009D52FD">
        <w:rPr>
          <w:sz w:val="20"/>
          <w:szCs w:val="20"/>
          <w:lang w:val="en-US"/>
        </w:rPr>
        <w:t>,</w:t>
      </w:r>
      <w:r w:rsidR="00731D3E" w:rsidRPr="009D52FD">
        <w:rPr>
          <w:sz w:val="20"/>
          <w:szCs w:val="20"/>
          <w:lang w:val="en-US"/>
        </w:rPr>
        <w:t xml:space="preserve"> </w:t>
      </w:r>
      <w:r w:rsidR="003630BB" w:rsidRPr="009D52FD">
        <w:rPr>
          <w:sz w:val="20"/>
          <w:szCs w:val="20"/>
          <w:lang w:val="en-US"/>
        </w:rPr>
        <w:t>the State</w:t>
      </w:r>
      <w:r w:rsidR="00731D3E" w:rsidRPr="009D52FD">
        <w:rPr>
          <w:sz w:val="20"/>
          <w:szCs w:val="20"/>
          <w:lang w:val="en-US"/>
        </w:rPr>
        <w:t xml:space="preserve"> </w:t>
      </w:r>
      <w:r w:rsidRPr="009D52FD">
        <w:rPr>
          <w:sz w:val="20"/>
          <w:szCs w:val="20"/>
          <w:lang w:val="en-US"/>
        </w:rPr>
        <w:t xml:space="preserve">submitted to the Court its brief answering the submission of the case in the </w:t>
      </w:r>
      <w:r w:rsidR="00483040" w:rsidRPr="009D52FD">
        <w:rPr>
          <w:sz w:val="20"/>
          <w:szCs w:val="20"/>
          <w:lang w:val="en-US"/>
        </w:rPr>
        <w:t>Merits Report</w:t>
      </w:r>
      <w:r w:rsidR="003630BB" w:rsidRPr="009D52FD">
        <w:rPr>
          <w:sz w:val="20"/>
          <w:szCs w:val="20"/>
          <w:lang w:val="en-US"/>
        </w:rPr>
        <w:t xml:space="preserve"> of the Inter-American Commission and </w:t>
      </w:r>
      <w:r w:rsidRPr="009D52FD">
        <w:rPr>
          <w:sz w:val="20"/>
          <w:szCs w:val="20"/>
          <w:lang w:val="en-US"/>
        </w:rPr>
        <w:t>the</w:t>
      </w:r>
      <w:r w:rsidR="00731D3E" w:rsidRPr="009D52FD">
        <w:rPr>
          <w:sz w:val="20"/>
          <w:szCs w:val="20"/>
          <w:lang w:val="en-US"/>
        </w:rPr>
        <w:t xml:space="preserve"> </w:t>
      </w:r>
      <w:r w:rsidR="000F738B" w:rsidRPr="009D52FD">
        <w:rPr>
          <w:sz w:val="20"/>
          <w:szCs w:val="20"/>
          <w:lang w:val="en-US"/>
        </w:rPr>
        <w:t>pleadings and motions brief</w:t>
      </w:r>
      <w:r w:rsidR="003630BB" w:rsidRPr="009D52FD">
        <w:rPr>
          <w:sz w:val="20"/>
          <w:szCs w:val="20"/>
          <w:lang w:val="en-US"/>
        </w:rPr>
        <w:t xml:space="preserve"> of the representatives</w:t>
      </w:r>
      <w:r w:rsidR="00731D3E" w:rsidRPr="009D52FD">
        <w:rPr>
          <w:sz w:val="20"/>
          <w:szCs w:val="20"/>
          <w:lang w:val="en-US"/>
        </w:rPr>
        <w:t xml:space="preserve"> (</w:t>
      </w:r>
      <w:r w:rsidR="003630BB" w:rsidRPr="009D52FD">
        <w:rPr>
          <w:sz w:val="20"/>
          <w:szCs w:val="20"/>
          <w:lang w:val="en-US"/>
        </w:rPr>
        <w:t>hereinafter</w:t>
      </w:r>
      <w:r w:rsidR="00731D3E" w:rsidRPr="009D52FD">
        <w:rPr>
          <w:sz w:val="20"/>
          <w:szCs w:val="20"/>
          <w:lang w:val="en-US"/>
        </w:rPr>
        <w:t xml:space="preserve"> “</w:t>
      </w:r>
      <w:r w:rsidR="007520A7" w:rsidRPr="009D52FD">
        <w:rPr>
          <w:sz w:val="20"/>
          <w:szCs w:val="20"/>
          <w:lang w:val="en-US"/>
        </w:rPr>
        <w:t xml:space="preserve">the </w:t>
      </w:r>
      <w:r w:rsidRPr="009D52FD">
        <w:rPr>
          <w:sz w:val="20"/>
          <w:szCs w:val="20"/>
          <w:lang w:val="en-US"/>
        </w:rPr>
        <w:t>answering brief</w:t>
      </w:r>
      <w:r w:rsidR="00731D3E" w:rsidRPr="009D52FD">
        <w:rPr>
          <w:sz w:val="20"/>
          <w:szCs w:val="20"/>
          <w:lang w:val="en-US"/>
        </w:rPr>
        <w:t>”)</w:t>
      </w:r>
      <w:r w:rsidRPr="009D52FD">
        <w:rPr>
          <w:sz w:val="20"/>
          <w:szCs w:val="20"/>
          <w:lang w:val="en-US"/>
        </w:rPr>
        <w:t>.</w:t>
      </w:r>
      <w:r w:rsidR="00731D3E" w:rsidRPr="009D52FD">
        <w:rPr>
          <w:rStyle w:val="FootnoteReference"/>
          <w:sz w:val="20"/>
          <w:szCs w:val="20"/>
          <w:lang w:val="en-US"/>
        </w:rPr>
        <w:footnoteReference w:id="8"/>
      </w:r>
      <w:r w:rsidRPr="009D52FD">
        <w:rPr>
          <w:sz w:val="20"/>
          <w:szCs w:val="20"/>
          <w:lang w:val="en-US"/>
        </w:rPr>
        <w:t xml:space="preserve"> In this brief, the State acknowledged some of the alleged violations, contested others, and responded to the requests for reparation</w:t>
      </w:r>
      <w:r w:rsidR="00731D3E" w:rsidRPr="009D52FD">
        <w:rPr>
          <w:sz w:val="20"/>
          <w:szCs w:val="20"/>
          <w:lang w:val="en-US"/>
        </w:rPr>
        <w:t>.</w:t>
      </w:r>
    </w:p>
    <w:p w14:paraId="6583C9F9" w14:textId="77777777" w:rsidR="00731D3E" w:rsidRPr="009D52FD" w:rsidRDefault="00731D3E" w:rsidP="00321EFA">
      <w:pPr>
        <w:spacing w:line="240" w:lineRule="auto"/>
        <w:rPr>
          <w:sz w:val="20"/>
          <w:szCs w:val="20"/>
          <w:lang w:val="en-US"/>
        </w:rPr>
      </w:pPr>
    </w:p>
    <w:p w14:paraId="0BE82FF9" w14:textId="7AFBF8C1" w:rsidR="00731D3E" w:rsidRPr="009D52FD" w:rsidRDefault="00325A95" w:rsidP="00731D3E">
      <w:pPr>
        <w:numPr>
          <w:ilvl w:val="0"/>
          <w:numId w:val="1"/>
        </w:numPr>
        <w:tabs>
          <w:tab w:val="left" w:pos="567"/>
          <w:tab w:val="num" w:pos="1569"/>
          <w:tab w:val="num" w:pos="12305"/>
        </w:tabs>
        <w:spacing w:line="240" w:lineRule="auto"/>
        <w:ind w:left="0" w:firstLine="0"/>
        <w:rPr>
          <w:sz w:val="20"/>
          <w:szCs w:val="20"/>
          <w:lang w:val="en-US"/>
        </w:rPr>
      </w:pPr>
      <w:r w:rsidRPr="009D52FD">
        <w:rPr>
          <w:i/>
          <w:sz w:val="20"/>
          <w:szCs w:val="20"/>
          <w:lang w:val="en-US"/>
        </w:rPr>
        <w:t>Victims’ Legal Assistance Fund</w:t>
      </w:r>
      <w:r w:rsidR="00731D3E" w:rsidRPr="009D52FD">
        <w:rPr>
          <w:i/>
          <w:sz w:val="20"/>
          <w:szCs w:val="20"/>
          <w:lang w:val="en-US"/>
        </w:rPr>
        <w:t xml:space="preserve">. </w:t>
      </w:r>
      <w:r w:rsidR="0002239A" w:rsidRPr="009D52FD">
        <w:rPr>
          <w:sz w:val="20"/>
          <w:szCs w:val="20"/>
          <w:lang w:val="en-US"/>
        </w:rPr>
        <w:t>In an order</w:t>
      </w:r>
      <w:r w:rsidR="003630BB" w:rsidRPr="009D52FD">
        <w:rPr>
          <w:sz w:val="20"/>
          <w:szCs w:val="20"/>
          <w:lang w:val="en-US"/>
        </w:rPr>
        <w:t xml:space="preserve"> of the President of the Court</w:t>
      </w:r>
      <w:r w:rsidR="00731D3E" w:rsidRPr="009D52FD">
        <w:rPr>
          <w:sz w:val="20"/>
          <w:szCs w:val="20"/>
          <w:lang w:val="en-US"/>
        </w:rPr>
        <w:t xml:space="preserve"> </w:t>
      </w:r>
      <w:r w:rsidR="0002239A" w:rsidRPr="009D52FD">
        <w:rPr>
          <w:sz w:val="20"/>
          <w:szCs w:val="20"/>
          <w:lang w:val="en-US"/>
        </w:rPr>
        <w:t>of August 22,</w:t>
      </w:r>
      <w:r w:rsidR="00731D3E" w:rsidRPr="009D52FD">
        <w:rPr>
          <w:sz w:val="20"/>
          <w:szCs w:val="20"/>
          <w:lang w:val="en-US"/>
        </w:rPr>
        <w:t xml:space="preserve"> 2017, </w:t>
      </w:r>
      <w:r w:rsidR="0002239A" w:rsidRPr="009D52FD">
        <w:rPr>
          <w:sz w:val="20"/>
          <w:szCs w:val="20"/>
          <w:lang w:val="en-US"/>
        </w:rPr>
        <w:t>the request filed by</w:t>
      </w:r>
      <w:r w:rsidR="00731D3E" w:rsidRPr="009D52FD">
        <w:rPr>
          <w:sz w:val="20"/>
          <w:szCs w:val="20"/>
          <w:lang w:val="en-US"/>
        </w:rPr>
        <w:t xml:space="preserve"> </w:t>
      </w:r>
      <w:r w:rsidR="00EB0EB6" w:rsidRPr="009D52FD">
        <w:rPr>
          <w:sz w:val="20"/>
          <w:szCs w:val="20"/>
          <w:lang w:val="en-US"/>
        </w:rPr>
        <w:t>the presumed victims</w:t>
      </w:r>
      <w:r w:rsidR="00731D3E" w:rsidRPr="009D52FD">
        <w:rPr>
          <w:sz w:val="20"/>
          <w:szCs w:val="20"/>
          <w:lang w:val="en-US"/>
        </w:rPr>
        <w:t xml:space="preserve">, </w:t>
      </w:r>
      <w:r w:rsidR="0002239A" w:rsidRPr="009D52FD">
        <w:rPr>
          <w:sz w:val="20"/>
          <w:szCs w:val="20"/>
          <w:lang w:val="en-US"/>
        </w:rPr>
        <w:t>through their representatives, to access the Court’s Legal Assistance Fund, was admitted.</w:t>
      </w:r>
      <w:r w:rsidR="00731D3E" w:rsidRPr="009D52FD">
        <w:rPr>
          <w:rStyle w:val="FootnoteReference"/>
          <w:sz w:val="20"/>
          <w:szCs w:val="20"/>
          <w:lang w:val="en-US"/>
        </w:rPr>
        <w:footnoteReference w:id="9"/>
      </w:r>
      <w:r w:rsidR="00731D3E" w:rsidRPr="009D52FD">
        <w:rPr>
          <w:b/>
          <w:sz w:val="20"/>
          <w:szCs w:val="20"/>
          <w:lang w:val="en-US"/>
        </w:rPr>
        <w:t xml:space="preserve"> </w:t>
      </w:r>
    </w:p>
    <w:p w14:paraId="6585271E" w14:textId="77777777" w:rsidR="00731D3E" w:rsidRPr="009D52FD" w:rsidRDefault="00731D3E" w:rsidP="00731D3E">
      <w:pPr>
        <w:spacing w:line="240" w:lineRule="auto"/>
        <w:rPr>
          <w:sz w:val="20"/>
          <w:szCs w:val="20"/>
          <w:lang w:val="en-US"/>
        </w:rPr>
      </w:pPr>
    </w:p>
    <w:p w14:paraId="403A8490" w14:textId="68FC0420" w:rsidR="00731D3E" w:rsidRPr="009D52FD" w:rsidRDefault="00731D3E" w:rsidP="00731D3E">
      <w:pPr>
        <w:numPr>
          <w:ilvl w:val="0"/>
          <w:numId w:val="1"/>
        </w:numPr>
        <w:tabs>
          <w:tab w:val="left" w:pos="567"/>
          <w:tab w:val="num" w:pos="1569"/>
          <w:tab w:val="num" w:pos="12305"/>
        </w:tabs>
        <w:spacing w:line="240" w:lineRule="auto"/>
        <w:ind w:left="0" w:firstLine="0"/>
        <w:rPr>
          <w:sz w:val="20"/>
          <w:szCs w:val="20"/>
          <w:lang w:val="en-US"/>
        </w:rPr>
      </w:pPr>
      <w:r w:rsidRPr="009D52FD">
        <w:rPr>
          <w:i/>
          <w:sz w:val="20"/>
          <w:szCs w:val="20"/>
          <w:lang w:val="en-US"/>
        </w:rPr>
        <w:t>Observa</w:t>
      </w:r>
      <w:r w:rsidR="0002239A" w:rsidRPr="009D52FD">
        <w:rPr>
          <w:i/>
          <w:sz w:val="20"/>
          <w:szCs w:val="20"/>
          <w:lang w:val="en-US"/>
        </w:rPr>
        <w:t>tions on the partial acknowledgement of responsibility.</w:t>
      </w:r>
      <w:r w:rsidRPr="009D52FD">
        <w:rPr>
          <w:sz w:val="20"/>
          <w:szCs w:val="20"/>
          <w:lang w:val="en-US"/>
        </w:rPr>
        <w:t xml:space="preserve"> </w:t>
      </w:r>
      <w:r w:rsidR="0002239A" w:rsidRPr="009D52FD">
        <w:rPr>
          <w:sz w:val="20"/>
          <w:szCs w:val="20"/>
          <w:lang w:val="en-US"/>
        </w:rPr>
        <w:t>On October</w:t>
      </w:r>
      <w:r w:rsidRPr="009D52FD">
        <w:rPr>
          <w:sz w:val="20"/>
          <w:szCs w:val="20"/>
          <w:lang w:val="en-US"/>
        </w:rPr>
        <w:t xml:space="preserve"> 17</w:t>
      </w:r>
      <w:r w:rsidR="003630BB" w:rsidRPr="009D52FD">
        <w:rPr>
          <w:sz w:val="20"/>
          <w:szCs w:val="20"/>
          <w:lang w:val="en-US"/>
        </w:rPr>
        <w:t xml:space="preserve"> and </w:t>
      </w:r>
      <w:r w:rsidRPr="009D52FD">
        <w:rPr>
          <w:sz w:val="20"/>
          <w:szCs w:val="20"/>
          <w:lang w:val="en-US"/>
        </w:rPr>
        <w:t>20</w:t>
      </w:r>
      <w:r w:rsidR="0002239A" w:rsidRPr="009D52FD">
        <w:rPr>
          <w:sz w:val="20"/>
          <w:szCs w:val="20"/>
          <w:lang w:val="en-US"/>
        </w:rPr>
        <w:t xml:space="preserve">, </w:t>
      </w:r>
      <w:r w:rsidRPr="009D52FD">
        <w:rPr>
          <w:sz w:val="20"/>
          <w:szCs w:val="20"/>
          <w:lang w:val="en-US"/>
        </w:rPr>
        <w:t>2017</w:t>
      </w:r>
      <w:r w:rsidR="0002239A" w:rsidRPr="009D52FD">
        <w:rPr>
          <w:sz w:val="20"/>
          <w:szCs w:val="20"/>
          <w:lang w:val="en-US"/>
        </w:rPr>
        <w:t>,</w:t>
      </w:r>
      <w:r w:rsidRPr="009D52FD">
        <w:rPr>
          <w:sz w:val="20"/>
          <w:szCs w:val="20"/>
          <w:lang w:val="en-US"/>
        </w:rPr>
        <w:t xml:space="preserve"> </w:t>
      </w:r>
      <w:r w:rsidR="003630BB" w:rsidRPr="009D52FD">
        <w:rPr>
          <w:sz w:val="20"/>
          <w:szCs w:val="20"/>
          <w:lang w:val="en-US"/>
        </w:rPr>
        <w:t>the representatives and the Commission</w:t>
      </w:r>
      <w:r w:rsidRPr="009D52FD">
        <w:rPr>
          <w:sz w:val="20"/>
          <w:szCs w:val="20"/>
          <w:lang w:val="en-US"/>
        </w:rPr>
        <w:t>, respectiv</w:t>
      </w:r>
      <w:r w:rsidR="0002239A" w:rsidRPr="009D52FD">
        <w:rPr>
          <w:sz w:val="20"/>
          <w:szCs w:val="20"/>
          <w:lang w:val="en-US"/>
        </w:rPr>
        <w:t xml:space="preserve">ely, presented their observations on the partial acknowledgement of responsibility made by the State, and on the arguments submitted in section B of </w:t>
      </w:r>
      <w:r w:rsidR="00EB0EB6" w:rsidRPr="009D52FD">
        <w:rPr>
          <w:sz w:val="20"/>
          <w:szCs w:val="20"/>
          <w:lang w:val="en-US"/>
        </w:rPr>
        <w:t>Chapter</w:t>
      </w:r>
      <w:r w:rsidRPr="009D52FD">
        <w:rPr>
          <w:sz w:val="20"/>
          <w:szCs w:val="20"/>
          <w:lang w:val="en-US"/>
        </w:rPr>
        <w:t xml:space="preserve"> II </w:t>
      </w:r>
      <w:r w:rsidR="0002239A" w:rsidRPr="009D52FD">
        <w:rPr>
          <w:sz w:val="20"/>
          <w:szCs w:val="20"/>
          <w:lang w:val="en-US"/>
        </w:rPr>
        <w:t>on Preliminary Considerations of its a</w:t>
      </w:r>
      <w:r w:rsidR="00325A95" w:rsidRPr="009D52FD">
        <w:rPr>
          <w:sz w:val="20"/>
          <w:szCs w:val="20"/>
          <w:lang w:val="en-US"/>
        </w:rPr>
        <w:t>nswering brief</w:t>
      </w:r>
      <w:r w:rsidR="0002239A" w:rsidRPr="009D52FD">
        <w:rPr>
          <w:sz w:val="20"/>
          <w:szCs w:val="20"/>
          <w:lang w:val="en-US"/>
        </w:rPr>
        <w:t xml:space="preserve">; that is in the section entitled: “(B) Considerations not included in the [Commission’s] </w:t>
      </w:r>
      <w:r w:rsidR="00483040" w:rsidRPr="009D52FD">
        <w:rPr>
          <w:sz w:val="20"/>
          <w:szCs w:val="20"/>
          <w:lang w:val="en-US"/>
        </w:rPr>
        <w:t>Admissibility Report</w:t>
      </w:r>
      <w:r w:rsidR="0002239A" w:rsidRPr="009D52FD">
        <w:rPr>
          <w:sz w:val="20"/>
          <w:szCs w:val="20"/>
          <w:lang w:val="en-US"/>
        </w:rPr>
        <w:t>.”</w:t>
      </w:r>
    </w:p>
    <w:p w14:paraId="1FFC59E9" w14:textId="77777777" w:rsidR="00731D3E" w:rsidRPr="009D52FD" w:rsidRDefault="00731D3E" w:rsidP="00321EFA">
      <w:pPr>
        <w:spacing w:line="240" w:lineRule="auto"/>
        <w:rPr>
          <w:sz w:val="20"/>
          <w:szCs w:val="20"/>
          <w:lang w:val="en-US"/>
        </w:rPr>
      </w:pPr>
    </w:p>
    <w:p w14:paraId="2F121211" w14:textId="3E2B65C6" w:rsidR="00731D3E" w:rsidRPr="009D52FD" w:rsidRDefault="0002239A" w:rsidP="0002239A">
      <w:pPr>
        <w:numPr>
          <w:ilvl w:val="0"/>
          <w:numId w:val="1"/>
        </w:numPr>
        <w:tabs>
          <w:tab w:val="left" w:pos="567"/>
          <w:tab w:val="num" w:pos="1569"/>
          <w:tab w:val="num" w:pos="12305"/>
        </w:tabs>
        <w:spacing w:line="240" w:lineRule="auto"/>
        <w:ind w:left="0" w:firstLine="0"/>
        <w:rPr>
          <w:sz w:val="20"/>
          <w:szCs w:val="20"/>
          <w:lang w:val="en-US"/>
        </w:rPr>
      </w:pPr>
      <w:r w:rsidRPr="009D52FD">
        <w:rPr>
          <w:i/>
          <w:sz w:val="20"/>
          <w:szCs w:val="20"/>
          <w:lang w:val="en-US"/>
        </w:rPr>
        <w:t>Public hearing</w:t>
      </w:r>
      <w:r w:rsidR="00731D3E" w:rsidRPr="009D52FD">
        <w:rPr>
          <w:i/>
          <w:sz w:val="20"/>
          <w:szCs w:val="20"/>
          <w:lang w:val="en-US"/>
        </w:rPr>
        <w:t xml:space="preserve">. </w:t>
      </w:r>
      <w:r w:rsidRPr="009D52FD">
        <w:rPr>
          <w:sz w:val="20"/>
          <w:szCs w:val="20"/>
          <w:lang w:val="en-US"/>
        </w:rPr>
        <w:t>In an order of December</w:t>
      </w:r>
      <w:r w:rsidR="00731D3E" w:rsidRPr="009D52FD">
        <w:rPr>
          <w:sz w:val="20"/>
          <w:szCs w:val="20"/>
          <w:lang w:val="en-US"/>
        </w:rPr>
        <w:t xml:space="preserve"> 13</w:t>
      </w:r>
      <w:r w:rsidRPr="009D52FD">
        <w:rPr>
          <w:sz w:val="20"/>
          <w:szCs w:val="20"/>
          <w:lang w:val="en-US"/>
        </w:rPr>
        <w:t xml:space="preserve">, </w:t>
      </w:r>
      <w:r w:rsidR="00731D3E" w:rsidRPr="009D52FD">
        <w:rPr>
          <w:sz w:val="20"/>
          <w:szCs w:val="20"/>
          <w:lang w:val="en-US"/>
        </w:rPr>
        <w:t>2017</w:t>
      </w:r>
      <w:r w:rsidRPr="009D52FD">
        <w:rPr>
          <w:sz w:val="20"/>
          <w:szCs w:val="20"/>
          <w:lang w:val="en-US"/>
        </w:rPr>
        <w:t>,</w:t>
      </w:r>
      <w:r w:rsidR="00731D3E" w:rsidRPr="009D52FD">
        <w:rPr>
          <w:rStyle w:val="FootnoteReference"/>
          <w:sz w:val="20"/>
          <w:szCs w:val="20"/>
          <w:lang w:val="en-US"/>
        </w:rPr>
        <w:footnoteReference w:id="10"/>
      </w:r>
      <w:r w:rsidR="00731D3E" w:rsidRPr="009D52FD">
        <w:rPr>
          <w:sz w:val="20"/>
          <w:szCs w:val="20"/>
          <w:lang w:val="en-US"/>
        </w:rPr>
        <w:t xml:space="preserve"> </w:t>
      </w:r>
      <w:r w:rsidR="003630BB" w:rsidRPr="009D52FD">
        <w:rPr>
          <w:sz w:val="20"/>
          <w:szCs w:val="20"/>
          <w:lang w:val="en-US"/>
        </w:rPr>
        <w:t>the President</w:t>
      </w:r>
      <w:r w:rsidR="00731D3E" w:rsidRPr="009D52FD">
        <w:rPr>
          <w:sz w:val="20"/>
          <w:szCs w:val="20"/>
          <w:lang w:val="en-US"/>
        </w:rPr>
        <w:t xml:space="preserve"> </w:t>
      </w:r>
      <w:r w:rsidRPr="009D52FD">
        <w:rPr>
          <w:sz w:val="20"/>
          <w:szCs w:val="20"/>
          <w:lang w:val="en-US"/>
        </w:rPr>
        <w:t>called the State,</w:t>
      </w:r>
      <w:r w:rsidR="00731D3E" w:rsidRPr="009D52FD">
        <w:rPr>
          <w:sz w:val="20"/>
          <w:szCs w:val="20"/>
          <w:lang w:val="en-US"/>
        </w:rPr>
        <w:t xml:space="preserve"> </w:t>
      </w:r>
      <w:r w:rsidR="003630BB" w:rsidRPr="009D52FD">
        <w:rPr>
          <w:sz w:val="20"/>
          <w:szCs w:val="20"/>
          <w:lang w:val="en-US"/>
        </w:rPr>
        <w:t>the representatives and</w:t>
      </w:r>
      <w:r w:rsidR="00731D3E" w:rsidRPr="009D52FD">
        <w:rPr>
          <w:sz w:val="20"/>
          <w:szCs w:val="20"/>
          <w:lang w:val="en-US"/>
        </w:rPr>
        <w:t xml:space="preserve"> </w:t>
      </w:r>
      <w:r w:rsidR="003630BB" w:rsidRPr="009D52FD">
        <w:rPr>
          <w:sz w:val="20"/>
          <w:szCs w:val="20"/>
          <w:lang w:val="en-US"/>
        </w:rPr>
        <w:t>the Inter-American Commission</w:t>
      </w:r>
      <w:r w:rsidR="00731D3E" w:rsidRPr="009D52FD">
        <w:rPr>
          <w:sz w:val="20"/>
          <w:szCs w:val="20"/>
          <w:lang w:val="en-US"/>
        </w:rPr>
        <w:t xml:space="preserve"> </w:t>
      </w:r>
      <w:r w:rsidRPr="009D52FD">
        <w:rPr>
          <w:sz w:val="20"/>
          <w:szCs w:val="20"/>
          <w:lang w:val="en-US"/>
        </w:rPr>
        <w:t xml:space="preserve">to </w:t>
      </w:r>
      <w:r w:rsidR="00731D3E" w:rsidRPr="009D52FD">
        <w:rPr>
          <w:sz w:val="20"/>
          <w:szCs w:val="20"/>
          <w:lang w:val="en-US"/>
        </w:rPr>
        <w:t xml:space="preserve">a </w:t>
      </w:r>
      <w:r w:rsidRPr="009D52FD">
        <w:rPr>
          <w:sz w:val="20"/>
          <w:szCs w:val="20"/>
          <w:lang w:val="en-US"/>
        </w:rPr>
        <w:t>public hearing</w:t>
      </w:r>
      <w:r w:rsidR="00731D3E" w:rsidRPr="009D52FD">
        <w:rPr>
          <w:sz w:val="20"/>
          <w:szCs w:val="20"/>
          <w:lang w:val="en-US"/>
        </w:rPr>
        <w:t xml:space="preserve"> </w:t>
      </w:r>
      <w:r w:rsidRPr="009D52FD">
        <w:rPr>
          <w:sz w:val="20"/>
          <w:szCs w:val="20"/>
          <w:lang w:val="en-US"/>
        </w:rPr>
        <w:t xml:space="preserve">to receive their final oral arguments and observations on the merits and eventual reparations and costs, and also to receive the statements of two presumed victims, one witness proposed by the State and two expert witnesses proposed by </w:t>
      </w:r>
      <w:r w:rsidR="003630BB" w:rsidRPr="009D52FD">
        <w:rPr>
          <w:sz w:val="20"/>
          <w:szCs w:val="20"/>
          <w:lang w:val="en-US"/>
        </w:rPr>
        <w:t xml:space="preserve">the representatives and </w:t>
      </w:r>
      <w:r w:rsidRPr="009D52FD">
        <w:rPr>
          <w:sz w:val="20"/>
          <w:szCs w:val="20"/>
          <w:lang w:val="en-US"/>
        </w:rPr>
        <w:t>by</w:t>
      </w:r>
      <w:r w:rsidR="00731D3E" w:rsidRPr="009D52FD">
        <w:rPr>
          <w:sz w:val="20"/>
          <w:szCs w:val="20"/>
          <w:lang w:val="en-US"/>
        </w:rPr>
        <w:t xml:space="preserve"> </w:t>
      </w:r>
      <w:r w:rsidR="003630BB" w:rsidRPr="009D52FD">
        <w:rPr>
          <w:sz w:val="20"/>
          <w:szCs w:val="20"/>
          <w:lang w:val="en-US"/>
        </w:rPr>
        <w:t>the Commission</w:t>
      </w:r>
      <w:r w:rsidRPr="009D52FD">
        <w:rPr>
          <w:sz w:val="20"/>
          <w:szCs w:val="20"/>
          <w:lang w:val="en-US"/>
        </w:rPr>
        <w:t>.</w:t>
      </w:r>
      <w:r w:rsidR="00731D3E" w:rsidRPr="009D52FD">
        <w:rPr>
          <w:rStyle w:val="FootnoteReference"/>
          <w:sz w:val="20"/>
          <w:szCs w:val="20"/>
          <w:lang w:val="en-US"/>
        </w:rPr>
        <w:footnoteReference w:id="11"/>
      </w:r>
      <w:r w:rsidR="00731D3E" w:rsidRPr="009D52FD">
        <w:rPr>
          <w:sz w:val="20"/>
          <w:szCs w:val="20"/>
          <w:lang w:val="en-US"/>
        </w:rPr>
        <w:t xml:space="preserve"> </w:t>
      </w:r>
      <w:r w:rsidRPr="009D52FD">
        <w:rPr>
          <w:sz w:val="20"/>
          <w:szCs w:val="20"/>
          <w:lang w:val="en-US"/>
        </w:rPr>
        <w:t>The</w:t>
      </w:r>
      <w:r w:rsidR="00731D3E" w:rsidRPr="009D52FD">
        <w:rPr>
          <w:sz w:val="20"/>
          <w:szCs w:val="20"/>
          <w:lang w:val="en-US"/>
        </w:rPr>
        <w:t xml:space="preserve"> </w:t>
      </w:r>
      <w:r w:rsidRPr="009D52FD">
        <w:rPr>
          <w:sz w:val="20"/>
          <w:szCs w:val="20"/>
          <w:lang w:val="en-US"/>
        </w:rPr>
        <w:t>public hearing</w:t>
      </w:r>
      <w:r w:rsidR="00731D3E" w:rsidRPr="009D52FD">
        <w:rPr>
          <w:sz w:val="20"/>
          <w:szCs w:val="20"/>
          <w:lang w:val="en-US"/>
        </w:rPr>
        <w:t xml:space="preserve"> </w:t>
      </w:r>
      <w:r w:rsidRPr="009D52FD">
        <w:rPr>
          <w:sz w:val="20"/>
          <w:szCs w:val="20"/>
          <w:lang w:val="en-US"/>
        </w:rPr>
        <w:t xml:space="preserve">took place </w:t>
      </w:r>
      <w:r w:rsidRPr="009D52FD">
        <w:rPr>
          <w:sz w:val="20"/>
          <w:szCs w:val="20"/>
          <w:lang w:val="en-US"/>
        </w:rPr>
        <w:lastRenderedPageBreak/>
        <w:t xml:space="preserve">on February 6, </w:t>
      </w:r>
      <w:r w:rsidR="00731D3E" w:rsidRPr="009D52FD">
        <w:rPr>
          <w:sz w:val="20"/>
          <w:szCs w:val="20"/>
          <w:lang w:val="en-US"/>
        </w:rPr>
        <w:t>2018, dur</w:t>
      </w:r>
      <w:r w:rsidRPr="009D52FD">
        <w:rPr>
          <w:sz w:val="20"/>
          <w:szCs w:val="20"/>
          <w:lang w:val="en-US"/>
        </w:rPr>
        <w:t>ing the 121</w:t>
      </w:r>
      <w:r w:rsidRPr="009D52FD">
        <w:rPr>
          <w:sz w:val="20"/>
          <w:szCs w:val="20"/>
          <w:vertAlign w:val="superscript"/>
          <w:lang w:val="en-US"/>
        </w:rPr>
        <w:t>st</w:t>
      </w:r>
      <w:r w:rsidRPr="009D52FD">
        <w:rPr>
          <w:sz w:val="20"/>
          <w:szCs w:val="20"/>
          <w:lang w:val="en-US"/>
        </w:rPr>
        <w:t xml:space="preserve"> regular session of the Court held at its seat.</w:t>
      </w:r>
      <w:r w:rsidR="00731D3E" w:rsidRPr="009D52FD">
        <w:rPr>
          <w:rStyle w:val="FootnoteReference"/>
          <w:sz w:val="20"/>
          <w:szCs w:val="20"/>
          <w:lang w:val="en-US"/>
        </w:rPr>
        <w:footnoteReference w:id="12"/>
      </w:r>
      <w:r w:rsidRPr="009D52FD">
        <w:rPr>
          <w:sz w:val="20"/>
          <w:szCs w:val="20"/>
          <w:lang w:val="en-US"/>
        </w:rPr>
        <w:t xml:space="preserve"> During the hearing, the Court received the statement </w:t>
      </w:r>
      <w:r w:rsidR="00325A95" w:rsidRPr="009D52FD">
        <w:rPr>
          <w:sz w:val="20"/>
          <w:szCs w:val="20"/>
          <w:lang w:val="en-US"/>
        </w:rPr>
        <w:t xml:space="preserve">of </w:t>
      </w:r>
      <w:r w:rsidR="00EB0EB6" w:rsidRPr="009D52FD">
        <w:rPr>
          <w:sz w:val="20"/>
          <w:szCs w:val="20"/>
          <w:lang w:val="en-US"/>
        </w:rPr>
        <w:t>presumed victims</w:t>
      </w:r>
      <w:r w:rsidR="00731D3E" w:rsidRPr="009D52FD">
        <w:rPr>
          <w:sz w:val="20"/>
          <w:szCs w:val="20"/>
          <w:lang w:val="en-US"/>
        </w:rPr>
        <w:t xml:space="preserve"> Linda Loaiza López Soto</w:t>
      </w:r>
      <w:r w:rsidR="003630BB" w:rsidRPr="009D52FD">
        <w:rPr>
          <w:sz w:val="20"/>
          <w:szCs w:val="20"/>
          <w:lang w:val="en-US"/>
        </w:rPr>
        <w:t xml:space="preserve"> and </w:t>
      </w:r>
      <w:r w:rsidR="00731D3E" w:rsidRPr="009D52FD">
        <w:rPr>
          <w:sz w:val="20"/>
          <w:szCs w:val="20"/>
          <w:lang w:val="en-US"/>
        </w:rPr>
        <w:t>Ana Secilia López Soto, a</w:t>
      </w:r>
      <w:r w:rsidRPr="009D52FD">
        <w:rPr>
          <w:sz w:val="20"/>
          <w:szCs w:val="20"/>
          <w:lang w:val="en-US"/>
        </w:rPr>
        <w:t xml:space="preserve">nd the opinions of expert witnesses </w:t>
      </w:r>
      <w:r w:rsidR="00731D3E" w:rsidRPr="009D52FD">
        <w:rPr>
          <w:sz w:val="20"/>
          <w:szCs w:val="20"/>
          <w:lang w:val="en-US"/>
        </w:rPr>
        <w:t>Daniela Kravetz, Marie Christine Chinkin</w:t>
      </w:r>
      <w:r w:rsidR="003630BB" w:rsidRPr="009D52FD">
        <w:rPr>
          <w:sz w:val="20"/>
          <w:szCs w:val="20"/>
          <w:lang w:val="en-US"/>
        </w:rPr>
        <w:t xml:space="preserve"> and </w:t>
      </w:r>
      <w:r w:rsidR="00731D3E" w:rsidRPr="009D52FD">
        <w:rPr>
          <w:sz w:val="20"/>
          <w:szCs w:val="20"/>
          <w:lang w:val="en-US"/>
        </w:rPr>
        <w:t xml:space="preserve">María Lucrecia Hernández Vitar. </w:t>
      </w:r>
      <w:r w:rsidRPr="009D52FD">
        <w:rPr>
          <w:sz w:val="20"/>
          <w:szCs w:val="20"/>
          <w:lang w:val="en-US"/>
        </w:rPr>
        <w:t xml:space="preserve">In addition, the Court required the State to present certain information and documentation; in particular, it requested a copy of the record of </w:t>
      </w:r>
      <w:r w:rsidR="007520A7" w:rsidRPr="009D52FD">
        <w:rPr>
          <w:sz w:val="20"/>
          <w:szCs w:val="20"/>
          <w:lang w:val="en-US"/>
        </w:rPr>
        <w:t>individuals</w:t>
      </w:r>
      <w:r w:rsidRPr="009D52FD">
        <w:rPr>
          <w:sz w:val="20"/>
          <w:szCs w:val="20"/>
          <w:lang w:val="en-US"/>
        </w:rPr>
        <w:t xml:space="preserve"> who had presented complaints to the </w:t>
      </w:r>
      <w:r w:rsidR="005810D1" w:rsidRPr="009D52FD">
        <w:rPr>
          <w:sz w:val="20"/>
          <w:szCs w:val="20"/>
          <w:lang w:val="en-US"/>
        </w:rPr>
        <w:t>Judicial Technical Police</w:t>
      </w:r>
      <w:r w:rsidRPr="009D52FD">
        <w:rPr>
          <w:sz w:val="20"/>
          <w:szCs w:val="20"/>
          <w:lang w:val="en-US"/>
        </w:rPr>
        <w:t xml:space="preserve"> located in Urdaneta Avenue, from March to July 2001, as well as any other complaint that had been made before a police station or </w:t>
      </w:r>
      <w:r w:rsidR="007520A7" w:rsidRPr="009D52FD">
        <w:rPr>
          <w:sz w:val="20"/>
          <w:szCs w:val="20"/>
          <w:lang w:val="en-US"/>
        </w:rPr>
        <w:t>agency</w:t>
      </w:r>
      <w:r w:rsidRPr="009D52FD">
        <w:rPr>
          <w:sz w:val="20"/>
          <w:szCs w:val="20"/>
          <w:lang w:val="en-US"/>
        </w:rPr>
        <w:t xml:space="preserve"> by </w:t>
      </w:r>
      <w:r w:rsidR="00731D3E" w:rsidRPr="009D52FD">
        <w:rPr>
          <w:sz w:val="20"/>
          <w:szCs w:val="20"/>
          <w:lang w:val="en-US"/>
        </w:rPr>
        <w:t xml:space="preserve">Ana Secilia López Soto. </w:t>
      </w:r>
      <w:r w:rsidRPr="009D52FD">
        <w:rPr>
          <w:sz w:val="20"/>
          <w:szCs w:val="20"/>
          <w:lang w:val="en-US"/>
        </w:rPr>
        <w:t xml:space="preserve">The affidavits that had been requested were received on January 24, </w:t>
      </w:r>
      <w:r w:rsidR="00731D3E" w:rsidRPr="009D52FD">
        <w:rPr>
          <w:sz w:val="20"/>
          <w:szCs w:val="20"/>
          <w:lang w:val="en-US"/>
        </w:rPr>
        <w:t>2018</w:t>
      </w:r>
      <w:r w:rsidRPr="009D52FD">
        <w:rPr>
          <w:sz w:val="20"/>
          <w:szCs w:val="20"/>
          <w:lang w:val="en-US"/>
        </w:rPr>
        <w:t>.</w:t>
      </w:r>
      <w:r w:rsidR="00731D3E" w:rsidRPr="009D52FD">
        <w:rPr>
          <w:rStyle w:val="FootnoteReference"/>
          <w:sz w:val="20"/>
          <w:szCs w:val="20"/>
          <w:lang w:val="en-US"/>
        </w:rPr>
        <w:footnoteReference w:id="13"/>
      </w:r>
      <w:r w:rsidR="00731D3E" w:rsidRPr="009D52FD">
        <w:rPr>
          <w:b/>
          <w:sz w:val="16"/>
          <w:szCs w:val="16"/>
          <w:lang w:val="en-US"/>
        </w:rPr>
        <w:t xml:space="preserve"> </w:t>
      </w:r>
    </w:p>
    <w:p w14:paraId="634BE885" w14:textId="77777777" w:rsidR="00731D3E" w:rsidRPr="009D52FD" w:rsidRDefault="00731D3E" w:rsidP="00731D3E">
      <w:pPr>
        <w:pStyle w:val="ListParagraph"/>
        <w:spacing w:line="240" w:lineRule="auto"/>
        <w:rPr>
          <w:sz w:val="20"/>
          <w:szCs w:val="20"/>
          <w:lang w:val="en-US"/>
        </w:rPr>
      </w:pPr>
    </w:p>
    <w:p w14:paraId="7224280E" w14:textId="51F1D929" w:rsidR="00731D3E" w:rsidRPr="009D52FD" w:rsidRDefault="00731D3E" w:rsidP="00731D3E">
      <w:pPr>
        <w:numPr>
          <w:ilvl w:val="0"/>
          <w:numId w:val="1"/>
        </w:numPr>
        <w:tabs>
          <w:tab w:val="left" w:pos="567"/>
          <w:tab w:val="num" w:pos="1569"/>
          <w:tab w:val="num" w:pos="12305"/>
        </w:tabs>
        <w:spacing w:line="240" w:lineRule="auto"/>
        <w:ind w:left="0" w:firstLine="0"/>
        <w:rPr>
          <w:sz w:val="20"/>
          <w:szCs w:val="20"/>
        </w:rPr>
      </w:pPr>
      <w:r w:rsidRPr="009D52FD">
        <w:rPr>
          <w:i/>
          <w:sz w:val="20"/>
          <w:szCs w:val="20"/>
        </w:rPr>
        <w:t xml:space="preserve">Amici </w:t>
      </w:r>
      <w:proofErr w:type="spellStart"/>
      <w:r w:rsidRPr="009D52FD">
        <w:rPr>
          <w:i/>
          <w:sz w:val="20"/>
          <w:szCs w:val="20"/>
        </w:rPr>
        <w:t>curiae</w:t>
      </w:r>
      <w:proofErr w:type="spellEnd"/>
      <w:r w:rsidRPr="009D52FD">
        <w:rPr>
          <w:i/>
          <w:sz w:val="20"/>
          <w:szCs w:val="20"/>
        </w:rPr>
        <w:t xml:space="preserve">. </w:t>
      </w:r>
      <w:proofErr w:type="spellStart"/>
      <w:r w:rsidR="0002239A" w:rsidRPr="009D52FD">
        <w:rPr>
          <w:iCs/>
          <w:sz w:val="20"/>
          <w:szCs w:val="20"/>
        </w:rPr>
        <w:t>On</w:t>
      </w:r>
      <w:proofErr w:type="spellEnd"/>
      <w:r w:rsidR="0002239A" w:rsidRPr="009D52FD">
        <w:rPr>
          <w:iCs/>
          <w:sz w:val="20"/>
          <w:szCs w:val="20"/>
        </w:rPr>
        <w:t xml:space="preserve"> </w:t>
      </w:r>
      <w:proofErr w:type="spellStart"/>
      <w:r w:rsidR="0002239A" w:rsidRPr="009D52FD">
        <w:rPr>
          <w:iCs/>
          <w:sz w:val="20"/>
          <w:szCs w:val="20"/>
        </w:rPr>
        <w:t>February</w:t>
      </w:r>
      <w:proofErr w:type="spellEnd"/>
      <w:r w:rsidR="0002239A" w:rsidRPr="009D52FD">
        <w:rPr>
          <w:i/>
          <w:sz w:val="20"/>
          <w:szCs w:val="20"/>
        </w:rPr>
        <w:t xml:space="preserve"> </w:t>
      </w:r>
      <w:r w:rsidR="00040E00" w:rsidRPr="009D52FD">
        <w:rPr>
          <w:sz w:val="20"/>
          <w:szCs w:val="20"/>
        </w:rPr>
        <w:t>20</w:t>
      </w:r>
      <w:r w:rsidR="003630BB" w:rsidRPr="009D52FD">
        <w:rPr>
          <w:sz w:val="20"/>
          <w:szCs w:val="20"/>
        </w:rPr>
        <w:t xml:space="preserve"> and </w:t>
      </w:r>
      <w:r w:rsidR="00040E00" w:rsidRPr="009D52FD">
        <w:rPr>
          <w:sz w:val="20"/>
          <w:szCs w:val="20"/>
        </w:rPr>
        <w:t>21</w:t>
      </w:r>
      <w:r w:rsidR="0002239A" w:rsidRPr="009D52FD">
        <w:rPr>
          <w:sz w:val="20"/>
          <w:szCs w:val="20"/>
        </w:rPr>
        <w:t xml:space="preserve">, </w:t>
      </w:r>
      <w:r w:rsidR="00040E00" w:rsidRPr="009D52FD">
        <w:rPr>
          <w:sz w:val="20"/>
          <w:szCs w:val="20"/>
        </w:rPr>
        <w:t xml:space="preserve">2018, </w:t>
      </w:r>
      <w:r w:rsidR="0002239A" w:rsidRPr="009D52FD">
        <w:rPr>
          <w:sz w:val="20"/>
          <w:szCs w:val="20"/>
        </w:rPr>
        <w:t xml:space="preserve">the </w:t>
      </w:r>
      <w:proofErr w:type="spellStart"/>
      <w:r w:rsidR="0002239A" w:rsidRPr="009D52FD">
        <w:rPr>
          <w:sz w:val="20"/>
          <w:szCs w:val="20"/>
        </w:rPr>
        <w:t>Court</w:t>
      </w:r>
      <w:proofErr w:type="spellEnd"/>
      <w:r w:rsidR="0002239A" w:rsidRPr="009D52FD">
        <w:rPr>
          <w:sz w:val="20"/>
          <w:szCs w:val="20"/>
        </w:rPr>
        <w:t xml:space="preserve"> </w:t>
      </w:r>
      <w:proofErr w:type="spellStart"/>
      <w:r w:rsidR="0002239A" w:rsidRPr="009D52FD">
        <w:rPr>
          <w:sz w:val="20"/>
          <w:szCs w:val="20"/>
        </w:rPr>
        <w:t>received</w:t>
      </w:r>
      <w:proofErr w:type="spellEnd"/>
      <w:r w:rsidR="0002239A" w:rsidRPr="009D52FD">
        <w:rPr>
          <w:sz w:val="20"/>
          <w:szCs w:val="20"/>
        </w:rPr>
        <w:t xml:space="preserve"> </w:t>
      </w:r>
      <w:proofErr w:type="spellStart"/>
      <w:r w:rsidRPr="009D52FD">
        <w:rPr>
          <w:i/>
          <w:sz w:val="20"/>
          <w:szCs w:val="20"/>
        </w:rPr>
        <w:t>amicus</w:t>
      </w:r>
      <w:proofErr w:type="spellEnd"/>
      <w:r w:rsidRPr="009D52FD">
        <w:rPr>
          <w:i/>
          <w:sz w:val="20"/>
          <w:szCs w:val="20"/>
        </w:rPr>
        <w:t xml:space="preserve"> </w:t>
      </w:r>
      <w:proofErr w:type="spellStart"/>
      <w:r w:rsidRPr="009D52FD">
        <w:rPr>
          <w:i/>
          <w:sz w:val="20"/>
          <w:szCs w:val="20"/>
        </w:rPr>
        <w:t>curiae</w:t>
      </w:r>
      <w:proofErr w:type="spellEnd"/>
      <w:r w:rsidRPr="009D52FD">
        <w:rPr>
          <w:i/>
          <w:sz w:val="20"/>
          <w:szCs w:val="20"/>
        </w:rPr>
        <w:t xml:space="preserve"> </w:t>
      </w:r>
      <w:proofErr w:type="spellStart"/>
      <w:r w:rsidR="0002239A" w:rsidRPr="009D52FD">
        <w:rPr>
          <w:sz w:val="20"/>
          <w:szCs w:val="20"/>
        </w:rPr>
        <w:t>briefs</w:t>
      </w:r>
      <w:proofErr w:type="spellEnd"/>
      <w:r w:rsidR="0002239A" w:rsidRPr="009D52FD">
        <w:rPr>
          <w:sz w:val="20"/>
          <w:szCs w:val="20"/>
        </w:rPr>
        <w:t xml:space="preserve"> from:</w:t>
      </w:r>
      <w:r w:rsidRPr="009D52FD">
        <w:rPr>
          <w:sz w:val="20"/>
          <w:szCs w:val="20"/>
        </w:rPr>
        <w:t xml:space="preserve"> (1) </w:t>
      </w:r>
      <w:r w:rsidR="0002239A" w:rsidRPr="009D52FD">
        <w:rPr>
          <w:sz w:val="20"/>
          <w:szCs w:val="20"/>
        </w:rPr>
        <w:t>the</w:t>
      </w:r>
      <w:r w:rsidRPr="009D52FD">
        <w:rPr>
          <w:sz w:val="20"/>
          <w:szCs w:val="20"/>
        </w:rPr>
        <w:t xml:space="preserve"> Red de Observación</w:t>
      </w:r>
      <w:r w:rsidR="003630BB" w:rsidRPr="009D52FD">
        <w:rPr>
          <w:sz w:val="20"/>
          <w:szCs w:val="20"/>
        </w:rPr>
        <w:t xml:space="preserve"> </w:t>
      </w:r>
      <w:r w:rsidR="0002239A" w:rsidRPr="009D52FD">
        <w:rPr>
          <w:sz w:val="20"/>
          <w:szCs w:val="20"/>
        </w:rPr>
        <w:t>y</w:t>
      </w:r>
      <w:r w:rsidR="003630BB" w:rsidRPr="009D52FD">
        <w:rPr>
          <w:sz w:val="20"/>
          <w:szCs w:val="20"/>
        </w:rPr>
        <w:t xml:space="preserve"> </w:t>
      </w:r>
      <w:r w:rsidRPr="009D52FD">
        <w:rPr>
          <w:sz w:val="20"/>
          <w:szCs w:val="20"/>
        </w:rPr>
        <w:t xml:space="preserve">Acción por </w:t>
      </w:r>
      <w:r w:rsidR="007520A7" w:rsidRPr="009D52FD">
        <w:rPr>
          <w:sz w:val="20"/>
          <w:szCs w:val="20"/>
        </w:rPr>
        <w:t xml:space="preserve">el Derecho de las Mujeres a una vida libre de Violencia </w:t>
      </w:r>
      <w:r w:rsidRPr="009D52FD">
        <w:rPr>
          <w:sz w:val="20"/>
          <w:szCs w:val="20"/>
        </w:rPr>
        <w:t>(Red Naranja); Equivalencias en Acción; Asociación Venezolana para una Educación Sexual Alternativa (AVESA); Centro por la Justicia</w:t>
      </w:r>
      <w:r w:rsidR="003630BB" w:rsidRPr="009D52FD">
        <w:rPr>
          <w:sz w:val="20"/>
          <w:szCs w:val="20"/>
        </w:rPr>
        <w:t xml:space="preserve"> </w:t>
      </w:r>
      <w:r w:rsidR="00315BAF" w:rsidRPr="009D52FD">
        <w:rPr>
          <w:sz w:val="20"/>
          <w:szCs w:val="20"/>
        </w:rPr>
        <w:t>y</w:t>
      </w:r>
      <w:r w:rsidR="003630BB" w:rsidRPr="009D52FD">
        <w:rPr>
          <w:sz w:val="20"/>
          <w:szCs w:val="20"/>
        </w:rPr>
        <w:t xml:space="preserve"> </w:t>
      </w:r>
      <w:r w:rsidRPr="009D52FD">
        <w:rPr>
          <w:sz w:val="20"/>
          <w:szCs w:val="20"/>
        </w:rPr>
        <w:t>Paz (CEPAZ); Centro Hispanoamericano de la Mujer; Asociación Civil Mujeres en Línea; Unión Afirmativa; Programa Venezolano de Educación-Acción en Derechos Humanos (PROVEA); CIVILIS Derechos Humanos; Casa Juan Ramírez La Avanzadora; Fundación para la Prevención de la Violencia Doméstica hacia la Mujer (FUNDAMUJER); Unidad de Investigación</w:t>
      </w:r>
      <w:r w:rsidR="003630BB" w:rsidRPr="009D52FD">
        <w:rPr>
          <w:sz w:val="20"/>
          <w:szCs w:val="20"/>
        </w:rPr>
        <w:t xml:space="preserve"> </w:t>
      </w:r>
      <w:r w:rsidR="0002239A" w:rsidRPr="009D52FD">
        <w:rPr>
          <w:sz w:val="20"/>
          <w:szCs w:val="20"/>
        </w:rPr>
        <w:t>y</w:t>
      </w:r>
      <w:r w:rsidR="003630BB" w:rsidRPr="009D52FD">
        <w:rPr>
          <w:sz w:val="20"/>
          <w:szCs w:val="20"/>
        </w:rPr>
        <w:t xml:space="preserve"> </w:t>
      </w:r>
      <w:r w:rsidRPr="009D52FD">
        <w:rPr>
          <w:sz w:val="20"/>
          <w:szCs w:val="20"/>
        </w:rPr>
        <w:t>Estudios de Género “Bella Carla Jirón Camacaro”; Escuela de Formación Obrera Priscila López; Observatorio Venezolano de los Derechos Humanos de las Mujeres; Acceso a la Justicia,</w:t>
      </w:r>
      <w:r w:rsidR="003630BB" w:rsidRPr="009D52FD">
        <w:rPr>
          <w:sz w:val="20"/>
          <w:szCs w:val="20"/>
        </w:rPr>
        <w:t xml:space="preserve"> </w:t>
      </w:r>
      <w:r w:rsidR="007520A7" w:rsidRPr="009D52FD">
        <w:rPr>
          <w:sz w:val="20"/>
          <w:szCs w:val="20"/>
        </w:rPr>
        <w:t>and</w:t>
      </w:r>
      <w:r w:rsidR="003630BB" w:rsidRPr="009D52FD">
        <w:rPr>
          <w:sz w:val="20"/>
          <w:szCs w:val="20"/>
        </w:rPr>
        <w:t xml:space="preserve"> </w:t>
      </w:r>
      <w:r w:rsidRPr="009D52FD">
        <w:rPr>
          <w:sz w:val="20"/>
          <w:szCs w:val="20"/>
        </w:rPr>
        <w:t>Centro de Promoción</w:t>
      </w:r>
      <w:r w:rsidR="003630BB" w:rsidRPr="009D52FD">
        <w:rPr>
          <w:sz w:val="20"/>
          <w:szCs w:val="20"/>
        </w:rPr>
        <w:t xml:space="preserve"> </w:t>
      </w:r>
      <w:r w:rsidR="00882202" w:rsidRPr="009D52FD">
        <w:rPr>
          <w:sz w:val="20"/>
          <w:szCs w:val="20"/>
        </w:rPr>
        <w:t>y</w:t>
      </w:r>
      <w:r w:rsidR="003630BB" w:rsidRPr="009D52FD">
        <w:rPr>
          <w:sz w:val="20"/>
          <w:szCs w:val="20"/>
        </w:rPr>
        <w:t xml:space="preserve"> </w:t>
      </w:r>
      <w:r w:rsidRPr="009D52FD">
        <w:rPr>
          <w:sz w:val="20"/>
          <w:szCs w:val="20"/>
        </w:rPr>
        <w:t>Defensa de los Derechos Sexuales</w:t>
      </w:r>
      <w:r w:rsidR="003630BB" w:rsidRPr="009D52FD">
        <w:rPr>
          <w:sz w:val="20"/>
          <w:szCs w:val="20"/>
        </w:rPr>
        <w:t xml:space="preserve"> </w:t>
      </w:r>
      <w:r w:rsidR="0002239A" w:rsidRPr="009D52FD">
        <w:rPr>
          <w:sz w:val="20"/>
          <w:szCs w:val="20"/>
        </w:rPr>
        <w:t>y</w:t>
      </w:r>
      <w:r w:rsidR="003630BB" w:rsidRPr="009D52FD">
        <w:rPr>
          <w:sz w:val="20"/>
          <w:szCs w:val="20"/>
        </w:rPr>
        <w:t xml:space="preserve"> </w:t>
      </w:r>
      <w:r w:rsidRPr="009D52FD">
        <w:rPr>
          <w:sz w:val="20"/>
          <w:szCs w:val="20"/>
        </w:rPr>
        <w:t>Reproductivos (PROMSEX)</w:t>
      </w:r>
      <w:r w:rsidR="0002239A" w:rsidRPr="009D52FD">
        <w:rPr>
          <w:sz w:val="20"/>
          <w:szCs w:val="20"/>
        </w:rPr>
        <w:t>;</w:t>
      </w:r>
      <w:r w:rsidR="00895A63" w:rsidRPr="009D52FD">
        <w:rPr>
          <w:rStyle w:val="FootnoteReference"/>
          <w:sz w:val="20"/>
          <w:szCs w:val="20"/>
          <w:lang w:val="en-US"/>
        </w:rPr>
        <w:footnoteReference w:id="14"/>
      </w:r>
      <w:r w:rsidRPr="009D52FD">
        <w:rPr>
          <w:sz w:val="20"/>
          <w:szCs w:val="20"/>
        </w:rPr>
        <w:t xml:space="preserve"> (2) </w:t>
      </w:r>
      <w:r w:rsidR="0002239A" w:rsidRPr="009D52FD">
        <w:rPr>
          <w:sz w:val="20"/>
          <w:szCs w:val="20"/>
        </w:rPr>
        <w:t xml:space="preserve">the </w:t>
      </w:r>
      <w:proofErr w:type="spellStart"/>
      <w:r w:rsidR="0002239A" w:rsidRPr="009D52FD">
        <w:rPr>
          <w:sz w:val="20"/>
          <w:szCs w:val="20"/>
        </w:rPr>
        <w:t>World</w:t>
      </w:r>
      <w:proofErr w:type="spellEnd"/>
      <w:r w:rsidR="0002239A" w:rsidRPr="009D52FD">
        <w:rPr>
          <w:sz w:val="20"/>
          <w:szCs w:val="20"/>
        </w:rPr>
        <w:t xml:space="preserve"> </w:t>
      </w:r>
      <w:proofErr w:type="spellStart"/>
      <w:r w:rsidR="0002239A" w:rsidRPr="009D52FD">
        <w:rPr>
          <w:sz w:val="20"/>
          <w:szCs w:val="20"/>
        </w:rPr>
        <w:t>Organization</w:t>
      </w:r>
      <w:proofErr w:type="spellEnd"/>
      <w:r w:rsidR="0002239A" w:rsidRPr="009D52FD">
        <w:rPr>
          <w:sz w:val="20"/>
          <w:szCs w:val="20"/>
        </w:rPr>
        <w:t xml:space="preserve"> </w:t>
      </w:r>
      <w:proofErr w:type="spellStart"/>
      <w:r w:rsidR="0002239A" w:rsidRPr="009D52FD">
        <w:rPr>
          <w:sz w:val="20"/>
          <w:szCs w:val="20"/>
        </w:rPr>
        <w:t>against</w:t>
      </w:r>
      <w:proofErr w:type="spellEnd"/>
      <w:r w:rsidR="0002239A" w:rsidRPr="009D52FD">
        <w:rPr>
          <w:sz w:val="20"/>
          <w:szCs w:val="20"/>
        </w:rPr>
        <w:t xml:space="preserve"> Torture </w:t>
      </w:r>
      <w:r w:rsidRPr="009D52FD">
        <w:rPr>
          <w:sz w:val="20"/>
          <w:szCs w:val="20"/>
        </w:rPr>
        <w:t>(OMCT)</w:t>
      </w:r>
      <w:r w:rsidR="003630BB" w:rsidRPr="009D52FD">
        <w:rPr>
          <w:sz w:val="20"/>
          <w:szCs w:val="20"/>
        </w:rPr>
        <w:t xml:space="preserve"> and </w:t>
      </w:r>
      <w:proofErr w:type="spellStart"/>
      <w:r w:rsidRPr="009D52FD">
        <w:rPr>
          <w:sz w:val="20"/>
          <w:szCs w:val="20"/>
        </w:rPr>
        <w:t>Women’s</w:t>
      </w:r>
      <w:proofErr w:type="spellEnd"/>
      <w:r w:rsidRPr="009D52FD">
        <w:rPr>
          <w:sz w:val="20"/>
          <w:szCs w:val="20"/>
        </w:rPr>
        <w:t xml:space="preserve"> Link </w:t>
      </w:r>
      <w:proofErr w:type="spellStart"/>
      <w:r w:rsidRPr="009D52FD">
        <w:rPr>
          <w:sz w:val="20"/>
          <w:szCs w:val="20"/>
        </w:rPr>
        <w:t>Worldwide</w:t>
      </w:r>
      <w:proofErr w:type="spellEnd"/>
      <w:r w:rsidR="0002239A" w:rsidRPr="009D52FD">
        <w:rPr>
          <w:sz w:val="20"/>
          <w:szCs w:val="20"/>
        </w:rPr>
        <w:t>,</w:t>
      </w:r>
      <w:r w:rsidR="00895A63" w:rsidRPr="009D52FD">
        <w:rPr>
          <w:rStyle w:val="FootnoteReference"/>
          <w:sz w:val="20"/>
          <w:szCs w:val="20"/>
          <w:lang w:val="en-US"/>
        </w:rPr>
        <w:footnoteReference w:id="15"/>
      </w:r>
      <w:r w:rsidR="003630BB" w:rsidRPr="009D52FD">
        <w:rPr>
          <w:sz w:val="20"/>
          <w:szCs w:val="20"/>
        </w:rPr>
        <w:t xml:space="preserve"> and </w:t>
      </w:r>
      <w:r w:rsidRPr="009D52FD">
        <w:rPr>
          <w:sz w:val="20"/>
          <w:szCs w:val="20"/>
        </w:rPr>
        <w:t xml:space="preserve">(3) </w:t>
      </w:r>
      <w:r w:rsidR="0002239A" w:rsidRPr="009D52FD">
        <w:rPr>
          <w:sz w:val="20"/>
          <w:szCs w:val="20"/>
        </w:rPr>
        <w:t xml:space="preserve">the </w:t>
      </w:r>
      <w:proofErr w:type="spellStart"/>
      <w:r w:rsidR="0002239A" w:rsidRPr="009D52FD">
        <w:rPr>
          <w:sz w:val="20"/>
          <w:szCs w:val="20"/>
        </w:rPr>
        <w:t>Academy</w:t>
      </w:r>
      <w:proofErr w:type="spellEnd"/>
      <w:r w:rsidR="0002239A" w:rsidRPr="009D52FD">
        <w:rPr>
          <w:sz w:val="20"/>
          <w:szCs w:val="20"/>
        </w:rPr>
        <w:t xml:space="preserve"> </w:t>
      </w:r>
      <w:proofErr w:type="spellStart"/>
      <w:r w:rsidR="0002239A" w:rsidRPr="009D52FD">
        <w:rPr>
          <w:sz w:val="20"/>
          <w:szCs w:val="20"/>
        </w:rPr>
        <w:t>on</w:t>
      </w:r>
      <w:proofErr w:type="spellEnd"/>
      <w:r w:rsidR="0002239A" w:rsidRPr="009D52FD">
        <w:rPr>
          <w:sz w:val="20"/>
          <w:szCs w:val="20"/>
        </w:rPr>
        <w:t xml:space="preserve"> Human Rights and International </w:t>
      </w:r>
      <w:proofErr w:type="spellStart"/>
      <w:r w:rsidR="0002239A" w:rsidRPr="009D52FD">
        <w:rPr>
          <w:sz w:val="20"/>
          <w:szCs w:val="20"/>
        </w:rPr>
        <w:t>Humanitarian</w:t>
      </w:r>
      <w:proofErr w:type="spellEnd"/>
      <w:r w:rsidR="0002239A" w:rsidRPr="009D52FD">
        <w:rPr>
          <w:sz w:val="20"/>
          <w:szCs w:val="20"/>
        </w:rPr>
        <w:t xml:space="preserve"> </w:t>
      </w:r>
      <w:proofErr w:type="spellStart"/>
      <w:r w:rsidR="0002239A" w:rsidRPr="009D52FD">
        <w:rPr>
          <w:sz w:val="20"/>
          <w:szCs w:val="20"/>
        </w:rPr>
        <w:t>Law</w:t>
      </w:r>
      <w:proofErr w:type="spellEnd"/>
      <w:r w:rsidR="0002239A" w:rsidRPr="009D52FD">
        <w:rPr>
          <w:sz w:val="20"/>
          <w:szCs w:val="20"/>
        </w:rPr>
        <w:t xml:space="preserve"> and the </w:t>
      </w:r>
      <w:proofErr w:type="spellStart"/>
      <w:r w:rsidR="000F651D" w:rsidRPr="009D52FD">
        <w:rPr>
          <w:sz w:val="20"/>
          <w:szCs w:val="20"/>
        </w:rPr>
        <w:t>War</w:t>
      </w:r>
      <w:proofErr w:type="spellEnd"/>
      <w:r w:rsidR="000F651D" w:rsidRPr="009D52FD">
        <w:rPr>
          <w:sz w:val="20"/>
          <w:szCs w:val="20"/>
        </w:rPr>
        <w:t xml:space="preserve"> </w:t>
      </w:r>
      <w:proofErr w:type="spellStart"/>
      <w:r w:rsidR="000F651D" w:rsidRPr="009D52FD">
        <w:rPr>
          <w:sz w:val="20"/>
          <w:szCs w:val="20"/>
        </w:rPr>
        <w:t>Crimes</w:t>
      </w:r>
      <w:proofErr w:type="spellEnd"/>
      <w:r w:rsidR="000F651D" w:rsidRPr="009D52FD">
        <w:rPr>
          <w:sz w:val="20"/>
          <w:szCs w:val="20"/>
        </w:rPr>
        <w:t xml:space="preserve"> Research </w:t>
      </w:r>
      <w:r w:rsidR="0002239A" w:rsidRPr="009D52FD">
        <w:rPr>
          <w:sz w:val="20"/>
          <w:szCs w:val="20"/>
        </w:rPr>
        <w:t>Office</w:t>
      </w:r>
      <w:r w:rsidRPr="009D52FD">
        <w:rPr>
          <w:sz w:val="20"/>
          <w:szCs w:val="20"/>
        </w:rPr>
        <w:t xml:space="preserve">, </w:t>
      </w:r>
      <w:proofErr w:type="spellStart"/>
      <w:r w:rsidR="000F651D" w:rsidRPr="009D52FD">
        <w:rPr>
          <w:sz w:val="20"/>
          <w:szCs w:val="20"/>
        </w:rPr>
        <w:t>both</w:t>
      </w:r>
      <w:proofErr w:type="spellEnd"/>
      <w:r w:rsidR="000F651D" w:rsidRPr="009D52FD">
        <w:rPr>
          <w:sz w:val="20"/>
          <w:szCs w:val="20"/>
        </w:rPr>
        <w:t xml:space="preserve"> of</w:t>
      </w:r>
      <w:r w:rsidR="000A01F8" w:rsidRPr="009D52FD">
        <w:rPr>
          <w:sz w:val="20"/>
          <w:szCs w:val="20"/>
        </w:rPr>
        <w:t xml:space="preserve"> Washington </w:t>
      </w:r>
      <w:proofErr w:type="spellStart"/>
      <w:r w:rsidR="000A01F8" w:rsidRPr="009D52FD">
        <w:rPr>
          <w:sz w:val="20"/>
          <w:szCs w:val="20"/>
        </w:rPr>
        <w:t>College</w:t>
      </w:r>
      <w:proofErr w:type="spellEnd"/>
      <w:r w:rsidR="000A01F8" w:rsidRPr="009D52FD">
        <w:rPr>
          <w:sz w:val="20"/>
          <w:szCs w:val="20"/>
        </w:rPr>
        <w:t xml:space="preserve"> of </w:t>
      </w:r>
      <w:proofErr w:type="spellStart"/>
      <w:r w:rsidR="000A01F8" w:rsidRPr="009D52FD">
        <w:rPr>
          <w:sz w:val="20"/>
          <w:szCs w:val="20"/>
        </w:rPr>
        <w:t>Law</w:t>
      </w:r>
      <w:proofErr w:type="spellEnd"/>
      <w:r w:rsidR="000A01F8" w:rsidRPr="009D52FD">
        <w:rPr>
          <w:sz w:val="20"/>
          <w:szCs w:val="20"/>
        </w:rPr>
        <w:t xml:space="preserve"> </w:t>
      </w:r>
      <w:r w:rsidR="000F651D" w:rsidRPr="009D52FD">
        <w:rPr>
          <w:sz w:val="20"/>
          <w:szCs w:val="20"/>
        </w:rPr>
        <w:t>at the</w:t>
      </w:r>
      <w:r w:rsidRPr="009D52FD">
        <w:rPr>
          <w:sz w:val="20"/>
          <w:szCs w:val="20"/>
        </w:rPr>
        <w:t xml:space="preserve"> American </w:t>
      </w:r>
      <w:proofErr w:type="spellStart"/>
      <w:r w:rsidRPr="009D52FD">
        <w:rPr>
          <w:sz w:val="20"/>
          <w:szCs w:val="20"/>
        </w:rPr>
        <w:t>University</w:t>
      </w:r>
      <w:proofErr w:type="spellEnd"/>
      <w:r w:rsidR="000F651D" w:rsidRPr="009D52FD">
        <w:rPr>
          <w:sz w:val="20"/>
          <w:szCs w:val="20"/>
        </w:rPr>
        <w:t>.</w:t>
      </w:r>
      <w:r w:rsidR="007F4157" w:rsidRPr="009D52FD">
        <w:rPr>
          <w:rStyle w:val="FootnoteReference"/>
          <w:sz w:val="20"/>
          <w:szCs w:val="20"/>
          <w:lang w:val="en-US"/>
        </w:rPr>
        <w:footnoteReference w:id="16"/>
      </w:r>
    </w:p>
    <w:p w14:paraId="702196F2" w14:textId="77777777" w:rsidR="00731D3E" w:rsidRPr="009D52FD" w:rsidRDefault="00731D3E" w:rsidP="00731D3E">
      <w:pPr>
        <w:pStyle w:val="ListParagraph"/>
        <w:spacing w:line="240" w:lineRule="auto"/>
        <w:rPr>
          <w:sz w:val="20"/>
          <w:szCs w:val="20"/>
        </w:rPr>
      </w:pPr>
    </w:p>
    <w:p w14:paraId="53A8B77A" w14:textId="19FA2C45" w:rsidR="00731D3E" w:rsidRPr="009D52FD" w:rsidRDefault="006F7462" w:rsidP="00731D3E">
      <w:pPr>
        <w:numPr>
          <w:ilvl w:val="0"/>
          <w:numId w:val="1"/>
        </w:numPr>
        <w:tabs>
          <w:tab w:val="left" w:pos="567"/>
          <w:tab w:val="num" w:pos="1569"/>
          <w:tab w:val="num" w:pos="12305"/>
        </w:tabs>
        <w:spacing w:line="240" w:lineRule="auto"/>
        <w:ind w:left="0" w:firstLine="0"/>
        <w:rPr>
          <w:sz w:val="20"/>
          <w:szCs w:val="20"/>
          <w:lang w:val="en-US"/>
        </w:rPr>
      </w:pPr>
      <w:r w:rsidRPr="009D52FD">
        <w:rPr>
          <w:i/>
          <w:sz w:val="20"/>
          <w:szCs w:val="20"/>
          <w:lang w:val="en-US"/>
        </w:rPr>
        <w:t>Final written arguments and observations</w:t>
      </w:r>
      <w:r w:rsidR="00731D3E" w:rsidRPr="009D52FD">
        <w:rPr>
          <w:i/>
          <w:sz w:val="20"/>
          <w:szCs w:val="20"/>
          <w:lang w:val="en-US"/>
        </w:rPr>
        <w:t xml:space="preserve">. </w:t>
      </w:r>
      <w:r w:rsidRPr="009D52FD">
        <w:rPr>
          <w:sz w:val="20"/>
          <w:szCs w:val="20"/>
          <w:lang w:val="en-US"/>
        </w:rPr>
        <w:t>On March 6,</w:t>
      </w:r>
      <w:r w:rsidR="00731D3E" w:rsidRPr="009D52FD">
        <w:rPr>
          <w:sz w:val="20"/>
          <w:szCs w:val="20"/>
          <w:lang w:val="en-US"/>
        </w:rPr>
        <w:t xml:space="preserve"> 2018</w:t>
      </w:r>
      <w:r w:rsidRPr="009D52FD">
        <w:rPr>
          <w:sz w:val="20"/>
          <w:szCs w:val="20"/>
          <w:lang w:val="en-US"/>
        </w:rPr>
        <w:t>,</w:t>
      </w:r>
      <w:r w:rsidR="00731D3E" w:rsidRPr="009D52FD">
        <w:rPr>
          <w:sz w:val="20"/>
          <w:szCs w:val="20"/>
          <w:lang w:val="en-US"/>
        </w:rPr>
        <w:t xml:space="preserve"> </w:t>
      </w:r>
      <w:r w:rsidR="003630BB" w:rsidRPr="009D52FD">
        <w:rPr>
          <w:sz w:val="20"/>
          <w:szCs w:val="20"/>
          <w:lang w:val="en-US"/>
        </w:rPr>
        <w:t xml:space="preserve">the representatives and the </w:t>
      </w:r>
      <w:r w:rsidR="003630BB" w:rsidRPr="009D52FD">
        <w:rPr>
          <w:sz w:val="20"/>
          <w:szCs w:val="20"/>
          <w:lang w:val="en-US"/>
        </w:rPr>
        <w:lastRenderedPageBreak/>
        <w:t>State</w:t>
      </w:r>
      <w:r w:rsidR="00731D3E" w:rsidRPr="009D52FD">
        <w:rPr>
          <w:sz w:val="20"/>
          <w:szCs w:val="20"/>
          <w:lang w:val="en-US"/>
        </w:rPr>
        <w:t xml:space="preserve"> </w:t>
      </w:r>
      <w:r w:rsidRPr="009D52FD">
        <w:rPr>
          <w:sz w:val="20"/>
          <w:szCs w:val="20"/>
          <w:lang w:val="en-US"/>
        </w:rPr>
        <w:t xml:space="preserve">forwarded their respective final written arguments together with the </w:t>
      </w:r>
      <w:r w:rsidR="007520A7" w:rsidRPr="009D52FD">
        <w:rPr>
          <w:sz w:val="20"/>
          <w:szCs w:val="20"/>
          <w:lang w:val="en-US"/>
        </w:rPr>
        <w:t>corresponding</w:t>
      </w:r>
      <w:r w:rsidRPr="009D52FD">
        <w:rPr>
          <w:sz w:val="20"/>
          <w:szCs w:val="20"/>
          <w:lang w:val="en-US"/>
        </w:rPr>
        <w:t xml:space="preserve"> annexes, </w:t>
      </w:r>
      <w:r w:rsidR="003630BB" w:rsidRPr="009D52FD">
        <w:rPr>
          <w:sz w:val="20"/>
          <w:szCs w:val="20"/>
          <w:lang w:val="en-US"/>
        </w:rPr>
        <w:t>and the Commission</w:t>
      </w:r>
      <w:r w:rsidR="00731D3E" w:rsidRPr="009D52FD">
        <w:rPr>
          <w:sz w:val="20"/>
          <w:szCs w:val="20"/>
          <w:lang w:val="en-US"/>
        </w:rPr>
        <w:t xml:space="preserve"> p</w:t>
      </w:r>
      <w:r w:rsidRPr="009D52FD">
        <w:rPr>
          <w:sz w:val="20"/>
          <w:szCs w:val="20"/>
          <w:lang w:val="en-US"/>
        </w:rPr>
        <w:t>resented its final written observations.</w:t>
      </w:r>
    </w:p>
    <w:p w14:paraId="0A939D03" w14:textId="77777777" w:rsidR="00731D3E" w:rsidRPr="009D52FD" w:rsidRDefault="00731D3E" w:rsidP="00731D3E">
      <w:pPr>
        <w:pStyle w:val="ListParagraph"/>
        <w:spacing w:line="240" w:lineRule="auto"/>
        <w:rPr>
          <w:sz w:val="20"/>
          <w:szCs w:val="20"/>
          <w:lang w:val="en-US"/>
        </w:rPr>
      </w:pPr>
    </w:p>
    <w:p w14:paraId="0B6656E8" w14:textId="375C6039" w:rsidR="006F7462" w:rsidRPr="009D52FD" w:rsidRDefault="006F7462" w:rsidP="00731D3E">
      <w:pPr>
        <w:numPr>
          <w:ilvl w:val="0"/>
          <w:numId w:val="1"/>
        </w:numPr>
        <w:tabs>
          <w:tab w:val="left" w:pos="567"/>
          <w:tab w:val="num" w:pos="1569"/>
          <w:tab w:val="num" w:pos="12305"/>
        </w:tabs>
        <w:spacing w:line="240" w:lineRule="auto"/>
        <w:ind w:left="0" w:firstLine="0"/>
        <w:rPr>
          <w:sz w:val="20"/>
          <w:szCs w:val="20"/>
          <w:lang w:val="en-US"/>
        </w:rPr>
      </w:pPr>
      <w:r w:rsidRPr="009D52FD">
        <w:rPr>
          <w:i/>
          <w:sz w:val="20"/>
          <w:szCs w:val="20"/>
          <w:lang w:val="en-US"/>
        </w:rPr>
        <w:t>Observations of the parties</w:t>
      </w:r>
      <w:r w:rsidR="003630BB" w:rsidRPr="009D52FD">
        <w:rPr>
          <w:i/>
          <w:sz w:val="20"/>
          <w:szCs w:val="20"/>
          <w:lang w:val="en-US"/>
        </w:rPr>
        <w:t xml:space="preserve"> and of the Commission</w:t>
      </w:r>
      <w:r w:rsidR="00731D3E" w:rsidRPr="009D52FD">
        <w:rPr>
          <w:i/>
          <w:sz w:val="20"/>
          <w:szCs w:val="20"/>
          <w:lang w:val="en-US"/>
        </w:rPr>
        <w:t xml:space="preserve">. </w:t>
      </w:r>
      <w:r w:rsidR="003630BB" w:rsidRPr="009D52FD">
        <w:rPr>
          <w:sz w:val="20"/>
          <w:szCs w:val="20"/>
          <w:lang w:val="en-US"/>
        </w:rPr>
        <w:t>The President</w:t>
      </w:r>
      <w:r w:rsidR="00731D3E" w:rsidRPr="009D52FD">
        <w:rPr>
          <w:sz w:val="20"/>
          <w:szCs w:val="20"/>
          <w:lang w:val="en-US"/>
        </w:rPr>
        <w:t xml:space="preserve"> </w:t>
      </w:r>
      <w:r w:rsidRPr="009D52FD">
        <w:rPr>
          <w:sz w:val="20"/>
          <w:szCs w:val="20"/>
          <w:lang w:val="en-US"/>
        </w:rPr>
        <w:t xml:space="preserve">granted the State </w:t>
      </w:r>
      <w:r w:rsidR="003630BB" w:rsidRPr="009D52FD">
        <w:rPr>
          <w:sz w:val="20"/>
          <w:szCs w:val="20"/>
          <w:lang w:val="en-US"/>
        </w:rPr>
        <w:t>and</w:t>
      </w:r>
      <w:r w:rsidR="00731D3E" w:rsidRPr="009D52FD">
        <w:rPr>
          <w:sz w:val="20"/>
          <w:szCs w:val="20"/>
          <w:lang w:val="en-US"/>
        </w:rPr>
        <w:t xml:space="preserve"> </w:t>
      </w:r>
      <w:r w:rsidR="003630BB" w:rsidRPr="009D52FD">
        <w:rPr>
          <w:sz w:val="20"/>
          <w:szCs w:val="20"/>
          <w:lang w:val="en-US"/>
        </w:rPr>
        <w:t>the Commission</w:t>
      </w:r>
      <w:r w:rsidR="00731D3E" w:rsidRPr="009D52FD">
        <w:rPr>
          <w:sz w:val="20"/>
          <w:szCs w:val="20"/>
          <w:lang w:val="en-US"/>
        </w:rPr>
        <w:t xml:space="preserve"> </w:t>
      </w:r>
      <w:r w:rsidRPr="009D52FD">
        <w:rPr>
          <w:sz w:val="20"/>
          <w:szCs w:val="20"/>
          <w:lang w:val="en-US"/>
        </w:rPr>
        <w:t xml:space="preserve">a time frame for presenting any observations they deemed </w:t>
      </w:r>
      <w:r w:rsidR="00882202" w:rsidRPr="009D52FD">
        <w:rPr>
          <w:sz w:val="20"/>
          <w:szCs w:val="20"/>
          <w:lang w:val="en-US"/>
        </w:rPr>
        <w:t>pertinent</w:t>
      </w:r>
      <w:r w:rsidRPr="009D52FD">
        <w:rPr>
          <w:sz w:val="20"/>
          <w:szCs w:val="20"/>
          <w:lang w:val="en-US"/>
        </w:rPr>
        <w:t xml:space="preserve"> on the annexes </w:t>
      </w:r>
      <w:r w:rsidR="007F4CC9" w:rsidRPr="009D52FD">
        <w:rPr>
          <w:sz w:val="20"/>
          <w:szCs w:val="20"/>
          <w:lang w:val="en-US"/>
        </w:rPr>
        <w:t>to</w:t>
      </w:r>
      <w:r w:rsidRPr="009D52FD">
        <w:rPr>
          <w:sz w:val="20"/>
          <w:szCs w:val="20"/>
          <w:lang w:val="en-US"/>
        </w:rPr>
        <w:t xml:space="preserve"> </w:t>
      </w:r>
      <w:r w:rsidR="003630BB" w:rsidRPr="009D52FD">
        <w:rPr>
          <w:sz w:val="20"/>
          <w:szCs w:val="20"/>
          <w:lang w:val="en-US"/>
        </w:rPr>
        <w:t>the representatives</w:t>
      </w:r>
      <w:r w:rsidR="007F4CC9" w:rsidRPr="009D52FD">
        <w:rPr>
          <w:sz w:val="20"/>
          <w:szCs w:val="20"/>
          <w:lang w:val="en-US"/>
        </w:rPr>
        <w:t xml:space="preserve">’ </w:t>
      </w:r>
      <w:r w:rsidRPr="009D52FD">
        <w:rPr>
          <w:sz w:val="20"/>
          <w:szCs w:val="20"/>
          <w:lang w:val="en-US"/>
        </w:rPr>
        <w:t>final written arguments. On April 6, 2018, the State asked the Court to declare</w:t>
      </w:r>
      <w:r w:rsidR="007F4CC9" w:rsidRPr="009D52FD">
        <w:rPr>
          <w:sz w:val="20"/>
          <w:szCs w:val="20"/>
          <w:lang w:val="en-US"/>
        </w:rPr>
        <w:t xml:space="preserve"> these annexes</w:t>
      </w:r>
      <w:r w:rsidRPr="009D52FD">
        <w:rPr>
          <w:sz w:val="20"/>
          <w:szCs w:val="20"/>
          <w:lang w:val="en-US"/>
        </w:rPr>
        <w:t xml:space="preserve"> inadmissible. The Commission did not present observations.</w:t>
      </w:r>
    </w:p>
    <w:p w14:paraId="50CC6349" w14:textId="77777777" w:rsidR="00731D3E" w:rsidRPr="009D52FD" w:rsidRDefault="00731D3E" w:rsidP="00731D3E">
      <w:pPr>
        <w:pStyle w:val="ListParagraph"/>
        <w:spacing w:line="240" w:lineRule="auto"/>
        <w:rPr>
          <w:sz w:val="20"/>
          <w:szCs w:val="20"/>
          <w:lang w:val="en-US"/>
        </w:rPr>
      </w:pPr>
    </w:p>
    <w:p w14:paraId="4C09B4FF" w14:textId="53687144" w:rsidR="00731D3E" w:rsidRPr="009D52FD" w:rsidRDefault="006F7462" w:rsidP="006F7462">
      <w:pPr>
        <w:numPr>
          <w:ilvl w:val="0"/>
          <w:numId w:val="1"/>
        </w:numPr>
        <w:tabs>
          <w:tab w:val="left" w:pos="567"/>
          <w:tab w:val="num" w:pos="1569"/>
          <w:tab w:val="num" w:pos="12305"/>
        </w:tabs>
        <w:spacing w:line="240" w:lineRule="auto"/>
        <w:ind w:left="0" w:firstLine="0"/>
        <w:rPr>
          <w:sz w:val="20"/>
          <w:szCs w:val="20"/>
          <w:lang w:val="en-US"/>
        </w:rPr>
      </w:pPr>
      <w:r w:rsidRPr="009D52FD">
        <w:rPr>
          <w:i/>
          <w:sz w:val="20"/>
          <w:szCs w:val="20"/>
          <w:lang w:val="en-US"/>
        </w:rPr>
        <w:t>Disbursements in application of the Legal Assistance Fund</w:t>
      </w:r>
      <w:r w:rsidR="00731D3E" w:rsidRPr="009D52FD">
        <w:rPr>
          <w:i/>
          <w:sz w:val="20"/>
          <w:szCs w:val="20"/>
          <w:lang w:val="en-US"/>
        </w:rPr>
        <w:t xml:space="preserve">. </w:t>
      </w:r>
      <w:r w:rsidRPr="009D52FD">
        <w:rPr>
          <w:sz w:val="20"/>
          <w:szCs w:val="20"/>
          <w:lang w:val="en-US"/>
        </w:rPr>
        <w:t>On March 20,</w:t>
      </w:r>
      <w:r w:rsidR="00731D3E" w:rsidRPr="009D52FD">
        <w:rPr>
          <w:sz w:val="20"/>
          <w:szCs w:val="20"/>
          <w:lang w:val="en-US"/>
        </w:rPr>
        <w:t xml:space="preserve"> 2018</w:t>
      </w:r>
      <w:r w:rsidRPr="009D52FD">
        <w:rPr>
          <w:sz w:val="20"/>
          <w:szCs w:val="20"/>
          <w:lang w:val="en-US"/>
        </w:rPr>
        <w:t>, the</w:t>
      </w:r>
      <w:r w:rsidR="00731D3E" w:rsidRPr="009D52FD">
        <w:rPr>
          <w:sz w:val="20"/>
          <w:szCs w:val="20"/>
          <w:lang w:val="en-US"/>
        </w:rPr>
        <w:t xml:space="preserve"> </w:t>
      </w:r>
      <w:r w:rsidR="003630BB" w:rsidRPr="009D52FD">
        <w:rPr>
          <w:sz w:val="20"/>
          <w:szCs w:val="20"/>
          <w:lang w:val="en-US"/>
        </w:rPr>
        <w:t>Secretariat</w:t>
      </w:r>
      <w:r w:rsidR="00731D3E" w:rsidRPr="009D52FD">
        <w:rPr>
          <w:sz w:val="20"/>
          <w:szCs w:val="20"/>
          <w:lang w:val="en-US"/>
        </w:rPr>
        <w:t xml:space="preserve">, </w:t>
      </w:r>
      <w:r w:rsidRPr="009D52FD">
        <w:rPr>
          <w:sz w:val="20"/>
          <w:szCs w:val="20"/>
          <w:lang w:val="en-US"/>
        </w:rPr>
        <w:t>on the instructions</w:t>
      </w:r>
      <w:r w:rsidR="003630BB" w:rsidRPr="009D52FD">
        <w:rPr>
          <w:sz w:val="20"/>
          <w:szCs w:val="20"/>
          <w:lang w:val="en-US"/>
        </w:rPr>
        <w:t xml:space="preserve"> of the President of the Court</w:t>
      </w:r>
      <w:r w:rsidR="00731D3E" w:rsidRPr="009D52FD">
        <w:rPr>
          <w:sz w:val="20"/>
          <w:szCs w:val="20"/>
          <w:lang w:val="en-US"/>
        </w:rPr>
        <w:t xml:space="preserve">, </w:t>
      </w:r>
      <w:r w:rsidRPr="009D52FD">
        <w:rPr>
          <w:sz w:val="20"/>
          <w:szCs w:val="20"/>
          <w:lang w:val="en-US"/>
        </w:rPr>
        <w:t xml:space="preserve">forwarded the State information on the disbursements made in application of the </w:t>
      </w:r>
      <w:r w:rsidR="00325A95" w:rsidRPr="009D52FD">
        <w:rPr>
          <w:sz w:val="20"/>
          <w:szCs w:val="20"/>
          <w:lang w:val="en-US"/>
        </w:rPr>
        <w:t>Victims’ Legal Assistance Fund</w:t>
      </w:r>
      <w:r w:rsidR="00731D3E" w:rsidRPr="009D52FD">
        <w:rPr>
          <w:sz w:val="20"/>
          <w:szCs w:val="20"/>
          <w:lang w:val="en-US"/>
        </w:rPr>
        <w:t xml:space="preserve"> </w:t>
      </w:r>
      <w:r w:rsidRPr="009D52FD">
        <w:rPr>
          <w:sz w:val="20"/>
          <w:szCs w:val="20"/>
          <w:lang w:val="en-US"/>
        </w:rPr>
        <w:t xml:space="preserve">in this case and, as established in </w:t>
      </w:r>
      <w:r w:rsidR="007F4CC9" w:rsidRPr="009D52FD">
        <w:rPr>
          <w:sz w:val="20"/>
          <w:szCs w:val="20"/>
          <w:lang w:val="en-US"/>
        </w:rPr>
        <w:t>a</w:t>
      </w:r>
      <w:r w:rsidR="003630BB" w:rsidRPr="009D52FD">
        <w:rPr>
          <w:sz w:val="20"/>
          <w:szCs w:val="20"/>
          <w:lang w:val="en-US"/>
        </w:rPr>
        <w:t>rticle</w:t>
      </w:r>
      <w:r w:rsidR="00731D3E" w:rsidRPr="009D52FD">
        <w:rPr>
          <w:sz w:val="20"/>
          <w:szCs w:val="20"/>
          <w:lang w:val="en-US"/>
        </w:rPr>
        <w:t xml:space="preserve"> 5</w:t>
      </w:r>
      <w:r w:rsidR="003630BB" w:rsidRPr="009D52FD">
        <w:rPr>
          <w:sz w:val="20"/>
          <w:szCs w:val="20"/>
          <w:lang w:val="en-US"/>
        </w:rPr>
        <w:t xml:space="preserve"> of the Rules </w:t>
      </w:r>
      <w:r w:rsidRPr="009D52FD">
        <w:rPr>
          <w:sz w:val="20"/>
          <w:szCs w:val="20"/>
          <w:lang w:val="en-US"/>
        </w:rPr>
        <w:t xml:space="preserve">for the Operation of this Fund, granted it a time frame for presenting any observations it deemed pertinent. The State presented its observations on April 6, </w:t>
      </w:r>
      <w:r w:rsidR="00731D3E" w:rsidRPr="009D52FD">
        <w:rPr>
          <w:sz w:val="20"/>
          <w:szCs w:val="20"/>
          <w:lang w:val="en-US"/>
        </w:rPr>
        <w:t>2018.</w:t>
      </w:r>
    </w:p>
    <w:p w14:paraId="2B716D6F" w14:textId="77777777" w:rsidR="00731D3E" w:rsidRPr="009D52FD" w:rsidRDefault="00731D3E" w:rsidP="00731D3E">
      <w:pPr>
        <w:pStyle w:val="ListParagraph"/>
        <w:spacing w:line="240" w:lineRule="auto"/>
        <w:rPr>
          <w:sz w:val="20"/>
          <w:szCs w:val="20"/>
          <w:lang w:val="en-US"/>
        </w:rPr>
      </w:pPr>
    </w:p>
    <w:p w14:paraId="40D30F97" w14:textId="2CF55B8F" w:rsidR="006F7462" w:rsidRPr="009D52FD" w:rsidRDefault="006F7462" w:rsidP="00731D3E">
      <w:pPr>
        <w:numPr>
          <w:ilvl w:val="0"/>
          <w:numId w:val="1"/>
        </w:numPr>
        <w:tabs>
          <w:tab w:val="left" w:pos="567"/>
          <w:tab w:val="num" w:pos="1569"/>
          <w:tab w:val="num" w:pos="12305"/>
        </w:tabs>
        <w:spacing w:line="240" w:lineRule="auto"/>
        <w:ind w:left="0" w:firstLine="0"/>
        <w:rPr>
          <w:sz w:val="20"/>
          <w:szCs w:val="20"/>
          <w:lang w:val="en-US"/>
        </w:rPr>
      </w:pPr>
      <w:r w:rsidRPr="009D52FD">
        <w:rPr>
          <w:i/>
          <w:sz w:val="20"/>
          <w:szCs w:val="20"/>
          <w:lang w:val="en-US"/>
        </w:rPr>
        <w:t>Helpful evidence</w:t>
      </w:r>
      <w:r w:rsidR="00731D3E" w:rsidRPr="009D52FD">
        <w:rPr>
          <w:i/>
          <w:sz w:val="20"/>
          <w:szCs w:val="20"/>
          <w:lang w:val="en-US"/>
        </w:rPr>
        <w:t>.</w:t>
      </w:r>
      <w:r w:rsidR="00731D3E" w:rsidRPr="009D52FD">
        <w:rPr>
          <w:sz w:val="20"/>
          <w:szCs w:val="20"/>
          <w:lang w:val="en-US"/>
        </w:rPr>
        <w:t xml:space="preserve"> </w:t>
      </w:r>
      <w:r w:rsidRPr="009D52FD">
        <w:rPr>
          <w:sz w:val="20"/>
          <w:szCs w:val="20"/>
          <w:lang w:val="en-US"/>
        </w:rPr>
        <w:t xml:space="preserve">The State was again asked to forward the helpful evidence requested during the public hearing in this case. </w:t>
      </w:r>
      <w:r w:rsidR="00731D3E" w:rsidRPr="009D52FD">
        <w:rPr>
          <w:sz w:val="20"/>
          <w:szCs w:val="20"/>
          <w:lang w:val="en-US"/>
        </w:rPr>
        <w:t xml:space="preserve"> </w:t>
      </w:r>
      <w:r w:rsidRPr="009D52FD">
        <w:rPr>
          <w:sz w:val="20"/>
          <w:szCs w:val="20"/>
          <w:lang w:val="en-US"/>
        </w:rPr>
        <w:t xml:space="preserve">On April 6, 2018, the State indicated that the documents </w:t>
      </w:r>
      <w:r w:rsidR="007F4CC9" w:rsidRPr="009D52FD">
        <w:rPr>
          <w:sz w:val="20"/>
          <w:szCs w:val="20"/>
          <w:lang w:val="en-US"/>
        </w:rPr>
        <w:t xml:space="preserve">requested </w:t>
      </w:r>
      <w:r w:rsidRPr="009D52FD">
        <w:rPr>
          <w:sz w:val="20"/>
          <w:szCs w:val="20"/>
          <w:lang w:val="en-US"/>
        </w:rPr>
        <w:t>were not available. However, it forwarded the “2001 Annual Report of the Ministry of the Interior and Justice, on the work of the Scientific, Criminal and Criminalistic Investigations Unit.” The State also failed to forward a copy of the complaint filed by Ana Secilia López Soto owing to death threats, or of any other complaint that she might have filed in a police station or other agency.</w:t>
      </w:r>
    </w:p>
    <w:p w14:paraId="001230F2" w14:textId="02DAC7D4" w:rsidR="00731D3E" w:rsidRPr="009D52FD" w:rsidRDefault="00731D3E" w:rsidP="00731D3E">
      <w:pPr>
        <w:pStyle w:val="ListParagraph"/>
        <w:spacing w:line="240" w:lineRule="auto"/>
        <w:ind w:left="0"/>
        <w:rPr>
          <w:sz w:val="20"/>
          <w:szCs w:val="20"/>
          <w:lang w:val="en-US"/>
        </w:rPr>
      </w:pPr>
    </w:p>
    <w:p w14:paraId="54EC5EEC" w14:textId="1CDFA05F" w:rsidR="00731D3E" w:rsidRPr="009D52FD" w:rsidRDefault="00731D3E" w:rsidP="00731D3E">
      <w:pPr>
        <w:numPr>
          <w:ilvl w:val="0"/>
          <w:numId w:val="1"/>
        </w:numPr>
        <w:tabs>
          <w:tab w:val="left" w:pos="567"/>
          <w:tab w:val="num" w:pos="1569"/>
          <w:tab w:val="num" w:pos="12305"/>
        </w:tabs>
        <w:spacing w:line="240" w:lineRule="auto"/>
        <w:ind w:left="0" w:firstLine="0"/>
        <w:rPr>
          <w:sz w:val="20"/>
          <w:szCs w:val="20"/>
          <w:lang w:val="en-US"/>
        </w:rPr>
      </w:pPr>
      <w:r w:rsidRPr="009D52FD">
        <w:rPr>
          <w:i/>
          <w:sz w:val="20"/>
          <w:szCs w:val="20"/>
          <w:lang w:val="en-US"/>
        </w:rPr>
        <w:t>Delibera</w:t>
      </w:r>
      <w:r w:rsidR="002206DD" w:rsidRPr="009D52FD">
        <w:rPr>
          <w:i/>
          <w:sz w:val="20"/>
          <w:szCs w:val="20"/>
          <w:lang w:val="en-US"/>
        </w:rPr>
        <w:t>tion of this case</w:t>
      </w:r>
      <w:r w:rsidRPr="009D52FD">
        <w:rPr>
          <w:i/>
          <w:sz w:val="20"/>
          <w:szCs w:val="20"/>
          <w:lang w:val="en-US"/>
        </w:rPr>
        <w:t xml:space="preserve">. </w:t>
      </w:r>
      <w:r w:rsidR="002206DD" w:rsidRPr="009D52FD">
        <w:rPr>
          <w:sz w:val="20"/>
          <w:szCs w:val="20"/>
          <w:lang w:val="en-US"/>
        </w:rPr>
        <w:t>T</w:t>
      </w:r>
      <w:r w:rsidR="003630BB" w:rsidRPr="009D52FD">
        <w:rPr>
          <w:sz w:val="20"/>
          <w:szCs w:val="20"/>
          <w:lang w:val="en-US"/>
        </w:rPr>
        <w:t>he Court</w:t>
      </w:r>
      <w:r w:rsidRPr="009D52FD">
        <w:rPr>
          <w:sz w:val="20"/>
          <w:szCs w:val="20"/>
          <w:lang w:val="en-US"/>
        </w:rPr>
        <w:t xml:space="preserve"> </w:t>
      </w:r>
      <w:r w:rsidR="002206DD" w:rsidRPr="009D52FD">
        <w:rPr>
          <w:sz w:val="20"/>
          <w:szCs w:val="20"/>
          <w:lang w:val="en-US"/>
        </w:rPr>
        <w:t>began to deliberate</w:t>
      </w:r>
      <w:r w:rsidR="00EB0EB6" w:rsidRPr="009D52FD">
        <w:rPr>
          <w:sz w:val="20"/>
          <w:szCs w:val="20"/>
          <w:lang w:val="en-US"/>
        </w:rPr>
        <w:t xml:space="preserve"> this judgment</w:t>
      </w:r>
      <w:r w:rsidRPr="009D52FD">
        <w:rPr>
          <w:sz w:val="20"/>
          <w:szCs w:val="20"/>
          <w:lang w:val="en-US"/>
        </w:rPr>
        <w:t xml:space="preserve"> </w:t>
      </w:r>
      <w:r w:rsidR="002206DD" w:rsidRPr="009D52FD">
        <w:rPr>
          <w:sz w:val="20"/>
          <w:szCs w:val="20"/>
          <w:lang w:val="en-US"/>
        </w:rPr>
        <w:t>on September 26,</w:t>
      </w:r>
      <w:r w:rsidRPr="009D52FD">
        <w:rPr>
          <w:sz w:val="20"/>
          <w:szCs w:val="20"/>
          <w:lang w:val="en-US"/>
        </w:rPr>
        <w:t xml:space="preserve"> 2018.</w:t>
      </w:r>
    </w:p>
    <w:p w14:paraId="0B02679E" w14:textId="77777777" w:rsidR="00731D3E" w:rsidRPr="009D52FD" w:rsidRDefault="00731D3E" w:rsidP="00731D3E">
      <w:pPr>
        <w:spacing w:line="240" w:lineRule="auto"/>
        <w:rPr>
          <w:sz w:val="20"/>
          <w:szCs w:val="20"/>
          <w:lang w:val="en-US"/>
        </w:rPr>
      </w:pPr>
    </w:p>
    <w:p w14:paraId="764DDE61" w14:textId="0ABE653E" w:rsidR="00731D3E" w:rsidRPr="009D52FD" w:rsidRDefault="00731D3E" w:rsidP="00731D3E">
      <w:pPr>
        <w:keepNext/>
        <w:keepLines/>
        <w:tabs>
          <w:tab w:val="left" w:pos="851"/>
        </w:tabs>
        <w:spacing w:line="240" w:lineRule="auto"/>
        <w:jc w:val="center"/>
        <w:outlineLvl w:val="0"/>
        <w:rPr>
          <w:rFonts w:cs="Verdana"/>
          <w:b/>
          <w:bCs/>
          <w:caps/>
          <w:snapToGrid w:val="0"/>
          <w:sz w:val="20"/>
          <w:szCs w:val="20"/>
          <w:lang w:val="en-US"/>
        </w:rPr>
      </w:pPr>
      <w:bookmarkStart w:id="2" w:name="_Toc51400062"/>
      <w:r w:rsidRPr="009D52FD">
        <w:rPr>
          <w:rFonts w:cs="Verdana"/>
          <w:b/>
          <w:bCs/>
          <w:caps/>
          <w:snapToGrid w:val="0"/>
          <w:sz w:val="20"/>
          <w:szCs w:val="20"/>
          <w:lang w:val="en-US"/>
        </w:rPr>
        <w:t>III</w:t>
      </w:r>
      <w:r w:rsidRPr="009D52FD">
        <w:rPr>
          <w:rFonts w:cs="Verdana"/>
          <w:b/>
          <w:bCs/>
          <w:caps/>
          <w:snapToGrid w:val="0"/>
          <w:sz w:val="20"/>
          <w:szCs w:val="20"/>
          <w:lang w:val="en-US"/>
        </w:rPr>
        <w:br/>
      </w:r>
      <w:r w:rsidR="00315BAF" w:rsidRPr="009D52FD">
        <w:rPr>
          <w:rFonts w:cs="Verdana"/>
          <w:b/>
          <w:bCs/>
          <w:caps/>
          <w:snapToGrid w:val="0"/>
          <w:sz w:val="20"/>
          <w:szCs w:val="20"/>
          <w:lang w:val="en-US"/>
        </w:rPr>
        <w:t>JURISDICTION</w:t>
      </w:r>
      <w:bookmarkEnd w:id="2"/>
    </w:p>
    <w:p w14:paraId="2459221B" w14:textId="77777777" w:rsidR="00731D3E" w:rsidRPr="009D52FD" w:rsidRDefault="00731D3E" w:rsidP="00731D3E">
      <w:pPr>
        <w:spacing w:line="240" w:lineRule="auto"/>
        <w:rPr>
          <w:b/>
          <w:sz w:val="20"/>
          <w:szCs w:val="20"/>
          <w:lang w:val="en-US"/>
        </w:rPr>
      </w:pPr>
    </w:p>
    <w:p w14:paraId="0A7E2AD2" w14:textId="3C86CD05" w:rsidR="00731D3E" w:rsidRPr="009D52FD" w:rsidRDefault="00731D3E" w:rsidP="005B6C50">
      <w:pPr>
        <w:numPr>
          <w:ilvl w:val="0"/>
          <w:numId w:val="1"/>
        </w:numPr>
        <w:tabs>
          <w:tab w:val="left" w:pos="567"/>
          <w:tab w:val="num" w:pos="1569"/>
          <w:tab w:val="num" w:pos="12305"/>
        </w:tabs>
        <w:spacing w:line="240" w:lineRule="auto"/>
        <w:ind w:left="0" w:firstLine="0"/>
        <w:rPr>
          <w:sz w:val="20"/>
          <w:szCs w:val="20"/>
          <w:lang w:val="en-US"/>
        </w:rPr>
      </w:pPr>
      <w:r w:rsidRPr="009D52FD">
        <w:rPr>
          <w:sz w:val="20"/>
          <w:szCs w:val="20"/>
          <w:lang w:val="en-US"/>
        </w:rPr>
        <w:t xml:space="preserve">Venezuela </w:t>
      </w:r>
      <w:r w:rsidR="005B6C50" w:rsidRPr="009D52FD">
        <w:rPr>
          <w:sz w:val="20"/>
          <w:szCs w:val="20"/>
          <w:lang w:val="en-US"/>
        </w:rPr>
        <w:t xml:space="preserve">has been a State </w:t>
      </w:r>
      <w:r w:rsidR="00C64263" w:rsidRPr="009D52FD">
        <w:rPr>
          <w:sz w:val="20"/>
          <w:szCs w:val="20"/>
          <w:lang w:val="en-US"/>
        </w:rPr>
        <w:t>P</w:t>
      </w:r>
      <w:r w:rsidR="005B6C50" w:rsidRPr="009D52FD">
        <w:rPr>
          <w:sz w:val="20"/>
          <w:szCs w:val="20"/>
          <w:lang w:val="en-US"/>
        </w:rPr>
        <w:t xml:space="preserve">arty to </w:t>
      </w:r>
      <w:r w:rsidR="003630BB" w:rsidRPr="009D52FD">
        <w:rPr>
          <w:sz w:val="20"/>
          <w:szCs w:val="20"/>
          <w:lang w:val="en-US"/>
        </w:rPr>
        <w:t>the American Convention</w:t>
      </w:r>
      <w:r w:rsidRPr="009D52FD">
        <w:rPr>
          <w:sz w:val="20"/>
          <w:szCs w:val="20"/>
          <w:lang w:val="en-US"/>
        </w:rPr>
        <w:t xml:space="preserve"> </w:t>
      </w:r>
      <w:r w:rsidR="005B6C50" w:rsidRPr="009D52FD">
        <w:rPr>
          <w:sz w:val="20"/>
          <w:szCs w:val="20"/>
          <w:lang w:val="en-US"/>
        </w:rPr>
        <w:t>since August 9,</w:t>
      </w:r>
      <w:r w:rsidRPr="009D52FD">
        <w:rPr>
          <w:sz w:val="20"/>
          <w:szCs w:val="20"/>
          <w:lang w:val="en-US"/>
        </w:rPr>
        <w:t xml:space="preserve"> 1977</w:t>
      </w:r>
      <w:r w:rsidR="005B6C50" w:rsidRPr="009D52FD">
        <w:rPr>
          <w:sz w:val="20"/>
          <w:szCs w:val="20"/>
          <w:lang w:val="en-US"/>
        </w:rPr>
        <w:t>,</w:t>
      </w:r>
      <w:r w:rsidR="003630BB" w:rsidRPr="009D52FD">
        <w:rPr>
          <w:sz w:val="20"/>
          <w:szCs w:val="20"/>
          <w:lang w:val="en-US"/>
        </w:rPr>
        <w:t xml:space="preserve"> and </w:t>
      </w:r>
      <w:r w:rsidR="005B6C50" w:rsidRPr="009D52FD">
        <w:rPr>
          <w:sz w:val="20"/>
          <w:szCs w:val="20"/>
          <w:lang w:val="en-US"/>
        </w:rPr>
        <w:t xml:space="preserve">accepted the contentious jurisdiction of the Court on June 24, 1981. Subsequently, on September 10, 2012, the State denounced </w:t>
      </w:r>
      <w:r w:rsidR="003630BB" w:rsidRPr="009D52FD">
        <w:rPr>
          <w:spacing w:val="-2"/>
          <w:sz w:val="20"/>
          <w:lang w:val="en-US"/>
        </w:rPr>
        <w:t>the American Convention</w:t>
      </w:r>
      <w:r w:rsidR="0082736D" w:rsidRPr="009D52FD">
        <w:rPr>
          <w:spacing w:val="-2"/>
          <w:sz w:val="20"/>
          <w:lang w:val="en-US"/>
        </w:rPr>
        <w:t xml:space="preserve">. </w:t>
      </w:r>
      <w:r w:rsidR="005B6C50" w:rsidRPr="009D52FD">
        <w:rPr>
          <w:spacing w:val="-2"/>
          <w:sz w:val="20"/>
          <w:lang w:val="en-US"/>
        </w:rPr>
        <w:t>The denunciation took effect on September 10, 2013, According to</w:t>
      </w:r>
      <w:r w:rsidR="0082736D" w:rsidRPr="009D52FD">
        <w:rPr>
          <w:spacing w:val="-2"/>
          <w:sz w:val="20"/>
          <w:lang w:val="en-US"/>
        </w:rPr>
        <w:t xml:space="preserve"> </w:t>
      </w:r>
      <w:r w:rsidR="003630BB" w:rsidRPr="009D52FD">
        <w:rPr>
          <w:spacing w:val="-2"/>
          <w:sz w:val="20"/>
          <w:lang w:val="en-US"/>
        </w:rPr>
        <w:t>Article</w:t>
      </w:r>
      <w:r w:rsidR="0082736D" w:rsidRPr="009D52FD">
        <w:rPr>
          <w:spacing w:val="-2"/>
          <w:sz w:val="20"/>
          <w:lang w:val="en-US"/>
        </w:rPr>
        <w:t xml:space="preserve"> 78</w:t>
      </w:r>
      <w:r w:rsidR="005B6C50" w:rsidRPr="009D52FD">
        <w:rPr>
          <w:spacing w:val="-2"/>
          <w:sz w:val="20"/>
          <w:lang w:val="en-US"/>
        </w:rPr>
        <w:t>(</w:t>
      </w:r>
      <w:r w:rsidR="0082736D" w:rsidRPr="009D52FD">
        <w:rPr>
          <w:spacing w:val="-2"/>
          <w:sz w:val="20"/>
          <w:lang w:val="en-US"/>
        </w:rPr>
        <w:t>2</w:t>
      </w:r>
      <w:r w:rsidR="005B6C50" w:rsidRPr="009D52FD">
        <w:rPr>
          <w:spacing w:val="-2"/>
          <w:sz w:val="20"/>
          <w:lang w:val="en-US"/>
        </w:rPr>
        <w:t>)</w:t>
      </w:r>
      <w:r w:rsidR="003630BB" w:rsidRPr="009D52FD">
        <w:rPr>
          <w:spacing w:val="-2"/>
          <w:sz w:val="20"/>
          <w:lang w:val="en-US"/>
        </w:rPr>
        <w:t xml:space="preserve"> of the Convention</w:t>
      </w:r>
      <w:r w:rsidR="005B6C50" w:rsidRPr="009D52FD">
        <w:rPr>
          <w:spacing w:val="-2"/>
          <w:sz w:val="20"/>
          <w:lang w:val="en-US"/>
        </w:rPr>
        <w:t>,</w:t>
      </w:r>
      <w:r w:rsidR="0082736D" w:rsidRPr="009D52FD">
        <w:rPr>
          <w:rStyle w:val="FootnoteReference"/>
          <w:spacing w:val="-6"/>
          <w:sz w:val="20"/>
          <w:shd w:val="clear" w:color="auto" w:fill="FFFFFF"/>
          <w:lang w:val="en-US"/>
        </w:rPr>
        <w:footnoteReference w:id="17"/>
      </w:r>
      <w:r w:rsidR="0082736D" w:rsidRPr="009D52FD">
        <w:rPr>
          <w:spacing w:val="-2"/>
          <w:sz w:val="20"/>
          <w:lang w:val="en-US"/>
        </w:rPr>
        <w:t xml:space="preserve"> </w:t>
      </w:r>
      <w:r w:rsidR="003630BB" w:rsidRPr="009D52FD">
        <w:rPr>
          <w:spacing w:val="-2"/>
          <w:sz w:val="20"/>
          <w:lang w:val="en-US"/>
        </w:rPr>
        <w:t>the Court</w:t>
      </w:r>
      <w:r w:rsidR="0082736D" w:rsidRPr="009D52FD">
        <w:rPr>
          <w:spacing w:val="-2"/>
          <w:sz w:val="20"/>
          <w:lang w:val="en-US"/>
        </w:rPr>
        <w:t xml:space="preserve"> </w:t>
      </w:r>
      <w:r w:rsidR="005B6C50" w:rsidRPr="009D52FD">
        <w:rPr>
          <w:spacing w:val="-2"/>
          <w:sz w:val="20"/>
          <w:lang w:val="en-US"/>
        </w:rPr>
        <w:t xml:space="preserve">has jurisdiction to examine this case, taking into account that the facts examined occurred prior to the </w:t>
      </w:r>
      <w:r w:rsidR="00C64263" w:rsidRPr="009D52FD">
        <w:rPr>
          <w:spacing w:val="-2"/>
          <w:sz w:val="20"/>
          <w:lang w:val="en-US"/>
        </w:rPr>
        <w:t>date on</w:t>
      </w:r>
      <w:r w:rsidR="005B6C50" w:rsidRPr="009D52FD">
        <w:rPr>
          <w:spacing w:val="-2"/>
          <w:sz w:val="20"/>
          <w:lang w:val="en-US"/>
        </w:rPr>
        <w:t xml:space="preserve"> which the denunciation of </w:t>
      </w:r>
      <w:r w:rsidR="003630BB" w:rsidRPr="009D52FD">
        <w:rPr>
          <w:spacing w:val="-2"/>
          <w:sz w:val="20"/>
          <w:lang w:val="en-US"/>
        </w:rPr>
        <w:t>the Convention</w:t>
      </w:r>
      <w:r w:rsidR="0082736D" w:rsidRPr="009D52FD">
        <w:rPr>
          <w:spacing w:val="-2"/>
          <w:sz w:val="20"/>
          <w:lang w:val="en-US"/>
        </w:rPr>
        <w:t xml:space="preserve"> </w:t>
      </w:r>
      <w:r w:rsidR="005B6C50" w:rsidRPr="009D52FD">
        <w:rPr>
          <w:spacing w:val="-2"/>
          <w:sz w:val="20"/>
          <w:lang w:val="en-US"/>
        </w:rPr>
        <w:t>took effect.</w:t>
      </w:r>
    </w:p>
    <w:p w14:paraId="253D78EE" w14:textId="77777777" w:rsidR="00EE4B6E" w:rsidRPr="009D52FD" w:rsidRDefault="00EE4B6E" w:rsidP="00176377">
      <w:pPr>
        <w:tabs>
          <w:tab w:val="left" w:pos="720"/>
          <w:tab w:val="num" w:pos="5057"/>
        </w:tabs>
        <w:spacing w:line="240" w:lineRule="auto"/>
        <w:ind w:right="-90"/>
        <w:rPr>
          <w:rFonts w:eastAsia="Calibri" w:cs="Verdana"/>
          <w:sz w:val="20"/>
          <w:szCs w:val="20"/>
          <w:lang w:val="en-US"/>
        </w:rPr>
      </w:pPr>
    </w:p>
    <w:p w14:paraId="4255169B" w14:textId="0F269C98" w:rsidR="00176377" w:rsidRPr="009D52FD" w:rsidRDefault="00176377" w:rsidP="00176377">
      <w:pPr>
        <w:keepNext/>
        <w:keepLines/>
        <w:tabs>
          <w:tab w:val="left" w:pos="851"/>
        </w:tabs>
        <w:spacing w:line="240" w:lineRule="auto"/>
        <w:jc w:val="center"/>
        <w:outlineLvl w:val="0"/>
        <w:rPr>
          <w:rFonts w:cs="Verdana"/>
          <w:b/>
          <w:bCs/>
          <w:caps/>
          <w:snapToGrid w:val="0"/>
          <w:sz w:val="20"/>
          <w:szCs w:val="20"/>
          <w:lang w:val="en-US"/>
        </w:rPr>
      </w:pPr>
      <w:bookmarkStart w:id="3" w:name="_Toc375062713"/>
      <w:bookmarkStart w:id="4" w:name="_Toc375140863"/>
      <w:bookmarkStart w:id="5" w:name="_Toc375504822"/>
      <w:bookmarkStart w:id="6" w:name="_Toc375560896"/>
      <w:bookmarkStart w:id="7" w:name="_Toc428369979"/>
      <w:bookmarkStart w:id="8" w:name="_Toc459158095"/>
      <w:bookmarkStart w:id="9" w:name="_Toc401931881"/>
      <w:bookmarkStart w:id="10" w:name="_Toc470180035"/>
      <w:bookmarkStart w:id="11" w:name="_Toc495658648"/>
      <w:bookmarkStart w:id="12" w:name="_Toc51400063"/>
      <w:r w:rsidRPr="009D52FD">
        <w:rPr>
          <w:rFonts w:cs="Verdana"/>
          <w:b/>
          <w:bCs/>
          <w:caps/>
          <w:snapToGrid w:val="0"/>
          <w:sz w:val="20"/>
          <w:szCs w:val="20"/>
          <w:lang w:val="en-US"/>
        </w:rPr>
        <w:t>IV</w:t>
      </w:r>
      <w:r w:rsidRPr="009D52FD">
        <w:rPr>
          <w:rFonts w:cs="Verdana"/>
          <w:b/>
          <w:bCs/>
          <w:caps/>
          <w:snapToGrid w:val="0"/>
          <w:sz w:val="20"/>
          <w:szCs w:val="20"/>
          <w:lang w:val="en-US"/>
        </w:rPr>
        <w:br/>
      </w:r>
      <w:bookmarkEnd w:id="3"/>
      <w:bookmarkEnd w:id="4"/>
      <w:bookmarkEnd w:id="5"/>
      <w:bookmarkEnd w:id="6"/>
      <w:bookmarkEnd w:id="7"/>
      <w:bookmarkEnd w:id="8"/>
      <w:bookmarkEnd w:id="9"/>
      <w:bookmarkEnd w:id="10"/>
      <w:r w:rsidR="00315BAF" w:rsidRPr="009D52FD">
        <w:rPr>
          <w:rFonts w:cs="Verdana"/>
          <w:b/>
          <w:bCs/>
          <w:caps/>
          <w:snapToGrid w:val="0"/>
          <w:sz w:val="20"/>
          <w:szCs w:val="20"/>
          <w:lang w:val="en-US"/>
        </w:rPr>
        <w:t>ACKNOWLEDGEMENT OF STATE RESPONSIBILITY</w:t>
      </w:r>
      <w:bookmarkEnd w:id="11"/>
      <w:bookmarkEnd w:id="12"/>
    </w:p>
    <w:p w14:paraId="55511179" w14:textId="77777777" w:rsidR="00176377" w:rsidRPr="009D52FD" w:rsidRDefault="00176377" w:rsidP="00176377">
      <w:pPr>
        <w:spacing w:line="240" w:lineRule="auto"/>
        <w:rPr>
          <w:sz w:val="20"/>
          <w:szCs w:val="20"/>
          <w:lang w:val="en-US"/>
        </w:rPr>
      </w:pPr>
    </w:p>
    <w:p w14:paraId="22182EA5" w14:textId="38A1D7AF" w:rsidR="00176377" w:rsidRPr="009D52FD" w:rsidRDefault="00176377" w:rsidP="00176377">
      <w:pPr>
        <w:keepNext/>
        <w:keepLines/>
        <w:tabs>
          <w:tab w:val="left" w:pos="1134"/>
        </w:tabs>
        <w:spacing w:line="240" w:lineRule="auto"/>
        <w:ind w:left="567" w:firstLine="1"/>
        <w:outlineLvl w:val="1"/>
        <w:rPr>
          <w:rFonts w:eastAsia="MS Mincho"/>
          <w:b/>
          <w:bCs/>
          <w:i/>
          <w:sz w:val="20"/>
          <w:szCs w:val="20"/>
          <w:lang w:val="en-US"/>
        </w:rPr>
      </w:pPr>
      <w:bookmarkStart w:id="13" w:name="_Toc495658649"/>
      <w:bookmarkStart w:id="14" w:name="_Toc51400064"/>
      <w:r w:rsidRPr="009D52FD">
        <w:rPr>
          <w:rFonts w:eastAsia="MS Mincho"/>
          <w:b/>
          <w:bCs/>
          <w:i/>
          <w:sz w:val="20"/>
          <w:szCs w:val="20"/>
          <w:lang w:val="en-US"/>
        </w:rPr>
        <w:t>A.</w:t>
      </w:r>
      <w:r w:rsidRPr="009D52FD">
        <w:rPr>
          <w:rFonts w:eastAsia="MS Mincho"/>
          <w:b/>
          <w:bCs/>
          <w:i/>
          <w:sz w:val="20"/>
          <w:szCs w:val="20"/>
          <w:lang w:val="en-US"/>
        </w:rPr>
        <w:tab/>
      </w:r>
      <w:r w:rsidR="005B6C50" w:rsidRPr="009D52FD">
        <w:rPr>
          <w:rFonts w:eastAsia="MS Mincho"/>
          <w:b/>
          <w:bCs/>
          <w:i/>
          <w:sz w:val="20"/>
          <w:szCs w:val="20"/>
          <w:lang w:val="en-US"/>
        </w:rPr>
        <w:t>The State’s acknowledgement of responsibility</w:t>
      </w:r>
      <w:r w:rsidR="003630BB" w:rsidRPr="009D52FD">
        <w:rPr>
          <w:rFonts w:eastAsia="MS Mincho"/>
          <w:b/>
          <w:bCs/>
          <w:i/>
          <w:sz w:val="20"/>
          <w:szCs w:val="20"/>
          <w:lang w:val="en-US"/>
        </w:rPr>
        <w:t xml:space="preserve"> and </w:t>
      </w:r>
      <w:r w:rsidR="005B6C50" w:rsidRPr="009D52FD">
        <w:rPr>
          <w:rFonts w:eastAsia="MS Mincho"/>
          <w:b/>
          <w:bCs/>
          <w:i/>
          <w:sz w:val="20"/>
          <w:szCs w:val="20"/>
          <w:lang w:val="en-US"/>
        </w:rPr>
        <w:t>observations</w:t>
      </w:r>
      <w:r w:rsidR="003630BB" w:rsidRPr="009D52FD">
        <w:rPr>
          <w:rFonts w:eastAsia="MS Mincho"/>
          <w:b/>
          <w:bCs/>
          <w:i/>
          <w:sz w:val="20"/>
          <w:szCs w:val="20"/>
          <w:lang w:val="en-US"/>
        </w:rPr>
        <w:t xml:space="preserve"> </w:t>
      </w:r>
      <w:r w:rsidR="008A6211" w:rsidRPr="009D52FD">
        <w:rPr>
          <w:rFonts w:eastAsia="MS Mincho"/>
          <w:b/>
          <w:bCs/>
          <w:i/>
          <w:sz w:val="20"/>
          <w:szCs w:val="20"/>
          <w:lang w:val="en-US"/>
        </w:rPr>
        <w:t>of the Commission and the</w:t>
      </w:r>
      <w:r w:rsidR="003630BB" w:rsidRPr="009D52FD">
        <w:rPr>
          <w:rFonts w:eastAsia="MS Mincho"/>
          <w:b/>
          <w:bCs/>
          <w:i/>
          <w:sz w:val="20"/>
          <w:szCs w:val="20"/>
          <w:lang w:val="en-US"/>
        </w:rPr>
        <w:t xml:space="preserve"> representatives</w:t>
      </w:r>
      <w:bookmarkEnd w:id="13"/>
      <w:bookmarkEnd w:id="14"/>
    </w:p>
    <w:p w14:paraId="14C221B2" w14:textId="77777777" w:rsidR="00176377" w:rsidRPr="009D52FD" w:rsidRDefault="00176377" w:rsidP="00176377">
      <w:pPr>
        <w:widowControl/>
        <w:autoSpaceDE w:val="0"/>
        <w:autoSpaceDN w:val="0"/>
        <w:spacing w:line="240" w:lineRule="auto"/>
        <w:textAlignment w:val="auto"/>
        <w:rPr>
          <w:rFonts w:eastAsia="Calibri" w:cs="Verdana"/>
          <w:snapToGrid w:val="0"/>
          <w:sz w:val="20"/>
          <w:szCs w:val="20"/>
          <w:lang w:val="en-US" w:eastAsia="es-ES"/>
        </w:rPr>
      </w:pPr>
    </w:p>
    <w:p w14:paraId="76937484" w14:textId="136A6542" w:rsidR="0060435D" w:rsidRPr="009D52FD" w:rsidRDefault="003630BB" w:rsidP="0060435D">
      <w:pPr>
        <w:numPr>
          <w:ilvl w:val="0"/>
          <w:numId w:val="1"/>
        </w:numPr>
        <w:tabs>
          <w:tab w:val="left" w:pos="567"/>
          <w:tab w:val="num" w:pos="1569"/>
          <w:tab w:val="num" w:pos="12305"/>
        </w:tabs>
        <w:spacing w:line="240" w:lineRule="auto"/>
        <w:ind w:left="0" w:firstLine="0"/>
        <w:rPr>
          <w:rFonts w:eastAsia="Calibri" w:cs="Arial"/>
          <w:sz w:val="20"/>
          <w:szCs w:val="20"/>
          <w:lang w:val="en-US" w:eastAsia="en-US"/>
        </w:rPr>
      </w:pPr>
      <w:r w:rsidRPr="009D52FD">
        <w:rPr>
          <w:rFonts w:eastAsia="Batang"/>
          <w:sz w:val="20"/>
          <w:szCs w:val="20"/>
          <w:lang w:val="en-US" w:eastAsia="en-US"/>
        </w:rPr>
        <w:t xml:space="preserve">The </w:t>
      </w:r>
      <w:r w:rsidRPr="009D52FD">
        <w:rPr>
          <w:rFonts w:eastAsia="Batang"/>
          <w:b/>
          <w:bCs/>
          <w:i/>
          <w:iCs/>
          <w:sz w:val="20"/>
          <w:szCs w:val="20"/>
          <w:lang w:val="en-US" w:eastAsia="en-US"/>
        </w:rPr>
        <w:t>State</w:t>
      </w:r>
      <w:r w:rsidR="00E13B6E" w:rsidRPr="009D52FD">
        <w:rPr>
          <w:rFonts w:eastAsia="Calibri" w:cs="Arial"/>
          <w:sz w:val="20"/>
          <w:szCs w:val="20"/>
          <w:lang w:val="en-US" w:eastAsia="en-US"/>
        </w:rPr>
        <w:t xml:space="preserve"> </w:t>
      </w:r>
      <w:r w:rsidR="00996CAF" w:rsidRPr="009D52FD">
        <w:rPr>
          <w:rFonts w:eastAsia="Calibri" w:cs="Arial"/>
          <w:sz w:val="20"/>
          <w:szCs w:val="20"/>
          <w:lang w:val="en-US" w:eastAsia="en-US"/>
        </w:rPr>
        <w:t>made a partial acknowledgement of international responsibility in its a</w:t>
      </w:r>
      <w:r w:rsidR="00325A95" w:rsidRPr="009D52FD">
        <w:rPr>
          <w:rFonts w:eastAsia="Calibri" w:cs="Arial"/>
          <w:sz w:val="20"/>
          <w:szCs w:val="20"/>
          <w:lang w:val="en-US" w:eastAsia="en-US"/>
        </w:rPr>
        <w:t>nswering brief</w:t>
      </w:r>
      <w:r w:rsidR="002C35F9" w:rsidRPr="009D52FD">
        <w:rPr>
          <w:rFonts w:eastAsia="Calibri" w:cs="Arial"/>
          <w:sz w:val="20"/>
          <w:szCs w:val="20"/>
          <w:lang w:val="en-US" w:eastAsia="en-US"/>
        </w:rPr>
        <w:t xml:space="preserve">. </w:t>
      </w:r>
      <w:r w:rsidR="00996CAF" w:rsidRPr="009D52FD">
        <w:rPr>
          <w:rFonts w:eastAsia="Calibri" w:cs="Arial"/>
          <w:sz w:val="20"/>
          <w:szCs w:val="20"/>
          <w:lang w:val="en-US" w:eastAsia="en-US"/>
        </w:rPr>
        <w:t>In addition</w:t>
      </w:r>
      <w:r w:rsidR="002C35F9" w:rsidRPr="009D52FD">
        <w:rPr>
          <w:rFonts w:eastAsia="Calibri" w:cs="Arial"/>
          <w:sz w:val="20"/>
          <w:szCs w:val="20"/>
          <w:lang w:val="en-US" w:eastAsia="en-US"/>
        </w:rPr>
        <w:t>, Venezuela</w:t>
      </w:r>
      <w:r w:rsidR="00126862" w:rsidRPr="009D52FD">
        <w:rPr>
          <w:rFonts w:eastAsia="Calibri" w:cs="Arial"/>
          <w:sz w:val="20"/>
          <w:szCs w:val="20"/>
          <w:lang w:val="en-US" w:eastAsia="en-US"/>
        </w:rPr>
        <w:t xml:space="preserve"> </w:t>
      </w:r>
      <w:r w:rsidR="00996CAF" w:rsidRPr="009D52FD">
        <w:rPr>
          <w:rFonts w:eastAsia="Calibri" w:cs="Arial"/>
          <w:sz w:val="20"/>
          <w:szCs w:val="20"/>
          <w:lang w:val="en-US" w:eastAsia="en-US"/>
        </w:rPr>
        <w:t>contested certain facts.</w:t>
      </w:r>
      <w:r w:rsidR="00126862" w:rsidRPr="009D52FD">
        <w:rPr>
          <w:rStyle w:val="FootnoteReference"/>
          <w:sz w:val="20"/>
          <w:szCs w:val="20"/>
          <w:lang w:val="en-US"/>
        </w:rPr>
        <w:footnoteReference w:id="18"/>
      </w:r>
      <w:r w:rsidR="00996CAF" w:rsidRPr="009D52FD">
        <w:rPr>
          <w:rFonts w:eastAsia="Calibri" w:cs="Arial"/>
          <w:sz w:val="20"/>
          <w:szCs w:val="20"/>
          <w:lang w:val="en-US" w:eastAsia="en-US"/>
        </w:rPr>
        <w:t xml:space="preserve"> Consequently, it argued that there was no </w:t>
      </w:r>
      <w:r w:rsidR="00996CAF" w:rsidRPr="009D52FD">
        <w:rPr>
          <w:rFonts w:eastAsia="Calibri" w:cs="Arial"/>
          <w:sz w:val="20"/>
          <w:szCs w:val="20"/>
          <w:lang w:val="en-US" w:eastAsia="en-US"/>
        </w:rPr>
        <w:lastRenderedPageBreak/>
        <w:t>reason for the Court to review factual and legal issues relating to aspects that were “evidently resolved, by the State having accepted responsibility,” and that the analysis in this matter should be circumscribed to the points that the State had contested or failed to accept</w:t>
      </w:r>
      <w:r w:rsidR="0060435D" w:rsidRPr="009D52FD">
        <w:rPr>
          <w:rFonts w:eastAsia="Calibri" w:cs="Arial"/>
          <w:sz w:val="20"/>
          <w:szCs w:val="20"/>
          <w:lang w:val="en-US" w:eastAsia="en-US"/>
        </w:rPr>
        <w:t>.</w:t>
      </w:r>
    </w:p>
    <w:p w14:paraId="11E9D767" w14:textId="77777777" w:rsidR="0060435D" w:rsidRPr="009D52FD" w:rsidRDefault="0060435D" w:rsidP="0060435D">
      <w:pPr>
        <w:tabs>
          <w:tab w:val="left" w:pos="567"/>
        </w:tabs>
        <w:spacing w:line="240" w:lineRule="auto"/>
        <w:rPr>
          <w:sz w:val="20"/>
          <w:szCs w:val="20"/>
          <w:lang w:val="en-US"/>
        </w:rPr>
      </w:pPr>
    </w:p>
    <w:p w14:paraId="4185AC4F" w14:textId="59485467" w:rsidR="00B36F28" w:rsidRPr="009D52FD" w:rsidRDefault="00996CAF" w:rsidP="00B36F28">
      <w:pPr>
        <w:numPr>
          <w:ilvl w:val="0"/>
          <w:numId w:val="1"/>
        </w:numPr>
        <w:tabs>
          <w:tab w:val="left" w:pos="567"/>
          <w:tab w:val="num" w:pos="1569"/>
          <w:tab w:val="num" w:pos="12305"/>
        </w:tabs>
        <w:spacing w:line="240" w:lineRule="auto"/>
        <w:ind w:left="0" w:firstLine="0"/>
        <w:rPr>
          <w:sz w:val="20"/>
          <w:szCs w:val="20"/>
          <w:lang w:val="en-US"/>
        </w:rPr>
      </w:pPr>
      <w:r w:rsidRPr="009D52FD">
        <w:rPr>
          <w:rFonts w:eastAsia="Batang"/>
          <w:bCs/>
          <w:iCs/>
          <w:sz w:val="20"/>
          <w:szCs w:val="20"/>
          <w:lang w:val="en-US"/>
        </w:rPr>
        <w:t>In this regard</w:t>
      </w:r>
      <w:r w:rsidR="0060435D" w:rsidRPr="009D52FD">
        <w:rPr>
          <w:rFonts w:eastAsia="Batang"/>
          <w:bCs/>
          <w:iCs/>
          <w:sz w:val="20"/>
          <w:szCs w:val="20"/>
          <w:lang w:val="en-US"/>
        </w:rPr>
        <w:t>, Venezuela a</w:t>
      </w:r>
      <w:r w:rsidR="001D5713" w:rsidRPr="009D52FD">
        <w:rPr>
          <w:rFonts w:eastAsia="Batang"/>
          <w:bCs/>
          <w:iCs/>
          <w:sz w:val="20"/>
          <w:szCs w:val="20"/>
          <w:lang w:val="en-US"/>
        </w:rPr>
        <w:t>d</w:t>
      </w:r>
      <w:r w:rsidRPr="009D52FD">
        <w:rPr>
          <w:rFonts w:eastAsia="Batang"/>
          <w:bCs/>
          <w:iCs/>
          <w:sz w:val="20"/>
          <w:szCs w:val="20"/>
          <w:lang w:val="en-US"/>
        </w:rPr>
        <w:t xml:space="preserve">mitted that the actions of the judicial organs had been inadequate, “which meant that the judicial proceedings were convoluted and, consequently, lasted more than a reasonable time.” The State also indicated that “the obligation to investigate and duly punish the </w:t>
      </w:r>
      <w:r w:rsidR="000B6A89" w:rsidRPr="009D52FD">
        <w:rPr>
          <w:rFonts w:eastAsia="Batang"/>
          <w:bCs/>
          <w:iCs/>
          <w:sz w:val="20"/>
          <w:szCs w:val="20"/>
          <w:lang w:val="en-US"/>
        </w:rPr>
        <w:t>facts</w:t>
      </w:r>
      <w:r w:rsidRPr="009D52FD">
        <w:rPr>
          <w:rFonts w:eastAsia="Batang"/>
          <w:bCs/>
          <w:iCs/>
          <w:sz w:val="20"/>
          <w:szCs w:val="20"/>
          <w:lang w:val="en-US"/>
        </w:rPr>
        <w:t xml:space="preserve"> that resulted in the harm suffered by Linda Loaiza López [Soto] had not been complied with appropriately and in keeping with international standards </w:t>
      </w:r>
      <w:r w:rsidR="000B6A89" w:rsidRPr="009D52FD">
        <w:rPr>
          <w:rFonts w:eastAsia="Batang"/>
          <w:bCs/>
          <w:iCs/>
          <w:sz w:val="20"/>
          <w:szCs w:val="20"/>
          <w:lang w:val="en-US"/>
        </w:rPr>
        <w:t>on</w:t>
      </w:r>
      <w:r w:rsidRPr="009D52FD">
        <w:rPr>
          <w:rFonts w:eastAsia="Batang"/>
          <w:bCs/>
          <w:iCs/>
          <w:sz w:val="20"/>
          <w:szCs w:val="20"/>
          <w:lang w:val="en-US"/>
        </w:rPr>
        <w:t xml:space="preserve"> human rights and violence against women.</w:t>
      </w:r>
      <w:r w:rsidRPr="009D52FD">
        <w:rPr>
          <w:sz w:val="20"/>
          <w:szCs w:val="20"/>
          <w:lang w:val="en-US"/>
        </w:rPr>
        <w:t>” It stressed that “the actions of the organs respons</w:t>
      </w:r>
      <w:r w:rsidR="0064755C" w:rsidRPr="009D52FD">
        <w:rPr>
          <w:sz w:val="20"/>
          <w:szCs w:val="20"/>
          <w:lang w:val="en-US"/>
        </w:rPr>
        <w:t>i</w:t>
      </w:r>
      <w:r w:rsidRPr="009D52FD">
        <w:rPr>
          <w:sz w:val="20"/>
          <w:szCs w:val="20"/>
          <w:lang w:val="en-US"/>
        </w:rPr>
        <w:t>ble for hearing this case were marked by eviden</w:t>
      </w:r>
      <w:r w:rsidR="000B6A89" w:rsidRPr="009D52FD">
        <w:rPr>
          <w:sz w:val="20"/>
          <w:szCs w:val="20"/>
          <w:lang w:val="en-US"/>
        </w:rPr>
        <w:t>t</w:t>
      </w:r>
      <w:r w:rsidRPr="009D52FD">
        <w:rPr>
          <w:sz w:val="20"/>
          <w:szCs w:val="20"/>
          <w:lang w:val="en-US"/>
        </w:rPr>
        <w:t xml:space="preserve"> omissions and inadequate practices</w:t>
      </w:r>
      <w:r w:rsidR="0064755C" w:rsidRPr="009D52FD">
        <w:rPr>
          <w:sz w:val="20"/>
          <w:szCs w:val="20"/>
          <w:lang w:val="en-US"/>
        </w:rPr>
        <w:t>, as well as by unjustified delays.” Similarly, the State acknowledged the violation of</w:t>
      </w:r>
      <w:r w:rsidR="00E13B6E" w:rsidRPr="009D52FD">
        <w:rPr>
          <w:sz w:val="20"/>
          <w:szCs w:val="20"/>
          <w:lang w:val="en-US"/>
        </w:rPr>
        <w:t xml:space="preserve"> </w:t>
      </w:r>
      <w:r w:rsidR="003630BB" w:rsidRPr="009D52FD">
        <w:rPr>
          <w:sz w:val="20"/>
          <w:szCs w:val="20"/>
          <w:lang w:val="en-US"/>
        </w:rPr>
        <w:t>Articles</w:t>
      </w:r>
      <w:r w:rsidR="00483040" w:rsidRPr="009D52FD">
        <w:rPr>
          <w:sz w:val="20"/>
          <w:szCs w:val="20"/>
          <w:lang w:val="en-US"/>
        </w:rPr>
        <w:t xml:space="preserve"> 8(1)</w:t>
      </w:r>
      <w:r w:rsidR="00E13B6E" w:rsidRPr="009D52FD">
        <w:rPr>
          <w:sz w:val="20"/>
          <w:szCs w:val="20"/>
          <w:lang w:val="en-US"/>
        </w:rPr>
        <w:t>,</w:t>
      </w:r>
      <w:r w:rsidR="00D32B3E" w:rsidRPr="009D52FD">
        <w:rPr>
          <w:sz w:val="20"/>
          <w:szCs w:val="20"/>
          <w:lang w:val="en-US"/>
        </w:rPr>
        <w:t xml:space="preserve"> 25(1)</w:t>
      </w:r>
      <w:r w:rsidR="00E13B6E" w:rsidRPr="009D52FD">
        <w:rPr>
          <w:sz w:val="20"/>
          <w:szCs w:val="20"/>
          <w:lang w:val="en-US"/>
        </w:rPr>
        <w:t>,</w:t>
      </w:r>
      <w:r w:rsidR="00483040" w:rsidRPr="009D52FD">
        <w:rPr>
          <w:sz w:val="20"/>
          <w:szCs w:val="20"/>
          <w:lang w:val="en-US"/>
        </w:rPr>
        <w:t xml:space="preserve"> 5(1)</w:t>
      </w:r>
      <w:r w:rsidR="00E13B6E" w:rsidRPr="009D52FD">
        <w:rPr>
          <w:sz w:val="20"/>
          <w:szCs w:val="20"/>
          <w:lang w:val="en-US"/>
        </w:rPr>
        <w:t>, 11, 24</w:t>
      </w:r>
      <w:r w:rsidR="003630BB" w:rsidRPr="009D52FD">
        <w:rPr>
          <w:sz w:val="20"/>
          <w:szCs w:val="20"/>
          <w:lang w:val="en-US"/>
        </w:rPr>
        <w:t xml:space="preserve"> and </w:t>
      </w:r>
      <w:r w:rsidR="00E13B6E" w:rsidRPr="009D52FD">
        <w:rPr>
          <w:sz w:val="20"/>
          <w:szCs w:val="20"/>
          <w:lang w:val="en-US"/>
        </w:rPr>
        <w:t>2</w:t>
      </w:r>
      <w:r w:rsidR="003630BB" w:rsidRPr="009D52FD">
        <w:rPr>
          <w:sz w:val="20"/>
          <w:szCs w:val="20"/>
          <w:lang w:val="en-US"/>
        </w:rPr>
        <w:t xml:space="preserve"> of the American Convention</w:t>
      </w:r>
      <w:r w:rsidR="00491524" w:rsidRPr="009D52FD">
        <w:rPr>
          <w:sz w:val="20"/>
          <w:szCs w:val="20"/>
          <w:lang w:val="en-US"/>
        </w:rPr>
        <w:t>,</w:t>
      </w:r>
      <w:r w:rsidR="00E13B6E" w:rsidRPr="009D52FD">
        <w:rPr>
          <w:sz w:val="20"/>
          <w:szCs w:val="20"/>
          <w:lang w:val="en-US"/>
        </w:rPr>
        <w:t xml:space="preserve"> </w:t>
      </w:r>
      <w:r w:rsidR="0064755C" w:rsidRPr="009D52FD">
        <w:rPr>
          <w:sz w:val="20"/>
          <w:szCs w:val="20"/>
          <w:lang w:val="en-US"/>
        </w:rPr>
        <w:t>because Ms.</w:t>
      </w:r>
      <w:r w:rsidR="00E13B6E" w:rsidRPr="009D52FD">
        <w:rPr>
          <w:sz w:val="20"/>
          <w:szCs w:val="20"/>
          <w:lang w:val="en-US"/>
        </w:rPr>
        <w:t xml:space="preserve"> López Soto</w:t>
      </w:r>
      <w:r w:rsidR="000B6A89" w:rsidRPr="009D52FD">
        <w:rPr>
          <w:sz w:val="20"/>
          <w:szCs w:val="20"/>
          <w:lang w:val="en-US"/>
        </w:rPr>
        <w:t>,</w:t>
      </w:r>
      <w:r w:rsidR="00E13B6E" w:rsidRPr="009D52FD">
        <w:rPr>
          <w:sz w:val="20"/>
          <w:szCs w:val="20"/>
          <w:lang w:val="en-US"/>
        </w:rPr>
        <w:t xml:space="preserve"> </w:t>
      </w:r>
      <w:r w:rsidR="001D5713" w:rsidRPr="009D52FD">
        <w:rPr>
          <w:rFonts w:eastAsia="Batang"/>
          <w:bCs/>
          <w:iCs/>
          <w:sz w:val="20"/>
          <w:szCs w:val="20"/>
          <w:lang w:val="en-US"/>
        </w:rPr>
        <w:t>“</w:t>
      </w:r>
      <w:r w:rsidR="000B6A89" w:rsidRPr="009D52FD">
        <w:rPr>
          <w:rFonts w:eastAsia="Batang"/>
          <w:bCs/>
          <w:iCs/>
          <w:sz w:val="20"/>
          <w:szCs w:val="20"/>
          <w:lang w:val="en-US"/>
        </w:rPr>
        <w:t xml:space="preserve">as a victim of violence against women, </w:t>
      </w:r>
      <w:r w:rsidR="0064755C" w:rsidRPr="009D52FD">
        <w:rPr>
          <w:rFonts w:eastAsia="Batang"/>
          <w:bCs/>
          <w:iCs/>
          <w:sz w:val="20"/>
          <w:szCs w:val="20"/>
          <w:lang w:val="en-US"/>
        </w:rPr>
        <w:t xml:space="preserve">did not receive appropriate treatment and assistance </w:t>
      </w:r>
      <w:r w:rsidR="001306FA" w:rsidRPr="009D52FD">
        <w:rPr>
          <w:rFonts w:eastAsia="Batang"/>
          <w:bCs/>
          <w:iCs/>
          <w:sz w:val="20"/>
          <w:szCs w:val="20"/>
          <w:lang w:val="en-US"/>
        </w:rPr>
        <w:t>at</w:t>
      </w:r>
      <w:r w:rsidR="0064755C" w:rsidRPr="009D52FD">
        <w:rPr>
          <w:rFonts w:eastAsia="Batang"/>
          <w:bCs/>
          <w:iCs/>
          <w:sz w:val="20"/>
          <w:szCs w:val="20"/>
          <w:lang w:val="en-US"/>
        </w:rPr>
        <w:t xml:space="preserve"> the time of her rescue and in the moment</w:t>
      </w:r>
      <w:r w:rsidR="001306FA" w:rsidRPr="009D52FD">
        <w:rPr>
          <w:rFonts w:eastAsia="Batang"/>
          <w:bCs/>
          <w:iCs/>
          <w:sz w:val="20"/>
          <w:szCs w:val="20"/>
          <w:lang w:val="en-US"/>
        </w:rPr>
        <w:t>s</w:t>
      </w:r>
      <w:r w:rsidR="0064755C" w:rsidRPr="009D52FD">
        <w:rPr>
          <w:rFonts w:eastAsia="Batang"/>
          <w:bCs/>
          <w:iCs/>
          <w:sz w:val="20"/>
          <w:szCs w:val="20"/>
          <w:lang w:val="en-US"/>
        </w:rPr>
        <w:t xml:space="preserve"> following this.” The State added that the gross acts of violence she </w:t>
      </w:r>
      <w:r w:rsidR="001306FA" w:rsidRPr="009D52FD">
        <w:rPr>
          <w:rFonts w:eastAsia="Batang"/>
          <w:bCs/>
          <w:iCs/>
          <w:sz w:val="20"/>
          <w:szCs w:val="20"/>
          <w:lang w:val="en-US"/>
        </w:rPr>
        <w:t>endured</w:t>
      </w:r>
      <w:r w:rsidR="0064755C" w:rsidRPr="009D52FD">
        <w:rPr>
          <w:rFonts w:eastAsia="Batang"/>
          <w:bCs/>
          <w:iCs/>
          <w:sz w:val="20"/>
          <w:szCs w:val="20"/>
          <w:lang w:val="en-US"/>
        </w:rPr>
        <w:t xml:space="preserve"> “were investigate</w:t>
      </w:r>
      <w:r w:rsidR="001306FA" w:rsidRPr="009D52FD">
        <w:rPr>
          <w:rFonts w:eastAsia="Batang"/>
          <w:bCs/>
          <w:iCs/>
          <w:sz w:val="20"/>
          <w:szCs w:val="20"/>
          <w:lang w:val="en-US"/>
        </w:rPr>
        <w:t>d</w:t>
      </w:r>
      <w:r w:rsidR="0064755C" w:rsidRPr="009D52FD">
        <w:rPr>
          <w:rFonts w:eastAsia="Batang"/>
          <w:bCs/>
          <w:iCs/>
          <w:sz w:val="20"/>
          <w:szCs w:val="20"/>
          <w:lang w:val="en-US"/>
        </w:rPr>
        <w:t xml:space="preserve"> and prosecuted in light of a discriminatory legal framework,” that had been upgraded with the entry into force, in 2007, of the </w:t>
      </w:r>
      <w:r w:rsidR="0064755C" w:rsidRPr="009D52FD">
        <w:rPr>
          <w:sz w:val="20"/>
          <w:szCs w:val="20"/>
          <w:lang w:val="en-US"/>
        </w:rPr>
        <w:t xml:space="preserve">Law on the </w:t>
      </w:r>
      <w:r w:rsidR="001306FA" w:rsidRPr="009D52FD">
        <w:rPr>
          <w:sz w:val="20"/>
          <w:szCs w:val="20"/>
          <w:lang w:val="en-US"/>
        </w:rPr>
        <w:t>R</w:t>
      </w:r>
      <w:r w:rsidR="0064755C" w:rsidRPr="009D52FD">
        <w:rPr>
          <w:sz w:val="20"/>
          <w:szCs w:val="20"/>
          <w:lang w:val="en-US"/>
        </w:rPr>
        <w:t xml:space="preserve">ight of </w:t>
      </w:r>
      <w:r w:rsidR="001306FA" w:rsidRPr="009D52FD">
        <w:rPr>
          <w:sz w:val="20"/>
          <w:szCs w:val="20"/>
          <w:lang w:val="en-US"/>
        </w:rPr>
        <w:t>W</w:t>
      </w:r>
      <w:r w:rsidR="0064755C" w:rsidRPr="009D52FD">
        <w:rPr>
          <w:sz w:val="20"/>
          <w:szCs w:val="20"/>
          <w:lang w:val="en-US"/>
        </w:rPr>
        <w:t xml:space="preserve">omen to a </w:t>
      </w:r>
      <w:r w:rsidR="001306FA" w:rsidRPr="009D52FD">
        <w:rPr>
          <w:sz w:val="20"/>
          <w:szCs w:val="20"/>
          <w:lang w:val="en-US"/>
        </w:rPr>
        <w:t>L</w:t>
      </w:r>
      <w:r w:rsidR="0064755C" w:rsidRPr="009D52FD">
        <w:rPr>
          <w:sz w:val="20"/>
          <w:szCs w:val="20"/>
          <w:lang w:val="en-US"/>
        </w:rPr>
        <w:t xml:space="preserve">ife </w:t>
      </w:r>
      <w:r w:rsidR="001306FA" w:rsidRPr="009D52FD">
        <w:rPr>
          <w:sz w:val="20"/>
          <w:szCs w:val="20"/>
          <w:lang w:val="en-US"/>
        </w:rPr>
        <w:t>F</w:t>
      </w:r>
      <w:r w:rsidR="0064755C" w:rsidRPr="009D52FD">
        <w:rPr>
          <w:sz w:val="20"/>
          <w:szCs w:val="20"/>
          <w:lang w:val="en-US"/>
        </w:rPr>
        <w:t xml:space="preserve">ree of </w:t>
      </w:r>
      <w:r w:rsidR="001306FA" w:rsidRPr="009D52FD">
        <w:rPr>
          <w:sz w:val="20"/>
          <w:szCs w:val="20"/>
          <w:lang w:val="en-US"/>
        </w:rPr>
        <w:t>V</w:t>
      </w:r>
      <w:r w:rsidR="0064755C" w:rsidRPr="009D52FD">
        <w:rPr>
          <w:sz w:val="20"/>
          <w:szCs w:val="20"/>
          <w:lang w:val="en-US"/>
        </w:rPr>
        <w:t>iolence</w:t>
      </w:r>
      <w:r w:rsidR="001D5713" w:rsidRPr="009D52FD">
        <w:rPr>
          <w:rFonts w:eastAsia="Batang"/>
          <w:bCs/>
          <w:iCs/>
          <w:sz w:val="20"/>
          <w:szCs w:val="20"/>
          <w:lang w:val="en-US"/>
        </w:rPr>
        <w:t>.</w:t>
      </w:r>
      <w:r w:rsidR="008D546D" w:rsidRPr="009D52FD">
        <w:rPr>
          <w:rFonts w:eastAsia="Batang"/>
          <w:bCs/>
          <w:iCs/>
          <w:sz w:val="20"/>
          <w:szCs w:val="20"/>
          <w:lang w:val="en-US"/>
        </w:rPr>
        <w:t xml:space="preserve"> </w:t>
      </w:r>
      <w:r w:rsidR="0064755C" w:rsidRPr="009D52FD">
        <w:rPr>
          <w:rFonts w:eastAsia="Batang"/>
          <w:bCs/>
          <w:iCs/>
          <w:sz w:val="20"/>
          <w:szCs w:val="20"/>
          <w:lang w:val="en-US"/>
        </w:rPr>
        <w:t>It also argued that these situations affected not only “her right of access to justice, but constituted additional forms of revictimization that</w:t>
      </w:r>
      <w:r w:rsidR="001306FA" w:rsidRPr="009D52FD">
        <w:rPr>
          <w:rFonts w:eastAsia="Batang"/>
          <w:bCs/>
          <w:iCs/>
          <w:sz w:val="20"/>
          <w:szCs w:val="20"/>
          <w:lang w:val="en-US"/>
        </w:rPr>
        <w:t xml:space="preserve"> could</w:t>
      </w:r>
      <w:r w:rsidR="0064755C" w:rsidRPr="009D52FD">
        <w:rPr>
          <w:rFonts w:eastAsia="Batang"/>
          <w:bCs/>
          <w:iCs/>
          <w:sz w:val="20"/>
          <w:szCs w:val="20"/>
          <w:lang w:val="en-US"/>
        </w:rPr>
        <w:t xml:space="preserve"> evidently have affected both her private life and dignity and also her mental and moral integrity.</w:t>
      </w:r>
      <w:r w:rsidR="0064755C" w:rsidRPr="009D52FD">
        <w:rPr>
          <w:sz w:val="20"/>
          <w:szCs w:val="20"/>
          <w:lang w:val="en-US"/>
        </w:rPr>
        <w:t>”</w:t>
      </w:r>
    </w:p>
    <w:p w14:paraId="771F138F" w14:textId="77777777" w:rsidR="0064755C" w:rsidRPr="009D52FD" w:rsidRDefault="0064755C" w:rsidP="0064755C">
      <w:pPr>
        <w:tabs>
          <w:tab w:val="left" w:pos="567"/>
          <w:tab w:val="num" w:pos="12305"/>
        </w:tabs>
        <w:spacing w:line="240" w:lineRule="auto"/>
        <w:rPr>
          <w:sz w:val="20"/>
          <w:szCs w:val="20"/>
          <w:lang w:val="en-US"/>
        </w:rPr>
      </w:pPr>
    </w:p>
    <w:p w14:paraId="403023FF" w14:textId="6A0118C0" w:rsidR="00E13B6E" w:rsidRPr="009D52FD" w:rsidRDefault="0064755C" w:rsidP="0064755C">
      <w:pPr>
        <w:numPr>
          <w:ilvl w:val="0"/>
          <w:numId w:val="1"/>
        </w:numPr>
        <w:tabs>
          <w:tab w:val="left" w:pos="567"/>
          <w:tab w:val="num" w:pos="1569"/>
          <w:tab w:val="num" w:pos="12305"/>
        </w:tabs>
        <w:spacing w:line="240" w:lineRule="auto"/>
        <w:ind w:left="0" w:firstLine="0"/>
        <w:rPr>
          <w:sz w:val="20"/>
          <w:szCs w:val="20"/>
          <w:lang w:val="en-US"/>
        </w:rPr>
      </w:pPr>
      <w:r w:rsidRPr="009D52FD">
        <w:rPr>
          <w:sz w:val="20"/>
          <w:szCs w:val="20"/>
          <w:lang w:val="en-US"/>
        </w:rPr>
        <w:t>The</w:t>
      </w:r>
      <w:r w:rsidR="003630BB" w:rsidRPr="009D52FD">
        <w:rPr>
          <w:sz w:val="20"/>
          <w:szCs w:val="20"/>
          <w:lang w:val="en-US"/>
        </w:rPr>
        <w:t xml:space="preserve"> State</w:t>
      </w:r>
      <w:r w:rsidRPr="009D52FD">
        <w:rPr>
          <w:sz w:val="20"/>
          <w:szCs w:val="20"/>
          <w:lang w:val="en-US"/>
        </w:rPr>
        <w:t xml:space="preserve"> also acknowledged its responsibility for</w:t>
      </w:r>
      <w:r w:rsidR="00E13B6E" w:rsidRPr="009D52FD">
        <w:rPr>
          <w:sz w:val="20"/>
          <w:szCs w:val="20"/>
          <w:lang w:val="en-US"/>
        </w:rPr>
        <w:t xml:space="preserve"> </w:t>
      </w:r>
      <w:r w:rsidRPr="009D52FD">
        <w:rPr>
          <w:sz w:val="20"/>
          <w:szCs w:val="20"/>
          <w:lang w:val="en-US"/>
        </w:rPr>
        <w:t xml:space="preserve">the violation of the right to personal integrity of the members of </w:t>
      </w:r>
      <w:r w:rsidR="00E13B6E" w:rsidRPr="009D52FD">
        <w:rPr>
          <w:rFonts w:eastAsia="Calibri" w:cs="Arial"/>
          <w:sz w:val="20"/>
          <w:szCs w:val="20"/>
          <w:lang w:val="en-US" w:eastAsia="en-US"/>
        </w:rPr>
        <w:t>Linda Loaiza López</w:t>
      </w:r>
      <w:r w:rsidR="002C35F9" w:rsidRPr="009D52FD">
        <w:rPr>
          <w:rFonts w:eastAsia="Calibri" w:cs="Arial"/>
          <w:sz w:val="20"/>
          <w:szCs w:val="20"/>
          <w:lang w:val="en-US" w:eastAsia="en-US"/>
        </w:rPr>
        <w:t xml:space="preserve"> </w:t>
      </w:r>
      <w:r w:rsidR="00482FDF" w:rsidRPr="009D52FD">
        <w:rPr>
          <w:rFonts w:eastAsia="Calibri" w:cs="Arial"/>
          <w:sz w:val="20"/>
          <w:szCs w:val="20"/>
          <w:lang w:val="en-US" w:eastAsia="en-US"/>
        </w:rPr>
        <w:t>S</w:t>
      </w:r>
      <w:r w:rsidR="002C35F9" w:rsidRPr="009D52FD">
        <w:rPr>
          <w:rFonts w:eastAsia="Calibri" w:cs="Arial"/>
          <w:sz w:val="20"/>
          <w:szCs w:val="20"/>
          <w:lang w:val="en-US" w:eastAsia="en-US"/>
        </w:rPr>
        <w:t>oto</w:t>
      </w:r>
      <w:r w:rsidRPr="009D52FD">
        <w:rPr>
          <w:rFonts w:eastAsia="Calibri" w:cs="Arial"/>
          <w:sz w:val="20"/>
          <w:szCs w:val="20"/>
          <w:lang w:val="en-US" w:eastAsia="en-US"/>
        </w:rPr>
        <w:t xml:space="preserve">’s family identified in the </w:t>
      </w:r>
      <w:r w:rsidR="00483040" w:rsidRPr="009D52FD">
        <w:rPr>
          <w:rFonts w:eastAsia="Calibri" w:cs="Arial"/>
          <w:sz w:val="20"/>
          <w:szCs w:val="20"/>
          <w:lang w:val="en-US" w:eastAsia="en-US"/>
        </w:rPr>
        <w:t>Merits Report</w:t>
      </w:r>
      <w:r w:rsidR="00E13B6E" w:rsidRPr="009D52FD">
        <w:rPr>
          <w:sz w:val="20"/>
          <w:szCs w:val="20"/>
          <w:lang w:val="en-US"/>
        </w:rPr>
        <w:t xml:space="preserve"> </w:t>
      </w:r>
      <w:r w:rsidRPr="009D52FD">
        <w:rPr>
          <w:sz w:val="20"/>
          <w:szCs w:val="20"/>
          <w:lang w:val="en-US"/>
        </w:rPr>
        <w:t>in the terms</w:t>
      </w:r>
      <w:r w:rsidR="00E13B6E" w:rsidRPr="009D52FD">
        <w:rPr>
          <w:sz w:val="20"/>
          <w:szCs w:val="20"/>
          <w:lang w:val="en-US"/>
        </w:rPr>
        <w:t xml:space="preserve"> </w:t>
      </w:r>
      <w:r w:rsidR="00D32B3E" w:rsidRPr="009D52FD">
        <w:rPr>
          <w:sz w:val="20"/>
          <w:szCs w:val="20"/>
          <w:lang w:val="en-US"/>
        </w:rPr>
        <w:t>of Article</w:t>
      </w:r>
      <w:r w:rsidR="00E13B6E" w:rsidRPr="009D52FD">
        <w:rPr>
          <w:sz w:val="20"/>
          <w:szCs w:val="20"/>
          <w:lang w:val="en-US"/>
        </w:rPr>
        <w:t xml:space="preserve"> 5</w:t>
      </w:r>
      <w:r w:rsidR="003630BB" w:rsidRPr="009D52FD">
        <w:rPr>
          <w:sz w:val="20"/>
          <w:szCs w:val="20"/>
          <w:lang w:val="en-US"/>
        </w:rPr>
        <w:t xml:space="preserve"> of the American Convention</w:t>
      </w:r>
      <w:r w:rsidR="002C35F9" w:rsidRPr="009D52FD">
        <w:rPr>
          <w:sz w:val="20"/>
          <w:szCs w:val="20"/>
          <w:lang w:val="en-US"/>
        </w:rPr>
        <w:t xml:space="preserve">. </w:t>
      </w:r>
      <w:r w:rsidRPr="009D52FD">
        <w:rPr>
          <w:sz w:val="20"/>
          <w:szCs w:val="20"/>
          <w:lang w:val="en-US"/>
        </w:rPr>
        <w:t xml:space="preserve">This was owing to the suffering they endured </w:t>
      </w:r>
      <w:r w:rsidR="001306FA" w:rsidRPr="009D52FD">
        <w:rPr>
          <w:sz w:val="20"/>
          <w:szCs w:val="20"/>
          <w:lang w:val="en-US"/>
        </w:rPr>
        <w:t>due to</w:t>
      </w:r>
      <w:r w:rsidRPr="009D52FD">
        <w:rPr>
          <w:sz w:val="20"/>
          <w:szCs w:val="20"/>
          <w:lang w:val="en-US"/>
        </w:rPr>
        <w:t xml:space="preserve"> “</w:t>
      </w:r>
      <w:r w:rsidRPr="009D52FD">
        <w:rPr>
          <w:bCs/>
          <w:iCs/>
          <w:sz w:val="20"/>
          <w:szCs w:val="20"/>
          <w:lang w:val="en-US"/>
        </w:rPr>
        <w:t xml:space="preserve">the violations perpetrated against a loved one and the absence of a timely and adequate judicial response that would have concluded the criminal proceedings </w:t>
      </w:r>
      <w:r w:rsidR="001306FA" w:rsidRPr="009D52FD">
        <w:rPr>
          <w:bCs/>
          <w:iCs/>
          <w:sz w:val="20"/>
          <w:szCs w:val="20"/>
          <w:lang w:val="en-US"/>
        </w:rPr>
        <w:t xml:space="preserve">definitively, </w:t>
      </w:r>
      <w:r w:rsidRPr="009D52FD">
        <w:rPr>
          <w:bCs/>
          <w:iCs/>
          <w:sz w:val="20"/>
          <w:szCs w:val="20"/>
          <w:lang w:val="en-US"/>
        </w:rPr>
        <w:t xml:space="preserve">determining the person or persons responsible for each </w:t>
      </w:r>
      <w:r w:rsidR="001306FA" w:rsidRPr="009D52FD">
        <w:rPr>
          <w:bCs/>
          <w:iCs/>
          <w:sz w:val="20"/>
          <w:szCs w:val="20"/>
          <w:lang w:val="en-US"/>
        </w:rPr>
        <w:t xml:space="preserve">and </w:t>
      </w:r>
      <w:r w:rsidRPr="009D52FD">
        <w:rPr>
          <w:bCs/>
          <w:iCs/>
          <w:sz w:val="20"/>
          <w:szCs w:val="20"/>
          <w:lang w:val="en-US"/>
        </w:rPr>
        <w:t xml:space="preserve">every </w:t>
      </w:r>
      <w:r w:rsidR="001306FA" w:rsidRPr="009D52FD">
        <w:rPr>
          <w:bCs/>
          <w:iCs/>
          <w:sz w:val="20"/>
          <w:szCs w:val="20"/>
          <w:lang w:val="en-US"/>
        </w:rPr>
        <w:t>f</w:t>
      </w:r>
      <w:r w:rsidRPr="009D52FD">
        <w:rPr>
          <w:bCs/>
          <w:iCs/>
          <w:sz w:val="20"/>
          <w:szCs w:val="20"/>
          <w:lang w:val="en-US"/>
        </w:rPr>
        <w:t xml:space="preserve">act that gave rise to this case.” It added that the excessive and unjustified delay in the criminal proceedings, as well as the different irregularities during their development, affected the living conditions of this family group and </w:t>
      </w:r>
      <w:r w:rsidR="001306FA" w:rsidRPr="009D52FD">
        <w:rPr>
          <w:bCs/>
          <w:iCs/>
          <w:sz w:val="20"/>
          <w:szCs w:val="20"/>
          <w:lang w:val="en-US"/>
        </w:rPr>
        <w:t xml:space="preserve">gave rise to </w:t>
      </w:r>
      <w:r w:rsidRPr="009D52FD">
        <w:rPr>
          <w:bCs/>
          <w:iCs/>
          <w:sz w:val="20"/>
          <w:szCs w:val="20"/>
          <w:lang w:val="en-US"/>
        </w:rPr>
        <w:t>a feeling of despair that impaired their right to personal integrity. However, the State did not acknowledge that</w:t>
      </w:r>
      <w:r w:rsidR="00B36F28" w:rsidRPr="009D52FD">
        <w:rPr>
          <w:rFonts w:eastAsia="Calibri" w:cs="Verdana"/>
          <w:snapToGrid w:val="0"/>
          <w:sz w:val="20"/>
          <w:szCs w:val="20"/>
          <w:lang w:val="en-US" w:eastAsia="es-ES"/>
        </w:rPr>
        <w:t xml:space="preserve"> “</w:t>
      </w:r>
      <w:r w:rsidRPr="009D52FD">
        <w:rPr>
          <w:rFonts w:eastAsia="Calibri" w:cs="Verdana"/>
          <w:snapToGrid w:val="0"/>
          <w:sz w:val="20"/>
          <w:szCs w:val="20"/>
          <w:lang w:val="en-US" w:eastAsia="es-ES"/>
        </w:rPr>
        <w:t xml:space="preserve">the suffering of the family was increased owing to the inaction of the </w:t>
      </w:r>
      <w:r w:rsidR="00002A76" w:rsidRPr="009D52FD">
        <w:rPr>
          <w:rFonts w:eastAsia="Calibri" w:cs="Verdana"/>
          <w:snapToGrid w:val="0"/>
          <w:sz w:val="20"/>
          <w:szCs w:val="20"/>
          <w:lang w:val="en-US" w:eastAsia="es-ES"/>
        </w:rPr>
        <w:t>auth</w:t>
      </w:r>
      <w:r w:rsidR="006B506A" w:rsidRPr="009D52FD">
        <w:rPr>
          <w:rFonts w:eastAsia="Calibri" w:cs="Verdana"/>
          <w:snapToGrid w:val="0"/>
          <w:sz w:val="20"/>
          <w:szCs w:val="20"/>
          <w:lang w:val="en-US" w:eastAsia="es-ES"/>
        </w:rPr>
        <w:t>or</w:t>
      </w:r>
      <w:r w:rsidRPr="009D52FD">
        <w:rPr>
          <w:rFonts w:eastAsia="Calibri" w:cs="Verdana"/>
          <w:snapToGrid w:val="0"/>
          <w:sz w:val="20"/>
          <w:szCs w:val="20"/>
          <w:lang w:val="en-US" w:eastAsia="es-ES"/>
        </w:rPr>
        <w:t xml:space="preserve">ities in response to the complaint that Ana Secilia López, [Linda Loaiza’s sister] had tried to file the day following the disappearance </w:t>
      </w:r>
      <w:r w:rsidR="00B36F28" w:rsidRPr="009D52FD">
        <w:rPr>
          <w:rFonts w:eastAsia="Calibri" w:cs="Verdana"/>
          <w:snapToGrid w:val="0"/>
          <w:sz w:val="20"/>
          <w:szCs w:val="20"/>
          <w:lang w:val="en-US" w:eastAsia="es-ES"/>
        </w:rPr>
        <w:t>[</w:t>
      </w:r>
      <w:r w:rsidRPr="009D52FD">
        <w:rPr>
          <w:rFonts w:eastAsia="Calibri" w:cs="Verdana"/>
          <w:snapToGrid w:val="0"/>
          <w:sz w:val="20"/>
          <w:szCs w:val="20"/>
          <w:lang w:val="en-US" w:eastAsia="es-ES"/>
        </w:rPr>
        <w:t>of</w:t>
      </w:r>
      <w:r w:rsidR="00B36F28" w:rsidRPr="009D52FD">
        <w:rPr>
          <w:rFonts w:eastAsia="Calibri" w:cs="Verdana"/>
          <w:snapToGrid w:val="0"/>
          <w:sz w:val="20"/>
          <w:szCs w:val="20"/>
          <w:lang w:val="en-US" w:eastAsia="es-ES"/>
        </w:rPr>
        <w:t xml:space="preserve"> Linda Lo</w:t>
      </w:r>
      <w:r w:rsidR="002557EF" w:rsidRPr="009D52FD">
        <w:rPr>
          <w:rFonts w:eastAsia="Calibri" w:cs="Verdana"/>
          <w:snapToGrid w:val="0"/>
          <w:sz w:val="20"/>
          <w:szCs w:val="20"/>
          <w:lang w:val="en-US" w:eastAsia="es-ES"/>
        </w:rPr>
        <w:t xml:space="preserve">aiza López Soto], </w:t>
      </w:r>
      <w:r w:rsidRPr="009D52FD">
        <w:rPr>
          <w:rFonts w:eastAsia="Calibri" w:cs="Verdana"/>
          <w:snapToGrid w:val="0"/>
          <w:sz w:val="20"/>
          <w:szCs w:val="20"/>
          <w:lang w:val="en-US" w:eastAsia="es-ES"/>
        </w:rPr>
        <w:t>in order to discover the whereabouts of her sister, because [it contested] the existence of this complaint or her attempt to file it.</w:t>
      </w:r>
      <w:r w:rsidR="00B36F28" w:rsidRPr="009D52FD">
        <w:rPr>
          <w:rFonts w:eastAsia="Calibri" w:cs="Verdana"/>
          <w:snapToGrid w:val="0"/>
          <w:sz w:val="20"/>
          <w:szCs w:val="20"/>
          <w:lang w:val="en-US" w:eastAsia="es-ES"/>
        </w:rPr>
        <w:t>”</w:t>
      </w:r>
      <w:r w:rsidR="003775FA" w:rsidRPr="009D52FD">
        <w:rPr>
          <w:rFonts w:eastAsia="Calibri" w:cs="Verdana"/>
          <w:snapToGrid w:val="0"/>
          <w:sz w:val="20"/>
          <w:szCs w:val="20"/>
          <w:lang w:val="en-US" w:eastAsia="es-ES"/>
        </w:rPr>
        <w:t xml:space="preserve"> </w:t>
      </w:r>
      <w:r w:rsidRPr="009D52FD">
        <w:rPr>
          <w:rFonts w:eastAsia="Calibri" w:cs="Verdana"/>
          <w:snapToGrid w:val="0"/>
          <w:sz w:val="20"/>
          <w:szCs w:val="20"/>
          <w:lang w:val="en-US" w:eastAsia="es-ES"/>
        </w:rPr>
        <w:t>Additionally,</w:t>
      </w:r>
      <w:r w:rsidR="00B36F28" w:rsidRPr="009D52FD">
        <w:rPr>
          <w:rFonts w:eastAsia="Calibri" w:cs="Verdana"/>
          <w:snapToGrid w:val="0"/>
          <w:sz w:val="20"/>
          <w:szCs w:val="20"/>
          <w:lang w:val="en-US" w:eastAsia="es-ES"/>
        </w:rPr>
        <w:t xml:space="preserve"> </w:t>
      </w:r>
      <w:r w:rsidR="003630BB" w:rsidRPr="009D52FD">
        <w:rPr>
          <w:rFonts w:eastAsia="Calibri" w:cs="Verdana"/>
          <w:snapToGrid w:val="0"/>
          <w:sz w:val="20"/>
          <w:szCs w:val="20"/>
          <w:lang w:val="en-US" w:eastAsia="es-ES"/>
        </w:rPr>
        <w:t>the State</w:t>
      </w:r>
      <w:r w:rsidR="00B36F28" w:rsidRPr="009D52FD">
        <w:rPr>
          <w:rFonts w:eastAsia="Calibri" w:cs="Verdana"/>
          <w:snapToGrid w:val="0"/>
          <w:sz w:val="20"/>
          <w:szCs w:val="20"/>
          <w:lang w:val="en-US" w:eastAsia="es-ES"/>
        </w:rPr>
        <w:t xml:space="preserve"> </w:t>
      </w:r>
      <w:r w:rsidRPr="009D52FD">
        <w:rPr>
          <w:rFonts w:eastAsia="Calibri" w:cs="Verdana"/>
          <w:snapToGrid w:val="0"/>
          <w:sz w:val="20"/>
          <w:szCs w:val="20"/>
          <w:lang w:val="en-US" w:eastAsia="es-ES"/>
        </w:rPr>
        <w:t>contested that</w:t>
      </w:r>
      <w:r w:rsidR="00B36F28" w:rsidRPr="009D52FD">
        <w:rPr>
          <w:rFonts w:eastAsia="Calibri" w:cs="Verdana"/>
          <w:snapToGrid w:val="0"/>
          <w:sz w:val="20"/>
          <w:szCs w:val="20"/>
          <w:lang w:val="en-US" w:eastAsia="es-ES"/>
        </w:rPr>
        <w:t xml:space="preserve"> “</w:t>
      </w:r>
      <w:r w:rsidRPr="009D52FD">
        <w:rPr>
          <w:rFonts w:eastAsia="Calibri" w:cs="Verdana"/>
          <w:snapToGrid w:val="0"/>
          <w:sz w:val="20"/>
          <w:szCs w:val="20"/>
          <w:lang w:val="en-US" w:eastAsia="es-ES"/>
        </w:rPr>
        <w:t xml:space="preserve">the Venezuelan </w:t>
      </w:r>
      <w:r w:rsidR="00002A76" w:rsidRPr="009D52FD">
        <w:rPr>
          <w:rFonts w:eastAsia="Calibri" w:cs="Verdana"/>
          <w:snapToGrid w:val="0"/>
          <w:sz w:val="20"/>
          <w:szCs w:val="20"/>
          <w:lang w:val="en-US" w:eastAsia="es-ES"/>
        </w:rPr>
        <w:t>auth</w:t>
      </w:r>
      <w:r w:rsidR="006B506A" w:rsidRPr="009D52FD">
        <w:rPr>
          <w:rFonts w:eastAsia="Calibri" w:cs="Verdana"/>
          <w:snapToGrid w:val="0"/>
          <w:sz w:val="20"/>
          <w:szCs w:val="20"/>
          <w:lang w:val="en-US" w:eastAsia="es-ES"/>
        </w:rPr>
        <w:t>or</w:t>
      </w:r>
      <w:r w:rsidRPr="009D52FD">
        <w:rPr>
          <w:rFonts w:eastAsia="Calibri" w:cs="Verdana"/>
          <w:snapToGrid w:val="0"/>
          <w:sz w:val="20"/>
          <w:szCs w:val="20"/>
          <w:lang w:val="en-US" w:eastAsia="es-ES"/>
        </w:rPr>
        <w:t>ities had shown “scant sensitivity” in the treatment accorded to</w:t>
      </w:r>
      <w:r w:rsidR="00B36F28" w:rsidRPr="009D52FD">
        <w:rPr>
          <w:rFonts w:eastAsia="Calibri" w:cs="Verdana"/>
          <w:snapToGrid w:val="0"/>
          <w:sz w:val="20"/>
          <w:szCs w:val="20"/>
          <w:lang w:val="en-US" w:eastAsia="es-ES"/>
        </w:rPr>
        <w:t xml:space="preserve"> Nelson López</w:t>
      </w:r>
      <w:r w:rsidR="003630BB" w:rsidRPr="009D52FD">
        <w:rPr>
          <w:rFonts w:eastAsia="Calibri" w:cs="Verdana"/>
          <w:snapToGrid w:val="0"/>
          <w:sz w:val="20"/>
          <w:szCs w:val="20"/>
          <w:lang w:val="en-US" w:eastAsia="es-ES"/>
        </w:rPr>
        <w:t xml:space="preserve"> and </w:t>
      </w:r>
      <w:r w:rsidR="00B36F28" w:rsidRPr="009D52FD">
        <w:rPr>
          <w:rFonts w:eastAsia="Calibri" w:cs="Verdana"/>
          <w:snapToGrid w:val="0"/>
          <w:sz w:val="20"/>
          <w:szCs w:val="20"/>
          <w:lang w:val="en-US" w:eastAsia="es-ES"/>
        </w:rPr>
        <w:t xml:space="preserve">Paulina Soto </w:t>
      </w:r>
      <w:r w:rsidRPr="009D52FD">
        <w:rPr>
          <w:rFonts w:eastAsia="Calibri" w:cs="Verdana"/>
          <w:snapToGrid w:val="0"/>
          <w:sz w:val="20"/>
          <w:szCs w:val="20"/>
          <w:lang w:val="en-US" w:eastAsia="es-ES"/>
        </w:rPr>
        <w:t>when they came to Caracas to meet up with their daughter, without being allowed to see her initially and, even [having had] to take certain steps to prove that they were her parents.”</w:t>
      </w:r>
    </w:p>
    <w:p w14:paraId="11E1CA8D" w14:textId="77777777" w:rsidR="00E13B6E" w:rsidRPr="009D52FD" w:rsidRDefault="00E13B6E" w:rsidP="001D5713">
      <w:pPr>
        <w:autoSpaceDE w:val="0"/>
        <w:autoSpaceDN w:val="0"/>
        <w:spacing w:line="240" w:lineRule="auto"/>
        <w:rPr>
          <w:sz w:val="20"/>
          <w:szCs w:val="20"/>
          <w:lang w:val="en-US"/>
        </w:rPr>
      </w:pPr>
    </w:p>
    <w:p w14:paraId="1E243FB1" w14:textId="1F9865F1" w:rsidR="00E13B6E" w:rsidRPr="009D52FD" w:rsidRDefault="003630BB" w:rsidP="00DB6AF5">
      <w:pPr>
        <w:numPr>
          <w:ilvl w:val="0"/>
          <w:numId w:val="1"/>
        </w:numPr>
        <w:tabs>
          <w:tab w:val="left" w:pos="567"/>
          <w:tab w:val="num" w:pos="1569"/>
          <w:tab w:val="num" w:pos="12305"/>
        </w:tabs>
        <w:spacing w:line="240" w:lineRule="auto"/>
        <w:ind w:left="0" w:firstLine="0"/>
        <w:rPr>
          <w:rFonts w:eastAsia="Calibri" w:cs="Arial"/>
          <w:sz w:val="16"/>
          <w:szCs w:val="16"/>
          <w:lang w:val="en-US" w:eastAsia="en-US"/>
        </w:rPr>
      </w:pPr>
      <w:r w:rsidRPr="009D52FD">
        <w:rPr>
          <w:sz w:val="20"/>
          <w:szCs w:val="20"/>
          <w:lang w:val="en-US"/>
        </w:rPr>
        <w:t>The State</w:t>
      </w:r>
      <w:r w:rsidR="00E13B6E" w:rsidRPr="009D52FD">
        <w:rPr>
          <w:sz w:val="20"/>
          <w:szCs w:val="20"/>
          <w:lang w:val="en-US"/>
        </w:rPr>
        <w:t xml:space="preserve"> </w:t>
      </w:r>
      <w:r w:rsidR="00DB6AF5" w:rsidRPr="009D52FD">
        <w:rPr>
          <w:sz w:val="20"/>
          <w:szCs w:val="20"/>
          <w:lang w:val="en-US"/>
        </w:rPr>
        <w:t xml:space="preserve">indicated </w:t>
      </w:r>
      <w:r w:rsidR="00E13B6E" w:rsidRPr="009D52FD">
        <w:rPr>
          <w:sz w:val="20"/>
          <w:szCs w:val="20"/>
          <w:lang w:val="en-US"/>
        </w:rPr>
        <w:t>expres</w:t>
      </w:r>
      <w:r w:rsidR="00DB6AF5" w:rsidRPr="009D52FD">
        <w:rPr>
          <w:sz w:val="20"/>
          <w:szCs w:val="20"/>
          <w:lang w:val="en-US"/>
        </w:rPr>
        <w:t xml:space="preserve">sly that its acknowledgement did not include the alleged responsibility derived from the violations committed by non-State agents, in the terms </w:t>
      </w:r>
      <w:r w:rsidR="001306FA" w:rsidRPr="009D52FD">
        <w:rPr>
          <w:sz w:val="20"/>
          <w:szCs w:val="20"/>
          <w:lang w:val="en-US"/>
        </w:rPr>
        <w:t>described</w:t>
      </w:r>
      <w:r w:rsidR="00DB6AF5" w:rsidRPr="009D52FD">
        <w:rPr>
          <w:sz w:val="20"/>
          <w:szCs w:val="20"/>
          <w:lang w:val="en-US"/>
        </w:rPr>
        <w:t xml:space="preserve"> by the Commission. Consequently, Venezuela did not acknowledge the alleged responsibility for the supposed violation of</w:t>
      </w:r>
      <w:r w:rsidR="00DB6AF5" w:rsidRPr="009D52FD">
        <w:rPr>
          <w:rFonts w:eastAsia="Calibri" w:cs="Arial"/>
          <w:sz w:val="16"/>
          <w:szCs w:val="16"/>
          <w:lang w:val="en-US" w:eastAsia="en-US"/>
        </w:rPr>
        <w:t xml:space="preserve"> </w:t>
      </w:r>
      <w:r w:rsidRPr="009D52FD">
        <w:rPr>
          <w:sz w:val="20"/>
          <w:szCs w:val="20"/>
          <w:lang w:val="en-US"/>
        </w:rPr>
        <w:t>Articles</w:t>
      </w:r>
      <w:r w:rsidR="00483040" w:rsidRPr="009D52FD">
        <w:rPr>
          <w:sz w:val="20"/>
          <w:szCs w:val="20"/>
          <w:lang w:val="en-US"/>
        </w:rPr>
        <w:t xml:space="preserve"> 5(1)</w:t>
      </w:r>
      <w:r w:rsidR="00E13B6E" w:rsidRPr="009D52FD">
        <w:rPr>
          <w:sz w:val="20"/>
          <w:szCs w:val="20"/>
          <w:lang w:val="en-US"/>
        </w:rPr>
        <w:t>,</w:t>
      </w:r>
      <w:r w:rsidR="00483040" w:rsidRPr="009D52FD">
        <w:rPr>
          <w:sz w:val="20"/>
          <w:szCs w:val="20"/>
          <w:lang w:val="en-US"/>
        </w:rPr>
        <w:t xml:space="preserve"> 5(2)</w:t>
      </w:r>
      <w:r w:rsidR="00E13B6E" w:rsidRPr="009D52FD">
        <w:rPr>
          <w:sz w:val="20"/>
          <w:szCs w:val="20"/>
          <w:lang w:val="en-US"/>
        </w:rPr>
        <w:t>,</w:t>
      </w:r>
      <w:r w:rsidR="00D32B3E" w:rsidRPr="009D52FD">
        <w:rPr>
          <w:sz w:val="20"/>
          <w:szCs w:val="20"/>
          <w:lang w:val="en-US"/>
        </w:rPr>
        <w:t xml:space="preserve"> 7(1)</w:t>
      </w:r>
      <w:r w:rsidR="00E13B6E" w:rsidRPr="009D52FD">
        <w:rPr>
          <w:sz w:val="20"/>
          <w:szCs w:val="20"/>
          <w:lang w:val="en-US"/>
        </w:rPr>
        <w:t>, 11</w:t>
      </w:r>
      <w:r w:rsidRPr="009D52FD">
        <w:rPr>
          <w:sz w:val="20"/>
          <w:szCs w:val="20"/>
          <w:lang w:val="en-US"/>
        </w:rPr>
        <w:t xml:space="preserve"> and </w:t>
      </w:r>
      <w:r w:rsidR="00E13B6E" w:rsidRPr="009D52FD">
        <w:rPr>
          <w:sz w:val="20"/>
          <w:szCs w:val="20"/>
          <w:lang w:val="en-US"/>
        </w:rPr>
        <w:t>1</w:t>
      </w:r>
      <w:r w:rsidR="00DB6AF5" w:rsidRPr="009D52FD">
        <w:rPr>
          <w:sz w:val="20"/>
          <w:szCs w:val="20"/>
          <w:lang w:val="en-US"/>
        </w:rPr>
        <w:t>(</w:t>
      </w:r>
      <w:r w:rsidR="00E13B6E" w:rsidRPr="009D52FD">
        <w:rPr>
          <w:sz w:val="20"/>
          <w:szCs w:val="20"/>
          <w:lang w:val="en-US"/>
        </w:rPr>
        <w:t>1</w:t>
      </w:r>
      <w:r w:rsidR="00DB6AF5" w:rsidRPr="009D52FD">
        <w:rPr>
          <w:sz w:val="20"/>
          <w:szCs w:val="20"/>
          <w:lang w:val="en-US"/>
        </w:rPr>
        <w:t>)</w:t>
      </w:r>
      <w:r w:rsidRPr="009D52FD">
        <w:rPr>
          <w:sz w:val="20"/>
          <w:szCs w:val="20"/>
          <w:lang w:val="en-US"/>
        </w:rPr>
        <w:t xml:space="preserve"> of the American Convention and Articles</w:t>
      </w:r>
      <w:r w:rsidR="00E13B6E" w:rsidRPr="009D52FD">
        <w:rPr>
          <w:sz w:val="20"/>
          <w:szCs w:val="20"/>
          <w:lang w:val="en-US"/>
        </w:rPr>
        <w:t xml:space="preserve"> 1</w:t>
      </w:r>
      <w:r w:rsidRPr="009D52FD">
        <w:rPr>
          <w:sz w:val="20"/>
          <w:szCs w:val="20"/>
          <w:lang w:val="en-US"/>
        </w:rPr>
        <w:t xml:space="preserve"> and </w:t>
      </w:r>
      <w:r w:rsidR="00E13B6E" w:rsidRPr="009D52FD">
        <w:rPr>
          <w:sz w:val="20"/>
          <w:szCs w:val="20"/>
          <w:lang w:val="en-US"/>
        </w:rPr>
        <w:t xml:space="preserve">6 </w:t>
      </w:r>
      <w:r w:rsidR="00D32B3E" w:rsidRPr="009D52FD">
        <w:rPr>
          <w:sz w:val="20"/>
          <w:szCs w:val="20"/>
          <w:lang w:val="en-US"/>
        </w:rPr>
        <w:t>of the ICPPT</w:t>
      </w:r>
      <w:r w:rsidR="00E13B6E" w:rsidRPr="009D52FD">
        <w:rPr>
          <w:sz w:val="20"/>
          <w:szCs w:val="20"/>
          <w:lang w:val="en-US"/>
        </w:rPr>
        <w:t xml:space="preserve">, </w:t>
      </w:r>
      <w:r w:rsidR="00DB6AF5" w:rsidRPr="009D52FD">
        <w:rPr>
          <w:sz w:val="20"/>
          <w:szCs w:val="20"/>
          <w:lang w:val="en-US"/>
        </w:rPr>
        <w:t xml:space="preserve">because it was not and should not have been aware, prior to her rescue, of the dangerous situation in which Linda Loaiza López Soto found herself, </w:t>
      </w:r>
      <w:r w:rsidR="001306FA" w:rsidRPr="009D52FD">
        <w:rPr>
          <w:sz w:val="20"/>
          <w:szCs w:val="20"/>
          <w:lang w:val="en-US"/>
        </w:rPr>
        <w:t xml:space="preserve">as </w:t>
      </w:r>
      <w:r w:rsidR="00DB6AF5" w:rsidRPr="009D52FD">
        <w:rPr>
          <w:sz w:val="20"/>
          <w:szCs w:val="20"/>
          <w:lang w:val="en-US"/>
        </w:rPr>
        <w:t xml:space="preserve">“there is no evidence that any attempt was made to file a complaint of any type with regard to the situation of </w:t>
      </w:r>
      <w:r w:rsidR="00E13B6E" w:rsidRPr="009D52FD">
        <w:rPr>
          <w:sz w:val="20"/>
          <w:szCs w:val="20"/>
          <w:lang w:val="en-US"/>
        </w:rPr>
        <w:t xml:space="preserve">Linda </w:t>
      </w:r>
      <w:r w:rsidR="00E13B6E" w:rsidRPr="009D52FD">
        <w:rPr>
          <w:sz w:val="20"/>
          <w:szCs w:val="20"/>
          <w:lang w:val="en-US"/>
        </w:rPr>
        <w:lastRenderedPageBreak/>
        <w:t>Loaiza L</w:t>
      </w:r>
      <w:r w:rsidR="0023533F" w:rsidRPr="009D52FD">
        <w:rPr>
          <w:sz w:val="20"/>
          <w:szCs w:val="20"/>
          <w:lang w:val="en-US"/>
        </w:rPr>
        <w:t>ó</w:t>
      </w:r>
      <w:r w:rsidR="00E13B6E" w:rsidRPr="009D52FD">
        <w:rPr>
          <w:sz w:val="20"/>
          <w:szCs w:val="20"/>
          <w:lang w:val="en-US"/>
        </w:rPr>
        <w:t>pez</w:t>
      </w:r>
      <w:r w:rsidR="00DB6AF5" w:rsidRPr="009D52FD">
        <w:rPr>
          <w:sz w:val="20"/>
          <w:szCs w:val="20"/>
          <w:lang w:val="en-US"/>
        </w:rPr>
        <w:t xml:space="preserve"> between March 28 and July 19,</w:t>
      </w:r>
      <w:r w:rsidR="00E13B6E" w:rsidRPr="009D52FD">
        <w:rPr>
          <w:sz w:val="20"/>
          <w:szCs w:val="20"/>
          <w:lang w:val="en-US"/>
        </w:rPr>
        <w:t xml:space="preserve"> 2001</w:t>
      </w:r>
      <w:r w:rsidR="00DB6AF5" w:rsidRPr="009D52FD">
        <w:rPr>
          <w:sz w:val="20"/>
          <w:szCs w:val="20"/>
          <w:lang w:val="en-US"/>
        </w:rPr>
        <w:t>.</w:t>
      </w:r>
      <w:r w:rsidR="00033407" w:rsidRPr="009D52FD">
        <w:rPr>
          <w:sz w:val="20"/>
          <w:szCs w:val="20"/>
          <w:lang w:val="en-US"/>
        </w:rPr>
        <w:t>”</w:t>
      </w:r>
    </w:p>
    <w:p w14:paraId="6FAC332D" w14:textId="77777777" w:rsidR="00E13B6E" w:rsidRPr="009D52FD" w:rsidRDefault="00E13B6E" w:rsidP="00E13B6E">
      <w:pPr>
        <w:tabs>
          <w:tab w:val="left" w:pos="567"/>
        </w:tabs>
        <w:spacing w:line="240" w:lineRule="auto"/>
        <w:rPr>
          <w:rFonts w:eastAsia="Calibri" w:cs="Arial"/>
          <w:sz w:val="20"/>
          <w:szCs w:val="20"/>
          <w:lang w:val="en-US" w:eastAsia="en-US"/>
        </w:rPr>
      </w:pPr>
    </w:p>
    <w:p w14:paraId="5EA0F17E" w14:textId="5CED5608" w:rsidR="00DB6AF5" w:rsidRPr="009D52FD" w:rsidRDefault="00DB6AF5" w:rsidP="00811464">
      <w:pPr>
        <w:numPr>
          <w:ilvl w:val="0"/>
          <w:numId w:val="1"/>
        </w:numPr>
        <w:tabs>
          <w:tab w:val="left" w:pos="567"/>
          <w:tab w:val="num" w:pos="1569"/>
          <w:tab w:val="num" w:pos="12305"/>
        </w:tabs>
        <w:spacing w:line="240" w:lineRule="auto"/>
        <w:ind w:left="0" w:firstLine="0"/>
        <w:rPr>
          <w:rFonts w:eastAsia="Calibri" w:cs="Arial"/>
          <w:sz w:val="20"/>
          <w:szCs w:val="20"/>
          <w:lang w:val="en-US" w:eastAsia="en-US"/>
        </w:rPr>
      </w:pPr>
      <w:r w:rsidRPr="009D52FD">
        <w:rPr>
          <w:rFonts w:eastAsia="Calibri" w:cs="Arial"/>
          <w:sz w:val="20"/>
          <w:szCs w:val="20"/>
          <w:lang w:val="en-US" w:eastAsia="en-US"/>
        </w:rPr>
        <w:t>Regarding reparations</w:t>
      </w:r>
      <w:r w:rsidR="00126862" w:rsidRPr="009D52FD">
        <w:rPr>
          <w:rFonts w:eastAsia="Calibri" w:cs="Arial"/>
          <w:sz w:val="20"/>
          <w:szCs w:val="20"/>
          <w:lang w:val="en-US" w:eastAsia="en-US"/>
        </w:rPr>
        <w:t xml:space="preserve">, </w:t>
      </w:r>
      <w:r w:rsidR="003630BB" w:rsidRPr="009D52FD">
        <w:rPr>
          <w:rFonts w:eastAsia="Calibri" w:cs="Arial"/>
          <w:sz w:val="20"/>
          <w:szCs w:val="20"/>
          <w:lang w:val="en-US" w:eastAsia="en-US"/>
        </w:rPr>
        <w:t>the State</w:t>
      </w:r>
      <w:r w:rsidRPr="009D52FD">
        <w:rPr>
          <w:rFonts w:eastAsia="Calibri" w:cs="Arial"/>
          <w:sz w:val="20"/>
          <w:szCs w:val="20"/>
          <w:lang w:val="en-US" w:eastAsia="en-US"/>
        </w:rPr>
        <w:t xml:space="preserve"> asked that these be established, based on case law and taking into consideration the evidence in the case file. Also, in its final arguments it presented various observations on the measures requested by the representatives and asked that “the guarantees of non-repetition constituted by the institutional and legislative improvements made by the State </w:t>
      </w:r>
      <w:r w:rsidRPr="009D52FD">
        <w:rPr>
          <w:rFonts w:eastAsia="Batang"/>
          <w:sz w:val="20"/>
          <w:szCs w:val="20"/>
          <w:lang w:val="en-US" w:eastAsia="en-US"/>
        </w:rPr>
        <w:t>[…], and the adoption of the measure of satisfaction in favor of Linda Loaiza López Soto and her family [consisting in a public act to acknowledge international responsibility] during the hearing […] be considered […] when delivering judgment in this case.”</w:t>
      </w:r>
    </w:p>
    <w:p w14:paraId="3CECBD81" w14:textId="5CCE2BA7" w:rsidR="00240B08" w:rsidRPr="009D52FD" w:rsidRDefault="00240B08" w:rsidP="00E13B6E">
      <w:pPr>
        <w:widowControl/>
        <w:autoSpaceDE w:val="0"/>
        <w:autoSpaceDN w:val="0"/>
        <w:spacing w:line="240" w:lineRule="auto"/>
        <w:textAlignment w:val="auto"/>
        <w:rPr>
          <w:rFonts w:eastAsia="Calibri" w:cs="Verdana"/>
          <w:snapToGrid w:val="0"/>
          <w:sz w:val="20"/>
          <w:szCs w:val="20"/>
          <w:lang w:val="en-US" w:eastAsia="es-ES"/>
        </w:rPr>
      </w:pPr>
    </w:p>
    <w:p w14:paraId="7E35ADBB" w14:textId="33C01713" w:rsidR="00DB6AF5" w:rsidRPr="009D52FD" w:rsidRDefault="00DB6AF5" w:rsidP="007811D4">
      <w:pPr>
        <w:numPr>
          <w:ilvl w:val="0"/>
          <w:numId w:val="1"/>
        </w:numPr>
        <w:tabs>
          <w:tab w:val="left" w:pos="567"/>
          <w:tab w:val="num" w:pos="1569"/>
          <w:tab w:val="num" w:pos="12305"/>
        </w:tabs>
        <w:spacing w:line="240" w:lineRule="auto"/>
        <w:ind w:left="0" w:firstLine="0"/>
        <w:rPr>
          <w:rFonts w:eastAsia="Calibri" w:cs="Verdana"/>
          <w:snapToGrid w:val="0"/>
          <w:sz w:val="20"/>
          <w:szCs w:val="20"/>
          <w:lang w:val="en-US" w:eastAsia="es-ES"/>
        </w:rPr>
      </w:pPr>
      <w:r w:rsidRPr="009D52FD">
        <w:rPr>
          <w:rFonts w:eastAsia="Calibri" w:cs="Verdana"/>
          <w:snapToGrid w:val="0"/>
          <w:sz w:val="20"/>
          <w:szCs w:val="20"/>
          <w:lang w:val="en-US" w:eastAsia="es-ES"/>
        </w:rPr>
        <w:t xml:space="preserve">In this regard, during the </w:t>
      </w:r>
      <w:r w:rsidR="0002239A" w:rsidRPr="009D52FD">
        <w:rPr>
          <w:rFonts w:eastAsia="Calibri" w:cs="Verdana"/>
          <w:snapToGrid w:val="0"/>
          <w:sz w:val="20"/>
          <w:szCs w:val="20"/>
          <w:lang w:val="en-US" w:eastAsia="es-ES"/>
        </w:rPr>
        <w:t>public hearing</w:t>
      </w:r>
      <w:r w:rsidR="007811D4" w:rsidRPr="009D52FD">
        <w:rPr>
          <w:rFonts w:eastAsia="Calibri" w:cs="Verdana"/>
          <w:snapToGrid w:val="0"/>
          <w:sz w:val="20"/>
          <w:szCs w:val="20"/>
          <w:lang w:val="en-US" w:eastAsia="es-ES"/>
        </w:rPr>
        <w:t xml:space="preserve"> </w:t>
      </w:r>
      <w:r w:rsidR="003630BB" w:rsidRPr="009D52FD">
        <w:rPr>
          <w:rFonts w:eastAsia="Calibri" w:cs="Verdana"/>
          <w:snapToGrid w:val="0"/>
          <w:sz w:val="20"/>
          <w:szCs w:val="20"/>
          <w:lang w:val="en-US" w:eastAsia="es-ES"/>
        </w:rPr>
        <w:t>the State</w:t>
      </w:r>
      <w:r w:rsidR="007811D4" w:rsidRPr="009D52FD">
        <w:rPr>
          <w:rFonts w:eastAsia="Calibri" w:cs="Verdana"/>
          <w:snapToGrid w:val="0"/>
          <w:sz w:val="20"/>
          <w:szCs w:val="20"/>
          <w:lang w:val="en-US" w:eastAsia="es-ES"/>
        </w:rPr>
        <w:t xml:space="preserve"> </w:t>
      </w:r>
      <w:r w:rsidRPr="009D52FD">
        <w:rPr>
          <w:rFonts w:eastAsia="Calibri" w:cs="Verdana"/>
          <w:snapToGrid w:val="0"/>
          <w:sz w:val="20"/>
          <w:szCs w:val="20"/>
          <w:lang w:val="en-US" w:eastAsia="es-ES"/>
        </w:rPr>
        <w:t xml:space="preserve">addressed </w:t>
      </w:r>
      <w:r w:rsidR="007811D4" w:rsidRPr="009D52FD">
        <w:rPr>
          <w:rFonts w:eastAsia="Calibri" w:cs="Verdana"/>
          <w:snapToGrid w:val="0"/>
          <w:sz w:val="20"/>
          <w:szCs w:val="20"/>
          <w:lang w:val="en-US" w:eastAsia="es-ES"/>
        </w:rPr>
        <w:t xml:space="preserve">Linda Loaiza López Soto </w:t>
      </w:r>
      <w:r w:rsidRPr="009D52FD">
        <w:rPr>
          <w:rFonts w:eastAsia="Calibri" w:cs="Verdana"/>
          <w:snapToGrid w:val="0"/>
          <w:sz w:val="20"/>
          <w:szCs w:val="20"/>
          <w:lang w:val="en-US" w:eastAsia="es-ES"/>
        </w:rPr>
        <w:t xml:space="preserve">“to express its sympathy </w:t>
      </w:r>
      <w:r w:rsidR="0081578D" w:rsidRPr="009D52FD">
        <w:rPr>
          <w:rFonts w:eastAsia="Calibri" w:cs="Verdana"/>
          <w:snapToGrid w:val="0"/>
          <w:sz w:val="20"/>
          <w:szCs w:val="20"/>
          <w:lang w:val="en-US" w:eastAsia="es-ES"/>
        </w:rPr>
        <w:t xml:space="preserve">owing to </w:t>
      </w:r>
      <w:r w:rsidRPr="009D52FD">
        <w:rPr>
          <w:rFonts w:eastAsia="Calibri" w:cs="Verdana"/>
          <w:snapToGrid w:val="0"/>
          <w:sz w:val="20"/>
          <w:szCs w:val="20"/>
          <w:lang w:val="en-US" w:eastAsia="es-ES"/>
        </w:rPr>
        <w:t>the gross acts of violence against women of which […] she had been a victim.” Specifically, the State declared the following:</w:t>
      </w:r>
    </w:p>
    <w:p w14:paraId="5BEDD362" w14:textId="77777777" w:rsidR="00720805" w:rsidRPr="009D52FD" w:rsidRDefault="00720805" w:rsidP="00720805">
      <w:pPr>
        <w:tabs>
          <w:tab w:val="left" w:pos="567"/>
        </w:tabs>
        <w:spacing w:line="240" w:lineRule="auto"/>
        <w:rPr>
          <w:rFonts w:eastAsia="Calibri" w:cs="Verdana"/>
          <w:snapToGrid w:val="0"/>
          <w:sz w:val="16"/>
          <w:szCs w:val="16"/>
          <w:lang w:val="en-US" w:eastAsia="es-ES"/>
        </w:rPr>
      </w:pPr>
    </w:p>
    <w:p w14:paraId="7DEFC63A" w14:textId="06D5E905" w:rsidR="00DB6AF5" w:rsidRPr="009D52FD" w:rsidRDefault="00720805" w:rsidP="00DB6AF5">
      <w:pPr>
        <w:tabs>
          <w:tab w:val="left" w:pos="567"/>
          <w:tab w:val="right" w:pos="9496"/>
        </w:tabs>
        <w:spacing w:line="240" w:lineRule="auto"/>
        <w:ind w:left="567" w:right="584"/>
        <w:rPr>
          <w:sz w:val="16"/>
          <w:szCs w:val="16"/>
          <w:lang w:val="en-US"/>
        </w:rPr>
      </w:pPr>
      <w:r w:rsidRPr="009D52FD">
        <w:rPr>
          <w:sz w:val="16"/>
          <w:szCs w:val="16"/>
          <w:lang w:val="en-US"/>
        </w:rPr>
        <w:t xml:space="preserve">Linda Loaiza López Soto: </w:t>
      </w:r>
      <w:r w:rsidR="00DB6AF5" w:rsidRPr="009D52FD">
        <w:rPr>
          <w:sz w:val="16"/>
          <w:szCs w:val="16"/>
          <w:lang w:val="en-US"/>
        </w:rPr>
        <w:t>on behalf</w:t>
      </w:r>
      <w:r w:rsidR="003630BB" w:rsidRPr="009D52FD">
        <w:rPr>
          <w:sz w:val="16"/>
          <w:szCs w:val="16"/>
          <w:lang w:val="en-US"/>
        </w:rPr>
        <w:t xml:space="preserve"> of </w:t>
      </w:r>
      <w:r w:rsidR="0050774C" w:rsidRPr="009D52FD">
        <w:rPr>
          <w:sz w:val="16"/>
          <w:szCs w:val="16"/>
          <w:lang w:val="en-US"/>
        </w:rPr>
        <w:t>the Venezuelan State</w:t>
      </w:r>
      <w:r w:rsidR="00DB6AF5" w:rsidRPr="009D52FD">
        <w:rPr>
          <w:sz w:val="16"/>
          <w:szCs w:val="16"/>
          <w:lang w:val="en-US"/>
        </w:rPr>
        <w:t xml:space="preserve">, I apologize to you and your family for the inadequate actions of the organs of the system of justice that intervened in the processing of the criminal proceedings filed to punish the terrible acts of violence against women </w:t>
      </w:r>
      <w:r w:rsidR="006F4D4F" w:rsidRPr="009D52FD">
        <w:rPr>
          <w:sz w:val="16"/>
          <w:szCs w:val="16"/>
          <w:lang w:val="en-US"/>
        </w:rPr>
        <w:t>of which you</w:t>
      </w:r>
      <w:r w:rsidR="00DB6AF5" w:rsidRPr="009D52FD">
        <w:rPr>
          <w:sz w:val="16"/>
          <w:szCs w:val="16"/>
          <w:lang w:val="en-US"/>
        </w:rPr>
        <w:t xml:space="preserve"> were a victim; we profoundly regret all the suffering that you and your family group have had to endure </w:t>
      </w:r>
      <w:r w:rsidR="006F4D4F" w:rsidRPr="009D52FD">
        <w:rPr>
          <w:sz w:val="16"/>
          <w:szCs w:val="16"/>
          <w:lang w:val="en-US"/>
        </w:rPr>
        <w:t xml:space="preserve">for </w:t>
      </w:r>
      <w:r w:rsidR="00DB6AF5" w:rsidRPr="009D52FD">
        <w:rPr>
          <w:sz w:val="16"/>
          <w:szCs w:val="16"/>
          <w:lang w:val="en-US"/>
        </w:rPr>
        <w:t>almost 17 years in the search for justice. For us and for the people of Venezuela, you are an example of the courage and dignity of women, and also of constancy and engagement in the fight against gender-based violence</w:t>
      </w:r>
      <w:r w:rsidR="00997ADF" w:rsidRPr="009D52FD">
        <w:rPr>
          <w:sz w:val="16"/>
          <w:szCs w:val="16"/>
          <w:lang w:val="en-US"/>
        </w:rPr>
        <w:t>. Please accept our sincere apology.</w:t>
      </w:r>
      <w:r w:rsidR="00DB6AF5" w:rsidRPr="009D52FD">
        <w:rPr>
          <w:sz w:val="16"/>
          <w:szCs w:val="16"/>
          <w:lang w:val="en-US"/>
        </w:rPr>
        <w:tab/>
        <w:t xml:space="preserve"> </w:t>
      </w:r>
    </w:p>
    <w:p w14:paraId="3A43CD3B" w14:textId="77777777" w:rsidR="00240B08" w:rsidRPr="009D52FD" w:rsidRDefault="00240B08" w:rsidP="00E13B6E">
      <w:pPr>
        <w:widowControl/>
        <w:autoSpaceDE w:val="0"/>
        <w:autoSpaceDN w:val="0"/>
        <w:spacing w:line="240" w:lineRule="auto"/>
        <w:textAlignment w:val="auto"/>
        <w:rPr>
          <w:rFonts w:eastAsia="Calibri" w:cs="Verdana"/>
          <w:snapToGrid w:val="0"/>
          <w:sz w:val="20"/>
          <w:szCs w:val="20"/>
          <w:lang w:val="en-US" w:eastAsia="es-ES"/>
        </w:rPr>
      </w:pPr>
    </w:p>
    <w:p w14:paraId="333481A1" w14:textId="4038142E" w:rsidR="00D82994" w:rsidRPr="009D52FD" w:rsidRDefault="003630BB" w:rsidP="00013CDD">
      <w:pPr>
        <w:numPr>
          <w:ilvl w:val="0"/>
          <w:numId w:val="1"/>
        </w:numPr>
        <w:tabs>
          <w:tab w:val="left" w:pos="567"/>
          <w:tab w:val="num" w:pos="1569"/>
          <w:tab w:val="num" w:pos="12305"/>
        </w:tabs>
        <w:spacing w:line="240" w:lineRule="auto"/>
        <w:ind w:left="0" w:firstLine="0"/>
        <w:rPr>
          <w:rFonts w:eastAsia="Calibri" w:cs="Arial"/>
          <w:b/>
          <w:sz w:val="16"/>
          <w:szCs w:val="16"/>
          <w:lang w:val="en-US" w:eastAsia="en-US"/>
        </w:rPr>
      </w:pPr>
      <w:r w:rsidRPr="009D52FD">
        <w:rPr>
          <w:rFonts w:eastAsia="Calibri" w:cs="Arial"/>
          <w:sz w:val="20"/>
          <w:szCs w:val="20"/>
          <w:lang w:val="en-US" w:eastAsia="en-US"/>
        </w:rPr>
        <w:t xml:space="preserve">The </w:t>
      </w:r>
      <w:r w:rsidRPr="009D52FD">
        <w:rPr>
          <w:rFonts w:eastAsia="Calibri" w:cs="Arial"/>
          <w:b/>
          <w:bCs/>
          <w:i/>
          <w:iCs/>
          <w:sz w:val="20"/>
          <w:szCs w:val="20"/>
          <w:lang w:val="en-US" w:eastAsia="en-US"/>
        </w:rPr>
        <w:t>representatives</w:t>
      </w:r>
      <w:r w:rsidR="00E13B6E" w:rsidRPr="009D52FD">
        <w:rPr>
          <w:rFonts w:eastAsia="Calibri" w:cs="Arial"/>
          <w:sz w:val="20"/>
          <w:szCs w:val="20"/>
          <w:lang w:val="en-US" w:eastAsia="en-US"/>
        </w:rPr>
        <w:t xml:space="preserve"> </w:t>
      </w:r>
      <w:r w:rsidR="00D82994" w:rsidRPr="009D52FD">
        <w:rPr>
          <w:rFonts w:eastAsia="Calibri" w:cs="Arial"/>
          <w:sz w:val="20"/>
          <w:szCs w:val="20"/>
          <w:lang w:val="en-US" w:eastAsia="en-US"/>
        </w:rPr>
        <w:t xml:space="preserve">indicated that the acknowledgement made by the State signified a step forward </w:t>
      </w:r>
      <w:r w:rsidR="00FB245D" w:rsidRPr="009D52FD">
        <w:rPr>
          <w:rFonts w:eastAsia="Calibri" w:cs="Arial"/>
          <w:sz w:val="20"/>
          <w:szCs w:val="20"/>
          <w:lang w:val="en-US" w:eastAsia="en-US"/>
        </w:rPr>
        <w:t xml:space="preserve">due </w:t>
      </w:r>
      <w:r w:rsidR="00D82994" w:rsidRPr="009D52FD">
        <w:rPr>
          <w:rFonts w:eastAsia="Calibri" w:cs="Arial"/>
          <w:sz w:val="20"/>
          <w:szCs w:val="20"/>
          <w:lang w:val="en-US" w:eastAsia="en-US"/>
        </w:rPr>
        <w:t>to its symbolic</w:t>
      </w:r>
      <w:r w:rsidR="00FB245D" w:rsidRPr="009D52FD">
        <w:rPr>
          <w:rFonts w:eastAsia="Calibri" w:cs="Arial"/>
          <w:sz w:val="20"/>
          <w:szCs w:val="20"/>
          <w:lang w:val="en-US" w:eastAsia="en-US"/>
        </w:rPr>
        <w:t xml:space="preserve"> and legal</w:t>
      </w:r>
      <w:r w:rsidR="00D82994" w:rsidRPr="009D52FD">
        <w:rPr>
          <w:rFonts w:eastAsia="Calibri" w:cs="Arial"/>
          <w:sz w:val="20"/>
          <w:szCs w:val="20"/>
          <w:lang w:val="en-US" w:eastAsia="en-US"/>
        </w:rPr>
        <w:t xml:space="preserve"> </w:t>
      </w:r>
      <w:r w:rsidR="00FB245D" w:rsidRPr="009D52FD">
        <w:rPr>
          <w:rFonts w:eastAsia="Calibri" w:cs="Arial"/>
          <w:sz w:val="20"/>
          <w:szCs w:val="20"/>
          <w:lang w:val="en-US" w:eastAsia="en-US"/>
        </w:rPr>
        <w:t>significance</w:t>
      </w:r>
      <w:r w:rsidR="00D82994" w:rsidRPr="009D52FD">
        <w:rPr>
          <w:rFonts w:eastAsia="Calibri" w:cs="Arial"/>
          <w:sz w:val="20"/>
          <w:szCs w:val="20"/>
          <w:lang w:val="en-US" w:eastAsia="en-US"/>
        </w:rPr>
        <w:t xml:space="preserve">. They pointed out that, for Linda Loaiza López, “it was extremely important that the State had acknowledged that the way in which </w:t>
      </w:r>
      <w:r w:rsidR="00FB245D" w:rsidRPr="009D52FD">
        <w:rPr>
          <w:rFonts w:eastAsia="Calibri" w:cs="Arial"/>
          <w:sz w:val="20"/>
          <w:szCs w:val="20"/>
          <w:lang w:val="en-US" w:eastAsia="en-US"/>
        </w:rPr>
        <w:t>it had</w:t>
      </w:r>
      <w:r w:rsidR="00D82994" w:rsidRPr="009D52FD">
        <w:rPr>
          <w:rFonts w:eastAsia="Calibri" w:cs="Arial"/>
          <w:sz w:val="20"/>
          <w:szCs w:val="20"/>
          <w:lang w:val="en-US" w:eastAsia="en-US"/>
        </w:rPr>
        <w:t xml:space="preserve"> treated</w:t>
      </w:r>
      <w:r w:rsidR="00FB245D" w:rsidRPr="009D52FD">
        <w:rPr>
          <w:rFonts w:eastAsia="Calibri" w:cs="Arial"/>
          <w:sz w:val="20"/>
          <w:szCs w:val="20"/>
          <w:lang w:val="en-US" w:eastAsia="en-US"/>
        </w:rPr>
        <w:t xml:space="preserve"> her</w:t>
      </w:r>
      <w:r w:rsidR="00D82994" w:rsidRPr="009D52FD">
        <w:rPr>
          <w:rFonts w:eastAsia="Calibri" w:cs="Arial"/>
          <w:sz w:val="20"/>
          <w:szCs w:val="20"/>
          <w:lang w:val="en-US" w:eastAsia="en-US"/>
        </w:rPr>
        <w:t xml:space="preserve"> </w:t>
      </w:r>
      <w:r w:rsidR="00FB245D" w:rsidRPr="009D52FD">
        <w:rPr>
          <w:rFonts w:eastAsia="Calibri" w:cs="Arial"/>
          <w:sz w:val="20"/>
          <w:szCs w:val="20"/>
          <w:lang w:val="en-US" w:eastAsia="en-US"/>
        </w:rPr>
        <w:t>over</w:t>
      </w:r>
      <w:r w:rsidR="00D82994" w:rsidRPr="009D52FD">
        <w:rPr>
          <w:rFonts w:eastAsia="Calibri" w:cs="Arial"/>
          <w:sz w:val="20"/>
          <w:szCs w:val="20"/>
          <w:lang w:val="en-US" w:eastAsia="en-US"/>
        </w:rPr>
        <w:t xml:space="preserve"> the last 16 years had resulted in serious violations of her human rights and had caused severe harm to both her and her family.” They stated that, although this partial acknowledgement should be accepted and have full legal effect in the proceedings, several aspects merit</w:t>
      </w:r>
      <w:r w:rsidR="00FB245D" w:rsidRPr="009D52FD">
        <w:rPr>
          <w:rFonts w:eastAsia="Calibri" w:cs="Arial"/>
          <w:sz w:val="20"/>
          <w:szCs w:val="20"/>
          <w:lang w:val="en-US" w:eastAsia="en-US"/>
        </w:rPr>
        <w:t>ed</w:t>
      </w:r>
      <w:r w:rsidR="00D82994" w:rsidRPr="009D52FD">
        <w:rPr>
          <w:rFonts w:eastAsia="Calibri" w:cs="Arial"/>
          <w:sz w:val="20"/>
          <w:szCs w:val="20"/>
          <w:lang w:val="en-US" w:eastAsia="en-US"/>
        </w:rPr>
        <w:t xml:space="preserve"> additional analysis by the Court to establish clearly the proven facts and the scope of the State’s responsibility</w:t>
      </w:r>
      <w:r w:rsidR="00FB245D" w:rsidRPr="009D52FD">
        <w:rPr>
          <w:rFonts w:eastAsia="Calibri" w:cs="Arial"/>
          <w:sz w:val="20"/>
          <w:szCs w:val="20"/>
          <w:lang w:val="en-US" w:eastAsia="en-US"/>
        </w:rPr>
        <w:t xml:space="preserve">; thus, </w:t>
      </w:r>
      <w:r w:rsidR="00D82994" w:rsidRPr="009D52FD">
        <w:rPr>
          <w:rFonts w:eastAsia="Calibri" w:cs="Arial"/>
          <w:sz w:val="20"/>
          <w:szCs w:val="20"/>
          <w:lang w:val="en-US" w:eastAsia="en-US"/>
        </w:rPr>
        <w:t>“the dispute in this case has not ended.”</w:t>
      </w:r>
    </w:p>
    <w:p w14:paraId="6B54EB48" w14:textId="77777777" w:rsidR="00E13B6E" w:rsidRPr="009D52FD" w:rsidRDefault="00E13B6E" w:rsidP="00E13B6E">
      <w:pPr>
        <w:widowControl/>
        <w:autoSpaceDE w:val="0"/>
        <w:autoSpaceDN w:val="0"/>
        <w:spacing w:line="240" w:lineRule="auto"/>
        <w:textAlignment w:val="auto"/>
        <w:rPr>
          <w:rFonts w:eastAsia="Calibri" w:cs="Arial"/>
          <w:sz w:val="20"/>
          <w:szCs w:val="20"/>
          <w:lang w:val="en-US" w:eastAsia="en-US"/>
        </w:rPr>
      </w:pPr>
    </w:p>
    <w:p w14:paraId="67957D7D" w14:textId="38AADC0C" w:rsidR="00D82994" w:rsidRPr="009D52FD" w:rsidRDefault="00D82994" w:rsidP="00405581">
      <w:pPr>
        <w:numPr>
          <w:ilvl w:val="0"/>
          <w:numId w:val="1"/>
        </w:numPr>
        <w:tabs>
          <w:tab w:val="left" w:pos="567"/>
          <w:tab w:val="num" w:pos="1569"/>
          <w:tab w:val="num" w:pos="12305"/>
        </w:tabs>
        <w:spacing w:line="240" w:lineRule="auto"/>
        <w:ind w:left="0" w:firstLine="0"/>
        <w:rPr>
          <w:rFonts w:eastAsia="MS Mincho" w:cs="Arial"/>
          <w:sz w:val="20"/>
          <w:lang w:val="en-US" w:eastAsia="en-US"/>
        </w:rPr>
      </w:pPr>
      <w:r w:rsidRPr="009D52FD">
        <w:rPr>
          <w:rFonts w:eastAsia="Calibri" w:cs="Arial"/>
          <w:sz w:val="20"/>
          <w:szCs w:val="20"/>
          <w:lang w:val="en-US" w:eastAsia="en-US"/>
        </w:rPr>
        <w:t>I</w:t>
      </w:r>
      <w:r w:rsidR="0059166A" w:rsidRPr="009D52FD">
        <w:rPr>
          <w:rFonts w:eastAsia="Calibri" w:cs="Arial"/>
          <w:sz w:val="20"/>
          <w:szCs w:val="20"/>
          <w:lang w:val="en-US" w:eastAsia="en-US"/>
        </w:rPr>
        <w:t xml:space="preserve">n </w:t>
      </w:r>
      <w:r w:rsidR="003C3CB3" w:rsidRPr="009D52FD">
        <w:rPr>
          <w:rFonts w:eastAsia="Calibri" w:cs="Arial"/>
          <w:sz w:val="20"/>
          <w:szCs w:val="20"/>
          <w:lang w:val="en-US" w:eastAsia="en-US"/>
        </w:rPr>
        <w:t xml:space="preserve">particular, </w:t>
      </w:r>
      <w:r w:rsidRPr="009D52FD">
        <w:rPr>
          <w:rFonts w:eastAsia="Calibri" w:cs="Arial"/>
          <w:sz w:val="20"/>
          <w:szCs w:val="20"/>
          <w:lang w:val="en-US" w:eastAsia="en-US"/>
        </w:rPr>
        <w:t xml:space="preserve">they indicated that, </w:t>
      </w:r>
      <w:r w:rsidR="00FB245D" w:rsidRPr="009D52FD">
        <w:rPr>
          <w:rFonts w:eastAsia="Calibri" w:cs="Arial"/>
          <w:sz w:val="20"/>
          <w:szCs w:val="20"/>
          <w:lang w:val="en-US" w:eastAsia="en-US"/>
        </w:rPr>
        <w:t>regarding</w:t>
      </w:r>
      <w:r w:rsidRPr="009D52FD">
        <w:rPr>
          <w:rFonts w:eastAsia="Calibri" w:cs="Arial"/>
          <w:sz w:val="20"/>
          <w:szCs w:val="20"/>
          <w:lang w:val="en-US" w:eastAsia="en-US"/>
        </w:rPr>
        <w:t xml:space="preserve"> the reasonable time and due diligence with regard to acts of violence against women, the acknowledgement made by the State was very general and did not allow it to be determined whether it covered each and every violation alleged by the representatives, “including the discriminatory treatment by public officials</w:t>
      </w:r>
      <w:r w:rsidR="00FB245D" w:rsidRPr="009D52FD">
        <w:rPr>
          <w:rFonts w:eastAsia="Calibri" w:cs="Arial"/>
          <w:sz w:val="20"/>
          <w:szCs w:val="20"/>
          <w:lang w:val="en-US" w:eastAsia="en-US"/>
        </w:rPr>
        <w:t>,</w:t>
      </w:r>
      <w:r w:rsidRPr="009D52FD">
        <w:rPr>
          <w:rFonts w:eastAsia="Calibri" w:cs="Arial"/>
          <w:sz w:val="20"/>
          <w:szCs w:val="20"/>
          <w:lang w:val="en-US" w:eastAsia="en-US"/>
        </w:rPr>
        <w:t xml:space="preserve"> and deficiencies such as the failure to conduct the necessary procedures and </w:t>
      </w:r>
      <w:r w:rsidR="00FB245D" w:rsidRPr="009D52FD">
        <w:rPr>
          <w:rFonts w:eastAsia="Calibri" w:cs="Arial"/>
          <w:sz w:val="20"/>
          <w:szCs w:val="20"/>
          <w:lang w:val="en-US" w:eastAsia="en-US"/>
        </w:rPr>
        <w:t>to ensure</w:t>
      </w:r>
      <w:r w:rsidRPr="009D52FD">
        <w:rPr>
          <w:rFonts w:eastAsia="Calibri" w:cs="Arial"/>
          <w:sz w:val="20"/>
          <w:szCs w:val="20"/>
          <w:lang w:val="en-US" w:eastAsia="en-US"/>
        </w:rPr>
        <w:t xml:space="preserve"> the chain of custody for the evidence.” Regarding the initial procedures</w:t>
      </w:r>
      <w:r w:rsidR="00FB245D" w:rsidRPr="009D52FD">
        <w:rPr>
          <w:rFonts w:eastAsia="Calibri" w:cs="Arial"/>
          <w:sz w:val="20"/>
          <w:szCs w:val="20"/>
          <w:lang w:val="en-US" w:eastAsia="en-US"/>
        </w:rPr>
        <w:t>,</w:t>
      </w:r>
      <w:r w:rsidRPr="009D52FD">
        <w:rPr>
          <w:rFonts w:eastAsia="Calibri" w:cs="Arial"/>
          <w:sz w:val="20"/>
          <w:szCs w:val="20"/>
          <w:lang w:val="en-US" w:eastAsia="en-US"/>
        </w:rPr>
        <w:t xml:space="preserve"> the discriminatory context and the violations of the integrity of </w:t>
      </w:r>
      <w:r w:rsidRPr="009D52FD">
        <w:rPr>
          <w:rFonts w:eastAsia="MS Mincho" w:cs="Arial"/>
          <w:sz w:val="20"/>
          <w:lang w:val="en-US" w:eastAsia="en-US"/>
        </w:rPr>
        <w:t>Linda Loaiza López, they specified</w:t>
      </w:r>
      <w:r w:rsidR="000F4AFF" w:rsidRPr="009D52FD">
        <w:rPr>
          <w:rFonts w:eastAsia="MS Mincho" w:cs="Arial"/>
          <w:sz w:val="20"/>
          <w:lang w:val="en-US" w:eastAsia="en-US"/>
        </w:rPr>
        <w:t xml:space="preserve"> that the ambiguity in the wording used and the lack of greater precision </w:t>
      </w:r>
      <w:r w:rsidR="00FB245D" w:rsidRPr="009D52FD">
        <w:rPr>
          <w:rFonts w:eastAsia="MS Mincho" w:cs="Arial"/>
          <w:sz w:val="20"/>
          <w:lang w:val="en-US" w:eastAsia="en-US"/>
        </w:rPr>
        <w:t>raised</w:t>
      </w:r>
      <w:r w:rsidR="000F4AFF" w:rsidRPr="009D52FD">
        <w:rPr>
          <w:rFonts w:eastAsia="MS Mincho" w:cs="Arial"/>
          <w:sz w:val="20"/>
          <w:lang w:val="en-US" w:eastAsia="en-US"/>
        </w:rPr>
        <w:t xml:space="preserve"> doubts about the factual and legal grounds on which the State had made the acknowledgement. Specifically, the</w:t>
      </w:r>
      <w:r w:rsidR="00FB245D" w:rsidRPr="009D52FD">
        <w:rPr>
          <w:rFonts w:eastAsia="MS Mincho" w:cs="Arial"/>
          <w:sz w:val="20"/>
          <w:lang w:val="en-US" w:eastAsia="en-US"/>
        </w:rPr>
        <w:t xml:space="preserve"> representatives</w:t>
      </w:r>
      <w:r w:rsidR="000F4AFF" w:rsidRPr="009D52FD">
        <w:rPr>
          <w:rFonts w:eastAsia="MS Mincho" w:cs="Arial"/>
          <w:sz w:val="20"/>
          <w:lang w:val="en-US" w:eastAsia="en-US"/>
        </w:rPr>
        <w:t xml:space="preserve"> indicated that the acknowledgement did not reveal </w:t>
      </w:r>
      <w:r w:rsidR="00FB245D" w:rsidRPr="009D52FD">
        <w:rPr>
          <w:rFonts w:eastAsia="MS Mincho" w:cs="Arial"/>
          <w:sz w:val="20"/>
          <w:lang w:val="en-US" w:eastAsia="en-US"/>
        </w:rPr>
        <w:t xml:space="preserve">precisely </w:t>
      </w:r>
      <w:r w:rsidR="000F4AFF" w:rsidRPr="009D52FD">
        <w:rPr>
          <w:rFonts w:eastAsia="MS Mincho" w:cs="Arial"/>
          <w:sz w:val="20"/>
          <w:lang w:val="en-US" w:eastAsia="en-US"/>
        </w:rPr>
        <w:t>which</w:t>
      </w:r>
      <w:r w:rsidR="00FB245D" w:rsidRPr="009D52FD">
        <w:rPr>
          <w:rFonts w:eastAsia="MS Mincho" w:cs="Arial"/>
          <w:sz w:val="20"/>
          <w:lang w:val="en-US" w:eastAsia="en-US"/>
        </w:rPr>
        <w:t xml:space="preserve"> </w:t>
      </w:r>
      <w:r w:rsidR="000F4AFF" w:rsidRPr="009D52FD">
        <w:rPr>
          <w:rFonts w:eastAsia="MS Mincho" w:cs="Arial"/>
          <w:sz w:val="20"/>
          <w:lang w:val="en-US" w:eastAsia="en-US"/>
        </w:rPr>
        <w:t xml:space="preserve">provisions of the legal framework the State understood </w:t>
      </w:r>
      <w:r w:rsidR="00FB245D" w:rsidRPr="009D52FD">
        <w:rPr>
          <w:rFonts w:eastAsia="MS Mincho" w:cs="Arial"/>
          <w:sz w:val="20"/>
          <w:lang w:val="en-US" w:eastAsia="en-US"/>
        </w:rPr>
        <w:t>to be</w:t>
      </w:r>
      <w:r w:rsidR="000F4AFF" w:rsidRPr="009D52FD">
        <w:rPr>
          <w:rFonts w:eastAsia="MS Mincho" w:cs="Arial"/>
          <w:sz w:val="20"/>
          <w:lang w:val="en-US" w:eastAsia="en-US"/>
        </w:rPr>
        <w:t xml:space="preserve"> contrary to the Convention. In addition, they asserted that the State had not presented arguments </w:t>
      </w:r>
      <w:r w:rsidR="00FB245D" w:rsidRPr="009D52FD">
        <w:rPr>
          <w:rFonts w:eastAsia="MS Mincho" w:cs="Arial"/>
          <w:sz w:val="20"/>
          <w:lang w:val="en-US" w:eastAsia="en-US"/>
        </w:rPr>
        <w:t>concerning</w:t>
      </w:r>
      <w:r w:rsidR="000F4AFF" w:rsidRPr="009D52FD">
        <w:rPr>
          <w:rFonts w:eastAsia="MS Mincho" w:cs="Arial"/>
          <w:sz w:val="20"/>
          <w:lang w:val="en-US" w:eastAsia="en-US"/>
        </w:rPr>
        <w:t xml:space="preserve"> the absence of a protocol to guide the investigation of sexual violence. Lastly, regarding the violations of the</w:t>
      </w:r>
      <w:r w:rsidR="00E830B3" w:rsidRPr="009D52FD">
        <w:rPr>
          <w:rFonts w:eastAsia="MS Mincho" w:cs="Arial"/>
          <w:sz w:val="20"/>
          <w:lang w:val="en-US" w:eastAsia="en-US"/>
        </w:rPr>
        <w:t xml:space="preserve"> family’s</w:t>
      </w:r>
      <w:r w:rsidR="00FB245D" w:rsidRPr="009D52FD">
        <w:rPr>
          <w:rFonts w:eastAsia="MS Mincho" w:cs="Arial"/>
          <w:sz w:val="20"/>
          <w:lang w:val="en-US" w:eastAsia="en-US"/>
        </w:rPr>
        <w:t xml:space="preserve"> </w:t>
      </w:r>
      <w:r w:rsidR="000F4AFF" w:rsidRPr="009D52FD">
        <w:rPr>
          <w:rFonts w:eastAsia="MS Mincho" w:cs="Arial"/>
          <w:sz w:val="20"/>
          <w:lang w:val="en-US" w:eastAsia="en-US"/>
        </w:rPr>
        <w:t>integrity, the representatives asked the Court to analyze and to consider those violations as they were presented in the pleadings and motions brief, in particular, as regards the access to education and the life project</w:t>
      </w:r>
      <w:r w:rsidR="00E830B3" w:rsidRPr="009D52FD">
        <w:rPr>
          <w:rFonts w:eastAsia="MS Mincho" w:cs="Arial"/>
          <w:sz w:val="20"/>
          <w:lang w:val="en-US" w:eastAsia="en-US"/>
        </w:rPr>
        <w:t>s of the family members</w:t>
      </w:r>
      <w:r w:rsidR="000F4AFF" w:rsidRPr="009D52FD">
        <w:rPr>
          <w:rFonts w:eastAsia="MS Mincho" w:cs="Arial"/>
          <w:sz w:val="20"/>
          <w:lang w:val="en-US" w:eastAsia="en-US"/>
        </w:rPr>
        <w:t>.</w:t>
      </w:r>
    </w:p>
    <w:p w14:paraId="4209D83E" w14:textId="77777777" w:rsidR="00E13B6E" w:rsidRPr="009D52FD" w:rsidRDefault="00E13B6E" w:rsidP="00925DF3">
      <w:pPr>
        <w:widowControl/>
        <w:autoSpaceDE w:val="0"/>
        <w:autoSpaceDN w:val="0"/>
        <w:spacing w:line="240" w:lineRule="auto"/>
        <w:contextualSpacing/>
        <w:textAlignment w:val="auto"/>
        <w:rPr>
          <w:rFonts w:eastAsia="MS Mincho" w:cs="Arial"/>
          <w:sz w:val="20"/>
          <w:lang w:val="en-US" w:eastAsia="en-US"/>
        </w:rPr>
      </w:pPr>
    </w:p>
    <w:p w14:paraId="46D5A4A4" w14:textId="43B3659C" w:rsidR="0081578D" w:rsidRPr="009D52FD" w:rsidRDefault="0081578D" w:rsidP="00A36536">
      <w:pPr>
        <w:numPr>
          <w:ilvl w:val="0"/>
          <w:numId w:val="1"/>
        </w:numPr>
        <w:tabs>
          <w:tab w:val="left" w:pos="567"/>
          <w:tab w:val="num" w:pos="1569"/>
          <w:tab w:val="num" w:pos="12305"/>
        </w:tabs>
        <w:spacing w:line="240" w:lineRule="auto"/>
        <w:ind w:left="0" w:firstLine="0"/>
        <w:rPr>
          <w:rFonts w:eastAsia="MS Mincho" w:cs="Arial"/>
          <w:sz w:val="20"/>
          <w:lang w:val="en-US" w:eastAsia="en-US"/>
        </w:rPr>
      </w:pPr>
      <w:r w:rsidRPr="009D52FD">
        <w:rPr>
          <w:rFonts w:eastAsia="Calibri" w:cs="Arial"/>
          <w:sz w:val="20"/>
          <w:szCs w:val="20"/>
          <w:lang w:val="en-US" w:eastAsia="en-US"/>
        </w:rPr>
        <w:t>The</w:t>
      </w:r>
      <w:r w:rsidR="003630BB" w:rsidRPr="009D52FD">
        <w:rPr>
          <w:rFonts w:eastAsia="Calibri" w:cs="Arial"/>
          <w:sz w:val="20"/>
          <w:szCs w:val="20"/>
          <w:lang w:val="en-US" w:eastAsia="en-US"/>
        </w:rPr>
        <w:t xml:space="preserve"> representatives</w:t>
      </w:r>
      <w:r w:rsidR="00E13B6E" w:rsidRPr="009D52FD">
        <w:rPr>
          <w:rFonts w:eastAsia="Calibri" w:cs="Arial"/>
          <w:sz w:val="20"/>
          <w:szCs w:val="20"/>
          <w:lang w:val="en-US" w:eastAsia="en-US"/>
        </w:rPr>
        <w:t xml:space="preserve"> </w:t>
      </w:r>
      <w:r w:rsidRPr="009D52FD">
        <w:rPr>
          <w:rFonts w:eastAsia="Calibri" w:cs="Arial"/>
          <w:sz w:val="20"/>
          <w:szCs w:val="20"/>
          <w:lang w:val="en-US" w:eastAsia="en-US"/>
        </w:rPr>
        <w:t xml:space="preserve">also referred to the </w:t>
      </w:r>
      <w:r w:rsidR="00E830B3" w:rsidRPr="009D52FD">
        <w:rPr>
          <w:rFonts w:eastAsia="Calibri" w:cs="Arial"/>
          <w:sz w:val="20"/>
          <w:szCs w:val="20"/>
          <w:lang w:val="en-US" w:eastAsia="en-US"/>
        </w:rPr>
        <w:t>elements</w:t>
      </w:r>
      <w:r w:rsidRPr="009D52FD">
        <w:rPr>
          <w:rFonts w:eastAsia="Calibri" w:cs="Arial"/>
          <w:sz w:val="20"/>
          <w:szCs w:val="20"/>
          <w:lang w:val="en-US" w:eastAsia="en-US"/>
        </w:rPr>
        <w:t xml:space="preserve"> that had not been acknowledged by the State and indicated that: (i) </w:t>
      </w:r>
      <w:r w:rsidR="003630BB" w:rsidRPr="009D52FD">
        <w:rPr>
          <w:rFonts w:eastAsia="Calibri" w:cs="Arial"/>
          <w:sz w:val="20"/>
          <w:szCs w:val="20"/>
          <w:lang w:val="en-US" w:eastAsia="en-US"/>
        </w:rPr>
        <w:t>the State</w:t>
      </w:r>
      <w:r w:rsidR="001C114C" w:rsidRPr="009D52FD">
        <w:rPr>
          <w:rFonts w:eastAsia="MS Mincho" w:cs="Arial"/>
          <w:sz w:val="20"/>
          <w:szCs w:val="20"/>
          <w:lang w:val="en-US" w:eastAsia="en-US"/>
        </w:rPr>
        <w:t xml:space="preserve"> </w:t>
      </w:r>
      <w:r w:rsidRPr="009D52FD">
        <w:rPr>
          <w:rFonts w:eastAsia="MS Mincho" w:cs="Arial"/>
          <w:sz w:val="20"/>
          <w:szCs w:val="20"/>
          <w:lang w:val="en-US" w:eastAsia="en-US"/>
        </w:rPr>
        <w:t xml:space="preserve">had questioned, although not contested, the facts that prove that the State was aware </w:t>
      </w:r>
      <w:r w:rsidR="00E830B3" w:rsidRPr="009D52FD">
        <w:rPr>
          <w:rFonts w:eastAsia="MS Mincho" w:cs="Arial"/>
          <w:sz w:val="20"/>
          <w:szCs w:val="20"/>
          <w:lang w:val="en-US" w:eastAsia="en-US"/>
        </w:rPr>
        <w:t>that</w:t>
      </w:r>
      <w:r w:rsidRPr="009D52FD">
        <w:rPr>
          <w:rFonts w:eastAsia="MS Mincho" w:cs="Arial"/>
          <w:sz w:val="20"/>
          <w:szCs w:val="20"/>
          <w:lang w:val="en-US" w:eastAsia="en-US"/>
        </w:rPr>
        <w:t xml:space="preserve"> </w:t>
      </w:r>
      <w:r w:rsidR="00E13B6E" w:rsidRPr="009D52FD">
        <w:rPr>
          <w:rFonts w:eastAsia="MS Mincho" w:cs="Arial"/>
          <w:sz w:val="20"/>
          <w:szCs w:val="20"/>
          <w:lang w:val="en-US" w:eastAsia="en-US"/>
        </w:rPr>
        <w:t>Linda Loaiza López</w:t>
      </w:r>
      <w:r w:rsidR="00E830B3" w:rsidRPr="009D52FD">
        <w:rPr>
          <w:rFonts w:eastAsia="MS Mincho" w:cs="Arial"/>
          <w:sz w:val="20"/>
          <w:szCs w:val="20"/>
          <w:lang w:val="en-US" w:eastAsia="en-US"/>
        </w:rPr>
        <w:t xml:space="preserve"> was in a situation of imminent danger</w:t>
      </w:r>
      <w:r w:rsidR="00E13B6E" w:rsidRPr="009D52FD">
        <w:rPr>
          <w:rFonts w:eastAsia="MS Mincho" w:cs="Arial"/>
          <w:sz w:val="20"/>
          <w:szCs w:val="20"/>
          <w:lang w:val="en-US" w:eastAsia="en-US"/>
        </w:rPr>
        <w:t xml:space="preserve"> </w:t>
      </w:r>
      <w:r w:rsidRPr="009D52FD">
        <w:rPr>
          <w:rFonts w:eastAsia="MS Mincho" w:cs="Arial"/>
          <w:sz w:val="20"/>
          <w:szCs w:val="20"/>
          <w:lang w:val="en-US" w:eastAsia="en-US"/>
        </w:rPr>
        <w:t>as of March 27,</w:t>
      </w:r>
      <w:r w:rsidR="00E13B6E" w:rsidRPr="009D52FD">
        <w:rPr>
          <w:rFonts w:eastAsia="MS Mincho" w:cs="Arial"/>
          <w:sz w:val="20"/>
          <w:szCs w:val="20"/>
          <w:lang w:val="en-US" w:eastAsia="en-US"/>
        </w:rPr>
        <w:t xml:space="preserve"> 2001</w:t>
      </w:r>
      <w:r w:rsidR="00BA2E5A" w:rsidRPr="009D52FD">
        <w:rPr>
          <w:rFonts w:eastAsia="MS Mincho" w:cs="Arial"/>
          <w:sz w:val="20"/>
          <w:szCs w:val="20"/>
          <w:lang w:val="en-US" w:eastAsia="en-US"/>
        </w:rPr>
        <w:t>;</w:t>
      </w:r>
      <w:r w:rsidR="00E13B6E" w:rsidRPr="009D52FD">
        <w:rPr>
          <w:rFonts w:eastAsia="MS Mincho" w:cs="Arial"/>
          <w:sz w:val="20"/>
          <w:szCs w:val="20"/>
          <w:lang w:val="en-US" w:eastAsia="en-US"/>
        </w:rPr>
        <w:t xml:space="preserve"> </w:t>
      </w:r>
      <w:r w:rsidRPr="009D52FD">
        <w:rPr>
          <w:rFonts w:eastAsia="MS Mincho" w:cs="Arial"/>
          <w:sz w:val="20"/>
          <w:szCs w:val="20"/>
          <w:lang w:val="en-US" w:eastAsia="en-US"/>
        </w:rPr>
        <w:t>(</w:t>
      </w:r>
      <w:r w:rsidR="00BA2E5A" w:rsidRPr="009D52FD">
        <w:rPr>
          <w:rFonts w:eastAsia="MS Mincho" w:cs="Arial"/>
          <w:sz w:val="20"/>
          <w:szCs w:val="20"/>
          <w:lang w:val="en-US" w:eastAsia="en-US"/>
        </w:rPr>
        <w:t xml:space="preserve">ii) </w:t>
      </w:r>
      <w:r w:rsidR="003630BB" w:rsidRPr="009D52FD">
        <w:rPr>
          <w:rFonts w:eastAsia="MS Mincho" w:cs="Arial"/>
          <w:sz w:val="20"/>
          <w:szCs w:val="20"/>
          <w:lang w:val="en-US" w:eastAsia="en-US"/>
        </w:rPr>
        <w:t>the State</w:t>
      </w:r>
      <w:r w:rsidR="001C114C" w:rsidRPr="009D52FD">
        <w:rPr>
          <w:rFonts w:eastAsia="MS Mincho" w:cs="Arial"/>
          <w:sz w:val="20"/>
          <w:szCs w:val="20"/>
          <w:lang w:val="en-US" w:eastAsia="en-US"/>
        </w:rPr>
        <w:t xml:space="preserve"> </w:t>
      </w:r>
      <w:r w:rsidRPr="009D52FD">
        <w:rPr>
          <w:rFonts w:eastAsia="MS Mincho" w:cs="Arial"/>
          <w:sz w:val="20"/>
          <w:szCs w:val="20"/>
          <w:lang w:val="en-US" w:eastAsia="en-US"/>
        </w:rPr>
        <w:t xml:space="preserve">had questioned and contested the existence of a context of violence against women and the pattern of </w:t>
      </w:r>
      <w:r w:rsidR="00E830B3" w:rsidRPr="009D52FD">
        <w:rPr>
          <w:rFonts w:eastAsia="MS Mincho" w:cs="Arial"/>
          <w:sz w:val="20"/>
          <w:szCs w:val="20"/>
          <w:lang w:val="en-US" w:eastAsia="en-US"/>
        </w:rPr>
        <w:t xml:space="preserve">a </w:t>
      </w:r>
      <w:r w:rsidRPr="009D52FD">
        <w:rPr>
          <w:rFonts w:eastAsia="MS Mincho" w:cs="Arial"/>
          <w:sz w:val="20"/>
          <w:szCs w:val="20"/>
          <w:lang w:val="en-US" w:eastAsia="en-US"/>
        </w:rPr>
        <w:t>refus</w:t>
      </w:r>
      <w:r w:rsidR="00E830B3" w:rsidRPr="009D52FD">
        <w:rPr>
          <w:rFonts w:eastAsia="MS Mincho" w:cs="Arial"/>
          <w:sz w:val="20"/>
          <w:szCs w:val="20"/>
          <w:lang w:val="en-US" w:eastAsia="en-US"/>
        </w:rPr>
        <w:t>al</w:t>
      </w:r>
      <w:r w:rsidRPr="009D52FD">
        <w:rPr>
          <w:rFonts w:eastAsia="MS Mincho" w:cs="Arial"/>
          <w:sz w:val="20"/>
          <w:szCs w:val="20"/>
          <w:lang w:val="en-US" w:eastAsia="en-US"/>
        </w:rPr>
        <w:t xml:space="preserve"> to receive </w:t>
      </w:r>
      <w:r w:rsidR="00E830B3" w:rsidRPr="009D52FD">
        <w:rPr>
          <w:rFonts w:eastAsia="MS Mincho" w:cs="Arial"/>
          <w:sz w:val="20"/>
          <w:szCs w:val="20"/>
          <w:lang w:val="en-US" w:eastAsia="en-US"/>
        </w:rPr>
        <w:t>reports</w:t>
      </w:r>
      <w:r w:rsidRPr="009D52FD">
        <w:rPr>
          <w:rFonts w:eastAsia="MS Mincho" w:cs="Arial"/>
          <w:sz w:val="20"/>
          <w:szCs w:val="20"/>
          <w:lang w:val="en-US" w:eastAsia="en-US"/>
        </w:rPr>
        <w:t xml:space="preserve"> of sexual violence at the time of the facts; (iii) the State had denied its responsibility for the acts of torture and sexual violence, and (iv) the State did not include observations on appropriate reparations. The representatives stressed </w:t>
      </w:r>
      <w:r w:rsidRPr="009D52FD">
        <w:rPr>
          <w:rFonts w:eastAsia="MS Mincho" w:cs="Arial"/>
          <w:sz w:val="20"/>
          <w:szCs w:val="20"/>
          <w:lang w:val="en-US" w:eastAsia="en-US"/>
        </w:rPr>
        <w:lastRenderedPageBreak/>
        <w:t xml:space="preserve">that, </w:t>
      </w:r>
      <w:r w:rsidR="00E830B3" w:rsidRPr="009D52FD">
        <w:rPr>
          <w:rFonts w:eastAsia="MS Mincho" w:cs="Arial"/>
          <w:sz w:val="20"/>
          <w:szCs w:val="20"/>
          <w:lang w:val="en-US" w:eastAsia="en-US"/>
        </w:rPr>
        <w:t>while expressing</w:t>
      </w:r>
      <w:r w:rsidRPr="009D52FD">
        <w:rPr>
          <w:rFonts w:eastAsia="MS Mincho" w:cs="Arial"/>
          <w:sz w:val="20"/>
          <w:szCs w:val="20"/>
          <w:lang w:val="en-US" w:eastAsia="en-US"/>
        </w:rPr>
        <w:t xml:space="preserve"> sympath</w:t>
      </w:r>
      <w:r w:rsidR="00E830B3" w:rsidRPr="009D52FD">
        <w:rPr>
          <w:rFonts w:eastAsia="MS Mincho" w:cs="Arial"/>
          <w:sz w:val="20"/>
          <w:szCs w:val="20"/>
          <w:lang w:val="en-US" w:eastAsia="en-US"/>
        </w:rPr>
        <w:t xml:space="preserve">y </w:t>
      </w:r>
      <w:r w:rsidRPr="009D52FD">
        <w:rPr>
          <w:rFonts w:eastAsia="MS Mincho" w:cs="Arial"/>
          <w:sz w:val="20"/>
          <w:szCs w:val="20"/>
          <w:lang w:val="en-US" w:eastAsia="en-US"/>
        </w:rPr>
        <w:t xml:space="preserve">towards the victims during the hearing, the State had repudiated </w:t>
      </w:r>
      <w:r w:rsidR="00E830B3" w:rsidRPr="009D52FD">
        <w:rPr>
          <w:rFonts w:eastAsia="MS Mincho" w:cs="Arial"/>
          <w:sz w:val="20"/>
          <w:szCs w:val="20"/>
          <w:lang w:val="en-US" w:eastAsia="en-US"/>
        </w:rPr>
        <w:t>their</w:t>
      </w:r>
      <w:r w:rsidRPr="009D52FD">
        <w:rPr>
          <w:rFonts w:eastAsia="MS Mincho" w:cs="Arial"/>
          <w:sz w:val="20"/>
          <w:szCs w:val="20"/>
          <w:lang w:val="en-US" w:eastAsia="en-US"/>
        </w:rPr>
        <w:t xml:space="preserve"> testimony. Therefore, “the reparative value that the acknowledgement could have had was almost annulled, because the State apologized to the victim but, at the same time, again questioned the truth of her testimony and of the statements and actions of the members of her family, revictimizing them once again.”</w:t>
      </w:r>
    </w:p>
    <w:p w14:paraId="00EA1662" w14:textId="77777777" w:rsidR="004F0A4B" w:rsidRPr="009D52FD" w:rsidRDefault="004F0A4B" w:rsidP="004F0A4B">
      <w:pPr>
        <w:widowControl/>
        <w:autoSpaceDE w:val="0"/>
        <w:autoSpaceDN w:val="0"/>
        <w:spacing w:line="240" w:lineRule="auto"/>
        <w:textAlignment w:val="auto"/>
        <w:rPr>
          <w:rFonts w:eastAsia="Calibri" w:cs="Arial"/>
          <w:sz w:val="20"/>
          <w:szCs w:val="20"/>
          <w:lang w:val="en-US" w:eastAsia="en-US"/>
        </w:rPr>
      </w:pPr>
    </w:p>
    <w:p w14:paraId="1E15CE2A" w14:textId="46DF7999" w:rsidR="00AE580F" w:rsidRPr="009D52FD" w:rsidRDefault="003630BB" w:rsidP="0081578D">
      <w:pPr>
        <w:widowControl/>
        <w:numPr>
          <w:ilvl w:val="0"/>
          <w:numId w:val="1"/>
        </w:numPr>
        <w:tabs>
          <w:tab w:val="left" w:pos="567"/>
          <w:tab w:val="num" w:pos="1569"/>
          <w:tab w:val="num" w:pos="12305"/>
        </w:tabs>
        <w:autoSpaceDE w:val="0"/>
        <w:autoSpaceDN w:val="0"/>
        <w:spacing w:line="240" w:lineRule="auto"/>
        <w:ind w:left="0" w:firstLine="0"/>
        <w:textAlignment w:val="auto"/>
        <w:rPr>
          <w:rFonts w:eastAsia="MS Mincho" w:cs="Arial"/>
          <w:sz w:val="20"/>
          <w:lang w:val="en-US" w:eastAsia="en-US"/>
        </w:rPr>
      </w:pPr>
      <w:r w:rsidRPr="009D52FD">
        <w:rPr>
          <w:rFonts w:eastAsia="Calibri" w:cs="Arial"/>
          <w:sz w:val="20"/>
          <w:szCs w:val="20"/>
          <w:lang w:val="en-US" w:eastAsia="en-US"/>
        </w:rPr>
        <w:t xml:space="preserve">The </w:t>
      </w:r>
      <w:r w:rsidRPr="009D52FD">
        <w:rPr>
          <w:rFonts w:eastAsia="Calibri" w:cs="Arial"/>
          <w:b/>
          <w:bCs/>
          <w:i/>
          <w:iCs/>
          <w:sz w:val="20"/>
          <w:szCs w:val="20"/>
          <w:lang w:val="en-US" w:eastAsia="en-US"/>
        </w:rPr>
        <w:t>Commission</w:t>
      </w:r>
      <w:r w:rsidR="00E13B6E" w:rsidRPr="009D52FD">
        <w:rPr>
          <w:rFonts w:eastAsia="Calibri" w:cs="Arial"/>
          <w:sz w:val="20"/>
          <w:szCs w:val="20"/>
          <w:lang w:val="en-US" w:eastAsia="en-US"/>
        </w:rPr>
        <w:t xml:space="preserve"> consider</w:t>
      </w:r>
      <w:r w:rsidR="0081578D" w:rsidRPr="009D52FD">
        <w:rPr>
          <w:rFonts w:eastAsia="Calibri" w:cs="Arial"/>
          <w:sz w:val="20"/>
          <w:szCs w:val="20"/>
          <w:lang w:val="en-US" w:eastAsia="en-US"/>
        </w:rPr>
        <w:t xml:space="preserve">ed that “this was a very important acknowledgement by the Venezuelan State, which it appreciate[d] as a positive contribution to the development of the international proceedings and the perspectives for justice and reparation for the victim.” However, </w:t>
      </w:r>
      <w:r w:rsidR="00E830B3" w:rsidRPr="009D52FD">
        <w:rPr>
          <w:rFonts w:eastAsia="Calibri" w:cs="Arial"/>
          <w:sz w:val="20"/>
          <w:szCs w:val="20"/>
          <w:lang w:val="en-US" w:eastAsia="en-US"/>
        </w:rPr>
        <w:t>it</w:t>
      </w:r>
      <w:r w:rsidR="0081578D" w:rsidRPr="009D52FD">
        <w:rPr>
          <w:rFonts w:eastAsia="Calibri" w:cs="Arial"/>
          <w:sz w:val="20"/>
          <w:szCs w:val="20"/>
          <w:lang w:val="en-US" w:eastAsia="en-US"/>
        </w:rPr>
        <w:t xml:space="preserve"> considered that the dispute persisted in relation to important aspect</w:t>
      </w:r>
      <w:r w:rsidR="00E830B3" w:rsidRPr="009D52FD">
        <w:rPr>
          <w:rFonts w:eastAsia="Calibri" w:cs="Arial"/>
          <w:sz w:val="20"/>
          <w:szCs w:val="20"/>
          <w:lang w:val="en-US" w:eastAsia="en-US"/>
        </w:rPr>
        <w:t>s</w:t>
      </w:r>
      <w:r w:rsidR="0081578D" w:rsidRPr="009D52FD">
        <w:rPr>
          <w:rFonts w:eastAsia="Calibri" w:cs="Arial"/>
          <w:sz w:val="20"/>
          <w:szCs w:val="20"/>
          <w:lang w:val="en-US" w:eastAsia="en-US"/>
        </w:rPr>
        <w:t xml:space="preserve"> of </w:t>
      </w:r>
      <w:r w:rsidR="00826D87" w:rsidRPr="009D52FD">
        <w:rPr>
          <w:rFonts w:eastAsia="Calibri" w:cs="Arial"/>
          <w:sz w:val="20"/>
          <w:szCs w:val="20"/>
          <w:lang w:val="en-US" w:eastAsia="en-US"/>
        </w:rPr>
        <w:t>Report</w:t>
      </w:r>
      <w:r w:rsidR="0000216B" w:rsidRPr="009D52FD">
        <w:rPr>
          <w:rFonts w:eastAsia="Calibri" w:cs="Arial"/>
          <w:sz w:val="20"/>
          <w:szCs w:val="20"/>
          <w:lang w:val="en-US" w:eastAsia="en-US"/>
        </w:rPr>
        <w:t xml:space="preserve"> </w:t>
      </w:r>
      <w:r w:rsidR="00342CE6" w:rsidRPr="009D52FD">
        <w:rPr>
          <w:sz w:val="20"/>
          <w:szCs w:val="20"/>
          <w:lang w:val="en-US"/>
        </w:rPr>
        <w:t>No. 33/16</w:t>
      </w:r>
      <w:r w:rsidR="0000216B" w:rsidRPr="009D52FD">
        <w:rPr>
          <w:rFonts w:eastAsia="Calibri" w:cs="Arial"/>
          <w:sz w:val="20"/>
          <w:szCs w:val="20"/>
          <w:lang w:val="en-US" w:eastAsia="en-US"/>
        </w:rPr>
        <w:t xml:space="preserve">, </w:t>
      </w:r>
      <w:r w:rsidR="0081578D" w:rsidRPr="009D52FD">
        <w:rPr>
          <w:rFonts w:eastAsia="Calibri" w:cs="Arial"/>
          <w:sz w:val="20"/>
          <w:szCs w:val="20"/>
          <w:lang w:val="en-US" w:eastAsia="en-US"/>
        </w:rPr>
        <w:t xml:space="preserve">and therefore asked the Court to determine the corresponding facts, establish their legal </w:t>
      </w:r>
      <w:r w:rsidR="00E830B3" w:rsidRPr="009D52FD">
        <w:rPr>
          <w:rFonts w:eastAsia="Calibri" w:cs="Arial"/>
          <w:sz w:val="20"/>
          <w:szCs w:val="20"/>
          <w:lang w:val="en-US" w:eastAsia="en-US"/>
        </w:rPr>
        <w:t>effects</w:t>
      </w:r>
      <w:r w:rsidR="0081578D" w:rsidRPr="009D52FD">
        <w:rPr>
          <w:rFonts w:eastAsia="Calibri" w:cs="Arial"/>
          <w:sz w:val="20"/>
          <w:szCs w:val="20"/>
          <w:lang w:val="en-US" w:eastAsia="en-US"/>
        </w:rPr>
        <w:t>, and establish the respective reparations based on the nature and severity of the violations that had occurred in this case. The Commission considered that the facts determined in Merits Report No. 33/16 were covered by the acknowledgment. Consequently, the Commission</w:t>
      </w:r>
      <w:r w:rsidR="00FF127C" w:rsidRPr="009D52FD">
        <w:rPr>
          <w:rFonts w:eastAsia="Calibri" w:cs="Arial"/>
          <w:sz w:val="20"/>
          <w:szCs w:val="20"/>
          <w:lang w:val="en-US" w:eastAsia="en-US"/>
        </w:rPr>
        <w:t xml:space="preserve"> considered that</w:t>
      </w:r>
      <w:r w:rsidR="0081578D" w:rsidRPr="009D52FD">
        <w:rPr>
          <w:rFonts w:eastAsia="Calibri" w:cs="Arial"/>
          <w:sz w:val="20"/>
          <w:szCs w:val="20"/>
          <w:lang w:val="en-US" w:eastAsia="en-US"/>
        </w:rPr>
        <w:t xml:space="preserve"> the dispute had ended in relation to the violations declared in that report </w:t>
      </w:r>
      <w:r w:rsidR="00FF127C" w:rsidRPr="009D52FD">
        <w:rPr>
          <w:rFonts w:eastAsia="Calibri" w:cs="Arial"/>
          <w:sz w:val="20"/>
          <w:szCs w:val="20"/>
          <w:lang w:val="en-US" w:eastAsia="en-US"/>
        </w:rPr>
        <w:t>of</w:t>
      </w:r>
      <w:r w:rsidR="00E13B6E" w:rsidRPr="009D52FD">
        <w:rPr>
          <w:rFonts w:eastAsia="Calibri" w:cs="Arial"/>
          <w:sz w:val="20"/>
          <w:szCs w:val="20"/>
          <w:lang w:val="en-US" w:eastAsia="en-US"/>
        </w:rPr>
        <w:t xml:space="preserve"> </w:t>
      </w:r>
      <w:r w:rsidRPr="009D52FD">
        <w:rPr>
          <w:rFonts w:eastAsia="Calibri" w:cs="Arial"/>
          <w:sz w:val="20"/>
          <w:szCs w:val="20"/>
          <w:lang w:val="en-US" w:eastAsia="en-US"/>
        </w:rPr>
        <w:t>Articles</w:t>
      </w:r>
      <w:r w:rsidR="00483040" w:rsidRPr="009D52FD">
        <w:rPr>
          <w:rFonts w:eastAsia="Calibri" w:cs="Arial"/>
          <w:sz w:val="20"/>
          <w:szCs w:val="20"/>
          <w:lang w:val="en-US" w:eastAsia="en-US"/>
        </w:rPr>
        <w:t xml:space="preserve"> 5(1)</w:t>
      </w:r>
      <w:r w:rsidR="00E13B6E" w:rsidRPr="009D52FD">
        <w:rPr>
          <w:rFonts w:eastAsia="Calibri" w:cs="Arial"/>
          <w:sz w:val="20"/>
          <w:szCs w:val="20"/>
          <w:lang w:val="en-US" w:eastAsia="en-US"/>
        </w:rPr>
        <w:t>,</w:t>
      </w:r>
      <w:r w:rsidR="00483040" w:rsidRPr="009D52FD">
        <w:rPr>
          <w:rFonts w:eastAsia="Calibri" w:cs="Arial"/>
          <w:sz w:val="20"/>
          <w:szCs w:val="20"/>
          <w:lang w:val="en-US" w:eastAsia="en-US"/>
        </w:rPr>
        <w:t xml:space="preserve"> 8(1)</w:t>
      </w:r>
      <w:r w:rsidR="00E13B6E" w:rsidRPr="009D52FD">
        <w:rPr>
          <w:rFonts w:eastAsia="Calibri" w:cs="Arial"/>
          <w:sz w:val="20"/>
          <w:szCs w:val="20"/>
          <w:lang w:val="en-US" w:eastAsia="en-US"/>
        </w:rPr>
        <w:t>, 11,</w:t>
      </w:r>
      <w:r w:rsidR="00D32B3E" w:rsidRPr="009D52FD">
        <w:rPr>
          <w:rFonts w:eastAsia="Calibri" w:cs="Arial"/>
          <w:sz w:val="20"/>
          <w:szCs w:val="20"/>
          <w:lang w:val="en-US" w:eastAsia="en-US"/>
        </w:rPr>
        <w:t xml:space="preserve"> 25(1)</w:t>
      </w:r>
      <w:r w:rsidRPr="009D52FD">
        <w:rPr>
          <w:rFonts w:eastAsia="Calibri" w:cs="Arial"/>
          <w:sz w:val="20"/>
          <w:szCs w:val="20"/>
          <w:lang w:val="en-US" w:eastAsia="en-US"/>
        </w:rPr>
        <w:t xml:space="preserve"> and </w:t>
      </w:r>
      <w:r w:rsidR="00E13B6E" w:rsidRPr="009D52FD">
        <w:rPr>
          <w:rFonts w:eastAsia="Calibri" w:cs="Arial"/>
          <w:sz w:val="20"/>
          <w:szCs w:val="20"/>
          <w:lang w:val="en-US" w:eastAsia="en-US"/>
        </w:rPr>
        <w:t>24</w:t>
      </w:r>
      <w:r w:rsidRPr="009D52FD">
        <w:rPr>
          <w:rFonts w:eastAsia="Calibri" w:cs="Arial"/>
          <w:sz w:val="20"/>
          <w:szCs w:val="20"/>
          <w:lang w:val="en-US" w:eastAsia="en-US"/>
        </w:rPr>
        <w:t xml:space="preserve"> of the American Convention and Article</w:t>
      </w:r>
      <w:r w:rsidR="00E13B6E" w:rsidRPr="009D52FD">
        <w:rPr>
          <w:rFonts w:eastAsia="Calibri" w:cs="Arial"/>
          <w:sz w:val="20"/>
          <w:szCs w:val="20"/>
          <w:lang w:val="en-US" w:eastAsia="en-US"/>
        </w:rPr>
        <w:t xml:space="preserve"> 7</w:t>
      </w:r>
      <w:r w:rsidRPr="009D52FD">
        <w:rPr>
          <w:rFonts w:eastAsia="Calibri" w:cs="Arial"/>
          <w:sz w:val="20"/>
          <w:szCs w:val="20"/>
          <w:lang w:val="en-US" w:eastAsia="en-US"/>
        </w:rPr>
        <w:t xml:space="preserve"> of the Convention</w:t>
      </w:r>
      <w:r w:rsidR="00E13B6E" w:rsidRPr="009D52FD">
        <w:rPr>
          <w:rFonts w:eastAsia="Calibri" w:cs="Arial"/>
          <w:sz w:val="20"/>
          <w:szCs w:val="20"/>
          <w:lang w:val="en-US" w:eastAsia="en-US"/>
        </w:rPr>
        <w:t xml:space="preserve"> </w:t>
      </w:r>
      <w:r w:rsidR="00483040" w:rsidRPr="009D52FD">
        <w:rPr>
          <w:rFonts w:eastAsia="Calibri" w:cs="Arial"/>
          <w:sz w:val="20"/>
          <w:szCs w:val="20"/>
          <w:lang w:val="en-US" w:eastAsia="en-US"/>
        </w:rPr>
        <w:t>of Belém</w:t>
      </w:r>
      <w:r w:rsidR="00E13B6E" w:rsidRPr="009D52FD">
        <w:rPr>
          <w:rFonts w:eastAsia="Calibri" w:cs="Arial"/>
          <w:sz w:val="20"/>
          <w:szCs w:val="20"/>
          <w:lang w:val="en-US" w:eastAsia="en-US"/>
        </w:rPr>
        <w:t xml:space="preserve"> do Pará</w:t>
      </w:r>
      <w:r w:rsidR="00FF127C" w:rsidRPr="009D52FD">
        <w:rPr>
          <w:rFonts w:eastAsia="Calibri" w:cs="Arial"/>
          <w:sz w:val="20"/>
          <w:szCs w:val="20"/>
          <w:lang w:val="en-US" w:eastAsia="en-US"/>
        </w:rPr>
        <w:t>. These</w:t>
      </w:r>
      <w:r w:rsidR="0081578D" w:rsidRPr="009D52FD">
        <w:rPr>
          <w:rFonts w:eastAsia="Calibri" w:cs="Arial"/>
          <w:sz w:val="20"/>
          <w:szCs w:val="20"/>
          <w:lang w:val="en-US" w:eastAsia="en-US"/>
        </w:rPr>
        <w:t xml:space="preserve"> related to the actions </w:t>
      </w:r>
      <w:r w:rsidRPr="009D52FD">
        <w:rPr>
          <w:rFonts w:eastAsia="Calibri" w:cs="Arial"/>
          <w:sz w:val="20"/>
          <w:szCs w:val="20"/>
          <w:lang w:val="en-US" w:eastAsia="en-US"/>
        </w:rPr>
        <w:t xml:space="preserve">of </w:t>
      </w:r>
      <w:r w:rsidR="0050774C" w:rsidRPr="009D52FD">
        <w:rPr>
          <w:rFonts w:eastAsia="Calibri" w:cs="Arial"/>
          <w:sz w:val="20"/>
          <w:szCs w:val="20"/>
          <w:lang w:val="en-US" w:eastAsia="en-US"/>
        </w:rPr>
        <w:t>the Venezuelan State</w:t>
      </w:r>
      <w:r w:rsidR="00BE2A7E" w:rsidRPr="009D52FD">
        <w:rPr>
          <w:rFonts w:eastAsia="Calibri" w:cs="Arial"/>
          <w:sz w:val="20"/>
          <w:szCs w:val="20"/>
          <w:lang w:val="en-US" w:eastAsia="en-US"/>
        </w:rPr>
        <w:t xml:space="preserve"> </w:t>
      </w:r>
      <w:r w:rsidR="0081578D" w:rsidRPr="009D52FD">
        <w:rPr>
          <w:rFonts w:eastAsia="Calibri" w:cs="Arial"/>
          <w:sz w:val="20"/>
          <w:szCs w:val="20"/>
          <w:lang w:val="en-US" w:eastAsia="en-US"/>
        </w:rPr>
        <w:t>following</w:t>
      </w:r>
      <w:r w:rsidR="00BE2A7E" w:rsidRPr="009D52FD">
        <w:rPr>
          <w:rFonts w:eastAsia="Calibri" w:cs="Arial"/>
          <w:sz w:val="20"/>
          <w:szCs w:val="20"/>
          <w:lang w:val="en-US" w:eastAsia="en-US"/>
        </w:rPr>
        <w:t xml:space="preserve"> Linda Loaiza López </w:t>
      </w:r>
      <w:r w:rsidR="001C114C" w:rsidRPr="009D52FD">
        <w:rPr>
          <w:rFonts w:eastAsia="Calibri" w:cs="Arial"/>
          <w:sz w:val="20"/>
          <w:szCs w:val="20"/>
          <w:lang w:val="en-US" w:eastAsia="en-US"/>
        </w:rPr>
        <w:t>Soto</w:t>
      </w:r>
      <w:r w:rsidR="0081578D" w:rsidRPr="009D52FD">
        <w:rPr>
          <w:rFonts w:eastAsia="Calibri" w:cs="Arial"/>
          <w:sz w:val="20"/>
          <w:szCs w:val="20"/>
          <w:lang w:val="en-US" w:eastAsia="en-US"/>
        </w:rPr>
        <w:t>’s rescue in 2001, and subsequent facts, with the exception of the alleged “insensitive treatment”</w:t>
      </w:r>
      <w:r w:rsidR="00AE580F" w:rsidRPr="009D52FD">
        <w:rPr>
          <w:rFonts w:eastAsia="Calibri" w:cs="Arial"/>
          <w:sz w:val="20"/>
          <w:szCs w:val="20"/>
          <w:lang w:val="en-US" w:eastAsia="en-US"/>
        </w:rPr>
        <w:t xml:space="preserve"> of the victim’s parents </w:t>
      </w:r>
      <w:r w:rsidR="00FF127C" w:rsidRPr="009D52FD">
        <w:rPr>
          <w:rFonts w:eastAsia="Calibri" w:cs="Arial"/>
          <w:sz w:val="20"/>
          <w:szCs w:val="20"/>
          <w:lang w:val="en-US" w:eastAsia="en-US"/>
        </w:rPr>
        <w:t>because</w:t>
      </w:r>
      <w:r w:rsidR="00AE580F" w:rsidRPr="009D52FD">
        <w:rPr>
          <w:rFonts w:eastAsia="Calibri" w:cs="Arial"/>
          <w:sz w:val="20"/>
          <w:szCs w:val="20"/>
          <w:lang w:val="en-US" w:eastAsia="en-US"/>
        </w:rPr>
        <w:t xml:space="preserve"> they were not allowed to see her immediately after the rescue </w:t>
      </w:r>
      <w:r w:rsidR="00FF127C" w:rsidRPr="009D52FD">
        <w:rPr>
          <w:rFonts w:eastAsia="Calibri" w:cs="Arial"/>
          <w:sz w:val="20"/>
          <w:szCs w:val="20"/>
          <w:lang w:val="en-US" w:eastAsia="en-US"/>
        </w:rPr>
        <w:t>as</w:t>
      </w:r>
      <w:r w:rsidR="00AE580F" w:rsidRPr="009D52FD">
        <w:rPr>
          <w:rFonts w:eastAsia="Calibri" w:cs="Arial"/>
          <w:sz w:val="20"/>
          <w:szCs w:val="20"/>
          <w:lang w:val="en-US" w:eastAsia="en-US"/>
        </w:rPr>
        <w:t xml:space="preserve"> an order prohibiting visits had been issued. The Commission stressed that the dispute subsisted in relation to the attribution of international responsibility for the serious harm to the</w:t>
      </w:r>
      <w:r w:rsidR="00E13B6E" w:rsidRPr="009D52FD">
        <w:rPr>
          <w:rFonts w:eastAsia="MS Mincho" w:cs="Arial"/>
          <w:sz w:val="20"/>
          <w:lang w:val="en-US" w:eastAsia="en-US"/>
        </w:rPr>
        <w:t xml:space="preserve"> </w:t>
      </w:r>
      <w:r w:rsidR="00997ADF" w:rsidRPr="009D52FD">
        <w:rPr>
          <w:rFonts w:eastAsia="MS Mincho" w:cs="Arial"/>
          <w:sz w:val="20"/>
          <w:lang w:val="en-US" w:eastAsia="en-US"/>
        </w:rPr>
        <w:t>personal integrity</w:t>
      </w:r>
      <w:r w:rsidR="00E13B6E" w:rsidRPr="009D52FD">
        <w:rPr>
          <w:rFonts w:eastAsia="MS Mincho" w:cs="Arial"/>
          <w:sz w:val="20"/>
          <w:lang w:val="en-US" w:eastAsia="en-US"/>
        </w:rPr>
        <w:t xml:space="preserve">, </w:t>
      </w:r>
      <w:r w:rsidR="00997ADF" w:rsidRPr="009D52FD">
        <w:rPr>
          <w:rFonts w:eastAsia="MS Mincho" w:cs="Arial"/>
          <w:sz w:val="20"/>
          <w:lang w:val="en-US" w:eastAsia="en-US"/>
        </w:rPr>
        <w:t>personal liberty</w:t>
      </w:r>
      <w:r w:rsidR="00E13B6E" w:rsidRPr="009D52FD">
        <w:rPr>
          <w:rFonts w:eastAsia="MS Mincho" w:cs="Arial"/>
          <w:sz w:val="20"/>
          <w:lang w:val="en-US" w:eastAsia="en-US"/>
        </w:rPr>
        <w:t xml:space="preserve">, </w:t>
      </w:r>
      <w:r w:rsidR="00AE580F" w:rsidRPr="009D52FD">
        <w:rPr>
          <w:rFonts w:eastAsia="MS Mincho" w:cs="Arial"/>
          <w:sz w:val="20"/>
          <w:lang w:val="en-US" w:eastAsia="en-US"/>
        </w:rPr>
        <w:t>privacy</w:t>
      </w:r>
      <w:r w:rsidR="00E13B6E" w:rsidRPr="009D52FD">
        <w:rPr>
          <w:rFonts w:eastAsia="MS Mincho" w:cs="Arial"/>
          <w:sz w:val="20"/>
          <w:lang w:val="en-US" w:eastAsia="en-US"/>
        </w:rPr>
        <w:t xml:space="preserve">, </w:t>
      </w:r>
      <w:r w:rsidR="00AE580F" w:rsidRPr="009D52FD">
        <w:rPr>
          <w:rFonts w:eastAsia="MS Mincho" w:cs="Arial"/>
          <w:sz w:val="20"/>
          <w:lang w:val="en-US" w:eastAsia="en-US"/>
        </w:rPr>
        <w:t>dignity</w:t>
      </w:r>
      <w:r w:rsidRPr="009D52FD">
        <w:rPr>
          <w:rFonts w:eastAsia="MS Mincho" w:cs="Arial"/>
          <w:sz w:val="20"/>
          <w:lang w:val="en-US" w:eastAsia="en-US"/>
        </w:rPr>
        <w:t xml:space="preserve"> and </w:t>
      </w:r>
      <w:r w:rsidR="00AE580F" w:rsidRPr="009D52FD">
        <w:rPr>
          <w:rFonts w:eastAsia="MS Mincho" w:cs="Arial"/>
          <w:sz w:val="20"/>
          <w:lang w:val="en-US" w:eastAsia="en-US"/>
        </w:rPr>
        <w:t>autonomy</w:t>
      </w:r>
      <w:r w:rsidRPr="009D52FD">
        <w:rPr>
          <w:rFonts w:eastAsia="MS Mincho" w:cs="Arial"/>
          <w:sz w:val="20"/>
          <w:lang w:val="en-US" w:eastAsia="en-US"/>
        </w:rPr>
        <w:t xml:space="preserve"> and </w:t>
      </w:r>
      <w:r w:rsidR="00AE580F" w:rsidRPr="009D52FD">
        <w:rPr>
          <w:rFonts w:eastAsia="MS Mincho" w:cs="Arial"/>
          <w:sz w:val="20"/>
          <w:lang w:val="en-US" w:eastAsia="en-US"/>
        </w:rPr>
        <w:t>the</w:t>
      </w:r>
      <w:r w:rsidR="00E13B6E" w:rsidRPr="009D52FD">
        <w:rPr>
          <w:rFonts w:eastAsia="MS Mincho" w:cs="Arial"/>
          <w:sz w:val="20"/>
          <w:lang w:val="en-US" w:eastAsia="en-US"/>
        </w:rPr>
        <w:t xml:space="preserve"> </w:t>
      </w:r>
      <w:r w:rsidR="00AE580F" w:rsidRPr="009D52FD">
        <w:rPr>
          <w:rFonts w:eastAsia="MS Mincho" w:cs="Arial"/>
          <w:sz w:val="20"/>
          <w:lang w:val="en-US" w:eastAsia="en-US"/>
        </w:rPr>
        <w:t xml:space="preserve">right to </w:t>
      </w:r>
      <w:r w:rsidR="00FF127C" w:rsidRPr="009D52FD">
        <w:rPr>
          <w:rFonts w:eastAsia="MS Mincho" w:cs="Arial"/>
          <w:sz w:val="20"/>
          <w:lang w:val="en-US" w:eastAsia="en-US"/>
        </w:rPr>
        <w:t>a life</w:t>
      </w:r>
      <w:r w:rsidR="00AE580F" w:rsidRPr="009D52FD">
        <w:rPr>
          <w:rFonts w:eastAsia="MS Mincho" w:cs="Arial"/>
          <w:sz w:val="20"/>
          <w:lang w:val="en-US" w:eastAsia="en-US"/>
        </w:rPr>
        <w:t xml:space="preserve"> free of violence</w:t>
      </w:r>
      <w:r w:rsidRPr="009D52FD">
        <w:rPr>
          <w:rFonts w:eastAsia="MS Mincho" w:cs="Arial"/>
          <w:sz w:val="20"/>
          <w:lang w:val="en-US" w:eastAsia="en-US"/>
        </w:rPr>
        <w:t xml:space="preserve"> and </w:t>
      </w:r>
      <w:r w:rsidR="00AE580F" w:rsidRPr="009D52FD">
        <w:rPr>
          <w:rFonts w:eastAsia="MS Mincho" w:cs="Arial"/>
          <w:sz w:val="20"/>
          <w:lang w:val="en-US" w:eastAsia="en-US"/>
        </w:rPr>
        <w:t>discrimination</w:t>
      </w:r>
      <w:r w:rsidR="00E13B6E" w:rsidRPr="009D52FD">
        <w:rPr>
          <w:rFonts w:eastAsia="MS Mincho" w:cs="Arial"/>
          <w:sz w:val="20"/>
          <w:lang w:val="en-US" w:eastAsia="en-US"/>
        </w:rPr>
        <w:t xml:space="preserve"> </w:t>
      </w:r>
      <w:r w:rsidR="00AE580F" w:rsidRPr="009D52FD">
        <w:rPr>
          <w:rFonts w:eastAsia="MS Mincho" w:cs="Arial"/>
          <w:sz w:val="20"/>
          <w:lang w:val="en-US" w:eastAsia="en-US"/>
        </w:rPr>
        <w:t>suffered by</w:t>
      </w:r>
      <w:r w:rsidR="00E13B6E" w:rsidRPr="009D52FD">
        <w:rPr>
          <w:rFonts w:eastAsia="MS Mincho" w:cs="Arial"/>
          <w:sz w:val="20"/>
          <w:lang w:val="en-US" w:eastAsia="en-US"/>
        </w:rPr>
        <w:t xml:space="preserve"> Linda Loaiza López Soto dur</w:t>
      </w:r>
      <w:r w:rsidR="00AE580F" w:rsidRPr="009D52FD">
        <w:rPr>
          <w:rFonts w:eastAsia="MS Mincho" w:cs="Arial"/>
          <w:sz w:val="20"/>
          <w:lang w:val="en-US" w:eastAsia="en-US"/>
        </w:rPr>
        <w:t xml:space="preserve">ing the months that she was kidnapped by </w:t>
      </w:r>
      <w:r w:rsidR="00544F92" w:rsidRPr="009D52FD">
        <w:rPr>
          <w:rFonts w:eastAsia="MS Mincho" w:cs="Arial"/>
          <w:sz w:val="20"/>
          <w:lang w:val="en-US" w:eastAsia="en-US"/>
        </w:rPr>
        <w:t>a</w:t>
      </w:r>
      <w:r w:rsidR="00FF127C" w:rsidRPr="009D52FD">
        <w:rPr>
          <w:rFonts w:eastAsia="MS Mincho" w:cs="Arial"/>
          <w:sz w:val="20"/>
          <w:lang w:val="en-US" w:eastAsia="en-US"/>
        </w:rPr>
        <w:t xml:space="preserve"> private</w:t>
      </w:r>
      <w:r w:rsidR="00AE580F" w:rsidRPr="009D52FD">
        <w:rPr>
          <w:rFonts w:eastAsia="MS Mincho" w:cs="Arial"/>
          <w:sz w:val="20"/>
          <w:lang w:val="en-US" w:eastAsia="en-US"/>
        </w:rPr>
        <w:t xml:space="preserve"> </w:t>
      </w:r>
      <w:r w:rsidR="00F75897" w:rsidRPr="009D52FD">
        <w:rPr>
          <w:rFonts w:eastAsia="MS Mincho" w:cs="Arial"/>
          <w:sz w:val="20"/>
          <w:lang w:val="en-US" w:eastAsia="en-US"/>
        </w:rPr>
        <w:t>individual</w:t>
      </w:r>
      <w:r w:rsidR="00AE580F" w:rsidRPr="009D52FD">
        <w:rPr>
          <w:rFonts w:eastAsia="MS Mincho" w:cs="Arial"/>
          <w:sz w:val="20"/>
          <w:lang w:val="en-US" w:eastAsia="en-US"/>
        </w:rPr>
        <w:t xml:space="preserve">, as well as with regard to the context established as part of the factual framework of the case in relation to the inadequate actions of the Venezuelan </w:t>
      </w:r>
      <w:r w:rsidR="00002A76" w:rsidRPr="009D52FD">
        <w:rPr>
          <w:rFonts w:eastAsia="MS Mincho" w:cs="Arial"/>
          <w:sz w:val="20"/>
          <w:lang w:val="en-US" w:eastAsia="en-US"/>
        </w:rPr>
        <w:t>auth</w:t>
      </w:r>
      <w:r w:rsidR="006B506A" w:rsidRPr="009D52FD">
        <w:rPr>
          <w:rFonts w:eastAsia="MS Mincho" w:cs="Arial"/>
          <w:sz w:val="20"/>
          <w:lang w:val="en-US" w:eastAsia="en-US"/>
        </w:rPr>
        <w:t>or</w:t>
      </w:r>
      <w:r w:rsidR="00AE580F" w:rsidRPr="009D52FD">
        <w:rPr>
          <w:rFonts w:eastAsia="MS Mincho" w:cs="Arial"/>
          <w:sz w:val="20"/>
          <w:lang w:val="en-US" w:eastAsia="en-US"/>
        </w:rPr>
        <w:t>ities responsible for receiving complaints and investigating this type of case.</w:t>
      </w:r>
    </w:p>
    <w:p w14:paraId="7B0B536C" w14:textId="77777777" w:rsidR="00176377" w:rsidRPr="009D52FD" w:rsidRDefault="00176377" w:rsidP="00E13B6E">
      <w:pPr>
        <w:widowControl/>
        <w:autoSpaceDE w:val="0"/>
        <w:autoSpaceDN w:val="0"/>
        <w:spacing w:line="240" w:lineRule="auto"/>
        <w:textAlignment w:val="auto"/>
        <w:rPr>
          <w:rFonts w:eastAsia="Calibri" w:cs="Verdana"/>
          <w:snapToGrid w:val="0"/>
          <w:sz w:val="20"/>
          <w:szCs w:val="20"/>
          <w:lang w:val="en-US" w:eastAsia="es-ES"/>
        </w:rPr>
      </w:pPr>
    </w:p>
    <w:p w14:paraId="7C8C60A9" w14:textId="2D975200" w:rsidR="00176377" w:rsidRPr="009D52FD" w:rsidRDefault="00176377" w:rsidP="00176377">
      <w:pPr>
        <w:keepNext/>
        <w:keepLines/>
        <w:tabs>
          <w:tab w:val="left" w:pos="1134"/>
        </w:tabs>
        <w:spacing w:line="240" w:lineRule="auto"/>
        <w:ind w:left="567" w:firstLine="1"/>
        <w:outlineLvl w:val="1"/>
        <w:rPr>
          <w:rFonts w:eastAsia="MS Mincho"/>
          <w:b/>
          <w:bCs/>
          <w:i/>
          <w:sz w:val="20"/>
          <w:szCs w:val="20"/>
          <w:lang w:val="en-US"/>
        </w:rPr>
      </w:pPr>
      <w:bookmarkStart w:id="15" w:name="_Toc495658650"/>
      <w:bookmarkStart w:id="16" w:name="_Toc51400065"/>
      <w:r w:rsidRPr="009D52FD">
        <w:rPr>
          <w:rFonts w:eastAsia="MS Mincho"/>
          <w:b/>
          <w:bCs/>
          <w:i/>
          <w:sz w:val="20"/>
          <w:szCs w:val="20"/>
          <w:lang w:val="en-US"/>
        </w:rPr>
        <w:t>B.</w:t>
      </w:r>
      <w:r w:rsidRPr="009D52FD">
        <w:rPr>
          <w:rFonts w:eastAsia="MS Mincho"/>
          <w:b/>
          <w:bCs/>
          <w:i/>
          <w:sz w:val="20"/>
          <w:szCs w:val="20"/>
          <w:lang w:val="en-US"/>
        </w:rPr>
        <w:tab/>
      </w:r>
      <w:r w:rsidR="00997ADF" w:rsidRPr="009D52FD">
        <w:rPr>
          <w:rFonts w:eastAsia="MS Mincho"/>
          <w:b/>
          <w:bCs/>
          <w:i/>
          <w:sz w:val="20"/>
          <w:szCs w:val="20"/>
          <w:lang w:val="en-US"/>
        </w:rPr>
        <w:t>Considerations</w:t>
      </w:r>
      <w:r w:rsidR="003630BB" w:rsidRPr="009D52FD">
        <w:rPr>
          <w:rFonts w:eastAsia="MS Mincho"/>
          <w:b/>
          <w:bCs/>
          <w:i/>
          <w:sz w:val="20"/>
          <w:szCs w:val="20"/>
          <w:lang w:val="en-US"/>
        </w:rPr>
        <w:t xml:space="preserve"> of the Court</w:t>
      </w:r>
      <w:bookmarkEnd w:id="15"/>
      <w:bookmarkEnd w:id="16"/>
    </w:p>
    <w:p w14:paraId="306536BF" w14:textId="77777777" w:rsidR="00176377" w:rsidRPr="009D52FD" w:rsidRDefault="00176377" w:rsidP="00176377">
      <w:pPr>
        <w:widowControl/>
        <w:autoSpaceDE w:val="0"/>
        <w:autoSpaceDN w:val="0"/>
        <w:spacing w:line="240" w:lineRule="auto"/>
        <w:textAlignment w:val="auto"/>
        <w:rPr>
          <w:rFonts w:eastAsia="Batang"/>
          <w:sz w:val="20"/>
          <w:szCs w:val="20"/>
          <w:lang w:val="en-US" w:eastAsia="en-US"/>
        </w:rPr>
      </w:pPr>
    </w:p>
    <w:p w14:paraId="20194449" w14:textId="71B918B8" w:rsidR="00176377" w:rsidRPr="009D52FD" w:rsidRDefault="003630BB" w:rsidP="00176377">
      <w:pPr>
        <w:widowControl/>
        <w:numPr>
          <w:ilvl w:val="0"/>
          <w:numId w:val="1"/>
        </w:numPr>
        <w:tabs>
          <w:tab w:val="left" w:pos="567"/>
          <w:tab w:val="num" w:pos="1569"/>
          <w:tab w:val="num" w:pos="12305"/>
        </w:tabs>
        <w:autoSpaceDE w:val="0"/>
        <w:autoSpaceDN w:val="0"/>
        <w:spacing w:line="240" w:lineRule="auto"/>
        <w:ind w:left="0" w:firstLine="0"/>
        <w:textAlignment w:val="auto"/>
        <w:rPr>
          <w:rFonts w:eastAsia="Times" w:cs="Verdana"/>
          <w:snapToGrid w:val="0"/>
          <w:sz w:val="20"/>
          <w:szCs w:val="20"/>
          <w:lang w:val="en-US" w:eastAsia="es-ES"/>
        </w:rPr>
      </w:pPr>
      <w:r w:rsidRPr="009D52FD">
        <w:rPr>
          <w:rFonts w:eastAsia="Calibri" w:cs="Verdana"/>
          <w:snapToGrid w:val="0"/>
          <w:sz w:val="20"/>
          <w:szCs w:val="20"/>
          <w:lang w:val="en-US" w:eastAsia="es-ES"/>
        </w:rPr>
        <w:t>The Court</w:t>
      </w:r>
      <w:r w:rsidR="00176377" w:rsidRPr="009D52FD">
        <w:rPr>
          <w:rFonts w:eastAsia="Calibri" w:cs="Verdana"/>
          <w:snapToGrid w:val="0"/>
          <w:sz w:val="20"/>
          <w:szCs w:val="20"/>
          <w:lang w:val="en-US" w:eastAsia="es-ES"/>
        </w:rPr>
        <w:t xml:space="preserve"> </w:t>
      </w:r>
      <w:r w:rsidR="00AE580F" w:rsidRPr="009D52FD">
        <w:rPr>
          <w:rFonts w:eastAsia="Calibri" w:cs="Verdana"/>
          <w:snapToGrid w:val="0"/>
          <w:sz w:val="20"/>
          <w:szCs w:val="20"/>
          <w:lang w:val="en-US" w:eastAsia="es-ES"/>
        </w:rPr>
        <w:t xml:space="preserve">underscores the good </w:t>
      </w:r>
      <w:r w:rsidR="00FF127C" w:rsidRPr="009D52FD">
        <w:rPr>
          <w:rFonts w:eastAsia="Calibri" w:cs="Verdana"/>
          <w:snapToGrid w:val="0"/>
          <w:sz w:val="20"/>
          <w:szCs w:val="20"/>
          <w:lang w:val="en-US" w:eastAsia="es-ES"/>
        </w:rPr>
        <w:t>will</w:t>
      </w:r>
      <w:r w:rsidR="00AE580F" w:rsidRPr="009D52FD">
        <w:rPr>
          <w:rFonts w:eastAsia="Calibri" w:cs="Verdana"/>
          <w:snapToGrid w:val="0"/>
          <w:sz w:val="20"/>
          <w:szCs w:val="20"/>
          <w:lang w:val="en-US" w:eastAsia="es-ES"/>
        </w:rPr>
        <w:t xml:space="preserve"> of the State, expressed in this case by its partial acknowledgement of responsibility during the processing of these proceedings. However, pursuant to </w:t>
      </w:r>
      <w:r w:rsidRPr="009D52FD">
        <w:rPr>
          <w:rFonts w:eastAsia="Calibri" w:cs="Verdana"/>
          <w:snapToGrid w:val="0"/>
          <w:sz w:val="20"/>
          <w:szCs w:val="20"/>
          <w:lang w:val="en-US" w:eastAsia="es-ES"/>
        </w:rPr>
        <w:t>Articles</w:t>
      </w:r>
      <w:r w:rsidR="00176377" w:rsidRPr="009D52FD">
        <w:rPr>
          <w:rFonts w:eastAsia="Calibri" w:cs="Verdana"/>
          <w:snapToGrid w:val="0"/>
          <w:sz w:val="20"/>
          <w:szCs w:val="20"/>
          <w:lang w:val="en-US" w:eastAsia="es-ES"/>
        </w:rPr>
        <w:t xml:space="preserve"> 62</w:t>
      </w:r>
      <w:r w:rsidR="00176377" w:rsidRPr="009D52FD">
        <w:rPr>
          <w:rFonts w:eastAsia="Calibri" w:cs="Verdana"/>
          <w:snapToGrid w:val="0"/>
          <w:sz w:val="20"/>
          <w:szCs w:val="20"/>
          <w:vertAlign w:val="superscript"/>
          <w:lang w:val="en-US" w:eastAsia="es-ES"/>
        </w:rPr>
        <w:footnoteReference w:id="19"/>
      </w:r>
      <w:r w:rsidRPr="009D52FD">
        <w:rPr>
          <w:rFonts w:eastAsia="Calibri" w:cs="Verdana"/>
          <w:snapToGrid w:val="0"/>
          <w:sz w:val="20"/>
          <w:szCs w:val="20"/>
          <w:lang w:val="en-US" w:eastAsia="es-ES"/>
        </w:rPr>
        <w:t xml:space="preserve"> and </w:t>
      </w:r>
      <w:r w:rsidR="00176377" w:rsidRPr="009D52FD">
        <w:rPr>
          <w:rFonts w:eastAsia="Calibri" w:cs="Verdana"/>
          <w:snapToGrid w:val="0"/>
          <w:sz w:val="20"/>
          <w:szCs w:val="20"/>
          <w:lang w:val="en-US" w:eastAsia="es-ES"/>
        </w:rPr>
        <w:t>64</w:t>
      </w:r>
      <w:r w:rsidR="00176377" w:rsidRPr="009D52FD">
        <w:rPr>
          <w:rFonts w:eastAsia="Calibri" w:cs="Verdana"/>
          <w:snapToGrid w:val="0"/>
          <w:sz w:val="20"/>
          <w:szCs w:val="20"/>
          <w:vertAlign w:val="superscript"/>
          <w:lang w:val="en-US" w:eastAsia="es-ES"/>
        </w:rPr>
        <w:footnoteReference w:id="20"/>
      </w:r>
      <w:r w:rsidRPr="009D52FD">
        <w:rPr>
          <w:rFonts w:eastAsia="Calibri" w:cs="Verdana"/>
          <w:snapToGrid w:val="0"/>
          <w:sz w:val="20"/>
          <w:szCs w:val="20"/>
          <w:lang w:val="en-US" w:eastAsia="es-ES"/>
        </w:rPr>
        <w:t xml:space="preserve"> of the Rules of Procedure and</w:t>
      </w:r>
      <w:r w:rsidR="00AE580F" w:rsidRPr="009D52FD">
        <w:rPr>
          <w:rFonts w:eastAsia="Calibri" w:cs="Verdana"/>
          <w:snapToGrid w:val="0"/>
          <w:sz w:val="20"/>
          <w:szCs w:val="20"/>
          <w:lang w:val="en-US" w:eastAsia="es-ES"/>
        </w:rPr>
        <w:t xml:space="preserve"> in exercise of its </w:t>
      </w:r>
      <w:r w:rsidR="00FF127C" w:rsidRPr="009D52FD">
        <w:rPr>
          <w:rFonts w:eastAsia="Calibri" w:cs="Verdana"/>
          <w:snapToGrid w:val="0"/>
          <w:sz w:val="20"/>
          <w:szCs w:val="20"/>
          <w:lang w:val="en-US" w:eastAsia="es-ES"/>
        </w:rPr>
        <w:t>p</w:t>
      </w:r>
      <w:r w:rsidR="00AE580F" w:rsidRPr="009D52FD">
        <w:rPr>
          <w:rFonts w:eastAsia="Calibri" w:cs="Verdana"/>
          <w:snapToGrid w:val="0"/>
          <w:sz w:val="20"/>
          <w:szCs w:val="20"/>
          <w:lang w:val="en-US" w:eastAsia="es-ES"/>
        </w:rPr>
        <w:t>owers for the international judicial protection of human rights, a matter of international public order that transcends the will of the parties, it is incumbent on the Court to ensure that acts of acquiescence are acceptable for the purposes of the inter-American system. The Court will now examine the situation presented in this specific case.</w:t>
      </w:r>
    </w:p>
    <w:p w14:paraId="64F64FD7" w14:textId="77777777" w:rsidR="00FF127C" w:rsidRPr="009D52FD" w:rsidRDefault="00FF127C" w:rsidP="00FF127C">
      <w:pPr>
        <w:widowControl/>
        <w:tabs>
          <w:tab w:val="left" w:pos="567"/>
        </w:tabs>
        <w:autoSpaceDE w:val="0"/>
        <w:autoSpaceDN w:val="0"/>
        <w:spacing w:line="240" w:lineRule="auto"/>
        <w:textAlignment w:val="auto"/>
        <w:rPr>
          <w:rFonts w:eastAsia="Times" w:cs="Verdana"/>
          <w:snapToGrid w:val="0"/>
          <w:sz w:val="20"/>
          <w:szCs w:val="20"/>
          <w:lang w:val="en-US" w:eastAsia="es-ES"/>
        </w:rPr>
      </w:pPr>
    </w:p>
    <w:p w14:paraId="045D5800" w14:textId="7351154A" w:rsidR="00176377" w:rsidRPr="009D52FD" w:rsidRDefault="00176377" w:rsidP="00176377">
      <w:pPr>
        <w:pStyle w:val="Heading2"/>
        <w:tabs>
          <w:tab w:val="left" w:pos="1843"/>
        </w:tabs>
        <w:spacing w:before="0" w:line="240" w:lineRule="auto"/>
        <w:ind w:left="1134"/>
        <w:rPr>
          <w:rFonts w:ascii="Verdana" w:hAnsi="Verdana"/>
          <w:i/>
          <w:color w:val="auto"/>
          <w:sz w:val="20"/>
          <w:szCs w:val="20"/>
          <w:lang w:val="en-US"/>
        </w:rPr>
      </w:pPr>
      <w:bookmarkStart w:id="17" w:name="_Toc495658651"/>
      <w:bookmarkStart w:id="18" w:name="_Toc51400066"/>
      <w:r w:rsidRPr="009D52FD">
        <w:rPr>
          <w:rFonts w:ascii="Verdana" w:hAnsi="Verdana"/>
          <w:b w:val="0"/>
          <w:i/>
          <w:color w:val="auto"/>
          <w:sz w:val="20"/>
          <w:szCs w:val="20"/>
          <w:lang w:val="en-US"/>
        </w:rPr>
        <w:t xml:space="preserve">B.1 </w:t>
      </w:r>
      <w:r w:rsidRPr="009D52FD">
        <w:rPr>
          <w:rFonts w:ascii="Verdana" w:hAnsi="Verdana"/>
          <w:b w:val="0"/>
          <w:i/>
          <w:color w:val="auto"/>
          <w:sz w:val="20"/>
          <w:szCs w:val="20"/>
          <w:lang w:val="en-US"/>
        </w:rPr>
        <w:tab/>
      </w:r>
      <w:r w:rsidR="00D6018A" w:rsidRPr="009D52FD">
        <w:rPr>
          <w:rFonts w:ascii="Verdana" w:hAnsi="Verdana"/>
          <w:b w:val="0"/>
          <w:i/>
          <w:color w:val="auto"/>
          <w:sz w:val="20"/>
          <w:szCs w:val="20"/>
          <w:lang w:val="en-US"/>
        </w:rPr>
        <w:t>The facts</w:t>
      </w:r>
      <w:bookmarkEnd w:id="17"/>
      <w:bookmarkEnd w:id="18"/>
    </w:p>
    <w:p w14:paraId="0C05A350" w14:textId="77777777" w:rsidR="00176377" w:rsidRPr="009D52FD" w:rsidRDefault="00176377" w:rsidP="00176377">
      <w:pPr>
        <w:widowControl/>
        <w:autoSpaceDE w:val="0"/>
        <w:autoSpaceDN w:val="0"/>
        <w:spacing w:line="240" w:lineRule="auto"/>
        <w:ind w:left="708"/>
        <w:textAlignment w:val="auto"/>
        <w:rPr>
          <w:rFonts w:eastAsia="Calibri" w:cs="Verdana"/>
          <w:snapToGrid w:val="0"/>
          <w:sz w:val="20"/>
          <w:szCs w:val="20"/>
          <w:lang w:val="en-US" w:eastAsia="es-ES"/>
        </w:rPr>
      </w:pPr>
    </w:p>
    <w:p w14:paraId="35F8FF15" w14:textId="43377F79" w:rsidR="00D6018A" w:rsidRPr="009D52FD" w:rsidRDefault="00D6018A" w:rsidP="0064395F">
      <w:pPr>
        <w:widowControl/>
        <w:numPr>
          <w:ilvl w:val="0"/>
          <w:numId w:val="1"/>
        </w:numPr>
        <w:tabs>
          <w:tab w:val="left" w:pos="567"/>
          <w:tab w:val="num" w:pos="1569"/>
          <w:tab w:val="num" w:pos="12305"/>
        </w:tabs>
        <w:autoSpaceDE w:val="0"/>
        <w:autoSpaceDN w:val="0"/>
        <w:spacing w:line="240" w:lineRule="auto"/>
        <w:ind w:left="0" w:firstLine="0"/>
        <w:textAlignment w:val="auto"/>
        <w:rPr>
          <w:rFonts w:eastAsia="Calibri" w:cs="Verdana"/>
          <w:snapToGrid w:val="0"/>
          <w:sz w:val="20"/>
          <w:szCs w:val="20"/>
          <w:lang w:val="en-US" w:eastAsia="es-ES"/>
        </w:rPr>
      </w:pPr>
      <w:r w:rsidRPr="009D52FD">
        <w:rPr>
          <w:rFonts w:eastAsia="Calibri" w:cs="Verdana"/>
          <w:snapToGrid w:val="0"/>
          <w:sz w:val="20"/>
          <w:szCs w:val="20"/>
          <w:lang w:val="en-US" w:eastAsia="es-ES"/>
        </w:rPr>
        <w:t>In this case</w:t>
      </w:r>
      <w:r w:rsidR="004E456E" w:rsidRPr="009D52FD">
        <w:rPr>
          <w:rFonts w:eastAsia="Calibri" w:cs="Verdana"/>
          <w:snapToGrid w:val="0"/>
          <w:sz w:val="20"/>
          <w:szCs w:val="20"/>
          <w:lang w:val="en-US" w:eastAsia="es-ES"/>
        </w:rPr>
        <w:t xml:space="preserve">, </w:t>
      </w:r>
      <w:r w:rsidR="003630BB" w:rsidRPr="009D52FD">
        <w:rPr>
          <w:rFonts w:eastAsia="Calibri" w:cs="Verdana"/>
          <w:snapToGrid w:val="0"/>
          <w:sz w:val="20"/>
          <w:szCs w:val="20"/>
          <w:lang w:val="en-US" w:eastAsia="es-ES"/>
        </w:rPr>
        <w:t>the State</w:t>
      </w:r>
      <w:r w:rsidR="004E456E" w:rsidRPr="009D52FD">
        <w:rPr>
          <w:rFonts w:eastAsia="Calibri" w:cs="Verdana"/>
          <w:snapToGrid w:val="0"/>
          <w:sz w:val="20"/>
          <w:szCs w:val="20"/>
          <w:lang w:val="en-US" w:eastAsia="es-ES"/>
        </w:rPr>
        <w:t xml:space="preserve"> </w:t>
      </w:r>
      <w:r w:rsidRPr="009D52FD">
        <w:rPr>
          <w:rFonts w:eastAsia="Calibri" w:cs="Verdana"/>
          <w:snapToGrid w:val="0"/>
          <w:sz w:val="20"/>
          <w:szCs w:val="20"/>
          <w:lang w:val="en-US" w:eastAsia="es-ES"/>
        </w:rPr>
        <w:t xml:space="preserve">indicated its partial acknowledgement of responsibility with regard to some of the alleged violations of the American Convention and the Convention of Belém do Pará, without admitting clearly and specifically which of the facts described in </w:t>
      </w:r>
      <w:r w:rsidR="00483040" w:rsidRPr="009D52FD">
        <w:rPr>
          <w:rFonts w:eastAsia="Calibri" w:cs="Verdana"/>
          <w:snapToGrid w:val="0"/>
          <w:sz w:val="20"/>
          <w:szCs w:val="20"/>
          <w:lang w:val="en-US" w:eastAsia="es-ES"/>
        </w:rPr>
        <w:t xml:space="preserve">the </w:t>
      </w:r>
      <w:r w:rsidR="00FF127C" w:rsidRPr="009D52FD">
        <w:rPr>
          <w:rFonts w:eastAsia="Calibri" w:cs="Verdana"/>
          <w:snapToGrid w:val="0"/>
          <w:sz w:val="20"/>
          <w:szCs w:val="20"/>
          <w:lang w:val="en-US" w:eastAsia="es-ES"/>
        </w:rPr>
        <w:t xml:space="preserve">Commission’s </w:t>
      </w:r>
      <w:r w:rsidR="00483040" w:rsidRPr="009D52FD">
        <w:rPr>
          <w:rFonts w:eastAsia="Calibri" w:cs="Verdana"/>
          <w:snapToGrid w:val="0"/>
          <w:sz w:val="20"/>
          <w:szCs w:val="20"/>
          <w:lang w:val="en-US" w:eastAsia="es-ES"/>
        </w:rPr>
        <w:t>Merits Report</w:t>
      </w:r>
      <w:r w:rsidR="003630BB" w:rsidRPr="009D52FD">
        <w:rPr>
          <w:rFonts w:eastAsia="Calibri" w:cs="Verdana"/>
          <w:snapToGrid w:val="0"/>
          <w:sz w:val="20"/>
          <w:szCs w:val="20"/>
          <w:lang w:val="en-US" w:eastAsia="es-ES"/>
        </w:rPr>
        <w:t xml:space="preserve"> </w:t>
      </w:r>
      <w:r w:rsidR="004E456E" w:rsidRPr="009D52FD">
        <w:rPr>
          <w:rFonts w:eastAsia="Calibri" w:cs="Verdana"/>
          <w:snapToGrid w:val="0"/>
          <w:sz w:val="20"/>
          <w:szCs w:val="20"/>
          <w:lang w:val="en-US" w:eastAsia="es-ES"/>
        </w:rPr>
        <w:t>o</w:t>
      </w:r>
      <w:r w:rsidRPr="009D52FD">
        <w:rPr>
          <w:rFonts w:eastAsia="Calibri" w:cs="Verdana"/>
          <w:snapToGrid w:val="0"/>
          <w:sz w:val="20"/>
          <w:szCs w:val="20"/>
          <w:lang w:val="en-US" w:eastAsia="es-ES"/>
        </w:rPr>
        <w:t>r in</w:t>
      </w:r>
      <w:r w:rsidR="004E456E" w:rsidRPr="009D52FD">
        <w:rPr>
          <w:rFonts w:eastAsia="Calibri" w:cs="Verdana"/>
          <w:snapToGrid w:val="0"/>
          <w:sz w:val="20"/>
          <w:szCs w:val="20"/>
          <w:lang w:val="en-US" w:eastAsia="es-ES"/>
        </w:rPr>
        <w:t xml:space="preserve"> </w:t>
      </w:r>
      <w:r w:rsidR="00FF127C" w:rsidRPr="009D52FD">
        <w:rPr>
          <w:rFonts w:eastAsia="Calibri" w:cs="Verdana"/>
          <w:snapToGrid w:val="0"/>
          <w:sz w:val="20"/>
          <w:szCs w:val="20"/>
          <w:lang w:val="en-US" w:eastAsia="es-ES"/>
        </w:rPr>
        <w:t>the representatives’</w:t>
      </w:r>
      <w:r w:rsidRPr="009D52FD">
        <w:rPr>
          <w:rFonts w:eastAsia="Calibri" w:cs="Verdana"/>
          <w:snapToGrid w:val="0"/>
          <w:sz w:val="20"/>
          <w:szCs w:val="20"/>
          <w:lang w:val="en-US" w:eastAsia="es-ES"/>
        </w:rPr>
        <w:t xml:space="preserve"> </w:t>
      </w:r>
      <w:r w:rsidR="002151C9" w:rsidRPr="009D52FD">
        <w:rPr>
          <w:rFonts w:eastAsia="Calibri" w:cs="Verdana"/>
          <w:snapToGrid w:val="0"/>
          <w:sz w:val="20"/>
          <w:szCs w:val="20"/>
          <w:lang w:val="en-US" w:eastAsia="es-ES"/>
        </w:rPr>
        <w:t>pleadings and motions</w:t>
      </w:r>
      <w:r w:rsidRPr="009D52FD">
        <w:rPr>
          <w:rFonts w:eastAsia="Calibri" w:cs="Verdana"/>
          <w:snapToGrid w:val="0"/>
          <w:sz w:val="20"/>
          <w:szCs w:val="20"/>
          <w:lang w:val="en-US" w:eastAsia="es-ES"/>
        </w:rPr>
        <w:t xml:space="preserve"> brief</w:t>
      </w:r>
      <w:r w:rsidR="003630BB" w:rsidRPr="009D52FD">
        <w:rPr>
          <w:rFonts w:eastAsia="Calibri" w:cs="Verdana"/>
          <w:snapToGrid w:val="0"/>
          <w:sz w:val="20"/>
          <w:szCs w:val="20"/>
          <w:lang w:val="en-US" w:eastAsia="es-ES"/>
        </w:rPr>
        <w:t xml:space="preserve"> </w:t>
      </w:r>
      <w:r w:rsidRPr="009D52FD">
        <w:rPr>
          <w:rFonts w:eastAsia="Calibri" w:cs="Verdana"/>
          <w:snapToGrid w:val="0"/>
          <w:sz w:val="20"/>
          <w:szCs w:val="20"/>
          <w:lang w:val="en-US" w:eastAsia="es-ES"/>
        </w:rPr>
        <w:t xml:space="preserve">substantiated this acknowledgment. To the contrary, the State explicitly contested certain facts and these are mainly related to three factual aspects: (i) the supposed </w:t>
      </w:r>
      <w:r w:rsidR="00B74C4B" w:rsidRPr="009D52FD">
        <w:rPr>
          <w:rFonts w:eastAsia="Calibri" w:cs="Verdana"/>
          <w:snapToGrid w:val="0"/>
          <w:sz w:val="20"/>
          <w:szCs w:val="20"/>
          <w:lang w:val="en-US" w:eastAsia="es-ES"/>
        </w:rPr>
        <w:t>report</w:t>
      </w:r>
      <w:r w:rsidRPr="009D52FD">
        <w:rPr>
          <w:rFonts w:eastAsia="Calibri" w:cs="Verdana"/>
          <w:snapToGrid w:val="0"/>
          <w:sz w:val="20"/>
          <w:szCs w:val="20"/>
          <w:lang w:val="en-US" w:eastAsia="es-ES"/>
        </w:rPr>
        <w:t xml:space="preserve"> filed on </w:t>
      </w:r>
      <w:r w:rsidRPr="009D52FD">
        <w:rPr>
          <w:sz w:val="20"/>
          <w:szCs w:val="20"/>
          <w:lang w:val="en-US"/>
        </w:rPr>
        <w:t xml:space="preserve">March 28, 2001, by Ana Secilia López Soto, or the </w:t>
      </w:r>
      <w:r w:rsidRPr="009D52FD">
        <w:rPr>
          <w:sz w:val="20"/>
          <w:szCs w:val="20"/>
          <w:lang w:val="en-US"/>
        </w:rPr>
        <w:lastRenderedPageBreak/>
        <w:t>attempt to file this on several occasions at the offices of the former Judicial Technical Police located in Urdaneta Avenue in Caracas; (ii) the supposed context of “permissiveness towards gender-based violence, and that the</w:t>
      </w:r>
      <w:r w:rsidR="00FA2F16" w:rsidRPr="009D52FD">
        <w:rPr>
          <w:sz w:val="20"/>
          <w:szCs w:val="20"/>
          <w:lang w:val="en-US"/>
        </w:rPr>
        <w:t xml:space="preserve"> competent </w:t>
      </w:r>
      <w:r w:rsidR="00002A76" w:rsidRPr="009D52FD">
        <w:rPr>
          <w:sz w:val="20"/>
          <w:szCs w:val="20"/>
          <w:lang w:val="en-US"/>
        </w:rPr>
        <w:t>authorities</w:t>
      </w:r>
      <w:r w:rsidR="00FA2F16" w:rsidRPr="009D52FD">
        <w:rPr>
          <w:sz w:val="20"/>
          <w:szCs w:val="20"/>
          <w:lang w:val="en-US"/>
        </w:rPr>
        <w:t xml:space="preserve"> had been notably negligent </w:t>
      </w:r>
      <w:r w:rsidR="00B74C4B" w:rsidRPr="009D52FD">
        <w:rPr>
          <w:sz w:val="20"/>
          <w:szCs w:val="20"/>
          <w:lang w:val="en-US"/>
        </w:rPr>
        <w:t>in this regard</w:t>
      </w:r>
      <w:r w:rsidR="00FA2F16" w:rsidRPr="009D52FD">
        <w:rPr>
          <w:sz w:val="20"/>
          <w:szCs w:val="20"/>
          <w:lang w:val="en-US"/>
        </w:rPr>
        <w:t xml:space="preserve">,” and (iii) the treatment accorded by the </w:t>
      </w:r>
      <w:r w:rsidR="00002A76" w:rsidRPr="009D52FD">
        <w:rPr>
          <w:sz w:val="20"/>
          <w:szCs w:val="20"/>
          <w:lang w:val="en-US"/>
        </w:rPr>
        <w:t>authorities</w:t>
      </w:r>
      <w:r w:rsidR="00FA2F16" w:rsidRPr="009D52FD">
        <w:rPr>
          <w:sz w:val="20"/>
          <w:szCs w:val="20"/>
          <w:lang w:val="en-US"/>
        </w:rPr>
        <w:t xml:space="preserve"> to Linda Loaiza’s parent when they came to Caracas to meet up with their daughter.</w:t>
      </w:r>
    </w:p>
    <w:p w14:paraId="53EC2B94" w14:textId="77777777" w:rsidR="004E456E" w:rsidRPr="009D52FD" w:rsidRDefault="004E456E" w:rsidP="00CD70C9">
      <w:pPr>
        <w:tabs>
          <w:tab w:val="left" w:pos="567"/>
        </w:tabs>
        <w:spacing w:line="240" w:lineRule="auto"/>
        <w:rPr>
          <w:rFonts w:eastAsia="Calibri" w:cs="Verdana"/>
          <w:bCs/>
          <w:snapToGrid w:val="0"/>
          <w:sz w:val="20"/>
          <w:szCs w:val="20"/>
          <w:lang w:val="en-US" w:eastAsia="es-ES"/>
        </w:rPr>
      </w:pPr>
    </w:p>
    <w:p w14:paraId="2650BEE2" w14:textId="4322277D" w:rsidR="004E456E" w:rsidRPr="009D52FD" w:rsidRDefault="00FA2F16" w:rsidP="00FA2F16">
      <w:pPr>
        <w:numPr>
          <w:ilvl w:val="0"/>
          <w:numId w:val="1"/>
        </w:numPr>
        <w:tabs>
          <w:tab w:val="left" w:pos="567"/>
          <w:tab w:val="num" w:pos="1569"/>
          <w:tab w:val="num" w:pos="12305"/>
        </w:tabs>
        <w:spacing w:line="240" w:lineRule="auto"/>
        <w:ind w:left="0" w:firstLine="0"/>
        <w:rPr>
          <w:rFonts w:eastAsia="Calibri" w:cs="Verdana"/>
          <w:bCs/>
          <w:snapToGrid w:val="0"/>
          <w:sz w:val="20"/>
          <w:szCs w:val="20"/>
          <w:lang w:val="en-US" w:eastAsia="es-ES"/>
        </w:rPr>
      </w:pPr>
      <w:r w:rsidRPr="009D52FD">
        <w:rPr>
          <w:rFonts w:eastAsia="Calibri" w:cs="Verdana"/>
          <w:snapToGrid w:val="0"/>
          <w:sz w:val="20"/>
          <w:szCs w:val="20"/>
          <w:lang w:val="en-US" w:eastAsia="es-ES"/>
        </w:rPr>
        <w:t>As it has in other cases,</w:t>
      </w:r>
      <w:r w:rsidR="004E456E" w:rsidRPr="009D52FD">
        <w:rPr>
          <w:rFonts w:eastAsia="Calibri" w:cs="Verdana"/>
          <w:snapToGrid w:val="0"/>
          <w:sz w:val="20"/>
          <w:szCs w:val="20"/>
          <w:vertAlign w:val="superscript"/>
          <w:lang w:val="en-US" w:eastAsia="es-ES"/>
        </w:rPr>
        <w:footnoteReference w:id="21"/>
      </w:r>
      <w:r w:rsidR="004E456E" w:rsidRPr="009D52FD">
        <w:rPr>
          <w:rFonts w:eastAsia="Calibri" w:cs="Verdana"/>
          <w:snapToGrid w:val="0"/>
          <w:sz w:val="20"/>
          <w:szCs w:val="20"/>
          <w:lang w:val="en-US" w:eastAsia="es-ES"/>
        </w:rPr>
        <w:t xml:space="preserve"> </w:t>
      </w:r>
      <w:r w:rsidR="0002239A" w:rsidRPr="009D52FD">
        <w:rPr>
          <w:rFonts w:eastAsia="Calibri" w:cs="Verdana"/>
          <w:snapToGrid w:val="0"/>
          <w:sz w:val="20"/>
          <w:szCs w:val="20"/>
          <w:lang w:val="en-US" w:eastAsia="es-ES"/>
        </w:rPr>
        <w:t>this Court</w:t>
      </w:r>
      <w:r w:rsidR="004E456E" w:rsidRPr="009D52FD">
        <w:rPr>
          <w:rFonts w:eastAsia="Calibri" w:cs="Verdana"/>
          <w:snapToGrid w:val="0"/>
          <w:sz w:val="20"/>
          <w:szCs w:val="20"/>
          <w:lang w:val="en-US" w:eastAsia="es-ES"/>
        </w:rPr>
        <w:t xml:space="preserve"> </w:t>
      </w:r>
      <w:r w:rsidRPr="009D52FD">
        <w:rPr>
          <w:rFonts w:eastAsia="Calibri" w:cs="Verdana"/>
          <w:snapToGrid w:val="0"/>
          <w:sz w:val="20"/>
          <w:szCs w:val="20"/>
          <w:lang w:val="en-US" w:eastAsia="es-ES"/>
        </w:rPr>
        <w:t>finds that</w:t>
      </w:r>
      <w:r w:rsidR="00B74C4B" w:rsidRPr="009D52FD">
        <w:rPr>
          <w:rFonts w:eastAsia="Calibri" w:cs="Verdana"/>
          <w:snapToGrid w:val="0"/>
          <w:sz w:val="20"/>
          <w:szCs w:val="20"/>
          <w:lang w:val="en-US" w:eastAsia="es-ES"/>
        </w:rPr>
        <w:t>,</w:t>
      </w:r>
      <w:r w:rsidRPr="009D52FD">
        <w:rPr>
          <w:rFonts w:eastAsia="Calibri" w:cs="Verdana"/>
          <w:snapToGrid w:val="0"/>
          <w:sz w:val="20"/>
          <w:szCs w:val="20"/>
          <w:lang w:val="en-US" w:eastAsia="es-ES"/>
        </w:rPr>
        <w:t xml:space="preserve"> in circumstances such as those of the instant case, it should be understood that the State has accepted the facts that, according to the Merits Report – the factual framework for these proceedings – constituted the violations acknowledged in the terms in which the case was submitted, with the exception of those facts that were expressly contested. Therefore the Court, in addition to determining the facts that occurred based on the evidence submitted in the proceedings before it, will rule on the contested facts when examining the merits of this case</w:t>
      </w:r>
      <w:r w:rsidR="00D830E3" w:rsidRPr="009D52FD">
        <w:rPr>
          <w:rFonts w:eastAsia="Calibri" w:cs="Verdana"/>
          <w:snapToGrid w:val="0"/>
          <w:sz w:val="20"/>
          <w:szCs w:val="20"/>
          <w:lang w:val="en-US" w:eastAsia="es-ES"/>
        </w:rPr>
        <w:t>.</w:t>
      </w:r>
    </w:p>
    <w:p w14:paraId="02B7B015" w14:textId="77777777" w:rsidR="00176377" w:rsidRPr="009D52FD" w:rsidRDefault="00176377" w:rsidP="00176377">
      <w:pPr>
        <w:widowControl/>
        <w:autoSpaceDE w:val="0"/>
        <w:autoSpaceDN w:val="0"/>
        <w:spacing w:line="240" w:lineRule="auto"/>
        <w:textAlignment w:val="auto"/>
        <w:rPr>
          <w:rFonts w:eastAsia="Calibri" w:cs="Verdana"/>
          <w:bCs/>
          <w:snapToGrid w:val="0"/>
          <w:sz w:val="20"/>
          <w:szCs w:val="20"/>
          <w:lang w:val="en-US" w:eastAsia="es-ES"/>
        </w:rPr>
      </w:pPr>
    </w:p>
    <w:p w14:paraId="5BEAD026" w14:textId="13DB10FB" w:rsidR="00176377" w:rsidRPr="009D52FD" w:rsidRDefault="00176377" w:rsidP="00176377">
      <w:pPr>
        <w:pStyle w:val="Heading2"/>
        <w:tabs>
          <w:tab w:val="left" w:pos="1843"/>
        </w:tabs>
        <w:spacing w:before="0" w:line="240" w:lineRule="auto"/>
        <w:ind w:left="1134"/>
        <w:rPr>
          <w:rFonts w:ascii="Verdana" w:hAnsi="Verdana"/>
          <w:i/>
          <w:color w:val="auto"/>
          <w:sz w:val="20"/>
          <w:szCs w:val="20"/>
          <w:lang w:val="en-US"/>
        </w:rPr>
      </w:pPr>
      <w:bookmarkStart w:id="19" w:name="_Toc495658652"/>
      <w:bookmarkStart w:id="20" w:name="_Toc51400067"/>
      <w:r w:rsidRPr="009D52FD">
        <w:rPr>
          <w:rFonts w:ascii="Verdana" w:hAnsi="Verdana"/>
          <w:b w:val="0"/>
          <w:i/>
          <w:color w:val="auto"/>
          <w:sz w:val="20"/>
          <w:szCs w:val="20"/>
          <w:lang w:val="en-US"/>
        </w:rPr>
        <w:t xml:space="preserve">B.2 </w:t>
      </w:r>
      <w:r w:rsidRPr="009D52FD">
        <w:rPr>
          <w:rFonts w:ascii="Verdana" w:hAnsi="Verdana"/>
          <w:b w:val="0"/>
          <w:i/>
          <w:color w:val="auto"/>
          <w:sz w:val="20"/>
          <w:szCs w:val="20"/>
          <w:lang w:val="en-US"/>
        </w:rPr>
        <w:tab/>
      </w:r>
      <w:r w:rsidR="00D6018A" w:rsidRPr="009D52FD">
        <w:rPr>
          <w:rFonts w:ascii="Verdana" w:hAnsi="Verdana"/>
          <w:b w:val="0"/>
          <w:i/>
          <w:color w:val="auto"/>
          <w:sz w:val="20"/>
          <w:szCs w:val="20"/>
          <w:lang w:val="en-US"/>
        </w:rPr>
        <w:t>The legal claims</w:t>
      </w:r>
      <w:bookmarkEnd w:id="19"/>
      <w:bookmarkEnd w:id="20"/>
    </w:p>
    <w:p w14:paraId="5A401653" w14:textId="77777777" w:rsidR="00176377" w:rsidRPr="009D52FD" w:rsidRDefault="00176377" w:rsidP="00176377">
      <w:pPr>
        <w:tabs>
          <w:tab w:val="left" w:pos="567"/>
        </w:tabs>
        <w:spacing w:line="240" w:lineRule="auto"/>
        <w:rPr>
          <w:rFonts w:eastAsia="Calibri" w:cs="Verdana"/>
          <w:snapToGrid w:val="0"/>
          <w:sz w:val="20"/>
          <w:szCs w:val="20"/>
          <w:lang w:val="en-US" w:eastAsia="es-ES"/>
        </w:rPr>
      </w:pPr>
    </w:p>
    <w:p w14:paraId="67A55ACC" w14:textId="3E9F8D1B" w:rsidR="00723D4D" w:rsidRPr="009D52FD" w:rsidRDefault="006E4994" w:rsidP="004701E0">
      <w:pPr>
        <w:numPr>
          <w:ilvl w:val="0"/>
          <w:numId w:val="1"/>
        </w:numPr>
        <w:tabs>
          <w:tab w:val="left" w:pos="567"/>
          <w:tab w:val="num" w:pos="1569"/>
          <w:tab w:val="num" w:pos="12305"/>
        </w:tabs>
        <w:spacing w:line="240" w:lineRule="auto"/>
        <w:ind w:left="0" w:firstLine="0"/>
        <w:rPr>
          <w:rFonts w:eastAsia="Calibri" w:cs="Verdana"/>
          <w:snapToGrid w:val="0"/>
          <w:sz w:val="20"/>
          <w:szCs w:val="20"/>
          <w:lang w:val="en-US" w:eastAsia="es-ES"/>
        </w:rPr>
      </w:pPr>
      <w:r w:rsidRPr="009D52FD">
        <w:rPr>
          <w:rFonts w:eastAsia="Calibri" w:cs="Verdana"/>
          <w:snapToGrid w:val="0"/>
          <w:sz w:val="20"/>
          <w:szCs w:val="20"/>
          <w:lang w:val="en-US" w:eastAsia="es-ES"/>
        </w:rPr>
        <w:t>T</w:t>
      </w:r>
      <w:r w:rsidR="00FA2F16" w:rsidRPr="009D52FD">
        <w:rPr>
          <w:rFonts w:eastAsia="Calibri" w:cs="Verdana"/>
          <w:snapToGrid w:val="0"/>
          <w:sz w:val="20"/>
          <w:szCs w:val="20"/>
          <w:lang w:val="en-US" w:eastAsia="es-ES"/>
        </w:rPr>
        <w:t xml:space="preserve">aking into account the violations acknowledged by the State, as well as the </w:t>
      </w:r>
      <w:r w:rsidR="005B6C50" w:rsidRPr="009D52FD">
        <w:rPr>
          <w:rFonts w:eastAsia="Calibri" w:cs="Verdana"/>
          <w:snapToGrid w:val="0"/>
          <w:sz w:val="20"/>
          <w:szCs w:val="20"/>
          <w:lang w:val="en-US" w:eastAsia="es-ES"/>
        </w:rPr>
        <w:t>observations</w:t>
      </w:r>
      <w:r w:rsidR="003630BB" w:rsidRPr="009D52FD">
        <w:rPr>
          <w:rFonts w:eastAsia="Calibri" w:cs="Verdana"/>
          <w:snapToGrid w:val="0"/>
          <w:sz w:val="20"/>
          <w:szCs w:val="20"/>
          <w:lang w:val="en-US" w:eastAsia="es-ES"/>
        </w:rPr>
        <w:t xml:space="preserve"> of the representatives and the Commission</w:t>
      </w:r>
      <w:r w:rsidRPr="009D52FD">
        <w:rPr>
          <w:rFonts w:eastAsia="Calibri" w:cs="Verdana"/>
          <w:snapToGrid w:val="0"/>
          <w:sz w:val="20"/>
          <w:szCs w:val="20"/>
          <w:lang w:val="en-US" w:eastAsia="es-ES"/>
        </w:rPr>
        <w:t xml:space="preserve">, </w:t>
      </w:r>
      <w:r w:rsidR="003630BB" w:rsidRPr="009D52FD">
        <w:rPr>
          <w:rFonts w:eastAsia="Calibri" w:cs="Verdana"/>
          <w:snapToGrid w:val="0"/>
          <w:sz w:val="20"/>
          <w:szCs w:val="20"/>
          <w:lang w:val="en-US" w:eastAsia="es-ES"/>
        </w:rPr>
        <w:t>the Court</w:t>
      </w:r>
      <w:r w:rsidRPr="009D52FD">
        <w:rPr>
          <w:rFonts w:eastAsia="Calibri" w:cs="Verdana"/>
          <w:snapToGrid w:val="0"/>
          <w:sz w:val="20"/>
          <w:szCs w:val="20"/>
          <w:lang w:val="en-US" w:eastAsia="es-ES"/>
        </w:rPr>
        <w:t xml:space="preserve"> </w:t>
      </w:r>
      <w:r w:rsidR="00523AF4" w:rsidRPr="009D52FD">
        <w:rPr>
          <w:rFonts w:eastAsia="Calibri" w:cs="Verdana"/>
          <w:snapToGrid w:val="0"/>
          <w:sz w:val="20"/>
          <w:szCs w:val="20"/>
          <w:lang w:val="en-US" w:eastAsia="es-ES"/>
        </w:rPr>
        <w:t>considers</w:t>
      </w:r>
      <w:r w:rsidR="00FA2F16" w:rsidRPr="009D52FD">
        <w:rPr>
          <w:rFonts w:eastAsia="Calibri" w:cs="Verdana"/>
          <w:snapToGrid w:val="0"/>
          <w:sz w:val="20"/>
          <w:szCs w:val="20"/>
          <w:lang w:val="en-US" w:eastAsia="es-ES"/>
        </w:rPr>
        <w:t xml:space="preserve"> that the State’s acknowledgement constitutes a partial acquiescence to the legal claims</w:t>
      </w:r>
      <w:r w:rsidRPr="009D52FD">
        <w:rPr>
          <w:rFonts w:eastAsia="Calibri" w:cs="Verdana"/>
          <w:snapToGrid w:val="0"/>
          <w:sz w:val="20"/>
          <w:szCs w:val="20"/>
          <w:lang w:val="en-US" w:eastAsia="es-ES"/>
        </w:rPr>
        <w:t xml:space="preserve"> </w:t>
      </w:r>
      <w:r w:rsidR="008A6211" w:rsidRPr="009D52FD">
        <w:rPr>
          <w:rFonts w:eastAsia="Calibri" w:cs="Verdana"/>
          <w:snapToGrid w:val="0"/>
          <w:sz w:val="20"/>
          <w:szCs w:val="20"/>
          <w:lang w:val="en-US" w:eastAsia="es-ES"/>
        </w:rPr>
        <w:t>of the Commission and the</w:t>
      </w:r>
      <w:r w:rsidR="003630BB" w:rsidRPr="009D52FD">
        <w:rPr>
          <w:rFonts w:eastAsia="Calibri" w:cs="Verdana"/>
          <w:snapToGrid w:val="0"/>
          <w:sz w:val="20"/>
          <w:szCs w:val="20"/>
          <w:lang w:val="en-US" w:eastAsia="es-ES"/>
        </w:rPr>
        <w:t xml:space="preserve"> representatives</w:t>
      </w:r>
      <w:r w:rsidR="00B002A4" w:rsidRPr="009D52FD">
        <w:rPr>
          <w:rFonts w:eastAsia="Calibri" w:cs="Verdana"/>
          <w:snapToGrid w:val="0"/>
          <w:sz w:val="20"/>
          <w:szCs w:val="20"/>
          <w:lang w:val="en-US" w:eastAsia="es-ES"/>
        </w:rPr>
        <w:t xml:space="preserve">. </w:t>
      </w:r>
      <w:r w:rsidR="00FA2F16" w:rsidRPr="009D52FD">
        <w:rPr>
          <w:rFonts w:eastAsia="Calibri" w:cs="Verdana"/>
          <w:snapToGrid w:val="0"/>
          <w:sz w:val="20"/>
          <w:szCs w:val="20"/>
          <w:lang w:val="en-US" w:eastAsia="es-ES"/>
        </w:rPr>
        <w:t xml:space="preserve">This acknowledgement has full legal effects pursuant to </w:t>
      </w:r>
      <w:r w:rsidR="003630BB" w:rsidRPr="009D52FD">
        <w:rPr>
          <w:rFonts w:eastAsia="Calibri" w:cs="Verdana"/>
          <w:snapToGrid w:val="0"/>
          <w:sz w:val="20"/>
          <w:szCs w:val="20"/>
          <w:lang w:val="en-US" w:eastAsia="es-ES"/>
        </w:rPr>
        <w:t>Articles</w:t>
      </w:r>
      <w:r w:rsidR="004701E0" w:rsidRPr="009D52FD">
        <w:rPr>
          <w:rFonts w:eastAsia="Calibri" w:cs="Verdana"/>
          <w:snapToGrid w:val="0"/>
          <w:sz w:val="20"/>
          <w:szCs w:val="20"/>
          <w:lang w:val="en-US" w:eastAsia="es-ES"/>
        </w:rPr>
        <w:t xml:space="preserve"> 62</w:t>
      </w:r>
      <w:r w:rsidR="003630BB" w:rsidRPr="009D52FD">
        <w:rPr>
          <w:rFonts w:eastAsia="Calibri" w:cs="Verdana"/>
          <w:snapToGrid w:val="0"/>
          <w:sz w:val="20"/>
          <w:szCs w:val="20"/>
          <w:lang w:val="en-US" w:eastAsia="es-ES"/>
        </w:rPr>
        <w:t xml:space="preserve"> and </w:t>
      </w:r>
      <w:r w:rsidR="004701E0" w:rsidRPr="009D52FD">
        <w:rPr>
          <w:rFonts w:eastAsia="Calibri" w:cs="Verdana"/>
          <w:snapToGrid w:val="0"/>
          <w:sz w:val="20"/>
          <w:szCs w:val="20"/>
          <w:lang w:val="en-US" w:eastAsia="es-ES"/>
        </w:rPr>
        <w:t>64</w:t>
      </w:r>
      <w:r w:rsidR="003630BB" w:rsidRPr="009D52FD">
        <w:rPr>
          <w:rFonts w:eastAsia="Calibri" w:cs="Verdana"/>
          <w:snapToGrid w:val="0"/>
          <w:sz w:val="20"/>
          <w:szCs w:val="20"/>
          <w:lang w:val="en-US" w:eastAsia="es-ES"/>
        </w:rPr>
        <w:t xml:space="preserve"> of the</w:t>
      </w:r>
      <w:r w:rsidR="00FA2F16" w:rsidRPr="009D52FD">
        <w:rPr>
          <w:rFonts w:eastAsia="Calibri" w:cs="Verdana"/>
          <w:snapToGrid w:val="0"/>
          <w:sz w:val="20"/>
          <w:szCs w:val="20"/>
          <w:lang w:val="en-US" w:eastAsia="es-ES"/>
        </w:rPr>
        <w:t xml:space="preserve"> Court’s</w:t>
      </w:r>
      <w:r w:rsidR="003630BB" w:rsidRPr="009D52FD">
        <w:rPr>
          <w:rFonts w:eastAsia="Calibri" w:cs="Verdana"/>
          <w:snapToGrid w:val="0"/>
          <w:sz w:val="20"/>
          <w:szCs w:val="20"/>
          <w:lang w:val="en-US" w:eastAsia="es-ES"/>
        </w:rPr>
        <w:t xml:space="preserve"> Rules of Procedure</w:t>
      </w:r>
      <w:r w:rsidR="004701E0" w:rsidRPr="009D52FD">
        <w:rPr>
          <w:rFonts w:eastAsia="Calibri" w:cs="Verdana"/>
          <w:snapToGrid w:val="0"/>
          <w:sz w:val="20"/>
          <w:szCs w:val="20"/>
          <w:lang w:val="en-US" w:eastAsia="es-ES"/>
        </w:rPr>
        <w:t>.</w:t>
      </w:r>
    </w:p>
    <w:p w14:paraId="4D992C7C" w14:textId="77777777" w:rsidR="00723D4D" w:rsidRPr="009D52FD" w:rsidRDefault="00723D4D" w:rsidP="00723D4D">
      <w:pPr>
        <w:tabs>
          <w:tab w:val="left" w:pos="567"/>
        </w:tabs>
        <w:spacing w:line="240" w:lineRule="auto"/>
        <w:rPr>
          <w:rFonts w:eastAsia="Calibri" w:cs="Verdana"/>
          <w:snapToGrid w:val="0"/>
          <w:sz w:val="20"/>
          <w:szCs w:val="20"/>
          <w:lang w:val="en-US" w:eastAsia="es-ES"/>
        </w:rPr>
      </w:pPr>
    </w:p>
    <w:p w14:paraId="084C6BDD" w14:textId="3FCAEC54" w:rsidR="004701E0" w:rsidRPr="009D52FD" w:rsidRDefault="00FA2F16" w:rsidP="00FA2F16">
      <w:pPr>
        <w:numPr>
          <w:ilvl w:val="0"/>
          <w:numId w:val="1"/>
        </w:numPr>
        <w:tabs>
          <w:tab w:val="left" w:pos="567"/>
          <w:tab w:val="num" w:pos="1569"/>
          <w:tab w:val="num" w:pos="12305"/>
        </w:tabs>
        <w:spacing w:line="240" w:lineRule="auto"/>
        <w:ind w:left="0" w:firstLine="0"/>
        <w:rPr>
          <w:rFonts w:eastAsia="Calibri" w:cs="Verdana"/>
          <w:snapToGrid w:val="0"/>
          <w:sz w:val="20"/>
          <w:szCs w:val="20"/>
          <w:lang w:val="en-US" w:eastAsia="es-ES"/>
        </w:rPr>
      </w:pPr>
      <w:r w:rsidRPr="009D52FD">
        <w:rPr>
          <w:rFonts w:eastAsia="Calibri" w:cs="Verdana"/>
          <w:snapToGrid w:val="0"/>
          <w:sz w:val="20"/>
          <w:szCs w:val="20"/>
          <w:lang w:val="en-US" w:eastAsia="es-ES"/>
        </w:rPr>
        <w:t>Consequently</w:t>
      </w:r>
      <w:r w:rsidR="004701E0" w:rsidRPr="009D52FD">
        <w:rPr>
          <w:rFonts w:eastAsia="Calibri" w:cs="Verdana"/>
          <w:snapToGrid w:val="0"/>
          <w:sz w:val="20"/>
          <w:szCs w:val="20"/>
          <w:lang w:val="en-US" w:eastAsia="es-ES"/>
        </w:rPr>
        <w:t>, t</w:t>
      </w:r>
      <w:r w:rsidRPr="009D52FD">
        <w:rPr>
          <w:rFonts w:eastAsia="Calibri" w:cs="Verdana"/>
          <w:snapToGrid w:val="0"/>
          <w:sz w:val="20"/>
          <w:szCs w:val="20"/>
          <w:lang w:val="en-US" w:eastAsia="es-ES"/>
        </w:rPr>
        <w:t>aking into consideration the arguments of the State,</w:t>
      </w:r>
      <w:r w:rsidR="007A0D06" w:rsidRPr="009D52FD">
        <w:rPr>
          <w:rStyle w:val="FootnoteReference"/>
          <w:rFonts w:eastAsia="Calibri" w:cs="Verdana"/>
          <w:snapToGrid w:val="0"/>
          <w:sz w:val="20"/>
          <w:szCs w:val="20"/>
          <w:lang w:val="en-US" w:eastAsia="es-ES"/>
        </w:rPr>
        <w:footnoteReference w:id="22"/>
      </w:r>
      <w:r w:rsidRPr="009D52FD">
        <w:rPr>
          <w:rFonts w:eastAsia="Calibri" w:cs="Verdana"/>
          <w:snapToGrid w:val="0"/>
          <w:sz w:val="20"/>
          <w:szCs w:val="20"/>
          <w:lang w:val="en-US" w:eastAsia="es-ES"/>
        </w:rPr>
        <w:t xml:space="preserve"> as well as the</w:t>
      </w:r>
      <w:r w:rsidR="004701E0" w:rsidRPr="009D52FD">
        <w:rPr>
          <w:rFonts w:eastAsia="Calibri" w:cs="Verdana"/>
          <w:snapToGrid w:val="0"/>
          <w:sz w:val="20"/>
          <w:szCs w:val="20"/>
          <w:lang w:val="en-US" w:eastAsia="es-ES"/>
        </w:rPr>
        <w:t xml:space="preserve"> </w:t>
      </w:r>
      <w:r w:rsidR="005B6C50" w:rsidRPr="009D52FD">
        <w:rPr>
          <w:rFonts w:eastAsia="Calibri" w:cs="Verdana"/>
          <w:snapToGrid w:val="0"/>
          <w:sz w:val="20"/>
          <w:szCs w:val="20"/>
          <w:lang w:val="en-US" w:eastAsia="es-ES"/>
        </w:rPr>
        <w:t>observations</w:t>
      </w:r>
      <w:r w:rsidR="003630BB" w:rsidRPr="009D52FD">
        <w:rPr>
          <w:rFonts w:eastAsia="Calibri" w:cs="Verdana"/>
          <w:snapToGrid w:val="0"/>
          <w:sz w:val="20"/>
          <w:szCs w:val="20"/>
          <w:lang w:val="en-US" w:eastAsia="es-ES"/>
        </w:rPr>
        <w:t xml:space="preserve"> of the representatives and the Commission</w:t>
      </w:r>
      <w:r w:rsidR="004701E0" w:rsidRPr="009D52FD">
        <w:rPr>
          <w:rFonts w:eastAsia="Calibri" w:cs="Verdana"/>
          <w:snapToGrid w:val="0"/>
          <w:sz w:val="20"/>
          <w:szCs w:val="20"/>
          <w:lang w:val="en-US" w:eastAsia="es-ES"/>
        </w:rPr>
        <w:t xml:space="preserve">, </w:t>
      </w:r>
      <w:r w:rsidR="003630BB" w:rsidRPr="009D52FD">
        <w:rPr>
          <w:rFonts w:eastAsia="Calibri" w:cs="Verdana"/>
          <w:snapToGrid w:val="0"/>
          <w:sz w:val="20"/>
          <w:szCs w:val="20"/>
          <w:lang w:val="en-US" w:eastAsia="es-ES"/>
        </w:rPr>
        <w:t>the Court</w:t>
      </w:r>
      <w:r w:rsidR="004701E0" w:rsidRPr="009D52FD">
        <w:rPr>
          <w:rFonts w:eastAsia="Calibri" w:cs="Verdana"/>
          <w:snapToGrid w:val="0"/>
          <w:sz w:val="20"/>
          <w:szCs w:val="20"/>
          <w:lang w:val="en-US" w:eastAsia="es-ES"/>
        </w:rPr>
        <w:t xml:space="preserve"> consider</w:t>
      </w:r>
      <w:r w:rsidRPr="009D52FD">
        <w:rPr>
          <w:rFonts w:eastAsia="Calibri" w:cs="Verdana"/>
          <w:snapToGrid w:val="0"/>
          <w:sz w:val="20"/>
          <w:szCs w:val="20"/>
          <w:lang w:val="en-US" w:eastAsia="es-ES"/>
        </w:rPr>
        <w:t xml:space="preserve">s that the dispute has ceased in relation to the violations of: (i) </w:t>
      </w:r>
      <w:r w:rsidR="00997ADF" w:rsidRPr="009D52FD">
        <w:rPr>
          <w:rFonts w:eastAsia="Calibri" w:cs="Verdana"/>
          <w:snapToGrid w:val="0"/>
          <w:sz w:val="20"/>
          <w:szCs w:val="20"/>
          <w:lang w:val="en-US" w:eastAsia="es-ES"/>
        </w:rPr>
        <w:t>the rights to</w:t>
      </w:r>
      <w:r w:rsidR="004701E0" w:rsidRPr="009D52FD">
        <w:rPr>
          <w:rFonts w:eastAsia="Calibri" w:cs="Verdana"/>
          <w:snapToGrid w:val="0"/>
          <w:sz w:val="20"/>
          <w:szCs w:val="20"/>
          <w:lang w:val="en-US" w:eastAsia="es-ES"/>
        </w:rPr>
        <w:t xml:space="preserve"> </w:t>
      </w:r>
      <w:r w:rsidR="00996337" w:rsidRPr="009D52FD">
        <w:rPr>
          <w:rFonts w:eastAsia="Calibri" w:cs="Verdana"/>
          <w:snapToGrid w:val="0"/>
          <w:sz w:val="20"/>
          <w:szCs w:val="20"/>
          <w:lang w:val="en-US" w:eastAsia="es-ES"/>
        </w:rPr>
        <w:t>judicial guarantees</w:t>
      </w:r>
      <w:r w:rsidR="003630BB" w:rsidRPr="009D52FD">
        <w:rPr>
          <w:rFonts w:eastAsia="Calibri" w:cs="Verdana"/>
          <w:snapToGrid w:val="0"/>
          <w:sz w:val="20"/>
          <w:szCs w:val="20"/>
          <w:lang w:val="en-US" w:eastAsia="es-ES"/>
        </w:rPr>
        <w:t xml:space="preserve"> and </w:t>
      </w:r>
      <w:r w:rsidR="00996337" w:rsidRPr="009D52FD">
        <w:rPr>
          <w:rFonts w:eastAsia="Calibri" w:cs="Verdana"/>
          <w:snapToGrid w:val="0"/>
          <w:sz w:val="20"/>
          <w:szCs w:val="20"/>
          <w:lang w:val="en-US" w:eastAsia="es-ES"/>
        </w:rPr>
        <w:t>judicial protection</w:t>
      </w:r>
      <w:r w:rsidR="004701E0" w:rsidRPr="009D52FD">
        <w:rPr>
          <w:rFonts w:eastAsia="Calibri" w:cs="Verdana"/>
          <w:snapToGrid w:val="0"/>
          <w:sz w:val="20"/>
          <w:szCs w:val="20"/>
          <w:lang w:val="en-US" w:eastAsia="es-ES"/>
        </w:rPr>
        <w:t>, as</w:t>
      </w:r>
      <w:r w:rsidRPr="009D52FD">
        <w:rPr>
          <w:rFonts w:eastAsia="Calibri" w:cs="Verdana"/>
          <w:snapToGrid w:val="0"/>
          <w:sz w:val="20"/>
          <w:szCs w:val="20"/>
          <w:lang w:val="en-US" w:eastAsia="es-ES"/>
        </w:rPr>
        <w:t xml:space="preserve"> well as the obligation to investigate acts of violence against women established in Articles</w:t>
      </w:r>
      <w:r w:rsidR="00483040" w:rsidRPr="009D52FD">
        <w:rPr>
          <w:rFonts w:eastAsia="Calibri" w:cs="Verdana"/>
          <w:snapToGrid w:val="0"/>
          <w:sz w:val="20"/>
          <w:szCs w:val="20"/>
          <w:lang w:val="en-US" w:eastAsia="es-ES"/>
        </w:rPr>
        <w:t xml:space="preserve"> 8(1)</w:t>
      </w:r>
      <w:r w:rsidR="003630BB" w:rsidRPr="009D52FD">
        <w:rPr>
          <w:rFonts w:eastAsia="Calibri" w:cs="Verdana"/>
          <w:snapToGrid w:val="0"/>
          <w:sz w:val="20"/>
          <w:szCs w:val="20"/>
          <w:lang w:val="en-US" w:eastAsia="es-ES"/>
        </w:rPr>
        <w:t xml:space="preserve"> and</w:t>
      </w:r>
      <w:r w:rsidR="00D32B3E" w:rsidRPr="009D52FD">
        <w:rPr>
          <w:rFonts w:eastAsia="Calibri" w:cs="Verdana"/>
          <w:snapToGrid w:val="0"/>
          <w:sz w:val="20"/>
          <w:szCs w:val="20"/>
          <w:lang w:val="en-US" w:eastAsia="es-ES"/>
        </w:rPr>
        <w:t xml:space="preserve"> 25(1)</w:t>
      </w:r>
      <w:r w:rsidR="003630BB" w:rsidRPr="009D52FD">
        <w:rPr>
          <w:rFonts w:eastAsia="Calibri" w:cs="Verdana"/>
          <w:snapToGrid w:val="0"/>
          <w:sz w:val="20"/>
          <w:szCs w:val="20"/>
          <w:lang w:val="en-US" w:eastAsia="es-ES"/>
        </w:rPr>
        <w:t xml:space="preserve"> of the American Convention and Article</w:t>
      </w:r>
      <w:r w:rsidR="004701E0" w:rsidRPr="009D52FD">
        <w:rPr>
          <w:rFonts w:eastAsia="Calibri" w:cs="Verdana"/>
          <w:snapToGrid w:val="0"/>
          <w:sz w:val="20"/>
          <w:szCs w:val="20"/>
          <w:lang w:val="en-US" w:eastAsia="es-ES"/>
        </w:rPr>
        <w:t xml:space="preserve"> 7</w:t>
      </w:r>
      <w:r w:rsidRPr="009D52FD">
        <w:rPr>
          <w:rFonts w:eastAsia="Calibri" w:cs="Verdana"/>
          <w:snapToGrid w:val="0"/>
          <w:sz w:val="20"/>
          <w:szCs w:val="20"/>
          <w:lang w:val="en-US" w:eastAsia="es-ES"/>
        </w:rPr>
        <w:t>(</w:t>
      </w:r>
      <w:r w:rsidR="007A0D06" w:rsidRPr="009D52FD">
        <w:rPr>
          <w:sz w:val="20"/>
          <w:szCs w:val="20"/>
          <w:lang w:val="en-US"/>
        </w:rPr>
        <w:t>a)</w:t>
      </w:r>
      <w:r w:rsidR="003630BB" w:rsidRPr="009D52FD">
        <w:rPr>
          <w:sz w:val="20"/>
          <w:szCs w:val="20"/>
          <w:lang w:val="en-US"/>
        </w:rPr>
        <w:t xml:space="preserve"> and </w:t>
      </w:r>
      <w:r w:rsidRPr="009D52FD">
        <w:rPr>
          <w:sz w:val="20"/>
          <w:szCs w:val="20"/>
          <w:lang w:val="en-US"/>
        </w:rPr>
        <w:t>(</w:t>
      </w:r>
      <w:r w:rsidR="007A0D06" w:rsidRPr="009D52FD">
        <w:rPr>
          <w:sz w:val="20"/>
          <w:szCs w:val="20"/>
          <w:lang w:val="en-US"/>
        </w:rPr>
        <w:t>b)</w:t>
      </w:r>
      <w:r w:rsidR="003630BB" w:rsidRPr="009D52FD">
        <w:rPr>
          <w:sz w:val="20"/>
          <w:szCs w:val="20"/>
          <w:lang w:val="en-US"/>
        </w:rPr>
        <w:t xml:space="preserve"> of the </w:t>
      </w:r>
      <w:r w:rsidR="003630BB" w:rsidRPr="009D52FD">
        <w:rPr>
          <w:rFonts w:eastAsia="Calibri" w:cs="Verdana"/>
          <w:snapToGrid w:val="0"/>
          <w:sz w:val="20"/>
          <w:szCs w:val="20"/>
          <w:lang w:val="en-US" w:eastAsia="es-ES"/>
        </w:rPr>
        <w:t>Convention</w:t>
      </w:r>
      <w:r w:rsidR="00F9246E" w:rsidRPr="009D52FD">
        <w:rPr>
          <w:rFonts w:eastAsia="Calibri" w:cs="Verdana"/>
          <w:snapToGrid w:val="0"/>
          <w:sz w:val="20"/>
          <w:szCs w:val="20"/>
          <w:lang w:val="en-US" w:eastAsia="es-ES"/>
        </w:rPr>
        <w:t xml:space="preserve"> </w:t>
      </w:r>
      <w:r w:rsidR="00483040" w:rsidRPr="009D52FD">
        <w:rPr>
          <w:rFonts w:eastAsia="Calibri" w:cs="Verdana"/>
          <w:snapToGrid w:val="0"/>
          <w:sz w:val="20"/>
          <w:szCs w:val="20"/>
          <w:lang w:val="en-US" w:eastAsia="es-ES"/>
        </w:rPr>
        <w:t>of Belém</w:t>
      </w:r>
      <w:r w:rsidR="004701E0" w:rsidRPr="009D52FD">
        <w:rPr>
          <w:rFonts w:eastAsia="Calibri" w:cs="Verdana"/>
          <w:snapToGrid w:val="0"/>
          <w:sz w:val="20"/>
          <w:szCs w:val="20"/>
          <w:lang w:val="en-US" w:eastAsia="es-ES"/>
        </w:rPr>
        <w:t xml:space="preserve"> do Pará, </w:t>
      </w:r>
      <w:r w:rsidR="00483040" w:rsidRPr="009D52FD">
        <w:rPr>
          <w:rFonts w:eastAsia="Calibri" w:cs="Verdana"/>
          <w:snapToGrid w:val="0"/>
          <w:sz w:val="20"/>
          <w:szCs w:val="20"/>
          <w:lang w:val="en-US" w:eastAsia="es-ES"/>
        </w:rPr>
        <w:t>to the detriment of</w:t>
      </w:r>
      <w:r w:rsidR="004701E0" w:rsidRPr="009D52FD">
        <w:rPr>
          <w:rFonts w:eastAsia="Calibri" w:cs="Verdana"/>
          <w:snapToGrid w:val="0"/>
          <w:sz w:val="20"/>
          <w:szCs w:val="20"/>
          <w:lang w:val="en-US" w:eastAsia="es-ES"/>
        </w:rPr>
        <w:t xml:space="preserve"> Linda Loaiza López Soto, </w:t>
      </w:r>
      <w:r w:rsidRPr="009D52FD">
        <w:rPr>
          <w:rFonts w:eastAsia="Calibri" w:cs="Verdana"/>
          <w:snapToGrid w:val="0"/>
          <w:sz w:val="20"/>
          <w:szCs w:val="20"/>
          <w:lang w:val="en-US" w:eastAsia="es-ES"/>
        </w:rPr>
        <w:t>owing to the “omissions and inadequate actions, as well as to unjustified delays, that resulted in a f</w:t>
      </w:r>
      <w:r w:rsidR="00701F24" w:rsidRPr="009D52FD">
        <w:rPr>
          <w:rFonts w:eastAsia="Calibri" w:cs="Verdana"/>
          <w:snapToGrid w:val="0"/>
          <w:sz w:val="20"/>
          <w:szCs w:val="20"/>
          <w:lang w:val="en-US" w:eastAsia="es-ES"/>
        </w:rPr>
        <w:t>a</w:t>
      </w:r>
      <w:r w:rsidRPr="009D52FD">
        <w:rPr>
          <w:rFonts w:eastAsia="Calibri" w:cs="Verdana"/>
          <w:snapToGrid w:val="0"/>
          <w:sz w:val="20"/>
          <w:szCs w:val="20"/>
          <w:lang w:val="en-US" w:eastAsia="es-ES"/>
        </w:rPr>
        <w:t>ilure to comply with the obligation to investigate with due diligence within a reasonable time”;</w:t>
      </w:r>
      <w:r w:rsidR="004701E0" w:rsidRPr="009D52FD">
        <w:rPr>
          <w:rFonts w:eastAsia="Calibri" w:cs="Verdana"/>
          <w:snapToGrid w:val="0"/>
          <w:sz w:val="20"/>
          <w:szCs w:val="20"/>
          <w:lang w:val="en-US" w:eastAsia="es-ES"/>
        </w:rPr>
        <w:t xml:space="preserve"> </w:t>
      </w:r>
      <w:r w:rsidR="00701F24" w:rsidRPr="009D52FD">
        <w:rPr>
          <w:rFonts w:eastAsia="Calibri" w:cs="Verdana"/>
          <w:snapToGrid w:val="0"/>
          <w:sz w:val="20"/>
          <w:szCs w:val="20"/>
          <w:lang w:val="en-US" w:eastAsia="es-ES"/>
        </w:rPr>
        <w:t>(</w:t>
      </w:r>
      <w:r w:rsidR="004701E0" w:rsidRPr="009D52FD">
        <w:rPr>
          <w:rFonts w:eastAsia="Calibri" w:cs="Verdana"/>
          <w:snapToGrid w:val="0"/>
          <w:sz w:val="20"/>
          <w:szCs w:val="20"/>
          <w:lang w:val="en-US" w:eastAsia="es-ES"/>
        </w:rPr>
        <w:t xml:space="preserve">ii) </w:t>
      </w:r>
      <w:r w:rsidR="00997ADF" w:rsidRPr="009D52FD">
        <w:rPr>
          <w:rFonts w:eastAsia="Calibri" w:cs="Verdana"/>
          <w:snapToGrid w:val="0"/>
          <w:sz w:val="20"/>
          <w:szCs w:val="20"/>
          <w:lang w:val="en-US" w:eastAsia="es-ES"/>
        </w:rPr>
        <w:t>the rights to</w:t>
      </w:r>
      <w:r w:rsidR="004701E0" w:rsidRPr="009D52FD">
        <w:rPr>
          <w:rFonts w:eastAsia="Calibri" w:cs="Verdana"/>
          <w:snapToGrid w:val="0"/>
          <w:sz w:val="20"/>
          <w:szCs w:val="20"/>
          <w:lang w:val="en-US" w:eastAsia="es-ES"/>
        </w:rPr>
        <w:t xml:space="preserve"> </w:t>
      </w:r>
      <w:r w:rsidR="00996337" w:rsidRPr="009D52FD">
        <w:rPr>
          <w:rFonts w:eastAsia="Calibri" w:cs="Verdana"/>
          <w:snapToGrid w:val="0"/>
          <w:sz w:val="20"/>
          <w:szCs w:val="20"/>
          <w:lang w:val="en-US" w:eastAsia="es-ES"/>
        </w:rPr>
        <w:t>judicial guarantees</w:t>
      </w:r>
      <w:r w:rsidR="004701E0" w:rsidRPr="009D52FD">
        <w:rPr>
          <w:rFonts w:eastAsia="Calibri" w:cs="Verdana"/>
          <w:snapToGrid w:val="0"/>
          <w:sz w:val="20"/>
          <w:szCs w:val="20"/>
          <w:lang w:val="en-US" w:eastAsia="es-ES"/>
        </w:rPr>
        <w:t xml:space="preserve">, </w:t>
      </w:r>
      <w:r w:rsidR="00996337" w:rsidRPr="009D52FD">
        <w:rPr>
          <w:rFonts w:eastAsia="Calibri" w:cs="Verdana"/>
          <w:snapToGrid w:val="0"/>
          <w:sz w:val="20"/>
          <w:szCs w:val="20"/>
          <w:lang w:val="en-US" w:eastAsia="es-ES"/>
        </w:rPr>
        <w:t>judicial protection</w:t>
      </w:r>
      <w:r w:rsidR="004701E0" w:rsidRPr="009D52FD">
        <w:rPr>
          <w:rFonts w:eastAsia="Calibri" w:cs="Verdana"/>
          <w:snapToGrid w:val="0"/>
          <w:sz w:val="20"/>
          <w:szCs w:val="20"/>
          <w:lang w:val="en-US" w:eastAsia="es-ES"/>
        </w:rPr>
        <w:t xml:space="preserve">, </w:t>
      </w:r>
      <w:r w:rsidR="00997ADF" w:rsidRPr="009D52FD">
        <w:rPr>
          <w:rFonts w:eastAsia="Calibri" w:cs="Verdana"/>
          <w:snapToGrid w:val="0"/>
          <w:sz w:val="20"/>
          <w:szCs w:val="20"/>
          <w:lang w:val="en-US" w:eastAsia="es-ES"/>
        </w:rPr>
        <w:t>personal integrity</w:t>
      </w:r>
      <w:r w:rsidR="004701E0" w:rsidRPr="009D52FD">
        <w:rPr>
          <w:rFonts w:eastAsia="Calibri" w:cs="Verdana"/>
          <w:snapToGrid w:val="0"/>
          <w:sz w:val="20"/>
          <w:szCs w:val="20"/>
          <w:lang w:val="en-US" w:eastAsia="es-ES"/>
        </w:rPr>
        <w:t xml:space="preserve">, </w:t>
      </w:r>
      <w:r w:rsidR="00701F24" w:rsidRPr="009D52FD">
        <w:rPr>
          <w:rFonts w:eastAsia="Calibri" w:cs="Verdana"/>
          <w:snapToGrid w:val="0"/>
          <w:sz w:val="20"/>
          <w:szCs w:val="20"/>
          <w:lang w:val="en-US" w:eastAsia="es-ES"/>
        </w:rPr>
        <w:t>privacy</w:t>
      </w:r>
      <w:r w:rsidR="00B74C4B" w:rsidRPr="009D52FD">
        <w:rPr>
          <w:rFonts w:eastAsia="Calibri" w:cs="Verdana"/>
          <w:snapToGrid w:val="0"/>
          <w:sz w:val="20"/>
          <w:szCs w:val="20"/>
          <w:lang w:val="en-US" w:eastAsia="es-ES"/>
        </w:rPr>
        <w:t>,</w:t>
      </w:r>
      <w:r w:rsidR="004701E0" w:rsidRPr="009D52FD">
        <w:rPr>
          <w:rFonts w:eastAsia="Calibri" w:cs="Verdana"/>
          <w:snapToGrid w:val="0"/>
          <w:sz w:val="20"/>
          <w:szCs w:val="20"/>
          <w:lang w:val="en-US" w:eastAsia="es-ES"/>
        </w:rPr>
        <w:t xml:space="preserve"> </w:t>
      </w:r>
      <w:r w:rsidR="00701F24" w:rsidRPr="009D52FD">
        <w:rPr>
          <w:rFonts w:eastAsia="Calibri" w:cs="Verdana"/>
          <w:snapToGrid w:val="0"/>
          <w:sz w:val="20"/>
          <w:szCs w:val="20"/>
          <w:lang w:val="en-US" w:eastAsia="es-ES"/>
        </w:rPr>
        <w:t>and equality and non-</w:t>
      </w:r>
      <w:r w:rsidR="00AE580F" w:rsidRPr="009D52FD">
        <w:rPr>
          <w:rFonts w:eastAsia="Calibri" w:cs="Verdana"/>
          <w:snapToGrid w:val="0"/>
          <w:sz w:val="20"/>
          <w:szCs w:val="20"/>
          <w:lang w:val="en-US" w:eastAsia="es-ES"/>
        </w:rPr>
        <w:t>discrimination</w:t>
      </w:r>
      <w:r w:rsidR="004701E0" w:rsidRPr="009D52FD">
        <w:rPr>
          <w:rFonts w:eastAsia="Calibri" w:cs="Verdana"/>
          <w:snapToGrid w:val="0"/>
          <w:sz w:val="20"/>
          <w:szCs w:val="20"/>
          <w:lang w:val="en-US" w:eastAsia="es-ES"/>
        </w:rPr>
        <w:t xml:space="preserve">, </w:t>
      </w:r>
      <w:r w:rsidR="00701F24" w:rsidRPr="009D52FD">
        <w:rPr>
          <w:rFonts w:eastAsia="Calibri" w:cs="Verdana"/>
          <w:snapToGrid w:val="0"/>
          <w:sz w:val="20"/>
          <w:szCs w:val="20"/>
          <w:lang w:val="en-US" w:eastAsia="es-ES"/>
        </w:rPr>
        <w:t xml:space="preserve">recognized in </w:t>
      </w:r>
      <w:r w:rsidR="003630BB" w:rsidRPr="009D52FD">
        <w:rPr>
          <w:rFonts w:eastAsia="Calibri" w:cs="Verdana"/>
          <w:snapToGrid w:val="0"/>
          <w:sz w:val="20"/>
          <w:szCs w:val="20"/>
          <w:lang w:val="en-US" w:eastAsia="es-ES"/>
        </w:rPr>
        <w:t>Articles</w:t>
      </w:r>
      <w:r w:rsidR="00483040" w:rsidRPr="009D52FD">
        <w:rPr>
          <w:rFonts w:eastAsia="Calibri" w:cs="Verdana"/>
          <w:snapToGrid w:val="0"/>
          <w:sz w:val="20"/>
          <w:szCs w:val="20"/>
          <w:lang w:val="en-US" w:eastAsia="es-ES"/>
        </w:rPr>
        <w:t xml:space="preserve"> 8(1)</w:t>
      </w:r>
      <w:r w:rsidR="004701E0" w:rsidRPr="009D52FD">
        <w:rPr>
          <w:rFonts w:eastAsia="Calibri" w:cs="Verdana"/>
          <w:snapToGrid w:val="0"/>
          <w:sz w:val="20"/>
          <w:szCs w:val="20"/>
          <w:lang w:val="en-US" w:eastAsia="es-ES"/>
        </w:rPr>
        <w:t>,</w:t>
      </w:r>
      <w:r w:rsidR="00D32B3E" w:rsidRPr="009D52FD">
        <w:rPr>
          <w:rFonts w:eastAsia="Calibri" w:cs="Verdana"/>
          <w:snapToGrid w:val="0"/>
          <w:sz w:val="20"/>
          <w:szCs w:val="20"/>
          <w:lang w:val="en-US" w:eastAsia="es-ES"/>
        </w:rPr>
        <w:t xml:space="preserve"> 25(1)</w:t>
      </w:r>
      <w:r w:rsidR="004701E0" w:rsidRPr="009D52FD">
        <w:rPr>
          <w:rFonts w:eastAsia="Calibri" w:cs="Verdana"/>
          <w:snapToGrid w:val="0"/>
          <w:sz w:val="20"/>
          <w:szCs w:val="20"/>
          <w:lang w:val="en-US" w:eastAsia="es-ES"/>
        </w:rPr>
        <w:t>,</w:t>
      </w:r>
      <w:r w:rsidR="00483040" w:rsidRPr="009D52FD">
        <w:rPr>
          <w:rFonts w:eastAsia="Calibri" w:cs="Verdana"/>
          <w:snapToGrid w:val="0"/>
          <w:sz w:val="20"/>
          <w:szCs w:val="20"/>
          <w:lang w:val="en-US" w:eastAsia="es-ES"/>
        </w:rPr>
        <w:t xml:space="preserve"> 5(1)</w:t>
      </w:r>
      <w:r w:rsidR="004701E0" w:rsidRPr="009D52FD">
        <w:rPr>
          <w:rFonts w:eastAsia="Calibri" w:cs="Verdana"/>
          <w:snapToGrid w:val="0"/>
          <w:sz w:val="20"/>
          <w:szCs w:val="20"/>
          <w:lang w:val="en-US" w:eastAsia="es-ES"/>
        </w:rPr>
        <w:t>, 11</w:t>
      </w:r>
      <w:r w:rsidR="003630BB" w:rsidRPr="009D52FD">
        <w:rPr>
          <w:rFonts w:eastAsia="Calibri" w:cs="Verdana"/>
          <w:snapToGrid w:val="0"/>
          <w:sz w:val="20"/>
          <w:szCs w:val="20"/>
          <w:lang w:val="en-US" w:eastAsia="es-ES"/>
        </w:rPr>
        <w:t xml:space="preserve"> and </w:t>
      </w:r>
      <w:r w:rsidR="004701E0" w:rsidRPr="009D52FD">
        <w:rPr>
          <w:rFonts w:eastAsia="Calibri" w:cs="Verdana"/>
          <w:snapToGrid w:val="0"/>
          <w:sz w:val="20"/>
          <w:szCs w:val="20"/>
          <w:lang w:val="en-US" w:eastAsia="es-ES"/>
        </w:rPr>
        <w:t>24</w:t>
      </w:r>
      <w:r w:rsidR="003630BB" w:rsidRPr="009D52FD">
        <w:rPr>
          <w:rFonts w:eastAsia="Calibri" w:cs="Verdana"/>
          <w:snapToGrid w:val="0"/>
          <w:sz w:val="20"/>
          <w:szCs w:val="20"/>
          <w:lang w:val="en-US" w:eastAsia="es-ES"/>
        </w:rPr>
        <w:t xml:space="preserve"> of the American Convention</w:t>
      </w:r>
      <w:r w:rsidR="004701E0" w:rsidRPr="009D52FD">
        <w:rPr>
          <w:rFonts w:eastAsia="Calibri" w:cs="Verdana"/>
          <w:snapToGrid w:val="0"/>
          <w:sz w:val="20"/>
          <w:szCs w:val="20"/>
          <w:lang w:val="en-US" w:eastAsia="es-ES"/>
        </w:rPr>
        <w:t xml:space="preserve">, </w:t>
      </w:r>
      <w:r w:rsidR="00997ADF" w:rsidRPr="009D52FD">
        <w:rPr>
          <w:rFonts w:eastAsia="Calibri" w:cs="Verdana"/>
          <w:snapToGrid w:val="0"/>
          <w:sz w:val="20"/>
          <w:szCs w:val="20"/>
          <w:lang w:val="en-US" w:eastAsia="es-ES"/>
        </w:rPr>
        <w:t>in relation to</w:t>
      </w:r>
      <w:r w:rsidR="00701F24" w:rsidRPr="009D52FD">
        <w:rPr>
          <w:rFonts w:eastAsia="Calibri" w:cs="Verdana"/>
          <w:snapToGrid w:val="0"/>
          <w:sz w:val="20"/>
          <w:szCs w:val="20"/>
          <w:lang w:val="en-US" w:eastAsia="es-ES"/>
        </w:rPr>
        <w:t xml:space="preserve"> the obligation to adopt domestic legal provisions</w:t>
      </w:r>
      <w:r w:rsidR="004701E0" w:rsidRPr="009D52FD">
        <w:rPr>
          <w:rFonts w:eastAsia="Calibri" w:cs="Verdana"/>
          <w:snapToGrid w:val="0"/>
          <w:sz w:val="20"/>
          <w:szCs w:val="20"/>
          <w:lang w:val="en-US" w:eastAsia="es-ES"/>
        </w:rPr>
        <w:t xml:space="preserve"> </w:t>
      </w:r>
      <w:r w:rsidR="007D3D4F" w:rsidRPr="009D52FD">
        <w:rPr>
          <w:rFonts w:eastAsia="Calibri" w:cs="Verdana"/>
          <w:snapToGrid w:val="0"/>
          <w:sz w:val="20"/>
          <w:szCs w:val="20"/>
          <w:lang w:val="en-US" w:eastAsia="es-ES"/>
        </w:rPr>
        <w:t>recognized in</w:t>
      </w:r>
      <w:r w:rsidR="004701E0" w:rsidRPr="009D52FD">
        <w:rPr>
          <w:rFonts w:eastAsia="Calibri" w:cs="Verdana"/>
          <w:snapToGrid w:val="0"/>
          <w:sz w:val="20"/>
          <w:szCs w:val="20"/>
          <w:lang w:val="en-US" w:eastAsia="es-ES"/>
        </w:rPr>
        <w:t xml:space="preserve"> </w:t>
      </w:r>
      <w:r w:rsidR="003630BB" w:rsidRPr="009D52FD">
        <w:rPr>
          <w:rFonts w:eastAsia="Calibri" w:cs="Verdana"/>
          <w:snapToGrid w:val="0"/>
          <w:sz w:val="20"/>
          <w:szCs w:val="20"/>
          <w:lang w:val="en-US" w:eastAsia="es-ES"/>
        </w:rPr>
        <w:t>Article</w:t>
      </w:r>
      <w:r w:rsidR="004701E0" w:rsidRPr="009D52FD">
        <w:rPr>
          <w:rFonts w:eastAsia="Calibri" w:cs="Verdana"/>
          <w:snapToGrid w:val="0"/>
          <w:sz w:val="20"/>
          <w:szCs w:val="20"/>
          <w:lang w:val="en-US" w:eastAsia="es-ES"/>
        </w:rPr>
        <w:t xml:space="preserve"> 2 </w:t>
      </w:r>
      <w:r w:rsidR="00483040" w:rsidRPr="009D52FD">
        <w:rPr>
          <w:rFonts w:eastAsia="Calibri" w:cs="Verdana"/>
          <w:snapToGrid w:val="0"/>
          <w:sz w:val="20"/>
          <w:szCs w:val="20"/>
          <w:lang w:val="en-US" w:eastAsia="es-ES"/>
        </w:rPr>
        <w:t>of this instrument</w:t>
      </w:r>
      <w:r w:rsidR="004701E0" w:rsidRPr="009D52FD">
        <w:rPr>
          <w:rFonts w:eastAsia="Calibri" w:cs="Verdana"/>
          <w:snapToGrid w:val="0"/>
          <w:sz w:val="20"/>
          <w:szCs w:val="20"/>
          <w:lang w:val="en-US" w:eastAsia="es-ES"/>
        </w:rPr>
        <w:t xml:space="preserve">, </w:t>
      </w:r>
      <w:r w:rsidR="00701F24" w:rsidRPr="009D52FD">
        <w:rPr>
          <w:rFonts w:eastAsia="Calibri" w:cs="Verdana"/>
          <w:snapToGrid w:val="0"/>
          <w:sz w:val="20"/>
          <w:szCs w:val="20"/>
          <w:lang w:val="en-US" w:eastAsia="es-ES"/>
        </w:rPr>
        <w:t xml:space="preserve">because </w:t>
      </w:r>
      <w:r w:rsidR="004701E0" w:rsidRPr="009D52FD">
        <w:rPr>
          <w:rFonts w:eastAsia="Calibri" w:cs="Verdana"/>
          <w:snapToGrid w:val="0"/>
          <w:sz w:val="20"/>
          <w:szCs w:val="20"/>
          <w:lang w:val="en-US" w:eastAsia="es-ES"/>
        </w:rPr>
        <w:t>Linda Loaiza López Soto “</w:t>
      </w:r>
      <w:r w:rsidR="00701F24" w:rsidRPr="009D52FD">
        <w:rPr>
          <w:rFonts w:eastAsia="Calibri" w:cs="Verdana"/>
          <w:snapToGrid w:val="0"/>
          <w:sz w:val="20"/>
          <w:szCs w:val="20"/>
          <w:lang w:val="en-US" w:eastAsia="es-ES"/>
        </w:rPr>
        <w:t xml:space="preserve">did not have access to justice under equal conditions, because she </w:t>
      </w:r>
      <w:r w:rsidR="00B74C4B" w:rsidRPr="009D52FD">
        <w:rPr>
          <w:rFonts w:eastAsia="Calibri" w:cs="Verdana"/>
          <w:snapToGrid w:val="0"/>
          <w:sz w:val="20"/>
          <w:szCs w:val="20"/>
          <w:lang w:val="en-US" w:eastAsia="es-ES"/>
        </w:rPr>
        <w:t>was treated in a way that</w:t>
      </w:r>
      <w:r w:rsidR="00701F24" w:rsidRPr="009D52FD">
        <w:rPr>
          <w:rFonts w:eastAsia="Calibri" w:cs="Verdana"/>
          <w:snapToGrid w:val="0"/>
          <w:sz w:val="20"/>
          <w:szCs w:val="20"/>
          <w:lang w:val="en-US" w:eastAsia="es-ES"/>
        </w:rPr>
        <w:t xml:space="preserve"> was inappropriate to her condition as a victim of violence against women [and a]lso, the facts were investigated and prosecuted under a discriminatory legislative framework,</w:t>
      </w:r>
      <w:r w:rsidR="004701E0" w:rsidRPr="009D52FD">
        <w:rPr>
          <w:rFonts w:eastAsia="Calibri" w:cs="Verdana"/>
          <w:snapToGrid w:val="0"/>
          <w:sz w:val="20"/>
          <w:szCs w:val="20"/>
          <w:lang w:val="en-US" w:eastAsia="es-ES"/>
        </w:rPr>
        <w:t>”</w:t>
      </w:r>
      <w:r w:rsidR="003630BB" w:rsidRPr="009D52FD">
        <w:rPr>
          <w:rFonts w:eastAsia="Calibri" w:cs="Verdana"/>
          <w:snapToGrid w:val="0"/>
          <w:sz w:val="20"/>
          <w:szCs w:val="20"/>
          <w:lang w:val="en-US" w:eastAsia="es-ES"/>
        </w:rPr>
        <w:t xml:space="preserve"> and </w:t>
      </w:r>
      <w:r w:rsidR="00701F24" w:rsidRPr="009D52FD">
        <w:rPr>
          <w:rFonts w:eastAsia="Calibri" w:cs="Verdana"/>
          <w:snapToGrid w:val="0"/>
          <w:sz w:val="20"/>
          <w:szCs w:val="20"/>
          <w:lang w:val="en-US" w:eastAsia="es-ES"/>
        </w:rPr>
        <w:t>(</w:t>
      </w:r>
      <w:r w:rsidR="004701E0" w:rsidRPr="009D52FD">
        <w:rPr>
          <w:rFonts w:eastAsia="Calibri" w:cs="Verdana"/>
          <w:snapToGrid w:val="0"/>
          <w:sz w:val="20"/>
          <w:szCs w:val="20"/>
          <w:lang w:val="en-US" w:eastAsia="es-ES"/>
        </w:rPr>
        <w:t xml:space="preserve">iii) </w:t>
      </w:r>
      <w:r w:rsidR="00701F24" w:rsidRPr="009D52FD">
        <w:rPr>
          <w:rFonts w:eastAsia="Calibri" w:cs="Verdana"/>
          <w:snapToGrid w:val="0"/>
          <w:sz w:val="20"/>
          <w:szCs w:val="20"/>
          <w:lang w:val="en-US" w:eastAsia="es-ES"/>
        </w:rPr>
        <w:t xml:space="preserve">the right to </w:t>
      </w:r>
      <w:r w:rsidR="00997ADF" w:rsidRPr="009D52FD">
        <w:rPr>
          <w:rFonts w:eastAsia="Calibri" w:cs="Verdana"/>
          <w:snapToGrid w:val="0"/>
          <w:sz w:val="20"/>
          <w:szCs w:val="20"/>
          <w:lang w:val="en-US" w:eastAsia="es-ES"/>
        </w:rPr>
        <w:t>personal integrity</w:t>
      </w:r>
      <w:r w:rsidR="004701E0" w:rsidRPr="009D52FD">
        <w:rPr>
          <w:rFonts w:eastAsia="Calibri" w:cs="Verdana"/>
          <w:snapToGrid w:val="0"/>
          <w:sz w:val="20"/>
          <w:szCs w:val="20"/>
          <w:lang w:val="en-US" w:eastAsia="es-ES"/>
        </w:rPr>
        <w:t xml:space="preserve">, </w:t>
      </w:r>
      <w:r w:rsidR="00701F24" w:rsidRPr="009D52FD">
        <w:rPr>
          <w:rFonts w:eastAsia="Calibri" w:cs="Verdana"/>
          <w:snapToGrid w:val="0"/>
          <w:sz w:val="20"/>
          <w:szCs w:val="20"/>
          <w:lang w:val="en-US" w:eastAsia="es-ES"/>
        </w:rPr>
        <w:t>established in</w:t>
      </w:r>
      <w:r w:rsidR="004701E0" w:rsidRPr="009D52FD">
        <w:rPr>
          <w:rFonts w:eastAsia="Calibri" w:cs="Verdana"/>
          <w:snapToGrid w:val="0"/>
          <w:sz w:val="20"/>
          <w:szCs w:val="20"/>
          <w:lang w:val="en-US" w:eastAsia="es-ES"/>
        </w:rPr>
        <w:t xml:space="preserve"> </w:t>
      </w:r>
      <w:r w:rsidR="003630BB" w:rsidRPr="009D52FD">
        <w:rPr>
          <w:rFonts w:eastAsia="Calibri" w:cs="Verdana"/>
          <w:snapToGrid w:val="0"/>
          <w:sz w:val="20"/>
          <w:szCs w:val="20"/>
          <w:lang w:val="en-US" w:eastAsia="es-ES"/>
        </w:rPr>
        <w:t>Article</w:t>
      </w:r>
      <w:r w:rsidR="004701E0" w:rsidRPr="009D52FD">
        <w:rPr>
          <w:rFonts w:eastAsia="Calibri" w:cs="Verdana"/>
          <w:snapToGrid w:val="0"/>
          <w:sz w:val="20"/>
          <w:szCs w:val="20"/>
          <w:lang w:val="en-US" w:eastAsia="es-ES"/>
        </w:rPr>
        <w:t xml:space="preserve"> 5</w:t>
      </w:r>
      <w:r w:rsidR="003630BB" w:rsidRPr="009D52FD">
        <w:rPr>
          <w:rFonts w:eastAsia="Calibri" w:cs="Verdana"/>
          <w:snapToGrid w:val="0"/>
          <w:sz w:val="20"/>
          <w:szCs w:val="20"/>
          <w:lang w:val="en-US" w:eastAsia="es-ES"/>
        </w:rPr>
        <w:t xml:space="preserve"> of the American Convention</w:t>
      </w:r>
      <w:r w:rsidR="004701E0" w:rsidRPr="009D52FD">
        <w:rPr>
          <w:rFonts w:eastAsia="Calibri" w:cs="Verdana"/>
          <w:snapToGrid w:val="0"/>
          <w:sz w:val="20"/>
          <w:szCs w:val="20"/>
          <w:lang w:val="en-US" w:eastAsia="es-ES"/>
        </w:rPr>
        <w:t xml:space="preserve">, </w:t>
      </w:r>
      <w:r w:rsidR="00483040" w:rsidRPr="009D52FD">
        <w:rPr>
          <w:rFonts w:eastAsia="Calibri" w:cs="Verdana"/>
          <w:snapToGrid w:val="0"/>
          <w:sz w:val="20"/>
          <w:szCs w:val="20"/>
          <w:lang w:val="en-US" w:eastAsia="es-ES"/>
        </w:rPr>
        <w:t>to the detriment of</w:t>
      </w:r>
      <w:r w:rsidR="004701E0" w:rsidRPr="009D52FD">
        <w:rPr>
          <w:rFonts w:eastAsia="Calibri" w:cs="Verdana"/>
          <w:snapToGrid w:val="0"/>
          <w:sz w:val="20"/>
          <w:szCs w:val="20"/>
          <w:lang w:val="en-US" w:eastAsia="es-ES"/>
        </w:rPr>
        <w:t xml:space="preserve"> </w:t>
      </w:r>
      <w:r w:rsidR="00701F24" w:rsidRPr="009D52FD">
        <w:rPr>
          <w:rFonts w:eastAsia="Calibri" w:cs="Verdana"/>
          <w:snapToGrid w:val="0"/>
          <w:sz w:val="20"/>
          <w:szCs w:val="20"/>
          <w:lang w:val="en-US" w:eastAsia="es-ES"/>
        </w:rPr>
        <w:t xml:space="preserve">the family members of </w:t>
      </w:r>
      <w:r w:rsidR="004701E0" w:rsidRPr="009D52FD">
        <w:rPr>
          <w:rFonts w:eastAsia="Calibri" w:cs="Verdana"/>
          <w:snapToGrid w:val="0"/>
          <w:sz w:val="20"/>
          <w:szCs w:val="20"/>
          <w:lang w:val="en-US" w:eastAsia="es-ES"/>
        </w:rPr>
        <w:t xml:space="preserve">Linda Loaiza López </w:t>
      </w:r>
      <w:r w:rsidR="00701F24" w:rsidRPr="009D52FD">
        <w:rPr>
          <w:rFonts w:eastAsia="Calibri" w:cs="Verdana"/>
          <w:snapToGrid w:val="0"/>
          <w:sz w:val="20"/>
          <w:szCs w:val="20"/>
          <w:lang w:val="en-US" w:eastAsia="es-ES"/>
        </w:rPr>
        <w:t>identified in</w:t>
      </w:r>
      <w:r w:rsidR="004701E0" w:rsidRPr="009D52FD">
        <w:rPr>
          <w:rFonts w:eastAsia="Calibri" w:cs="Verdana"/>
          <w:snapToGrid w:val="0"/>
          <w:sz w:val="20"/>
          <w:szCs w:val="20"/>
          <w:lang w:val="en-US" w:eastAsia="es-ES"/>
        </w:rPr>
        <w:t xml:space="preserve"> </w:t>
      </w:r>
      <w:r w:rsidR="00483040" w:rsidRPr="009D52FD">
        <w:rPr>
          <w:rFonts w:eastAsia="Calibri" w:cs="Verdana"/>
          <w:snapToGrid w:val="0"/>
          <w:sz w:val="20"/>
          <w:szCs w:val="20"/>
          <w:lang w:val="en-US" w:eastAsia="es-ES"/>
        </w:rPr>
        <w:t xml:space="preserve">the </w:t>
      </w:r>
      <w:r w:rsidR="00701F24" w:rsidRPr="009D52FD">
        <w:rPr>
          <w:rFonts w:eastAsia="Calibri" w:cs="Verdana"/>
          <w:snapToGrid w:val="0"/>
          <w:sz w:val="20"/>
          <w:szCs w:val="20"/>
          <w:lang w:val="en-US" w:eastAsia="es-ES"/>
        </w:rPr>
        <w:t xml:space="preserve">Commission’s </w:t>
      </w:r>
      <w:r w:rsidR="00483040" w:rsidRPr="009D52FD">
        <w:rPr>
          <w:rFonts w:eastAsia="Calibri" w:cs="Verdana"/>
          <w:snapToGrid w:val="0"/>
          <w:sz w:val="20"/>
          <w:szCs w:val="20"/>
          <w:lang w:val="en-US" w:eastAsia="es-ES"/>
        </w:rPr>
        <w:t>Merits Report</w:t>
      </w:r>
      <w:r w:rsidR="004701E0" w:rsidRPr="009D52FD">
        <w:rPr>
          <w:rFonts w:eastAsia="Calibri" w:cs="Verdana"/>
          <w:snapToGrid w:val="0"/>
          <w:sz w:val="20"/>
          <w:szCs w:val="20"/>
          <w:lang w:val="en-US" w:eastAsia="es-ES"/>
        </w:rPr>
        <w:t>.</w:t>
      </w:r>
    </w:p>
    <w:p w14:paraId="76D2B674" w14:textId="77777777" w:rsidR="004701E0" w:rsidRPr="009D52FD" w:rsidRDefault="004701E0" w:rsidP="004701E0">
      <w:pPr>
        <w:widowControl/>
        <w:tabs>
          <w:tab w:val="left" w:pos="567"/>
        </w:tabs>
        <w:autoSpaceDE w:val="0"/>
        <w:autoSpaceDN w:val="0"/>
        <w:spacing w:line="240" w:lineRule="auto"/>
        <w:textAlignment w:val="auto"/>
        <w:rPr>
          <w:rFonts w:eastAsia="Calibri" w:cs="Verdana"/>
          <w:snapToGrid w:val="0"/>
          <w:sz w:val="20"/>
          <w:szCs w:val="20"/>
          <w:lang w:val="en-US" w:eastAsia="es-ES"/>
        </w:rPr>
      </w:pPr>
    </w:p>
    <w:p w14:paraId="0CAE70B0" w14:textId="795883CB" w:rsidR="00D22236" w:rsidRPr="009D52FD" w:rsidRDefault="00701F24" w:rsidP="00BB42E3">
      <w:pPr>
        <w:widowControl/>
        <w:numPr>
          <w:ilvl w:val="0"/>
          <w:numId w:val="1"/>
        </w:numPr>
        <w:tabs>
          <w:tab w:val="left" w:pos="567"/>
          <w:tab w:val="num" w:pos="1569"/>
          <w:tab w:val="num" w:pos="12305"/>
        </w:tabs>
        <w:autoSpaceDE w:val="0"/>
        <w:autoSpaceDN w:val="0"/>
        <w:spacing w:line="240" w:lineRule="auto"/>
        <w:ind w:left="0" w:firstLine="0"/>
        <w:textAlignment w:val="auto"/>
        <w:rPr>
          <w:rFonts w:eastAsia="Calibri" w:cs="Verdana"/>
          <w:snapToGrid w:val="0"/>
          <w:sz w:val="20"/>
          <w:szCs w:val="20"/>
          <w:lang w:val="en-US" w:eastAsia="es-ES"/>
        </w:rPr>
      </w:pPr>
      <w:r w:rsidRPr="009D52FD">
        <w:rPr>
          <w:rFonts w:eastAsia="Calibri" w:cs="Verdana"/>
          <w:snapToGrid w:val="0"/>
          <w:sz w:val="20"/>
          <w:szCs w:val="20"/>
          <w:lang w:val="en-US" w:eastAsia="es-ES"/>
        </w:rPr>
        <w:t xml:space="preserve">Furthermore, regarding the alleged violations of </w:t>
      </w:r>
      <w:r w:rsidR="003630BB" w:rsidRPr="009D52FD">
        <w:rPr>
          <w:rFonts w:eastAsia="Calibri" w:cs="Verdana"/>
          <w:snapToGrid w:val="0"/>
          <w:sz w:val="20"/>
          <w:szCs w:val="20"/>
          <w:lang w:val="en-US" w:eastAsia="es-ES"/>
        </w:rPr>
        <w:t>Articles</w:t>
      </w:r>
      <w:r w:rsidR="00483040" w:rsidRPr="009D52FD">
        <w:rPr>
          <w:sz w:val="20"/>
          <w:szCs w:val="20"/>
          <w:lang w:val="en-US"/>
        </w:rPr>
        <w:t xml:space="preserve"> 5(1)</w:t>
      </w:r>
      <w:r w:rsidR="00A26FDB" w:rsidRPr="009D52FD">
        <w:rPr>
          <w:sz w:val="20"/>
          <w:szCs w:val="20"/>
          <w:lang w:val="en-US"/>
        </w:rPr>
        <w:t>,</w:t>
      </w:r>
      <w:r w:rsidR="00483040" w:rsidRPr="009D52FD">
        <w:rPr>
          <w:sz w:val="20"/>
          <w:szCs w:val="20"/>
          <w:lang w:val="en-US"/>
        </w:rPr>
        <w:t xml:space="preserve"> 5(2)</w:t>
      </w:r>
      <w:r w:rsidR="00A26FDB" w:rsidRPr="009D52FD">
        <w:rPr>
          <w:sz w:val="20"/>
          <w:szCs w:val="20"/>
          <w:lang w:val="en-US"/>
        </w:rPr>
        <w:t>,</w:t>
      </w:r>
      <w:r w:rsidR="00D32B3E" w:rsidRPr="009D52FD">
        <w:rPr>
          <w:sz w:val="20"/>
          <w:szCs w:val="20"/>
          <w:lang w:val="en-US"/>
        </w:rPr>
        <w:t xml:space="preserve"> 7(1)</w:t>
      </w:r>
      <w:r w:rsidR="00A26FDB" w:rsidRPr="009D52FD">
        <w:rPr>
          <w:sz w:val="20"/>
          <w:szCs w:val="20"/>
          <w:lang w:val="en-US"/>
        </w:rPr>
        <w:t>, 11</w:t>
      </w:r>
      <w:r w:rsidR="003630BB" w:rsidRPr="009D52FD">
        <w:rPr>
          <w:sz w:val="20"/>
          <w:szCs w:val="20"/>
          <w:lang w:val="en-US"/>
        </w:rPr>
        <w:t xml:space="preserve"> and </w:t>
      </w:r>
      <w:r w:rsidR="00A26FDB" w:rsidRPr="009D52FD">
        <w:rPr>
          <w:sz w:val="20"/>
          <w:szCs w:val="20"/>
          <w:lang w:val="en-US"/>
        </w:rPr>
        <w:t>1</w:t>
      </w:r>
      <w:r w:rsidRPr="009D52FD">
        <w:rPr>
          <w:sz w:val="20"/>
          <w:szCs w:val="20"/>
          <w:lang w:val="en-US"/>
        </w:rPr>
        <w:t>(</w:t>
      </w:r>
      <w:r w:rsidR="00A26FDB" w:rsidRPr="009D52FD">
        <w:rPr>
          <w:sz w:val="20"/>
          <w:szCs w:val="20"/>
          <w:lang w:val="en-US"/>
        </w:rPr>
        <w:t>1</w:t>
      </w:r>
      <w:r w:rsidRPr="009D52FD">
        <w:rPr>
          <w:sz w:val="20"/>
          <w:szCs w:val="20"/>
          <w:lang w:val="en-US"/>
        </w:rPr>
        <w:t>)</w:t>
      </w:r>
      <w:r w:rsidR="003630BB" w:rsidRPr="009D52FD">
        <w:rPr>
          <w:sz w:val="20"/>
          <w:szCs w:val="20"/>
          <w:lang w:val="en-US"/>
        </w:rPr>
        <w:t xml:space="preserve"> of the American Convention</w:t>
      </w:r>
      <w:r w:rsidR="004701E0" w:rsidRPr="009D52FD">
        <w:rPr>
          <w:sz w:val="20"/>
          <w:szCs w:val="20"/>
          <w:lang w:val="en-US"/>
        </w:rPr>
        <w:t xml:space="preserve">, </w:t>
      </w:r>
      <w:r w:rsidR="00D32B3E" w:rsidRPr="009D52FD">
        <w:rPr>
          <w:sz w:val="20"/>
          <w:szCs w:val="20"/>
          <w:lang w:val="en-US"/>
        </w:rPr>
        <w:t>Article</w:t>
      </w:r>
      <w:r w:rsidR="004701E0" w:rsidRPr="009D52FD">
        <w:rPr>
          <w:sz w:val="20"/>
          <w:szCs w:val="20"/>
          <w:lang w:val="en-US"/>
        </w:rPr>
        <w:t xml:space="preserve"> 7</w:t>
      </w:r>
      <w:r w:rsidRPr="009D52FD">
        <w:rPr>
          <w:sz w:val="20"/>
          <w:szCs w:val="20"/>
          <w:lang w:val="en-US"/>
        </w:rPr>
        <w:t>(</w:t>
      </w:r>
      <w:r w:rsidR="004701E0" w:rsidRPr="009D52FD">
        <w:rPr>
          <w:sz w:val="20"/>
          <w:szCs w:val="20"/>
          <w:lang w:val="en-US"/>
        </w:rPr>
        <w:t>a)</w:t>
      </w:r>
      <w:r w:rsidR="003630BB" w:rsidRPr="009D52FD">
        <w:rPr>
          <w:sz w:val="20"/>
          <w:szCs w:val="20"/>
          <w:lang w:val="en-US"/>
        </w:rPr>
        <w:t xml:space="preserve"> and </w:t>
      </w:r>
      <w:r w:rsidRPr="009D52FD">
        <w:rPr>
          <w:sz w:val="20"/>
          <w:szCs w:val="20"/>
          <w:lang w:val="en-US"/>
        </w:rPr>
        <w:t>(</w:t>
      </w:r>
      <w:r w:rsidR="004701E0" w:rsidRPr="009D52FD">
        <w:rPr>
          <w:sz w:val="20"/>
          <w:szCs w:val="20"/>
          <w:lang w:val="en-US"/>
        </w:rPr>
        <w:t>b)</w:t>
      </w:r>
      <w:r w:rsidR="003630BB" w:rsidRPr="009D52FD">
        <w:rPr>
          <w:sz w:val="20"/>
          <w:szCs w:val="20"/>
          <w:lang w:val="en-US"/>
        </w:rPr>
        <w:t xml:space="preserve"> of the Convention</w:t>
      </w:r>
      <w:r w:rsidR="00F9246E" w:rsidRPr="009D52FD">
        <w:rPr>
          <w:sz w:val="20"/>
          <w:szCs w:val="20"/>
          <w:lang w:val="en-US"/>
        </w:rPr>
        <w:t xml:space="preserve"> </w:t>
      </w:r>
      <w:r w:rsidR="00483040" w:rsidRPr="009D52FD">
        <w:rPr>
          <w:sz w:val="20"/>
          <w:szCs w:val="20"/>
          <w:lang w:val="en-US"/>
        </w:rPr>
        <w:t>of Belém</w:t>
      </w:r>
      <w:r w:rsidR="004701E0" w:rsidRPr="009D52FD">
        <w:rPr>
          <w:sz w:val="20"/>
          <w:szCs w:val="20"/>
          <w:lang w:val="en-US"/>
        </w:rPr>
        <w:t xml:space="preserve"> do Pará</w:t>
      </w:r>
      <w:r w:rsidR="003630BB" w:rsidRPr="009D52FD">
        <w:rPr>
          <w:sz w:val="20"/>
          <w:szCs w:val="20"/>
          <w:lang w:val="en-US"/>
        </w:rPr>
        <w:t xml:space="preserve"> and Articles</w:t>
      </w:r>
      <w:r w:rsidR="00A26FDB" w:rsidRPr="009D52FD">
        <w:rPr>
          <w:sz w:val="20"/>
          <w:szCs w:val="20"/>
          <w:lang w:val="en-US"/>
        </w:rPr>
        <w:t xml:space="preserve"> 1</w:t>
      </w:r>
      <w:r w:rsidR="003630BB" w:rsidRPr="009D52FD">
        <w:rPr>
          <w:sz w:val="20"/>
          <w:szCs w:val="20"/>
          <w:lang w:val="en-US"/>
        </w:rPr>
        <w:t xml:space="preserve"> and </w:t>
      </w:r>
      <w:r w:rsidR="00A26FDB" w:rsidRPr="009D52FD">
        <w:rPr>
          <w:sz w:val="20"/>
          <w:szCs w:val="20"/>
          <w:lang w:val="en-US"/>
        </w:rPr>
        <w:t xml:space="preserve">6 </w:t>
      </w:r>
      <w:r w:rsidR="00D32B3E" w:rsidRPr="009D52FD">
        <w:rPr>
          <w:sz w:val="20"/>
          <w:szCs w:val="20"/>
          <w:lang w:val="en-US"/>
        </w:rPr>
        <w:t>of the ICPPT</w:t>
      </w:r>
      <w:r w:rsidR="00BB42E3" w:rsidRPr="009D52FD">
        <w:rPr>
          <w:sz w:val="20"/>
          <w:szCs w:val="20"/>
          <w:lang w:val="en-US"/>
        </w:rPr>
        <w:t xml:space="preserve">, </w:t>
      </w:r>
      <w:r w:rsidRPr="009D52FD">
        <w:rPr>
          <w:sz w:val="20"/>
          <w:szCs w:val="20"/>
          <w:lang w:val="en-US"/>
        </w:rPr>
        <w:t xml:space="preserve">in relation to the facts that occurred prior to </w:t>
      </w:r>
      <w:r w:rsidR="00DB6AF5" w:rsidRPr="009D52FD">
        <w:rPr>
          <w:sz w:val="20"/>
          <w:szCs w:val="20"/>
          <w:lang w:val="en-US"/>
        </w:rPr>
        <w:t>July 19,</w:t>
      </w:r>
      <w:r w:rsidR="00BB42E3" w:rsidRPr="009D52FD">
        <w:rPr>
          <w:sz w:val="20"/>
          <w:szCs w:val="20"/>
          <w:lang w:val="en-US"/>
        </w:rPr>
        <w:t xml:space="preserve"> 2001, as</w:t>
      </w:r>
      <w:r w:rsidRPr="009D52FD">
        <w:rPr>
          <w:sz w:val="20"/>
          <w:szCs w:val="20"/>
          <w:lang w:val="en-US"/>
        </w:rPr>
        <w:t xml:space="preserve"> well as with regard to the alleged failure to comply with the obligation to investigate acts of torture established in </w:t>
      </w:r>
      <w:r w:rsidR="003630BB" w:rsidRPr="009D52FD">
        <w:rPr>
          <w:sz w:val="20"/>
          <w:szCs w:val="20"/>
          <w:lang w:val="en-US"/>
        </w:rPr>
        <w:t>Articles</w:t>
      </w:r>
      <w:r w:rsidR="00BB42E3" w:rsidRPr="009D52FD">
        <w:rPr>
          <w:sz w:val="20"/>
          <w:szCs w:val="20"/>
          <w:lang w:val="en-US"/>
        </w:rPr>
        <w:t xml:space="preserve"> 1, 6</w:t>
      </w:r>
      <w:r w:rsidR="003630BB" w:rsidRPr="009D52FD">
        <w:rPr>
          <w:sz w:val="20"/>
          <w:szCs w:val="20"/>
          <w:lang w:val="en-US"/>
        </w:rPr>
        <w:t xml:space="preserve"> and </w:t>
      </w:r>
      <w:r w:rsidR="00BB42E3" w:rsidRPr="009D52FD">
        <w:rPr>
          <w:sz w:val="20"/>
          <w:szCs w:val="20"/>
          <w:lang w:val="en-US"/>
        </w:rPr>
        <w:t xml:space="preserve">8 </w:t>
      </w:r>
      <w:r w:rsidR="00D32B3E" w:rsidRPr="009D52FD">
        <w:rPr>
          <w:sz w:val="20"/>
          <w:szCs w:val="20"/>
          <w:lang w:val="en-US"/>
        </w:rPr>
        <w:t>of the ICPPT</w:t>
      </w:r>
      <w:r w:rsidR="00BB42E3" w:rsidRPr="009D52FD">
        <w:rPr>
          <w:sz w:val="20"/>
          <w:szCs w:val="20"/>
          <w:lang w:val="en-US"/>
        </w:rPr>
        <w:t xml:space="preserve">, </w:t>
      </w:r>
      <w:r w:rsidRPr="009D52FD">
        <w:rPr>
          <w:sz w:val="20"/>
          <w:szCs w:val="20"/>
          <w:lang w:val="en-US"/>
        </w:rPr>
        <w:t>which the State did not expressly acknowledge, the Court notes that the dispute remains and it will rule on this when addressing the merits of the case</w:t>
      </w:r>
      <w:r w:rsidR="00BB42E3" w:rsidRPr="009D52FD">
        <w:rPr>
          <w:rFonts w:eastAsia="Calibri" w:cs="Verdana"/>
          <w:snapToGrid w:val="0"/>
          <w:sz w:val="20"/>
          <w:szCs w:val="20"/>
          <w:lang w:val="en-US" w:eastAsia="es-ES"/>
        </w:rPr>
        <w:t>.</w:t>
      </w:r>
    </w:p>
    <w:p w14:paraId="1B25BCD2" w14:textId="77777777" w:rsidR="00017FB2" w:rsidRPr="009D52FD" w:rsidRDefault="00017FB2" w:rsidP="00176377">
      <w:pPr>
        <w:tabs>
          <w:tab w:val="left" w:pos="567"/>
        </w:tabs>
        <w:spacing w:line="240" w:lineRule="auto"/>
        <w:rPr>
          <w:rFonts w:eastAsia="Calibri" w:cs="Verdana"/>
          <w:snapToGrid w:val="0"/>
          <w:sz w:val="20"/>
          <w:szCs w:val="20"/>
          <w:lang w:val="en-US" w:eastAsia="es-ES"/>
        </w:rPr>
      </w:pPr>
    </w:p>
    <w:p w14:paraId="11C99690" w14:textId="3BE2E2B6" w:rsidR="00176377" w:rsidRPr="009D52FD" w:rsidRDefault="00176377" w:rsidP="00176377">
      <w:pPr>
        <w:pStyle w:val="Heading2"/>
        <w:tabs>
          <w:tab w:val="left" w:pos="1843"/>
        </w:tabs>
        <w:spacing w:before="0" w:line="240" w:lineRule="auto"/>
        <w:ind w:left="1134"/>
        <w:rPr>
          <w:rFonts w:ascii="Verdana" w:hAnsi="Verdana"/>
          <w:i/>
          <w:color w:val="auto"/>
          <w:sz w:val="20"/>
          <w:szCs w:val="20"/>
          <w:lang w:val="en-US"/>
        </w:rPr>
      </w:pPr>
      <w:bookmarkStart w:id="21" w:name="_Toc495658653"/>
      <w:bookmarkStart w:id="22" w:name="_Toc51400068"/>
      <w:r w:rsidRPr="009D52FD">
        <w:rPr>
          <w:rFonts w:ascii="Verdana" w:hAnsi="Verdana"/>
          <w:b w:val="0"/>
          <w:i/>
          <w:color w:val="auto"/>
          <w:sz w:val="20"/>
          <w:szCs w:val="20"/>
          <w:lang w:val="en-US"/>
        </w:rPr>
        <w:t xml:space="preserve">B.3 </w:t>
      </w:r>
      <w:r w:rsidRPr="009D52FD">
        <w:rPr>
          <w:rFonts w:ascii="Verdana" w:hAnsi="Verdana"/>
          <w:b w:val="0"/>
          <w:i/>
          <w:color w:val="auto"/>
          <w:sz w:val="20"/>
          <w:szCs w:val="20"/>
          <w:lang w:val="en-US"/>
        </w:rPr>
        <w:tab/>
      </w:r>
      <w:r w:rsidR="00D6018A" w:rsidRPr="009D52FD">
        <w:rPr>
          <w:rFonts w:ascii="Verdana" w:hAnsi="Verdana"/>
          <w:b w:val="0"/>
          <w:i/>
          <w:color w:val="auto"/>
          <w:sz w:val="20"/>
          <w:szCs w:val="20"/>
          <w:lang w:val="en-US"/>
        </w:rPr>
        <w:t>The reparations</w:t>
      </w:r>
      <w:bookmarkEnd w:id="21"/>
      <w:bookmarkEnd w:id="22"/>
    </w:p>
    <w:p w14:paraId="7DA1D6B8" w14:textId="77777777" w:rsidR="00176377" w:rsidRPr="009D52FD" w:rsidRDefault="00176377" w:rsidP="00176377">
      <w:pPr>
        <w:widowControl/>
        <w:autoSpaceDE w:val="0"/>
        <w:autoSpaceDN w:val="0"/>
        <w:spacing w:line="240" w:lineRule="auto"/>
        <w:textAlignment w:val="auto"/>
        <w:rPr>
          <w:rFonts w:eastAsia="Batang"/>
          <w:bCs/>
          <w:sz w:val="20"/>
          <w:szCs w:val="20"/>
          <w:lang w:val="en-US" w:eastAsia="en-US"/>
        </w:rPr>
      </w:pPr>
    </w:p>
    <w:p w14:paraId="44B74AD4" w14:textId="3EC5A637" w:rsidR="00176377" w:rsidRPr="009D52FD" w:rsidRDefault="0064395F" w:rsidP="0064395F">
      <w:pPr>
        <w:widowControl/>
        <w:numPr>
          <w:ilvl w:val="0"/>
          <w:numId w:val="1"/>
        </w:numPr>
        <w:tabs>
          <w:tab w:val="left" w:pos="567"/>
          <w:tab w:val="num" w:pos="1569"/>
          <w:tab w:val="num" w:pos="12305"/>
        </w:tabs>
        <w:autoSpaceDE w:val="0"/>
        <w:autoSpaceDN w:val="0"/>
        <w:spacing w:line="240" w:lineRule="auto"/>
        <w:ind w:left="0" w:firstLine="0"/>
        <w:textAlignment w:val="auto"/>
        <w:rPr>
          <w:rFonts w:eastAsia="Batang"/>
          <w:sz w:val="20"/>
          <w:szCs w:val="20"/>
          <w:lang w:val="en-US" w:eastAsia="en-US"/>
        </w:rPr>
      </w:pPr>
      <w:r w:rsidRPr="009D52FD">
        <w:rPr>
          <w:rFonts w:eastAsia="Batang"/>
          <w:sz w:val="20"/>
          <w:szCs w:val="20"/>
          <w:lang w:val="en-US" w:eastAsia="en-US"/>
        </w:rPr>
        <w:t>Regarding the measures of reparation, the Court notes that the State indicated that it had already implemented certain measures, considered that some were inappropriate, and disagreed with certain aspects related to compensation</w:t>
      </w:r>
      <w:r w:rsidR="00176377" w:rsidRPr="009D52FD">
        <w:rPr>
          <w:rFonts w:eastAsia="Batang"/>
          <w:sz w:val="20"/>
          <w:szCs w:val="20"/>
          <w:lang w:val="en-US" w:eastAsia="en-US"/>
        </w:rPr>
        <w:t xml:space="preserve"> (</w:t>
      </w:r>
      <w:r w:rsidR="00176377" w:rsidRPr="009D52FD">
        <w:rPr>
          <w:rFonts w:eastAsia="Batang"/>
          <w:i/>
          <w:sz w:val="20"/>
          <w:szCs w:val="20"/>
          <w:lang w:val="en-US" w:eastAsia="en-US"/>
        </w:rPr>
        <w:t xml:space="preserve">supra </w:t>
      </w:r>
      <w:r w:rsidR="009459E7" w:rsidRPr="009D52FD">
        <w:rPr>
          <w:rFonts w:eastAsia="Batang"/>
          <w:sz w:val="20"/>
          <w:szCs w:val="20"/>
          <w:lang w:val="en-US" w:eastAsia="en-US"/>
        </w:rPr>
        <w:t>para.</w:t>
      </w:r>
      <w:r w:rsidR="00176377" w:rsidRPr="009D52FD">
        <w:rPr>
          <w:rFonts w:eastAsia="Batang"/>
          <w:sz w:val="20"/>
          <w:szCs w:val="20"/>
          <w:lang w:val="en-US" w:eastAsia="en-US"/>
        </w:rPr>
        <w:t xml:space="preserve"> </w:t>
      </w:r>
      <w:r w:rsidR="001930E0" w:rsidRPr="009D52FD">
        <w:rPr>
          <w:rFonts w:eastAsia="Batang"/>
          <w:sz w:val="20"/>
          <w:szCs w:val="20"/>
          <w:lang w:val="en-US" w:eastAsia="en-US"/>
        </w:rPr>
        <w:t>21</w:t>
      </w:r>
      <w:r w:rsidR="00176377" w:rsidRPr="009D52FD">
        <w:rPr>
          <w:rFonts w:eastAsia="Batang"/>
          <w:sz w:val="20"/>
          <w:szCs w:val="20"/>
          <w:lang w:val="en-US" w:eastAsia="en-US"/>
        </w:rPr>
        <w:t xml:space="preserve">). </w:t>
      </w:r>
      <w:r w:rsidRPr="009D52FD">
        <w:rPr>
          <w:rFonts w:eastAsia="Batang"/>
          <w:sz w:val="20"/>
          <w:szCs w:val="20"/>
          <w:lang w:val="en-US" w:eastAsia="en-US"/>
        </w:rPr>
        <w:t>Therefore, in the corresponding</w:t>
      </w:r>
      <w:r w:rsidR="00176377" w:rsidRPr="009D52FD">
        <w:rPr>
          <w:rFonts w:eastAsia="Batang"/>
          <w:bCs/>
          <w:sz w:val="20"/>
          <w:szCs w:val="20"/>
          <w:lang w:val="en-US" w:eastAsia="en-US"/>
        </w:rPr>
        <w:t xml:space="preserve"> </w:t>
      </w:r>
      <w:r w:rsidR="00B74C4B" w:rsidRPr="009D52FD">
        <w:rPr>
          <w:rFonts w:eastAsia="Batang"/>
          <w:bCs/>
          <w:sz w:val="20"/>
          <w:szCs w:val="20"/>
          <w:lang w:val="en-US" w:eastAsia="en-US"/>
        </w:rPr>
        <w:t>c</w:t>
      </w:r>
      <w:r w:rsidR="00EB0EB6" w:rsidRPr="009D52FD">
        <w:rPr>
          <w:rFonts w:eastAsia="Batang"/>
          <w:bCs/>
          <w:sz w:val="20"/>
          <w:szCs w:val="20"/>
          <w:lang w:val="en-US" w:eastAsia="en-US"/>
        </w:rPr>
        <w:t>hapter</w:t>
      </w:r>
      <w:r w:rsidR="00176377" w:rsidRPr="009D52FD">
        <w:rPr>
          <w:rFonts w:eastAsia="Batang"/>
          <w:bCs/>
          <w:sz w:val="20"/>
          <w:szCs w:val="20"/>
          <w:lang w:val="en-US" w:eastAsia="en-US"/>
        </w:rPr>
        <w:t>,</w:t>
      </w:r>
      <w:r w:rsidR="00176377" w:rsidRPr="009D52FD">
        <w:rPr>
          <w:rFonts w:eastAsia="Batang"/>
          <w:sz w:val="20"/>
          <w:szCs w:val="20"/>
          <w:lang w:val="en-US" w:eastAsia="en-US"/>
        </w:rPr>
        <w:t xml:space="preserve"> </w:t>
      </w:r>
      <w:r w:rsidR="003630BB" w:rsidRPr="009D52FD">
        <w:rPr>
          <w:rFonts w:eastAsia="Batang"/>
          <w:sz w:val="20"/>
          <w:szCs w:val="20"/>
          <w:lang w:val="en-US" w:eastAsia="en-US"/>
        </w:rPr>
        <w:t>the Court</w:t>
      </w:r>
      <w:r w:rsidR="00176377" w:rsidRPr="009D52FD">
        <w:rPr>
          <w:rFonts w:eastAsia="Batang"/>
          <w:sz w:val="20"/>
          <w:szCs w:val="20"/>
          <w:lang w:val="en-US" w:eastAsia="en-US"/>
        </w:rPr>
        <w:t xml:space="preserve"> </w:t>
      </w:r>
      <w:r w:rsidRPr="009D52FD">
        <w:rPr>
          <w:rFonts w:eastAsia="Batang"/>
          <w:sz w:val="20"/>
          <w:szCs w:val="20"/>
          <w:lang w:val="en-US" w:eastAsia="en-US"/>
        </w:rPr>
        <w:t xml:space="preserve">will take the necessary decisions with regard to the reparations requested by </w:t>
      </w:r>
      <w:r w:rsidR="003630BB" w:rsidRPr="009D52FD">
        <w:rPr>
          <w:rFonts w:eastAsia="Batang"/>
          <w:bCs/>
          <w:sz w:val="20"/>
          <w:szCs w:val="20"/>
          <w:lang w:val="en-US" w:eastAsia="en-US"/>
        </w:rPr>
        <w:t>th</w:t>
      </w:r>
      <w:r w:rsidR="00B74C4B" w:rsidRPr="009D52FD">
        <w:rPr>
          <w:rFonts w:eastAsia="Batang"/>
          <w:bCs/>
          <w:sz w:val="20"/>
          <w:szCs w:val="20"/>
          <w:lang w:val="en-US" w:eastAsia="en-US"/>
        </w:rPr>
        <w:t>e</w:t>
      </w:r>
      <w:r w:rsidR="003630BB" w:rsidRPr="009D52FD">
        <w:rPr>
          <w:rFonts w:eastAsia="Batang"/>
          <w:bCs/>
          <w:sz w:val="20"/>
          <w:szCs w:val="20"/>
          <w:lang w:val="en-US" w:eastAsia="en-US"/>
        </w:rPr>
        <w:t xml:space="preserve"> Commission and the representatives</w:t>
      </w:r>
      <w:r w:rsidR="00176377" w:rsidRPr="009D52FD">
        <w:rPr>
          <w:rFonts w:eastAsia="Batang"/>
          <w:bCs/>
          <w:sz w:val="20"/>
          <w:szCs w:val="20"/>
          <w:lang w:val="en-US" w:eastAsia="en-US"/>
        </w:rPr>
        <w:t>,</w:t>
      </w:r>
      <w:r w:rsidR="003630BB" w:rsidRPr="009D52FD">
        <w:rPr>
          <w:rFonts w:eastAsia="Batang"/>
          <w:bCs/>
          <w:sz w:val="20"/>
          <w:szCs w:val="20"/>
          <w:lang w:val="en-US" w:eastAsia="en-US"/>
        </w:rPr>
        <w:t xml:space="preserve"> and </w:t>
      </w:r>
      <w:r w:rsidRPr="009D52FD">
        <w:rPr>
          <w:rFonts w:eastAsia="Batang"/>
          <w:bCs/>
          <w:sz w:val="20"/>
          <w:szCs w:val="20"/>
          <w:lang w:val="en-US" w:eastAsia="en-US"/>
        </w:rPr>
        <w:t xml:space="preserve">will </w:t>
      </w:r>
      <w:r w:rsidR="00B74C4B" w:rsidRPr="009D52FD">
        <w:rPr>
          <w:rFonts w:eastAsia="Batang"/>
          <w:bCs/>
          <w:sz w:val="20"/>
          <w:szCs w:val="20"/>
          <w:lang w:val="en-US" w:eastAsia="en-US"/>
        </w:rPr>
        <w:t>analyze</w:t>
      </w:r>
      <w:r w:rsidRPr="009D52FD">
        <w:rPr>
          <w:rFonts w:eastAsia="Batang"/>
          <w:bCs/>
          <w:sz w:val="20"/>
          <w:szCs w:val="20"/>
          <w:lang w:val="en-US" w:eastAsia="en-US"/>
        </w:rPr>
        <w:t xml:space="preserve"> whether a causal nexus exists between the violations that are declared and the measures requested by the parties.</w:t>
      </w:r>
    </w:p>
    <w:p w14:paraId="46BE75C4" w14:textId="77777777" w:rsidR="00176377" w:rsidRPr="009D52FD" w:rsidRDefault="00176377" w:rsidP="00176377">
      <w:pPr>
        <w:widowControl/>
        <w:autoSpaceDE w:val="0"/>
        <w:autoSpaceDN w:val="0"/>
        <w:spacing w:line="240" w:lineRule="auto"/>
        <w:textAlignment w:val="auto"/>
        <w:rPr>
          <w:rFonts w:eastAsia="Calibri" w:cs="Verdana"/>
          <w:snapToGrid w:val="0"/>
          <w:sz w:val="20"/>
          <w:szCs w:val="20"/>
          <w:lang w:val="en-US" w:eastAsia="es-ES"/>
        </w:rPr>
      </w:pPr>
    </w:p>
    <w:p w14:paraId="13B8B660" w14:textId="4F3FDDBB" w:rsidR="00176377" w:rsidRPr="009D52FD" w:rsidRDefault="00176377" w:rsidP="00176377">
      <w:pPr>
        <w:pStyle w:val="Heading2"/>
        <w:tabs>
          <w:tab w:val="left" w:pos="1843"/>
        </w:tabs>
        <w:spacing w:before="0" w:line="240" w:lineRule="auto"/>
        <w:ind w:left="1134"/>
        <w:rPr>
          <w:rFonts w:ascii="Verdana" w:hAnsi="Verdana"/>
          <w:b w:val="0"/>
          <w:i/>
          <w:color w:val="auto"/>
          <w:sz w:val="20"/>
          <w:szCs w:val="20"/>
          <w:lang w:val="en-US"/>
        </w:rPr>
      </w:pPr>
      <w:bookmarkStart w:id="23" w:name="_Toc495658654"/>
      <w:bookmarkStart w:id="24" w:name="_Toc51400069"/>
      <w:r w:rsidRPr="009D52FD">
        <w:rPr>
          <w:rFonts w:ascii="Verdana" w:hAnsi="Verdana"/>
          <w:b w:val="0"/>
          <w:i/>
          <w:color w:val="auto"/>
          <w:sz w:val="20"/>
          <w:szCs w:val="20"/>
          <w:lang w:val="en-US"/>
        </w:rPr>
        <w:t xml:space="preserve">B.4 </w:t>
      </w:r>
      <w:r w:rsidRPr="009D52FD">
        <w:rPr>
          <w:rFonts w:ascii="Verdana" w:hAnsi="Verdana"/>
          <w:b w:val="0"/>
          <w:i/>
          <w:color w:val="auto"/>
          <w:sz w:val="20"/>
          <w:szCs w:val="20"/>
          <w:lang w:val="en-US"/>
        </w:rPr>
        <w:tab/>
      </w:r>
      <w:r w:rsidR="0064395F" w:rsidRPr="009D52FD">
        <w:rPr>
          <w:rFonts w:ascii="Verdana" w:hAnsi="Verdana"/>
          <w:b w:val="0"/>
          <w:i/>
          <w:color w:val="auto"/>
          <w:sz w:val="20"/>
          <w:szCs w:val="20"/>
          <w:lang w:val="en-US"/>
        </w:rPr>
        <w:t>Assessment of the scope of the partial acknowledgement of responsibility</w:t>
      </w:r>
      <w:bookmarkEnd w:id="23"/>
      <w:bookmarkEnd w:id="24"/>
    </w:p>
    <w:p w14:paraId="30393002" w14:textId="77777777" w:rsidR="00176377" w:rsidRPr="009D52FD" w:rsidRDefault="00176377" w:rsidP="00176377">
      <w:pPr>
        <w:widowControl/>
        <w:autoSpaceDE w:val="0"/>
        <w:autoSpaceDN w:val="0"/>
        <w:spacing w:line="240" w:lineRule="auto"/>
        <w:textAlignment w:val="auto"/>
        <w:rPr>
          <w:rFonts w:eastAsia="Calibri" w:cs="Verdana"/>
          <w:snapToGrid w:val="0"/>
          <w:sz w:val="20"/>
          <w:szCs w:val="20"/>
          <w:lang w:val="en-US" w:eastAsia="es-ES"/>
        </w:rPr>
      </w:pPr>
    </w:p>
    <w:p w14:paraId="1CF379DF" w14:textId="08AB28AD" w:rsidR="00D22236" w:rsidRPr="009D52FD" w:rsidRDefault="0002239A" w:rsidP="0064395F">
      <w:pPr>
        <w:widowControl/>
        <w:numPr>
          <w:ilvl w:val="0"/>
          <w:numId w:val="1"/>
        </w:numPr>
        <w:tabs>
          <w:tab w:val="left" w:pos="567"/>
          <w:tab w:val="num" w:pos="1569"/>
          <w:tab w:val="num" w:pos="12305"/>
        </w:tabs>
        <w:autoSpaceDE w:val="0"/>
        <w:autoSpaceDN w:val="0"/>
        <w:spacing w:line="240" w:lineRule="auto"/>
        <w:ind w:left="0" w:firstLine="0"/>
        <w:textAlignment w:val="auto"/>
        <w:rPr>
          <w:bCs/>
          <w:sz w:val="20"/>
          <w:szCs w:val="20"/>
          <w:lang w:val="en-US"/>
        </w:rPr>
      </w:pPr>
      <w:r w:rsidRPr="009D52FD">
        <w:rPr>
          <w:sz w:val="20"/>
          <w:szCs w:val="20"/>
          <w:lang w:val="en-US"/>
        </w:rPr>
        <w:t>This Court</w:t>
      </w:r>
      <w:r w:rsidR="00D22236" w:rsidRPr="009D52FD">
        <w:rPr>
          <w:sz w:val="20"/>
          <w:szCs w:val="20"/>
          <w:lang w:val="en-US"/>
        </w:rPr>
        <w:t xml:space="preserve"> </w:t>
      </w:r>
      <w:r w:rsidR="0064395F" w:rsidRPr="009D52FD">
        <w:rPr>
          <w:sz w:val="20"/>
          <w:szCs w:val="20"/>
          <w:lang w:val="en-US"/>
        </w:rPr>
        <w:t>appreciates the partial acknowledgement of international responsibility</w:t>
      </w:r>
      <w:r w:rsidR="00D22236" w:rsidRPr="009D52FD">
        <w:rPr>
          <w:sz w:val="20"/>
          <w:szCs w:val="20"/>
          <w:lang w:val="en-US"/>
        </w:rPr>
        <w:t xml:space="preserve"> </w:t>
      </w:r>
      <w:r w:rsidR="0064395F" w:rsidRPr="009D52FD">
        <w:rPr>
          <w:sz w:val="20"/>
          <w:szCs w:val="20"/>
          <w:lang w:val="en-US"/>
        </w:rPr>
        <w:t xml:space="preserve">made by the State during the </w:t>
      </w:r>
      <w:r w:rsidRPr="009D52FD">
        <w:rPr>
          <w:rFonts w:eastAsia="Batang"/>
          <w:bCs/>
          <w:sz w:val="20"/>
          <w:lang w:val="en-US" w:eastAsia="en-US"/>
        </w:rPr>
        <w:t>public hearing</w:t>
      </w:r>
      <w:r w:rsidR="00DD33CD" w:rsidRPr="009D52FD">
        <w:rPr>
          <w:rFonts w:eastAsia="Batang" w:cs="Arial"/>
          <w:sz w:val="20"/>
          <w:szCs w:val="20"/>
          <w:lang w:val="en-US" w:eastAsia="en-US"/>
        </w:rPr>
        <w:t xml:space="preserve">, </w:t>
      </w:r>
      <w:r w:rsidR="0064395F" w:rsidRPr="009D52FD">
        <w:rPr>
          <w:rFonts w:eastAsia="Batang" w:cs="Arial"/>
          <w:sz w:val="20"/>
          <w:szCs w:val="20"/>
          <w:lang w:val="en-US" w:eastAsia="en-US"/>
        </w:rPr>
        <w:t xml:space="preserve">which has </w:t>
      </w:r>
      <w:r w:rsidR="00B74C4B" w:rsidRPr="009D52FD">
        <w:rPr>
          <w:rFonts w:eastAsia="Batang" w:cs="Arial"/>
          <w:sz w:val="20"/>
          <w:szCs w:val="20"/>
          <w:lang w:val="en-US" w:eastAsia="en-US"/>
        </w:rPr>
        <w:t>great</w:t>
      </w:r>
      <w:r w:rsidR="0064395F" w:rsidRPr="009D52FD">
        <w:rPr>
          <w:rFonts w:eastAsia="Batang" w:cs="Arial"/>
          <w:sz w:val="20"/>
          <w:szCs w:val="20"/>
          <w:lang w:val="en-US" w:eastAsia="en-US"/>
        </w:rPr>
        <w:t xml:space="preserve"> symbolic </w:t>
      </w:r>
      <w:r w:rsidR="00B74C4B" w:rsidRPr="009D52FD">
        <w:rPr>
          <w:rFonts w:eastAsia="Batang" w:cs="Arial"/>
          <w:sz w:val="20"/>
          <w:szCs w:val="20"/>
          <w:lang w:val="en-US" w:eastAsia="en-US"/>
        </w:rPr>
        <w:t>significance</w:t>
      </w:r>
      <w:r w:rsidR="0064395F" w:rsidRPr="009D52FD">
        <w:rPr>
          <w:rFonts w:eastAsia="Batang" w:cs="Arial"/>
          <w:sz w:val="20"/>
          <w:szCs w:val="20"/>
          <w:lang w:val="en-US" w:eastAsia="en-US"/>
        </w:rPr>
        <w:t xml:space="preserve"> to avoid the repetition of similar facts. All </w:t>
      </w:r>
      <w:r w:rsidR="00B74C4B" w:rsidRPr="009D52FD">
        <w:rPr>
          <w:rFonts w:eastAsia="Batang" w:cs="Arial"/>
          <w:sz w:val="20"/>
          <w:szCs w:val="20"/>
          <w:lang w:val="en-US" w:eastAsia="en-US"/>
        </w:rPr>
        <w:t>such</w:t>
      </w:r>
      <w:r w:rsidR="0064395F" w:rsidRPr="009D52FD">
        <w:rPr>
          <w:rFonts w:eastAsia="Batang" w:cs="Arial"/>
          <w:sz w:val="20"/>
          <w:szCs w:val="20"/>
          <w:lang w:val="en-US" w:eastAsia="en-US"/>
        </w:rPr>
        <w:t xml:space="preserve"> actions make a positive contribution to the development of these proceedings, to implementation of the principles that inspire the Convention and, in part, to satisf</w:t>
      </w:r>
      <w:r w:rsidR="00B74C4B" w:rsidRPr="009D52FD">
        <w:rPr>
          <w:rFonts w:eastAsia="Batang" w:cs="Arial"/>
          <w:sz w:val="20"/>
          <w:szCs w:val="20"/>
          <w:lang w:val="en-US" w:eastAsia="en-US"/>
        </w:rPr>
        <w:t>ying</w:t>
      </w:r>
      <w:r w:rsidR="0064395F" w:rsidRPr="009D52FD">
        <w:rPr>
          <w:rFonts w:eastAsia="Batang" w:cs="Arial"/>
          <w:sz w:val="20"/>
          <w:szCs w:val="20"/>
          <w:lang w:val="en-US" w:eastAsia="en-US"/>
        </w:rPr>
        <w:t xml:space="preserve"> the need to make reparation to the victims of human rights violations</w:t>
      </w:r>
      <w:r w:rsidR="0064395F" w:rsidRPr="009D52FD">
        <w:rPr>
          <w:bCs/>
          <w:sz w:val="20"/>
          <w:szCs w:val="20"/>
          <w:lang w:val="en-US"/>
        </w:rPr>
        <w:t>.</w:t>
      </w:r>
      <w:r w:rsidR="00D22236" w:rsidRPr="009D52FD">
        <w:rPr>
          <w:sz w:val="20"/>
          <w:szCs w:val="20"/>
          <w:vertAlign w:val="superscript"/>
          <w:lang w:val="en-US"/>
        </w:rPr>
        <w:footnoteReference w:id="23"/>
      </w:r>
    </w:p>
    <w:p w14:paraId="43971BE1" w14:textId="77777777" w:rsidR="00D22236" w:rsidRPr="009D52FD" w:rsidRDefault="00D22236" w:rsidP="00D22236">
      <w:pPr>
        <w:tabs>
          <w:tab w:val="left" w:pos="567"/>
        </w:tabs>
        <w:spacing w:line="240" w:lineRule="auto"/>
        <w:rPr>
          <w:sz w:val="20"/>
          <w:szCs w:val="20"/>
          <w:lang w:val="en-US"/>
        </w:rPr>
      </w:pPr>
    </w:p>
    <w:p w14:paraId="6B2614AE" w14:textId="1E56D77E" w:rsidR="0064395F" w:rsidRPr="009D52FD" w:rsidRDefault="0064395F" w:rsidP="007C727D">
      <w:pPr>
        <w:widowControl/>
        <w:numPr>
          <w:ilvl w:val="0"/>
          <w:numId w:val="1"/>
        </w:numPr>
        <w:tabs>
          <w:tab w:val="left" w:pos="567"/>
          <w:tab w:val="num" w:pos="1569"/>
          <w:tab w:val="num" w:pos="12305"/>
        </w:tabs>
        <w:autoSpaceDE w:val="0"/>
        <w:autoSpaceDN w:val="0"/>
        <w:spacing w:line="240" w:lineRule="auto"/>
        <w:ind w:left="0" w:firstLine="0"/>
        <w:textAlignment w:val="auto"/>
        <w:rPr>
          <w:bCs/>
          <w:sz w:val="20"/>
          <w:szCs w:val="20"/>
          <w:lang w:val="en-US"/>
        </w:rPr>
      </w:pPr>
      <w:r w:rsidRPr="009D52FD">
        <w:rPr>
          <w:sz w:val="20"/>
          <w:szCs w:val="20"/>
          <w:lang w:val="en-US"/>
        </w:rPr>
        <w:t>As in other cases,</w:t>
      </w:r>
      <w:r w:rsidR="00D22236" w:rsidRPr="009D52FD">
        <w:rPr>
          <w:sz w:val="20"/>
          <w:szCs w:val="20"/>
          <w:vertAlign w:val="superscript"/>
          <w:lang w:val="en-US"/>
        </w:rPr>
        <w:footnoteReference w:id="24"/>
      </w:r>
      <w:r w:rsidR="00D22236" w:rsidRPr="009D52FD">
        <w:rPr>
          <w:sz w:val="20"/>
          <w:szCs w:val="20"/>
          <w:lang w:val="en-US"/>
        </w:rPr>
        <w:t xml:space="preserve"> </w:t>
      </w:r>
      <w:r w:rsidR="003630BB" w:rsidRPr="009D52FD">
        <w:rPr>
          <w:sz w:val="20"/>
          <w:szCs w:val="20"/>
          <w:lang w:val="en-US"/>
        </w:rPr>
        <w:t>the Court</w:t>
      </w:r>
      <w:r w:rsidR="00D22236" w:rsidRPr="009D52FD">
        <w:rPr>
          <w:sz w:val="20"/>
          <w:szCs w:val="20"/>
          <w:lang w:val="en-US"/>
        </w:rPr>
        <w:t xml:space="preserve"> </w:t>
      </w:r>
      <w:r w:rsidRPr="009D52FD">
        <w:rPr>
          <w:sz w:val="20"/>
          <w:szCs w:val="20"/>
          <w:lang w:val="en-US"/>
        </w:rPr>
        <w:t xml:space="preserve">finds that the acknowledgement made by the State has full legal effects pursuant to the said </w:t>
      </w:r>
      <w:r w:rsidR="003630BB" w:rsidRPr="009D52FD">
        <w:rPr>
          <w:sz w:val="20"/>
          <w:szCs w:val="20"/>
          <w:lang w:val="en-US"/>
        </w:rPr>
        <w:t>Articles</w:t>
      </w:r>
      <w:r w:rsidR="00D22236" w:rsidRPr="009D52FD">
        <w:rPr>
          <w:sz w:val="20"/>
          <w:szCs w:val="20"/>
          <w:lang w:val="en-US"/>
        </w:rPr>
        <w:t xml:space="preserve"> 62</w:t>
      </w:r>
      <w:r w:rsidR="003630BB" w:rsidRPr="009D52FD">
        <w:rPr>
          <w:sz w:val="20"/>
          <w:szCs w:val="20"/>
          <w:lang w:val="en-US"/>
        </w:rPr>
        <w:t xml:space="preserve"> and </w:t>
      </w:r>
      <w:r w:rsidR="00D22236" w:rsidRPr="009D52FD">
        <w:rPr>
          <w:sz w:val="20"/>
          <w:szCs w:val="20"/>
          <w:lang w:val="en-US"/>
        </w:rPr>
        <w:t>64</w:t>
      </w:r>
      <w:r w:rsidR="003630BB" w:rsidRPr="009D52FD">
        <w:rPr>
          <w:sz w:val="20"/>
          <w:szCs w:val="20"/>
          <w:lang w:val="en-US"/>
        </w:rPr>
        <w:t xml:space="preserve"> of the </w:t>
      </w:r>
      <w:r w:rsidRPr="009D52FD">
        <w:rPr>
          <w:sz w:val="20"/>
          <w:szCs w:val="20"/>
          <w:lang w:val="en-US"/>
        </w:rPr>
        <w:t xml:space="preserve">Court’s </w:t>
      </w:r>
      <w:r w:rsidR="003630BB" w:rsidRPr="009D52FD">
        <w:rPr>
          <w:sz w:val="20"/>
          <w:szCs w:val="20"/>
          <w:lang w:val="en-US"/>
        </w:rPr>
        <w:t>Rules of Procedure</w:t>
      </w:r>
      <w:r w:rsidR="00B51C7F" w:rsidRPr="009D52FD">
        <w:rPr>
          <w:sz w:val="20"/>
          <w:szCs w:val="20"/>
          <w:lang w:val="en-US"/>
        </w:rPr>
        <w:t xml:space="preserve">. </w:t>
      </w:r>
      <w:r w:rsidRPr="009D52FD">
        <w:rPr>
          <w:sz w:val="20"/>
          <w:szCs w:val="20"/>
          <w:lang w:val="en-US"/>
        </w:rPr>
        <w:t>Accordingly, and based on its attributes as an international organ for the protection of human rights, the Court finds it necessary to deliver a judgment in which it determines the facts that occurred, because this will contribute to making reparation to Linda Loaiza López Soto and her family, to avoiding the repetition of similar acts and, in sum, to achieving the purposes of the inter-American</w:t>
      </w:r>
      <w:r w:rsidR="00773A7D" w:rsidRPr="009D52FD">
        <w:rPr>
          <w:sz w:val="20"/>
          <w:szCs w:val="20"/>
          <w:lang w:val="en-US"/>
        </w:rPr>
        <w:t xml:space="preserve"> human rights</w:t>
      </w:r>
      <w:r w:rsidRPr="009D52FD">
        <w:rPr>
          <w:sz w:val="20"/>
          <w:szCs w:val="20"/>
          <w:lang w:val="en-US"/>
        </w:rPr>
        <w:t xml:space="preserve"> jurisdiction.</w:t>
      </w:r>
    </w:p>
    <w:p w14:paraId="2AE776C6" w14:textId="77777777" w:rsidR="007C727D" w:rsidRPr="009D52FD" w:rsidRDefault="007C727D" w:rsidP="007C727D">
      <w:pPr>
        <w:widowControl/>
        <w:tabs>
          <w:tab w:val="left" w:pos="567"/>
        </w:tabs>
        <w:autoSpaceDE w:val="0"/>
        <w:autoSpaceDN w:val="0"/>
        <w:spacing w:line="240" w:lineRule="auto"/>
        <w:textAlignment w:val="auto"/>
        <w:rPr>
          <w:bCs/>
          <w:sz w:val="20"/>
          <w:szCs w:val="20"/>
          <w:lang w:val="en-US"/>
        </w:rPr>
      </w:pPr>
    </w:p>
    <w:p w14:paraId="0CC45BC1" w14:textId="04E317A9" w:rsidR="007C727D" w:rsidRPr="009D52FD" w:rsidRDefault="0064395F" w:rsidP="0064395F">
      <w:pPr>
        <w:widowControl/>
        <w:numPr>
          <w:ilvl w:val="0"/>
          <w:numId w:val="1"/>
        </w:numPr>
        <w:tabs>
          <w:tab w:val="left" w:pos="567"/>
          <w:tab w:val="num" w:pos="1569"/>
          <w:tab w:val="num" w:pos="12305"/>
        </w:tabs>
        <w:autoSpaceDE w:val="0"/>
        <w:autoSpaceDN w:val="0"/>
        <w:spacing w:line="240" w:lineRule="auto"/>
        <w:ind w:left="0" w:firstLine="0"/>
        <w:textAlignment w:val="auto"/>
        <w:rPr>
          <w:sz w:val="20"/>
          <w:szCs w:val="20"/>
          <w:lang w:val="en-US"/>
        </w:rPr>
      </w:pPr>
      <w:r w:rsidRPr="009D52FD">
        <w:rPr>
          <w:sz w:val="20"/>
          <w:szCs w:val="20"/>
          <w:lang w:val="en-US"/>
        </w:rPr>
        <w:t>Regarding the alleged violations of</w:t>
      </w:r>
      <w:r w:rsidR="007C727D" w:rsidRPr="009D52FD">
        <w:rPr>
          <w:sz w:val="20"/>
          <w:szCs w:val="20"/>
          <w:lang w:val="en-US"/>
        </w:rPr>
        <w:t xml:space="preserve"> </w:t>
      </w:r>
      <w:r w:rsidR="003630BB" w:rsidRPr="009D52FD">
        <w:rPr>
          <w:sz w:val="20"/>
          <w:szCs w:val="20"/>
          <w:lang w:val="en-US"/>
        </w:rPr>
        <w:t>the American Convention</w:t>
      </w:r>
      <w:r w:rsidRPr="009D52FD">
        <w:rPr>
          <w:sz w:val="20"/>
          <w:szCs w:val="20"/>
          <w:lang w:val="en-US"/>
        </w:rPr>
        <w:t>, owing to the demand</w:t>
      </w:r>
      <w:r w:rsidR="00584DF8" w:rsidRPr="009D52FD">
        <w:rPr>
          <w:sz w:val="20"/>
          <w:szCs w:val="20"/>
          <w:lang w:val="en-US"/>
        </w:rPr>
        <w:t>s for justice in this case and to ensure a better understanding of the State’s international responsibility in th</w:t>
      </w:r>
      <w:r w:rsidR="00B173CD" w:rsidRPr="009D52FD">
        <w:rPr>
          <w:sz w:val="20"/>
          <w:szCs w:val="20"/>
          <w:lang w:val="en-US"/>
        </w:rPr>
        <w:t>e</w:t>
      </w:r>
      <w:r w:rsidR="00584DF8" w:rsidRPr="009D52FD">
        <w:rPr>
          <w:sz w:val="20"/>
          <w:szCs w:val="20"/>
          <w:lang w:val="en-US"/>
        </w:rPr>
        <w:t xml:space="preserve"> case and of the causal nexus between the violations established and the reparations ordered, the Court finds it pertinent to </w:t>
      </w:r>
      <w:r w:rsidR="00B173CD" w:rsidRPr="009D52FD">
        <w:rPr>
          <w:sz w:val="20"/>
          <w:szCs w:val="20"/>
          <w:lang w:val="en-US"/>
        </w:rPr>
        <w:t xml:space="preserve">specify </w:t>
      </w:r>
      <w:r w:rsidR="00584DF8" w:rsidRPr="009D52FD">
        <w:rPr>
          <w:sz w:val="20"/>
          <w:szCs w:val="20"/>
          <w:lang w:val="en-US"/>
        </w:rPr>
        <w:t xml:space="preserve">the human rights violations included in the State’s partial acknowledgement of responsibility, and the origin and scope of the violations cited regarding which the dispute subsists. Lastly, the Court will decide the subsisting dispute in relation to the reparations requested by </w:t>
      </w:r>
      <w:r w:rsidR="003630BB" w:rsidRPr="009D52FD">
        <w:rPr>
          <w:bCs/>
          <w:sz w:val="20"/>
          <w:szCs w:val="20"/>
          <w:lang w:val="en-US"/>
        </w:rPr>
        <w:t>the Commission and the representatives</w:t>
      </w:r>
      <w:r w:rsidR="004C7E8A" w:rsidRPr="009D52FD">
        <w:rPr>
          <w:bCs/>
          <w:sz w:val="20"/>
          <w:szCs w:val="20"/>
          <w:lang w:val="en-US"/>
        </w:rPr>
        <w:t>.</w:t>
      </w:r>
    </w:p>
    <w:p w14:paraId="6400BC13" w14:textId="77777777" w:rsidR="00652A11" w:rsidRPr="009D52FD" w:rsidRDefault="00652A11" w:rsidP="00652A11">
      <w:pPr>
        <w:tabs>
          <w:tab w:val="left" w:pos="567"/>
        </w:tabs>
        <w:spacing w:line="240" w:lineRule="auto"/>
        <w:rPr>
          <w:sz w:val="20"/>
          <w:szCs w:val="20"/>
          <w:lang w:val="en-US"/>
        </w:rPr>
      </w:pPr>
    </w:p>
    <w:p w14:paraId="0B3C1141" w14:textId="48E62C98" w:rsidR="00652A11" w:rsidRPr="009D52FD" w:rsidRDefault="00652A11" w:rsidP="00652A11">
      <w:pPr>
        <w:keepNext/>
        <w:keepLines/>
        <w:tabs>
          <w:tab w:val="left" w:pos="851"/>
        </w:tabs>
        <w:spacing w:line="240" w:lineRule="auto"/>
        <w:jc w:val="center"/>
        <w:outlineLvl w:val="0"/>
        <w:rPr>
          <w:rFonts w:cs="Verdana"/>
          <w:b/>
          <w:bCs/>
          <w:caps/>
          <w:snapToGrid w:val="0"/>
          <w:sz w:val="20"/>
          <w:szCs w:val="20"/>
          <w:lang w:val="en-US"/>
        </w:rPr>
      </w:pPr>
      <w:bookmarkStart w:id="25" w:name="_Toc470180042"/>
      <w:bookmarkStart w:id="26" w:name="_Toc514172602"/>
      <w:bookmarkStart w:id="27" w:name="_Toc51400070"/>
      <w:r w:rsidRPr="009D52FD">
        <w:rPr>
          <w:rFonts w:cs="Verdana"/>
          <w:b/>
          <w:bCs/>
          <w:caps/>
          <w:snapToGrid w:val="0"/>
          <w:sz w:val="20"/>
          <w:szCs w:val="20"/>
          <w:lang w:val="en-US"/>
        </w:rPr>
        <w:t>V</w:t>
      </w:r>
      <w:r w:rsidRPr="009D52FD">
        <w:rPr>
          <w:rFonts w:cs="Verdana"/>
          <w:b/>
          <w:bCs/>
          <w:caps/>
          <w:snapToGrid w:val="0"/>
          <w:sz w:val="20"/>
          <w:szCs w:val="20"/>
          <w:lang w:val="en-US"/>
        </w:rPr>
        <w:br/>
      </w:r>
      <w:r w:rsidR="00584DF8" w:rsidRPr="009D52FD">
        <w:rPr>
          <w:rFonts w:cs="Verdana"/>
          <w:b/>
          <w:bCs/>
          <w:caps/>
          <w:snapToGrid w:val="0"/>
          <w:sz w:val="20"/>
          <w:szCs w:val="20"/>
          <w:lang w:val="en-US"/>
        </w:rPr>
        <w:t>PRELIMINARY CONSIDERATIONS</w:t>
      </w:r>
      <w:bookmarkEnd w:id="25"/>
      <w:bookmarkEnd w:id="26"/>
      <w:bookmarkEnd w:id="27"/>
    </w:p>
    <w:p w14:paraId="1A6E90C1" w14:textId="77777777" w:rsidR="00652A11" w:rsidRPr="009D52FD" w:rsidRDefault="00652A11" w:rsidP="00652A11">
      <w:pPr>
        <w:widowControl/>
        <w:adjustRightInd/>
        <w:spacing w:line="240" w:lineRule="auto"/>
        <w:jc w:val="left"/>
        <w:textAlignment w:val="auto"/>
        <w:rPr>
          <w:rFonts w:eastAsiaTheme="minorHAnsi" w:cstheme="minorBidi"/>
          <w:bCs/>
          <w:sz w:val="20"/>
          <w:szCs w:val="20"/>
          <w:lang w:val="en-US" w:eastAsia="en-US"/>
        </w:rPr>
      </w:pPr>
    </w:p>
    <w:p w14:paraId="1EB4010D" w14:textId="08B38077" w:rsidR="00652A11" w:rsidRPr="009D52FD" w:rsidRDefault="00584DF8" w:rsidP="00584DF8">
      <w:pPr>
        <w:widowControl/>
        <w:numPr>
          <w:ilvl w:val="0"/>
          <w:numId w:val="1"/>
        </w:numPr>
        <w:tabs>
          <w:tab w:val="left" w:pos="567"/>
          <w:tab w:val="num" w:pos="1569"/>
          <w:tab w:val="num" w:pos="12305"/>
        </w:tabs>
        <w:autoSpaceDE w:val="0"/>
        <w:autoSpaceDN w:val="0"/>
        <w:spacing w:line="240" w:lineRule="auto"/>
        <w:ind w:left="0" w:firstLine="0"/>
        <w:textAlignment w:val="auto"/>
        <w:rPr>
          <w:rFonts w:cstheme="minorBidi"/>
          <w:sz w:val="20"/>
          <w:szCs w:val="20"/>
          <w:lang w:val="en-US" w:eastAsia="en-US"/>
        </w:rPr>
      </w:pPr>
      <w:r w:rsidRPr="009D52FD">
        <w:rPr>
          <w:rFonts w:cstheme="minorBidi"/>
          <w:sz w:val="20"/>
          <w:szCs w:val="20"/>
          <w:lang w:val="en-US" w:eastAsia="en-US"/>
        </w:rPr>
        <w:t xml:space="preserve">Before examining the pertinent facts and </w:t>
      </w:r>
      <w:r w:rsidR="00B173CD" w:rsidRPr="009D52FD">
        <w:rPr>
          <w:rFonts w:cstheme="minorBidi"/>
          <w:sz w:val="20"/>
          <w:szCs w:val="20"/>
          <w:lang w:val="en-US" w:eastAsia="en-US"/>
        </w:rPr>
        <w:t>applying</w:t>
      </w:r>
      <w:r w:rsidRPr="009D52FD">
        <w:rPr>
          <w:rFonts w:cstheme="minorBidi"/>
          <w:sz w:val="20"/>
          <w:szCs w:val="20"/>
          <w:lang w:val="en-US" w:eastAsia="en-US"/>
        </w:rPr>
        <w:t xml:space="preserve"> the standards</w:t>
      </w:r>
      <w:r w:rsidR="003630BB" w:rsidRPr="009D52FD">
        <w:rPr>
          <w:rFonts w:cstheme="minorBidi"/>
          <w:sz w:val="20"/>
          <w:szCs w:val="20"/>
          <w:lang w:val="en-US" w:eastAsia="en-US"/>
        </w:rPr>
        <w:t xml:space="preserve"> of the American Convention and </w:t>
      </w:r>
      <w:r w:rsidRPr="009D52FD">
        <w:rPr>
          <w:rFonts w:cstheme="minorBidi"/>
          <w:sz w:val="20"/>
          <w:szCs w:val="20"/>
          <w:lang w:val="en-US" w:eastAsia="en-US"/>
        </w:rPr>
        <w:t>other relevant inter-American treaties</w:t>
      </w:r>
      <w:r w:rsidR="00B173CD" w:rsidRPr="009D52FD">
        <w:rPr>
          <w:rFonts w:cstheme="minorBidi"/>
          <w:sz w:val="20"/>
          <w:szCs w:val="20"/>
          <w:lang w:val="en-US" w:eastAsia="en-US"/>
        </w:rPr>
        <w:t xml:space="preserve"> to them</w:t>
      </w:r>
      <w:r w:rsidRPr="009D52FD">
        <w:rPr>
          <w:rFonts w:cstheme="minorBidi"/>
          <w:sz w:val="20"/>
          <w:szCs w:val="20"/>
          <w:lang w:val="en-US" w:eastAsia="en-US"/>
        </w:rPr>
        <w:t>, due to the arguments presented by the State, the Court must include some preliminary considerations on</w:t>
      </w:r>
      <w:r w:rsidR="0010513D" w:rsidRPr="009D52FD">
        <w:rPr>
          <w:rFonts w:cstheme="minorBidi"/>
          <w:sz w:val="20"/>
          <w:szCs w:val="20"/>
          <w:lang w:val="en-US" w:eastAsia="en-US"/>
        </w:rPr>
        <w:t xml:space="preserve">: </w:t>
      </w:r>
      <w:r w:rsidRPr="009D52FD">
        <w:rPr>
          <w:rFonts w:cstheme="minorBidi"/>
          <w:sz w:val="20"/>
          <w:szCs w:val="20"/>
          <w:lang w:val="en-US" w:eastAsia="en-US"/>
        </w:rPr>
        <w:t>(</w:t>
      </w:r>
      <w:r w:rsidR="0010513D" w:rsidRPr="009D52FD">
        <w:rPr>
          <w:rFonts w:cstheme="minorBidi"/>
          <w:sz w:val="20"/>
          <w:szCs w:val="20"/>
          <w:lang w:val="en-US" w:eastAsia="en-US"/>
        </w:rPr>
        <w:t>a)</w:t>
      </w:r>
      <w:r w:rsidRPr="009D52FD">
        <w:rPr>
          <w:rFonts w:cstheme="minorBidi"/>
          <w:sz w:val="20"/>
          <w:szCs w:val="20"/>
          <w:lang w:val="en-US" w:eastAsia="en-US"/>
        </w:rPr>
        <w:t xml:space="preserve"> the supposed new facts included in the representatives’ brief</w:t>
      </w:r>
      <w:r w:rsidR="001F5C74" w:rsidRPr="009D52FD">
        <w:rPr>
          <w:rFonts w:cstheme="minorBidi"/>
          <w:sz w:val="20"/>
          <w:szCs w:val="20"/>
          <w:lang w:val="en-US" w:eastAsia="en-US"/>
        </w:rPr>
        <w:t>,</w:t>
      </w:r>
      <w:r w:rsidR="003630BB" w:rsidRPr="009D52FD">
        <w:rPr>
          <w:rFonts w:cstheme="minorBidi"/>
          <w:sz w:val="20"/>
          <w:szCs w:val="20"/>
          <w:lang w:val="en-US" w:eastAsia="en-US"/>
        </w:rPr>
        <w:t xml:space="preserve"> and </w:t>
      </w:r>
      <w:r w:rsidR="00B173CD" w:rsidRPr="009D52FD">
        <w:rPr>
          <w:rFonts w:cstheme="minorBidi"/>
          <w:sz w:val="20"/>
          <w:szCs w:val="20"/>
          <w:lang w:val="en-US" w:eastAsia="en-US"/>
        </w:rPr>
        <w:t>(</w:t>
      </w:r>
      <w:r w:rsidR="0010513D" w:rsidRPr="009D52FD">
        <w:rPr>
          <w:rFonts w:cstheme="minorBidi"/>
          <w:sz w:val="20"/>
          <w:szCs w:val="20"/>
          <w:lang w:val="en-US" w:eastAsia="en-US"/>
        </w:rPr>
        <w:t xml:space="preserve">b) </w:t>
      </w:r>
      <w:r w:rsidR="00997ADF" w:rsidRPr="009D52FD">
        <w:rPr>
          <w:rFonts w:cstheme="minorBidi"/>
          <w:sz w:val="20"/>
          <w:szCs w:val="20"/>
          <w:lang w:val="en-US" w:eastAsia="en-US"/>
        </w:rPr>
        <w:t>considerations</w:t>
      </w:r>
      <w:r w:rsidR="0010513D" w:rsidRPr="009D52FD">
        <w:rPr>
          <w:rFonts w:cstheme="minorBidi"/>
          <w:sz w:val="20"/>
          <w:szCs w:val="20"/>
          <w:lang w:val="en-US" w:eastAsia="en-US"/>
        </w:rPr>
        <w:t xml:space="preserve"> </w:t>
      </w:r>
      <w:r w:rsidR="00997ADF" w:rsidRPr="009D52FD">
        <w:rPr>
          <w:rFonts w:cstheme="minorBidi"/>
          <w:sz w:val="20"/>
          <w:szCs w:val="20"/>
          <w:lang w:val="en-US" w:eastAsia="en-US"/>
        </w:rPr>
        <w:t>supposedly not included in</w:t>
      </w:r>
      <w:r w:rsidR="0010513D" w:rsidRPr="009D52FD">
        <w:rPr>
          <w:rFonts w:cstheme="minorBidi"/>
          <w:sz w:val="20"/>
          <w:szCs w:val="20"/>
          <w:lang w:val="en-US" w:eastAsia="en-US"/>
        </w:rPr>
        <w:t xml:space="preserve"> </w:t>
      </w:r>
      <w:r w:rsidR="00483040" w:rsidRPr="009D52FD">
        <w:rPr>
          <w:rFonts w:cstheme="minorBidi"/>
          <w:sz w:val="20"/>
          <w:szCs w:val="20"/>
          <w:lang w:val="en-US" w:eastAsia="en-US"/>
        </w:rPr>
        <w:t xml:space="preserve">the </w:t>
      </w:r>
      <w:r w:rsidR="00C72369" w:rsidRPr="009D52FD">
        <w:rPr>
          <w:rFonts w:cstheme="minorBidi"/>
          <w:sz w:val="20"/>
          <w:szCs w:val="20"/>
          <w:lang w:val="en-US" w:eastAsia="en-US"/>
        </w:rPr>
        <w:t>Inter-American Commission’s Admissibility Report</w:t>
      </w:r>
      <w:r w:rsidR="00652A11" w:rsidRPr="009D52FD">
        <w:rPr>
          <w:rFonts w:cstheme="minorBidi"/>
          <w:sz w:val="20"/>
          <w:szCs w:val="20"/>
          <w:lang w:val="en-US" w:eastAsia="en-US"/>
        </w:rPr>
        <w:t>.</w:t>
      </w:r>
    </w:p>
    <w:p w14:paraId="7A990764" w14:textId="77777777" w:rsidR="00652A11" w:rsidRPr="009D52FD" w:rsidRDefault="00652A11" w:rsidP="00652A11">
      <w:pPr>
        <w:widowControl/>
        <w:tabs>
          <w:tab w:val="left" w:pos="567"/>
        </w:tabs>
        <w:adjustRightInd/>
        <w:spacing w:line="240" w:lineRule="auto"/>
        <w:textAlignment w:val="auto"/>
        <w:rPr>
          <w:rFonts w:cstheme="minorBidi"/>
          <w:sz w:val="20"/>
          <w:szCs w:val="20"/>
          <w:lang w:val="en-US" w:eastAsia="en-US"/>
        </w:rPr>
      </w:pPr>
    </w:p>
    <w:p w14:paraId="5BBD85F5" w14:textId="03AEA612" w:rsidR="00652A11" w:rsidRPr="009D52FD" w:rsidRDefault="00652A11" w:rsidP="00652A11">
      <w:pPr>
        <w:keepNext/>
        <w:keepLines/>
        <w:tabs>
          <w:tab w:val="left" w:pos="1134"/>
        </w:tabs>
        <w:spacing w:line="240" w:lineRule="auto"/>
        <w:ind w:left="567" w:firstLine="1"/>
        <w:outlineLvl w:val="1"/>
        <w:rPr>
          <w:rFonts w:eastAsia="MS Mincho"/>
          <w:b/>
          <w:bCs/>
          <w:i/>
          <w:sz w:val="20"/>
          <w:szCs w:val="20"/>
          <w:lang w:val="en-US"/>
        </w:rPr>
      </w:pPr>
      <w:bookmarkStart w:id="28" w:name="_Toc470180043"/>
      <w:bookmarkStart w:id="29" w:name="_Toc514172603"/>
      <w:bookmarkStart w:id="30" w:name="_Toc51400071"/>
      <w:r w:rsidRPr="009D52FD">
        <w:rPr>
          <w:rFonts w:eastAsia="MS Mincho"/>
          <w:b/>
          <w:bCs/>
          <w:i/>
          <w:sz w:val="20"/>
          <w:szCs w:val="20"/>
          <w:lang w:val="en-US"/>
        </w:rPr>
        <w:t>A.</w:t>
      </w:r>
      <w:r w:rsidRPr="009D52FD">
        <w:rPr>
          <w:rFonts w:eastAsia="MS Mincho"/>
          <w:b/>
          <w:bCs/>
          <w:i/>
          <w:sz w:val="20"/>
          <w:szCs w:val="20"/>
          <w:lang w:val="en-US"/>
        </w:rPr>
        <w:tab/>
      </w:r>
      <w:bookmarkEnd w:id="28"/>
      <w:bookmarkEnd w:id="29"/>
      <w:r w:rsidR="00584DF8" w:rsidRPr="009D52FD">
        <w:rPr>
          <w:rFonts w:eastAsia="MS Mincho"/>
          <w:b/>
          <w:bCs/>
          <w:i/>
          <w:sz w:val="20"/>
          <w:szCs w:val="20"/>
          <w:lang w:val="en-US"/>
        </w:rPr>
        <w:t>Supposed new facts included in the representatives’ brief</w:t>
      </w:r>
      <w:bookmarkEnd w:id="30"/>
    </w:p>
    <w:p w14:paraId="10C8E0F2" w14:textId="77777777" w:rsidR="00652A11" w:rsidRPr="009D52FD" w:rsidRDefault="00652A11" w:rsidP="00652A11">
      <w:pPr>
        <w:widowControl/>
        <w:adjustRightInd/>
        <w:spacing w:line="240" w:lineRule="auto"/>
        <w:textAlignment w:val="auto"/>
        <w:rPr>
          <w:rFonts w:eastAsiaTheme="minorHAnsi" w:cstheme="minorBidi"/>
          <w:b/>
          <w:bCs/>
          <w:i/>
          <w:sz w:val="20"/>
          <w:szCs w:val="20"/>
          <w:lang w:val="en-US" w:eastAsia="en-US"/>
        </w:rPr>
      </w:pPr>
    </w:p>
    <w:p w14:paraId="056A6EB2" w14:textId="256CD4A2" w:rsidR="00652A11" w:rsidRPr="009D52FD" w:rsidRDefault="00652A11" w:rsidP="00652A11">
      <w:pPr>
        <w:pStyle w:val="Heading2"/>
        <w:tabs>
          <w:tab w:val="left" w:pos="1843"/>
        </w:tabs>
        <w:spacing w:before="0" w:line="240" w:lineRule="auto"/>
        <w:ind w:left="1134"/>
        <w:rPr>
          <w:rFonts w:ascii="Verdana" w:hAnsi="Verdana"/>
          <w:b w:val="0"/>
          <w:i/>
          <w:color w:val="auto"/>
          <w:sz w:val="20"/>
          <w:szCs w:val="20"/>
          <w:lang w:val="en-US"/>
        </w:rPr>
      </w:pPr>
      <w:bookmarkStart w:id="31" w:name="_Toc514172604"/>
      <w:bookmarkStart w:id="32" w:name="_Toc51400072"/>
      <w:r w:rsidRPr="009D52FD">
        <w:rPr>
          <w:rFonts w:ascii="Verdana" w:hAnsi="Verdana"/>
          <w:b w:val="0"/>
          <w:i/>
          <w:color w:val="auto"/>
          <w:sz w:val="20"/>
          <w:szCs w:val="20"/>
          <w:lang w:val="en-US"/>
        </w:rPr>
        <w:lastRenderedPageBreak/>
        <w:t xml:space="preserve">A.1 </w:t>
      </w:r>
      <w:r w:rsidRPr="009D52FD">
        <w:rPr>
          <w:rFonts w:ascii="Verdana" w:hAnsi="Verdana"/>
          <w:b w:val="0"/>
          <w:i/>
          <w:color w:val="auto"/>
          <w:sz w:val="20"/>
          <w:szCs w:val="20"/>
          <w:lang w:val="en-US"/>
        </w:rPr>
        <w:tab/>
      </w:r>
      <w:r w:rsidR="00584DF8" w:rsidRPr="009D52FD">
        <w:rPr>
          <w:rFonts w:ascii="Verdana" w:hAnsi="Verdana"/>
          <w:b w:val="0"/>
          <w:i/>
          <w:color w:val="auto"/>
          <w:sz w:val="20"/>
          <w:szCs w:val="20"/>
          <w:lang w:val="en-US"/>
        </w:rPr>
        <w:t>Arguments</w:t>
      </w:r>
      <w:r w:rsidR="003630BB" w:rsidRPr="009D52FD">
        <w:rPr>
          <w:rFonts w:ascii="Verdana" w:hAnsi="Verdana"/>
          <w:b w:val="0"/>
          <w:i/>
          <w:color w:val="auto"/>
          <w:sz w:val="20"/>
          <w:szCs w:val="20"/>
          <w:lang w:val="en-US"/>
        </w:rPr>
        <w:t xml:space="preserve"> of the State and </w:t>
      </w:r>
      <w:r w:rsidR="005B6C50" w:rsidRPr="009D52FD">
        <w:rPr>
          <w:rFonts w:ascii="Verdana" w:hAnsi="Verdana"/>
          <w:b w:val="0"/>
          <w:i/>
          <w:color w:val="auto"/>
          <w:sz w:val="20"/>
          <w:szCs w:val="20"/>
          <w:lang w:val="en-US"/>
        </w:rPr>
        <w:t>observations</w:t>
      </w:r>
      <w:r w:rsidR="003630BB" w:rsidRPr="009D52FD">
        <w:rPr>
          <w:rFonts w:ascii="Verdana" w:hAnsi="Verdana"/>
          <w:b w:val="0"/>
          <w:i/>
          <w:color w:val="auto"/>
          <w:sz w:val="20"/>
          <w:szCs w:val="20"/>
          <w:lang w:val="en-US"/>
        </w:rPr>
        <w:t xml:space="preserve"> of the Commission and the representatives</w:t>
      </w:r>
      <w:bookmarkEnd w:id="31"/>
      <w:bookmarkEnd w:id="32"/>
    </w:p>
    <w:p w14:paraId="5F2560C7" w14:textId="77777777" w:rsidR="00652A11" w:rsidRPr="009D52FD" w:rsidRDefault="00652A11" w:rsidP="00652A11">
      <w:pPr>
        <w:widowControl/>
        <w:adjustRightInd/>
        <w:spacing w:line="240" w:lineRule="auto"/>
        <w:textAlignment w:val="auto"/>
        <w:rPr>
          <w:rFonts w:eastAsiaTheme="minorHAnsi" w:cstheme="minorBidi"/>
          <w:b/>
          <w:bCs/>
          <w:i/>
          <w:sz w:val="20"/>
          <w:szCs w:val="20"/>
          <w:lang w:val="en-US" w:eastAsia="en-US"/>
        </w:rPr>
      </w:pPr>
    </w:p>
    <w:p w14:paraId="37FEA263" w14:textId="6F701F06" w:rsidR="00544A4C" w:rsidRPr="009D52FD" w:rsidRDefault="003630BB" w:rsidP="00544A4C">
      <w:pPr>
        <w:widowControl/>
        <w:numPr>
          <w:ilvl w:val="0"/>
          <w:numId w:val="1"/>
        </w:numPr>
        <w:tabs>
          <w:tab w:val="left" w:pos="567"/>
          <w:tab w:val="num" w:pos="1569"/>
          <w:tab w:val="num" w:pos="12305"/>
        </w:tabs>
        <w:autoSpaceDE w:val="0"/>
        <w:autoSpaceDN w:val="0"/>
        <w:spacing w:line="240" w:lineRule="auto"/>
        <w:ind w:left="0" w:firstLine="0"/>
        <w:textAlignment w:val="auto"/>
        <w:rPr>
          <w:rFonts w:cs="Arial"/>
          <w:color w:val="000000" w:themeColor="text1"/>
          <w:sz w:val="20"/>
          <w:szCs w:val="20"/>
          <w:lang w:val="en-US"/>
        </w:rPr>
      </w:pPr>
      <w:r w:rsidRPr="009D52FD">
        <w:rPr>
          <w:color w:val="000000" w:themeColor="text1"/>
          <w:sz w:val="20"/>
          <w:szCs w:val="20"/>
          <w:lang w:val="en-US"/>
        </w:rPr>
        <w:t xml:space="preserve">The </w:t>
      </w:r>
      <w:r w:rsidRPr="009D52FD">
        <w:rPr>
          <w:b/>
          <w:bCs/>
          <w:i/>
          <w:iCs/>
          <w:color w:val="000000" w:themeColor="text1"/>
          <w:sz w:val="20"/>
          <w:szCs w:val="20"/>
          <w:lang w:val="en-US"/>
        </w:rPr>
        <w:t>State</w:t>
      </w:r>
      <w:r w:rsidR="00544A4C" w:rsidRPr="009D52FD">
        <w:rPr>
          <w:color w:val="000000" w:themeColor="text1"/>
          <w:sz w:val="20"/>
          <w:szCs w:val="20"/>
          <w:lang w:val="en-US"/>
        </w:rPr>
        <w:t xml:space="preserve"> a</w:t>
      </w:r>
      <w:r w:rsidR="00523AF4" w:rsidRPr="009D52FD">
        <w:rPr>
          <w:color w:val="000000" w:themeColor="text1"/>
          <w:sz w:val="20"/>
          <w:szCs w:val="20"/>
          <w:lang w:val="en-US"/>
        </w:rPr>
        <w:t xml:space="preserve">rgued, in general terms, that in their </w:t>
      </w:r>
      <w:r w:rsidR="002151C9" w:rsidRPr="009D52FD">
        <w:rPr>
          <w:color w:val="000000" w:themeColor="text1"/>
          <w:sz w:val="20"/>
          <w:szCs w:val="20"/>
          <w:lang w:val="en-US"/>
        </w:rPr>
        <w:t>pleadings and motions</w:t>
      </w:r>
      <w:r w:rsidR="00523AF4" w:rsidRPr="009D52FD">
        <w:rPr>
          <w:color w:val="000000" w:themeColor="text1"/>
          <w:sz w:val="20"/>
          <w:szCs w:val="20"/>
          <w:lang w:val="en-US"/>
        </w:rPr>
        <w:t xml:space="preserve"> brief, the representatives had introduced “new facts and </w:t>
      </w:r>
      <w:r w:rsidR="00B173CD" w:rsidRPr="009D52FD">
        <w:rPr>
          <w:color w:val="000000" w:themeColor="text1"/>
          <w:sz w:val="20"/>
          <w:szCs w:val="20"/>
          <w:lang w:val="en-US"/>
        </w:rPr>
        <w:t>different</w:t>
      </w:r>
      <w:r w:rsidR="00523AF4" w:rsidRPr="009D52FD">
        <w:rPr>
          <w:color w:val="000000" w:themeColor="text1"/>
          <w:sz w:val="20"/>
          <w:szCs w:val="20"/>
          <w:lang w:val="en-US"/>
        </w:rPr>
        <w:t xml:space="preserve"> aspects that did not form part of the </w:t>
      </w:r>
      <w:r w:rsidR="00483040" w:rsidRPr="009D52FD">
        <w:rPr>
          <w:color w:val="000000" w:themeColor="text1"/>
          <w:sz w:val="20"/>
          <w:szCs w:val="20"/>
          <w:lang w:val="en-US"/>
        </w:rPr>
        <w:t>Merits Report</w:t>
      </w:r>
      <w:r w:rsidR="00544A4C" w:rsidRPr="009D52FD">
        <w:rPr>
          <w:color w:val="000000" w:themeColor="text1"/>
          <w:sz w:val="20"/>
          <w:szCs w:val="20"/>
          <w:lang w:val="en-US"/>
        </w:rPr>
        <w:t xml:space="preserve">, </w:t>
      </w:r>
      <w:r w:rsidR="00523AF4" w:rsidRPr="009D52FD">
        <w:rPr>
          <w:color w:val="000000" w:themeColor="text1"/>
          <w:sz w:val="20"/>
          <w:szCs w:val="20"/>
          <w:lang w:val="en-US"/>
        </w:rPr>
        <w:t>and did not merely explain, clarify or reject facts indicated in that Report.”</w:t>
      </w:r>
    </w:p>
    <w:p w14:paraId="3EA87F9D" w14:textId="77777777" w:rsidR="00550A16" w:rsidRPr="009D52FD" w:rsidRDefault="00550A16" w:rsidP="00995703">
      <w:pPr>
        <w:widowControl/>
        <w:adjustRightInd/>
        <w:spacing w:line="240" w:lineRule="auto"/>
        <w:textAlignment w:val="auto"/>
        <w:rPr>
          <w:rFonts w:eastAsiaTheme="minorHAnsi" w:cstheme="minorBidi"/>
          <w:bCs/>
          <w:sz w:val="20"/>
          <w:szCs w:val="20"/>
          <w:lang w:val="en-US" w:eastAsia="en-US"/>
        </w:rPr>
      </w:pPr>
    </w:p>
    <w:p w14:paraId="61348718" w14:textId="5A7E81EE" w:rsidR="007F4FAD" w:rsidRPr="009D52FD" w:rsidRDefault="003630BB" w:rsidP="007F4FAD">
      <w:pPr>
        <w:widowControl/>
        <w:numPr>
          <w:ilvl w:val="0"/>
          <w:numId w:val="1"/>
        </w:numPr>
        <w:tabs>
          <w:tab w:val="left" w:pos="567"/>
          <w:tab w:val="num" w:pos="1569"/>
          <w:tab w:val="num" w:pos="12305"/>
        </w:tabs>
        <w:autoSpaceDE w:val="0"/>
        <w:autoSpaceDN w:val="0"/>
        <w:spacing w:line="240" w:lineRule="auto"/>
        <w:ind w:left="0" w:firstLine="0"/>
        <w:textAlignment w:val="auto"/>
        <w:rPr>
          <w:rFonts w:eastAsiaTheme="minorHAnsi" w:cstheme="minorBidi"/>
          <w:bCs/>
          <w:sz w:val="20"/>
          <w:szCs w:val="20"/>
          <w:lang w:val="en-US" w:eastAsia="en-US"/>
        </w:rPr>
      </w:pPr>
      <w:r w:rsidRPr="009D52FD">
        <w:rPr>
          <w:rFonts w:eastAsiaTheme="minorHAnsi" w:cstheme="minorBidi"/>
          <w:bCs/>
          <w:sz w:val="20"/>
          <w:szCs w:val="20"/>
          <w:lang w:val="en-US" w:eastAsia="en-US"/>
        </w:rPr>
        <w:t xml:space="preserve">The </w:t>
      </w:r>
      <w:r w:rsidRPr="009D52FD">
        <w:rPr>
          <w:rFonts w:eastAsiaTheme="minorHAnsi" w:cstheme="minorBidi"/>
          <w:b/>
          <w:i/>
          <w:iCs/>
          <w:sz w:val="20"/>
          <w:szCs w:val="20"/>
          <w:lang w:val="en-US" w:eastAsia="en-US"/>
        </w:rPr>
        <w:t>representatives</w:t>
      </w:r>
      <w:r w:rsidR="007F4FAD" w:rsidRPr="009D52FD">
        <w:rPr>
          <w:color w:val="000000" w:themeColor="text1"/>
          <w:sz w:val="20"/>
          <w:szCs w:val="20"/>
          <w:lang w:val="en-US"/>
        </w:rPr>
        <w:t xml:space="preserve"> indica</w:t>
      </w:r>
      <w:r w:rsidR="00523AF4" w:rsidRPr="009D52FD">
        <w:rPr>
          <w:color w:val="000000" w:themeColor="text1"/>
          <w:sz w:val="20"/>
          <w:szCs w:val="20"/>
          <w:lang w:val="en-US"/>
        </w:rPr>
        <w:t>ted that this argument should be rejected because the State had not indicated which fact or facts were not included in the factual framework.</w:t>
      </w:r>
    </w:p>
    <w:p w14:paraId="372F947D" w14:textId="77777777" w:rsidR="007F4FAD" w:rsidRPr="009D52FD" w:rsidRDefault="007F4FAD" w:rsidP="00995703">
      <w:pPr>
        <w:widowControl/>
        <w:adjustRightInd/>
        <w:spacing w:line="240" w:lineRule="auto"/>
        <w:textAlignment w:val="auto"/>
        <w:rPr>
          <w:rFonts w:eastAsiaTheme="minorHAnsi" w:cstheme="minorBidi"/>
          <w:bCs/>
          <w:sz w:val="20"/>
          <w:szCs w:val="20"/>
          <w:lang w:val="en-US" w:eastAsia="en-US"/>
        </w:rPr>
      </w:pPr>
    </w:p>
    <w:p w14:paraId="3760410C" w14:textId="3FBF1105" w:rsidR="007F4FAD" w:rsidRPr="009D52FD" w:rsidRDefault="003630BB" w:rsidP="007F4FAD">
      <w:pPr>
        <w:widowControl/>
        <w:numPr>
          <w:ilvl w:val="0"/>
          <w:numId w:val="1"/>
        </w:numPr>
        <w:tabs>
          <w:tab w:val="left" w:pos="567"/>
          <w:tab w:val="num" w:pos="1569"/>
          <w:tab w:val="num" w:pos="12305"/>
        </w:tabs>
        <w:autoSpaceDE w:val="0"/>
        <w:autoSpaceDN w:val="0"/>
        <w:spacing w:line="240" w:lineRule="auto"/>
        <w:ind w:left="0" w:firstLine="0"/>
        <w:textAlignment w:val="auto"/>
        <w:rPr>
          <w:rFonts w:eastAsiaTheme="minorHAnsi" w:cstheme="minorBidi"/>
          <w:bCs/>
          <w:sz w:val="20"/>
          <w:szCs w:val="20"/>
          <w:lang w:val="en-US" w:eastAsia="en-US"/>
        </w:rPr>
      </w:pPr>
      <w:r w:rsidRPr="009D52FD">
        <w:rPr>
          <w:rFonts w:eastAsiaTheme="minorHAnsi" w:cstheme="minorBidi"/>
          <w:bCs/>
          <w:sz w:val="20"/>
          <w:szCs w:val="20"/>
          <w:lang w:val="en-US" w:eastAsia="en-US"/>
        </w:rPr>
        <w:t xml:space="preserve">The </w:t>
      </w:r>
      <w:r w:rsidRPr="009D52FD">
        <w:rPr>
          <w:rFonts w:eastAsiaTheme="minorHAnsi" w:cstheme="minorBidi"/>
          <w:b/>
          <w:i/>
          <w:iCs/>
          <w:sz w:val="20"/>
          <w:szCs w:val="20"/>
          <w:lang w:val="en-US" w:eastAsia="en-US"/>
        </w:rPr>
        <w:t>Commission</w:t>
      </w:r>
      <w:r w:rsidR="007F4FAD" w:rsidRPr="009D52FD">
        <w:rPr>
          <w:rFonts w:eastAsiaTheme="minorHAnsi" w:cstheme="minorBidi"/>
          <w:b/>
          <w:i/>
          <w:iCs/>
          <w:sz w:val="20"/>
          <w:szCs w:val="20"/>
          <w:lang w:val="en-US" w:eastAsia="en-US"/>
        </w:rPr>
        <w:t xml:space="preserve"> </w:t>
      </w:r>
      <w:r w:rsidR="00523AF4" w:rsidRPr="009D52FD">
        <w:rPr>
          <w:rFonts w:eastAsiaTheme="minorHAnsi" w:cstheme="minorBidi"/>
          <w:bCs/>
          <w:sz w:val="20"/>
          <w:szCs w:val="20"/>
          <w:lang w:val="en-US" w:eastAsia="en-US"/>
        </w:rPr>
        <w:t>did not refer to this argument</w:t>
      </w:r>
      <w:r w:rsidR="007F4FAD" w:rsidRPr="009D52FD">
        <w:rPr>
          <w:rFonts w:eastAsiaTheme="minorHAnsi" w:cstheme="minorBidi"/>
          <w:bCs/>
          <w:sz w:val="20"/>
          <w:szCs w:val="20"/>
          <w:lang w:val="en-US" w:eastAsia="en-US"/>
        </w:rPr>
        <w:t>.</w:t>
      </w:r>
    </w:p>
    <w:p w14:paraId="02AC47B3" w14:textId="77777777" w:rsidR="007F4FAD" w:rsidRPr="009D52FD" w:rsidRDefault="007F4FAD" w:rsidP="00995703">
      <w:pPr>
        <w:widowControl/>
        <w:adjustRightInd/>
        <w:spacing w:line="240" w:lineRule="auto"/>
        <w:textAlignment w:val="auto"/>
        <w:rPr>
          <w:rFonts w:eastAsiaTheme="minorHAnsi" w:cstheme="minorBidi"/>
          <w:bCs/>
          <w:sz w:val="20"/>
          <w:szCs w:val="20"/>
          <w:lang w:val="en-US" w:eastAsia="en-US"/>
        </w:rPr>
      </w:pPr>
    </w:p>
    <w:p w14:paraId="26474571" w14:textId="534F4A55" w:rsidR="00652A11" w:rsidRPr="009D52FD" w:rsidRDefault="00652A11" w:rsidP="00995703">
      <w:pPr>
        <w:pStyle w:val="Heading2"/>
        <w:tabs>
          <w:tab w:val="left" w:pos="1843"/>
        </w:tabs>
        <w:spacing w:before="0" w:line="240" w:lineRule="auto"/>
        <w:ind w:left="1134"/>
        <w:rPr>
          <w:rFonts w:ascii="Verdana" w:hAnsi="Verdana"/>
          <w:b w:val="0"/>
          <w:i/>
          <w:color w:val="auto"/>
          <w:sz w:val="20"/>
          <w:szCs w:val="20"/>
          <w:lang w:val="en-US"/>
        </w:rPr>
      </w:pPr>
      <w:bookmarkStart w:id="33" w:name="_Toc514172605"/>
      <w:bookmarkStart w:id="34" w:name="_Toc51400073"/>
      <w:r w:rsidRPr="009D52FD">
        <w:rPr>
          <w:rFonts w:ascii="Verdana" w:hAnsi="Verdana"/>
          <w:b w:val="0"/>
          <w:i/>
          <w:color w:val="auto"/>
          <w:sz w:val="20"/>
          <w:szCs w:val="20"/>
          <w:lang w:val="en-US"/>
        </w:rPr>
        <w:t xml:space="preserve">A.2 </w:t>
      </w:r>
      <w:r w:rsidRPr="009D52FD">
        <w:rPr>
          <w:rFonts w:ascii="Verdana" w:hAnsi="Verdana"/>
          <w:b w:val="0"/>
          <w:i/>
          <w:color w:val="auto"/>
          <w:sz w:val="20"/>
          <w:szCs w:val="20"/>
          <w:lang w:val="en-US"/>
        </w:rPr>
        <w:tab/>
      </w:r>
      <w:r w:rsidR="00997ADF" w:rsidRPr="009D52FD">
        <w:rPr>
          <w:rFonts w:ascii="Verdana" w:hAnsi="Verdana"/>
          <w:b w:val="0"/>
          <w:i/>
          <w:color w:val="auto"/>
          <w:sz w:val="20"/>
          <w:szCs w:val="20"/>
          <w:lang w:val="en-US"/>
        </w:rPr>
        <w:t>Considerations</w:t>
      </w:r>
      <w:r w:rsidR="003630BB" w:rsidRPr="009D52FD">
        <w:rPr>
          <w:rFonts w:ascii="Verdana" w:hAnsi="Verdana"/>
          <w:b w:val="0"/>
          <w:i/>
          <w:color w:val="auto"/>
          <w:sz w:val="20"/>
          <w:szCs w:val="20"/>
          <w:lang w:val="en-US"/>
        </w:rPr>
        <w:t xml:space="preserve"> of the Court</w:t>
      </w:r>
      <w:bookmarkEnd w:id="33"/>
      <w:bookmarkEnd w:id="34"/>
    </w:p>
    <w:p w14:paraId="173FC85D" w14:textId="77777777" w:rsidR="00176377" w:rsidRPr="009D52FD" w:rsidRDefault="00176377" w:rsidP="00995703">
      <w:pPr>
        <w:spacing w:line="240" w:lineRule="auto"/>
        <w:rPr>
          <w:sz w:val="20"/>
          <w:szCs w:val="20"/>
          <w:lang w:val="en-US"/>
        </w:rPr>
      </w:pPr>
    </w:p>
    <w:p w14:paraId="04F646C5" w14:textId="2F5C0DC2" w:rsidR="00544A4C" w:rsidRPr="009D52FD" w:rsidRDefault="003630BB" w:rsidP="00C72369">
      <w:pPr>
        <w:widowControl/>
        <w:numPr>
          <w:ilvl w:val="0"/>
          <w:numId w:val="1"/>
        </w:numPr>
        <w:tabs>
          <w:tab w:val="left" w:pos="567"/>
          <w:tab w:val="num" w:pos="1569"/>
          <w:tab w:val="num" w:pos="12305"/>
        </w:tabs>
        <w:autoSpaceDE w:val="0"/>
        <w:autoSpaceDN w:val="0"/>
        <w:spacing w:line="240" w:lineRule="auto"/>
        <w:ind w:left="0" w:firstLine="0"/>
        <w:textAlignment w:val="auto"/>
        <w:rPr>
          <w:sz w:val="20"/>
          <w:szCs w:val="20"/>
          <w:lang w:val="en-US"/>
        </w:rPr>
      </w:pPr>
      <w:r w:rsidRPr="009D52FD">
        <w:rPr>
          <w:color w:val="000000" w:themeColor="text1"/>
          <w:sz w:val="20"/>
          <w:szCs w:val="20"/>
          <w:lang w:val="en-US"/>
        </w:rPr>
        <w:t>The Court</w:t>
      </w:r>
      <w:r w:rsidR="007F4FAD" w:rsidRPr="009D52FD">
        <w:rPr>
          <w:color w:val="000000" w:themeColor="text1"/>
          <w:sz w:val="20"/>
          <w:szCs w:val="20"/>
          <w:lang w:val="en-US"/>
        </w:rPr>
        <w:t xml:space="preserve"> not</w:t>
      </w:r>
      <w:r w:rsidR="00C72369" w:rsidRPr="009D52FD">
        <w:rPr>
          <w:color w:val="000000" w:themeColor="text1"/>
          <w:sz w:val="20"/>
          <w:szCs w:val="20"/>
          <w:lang w:val="en-US"/>
        </w:rPr>
        <w:t xml:space="preserve">es that </w:t>
      </w:r>
      <w:r w:rsidRPr="009D52FD">
        <w:rPr>
          <w:color w:val="000000" w:themeColor="text1"/>
          <w:sz w:val="20"/>
          <w:szCs w:val="20"/>
          <w:lang w:val="en-US"/>
        </w:rPr>
        <w:t>the State</w:t>
      </w:r>
      <w:r w:rsidR="007F4FAD" w:rsidRPr="009D52FD">
        <w:rPr>
          <w:color w:val="000000" w:themeColor="text1"/>
          <w:sz w:val="20"/>
          <w:szCs w:val="20"/>
          <w:lang w:val="en-US"/>
        </w:rPr>
        <w:t xml:space="preserve"> </w:t>
      </w:r>
      <w:r w:rsidR="00C72369" w:rsidRPr="009D52FD">
        <w:rPr>
          <w:color w:val="000000" w:themeColor="text1"/>
          <w:sz w:val="20"/>
          <w:szCs w:val="20"/>
          <w:lang w:val="en-US"/>
        </w:rPr>
        <w:t xml:space="preserve">did not specify which precise facts in the </w:t>
      </w:r>
      <w:r w:rsidR="002151C9" w:rsidRPr="009D52FD">
        <w:rPr>
          <w:color w:val="000000" w:themeColor="text1"/>
          <w:sz w:val="20"/>
          <w:szCs w:val="20"/>
          <w:lang w:val="en-US"/>
        </w:rPr>
        <w:t>pleadings and motions</w:t>
      </w:r>
      <w:r w:rsidR="00C72369" w:rsidRPr="009D52FD">
        <w:rPr>
          <w:color w:val="000000" w:themeColor="text1"/>
          <w:sz w:val="20"/>
          <w:szCs w:val="20"/>
          <w:lang w:val="en-US"/>
        </w:rPr>
        <w:t xml:space="preserve"> brief fell outside the factual framework presented by the Commission in either its answering brief</w:t>
      </w:r>
      <w:r w:rsidR="00B173CD" w:rsidRPr="009D52FD">
        <w:rPr>
          <w:color w:val="000000" w:themeColor="text1"/>
          <w:sz w:val="20"/>
          <w:szCs w:val="20"/>
          <w:lang w:val="en-US"/>
        </w:rPr>
        <w:t>,</w:t>
      </w:r>
      <w:r w:rsidR="00C72369" w:rsidRPr="009D52FD">
        <w:rPr>
          <w:color w:val="000000" w:themeColor="text1"/>
          <w:sz w:val="20"/>
          <w:szCs w:val="20"/>
          <w:lang w:val="en-US"/>
        </w:rPr>
        <w:t xml:space="preserve"> or its final arguments after the Court had specifically requested this during the hearing. Therefore, owing to the State’s lack of precision, the Court rejects its argument and will proceed to determine the facts in the corresponding chapter.</w:t>
      </w:r>
    </w:p>
    <w:p w14:paraId="7705A2C5" w14:textId="77777777" w:rsidR="0010513D" w:rsidRPr="009D52FD" w:rsidRDefault="0010513D" w:rsidP="007F4FAD">
      <w:pPr>
        <w:spacing w:line="240" w:lineRule="auto"/>
        <w:rPr>
          <w:sz w:val="20"/>
          <w:szCs w:val="20"/>
          <w:lang w:val="en-US"/>
        </w:rPr>
      </w:pPr>
    </w:p>
    <w:p w14:paraId="2E424A0A" w14:textId="5CA2497E" w:rsidR="0010513D" w:rsidRPr="009D52FD" w:rsidRDefault="0010513D" w:rsidP="007F4FAD">
      <w:pPr>
        <w:keepNext/>
        <w:keepLines/>
        <w:tabs>
          <w:tab w:val="left" w:pos="1134"/>
        </w:tabs>
        <w:spacing w:line="240" w:lineRule="auto"/>
        <w:ind w:left="567" w:firstLine="1"/>
        <w:outlineLvl w:val="1"/>
        <w:rPr>
          <w:rFonts w:eastAsia="MS Mincho"/>
          <w:b/>
          <w:bCs/>
          <w:i/>
          <w:sz w:val="20"/>
          <w:szCs w:val="20"/>
          <w:lang w:val="en-US"/>
        </w:rPr>
      </w:pPr>
      <w:bookmarkStart w:id="35" w:name="_Toc51400074"/>
      <w:r w:rsidRPr="009D52FD">
        <w:rPr>
          <w:rFonts w:eastAsia="MS Mincho"/>
          <w:b/>
          <w:bCs/>
          <w:i/>
          <w:sz w:val="20"/>
          <w:szCs w:val="20"/>
          <w:lang w:val="en-US"/>
        </w:rPr>
        <w:t>B.</w:t>
      </w:r>
      <w:r w:rsidRPr="009D52FD">
        <w:rPr>
          <w:rFonts w:eastAsia="MS Mincho"/>
          <w:b/>
          <w:bCs/>
          <w:i/>
          <w:sz w:val="20"/>
          <w:szCs w:val="20"/>
          <w:lang w:val="en-US"/>
        </w:rPr>
        <w:tab/>
      </w:r>
      <w:r w:rsidR="00997ADF" w:rsidRPr="009D52FD">
        <w:rPr>
          <w:rFonts w:eastAsia="MS Mincho"/>
          <w:b/>
          <w:bCs/>
          <w:i/>
          <w:sz w:val="20"/>
          <w:szCs w:val="20"/>
          <w:lang w:val="en-US"/>
        </w:rPr>
        <w:t>Considerations</w:t>
      </w:r>
      <w:r w:rsidRPr="009D52FD">
        <w:rPr>
          <w:rFonts w:eastAsia="MS Mincho"/>
          <w:b/>
          <w:bCs/>
          <w:i/>
          <w:sz w:val="20"/>
          <w:szCs w:val="20"/>
          <w:lang w:val="en-US"/>
        </w:rPr>
        <w:t xml:space="preserve"> </w:t>
      </w:r>
      <w:r w:rsidR="00997ADF" w:rsidRPr="009D52FD">
        <w:rPr>
          <w:rFonts w:eastAsia="MS Mincho"/>
          <w:b/>
          <w:bCs/>
          <w:i/>
          <w:sz w:val="20"/>
          <w:szCs w:val="20"/>
          <w:lang w:val="en-US"/>
        </w:rPr>
        <w:t>supposedly not included in</w:t>
      </w:r>
      <w:r w:rsidRPr="009D52FD">
        <w:rPr>
          <w:rFonts w:eastAsia="MS Mincho"/>
          <w:b/>
          <w:bCs/>
          <w:i/>
          <w:sz w:val="20"/>
          <w:szCs w:val="20"/>
          <w:lang w:val="en-US"/>
        </w:rPr>
        <w:t xml:space="preserve"> </w:t>
      </w:r>
      <w:r w:rsidR="00483040" w:rsidRPr="009D52FD">
        <w:rPr>
          <w:rFonts w:eastAsia="MS Mincho"/>
          <w:b/>
          <w:bCs/>
          <w:i/>
          <w:sz w:val="20"/>
          <w:szCs w:val="20"/>
          <w:lang w:val="en-US"/>
        </w:rPr>
        <w:t xml:space="preserve">the </w:t>
      </w:r>
      <w:r w:rsidR="00C72369" w:rsidRPr="009D52FD">
        <w:rPr>
          <w:rFonts w:eastAsia="MS Mincho"/>
          <w:b/>
          <w:bCs/>
          <w:i/>
          <w:iCs/>
          <w:sz w:val="20"/>
          <w:szCs w:val="20"/>
          <w:lang w:val="en-US"/>
        </w:rPr>
        <w:t>Inter-American Commission’s Admissibility Report</w:t>
      </w:r>
      <w:bookmarkEnd w:id="35"/>
    </w:p>
    <w:p w14:paraId="401F3FD1" w14:textId="77777777" w:rsidR="0010513D" w:rsidRPr="009D52FD" w:rsidRDefault="0010513D" w:rsidP="007F4FAD">
      <w:pPr>
        <w:spacing w:line="240" w:lineRule="auto"/>
        <w:rPr>
          <w:sz w:val="20"/>
          <w:szCs w:val="20"/>
          <w:lang w:val="en-US"/>
        </w:rPr>
      </w:pPr>
    </w:p>
    <w:p w14:paraId="09E01B22" w14:textId="06A16D05" w:rsidR="0010513D" w:rsidRPr="009D52FD" w:rsidRDefault="0010513D" w:rsidP="007F4FAD">
      <w:pPr>
        <w:pStyle w:val="Heading2"/>
        <w:tabs>
          <w:tab w:val="left" w:pos="1843"/>
        </w:tabs>
        <w:spacing w:before="0" w:line="240" w:lineRule="auto"/>
        <w:ind w:left="1134"/>
        <w:rPr>
          <w:rFonts w:ascii="Verdana" w:hAnsi="Verdana"/>
          <w:b w:val="0"/>
          <w:i/>
          <w:color w:val="auto"/>
          <w:sz w:val="20"/>
          <w:szCs w:val="20"/>
          <w:lang w:val="en-US"/>
        </w:rPr>
      </w:pPr>
      <w:bookmarkStart w:id="36" w:name="_Toc51400075"/>
      <w:r w:rsidRPr="009D52FD">
        <w:rPr>
          <w:rFonts w:ascii="Verdana" w:hAnsi="Verdana"/>
          <w:b w:val="0"/>
          <w:i/>
          <w:color w:val="auto"/>
          <w:sz w:val="20"/>
          <w:szCs w:val="20"/>
          <w:lang w:val="en-US"/>
        </w:rPr>
        <w:t xml:space="preserve">B.1 </w:t>
      </w:r>
      <w:r w:rsidRPr="009D52FD">
        <w:rPr>
          <w:rFonts w:ascii="Verdana" w:hAnsi="Verdana"/>
          <w:b w:val="0"/>
          <w:i/>
          <w:color w:val="auto"/>
          <w:sz w:val="20"/>
          <w:szCs w:val="20"/>
          <w:lang w:val="en-US"/>
        </w:rPr>
        <w:tab/>
      </w:r>
      <w:r w:rsidR="00584DF8" w:rsidRPr="009D52FD">
        <w:rPr>
          <w:rFonts w:ascii="Verdana" w:hAnsi="Verdana"/>
          <w:b w:val="0"/>
          <w:i/>
          <w:color w:val="auto"/>
          <w:sz w:val="20"/>
          <w:szCs w:val="20"/>
          <w:lang w:val="en-US"/>
        </w:rPr>
        <w:t>Arguments</w:t>
      </w:r>
      <w:r w:rsidR="003630BB" w:rsidRPr="009D52FD">
        <w:rPr>
          <w:rFonts w:ascii="Verdana" w:hAnsi="Verdana"/>
          <w:b w:val="0"/>
          <w:i/>
          <w:color w:val="auto"/>
          <w:sz w:val="20"/>
          <w:szCs w:val="20"/>
          <w:lang w:val="en-US"/>
        </w:rPr>
        <w:t xml:space="preserve"> of the State and </w:t>
      </w:r>
      <w:r w:rsidR="005B6C50" w:rsidRPr="009D52FD">
        <w:rPr>
          <w:rFonts w:ascii="Verdana" w:hAnsi="Verdana"/>
          <w:b w:val="0"/>
          <w:i/>
          <w:color w:val="auto"/>
          <w:sz w:val="20"/>
          <w:szCs w:val="20"/>
          <w:lang w:val="en-US"/>
        </w:rPr>
        <w:t>observations</w:t>
      </w:r>
      <w:r w:rsidR="003630BB" w:rsidRPr="009D52FD">
        <w:rPr>
          <w:rFonts w:ascii="Verdana" w:hAnsi="Verdana"/>
          <w:b w:val="0"/>
          <w:i/>
          <w:color w:val="auto"/>
          <w:sz w:val="20"/>
          <w:szCs w:val="20"/>
          <w:lang w:val="en-US"/>
        </w:rPr>
        <w:t xml:space="preserve"> of the Commission and the representatives</w:t>
      </w:r>
      <w:bookmarkEnd w:id="36"/>
    </w:p>
    <w:p w14:paraId="757D9189" w14:textId="77777777" w:rsidR="0010513D" w:rsidRPr="009D52FD" w:rsidRDefault="0010513D" w:rsidP="007F4FAD">
      <w:pPr>
        <w:spacing w:line="240" w:lineRule="auto"/>
        <w:rPr>
          <w:sz w:val="20"/>
          <w:szCs w:val="20"/>
          <w:lang w:val="en-US"/>
        </w:rPr>
      </w:pPr>
    </w:p>
    <w:p w14:paraId="6D4518B9" w14:textId="7081F645" w:rsidR="00544A4C" w:rsidRPr="009D52FD" w:rsidRDefault="00C72369" w:rsidP="00544A4C">
      <w:pPr>
        <w:widowControl/>
        <w:numPr>
          <w:ilvl w:val="0"/>
          <w:numId w:val="1"/>
        </w:numPr>
        <w:tabs>
          <w:tab w:val="left" w:pos="567"/>
          <w:tab w:val="num" w:pos="1569"/>
          <w:tab w:val="num" w:pos="12305"/>
        </w:tabs>
        <w:autoSpaceDE w:val="0"/>
        <w:autoSpaceDN w:val="0"/>
        <w:spacing w:line="240" w:lineRule="auto"/>
        <w:ind w:left="0" w:firstLine="0"/>
        <w:textAlignment w:val="auto"/>
        <w:rPr>
          <w:rFonts w:eastAsia="MS Mincho" w:cs="Arial"/>
          <w:sz w:val="20"/>
          <w:lang w:val="en-US" w:eastAsia="en-US"/>
        </w:rPr>
      </w:pPr>
      <w:r w:rsidRPr="009D52FD">
        <w:rPr>
          <w:rFonts w:eastAsia="MS Mincho" w:cs="Arial"/>
          <w:sz w:val="20"/>
          <w:lang w:val="en-US" w:eastAsia="en-US"/>
        </w:rPr>
        <w:t>In its answering brief,</w:t>
      </w:r>
      <w:r w:rsidR="00544A4C" w:rsidRPr="009D52FD">
        <w:rPr>
          <w:rFonts w:eastAsia="MS Mincho" w:cs="Arial"/>
          <w:sz w:val="20"/>
          <w:lang w:val="en-US" w:eastAsia="en-US"/>
        </w:rPr>
        <w:t xml:space="preserve"> </w:t>
      </w:r>
      <w:r w:rsidR="003630BB" w:rsidRPr="009D52FD">
        <w:rPr>
          <w:rFonts w:eastAsia="MS Mincho" w:cs="Arial"/>
          <w:sz w:val="20"/>
          <w:lang w:val="en-US" w:eastAsia="en-US"/>
        </w:rPr>
        <w:t xml:space="preserve">the </w:t>
      </w:r>
      <w:r w:rsidR="003630BB" w:rsidRPr="009D52FD">
        <w:rPr>
          <w:rFonts w:eastAsia="MS Mincho" w:cs="Arial"/>
          <w:b/>
          <w:bCs/>
          <w:i/>
          <w:iCs/>
          <w:sz w:val="20"/>
          <w:lang w:val="en-US" w:eastAsia="en-US"/>
        </w:rPr>
        <w:t>State</w:t>
      </w:r>
      <w:r w:rsidR="00544A4C" w:rsidRPr="009D52FD">
        <w:rPr>
          <w:rFonts w:eastAsia="MS Mincho" w:cs="Arial"/>
          <w:sz w:val="20"/>
          <w:lang w:val="en-US" w:eastAsia="en-US"/>
        </w:rPr>
        <w:t xml:space="preserve"> </w:t>
      </w:r>
      <w:r w:rsidRPr="009D52FD">
        <w:rPr>
          <w:rFonts w:eastAsia="MS Mincho" w:cs="Arial"/>
          <w:sz w:val="20"/>
          <w:lang w:val="en-US" w:eastAsia="en-US"/>
        </w:rPr>
        <w:t xml:space="preserve">indicated its discrepancy with the inclusion in the proceedings before the Court of considerations in relation to the ICPPT that, supposedly, were not included in </w:t>
      </w:r>
      <w:r w:rsidR="00483040" w:rsidRPr="009D52FD">
        <w:rPr>
          <w:rFonts w:eastAsia="MS Mincho" w:cs="Arial"/>
          <w:sz w:val="20"/>
          <w:lang w:val="en-US" w:eastAsia="en-US"/>
        </w:rPr>
        <w:t xml:space="preserve">the </w:t>
      </w:r>
      <w:r w:rsidRPr="009D52FD">
        <w:rPr>
          <w:rFonts w:eastAsia="MS Mincho" w:cs="Arial"/>
          <w:sz w:val="20"/>
          <w:lang w:val="en-US" w:eastAsia="en-US"/>
        </w:rPr>
        <w:t xml:space="preserve">Commission’s </w:t>
      </w:r>
      <w:r w:rsidR="00483040" w:rsidRPr="009D52FD">
        <w:rPr>
          <w:rFonts w:eastAsia="MS Mincho" w:cs="Arial"/>
          <w:sz w:val="20"/>
          <w:lang w:val="en-US" w:eastAsia="en-US"/>
        </w:rPr>
        <w:t>Admissibility Report</w:t>
      </w:r>
      <w:r w:rsidR="00544A4C" w:rsidRPr="009D52FD">
        <w:rPr>
          <w:rFonts w:eastAsia="MS Mincho" w:cs="Arial"/>
          <w:sz w:val="20"/>
          <w:lang w:val="en-US" w:eastAsia="en-US"/>
        </w:rPr>
        <w:t xml:space="preserve">. </w:t>
      </w:r>
      <w:r w:rsidRPr="009D52FD">
        <w:rPr>
          <w:rFonts w:eastAsia="MS Mincho" w:cs="Arial"/>
          <w:sz w:val="20"/>
          <w:lang w:val="en-US" w:eastAsia="en-US"/>
        </w:rPr>
        <w:t>It argued that, since that</w:t>
      </w:r>
      <w:r w:rsidR="007B3298" w:rsidRPr="009D52FD">
        <w:rPr>
          <w:rFonts w:eastAsia="MS Mincho" w:cs="Arial"/>
          <w:sz w:val="20"/>
          <w:lang w:val="en-US" w:eastAsia="en-US"/>
        </w:rPr>
        <w:t xml:space="preserve"> Convention</w:t>
      </w:r>
      <w:r w:rsidRPr="009D52FD">
        <w:rPr>
          <w:rFonts w:eastAsia="MS Mincho" w:cs="Arial"/>
          <w:sz w:val="20"/>
          <w:lang w:val="en-US" w:eastAsia="en-US"/>
        </w:rPr>
        <w:t xml:space="preserve"> was only recently included in </w:t>
      </w:r>
      <w:r w:rsidR="00826D87" w:rsidRPr="009D52FD">
        <w:rPr>
          <w:rFonts w:eastAsia="MS Mincho" w:cs="Arial"/>
          <w:sz w:val="20"/>
          <w:lang w:val="en-US" w:eastAsia="en-US"/>
        </w:rPr>
        <w:t>Report</w:t>
      </w:r>
      <w:r w:rsidR="005E31D9" w:rsidRPr="009D52FD">
        <w:rPr>
          <w:rFonts w:eastAsia="MS Mincho" w:cs="Arial"/>
          <w:sz w:val="20"/>
          <w:lang w:val="en-US" w:eastAsia="en-US"/>
        </w:rPr>
        <w:t xml:space="preserve"> </w:t>
      </w:r>
      <w:r w:rsidR="00342CE6" w:rsidRPr="009D52FD">
        <w:rPr>
          <w:sz w:val="20"/>
          <w:szCs w:val="20"/>
          <w:lang w:val="en-US"/>
        </w:rPr>
        <w:t>No. 33/16</w:t>
      </w:r>
      <w:r w:rsidR="005E31D9" w:rsidRPr="009D52FD">
        <w:rPr>
          <w:rFonts w:eastAsia="MS Mincho" w:cs="Arial"/>
          <w:sz w:val="20"/>
          <w:lang w:val="en-US" w:eastAsia="en-US"/>
        </w:rPr>
        <w:t xml:space="preserve">, </w:t>
      </w:r>
      <w:r w:rsidRPr="009D52FD">
        <w:rPr>
          <w:rFonts w:eastAsia="MS Mincho" w:cs="Arial"/>
          <w:sz w:val="20"/>
          <w:lang w:val="en-US" w:eastAsia="en-US"/>
        </w:rPr>
        <w:t xml:space="preserve">this could give rise to the violation of the right of defense and to due process of law to the detriment </w:t>
      </w:r>
      <w:r w:rsidR="003630BB" w:rsidRPr="009D52FD">
        <w:rPr>
          <w:rFonts w:eastAsia="MS Mincho" w:cs="Arial"/>
          <w:sz w:val="20"/>
          <w:lang w:val="en-US" w:eastAsia="en-US"/>
        </w:rPr>
        <w:t>of the State</w:t>
      </w:r>
      <w:r w:rsidR="005E31D9" w:rsidRPr="009D52FD">
        <w:rPr>
          <w:rFonts w:eastAsia="MS Mincho" w:cs="Arial"/>
          <w:sz w:val="20"/>
          <w:lang w:val="en-US" w:eastAsia="en-US"/>
        </w:rPr>
        <w:t xml:space="preserve">, </w:t>
      </w:r>
      <w:r w:rsidRPr="009D52FD">
        <w:rPr>
          <w:rFonts w:eastAsia="MS Mincho" w:cs="Arial"/>
          <w:sz w:val="20"/>
          <w:lang w:val="en-US" w:eastAsia="en-US"/>
        </w:rPr>
        <w:t>because</w:t>
      </w:r>
      <w:r w:rsidR="005E31D9" w:rsidRPr="009D52FD">
        <w:rPr>
          <w:rFonts w:eastAsia="MS Mincho" w:cs="Arial"/>
          <w:sz w:val="20"/>
          <w:lang w:val="en-US" w:eastAsia="en-US"/>
        </w:rPr>
        <w:t xml:space="preserve"> “</w:t>
      </w:r>
      <w:r w:rsidRPr="009D52FD">
        <w:rPr>
          <w:rFonts w:eastAsia="MS Mincho" w:cs="Arial"/>
          <w:sz w:val="20"/>
          <w:lang w:val="en-US" w:eastAsia="en-US"/>
        </w:rPr>
        <w:t xml:space="preserve">it was unaware of the facts and grounds on which the Commission based itself to establish the pertinence of the use of that </w:t>
      </w:r>
      <w:r w:rsidR="007B3298" w:rsidRPr="009D52FD">
        <w:rPr>
          <w:rFonts w:eastAsia="MS Mincho" w:cs="Arial"/>
          <w:sz w:val="20"/>
          <w:lang w:val="en-US" w:eastAsia="en-US"/>
        </w:rPr>
        <w:t>instrument</w:t>
      </w:r>
      <w:r w:rsidRPr="009D52FD">
        <w:rPr>
          <w:rFonts w:eastAsia="MS Mincho" w:cs="Arial"/>
          <w:sz w:val="20"/>
          <w:lang w:val="en-US" w:eastAsia="en-US"/>
        </w:rPr>
        <w:t xml:space="preserve"> until the presentation </w:t>
      </w:r>
      <w:r w:rsidR="00523AF4" w:rsidRPr="009D52FD">
        <w:rPr>
          <w:rFonts w:eastAsia="MS Mincho" w:cs="Arial"/>
          <w:sz w:val="20"/>
          <w:lang w:val="en-US" w:eastAsia="en-US"/>
        </w:rPr>
        <w:t xml:space="preserve">of the </w:t>
      </w:r>
      <w:r w:rsidR="00483040" w:rsidRPr="009D52FD">
        <w:rPr>
          <w:rFonts w:eastAsia="MS Mincho" w:cs="Arial"/>
          <w:sz w:val="20"/>
          <w:lang w:val="en-US" w:eastAsia="en-US"/>
        </w:rPr>
        <w:t>Merits Report</w:t>
      </w:r>
      <w:r w:rsidR="005E31D9" w:rsidRPr="009D52FD">
        <w:rPr>
          <w:rFonts w:eastAsia="MS Mincho" w:cs="Arial"/>
          <w:sz w:val="20"/>
          <w:lang w:val="en-US" w:eastAsia="en-US"/>
        </w:rPr>
        <w:t>,</w:t>
      </w:r>
      <w:r w:rsidRPr="009D52FD">
        <w:rPr>
          <w:rFonts w:eastAsia="MS Mincho" w:cs="Arial"/>
          <w:sz w:val="20"/>
          <w:lang w:val="en-US" w:eastAsia="en-US"/>
        </w:rPr>
        <w:t xml:space="preserve"> </w:t>
      </w:r>
      <w:r w:rsidR="007B3298" w:rsidRPr="009D52FD">
        <w:rPr>
          <w:rFonts w:eastAsia="MS Mincho" w:cs="Arial"/>
          <w:sz w:val="20"/>
          <w:lang w:val="en-US" w:eastAsia="en-US"/>
        </w:rPr>
        <w:t>and this</w:t>
      </w:r>
      <w:r w:rsidRPr="009D52FD">
        <w:rPr>
          <w:rFonts w:eastAsia="MS Mincho" w:cs="Arial"/>
          <w:sz w:val="20"/>
          <w:lang w:val="en-US" w:eastAsia="en-US"/>
        </w:rPr>
        <w:t xml:space="preserve"> affect</w:t>
      </w:r>
      <w:r w:rsidR="007B3298" w:rsidRPr="009D52FD">
        <w:rPr>
          <w:rFonts w:eastAsia="MS Mincho" w:cs="Arial"/>
          <w:sz w:val="20"/>
          <w:lang w:val="en-US" w:eastAsia="en-US"/>
        </w:rPr>
        <w:t>ed</w:t>
      </w:r>
      <w:r w:rsidRPr="009D52FD">
        <w:rPr>
          <w:rFonts w:eastAsia="MS Mincho" w:cs="Arial"/>
          <w:sz w:val="20"/>
          <w:lang w:val="en-US" w:eastAsia="en-US"/>
        </w:rPr>
        <w:t xml:space="preserve"> the State’s adequate </w:t>
      </w:r>
      <w:r w:rsidR="007B3298" w:rsidRPr="009D52FD">
        <w:rPr>
          <w:rFonts w:eastAsia="MS Mincho" w:cs="Arial"/>
          <w:sz w:val="20"/>
          <w:lang w:val="en-US" w:eastAsia="en-US"/>
        </w:rPr>
        <w:t xml:space="preserve">and effective </w:t>
      </w:r>
      <w:r w:rsidRPr="009D52FD">
        <w:rPr>
          <w:rFonts w:eastAsia="MS Mincho" w:cs="Arial"/>
          <w:sz w:val="20"/>
          <w:lang w:val="en-US" w:eastAsia="en-US"/>
        </w:rPr>
        <w:t>exercise of its defense.</w:t>
      </w:r>
      <w:r w:rsidR="005E31D9" w:rsidRPr="009D52FD">
        <w:rPr>
          <w:rFonts w:eastAsia="MS Mincho" w:cs="Arial"/>
          <w:sz w:val="20"/>
          <w:lang w:val="en-US" w:eastAsia="en-US"/>
        </w:rPr>
        <w:t>”</w:t>
      </w:r>
    </w:p>
    <w:p w14:paraId="0ED2570A" w14:textId="77777777" w:rsidR="00544A4C" w:rsidRPr="009D52FD" w:rsidRDefault="00544A4C" w:rsidP="00544A4C">
      <w:pPr>
        <w:widowControl/>
        <w:tabs>
          <w:tab w:val="left" w:pos="567"/>
        </w:tabs>
        <w:autoSpaceDE w:val="0"/>
        <w:autoSpaceDN w:val="0"/>
        <w:spacing w:line="240" w:lineRule="auto"/>
        <w:textAlignment w:val="auto"/>
        <w:rPr>
          <w:rFonts w:eastAsia="MS Mincho" w:cs="Arial"/>
          <w:sz w:val="20"/>
          <w:lang w:val="en-US" w:eastAsia="en-US"/>
        </w:rPr>
      </w:pPr>
    </w:p>
    <w:p w14:paraId="3661C86A" w14:textId="1CE67045" w:rsidR="00544A4C" w:rsidRPr="009D52FD" w:rsidRDefault="003630BB" w:rsidP="006D34EF">
      <w:pPr>
        <w:widowControl/>
        <w:numPr>
          <w:ilvl w:val="0"/>
          <w:numId w:val="1"/>
        </w:numPr>
        <w:tabs>
          <w:tab w:val="left" w:pos="567"/>
          <w:tab w:val="num" w:pos="1569"/>
          <w:tab w:val="num" w:pos="12305"/>
        </w:tabs>
        <w:autoSpaceDE w:val="0"/>
        <w:autoSpaceDN w:val="0"/>
        <w:spacing w:line="240" w:lineRule="auto"/>
        <w:ind w:left="0" w:firstLine="0"/>
        <w:textAlignment w:val="auto"/>
        <w:rPr>
          <w:rFonts w:eastAsia="MS Mincho" w:cs="Arial"/>
          <w:sz w:val="20"/>
          <w:lang w:val="en-US" w:eastAsia="en-US"/>
        </w:rPr>
      </w:pPr>
      <w:r w:rsidRPr="009D52FD">
        <w:rPr>
          <w:sz w:val="20"/>
          <w:szCs w:val="20"/>
          <w:lang w:val="en-US"/>
        </w:rPr>
        <w:t xml:space="preserve">The </w:t>
      </w:r>
      <w:r w:rsidRPr="009D52FD">
        <w:rPr>
          <w:b/>
          <w:bCs/>
          <w:i/>
          <w:iCs/>
          <w:sz w:val="20"/>
          <w:szCs w:val="20"/>
          <w:lang w:val="en-US"/>
        </w:rPr>
        <w:t>representatives</w:t>
      </w:r>
      <w:r w:rsidR="00544A4C" w:rsidRPr="009D52FD">
        <w:rPr>
          <w:rFonts w:eastAsia="MS Mincho" w:cs="Arial"/>
          <w:sz w:val="20"/>
          <w:lang w:val="en-US" w:eastAsia="en-US"/>
        </w:rPr>
        <w:t xml:space="preserve"> </w:t>
      </w:r>
      <w:r w:rsidR="00C72369" w:rsidRPr="009D52FD">
        <w:rPr>
          <w:rFonts w:eastAsia="MS Mincho" w:cs="Arial"/>
          <w:sz w:val="20"/>
          <w:lang w:val="en-US" w:eastAsia="en-US"/>
        </w:rPr>
        <w:t>asked the Court to reject this argument because it did not relate to a serious error that would have harmed the State’s right of defense before either</w:t>
      </w:r>
      <w:r w:rsidR="00227A8C" w:rsidRPr="009D52FD">
        <w:rPr>
          <w:rFonts w:eastAsia="MS Mincho" w:cs="Arial"/>
          <w:sz w:val="20"/>
          <w:lang w:val="en-US" w:eastAsia="en-US"/>
        </w:rPr>
        <w:t xml:space="preserve"> </w:t>
      </w:r>
      <w:r w:rsidRPr="009D52FD">
        <w:rPr>
          <w:rFonts w:eastAsia="MS Mincho" w:cs="Arial"/>
          <w:sz w:val="20"/>
          <w:lang w:val="en-US" w:eastAsia="en-US"/>
        </w:rPr>
        <w:t>the Commission</w:t>
      </w:r>
      <w:r w:rsidR="00227A8C" w:rsidRPr="009D52FD">
        <w:rPr>
          <w:rFonts w:eastAsia="MS Mincho" w:cs="Arial"/>
          <w:sz w:val="20"/>
          <w:lang w:val="en-US" w:eastAsia="en-US"/>
        </w:rPr>
        <w:t xml:space="preserve"> o</w:t>
      </w:r>
      <w:r w:rsidR="00C72369" w:rsidRPr="009D52FD">
        <w:rPr>
          <w:rFonts w:eastAsia="MS Mincho" w:cs="Arial"/>
          <w:sz w:val="20"/>
          <w:lang w:val="en-US" w:eastAsia="en-US"/>
        </w:rPr>
        <w:t>r</w:t>
      </w:r>
      <w:r w:rsidR="00227A8C" w:rsidRPr="009D52FD">
        <w:rPr>
          <w:rFonts w:eastAsia="MS Mincho" w:cs="Arial"/>
          <w:sz w:val="20"/>
          <w:lang w:val="en-US" w:eastAsia="en-US"/>
        </w:rPr>
        <w:t xml:space="preserve"> </w:t>
      </w:r>
      <w:r w:rsidRPr="009D52FD">
        <w:rPr>
          <w:rFonts w:eastAsia="MS Mincho" w:cs="Arial"/>
          <w:sz w:val="20"/>
          <w:lang w:val="en-US" w:eastAsia="en-US"/>
        </w:rPr>
        <w:t>the Court</w:t>
      </w:r>
      <w:r w:rsidR="00544A4C" w:rsidRPr="009D52FD">
        <w:rPr>
          <w:rFonts w:eastAsia="MS Mincho" w:cs="Arial"/>
          <w:sz w:val="20"/>
          <w:lang w:val="en-US" w:eastAsia="en-US"/>
        </w:rPr>
        <w:t>.</w:t>
      </w:r>
      <w:r w:rsidR="006D34EF" w:rsidRPr="009D52FD">
        <w:rPr>
          <w:rFonts w:eastAsia="MS Mincho" w:cs="Arial"/>
          <w:sz w:val="20"/>
          <w:lang w:val="en-US" w:eastAsia="en-US"/>
        </w:rPr>
        <w:t xml:space="preserve"> </w:t>
      </w:r>
      <w:r w:rsidR="00C72369" w:rsidRPr="009D52FD">
        <w:rPr>
          <w:rFonts w:eastAsia="MS Mincho" w:cs="Arial"/>
          <w:sz w:val="20"/>
          <w:lang w:val="en-US" w:eastAsia="en-US"/>
        </w:rPr>
        <w:t xml:space="preserve">It recalled the preliminary nature </w:t>
      </w:r>
      <w:r w:rsidR="00523AF4" w:rsidRPr="009D52FD">
        <w:rPr>
          <w:rFonts w:eastAsia="MS Mincho" w:cs="Arial"/>
          <w:sz w:val="20"/>
          <w:lang w:val="en-US" w:eastAsia="en-US"/>
        </w:rPr>
        <w:t xml:space="preserve">of the </w:t>
      </w:r>
      <w:r w:rsidR="00483040" w:rsidRPr="009D52FD">
        <w:rPr>
          <w:rFonts w:eastAsia="MS Mincho" w:cs="Arial"/>
          <w:sz w:val="20"/>
          <w:lang w:val="en-US" w:eastAsia="en-US"/>
        </w:rPr>
        <w:t>Admissibility Report</w:t>
      </w:r>
      <w:r w:rsidRPr="009D52FD">
        <w:rPr>
          <w:rFonts w:eastAsia="MS Mincho" w:cs="Arial"/>
          <w:sz w:val="20"/>
          <w:lang w:val="en-US" w:eastAsia="en-US"/>
        </w:rPr>
        <w:t xml:space="preserve"> and </w:t>
      </w:r>
      <w:r w:rsidR="00C72369" w:rsidRPr="009D52FD">
        <w:rPr>
          <w:rFonts w:eastAsia="MS Mincho" w:cs="Arial"/>
          <w:sz w:val="20"/>
          <w:lang w:val="en-US" w:eastAsia="en-US"/>
        </w:rPr>
        <w:t>indicated that, during the procedure before</w:t>
      </w:r>
      <w:r w:rsidR="00544A4C" w:rsidRPr="009D52FD">
        <w:rPr>
          <w:rFonts w:eastAsia="MS Mincho" w:cs="Arial"/>
          <w:sz w:val="20"/>
          <w:lang w:val="en-US" w:eastAsia="en-US"/>
        </w:rPr>
        <w:t xml:space="preserve"> </w:t>
      </w:r>
      <w:r w:rsidRPr="009D52FD">
        <w:rPr>
          <w:rFonts w:eastAsia="MS Mincho" w:cs="Arial"/>
          <w:sz w:val="20"/>
          <w:lang w:val="en-US" w:eastAsia="en-US"/>
        </w:rPr>
        <w:t>the Commission</w:t>
      </w:r>
      <w:r w:rsidR="00C72369" w:rsidRPr="009D52FD">
        <w:rPr>
          <w:rFonts w:eastAsia="MS Mincho" w:cs="Arial"/>
          <w:sz w:val="20"/>
          <w:lang w:val="en-US" w:eastAsia="en-US"/>
        </w:rPr>
        <w:t xml:space="preserve">, including the hearing, it had presented arguments on the violation of </w:t>
      </w:r>
      <w:r w:rsidRPr="009D52FD">
        <w:rPr>
          <w:rFonts w:eastAsia="MS Mincho" w:cs="Arial"/>
          <w:sz w:val="20"/>
          <w:lang w:val="en-US" w:eastAsia="en-US"/>
        </w:rPr>
        <w:t>Articles</w:t>
      </w:r>
      <w:r w:rsidR="00544A4C" w:rsidRPr="009D52FD">
        <w:rPr>
          <w:rFonts w:eastAsia="MS Mincho" w:cs="Arial"/>
          <w:sz w:val="20"/>
          <w:lang w:val="en-US" w:eastAsia="en-US"/>
        </w:rPr>
        <w:t xml:space="preserve"> 1, 6,</w:t>
      </w:r>
      <w:r w:rsidRPr="009D52FD">
        <w:rPr>
          <w:rFonts w:eastAsia="MS Mincho" w:cs="Arial"/>
          <w:sz w:val="20"/>
          <w:lang w:val="en-US" w:eastAsia="en-US"/>
        </w:rPr>
        <w:t xml:space="preserve"> and </w:t>
      </w:r>
      <w:r w:rsidR="00544A4C" w:rsidRPr="009D52FD">
        <w:rPr>
          <w:rFonts w:eastAsia="MS Mincho" w:cs="Arial"/>
          <w:sz w:val="20"/>
          <w:lang w:val="en-US" w:eastAsia="en-US"/>
        </w:rPr>
        <w:t xml:space="preserve">8 </w:t>
      </w:r>
      <w:r w:rsidR="00D32B3E" w:rsidRPr="009D52FD">
        <w:rPr>
          <w:rFonts w:eastAsia="MS Mincho" w:cs="Arial"/>
          <w:sz w:val="20"/>
          <w:lang w:val="en-US" w:eastAsia="en-US"/>
        </w:rPr>
        <w:t>of the ICPPT</w:t>
      </w:r>
      <w:r w:rsidR="00544A4C" w:rsidRPr="009D52FD">
        <w:rPr>
          <w:rFonts w:eastAsia="MS Mincho" w:cs="Arial"/>
          <w:sz w:val="20"/>
          <w:lang w:val="en-US" w:eastAsia="en-US"/>
        </w:rPr>
        <w:t xml:space="preserve"> </w:t>
      </w:r>
      <w:r w:rsidR="00C72369" w:rsidRPr="009D52FD">
        <w:rPr>
          <w:rFonts w:eastAsia="MS Mincho" w:cs="Arial"/>
          <w:sz w:val="20"/>
          <w:lang w:val="en-US" w:eastAsia="en-US"/>
        </w:rPr>
        <w:t>to which the State had responded. Lastly, it indicated that the proceedings before the Court offered</w:t>
      </w:r>
      <w:r w:rsidR="00544A4C" w:rsidRPr="009D52FD">
        <w:rPr>
          <w:rFonts w:eastAsia="MS Mincho" w:cs="Arial"/>
          <w:sz w:val="20"/>
          <w:lang w:val="en-US" w:eastAsia="en-US"/>
        </w:rPr>
        <w:t xml:space="preserve"> </w:t>
      </w:r>
      <w:r w:rsidRPr="009D52FD">
        <w:rPr>
          <w:rFonts w:eastAsia="MS Mincho" w:cs="Arial"/>
          <w:sz w:val="20"/>
          <w:lang w:val="en-US" w:eastAsia="en-US"/>
        </w:rPr>
        <w:t>the representatives</w:t>
      </w:r>
      <w:r w:rsidR="00544A4C" w:rsidRPr="009D52FD">
        <w:rPr>
          <w:rFonts w:eastAsia="MS Mincho" w:cs="Arial"/>
          <w:sz w:val="20"/>
          <w:lang w:val="en-US" w:eastAsia="en-US"/>
        </w:rPr>
        <w:t xml:space="preserve"> </w:t>
      </w:r>
      <w:r w:rsidR="00C72369" w:rsidRPr="009D52FD">
        <w:rPr>
          <w:rFonts w:eastAsia="MS Mincho" w:cs="Arial"/>
          <w:sz w:val="20"/>
          <w:lang w:val="en-US" w:eastAsia="en-US"/>
        </w:rPr>
        <w:t xml:space="preserve">the possibility of presenting their own legal considerations on the facts under analysis and they were not limited to the determinations made by </w:t>
      </w:r>
      <w:r w:rsidRPr="009D52FD">
        <w:rPr>
          <w:rFonts w:eastAsia="MS Mincho" w:cs="Arial"/>
          <w:sz w:val="20"/>
          <w:lang w:val="en-US" w:eastAsia="en-US"/>
        </w:rPr>
        <w:t>the Commission</w:t>
      </w:r>
      <w:r w:rsidR="00544A4C" w:rsidRPr="009D52FD">
        <w:rPr>
          <w:rFonts w:eastAsia="MS Mincho" w:cs="Arial"/>
          <w:sz w:val="20"/>
          <w:lang w:val="en-US" w:eastAsia="en-US"/>
        </w:rPr>
        <w:t xml:space="preserve"> </w:t>
      </w:r>
      <w:r w:rsidR="00C72369" w:rsidRPr="009D52FD">
        <w:rPr>
          <w:rFonts w:eastAsia="MS Mincho" w:cs="Arial"/>
          <w:sz w:val="20"/>
          <w:lang w:val="en-US" w:eastAsia="en-US"/>
        </w:rPr>
        <w:t xml:space="preserve">in its </w:t>
      </w:r>
      <w:r w:rsidR="00483040" w:rsidRPr="009D52FD">
        <w:rPr>
          <w:rFonts w:eastAsia="MS Mincho" w:cs="Arial"/>
          <w:sz w:val="20"/>
          <w:lang w:val="en-US" w:eastAsia="en-US"/>
        </w:rPr>
        <w:t>Merits Report</w:t>
      </w:r>
      <w:r w:rsidR="006D34EF" w:rsidRPr="009D52FD">
        <w:rPr>
          <w:rFonts w:eastAsia="MS Mincho" w:cs="Arial"/>
          <w:sz w:val="20"/>
          <w:lang w:val="en-US" w:eastAsia="en-US"/>
        </w:rPr>
        <w:t xml:space="preserve">. </w:t>
      </w:r>
      <w:r w:rsidR="00C72369" w:rsidRPr="009D52FD">
        <w:rPr>
          <w:rFonts w:eastAsia="MS Mincho" w:cs="Arial"/>
          <w:sz w:val="20"/>
          <w:lang w:val="en-US" w:eastAsia="en-US"/>
        </w:rPr>
        <w:t xml:space="preserve">Moreover, since the arguments in this regard were presented in </w:t>
      </w:r>
      <w:r w:rsidR="00D6018A" w:rsidRPr="009D52FD">
        <w:rPr>
          <w:rFonts w:eastAsia="MS Mincho" w:cs="Arial"/>
          <w:sz w:val="20"/>
          <w:lang w:val="en-US" w:eastAsia="en-US"/>
        </w:rPr>
        <w:t xml:space="preserve">the </w:t>
      </w:r>
      <w:r w:rsidR="002151C9" w:rsidRPr="009D52FD">
        <w:rPr>
          <w:rFonts w:eastAsia="MS Mincho" w:cs="Arial"/>
          <w:sz w:val="20"/>
          <w:lang w:val="en-US" w:eastAsia="en-US"/>
        </w:rPr>
        <w:t>pleadings and motions</w:t>
      </w:r>
      <w:r w:rsidR="00D6018A" w:rsidRPr="009D52FD">
        <w:rPr>
          <w:rFonts w:eastAsia="MS Mincho" w:cs="Arial"/>
          <w:sz w:val="20"/>
          <w:lang w:val="en-US" w:eastAsia="en-US"/>
        </w:rPr>
        <w:t xml:space="preserve"> brief</w:t>
      </w:r>
      <w:r w:rsidR="006D34EF" w:rsidRPr="009D52FD">
        <w:rPr>
          <w:rFonts w:eastAsia="MS Mincho" w:cs="Arial"/>
          <w:sz w:val="20"/>
          <w:lang w:val="en-US" w:eastAsia="en-US"/>
        </w:rPr>
        <w:t xml:space="preserve">, </w:t>
      </w:r>
      <w:r w:rsidR="00C72369" w:rsidRPr="009D52FD">
        <w:rPr>
          <w:rFonts w:eastAsia="MS Mincho" w:cs="Arial"/>
          <w:sz w:val="20"/>
          <w:lang w:val="en-US" w:eastAsia="en-US"/>
        </w:rPr>
        <w:t>the State was able to</w:t>
      </w:r>
      <w:r w:rsidR="007B3298" w:rsidRPr="009D52FD">
        <w:rPr>
          <w:rFonts w:eastAsia="MS Mincho" w:cs="Arial"/>
          <w:sz w:val="20"/>
          <w:lang w:val="en-US" w:eastAsia="en-US"/>
        </w:rPr>
        <w:t xml:space="preserve"> respond to</w:t>
      </w:r>
      <w:r w:rsidR="00C72369" w:rsidRPr="009D52FD">
        <w:rPr>
          <w:rFonts w:eastAsia="MS Mincho" w:cs="Arial"/>
          <w:sz w:val="20"/>
          <w:lang w:val="en-US" w:eastAsia="en-US"/>
        </w:rPr>
        <w:t xml:space="preserve"> the alleged violations of the ICPPT in its answering brief</w:t>
      </w:r>
      <w:r w:rsidR="00544A4C" w:rsidRPr="009D52FD">
        <w:rPr>
          <w:rFonts w:eastAsia="MS Mincho" w:cs="Arial"/>
          <w:sz w:val="20"/>
          <w:lang w:val="en-US" w:eastAsia="en-US"/>
        </w:rPr>
        <w:t>.</w:t>
      </w:r>
    </w:p>
    <w:p w14:paraId="605263AC" w14:textId="77777777" w:rsidR="00544A4C" w:rsidRPr="009D52FD" w:rsidRDefault="00544A4C" w:rsidP="00544A4C">
      <w:pPr>
        <w:widowControl/>
        <w:adjustRightInd/>
        <w:spacing w:line="240" w:lineRule="auto"/>
        <w:textAlignment w:val="auto"/>
        <w:rPr>
          <w:rFonts w:eastAsiaTheme="minorHAnsi" w:cstheme="minorBidi"/>
          <w:bCs/>
          <w:sz w:val="20"/>
          <w:szCs w:val="20"/>
          <w:lang w:val="en-US" w:eastAsia="en-US"/>
        </w:rPr>
      </w:pPr>
    </w:p>
    <w:p w14:paraId="5112FF61" w14:textId="321B78EE" w:rsidR="001E7D90" w:rsidRPr="009D52FD" w:rsidRDefault="003630BB" w:rsidP="00261223">
      <w:pPr>
        <w:widowControl/>
        <w:numPr>
          <w:ilvl w:val="0"/>
          <w:numId w:val="1"/>
        </w:numPr>
        <w:tabs>
          <w:tab w:val="left" w:pos="567"/>
          <w:tab w:val="num" w:pos="1569"/>
          <w:tab w:val="num" w:pos="12305"/>
        </w:tabs>
        <w:autoSpaceDE w:val="0"/>
        <w:autoSpaceDN w:val="0"/>
        <w:spacing w:line="240" w:lineRule="auto"/>
        <w:ind w:left="0" w:firstLine="0"/>
        <w:textAlignment w:val="auto"/>
        <w:rPr>
          <w:rFonts w:eastAsia="MS Mincho" w:cs="Arial"/>
          <w:sz w:val="20"/>
          <w:lang w:val="en-US" w:eastAsia="en-US"/>
        </w:rPr>
      </w:pPr>
      <w:r w:rsidRPr="009D52FD">
        <w:rPr>
          <w:rFonts w:eastAsia="MS Mincho" w:cs="Arial"/>
          <w:sz w:val="20"/>
          <w:lang w:val="en-US" w:eastAsia="en-US"/>
        </w:rPr>
        <w:t xml:space="preserve">The </w:t>
      </w:r>
      <w:r w:rsidRPr="009D52FD">
        <w:rPr>
          <w:rFonts w:eastAsia="MS Mincho" w:cs="Arial"/>
          <w:b/>
          <w:bCs/>
          <w:i/>
          <w:iCs/>
          <w:sz w:val="20"/>
          <w:lang w:val="en-US" w:eastAsia="en-US"/>
        </w:rPr>
        <w:t>Commission</w:t>
      </w:r>
      <w:r w:rsidR="00544A4C" w:rsidRPr="009D52FD">
        <w:rPr>
          <w:rFonts w:eastAsia="MS Mincho" w:cs="Arial"/>
          <w:sz w:val="20"/>
          <w:lang w:val="en-US" w:eastAsia="en-US"/>
        </w:rPr>
        <w:t xml:space="preserve"> </w:t>
      </w:r>
      <w:r w:rsidR="00C72369" w:rsidRPr="009D52FD">
        <w:rPr>
          <w:rFonts w:eastAsia="MS Mincho" w:cs="Arial"/>
          <w:sz w:val="20"/>
          <w:lang w:val="en-US" w:eastAsia="en-US"/>
        </w:rPr>
        <w:t xml:space="preserve">indicated that the State </w:t>
      </w:r>
      <w:r w:rsidR="001E7D90" w:rsidRPr="009D52FD">
        <w:rPr>
          <w:rFonts w:eastAsia="MS Mincho" w:cs="Arial"/>
          <w:sz w:val="20"/>
          <w:lang w:val="en-US" w:eastAsia="en-US"/>
        </w:rPr>
        <w:t xml:space="preserve">should have proved that its right of defense had been harmed, and it was not sufficient that it indicate a complaint or a difference of opinion in relation to the actions or decisions of the Inter-American Commission. The Commission considered that the State had not substantiated this harm and that its argument related to </w:t>
      </w:r>
      <w:r w:rsidR="007B3298" w:rsidRPr="009D52FD">
        <w:rPr>
          <w:rFonts w:eastAsia="MS Mincho" w:cs="Arial"/>
          <w:sz w:val="20"/>
          <w:lang w:val="en-US" w:eastAsia="en-US"/>
        </w:rPr>
        <w:t xml:space="preserve">matters </w:t>
      </w:r>
      <w:r w:rsidR="001E7D90" w:rsidRPr="009D52FD">
        <w:rPr>
          <w:rFonts w:eastAsia="MS Mincho" w:cs="Arial"/>
          <w:sz w:val="20"/>
          <w:lang w:val="en-US" w:eastAsia="en-US"/>
        </w:rPr>
        <w:t>correspond</w:t>
      </w:r>
      <w:r w:rsidR="007B3298" w:rsidRPr="009D52FD">
        <w:rPr>
          <w:rFonts w:eastAsia="MS Mincho" w:cs="Arial"/>
          <w:sz w:val="20"/>
          <w:lang w:val="en-US" w:eastAsia="en-US"/>
        </w:rPr>
        <w:t>ing</w:t>
      </w:r>
      <w:r w:rsidR="001E7D90" w:rsidRPr="009D52FD">
        <w:rPr>
          <w:rFonts w:eastAsia="MS Mincho" w:cs="Arial"/>
          <w:sz w:val="20"/>
          <w:lang w:val="en-US" w:eastAsia="en-US"/>
        </w:rPr>
        <w:t xml:space="preserve"> to the merits of the </w:t>
      </w:r>
      <w:r w:rsidR="007B3298" w:rsidRPr="009D52FD">
        <w:rPr>
          <w:rFonts w:eastAsia="MS Mincho" w:cs="Arial"/>
          <w:sz w:val="20"/>
          <w:lang w:val="en-US" w:eastAsia="en-US"/>
        </w:rPr>
        <w:t>case</w:t>
      </w:r>
      <w:r w:rsidR="001E7D90" w:rsidRPr="009D52FD">
        <w:rPr>
          <w:rFonts w:eastAsia="MS Mincho" w:cs="Arial"/>
          <w:sz w:val="20"/>
          <w:lang w:val="en-US" w:eastAsia="en-US"/>
        </w:rPr>
        <w:t xml:space="preserve">. It also argued that both the Commission and the Court are empowered to </w:t>
      </w:r>
      <w:r w:rsidR="007B3298" w:rsidRPr="009D52FD">
        <w:rPr>
          <w:rFonts w:eastAsia="MS Mincho" w:cs="Arial"/>
          <w:sz w:val="20"/>
          <w:lang w:val="en-US" w:eastAsia="en-US"/>
        </w:rPr>
        <w:t>determine the legal categorization of</w:t>
      </w:r>
      <w:r w:rsidR="001E7D90" w:rsidRPr="009D52FD">
        <w:rPr>
          <w:rFonts w:eastAsia="MS Mincho" w:cs="Arial"/>
          <w:sz w:val="20"/>
          <w:lang w:val="en-US" w:eastAsia="en-US"/>
        </w:rPr>
        <w:t xml:space="preserve"> the facts submitted to their consideration under the </w:t>
      </w:r>
      <w:r w:rsidR="001E7D90" w:rsidRPr="009D52FD">
        <w:rPr>
          <w:rFonts w:eastAsia="MS Mincho" w:cs="Arial"/>
          <w:i/>
          <w:sz w:val="20"/>
          <w:lang w:val="en-US" w:eastAsia="en-US"/>
        </w:rPr>
        <w:t>iura novit curia</w:t>
      </w:r>
      <w:r w:rsidR="001E7D90" w:rsidRPr="009D52FD">
        <w:rPr>
          <w:rFonts w:eastAsia="MS Mincho" w:cs="Arial"/>
          <w:iCs/>
          <w:sz w:val="20"/>
          <w:lang w:val="en-US" w:eastAsia="en-US"/>
        </w:rPr>
        <w:t xml:space="preserve"> principle. Thus, </w:t>
      </w:r>
      <w:r w:rsidR="007B3298" w:rsidRPr="009D52FD">
        <w:rPr>
          <w:rFonts w:eastAsia="MS Mincho" w:cs="Arial"/>
          <w:iCs/>
          <w:sz w:val="20"/>
          <w:lang w:val="en-US" w:eastAsia="en-US"/>
        </w:rPr>
        <w:t xml:space="preserve">according to </w:t>
      </w:r>
      <w:r w:rsidR="001E7D90" w:rsidRPr="009D52FD">
        <w:rPr>
          <w:rFonts w:eastAsia="MS Mincho" w:cs="Arial"/>
          <w:iCs/>
          <w:sz w:val="20"/>
          <w:lang w:val="en-US" w:eastAsia="en-US"/>
        </w:rPr>
        <w:t xml:space="preserve">the Commission, the exercise of this </w:t>
      </w:r>
      <w:r w:rsidR="00002A76" w:rsidRPr="009D52FD">
        <w:rPr>
          <w:rFonts w:eastAsia="MS Mincho" w:cs="Arial"/>
          <w:iCs/>
          <w:sz w:val="20"/>
          <w:lang w:val="en-US" w:eastAsia="en-US"/>
        </w:rPr>
        <w:lastRenderedPageBreak/>
        <w:t>auth</w:t>
      </w:r>
      <w:r w:rsidR="006B506A" w:rsidRPr="009D52FD">
        <w:rPr>
          <w:rFonts w:eastAsia="MS Mincho" w:cs="Arial"/>
          <w:iCs/>
          <w:sz w:val="20"/>
          <w:lang w:val="en-US" w:eastAsia="en-US"/>
        </w:rPr>
        <w:t>or</w:t>
      </w:r>
      <w:r w:rsidR="001E7D90" w:rsidRPr="009D52FD">
        <w:rPr>
          <w:rFonts w:eastAsia="MS Mincho" w:cs="Arial"/>
          <w:iCs/>
          <w:sz w:val="20"/>
          <w:lang w:val="en-US" w:eastAsia="en-US"/>
        </w:rPr>
        <w:t>ity in the Merits Report</w:t>
      </w:r>
      <w:r w:rsidR="007B3298" w:rsidRPr="009D52FD">
        <w:rPr>
          <w:rFonts w:eastAsia="MS Mincho" w:cs="Arial"/>
          <w:iCs/>
          <w:sz w:val="20"/>
          <w:lang w:val="en-US" w:eastAsia="en-US"/>
        </w:rPr>
        <w:t>,</w:t>
      </w:r>
      <w:r w:rsidR="001E7D90" w:rsidRPr="009D52FD">
        <w:rPr>
          <w:rFonts w:eastAsia="MS Mincho" w:cs="Arial"/>
          <w:iCs/>
          <w:sz w:val="20"/>
          <w:lang w:val="en-US" w:eastAsia="en-US"/>
        </w:rPr>
        <w:t xml:space="preserve"> </w:t>
      </w:r>
      <w:r w:rsidR="007B3298" w:rsidRPr="009D52FD">
        <w:rPr>
          <w:rFonts w:eastAsia="MS Mincho" w:cs="Arial"/>
          <w:iCs/>
          <w:sz w:val="20"/>
          <w:lang w:val="en-US" w:eastAsia="en-US"/>
        </w:rPr>
        <w:t>with regard to</w:t>
      </w:r>
      <w:r w:rsidR="001E7D90" w:rsidRPr="009D52FD">
        <w:rPr>
          <w:rFonts w:eastAsia="MS Mincho" w:cs="Arial"/>
          <w:iCs/>
          <w:sz w:val="20"/>
          <w:lang w:val="en-US" w:eastAsia="en-US"/>
        </w:rPr>
        <w:t xml:space="preserve"> rights not specifically cited by the petitioners and not included in the Admissibility Report – which is of a </w:t>
      </w:r>
      <w:r w:rsidR="001E7D90" w:rsidRPr="009D52FD">
        <w:rPr>
          <w:rFonts w:eastAsia="MS Mincho" w:cs="Arial"/>
          <w:i/>
          <w:sz w:val="20"/>
          <w:lang w:val="en-US" w:eastAsia="en-US"/>
        </w:rPr>
        <w:t>prima facie</w:t>
      </w:r>
      <w:r w:rsidR="001E7D90" w:rsidRPr="009D52FD">
        <w:rPr>
          <w:rFonts w:eastAsia="MS Mincho" w:cs="Arial"/>
          <w:sz w:val="20"/>
          <w:lang w:val="en-US" w:eastAsia="en-US"/>
        </w:rPr>
        <w:t xml:space="preserve"> nature - </w:t>
      </w:r>
      <w:r w:rsidR="001E7D90" w:rsidRPr="009D52FD">
        <w:rPr>
          <w:rFonts w:eastAsia="MS Mincho" w:cs="Arial"/>
          <w:iCs/>
          <w:sz w:val="20"/>
          <w:lang w:val="en-US" w:eastAsia="en-US"/>
        </w:rPr>
        <w:t xml:space="preserve"> d</w:t>
      </w:r>
      <w:r w:rsidR="007B3298" w:rsidRPr="009D52FD">
        <w:rPr>
          <w:rFonts w:eastAsia="MS Mincho" w:cs="Arial"/>
          <w:iCs/>
          <w:sz w:val="20"/>
          <w:lang w:val="en-US" w:eastAsia="en-US"/>
        </w:rPr>
        <w:t>oes</w:t>
      </w:r>
      <w:r w:rsidR="001E7D90" w:rsidRPr="009D52FD">
        <w:rPr>
          <w:rFonts w:eastAsia="MS Mincho" w:cs="Arial"/>
          <w:iCs/>
          <w:sz w:val="20"/>
          <w:lang w:val="en-US" w:eastAsia="en-US"/>
        </w:rPr>
        <w:t xml:space="preserve"> not harm the State’s right of defense, provided it is based on the facts under discussion. Therefore, the Commission </w:t>
      </w:r>
      <w:r w:rsidR="007B3298" w:rsidRPr="009D52FD">
        <w:rPr>
          <w:rFonts w:eastAsia="MS Mincho" w:cs="Arial"/>
          <w:iCs/>
          <w:sz w:val="20"/>
          <w:lang w:val="en-US" w:eastAsia="en-US"/>
        </w:rPr>
        <w:t>stressed</w:t>
      </w:r>
      <w:r w:rsidR="001E7D90" w:rsidRPr="009D52FD">
        <w:rPr>
          <w:rFonts w:eastAsia="MS Mincho" w:cs="Arial"/>
          <w:iCs/>
          <w:sz w:val="20"/>
          <w:lang w:val="en-US" w:eastAsia="en-US"/>
        </w:rPr>
        <w:t xml:space="preserve"> the relevance of taking into consideration the specific obligations established in the ICPPT, an aspect that remains in dispute and regarding which the State</w:t>
      </w:r>
      <w:r w:rsidR="007B3298" w:rsidRPr="009D52FD">
        <w:rPr>
          <w:rFonts w:eastAsia="MS Mincho" w:cs="Arial"/>
          <w:iCs/>
          <w:sz w:val="20"/>
          <w:lang w:val="en-US" w:eastAsia="en-US"/>
        </w:rPr>
        <w:t xml:space="preserve"> has</w:t>
      </w:r>
      <w:r w:rsidR="001E7D90" w:rsidRPr="009D52FD">
        <w:rPr>
          <w:rFonts w:eastAsia="MS Mincho" w:cs="Arial"/>
          <w:iCs/>
          <w:sz w:val="20"/>
          <w:lang w:val="en-US" w:eastAsia="en-US"/>
        </w:rPr>
        <w:t xml:space="preserve"> submitted its arguments.</w:t>
      </w:r>
    </w:p>
    <w:p w14:paraId="058852BE" w14:textId="77777777" w:rsidR="0010513D" w:rsidRPr="009D52FD" w:rsidRDefault="0010513D" w:rsidP="00995703">
      <w:pPr>
        <w:spacing w:line="240" w:lineRule="auto"/>
        <w:rPr>
          <w:sz w:val="20"/>
          <w:szCs w:val="20"/>
          <w:lang w:val="en-US"/>
        </w:rPr>
      </w:pPr>
    </w:p>
    <w:p w14:paraId="59DAE783" w14:textId="23BADB3C" w:rsidR="0010513D" w:rsidRPr="009D52FD" w:rsidRDefault="0010513D" w:rsidP="00995703">
      <w:pPr>
        <w:pStyle w:val="Heading2"/>
        <w:tabs>
          <w:tab w:val="left" w:pos="1843"/>
        </w:tabs>
        <w:spacing w:before="0" w:line="240" w:lineRule="auto"/>
        <w:ind w:left="1134"/>
        <w:rPr>
          <w:rFonts w:ascii="Verdana" w:hAnsi="Verdana"/>
          <w:b w:val="0"/>
          <w:i/>
          <w:color w:val="auto"/>
          <w:sz w:val="20"/>
          <w:szCs w:val="20"/>
          <w:lang w:val="en-US"/>
        </w:rPr>
      </w:pPr>
      <w:bookmarkStart w:id="37" w:name="_Toc51400076"/>
      <w:r w:rsidRPr="009D52FD">
        <w:rPr>
          <w:rFonts w:ascii="Verdana" w:hAnsi="Verdana"/>
          <w:b w:val="0"/>
          <w:i/>
          <w:color w:val="auto"/>
          <w:sz w:val="20"/>
          <w:szCs w:val="20"/>
          <w:lang w:val="en-US"/>
        </w:rPr>
        <w:t xml:space="preserve">B.2 </w:t>
      </w:r>
      <w:r w:rsidRPr="009D52FD">
        <w:rPr>
          <w:rFonts w:ascii="Verdana" w:hAnsi="Verdana"/>
          <w:b w:val="0"/>
          <w:i/>
          <w:color w:val="auto"/>
          <w:sz w:val="20"/>
          <w:szCs w:val="20"/>
          <w:lang w:val="en-US"/>
        </w:rPr>
        <w:tab/>
      </w:r>
      <w:r w:rsidR="00997ADF" w:rsidRPr="009D52FD">
        <w:rPr>
          <w:rFonts w:ascii="Verdana" w:hAnsi="Verdana"/>
          <w:b w:val="0"/>
          <w:i/>
          <w:color w:val="auto"/>
          <w:sz w:val="20"/>
          <w:szCs w:val="20"/>
          <w:lang w:val="en-US"/>
        </w:rPr>
        <w:t>Considerations</w:t>
      </w:r>
      <w:r w:rsidR="003630BB" w:rsidRPr="009D52FD">
        <w:rPr>
          <w:rFonts w:ascii="Verdana" w:hAnsi="Verdana"/>
          <w:b w:val="0"/>
          <w:i/>
          <w:color w:val="auto"/>
          <w:sz w:val="20"/>
          <w:szCs w:val="20"/>
          <w:lang w:val="en-US"/>
        </w:rPr>
        <w:t xml:space="preserve"> of the Court</w:t>
      </w:r>
      <w:bookmarkEnd w:id="37"/>
    </w:p>
    <w:p w14:paraId="3DF0780A" w14:textId="77777777" w:rsidR="0010513D" w:rsidRPr="009D52FD" w:rsidRDefault="0010513D" w:rsidP="00995703">
      <w:pPr>
        <w:spacing w:line="240" w:lineRule="auto"/>
        <w:rPr>
          <w:sz w:val="20"/>
          <w:szCs w:val="20"/>
          <w:lang w:val="en-US"/>
        </w:rPr>
      </w:pPr>
    </w:p>
    <w:p w14:paraId="4D39DD3E" w14:textId="62FAFF9A" w:rsidR="0010513D" w:rsidRPr="009D52FD" w:rsidRDefault="001E7D90" w:rsidP="00391F65">
      <w:pPr>
        <w:widowControl/>
        <w:numPr>
          <w:ilvl w:val="0"/>
          <w:numId w:val="1"/>
        </w:numPr>
        <w:tabs>
          <w:tab w:val="left" w:pos="567"/>
          <w:tab w:val="num" w:pos="1569"/>
          <w:tab w:val="num" w:pos="12305"/>
        </w:tabs>
        <w:autoSpaceDE w:val="0"/>
        <w:autoSpaceDN w:val="0"/>
        <w:spacing w:line="240" w:lineRule="auto"/>
        <w:ind w:left="0" w:firstLine="0"/>
        <w:textAlignment w:val="auto"/>
        <w:rPr>
          <w:sz w:val="20"/>
          <w:szCs w:val="20"/>
          <w:lang w:val="en-US"/>
        </w:rPr>
      </w:pPr>
      <w:r w:rsidRPr="009D52FD">
        <w:rPr>
          <w:sz w:val="20"/>
          <w:szCs w:val="20"/>
          <w:lang w:val="en-US"/>
        </w:rPr>
        <w:t>It is for the</w:t>
      </w:r>
      <w:r w:rsidR="003630BB" w:rsidRPr="009D52FD">
        <w:rPr>
          <w:sz w:val="20"/>
          <w:szCs w:val="20"/>
          <w:lang w:val="en-US"/>
        </w:rPr>
        <w:t xml:space="preserve"> Court</w:t>
      </w:r>
      <w:r w:rsidR="00391F65" w:rsidRPr="009D52FD">
        <w:rPr>
          <w:sz w:val="20"/>
          <w:szCs w:val="20"/>
          <w:lang w:val="en-US"/>
        </w:rPr>
        <w:t xml:space="preserve"> </w:t>
      </w:r>
      <w:r w:rsidRPr="009D52FD">
        <w:rPr>
          <w:sz w:val="20"/>
          <w:szCs w:val="20"/>
          <w:lang w:val="en-US"/>
        </w:rPr>
        <w:t xml:space="preserve">to determine whether the fact that the </w:t>
      </w:r>
      <w:r w:rsidR="003630BB" w:rsidRPr="009D52FD">
        <w:rPr>
          <w:sz w:val="20"/>
          <w:szCs w:val="20"/>
          <w:lang w:val="en-US"/>
        </w:rPr>
        <w:t>Commission</w:t>
      </w:r>
      <w:r w:rsidR="00391F65" w:rsidRPr="009D52FD">
        <w:rPr>
          <w:sz w:val="20"/>
          <w:szCs w:val="20"/>
          <w:lang w:val="en-US"/>
        </w:rPr>
        <w:t xml:space="preserve"> </w:t>
      </w:r>
      <w:r w:rsidRPr="009D52FD">
        <w:rPr>
          <w:sz w:val="20"/>
          <w:szCs w:val="20"/>
          <w:lang w:val="en-US"/>
        </w:rPr>
        <w:t xml:space="preserve">established violations of the </w:t>
      </w:r>
      <w:r w:rsidR="00C72369" w:rsidRPr="009D52FD">
        <w:rPr>
          <w:sz w:val="20"/>
          <w:szCs w:val="20"/>
          <w:lang w:val="en-US"/>
        </w:rPr>
        <w:t>ICPPT</w:t>
      </w:r>
      <w:r w:rsidRPr="009D52FD">
        <w:rPr>
          <w:sz w:val="20"/>
          <w:szCs w:val="20"/>
          <w:lang w:val="en-US"/>
        </w:rPr>
        <w:t xml:space="preserve"> in</w:t>
      </w:r>
      <w:r w:rsidR="00483040" w:rsidRPr="009D52FD">
        <w:rPr>
          <w:sz w:val="20"/>
          <w:szCs w:val="20"/>
          <w:lang w:val="en-US"/>
        </w:rPr>
        <w:t xml:space="preserve"> Merits Report</w:t>
      </w:r>
      <w:r w:rsidR="0003688E" w:rsidRPr="009D52FD">
        <w:rPr>
          <w:rFonts w:eastAsia="MS Mincho" w:cs="Arial"/>
          <w:sz w:val="20"/>
          <w:lang w:val="en-US" w:eastAsia="en-US"/>
        </w:rPr>
        <w:t xml:space="preserve"> No. 33/16</w:t>
      </w:r>
      <w:r w:rsidR="00391F65" w:rsidRPr="009D52FD">
        <w:rPr>
          <w:sz w:val="20"/>
          <w:szCs w:val="20"/>
          <w:lang w:val="en-US"/>
        </w:rPr>
        <w:t xml:space="preserve">, </w:t>
      </w:r>
      <w:r w:rsidRPr="009D52FD">
        <w:rPr>
          <w:sz w:val="20"/>
          <w:szCs w:val="20"/>
          <w:lang w:val="en-US"/>
        </w:rPr>
        <w:t xml:space="preserve">without having expressly include the application </w:t>
      </w:r>
      <w:r w:rsidR="00483040" w:rsidRPr="009D52FD">
        <w:rPr>
          <w:sz w:val="20"/>
          <w:szCs w:val="20"/>
          <w:lang w:val="en-US"/>
        </w:rPr>
        <w:t>of this instrument</w:t>
      </w:r>
      <w:r w:rsidR="00391F65" w:rsidRPr="009D52FD">
        <w:rPr>
          <w:sz w:val="20"/>
          <w:szCs w:val="20"/>
          <w:lang w:val="en-US"/>
        </w:rPr>
        <w:t xml:space="preserve"> </w:t>
      </w:r>
      <w:r w:rsidRPr="009D52FD">
        <w:rPr>
          <w:sz w:val="20"/>
          <w:szCs w:val="20"/>
          <w:lang w:val="en-US"/>
        </w:rPr>
        <w:t>in its</w:t>
      </w:r>
      <w:r w:rsidR="00391F65" w:rsidRPr="009D52FD">
        <w:rPr>
          <w:sz w:val="20"/>
          <w:szCs w:val="20"/>
          <w:lang w:val="en-US"/>
        </w:rPr>
        <w:t xml:space="preserve"> </w:t>
      </w:r>
      <w:r w:rsidR="00483040" w:rsidRPr="009D52FD">
        <w:rPr>
          <w:sz w:val="20"/>
          <w:szCs w:val="20"/>
          <w:lang w:val="en-US"/>
        </w:rPr>
        <w:t>Admissibility Report</w:t>
      </w:r>
      <w:r w:rsidR="007B3298" w:rsidRPr="009D52FD">
        <w:rPr>
          <w:sz w:val="20"/>
          <w:szCs w:val="20"/>
          <w:lang w:val="en-US"/>
        </w:rPr>
        <w:t>,</w:t>
      </w:r>
      <w:r w:rsidRPr="009D52FD">
        <w:rPr>
          <w:sz w:val="20"/>
          <w:szCs w:val="20"/>
          <w:lang w:val="en-US"/>
        </w:rPr>
        <w:t xml:space="preserve"> harmed the State’s right of defense</w:t>
      </w:r>
      <w:r w:rsidR="00391F65" w:rsidRPr="009D52FD">
        <w:rPr>
          <w:sz w:val="20"/>
          <w:szCs w:val="20"/>
          <w:lang w:val="en-US"/>
        </w:rPr>
        <w:t>.</w:t>
      </w:r>
    </w:p>
    <w:p w14:paraId="3FE9638C" w14:textId="77777777" w:rsidR="00391F65" w:rsidRPr="009D52FD" w:rsidRDefault="00391F65" w:rsidP="00391F65">
      <w:pPr>
        <w:widowControl/>
        <w:tabs>
          <w:tab w:val="left" w:pos="567"/>
        </w:tabs>
        <w:autoSpaceDE w:val="0"/>
        <w:autoSpaceDN w:val="0"/>
        <w:spacing w:line="240" w:lineRule="auto"/>
        <w:textAlignment w:val="auto"/>
        <w:rPr>
          <w:sz w:val="20"/>
          <w:szCs w:val="20"/>
          <w:lang w:val="en-US"/>
        </w:rPr>
      </w:pPr>
    </w:p>
    <w:p w14:paraId="779CCB65" w14:textId="6FBC33CC" w:rsidR="000B5710" w:rsidRPr="009D52FD" w:rsidRDefault="003630BB" w:rsidP="0024513F">
      <w:pPr>
        <w:widowControl/>
        <w:numPr>
          <w:ilvl w:val="0"/>
          <w:numId w:val="1"/>
        </w:numPr>
        <w:tabs>
          <w:tab w:val="left" w:pos="567"/>
          <w:tab w:val="num" w:pos="1569"/>
          <w:tab w:val="num" w:pos="12305"/>
        </w:tabs>
        <w:autoSpaceDE w:val="0"/>
        <w:autoSpaceDN w:val="0"/>
        <w:spacing w:line="240" w:lineRule="auto"/>
        <w:ind w:left="0" w:firstLine="0"/>
        <w:textAlignment w:val="auto"/>
        <w:rPr>
          <w:rFonts w:cs="Arial"/>
          <w:color w:val="000000"/>
          <w:sz w:val="20"/>
          <w:szCs w:val="20"/>
          <w:lang w:val="en-US" w:eastAsia="en-US"/>
        </w:rPr>
      </w:pPr>
      <w:r w:rsidRPr="009D52FD">
        <w:rPr>
          <w:rFonts w:cs="Arial"/>
          <w:color w:val="000000"/>
          <w:sz w:val="20"/>
          <w:szCs w:val="20"/>
          <w:lang w:val="en-US" w:eastAsia="en-US"/>
        </w:rPr>
        <w:t>The Court</w:t>
      </w:r>
      <w:r w:rsidR="00FA41BB" w:rsidRPr="009D52FD">
        <w:rPr>
          <w:rFonts w:cs="Arial"/>
          <w:color w:val="000000"/>
          <w:sz w:val="20"/>
          <w:szCs w:val="20"/>
          <w:lang w:val="en-US" w:eastAsia="en-US"/>
        </w:rPr>
        <w:t xml:space="preserve"> </w:t>
      </w:r>
      <w:r w:rsidR="001E7D90" w:rsidRPr="009D52FD">
        <w:rPr>
          <w:rFonts w:cs="Arial"/>
          <w:color w:val="000000"/>
          <w:sz w:val="20"/>
          <w:szCs w:val="20"/>
          <w:lang w:val="en-US" w:eastAsia="en-US"/>
        </w:rPr>
        <w:t xml:space="preserve">finds it desirable to recall the </w:t>
      </w:r>
      <w:r w:rsidR="00FA41BB" w:rsidRPr="009D52FD">
        <w:rPr>
          <w:rFonts w:cs="Arial"/>
          <w:i/>
          <w:color w:val="000000"/>
          <w:sz w:val="20"/>
          <w:szCs w:val="20"/>
          <w:lang w:val="en-US" w:eastAsia="en-US"/>
        </w:rPr>
        <w:t>prima facie</w:t>
      </w:r>
      <w:r w:rsidR="00FA41BB" w:rsidRPr="009D52FD">
        <w:rPr>
          <w:rFonts w:cs="Arial"/>
          <w:color w:val="000000"/>
          <w:sz w:val="20"/>
          <w:szCs w:val="20"/>
          <w:lang w:val="en-US" w:eastAsia="en-US"/>
        </w:rPr>
        <w:t xml:space="preserve"> </w:t>
      </w:r>
      <w:r w:rsidR="001E7D90" w:rsidRPr="009D52FD">
        <w:rPr>
          <w:rFonts w:cs="Arial"/>
          <w:color w:val="000000"/>
          <w:sz w:val="20"/>
          <w:szCs w:val="20"/>
          <w:lang w:val="en-US" w:eastAsia="en-US"/>
        </w:rPr>
        <w:t xml:space="preserve">nature of the legal provisions indicated in  </w:t>
      </w:r>
      <w:r w:rsidR="00483040" w:rsidRPr="009D52FD">
        <w:rPr>
          <w:rFonts w:cs="Arial"/>
          <w:color w:val="000000"/>
          <w:sz w:val="20"/>
          <w:szCs w:val="20"/>
          <w:lang w:val="en-US" w:eastAsia="en-US"/>
        </w:rPr>
        <w:t>the Admissibility Report</w:t>
      </w:r>
      <w:r w:rsidR="00A037BD" w:rsidRPr="009D52FD">
        <w:rPr>
          <w:rFonts w:eastAsia="Verdana" w:cs="Verdana"/>
          <w:sz w:val="20"/>
          <w:szCs w:val="20"/>
          <w:lang w:val="en-US"/>
        </w:rPr>
        <w:t xml:space="preserve"> </w:t>
      </w:r>
      <w:r w:rsidR="001E7D90" w:rsidRPr="009D52FD">
        <w:rPr>
          <w:rFonts w:eastAsia="Verdana" w:cs="Verdana"/>
          <w:sz w:val="20"/>
          <w:szCs w:val="20"/>
          <w:lang w:val="en-US"/>
        </w:rPr>
        <w:t>because this merely constitutes a preliminary examination of those provisions by the Commission to establish possible violations.</w:t>
      </w:r>
      <w:r w:rsidR="00655865" w:rsidRPr="009D52FD">
        <w:rPr>
          <w:rStyle w:val="FootnoteReference"/>
          <w:rFonts w:eastAsia="Verdana" w:cs="Verdana"/>
          <w:spacing w:val="1"/>
          <w:sz w:val="20"/>
          <w:szCs w:val="20"/>
          <w:lang w:val="en-US"/>
        </w:rPr>
        <w:footnoteReference w:id="25"/>
      </w:r>
      <w:r w:rsidR="00274172" w:rsidRPr="009D52FD">
        <w:rPr>
          <w:rFonts w:eastAsia="Verdana" w:cs="Verdana"/>
          <w:sz w:val="20"/>
          <w:szCs w:val="20"/>
          <w:lang w:val="en-US"/>
        </w:rPr>
        <w:t xml:space="preserve"> </w:t>
      </w:r>
      <w:r w:rsidR="000B5710" w:rsidRPr="009D52FD">
        <w:rPr>
          <w:rFonts w:eastAsia="Verdana" w:cs="Verdana"/>
          <w:sz w:val="20"/>
          <w:szCs w:val="20"/>
          <w:lang w:val="en-US"/>
        </w:rPr>
        <w:t>Ad</w:t>
      </w:r>
      <w:r w:rsidR="001E7D90" w:rsidRPr="009D52FD">
        <w:rPr>
          <w:rFonts w:eastAsia="Verdana" w:cs="Verdana"/>
          <w:sz w:val="20"/>
          <w:szCs w:val="20"/>
          <w:lang w:val="en-US"/>
        </w:rPr>
        <w:t>ditionally</w:t>
      </w:r>
      <w:r w:rsidR="000B5710" w:rsidRPr="009D52FD">
        <w:rPr>
          <w:rFonts w:eastAsia="Verdana" w:cs="Verdana"/>
          <w:sz w:val="20"/>
          <w:szCs w:val="20"/>
          <w:lang w:val="en-US"/>
        </w:rPr>
        <w:t xml:space="preserve">, </w:t>
      </w:r>
      <w:r w:rsidRPr="009D52FD">
        <w:rPr>
          <w:rFonts w:eastAsia="Verdana" w:cs="Verdana"/>
          <w:sz w:val="20"/>
          <w:szCs w:val="20"/>
          <w:lang w:val="en-US"/>
        </w:rPr>
        <w:t>the Court</w:t>
      </w:r>
      <w:r w:rsidR="000B5710" w:rsidRPr="009D52FD">
        <w:rPr>
          <w:rFonts w:eastAsia="Verdana" w:cs="Verdana"/>
          <w:sz w:val="20"/>
          <w:szCs w:val="20"/>
          <w:lang w:val="en-US"/>
        </w:rPr>
        <w:t xml:space="preserve"> </w:t>
      </w:r>
      <w:r w:rsidR="001E7D90" w:rsidRPr="009D52FD">
        <w:rPr>
          <w:rFonts w:eastAsia="Verdana" w:cs="Verdana"/>
          <w:sz w:val="20"/>
          <w:szCs w:val="20"/>
          <w:lang w:val="en-US"/>
        </w:rPr>
        <w:t xml:space="preserve">notes that it had already ruled on a similar argument in the </w:t>
      </w:r>
      <w:r w:rsidR="00965B42" w:rsidRPr="009D52FD">
        <w:rPr>
          <w:rFonts w:cs="Arial"/>
          <w:i/>
          <w:color w:val="000000"/>
          <w:sz w:val="20"/>
          <w:szCs w:val="20"/>
          <w:lang w:val="en-US" w:eastAsia="en-US"/>
        </w:rPr>
        <w:t>C</w:t>
      </w:r>
      <w:r w:rsidR="000B5710" w:rsidRPr="009D52FD">
        <w:rPr>
          <w:rFonts w:cs="Arial"/>
          <w:i/>
          <w:color w:val="000000"/>
          <w:sz w:val="20"/>
          <w:szCs w:val="20"/>
          <w:lang w:val="en-US" w:eastAsia="en-US"/>
        </w:rPr>
        <w:t>as</w:t>
      </w:r>
      <w:r w:rsidR="001E7D90" w:rsidRPr="009D52FD">
        <w:rPr>
          <w:rFonts w:cs="Arial"/>
          <w:i/>
          <w:color w:val="000000"/>
          <w:sz w:val="20"/>
          <w:szCs w:val="20"/>
          <w:lang w:val="en-US" w:eastAsia="en-US"/>
        </w:rPr>
        <w:t>e of</w:t>
      </w:r>
      <w:r w:rsidR="000B5710" w:rsidRPr="009D52FD">
        <w:rPr>
          <w:rFonts w:cs="Arial"/>
          <w:color w:val="000000"/>
          <w:sz w:val="20"/>
          <w:szCs w:val="20"/>
          <w:lang w:val="en-US" w:eastAsia="en-US"/>
        </w:rPr>
        <w:t xml:space="preserve"> </w:t>
      </w:r>
      <w:r w:rsidR="00C50EF6" w:rsidRPr="009D52FD">
        <w:rPr>
          <w:rFonts w:cs="Arial"/>
          <w:i/>
          <w:color w:val="000000"/>
          <w:sz w:val="20"/>
          <w:szCs w:val="20"/>
          <w:lang w:val="en-US" w:eastAsia="en-US"/>
        </w:rPr>
        <w:t>Furlan</w:t>
      </w:r>
      <w:r w:rsidRPr="009D52FD">
        <w:rPr>
          <w:rFonts w:cs="Arial"/>
          <w:i/>
          <w:color w:val="000000"/>
          <w:sz w:val="20"/>
          <w:szCs w:val="20"/>
          <w:lang w:val="en-US" w:eastAsia="en-US"/>
        </w:rPr>
        <w:t xml:space="preserve"> and </w:t>
      </w:r>
      <w:r w:rsidR="00585097" w:rsidRPr="009D52FD">
        <w:rPr>
          <w:rFonts w:cs="Arial"/>
          <w:i/>
          <w:color w:val="000000"/>
          <w:sz w:val="20"/>
          <w:szCs w:val="20"/>
          <w:lang w:val="en-US" w:eastAsia="en-US"/>
        </w:rPr>
        <w:t>f</w:t>
      </w:r>
      <w:r w:rsidR="000B5710" w:rsidRPr="009D52FD">
        <w:rPr>
          <w:rFonts w:cs="Arial"/>
          <w:i/>
          <w:color w:val="000000"/>
          <w:sz w:val="20"/>
          <w:szCs w:val="20"/>
          <w:lang w:val="en-US" w:eastAsia="en-US"/>
        </w:rPr>
        <w:t>amil</w:t>
      </w:r>
      <w:r w:rsidR="001E7D90" w:rsidRPr="009D52FD">
        <w:rPr>
          <w:rFonts w:cs="Arial"/>
          <w:i/>
          <w:color w:val="000000"/>
          <w:sz w:val="20"/>
          <w:szCs w:val="20"/>
          <w:lang w:val="en-US" w:eastAsia="en-US"/>
        </w:rPr>
        <w:t>y</w:t>
      </w:r>
      <w:r w:rsidR="000B5710" w:rsidRPr="009D52FD">
        <w:rPr>
          <w:rFonts w:cs="Arial"/>
          <w:i/>
          <w:color w:val="000000"/>
          <w:sz w:val="20"/>
          <w:szCs w:val="20"/>
          <w:lang w:val="en-US" w:eastAsia="en-US"/>
        </w:rPr>
        <w:t xml:space="preserve"> </w:t>
      </w:r>
      <w:r w:rsidRPr="009D52FD">
        <w:rPr>
          <w:rFonts w:cs="Arial"/>
          <w:i/>
          <w:color w:val="000000"/>
          <w:sz w:val="20"/>
          <w:szCs w:val="20"/>
          <w:lang w:val="en-US" w:eastAsia="en-US"/>
        </w:rPr>
        <w:t>v.</w:t>
      </w:r>
      <w:r w:rsidR="000B5710" w:rsidRPr="009D52FD">
        <w:rPr>
          <w:rFonts w:cs="Arial"/>
          <w:i/>
          <w:color w:val="000000"/>
          <w:sz w:val="20"/>
          <w:szCs w:val="20"/>
          <w:lang w:val="en-US" w:eastAsia="en-US"/>
        </w:rPr>
        <w:t xml:space="preserve"> Argentina,</w:t>
      </w:r>
      <w:r w:rsidR="000B5710" w:rsidRPr="009D52FD">
        <w:rPr>
          <w:rFonts w:cs="Arial"/>
          <w:color w:val="000000"/>
          <w:sz w:val="20"/>
          <w:szCs w:val="20"/>
          <w:lang w:val="en-US" w:eastAsia="en-US"/>
        </w:rPr>
        <w:t xml:space="preserve"> </w:t>
      </w:r>
      <w:r w:rsidR="001E7D90" w:rsidRPr="009D52FD">
        <w:rPr>
          <w:rFonts w:cs="Arial"/>
          <w:color w:val="000000"/>
          <w:sz w:val="20"/>
          <w:szCs w:val="20"/>
          <w:lang w:val="en-US" w:eastAsia="en-US"/>
        </w:rPr>
        <w:t xml:space="preserve">in which it argued that “neither </w:t>
      </w:r>
      <w:r w:rsidRPr="009D52FD">
        <w:rPr>
          <w:rFonts w:cs="Arial"/>
          <w:color w:val="000000"/>
          <w:sz w:val="20"/>
          <w:szCs w:val="20"/>
          <w:lang w:val="en-US" w:eastAsia="en-US"/>
        </w:rPr>
        <w:t>the American Convention</w:t>
      </w:r>
      <w:r w:rsidR="001E7D90" w:rsidRPr="009D52FD">
        <w:rPr>
          <w:rFonts w:cs="Arial"/>
          <w:color w:val="000000"/>
          <w:sz w:val="20"/>
          <w:szCs w:val="20"/>
          <w:lang w:val="en-US" w:eastAsia="en-US"/>
        </w:rPr>
        <w:t xml:space="preserve"> </w:t>
      </w:r>
      <w:r w:rsidR="00585097" w:rsidRPr="009D52FD">
        <w:rPr>
          <w:rFonts w:cs="Arial"/>
          <w:color w:val="000000"/>
          <w:sz w:val="20"/>
          <w:szCs w:val="20"/>
          <w:lang w:val="en-US" w:eastAsia="en-US"/>
        </w:rPr>
        <w:t>n</w:t>
      </w:r>
      <w:r w:rsidR="001E7D90" w:rsidRPr="009D52FD">
        <w:rPr>
          <w:rFonts w:cs="Arial"/>
          <w:color w:val="000000"/>
          <w:sz w:val="20"/>
          <w:szCs w:val="20"/>
          <w:lang w:val="en-US" w:eastAsia="en-US"/>
        </w:rPr>
        <w:t>or</w:t>
      </w:r>
      <w:r w:rsidR="000B5710" w:rsidRPr="009D52FD">
        <w:rPr>
          <w:rFonts w:cs="Arial"/>
          <w:color w:val="000000"/>
          <w:sz w:val="20"/>
          <w:szCs w:val="20"/>
          <w:lang w:val="en-US" w:eastAsia="en-US"/>
        </w:rPr>
        <w:t xml:space="preserve"> </w:t>
      </w:r>
      <w:r w:rsidRPr="009D52FD">
        <w:rPr>
          <w:rFonts w:cs="Arial"/>
          <w:color w:val="000000"/>
          <w:sz w:val="20"/>
          <w:szCs w:val="20"/>
          <w:lang w:val="en-US" w:eastAsia="en-US"/>
        </w:rPr>
        <w:t>the Rules of Procedure of the Inter-American Commission</w:t>
      </w:r>
      <w:r w:rsidR="000B5710" w:rsidRPr="009D52FD">
        <w:rPr>
          <w:rFonts w:cs="Arial"/>
          <w:color w:val="000000"/>
          <w:sz w:val="20"/>
          <w:szCs w:val="20"/>
          <w:lang w:val="en-US" w:eastAsia="en-US"/>
        </w:rPr>
        <w:t xml:space="preserve"> </w:t>
      </w:r>
      <w:r w:rsidR="001E7D90" w:rsidRPr="009D52FD">
        <w:rPr>
          <w:rFonts w:cs="Arial"/>
          <w:color w:val="000000"/>
          <w:sz w:val="20"/>
          <w:szCs w:val="20"/>
          <w:lang w:val="en-US" w:eastAsia="en-US"/>
        </w:rPr>
        <w:t xml:space="preserve">include any provision </w:t>
      </w:r>
      <w:r w:rsidR="000B5710" w:rsidRPr="009D52FD">
        <w:rPr>
          <w:rFonts w:cs="Arial"/>
          <w:color w:val="000000"/>
          <w:sz w:val="20"/>
          <w:szCs w:val="20"/>
          <w:lang w:val="en-US" w:eastAsia="en-US"/>
        </w:rPr>
        <w:t>e</w:t>
      </w:r>
      <w:r w:rsidR="001E7D90" w:rsidRPr="009D52FD">
        <w:rPr>
          <w:rFonts w:cs="Arial"/>
          <w:color w:val="000000"/>
          <w:sz w:val="20"/>
          <w:szCs w:val="20"/>
          <w:lang w:val="en-US" w:eastAsia="en-US"/>
        </w:rPr>
        <w:t>stablish</w:t>
      </w:r>
      <w:r w:rsidR="00585097" w:rsidRPr="009D52FD">
        <w:rPr>
          <w:rFonts w:cs="Arial"/>
          <w:color w:val="000000"/>
          <w:sz w:val="20"/>
          <w:szCs w:val="20"/>
          <w:lang w:val="en-US" w:eastAsia="en-US"/>
        </w:rPr>
        <w:t>ing</w:t>
      </w:r>
      <w:r w:rsidR="001E7D90" w:rsidRPr="009D52FD">
        <w:rPr>
          <w:rFonts w:cs="Arial"/>
          <w:color w:val="000000"/>
          <w:sz w:val="20"/>
          <w:szCs w:val="20"/>
          <w:lang w:val="en-US" w:eastAsia="en-US"/>
        </w:rPr>
        <w:t xml:space="preserve"> that </w:t>
      </w:r>
      <w:r w:rsidR="00483040" w:rsidRPr="009D52FD">
        <w:rPr>
          <w:rFonts w:cs="Arial"/>
          <w:color w:val="000000"/>
          <w:sz w:val="20"/>
          <w:szCs w:val="20"/>
          <w:lang w:val="en-US" w:eastAsia="en-US"/>
        </w:rPr>
        <w:t>the Admissibility Report</w:t>
      </w:r>
      <w:r w:rsidR="000B5710" w:rsidRPr="009D52FD">
        <w:rPr>
          <w:rFonts w:cs="Arial"/>
          <w:color w:val="000000"/>
          <w:sz w:val="20"/>
          <w:szCs w:val="20"/>
          <w:lang w:val="en-US" w:eastAsia="en-US"/>
        </w:rPr>
        <w:t xml:space="preserve"> </w:t>
      </w:r>
      <w:r w:rsidR="001E7D90" w:rsidRPr="009D52FD">
        <w:rPr>
          <w:rFonts w:cs="Arial"/>
          <w:color w:val="000000"/>
          <w:sz w:val="20"/>
          <w:szCs w:val="20"/>
          <w:lang w:val="en-US" w:eastAsia="en-US"/>
        </w:rPr>
        <w:t>must include all the rights presumably violated.</w:t>
      </w:r>
      <w:r w:rsidR="000B5710" w:rsidRPr="009D52FD">
        <w:rPr>
          <w:rFonts w:cs="Arial"/>
          <w:color w:val="000000"/>
          <w:sz w:val="20"/>
          <w:szCs w:val="20"/>
          <w:lang w:val="en-US" w:eastAsia="en-US"/>
        </w:rPr>
        <w:t>”</w:t>
      </w:r>
      <w:r w:rsidR="000B5710" w:rsidRPr="009D52FD">
        <w:rPr>
          <w:rStyle w:val="FootnoteReference"/>
          <w:rFonts w:cs="Arial"/>
          <w:color w:val="000000"/>
          <w:sz w:val="20"/>
          <w:szCs w:val="20"/>
          <w:lang w:val="en-US" w:eastAsia="en-US"/>
        </w:rPr>
        <w:footnoteReference w:id="26"/>
      </w:r>
      <w:r w:rsidR="000B5710" w:rsidRPr="009D52FD">
        <w:rPr>
          <w:rFonts w:cs="Arial"/>
          <w:color w:val="000000"/>
          <w:sz w:val="20"/>
          <w:szCs w:val="20"/>
          <w:lang w:val="en-US" w:eastAsia="en-US"/>
        </w:rPr>
        <w:t xml:space="preserve"> </w:t>
      </w:r>
      <w:r w:rsidR="001E7D90" w:rsidRPr="009D52FD">
        <w:rPr>
          <w:rFonts w:cs="Arial"/>
          <w:color w:val="000000"/>
          <w:sz w:val="20"/>
          <w:szCs w:val="20"/>
          <w:lang w:val="en-US" w:eastAsia="en-US"/>
        </w:rPr>
        <w:t>In this regard,</w:t>
      </w:r>
      <w:r w:rsidR="000B5710" w:rsidRPr="009D52FD">
        <w:rPr>
          <w:rFonts w:cs="Arial"/>
          <w:color w:val="000000"/>
          <w:sz w:val="20"/>
          <w:szCs w:val="20"/>
          <w:lang w:val="en-US" w:eastAsia="en-US"/>
        </w:rPr>
        <w:t xml:space="preserve"> </w:t>
      </w:r>
      <w:r w:rsidRPr="009D52FD">
        <w:rPr>
          <w:rFonts w:cs="Arial"/>
          <w:color w:val="000000"/>
          <w:sz w:val="20"/>
          <w:szCs w:val="20"/>
          <w:lang w:val="en-US" w:eastAsia="en-US"/>
        </w:rPr>
        <w:t>the Court</w:t>
      </w:r>
      <w:r w:rsidR="000B5710" w:rsidRPr="009D52FD">
        <w:rPr>
          <w:rFonts w:cs="Arial"/>
          <w:color w:val="000000"/>
          <w:sz w:val="20"/>
          <w:szCs w:val="20"/>
          <w:lang w:val="en-US" w:eastAsia="en-US"/>
        </w:rPr>
        <w:t xml:space="preserve"> conclu</w:t>
      </w:r>
      <w:r w:rsidR="001E7D90" w:rsidRPr="009D52FD">
        <w:rPr>
          <w:rFonts w:cs="Arial"/>
          <w:color w:val="000000"/>
          <w:sz w:val="20"/>
          <w:szCs w:val="20"/>
          <w:lang w:val="en-US" w:eastAsia="en-US"/>
        </w:rPr>
        <w:t xml:space="preserve">ded that “the rights indicated in </w:t>
      </w:r>
      <w:r w:rsidR="00483040" w:rsidRPr="009D52FD">
        <w:rPr>
          <w:rFonts w:cs="Arial"/>
          <w:color w:val="000000"/>
          <w:sz w:val="20"/>
          <w:szCs w:val="20"/>
          <w:lang w:val="en-US" w:eastAsia="en-US"/>
        </w:rPr>
        <w:t>the Admissibility Report</w:t>
      </w:r>
      <w:r w:rsidR="000B5710" w:rsidRPr="009D52FD">
        <w:rPr>
          <w:rFonts w:cs="Arial"/>
          <w:color w:val="000000"/>
          <w:sz w:val="20"/>
          <w:szCs w:val="20"/>
          <w:lang w:val="en-US" w:eastAsia="en-US"/>
        </w:rPr>
        <w:t xml:space="preserve"> </w:t>
      </w:r>
      <w:r w:rsidR="001E7D90" w:rsidRPr="009D52FD">
        <w:rPr>
          <w:rFonts w:cs="Arial"/>
          <w:color w:val="000000"/>
          <w:sz w:val="20"/>
          <w:szCs w:val="20"/>
          <w:lang w:val="en-US" w:eastAsia="en-US"/>
        </w:rPr>
        <w:t>are the result of a preliminary examination of the petition that is being processed</w:t>
      </w:r>
      <w:r w:rsidR="00585097" w:rsidRPr="009D52FD">
        <w:rPr>
          <w:rFonts w:cs="Arial"/>
          <w:color w:val="000000"/>
          <w:sz w:val="20"/>
          <w:szCs w:val="20"/>
          <w:lang w:val="en-US" w:eastAsia="en-US"/>
        </w:rPr>
        <w:t>; therefore,</w:t>
      </w:r>
      <w:r w:rsidR="001E7D90" w:rsidRPr="009D52FD">
        <w:rPr>
          <w:rFonts w:cs="Arial"/>
          <w:color w:val="000000"/>
          <w:sz w:val="20"/>
          <w:szCs w:val="20"/>
          <w:lang w:val="en-US" w:eastAsia="en-US"/>
        </w:rPr>
        <w:t xml:space="preserve"> they do not limit the possibility that, at later stages of the procedure, other rights or articles may be included that have presumably been violated, provided that the State’s right of defense is respected in the context of the factual framework of the case being examined.</w:t>
      </w:r>
      <w:r w:rsidR="000B5710" w:rsidRPr="009D52FD">
        <w:rPr>
          <w:rFonts w:cs="Arial"/>
          <w:color w:val="000000"/>
          <w:sz w:val="20"/>
          <w:szCs w:val="20"/>
          <w:lang w:val="en-US" w:eastAsia="en-US"/>
        </w:rPr>
        <w:t>”</w:t>
      </w:r>
      <w:r w:rsidR="000B5710" w:rsidRPr="009D52FD">
        <w:rPr>
          <w:rStyle w:val="FootnoteReference"/>
          <w:rFonts w:cs="Arial"/>
          <w:color w:val="000000"/>
          <w:sz w:val="20"/>
          <w:szCs w:val="20"/>
          <w:lang w:val="en-US" w:eastAsia="en-US"/>
        </w:rPr>
        <w:footnoteReference w:id="27"/>
      </w:r>
      <w:r w:rsidR="000B5710" w:rsidRPr="009D52FD">
        <w:rPr>
          <w:rFonts w:cs="Arial"/>
          <w:color w:val="000000"/>
          <w:sz w:val="20"/>
          <w:szCs w:val="20"/>
          <w:lang w:val="en-US" w:eastAsia="en-US"/>
        </w:rPr>
        <w:t xml:space="preserve"> </w:t>
      </w:r>
      <w:r w:rsidRPr="009D52FD">
        <w:rPr>
          <w:rFonts w:cs="Arial"/>
          <w:color w:val="000000"/>
          <w:sz w:val="20"/>
          <w:szCs w:val="20"/>
          <w:lang w:val="en-US" w:eastAsia="en-US"/>
        </w:rPr>
        <w:t>The Court</w:t>
      </w:r>
      <w:r w:rsidR="000B5710" w:rsidRPr="009D52FD">
        <w:rPr>
          <w:rFonts w:cs="Arial"/>
          <w:color w:val="000000"/>
          <w:sz w:val="20"/>
          <w:szCs w:val="20"/>
          <w:lang w:val="en-US" w:eastAsia="en-US"/>
        </w:rPr>
        <w:t xml:space="preserve"> </w:t>
      </w:r>
      <w:r w:rsidR="001E7D90" w:rsidRPr="009D52FD">
        <w:rPr>
          <w:rFonts w:cs="Arial"/>
          <w:color w:val="000000"/>
          <w:sz w:val="20"/>
          <w:szCs w:val="20"/>
          <w:lang w:val="en-US" w:eastAsia="en-US"/>
        </w:rPr>
        <w:t xml:space="preserve">refers </w:t>
      </w:r>
      <w:r w:rsidR="0024513F" w:rsidRPr="009D52FD">
        <w:rPr>
          <w:rFonts w:cs="Arial"/>
          <w:color w:val="000000"/>
          <w:sz w:val="20"/>
          <w:szCs w:val="20"/>
          <w:lang w:val="en-US" w:eastAsia="en-US"/>
        </w:rPr>
        <w:t xml:space="preserve">back </w:t>
      </w:r>
      <w:r w:rsidR="001E7D90" w:rsidRPr="009D52FD">
        <w:rPr>
          <w:rFonts w:cs="Arial"/>
          <w:color w:val="000000"/>
          <w:sz w:val="20"/>
          <w:szCs w:val="20"/>
          <w:lang w:val="en-US" w:eastAsia="en-US"/>
        </w:rPr>
        <w:t xml:space="preserve">to the doctrine </w:t>
      </w:r>
      <w:r w:rsidR="0024513F" w:rsidRPr="009D52FD">
        <w:rPr>
          <w:rFonts w:cs="Arial"/>
          <w:color w:val="000000"/>
          <w:sz w:val="20"/>
          <w:szCs w:val="20"/>
          <w:lang w:val="en-US" w:eastAsia="en-US"/>
        </w:rPr>
        <w:t>established in th</w:t>
      </w:r>
      <w:r w:rsidR="00585097" w:rsidRPr="009D52FD">
        <w:rPr>
          <w:rFonts w:cs="Arial"/>
          <w:color w:val="000000"/>
          <w:sz w:val="20"/>
          <w:szCs w:val="20"/>
          <w:lang w:val="en-US" w:eastAsia="en-US"/>
        </w:rPr>
        <w:t>e above-mentioned</w:t>
      </w:r>
      <w:r w:rsidR="0024513F" w:rsidRPr="009D52FD">
        <w:rPr>
          <w:rFonts w:cs="Arial"/>
          <w:color w:val="000000"/>
          <w:sz w:val="20"/>
          <w:szCs w:val="20"/>
          <w:lang w:val="en-US" w:eastAsia="en-US"/>
        </w:rPr>
        <w:t xml:space="preserve"> case, that the Commission is </w:t>
      </w:r>
      <w:r w:rsidR="00002A76" w:rsidRPr="009D52FD">
        <w:rPr>
          <w:rFonts w:cs="Arial"/>
          <w:color w:val="000000"/>
          <w:sz w:val="20"/>
          <w:szCs w:val="20"/>
          <w:lang w:val="en-US" w:eastAsia="en-US"/>
        </w:rPr>
        <w:t>auth</w:t>
      </w:r>
      <w:r w:rsidR="006B506A" w:rsidRPr="009D52FD">
        <w:rPr>
          <w:rFonts w:cs="Arial"/>
          <w:color w:val="000000"/>
          <w:sz w:val="20"/>
          <w:szCs w:val="20"/>
          <w:lang w:val="en-US" w:eastAsia="en-US"/>
        </w:rPr>
        <w:t>or</w:t>
      </w:r>
      <w:r w:rsidR="0024513F" w:rsidRPr="009D52FD">
        <w:rPr>
          <w:rFonts w:cs="Arial"/>
          <w:color w:val="000000"/>
          <w:sz w:val="20"/>
          <w:szCs w:val="20"/>
          <w:lang w:val="en-US" w:eastAsia="en-US"/>
        </w:rPr>
        <w:t>ized to make use of the</w:t>
      </w:r>
      <w:r w:rsidR="0024513F" w:rsidRPr="009D52FD">
        <w:rPr>
          <w:rFonts w:eastAsia="MS Mincho" w:cs="Arial"/>
          <w:sz w:val="20"/>
          <w:lang w:val="en-US" w:eastAsia="en-US"/>
        </w:rPr>
        <w:t xml:space="preserve"> </w:t>
      </w:r>
      <w:r w:rsidR="0024513F" w:rsidRPr="009D52FD">
        <w:rPr>
          <w:rFonts w:eastAsia="MS Mincho" w:cs="Arial"/>
          <w:i/>
          <w:sz w:val="20"/>
          <w:lang w:val="en-US" w:eastAsia="en-US"/>
        </w:rPr>
        <w:t>iura novit curia</w:t>
      </w:r>
      <w:r w:rsidR="0024513F" w:rsidRPr="009D52FD">
        <w:rPr>
          <w:rFonts w:eastAsia="MS Mincho" w:cs="Arial"/>
          <w:iCs/>
          <w:sz w:val="20"/>
          <w:lang w:val="en-US" w:eastAsia="en-US"/>
        </w:rPr>
        <w:t xml:space="preserve"> principle or to consider </w:t>
      </w:r>
      <w:r w:rsidR="00585097" w:rsidRPr="009D52FD">
        <w:rPr>
          <w:rFonts w:eastAsia="MS Mincho" w:cs="Arial"/>
          <w:iCs/>
          <w:sz w:val="20"/>
          <w:lang w:val="en-US" w:eastAsia="en-US"/>
        </w:rPr>
        <w:t>a different categorization</w:t>
      </w:r>
      <w:r w:rsidR="0024513F" w:rsidRPr="009D52FD">
        <w:rPr>
          <w:rFonts w:eastAsia="MS Mincho" w:cs="Arial"/>
          <w:iCs/>
          <w:sz w:val="20"/>
          <w:lang w:val="en-US" w:eastAsia="en-US"/>
        </w:rPr>
        <w:t xml:space="preserve"> of </w:t>
      </w:r>
      <w:r w:rsidR="00585097" w:rsidRPr="009D52FD">
        <w:rPr>
          <w:rFonts w:eastAsia="MS Mincho" w:cs="Arial"/>
          <w:iCs/>
          <w:sz w:val="20"/>
          <w:lang w:val="en-US" w:eastAsia="en-US"/>
        </w:rPr>
        <w:t xml:space="preserve">the </w:t>
      </w:r>
      <w:r w:rsidR="0024513F" w:rsidRPr="009D52FD">
        <w:rPr>
          <w:rFonts w:eastAsia="MS Mincho" w:cs="Arial"/>
          <w:iCs/>
          <w:sz w:val="20"/>
          <w:lang w:val="en-US" w:eastAsia="en-US"/>
        </w:rPr>
        <w:t>same facts, without this entailing a violation of the State’s right of defense.</w:t>
      </w:r>
      <w:r w:rsidR="000B5710" w:rsidRPr="009D52FD">
        <w:rPr>
          <w:rStyle w:val="FootnoteReference"/>
          <w:rFonts w:cs="Arial"/>
          <w:color w:val="000000"/>
          <w:sz w:val="20"/>
          <w:szCs w:val="20"/>
          <w:lang w:val="en-US" w:eastAsia="en-US"/>
        </w:rPr>
        <w:footnoteReference w:id="28"/>
      </w:r>
    </w:p>
    <w:p w14:paraId="5533E437" w14:textId="77777777" w:rsidR="000B5710" w:rsidRPr="009D52FD" w:rsidRDefault="000B5710" w:rsidP="000B5710">
      <w:pPr>
        <w:widowControl/>
        <w:tabs>
          <w:tab w:val="left" w:pos="567"/>
        </w:tabs>
        <w:autoSpaceDE w:val="0"/>
        <w:autoSpaceDN w:val="0"/>
        <w:spacing w:line="240" w:lineRule="auto"/>
        <w:textAlignment w:val="auto"/>
        <w:rPr>
          <w:rFonts w:cs="Arial"/>
          <w:color w:val="000000"/>
          <w:sz w:val="20"/>
          <w:szCs w:val="20"/>
          <w:lang w:val="en-US" w:eastAsia="en-US"/>
        </w:rPr>
      </w:pPr>
    </w:p>
    <w:p w14:paraId="5E8356D6" w14:textId="354C9FE5" w:rsidR="0024513F" w:rsidRPr="009D52FD" w:rsidRDefault="0024513F" w:rsidP="0024513F">
      <w:pPr>
        <w:widowControl/>
        <w:numPr>
          <w:ilvl w:val="0"/>
          <w:numId w:val="1"/>
        </w:numPr>
        <w:tabs>
          <w:tab w:val="left" w:pos="567"/>
          <w:tab w:val="num" w:pos="1569"/>
          <w:tab w:val="num" w:pos="12305"/>
        </w:tabs>
        <w:autoSpaceDE w:val="0"/>
        <w:autoSpaceDN w:val="0"/>
        <w:spacing w:line="240" w:lineRule="auto"/>
        <w:ind w:left="0" w:firstLine="0"/>
        <w:textAlignment w:val="auto"/>
        <w:rPr>
          <w:rFonts w:cs="Arial"/>
          <w:color w:val="000000"/>
          <w:sz w:val="20"/>
          <w:szCs w:val="20"/>
          <w:lang w:val="en-US" w:eastAsia="en-US"/>
        </w:rPr>
      </w:pPr>
      <w:r w:rsidRPr="009D52FD">
        <w:rPr>
          <w:rFonts w:cs="Arial"/>
          <w:color w:val="000000"/>
          <w:sz w:val="20"/>
          <w:szCs w:val="20"/>
          <w:lang w:val="en-US" w:eastAsia="en-US"/>
        </w:rPr>
        <w:t>In addition</w:t>
      </w:r>
      <w:r w:rsidR="000B5710" w:rsidRPr="009D52FD">
        <w:rPr>
          <w:rFonts w:cs="Arial"/>
          <w:color w:val="000000"/>
          <w:sz w:val="20"/>
          <w:szCs w:val="20"/>
          <w:lang w:val="en-US" w:eastAsia="en-US"/>
        </w:rPr>
        <w:t xml:space="preserve">, </w:t>
      </w:r>
      <w:r w:rsidR="003630BB" w:rsidRPr="009D52FD">
        <w:rPr>
          <w:rFonts w:cs="Arial"/>
          <w:color w:val="000000"/>
          <w:sz w:val="20"/>
          <w:szCs w:val="20"/>
          <w:lang w:val="en-US" w:eastAsia="en-US"/>
        </w:rPr>
        <w:t>the Court</w:t>
      </w:r>
      <w:r w:rsidR="000B5710" w:rsidRPr="009D52FD">
        <w:rPr>
          <w:rFonts w:cs="Arial"/>
          <w:color w:val="000000"/>
          <w:sz w:val="20"/>
          <w:szCs w:val="20"/>
          <w:lang w:val="en-US" w:eastAsia="en-US"/>
        </w:rPr>
        <w:t xml:space="preserve"> </w:t>
      </w:r>
      <w:r w:rsidRPr="009D52FD">
        <w:rPr>
          <w:rFonts w:cs="Arial"/>
          <w:color w:val="000000"/>
          <w:sz w:val="20"/>
          <w:szCs w:val="20"/>
          <w:lang w:val="en-US" w:eastAsia="en-US"/>
        </w:rPr>
        <w:t>emphasizes that</w:t>
      </w:r>
      <w:r w:rsidR="000B5710" w:rsidRPr="009D52FD">
        <w:rPr>
          <w:rFonts w:cs="Arial"/>
          <w:color w:val="000000"/>
          <w:sz w:val="20"/>
          <w:szCs w:val="20"/>
          <w:lang w:val="en-US" w:eastAsia="en-US"/>
        </w:rPr>
        <w:t xml:space="preserve"> </w:t>
      </w:r>
      <w:r w:rsidR="00144FA3" w:rsidRPr="009D52FD">
        <w:rPr>
          <w:rFonts w:cs="Arial"/>
          <w:color w:val="000000"/>
          <w:sz w:val="20"/>
          <w:szCs w:val="20"/>
          <w:lang w:val="en-US" w:eastAsia="en-US"/>
        </w:rPr>
        <w:t xml:space="preserve">Venezuela </w:t>
      </w:r>
      <w:r w:rsidRPr="009D52FD">
        <w:rPr>
          <w:rFonts w:cs="Arial"/>
          <w:color w:val="000000"/>
          <w:sz w:val="20"/>
          <w:szCs w:val="20"/>
          <w:lang w:val="en-US" w:eastAsia="en-US"/>
        </w:rPr>
        <w:t>is a party to</w:t>
      </w:r>
      <w:r w:rsidR="00D32B3E" w:rsidRPr="009D52FD">
        <w:rPr>
          <w:rFonts w:cs="Arial"/>
          <w:color w:val="000000"/>
          <w:sz w:val="20"/>
          <w:szCs w:val="20"/>
          <w:lang w:val="en-US" w:eastAsia="en-US"/>
        </w:rPr>
        <w:t xml:space="preserve"> the ICPPT</w:t>
      </w:r>
      <w:r w:rsidR="003630BB" w:rsidRPr="009D52FD">
        <w:rPr>
          <w:rFonts w:cs="Arial"/>
          <w:color w:val="000000"/>
          <w:sz w:val="20"/>
          <w:szCs w:val="20"/>
          <w:lang w:val="en-US" w:eastAsia="en-US"/>
        </w:rPr>
        <w:t xml:space="preserve"> and </w:t>
      </w:r>
      <w:r w:rsidRPr="009D52FD">
        <w:rPr>
          <w:rFonts w:cs="Arial"/>
          <w:color w:val="000000"/>
          <w:sz w:val="20"/>
          <w:szCs w:val="20"/>
          <w:lang w:val="en-US" w:eastAsia="en-US"/>
        </w:rPr>
        <w:t xml:space="preserve">that, based on the date on which it ratified this </w:t>
      </w:r>
      <w:r w:rsidR="00585097" w:rsidRPr="009D52FD">
        <w:rPr>
          <w:rFonts w:cs="Arial"/>
          <w:color w:val="000000"/>
          <w:sz w:val="20"/>
          <w:szCs w:val="20"/>
          <w:lang w:val="en-US" w:eastAsia="en-US"/>
        </w:rPr>
        <w:t>C</w:t>
      </w:r>
      <w:r w:rsidRPr="009D52FD">
        <w:rPr>
          <w:rFonts w:cs="Arial"/>
          <w:color w:val="000000"/>
          <w:sz w:val="20"/>
          <w:szCs w:val="20"/>
          <w:lang w:val="en-US" w:eastAsia="en-US"/>
        </w:rPr>
        <w:t>onvention, it is applicable to the facts of this case that the Commission characterized based on th</w:t>
      </w:r>
      <w:r w:rsidR="00585097" w:rsidRPr="009D52FD">
        <w:rPr>
          <w:rFonts w:cs="Arial"/>
          <w:color w:val="000000"/>
          <w:sz w:val="20"/>
          <w:szCs w:val="20"/>
          <w:lang w:val="en-US" w:eastAsia="en-US"/>
        </w:rPr>
        <w:t xml:space="preserve">is </w:t>
      </w:r>
      <w:r w:rsidRPr="009D52FD">
        <w:rPr>
          <w:rFonts w:cs="Arial"/>
          <w:color w:val="000000"/>
          <w:sz w:val="20"/>
          <w:szCs w:val="20"/>
          <w:lang w:val="en-US" w:eastAsia="en-US"/>
        </w:rPr>
        <w:t>instrument.</w:t>
      </w:r>
    </w:p>
    <w:p w14:paraId="66BE8D06" w14:textId="77777777" w:rsidR="000B5710" w:rsidRPr="009D52FD" w:rsidRDefault="000B5710" w:rsidP="000B5710">
      <w:pPr>
        <w:widowControl/>
        <w:tabs>
          <w:tab w:val="left" w:pos="567"/>
        </w:tabs>
        <w:autoSpaceDE w:val="0"/>
        <w:autoSpaceDN w:val="0"/>
        <w:spacing w:line="240" w:lineRule="auto"/>
        <w:textAlignment w:val="auto"/>
        <w:rPr>
          <w:rFonts w:cs="Arial"/>
          <w:color w:val="000000"/>
          <w:sz w:val="20"/>
          <w:szCs w:val="20"/>
          <w:lang w:val="en-US" w:eastAsia="en-US"/>
        </w:rPr>
      </w:pPr>
    </w:p>
    <w:p w14:paraId="37351724" w14:textId="69E80AB7" w:rsidR="00FA41BB" w:rsidRPr="009D52FD" w:rsidRDefault="0024513F" w:rsidP="00FA41BB">
      <w:pPr>
        <w:widowControl/>
        <w:numPr>
          <w:ilvl w:val="0"/>
          <w:numId w:val="1"/>
        </w:numPr>
        <w:tabs>
          <w:tab w:val="left" w:pos="567"/>
          <w:tab w:val="num" w:pos="1569"/>
          <w:tab w:val="num" w:pos="12305"/>
        </w:tabs>
        <w:autoSpaceDE w:val="0"/>
        <w:autoSpaceDN w:val="0"/>
        <w:spacing w:line="240" w:lineRule="auto"/>
        <w:ind w:left="0" w:firstLine="0"/>
        <w:textAlignment w:val="auto"/>
        <w:rPr>
          <w:rFonts w:cs="Arial"/>
          <w:color w:val="000000"/>
          <w:sz w:val="20"/>
          <w:szCs w:val="20"/>
          <w:lang w:val="en-US" w:eastAsia="en-US"/>
        </w:rPr>
      </w:pPr>
      <w:r w:rsidRPr="009D52FD">
        <w:rPr>
          <w:sz w:val="20"/>
          <w:szCs w:val="20"/>
          <w:lang w:val="en-US"/>
        </w:rPr>
        <w:t>Based on the foregoing</w:t>
      </w:r>
      <w:r w:rsidR="000B5710" w:rsidRPr="009D52FD">
        <w:rPr>
          <w:sz w:val="20"/>
          <w:szCs w:val="20"/>
          <w:lang w:val="en-US"/>
        </w:rPr>
        <w:t xml:space="preserve">, </w:t>
      </w:r>
      <w:r w:rsidR="003630BB" w:rsidRPr="009D52FD">
        <w:rPr>
          <w:sz w:val="20"/>
          <w:szCs w:val="20"/>
          <w:lang w:val="en-US"/>
        </w:rPr>
        <w:t>the Court</w:t>
      </w:r>
      <w:r w:rsidR="000B5710" w:rsidRPr="009D52FD">
        <w:rPr>
          <w:sz w:val="20"/>
          <w:szCs w:val="20"/>
          <w:lang w:val="en-US"/>
        </w:rPr>
        <w:t xml:space="preserve"> </w:t>
      </w:r>
      <w:r w:rsidRPr="009D52FD">
        <w:rPr>
          <w:sz w:val="20"/>
          <w:szCs w:val="20"/>
          <w:lang w:val="en-US"/>
        </w:rPr>
        <w:t>rejects the</w:t>
      </w:r>
      <w:r w:rsidR="00D6406E" w:rsidRPr="009D52FD">
        <w:rPr>
          <w:sz w:val="20"/>
          <w:szCs w:val="20"/>
          <w:lang w:val="en-US"/>
        </w:rPr>
        <w:t xml:space="preserve"> </w:t>
      </w:r>
      <w:r w:rsidR="00584DF8" w:rsidRPr="009D52FD">
        <w:rPr>
          <w:sz w:val="20"/>
          <w:szCs w:val="20"/>
          <w:lang w:val="en-US"/>
        </w:rPr>
        <w:t>arguments</w:t>
      </w:r>
      <w:r w:rsidR="003630BB" w:rsidRPr="009D52FD">
        <w:rPr>
          <w:sz w:val="20"/>
          <w:szCs w:val="20"/>
          <w:lang w:val="en-US"/>
        </w:rPr>
        <w:t xml:space="preserve"> of the State</w:t>
      </w:r>
      <w:r w:rsidR="000B5710" w:rsidRPr="009D52FD">
        <w:rPr>
          <w:rFonts w:cs="Arial"/>
          <w:color w:val="000000"/>
          <w:sz w:val="20"/>
          <w:szCs w:val="20"/>
          <w:lang w:val="en-US" w:eastAsia="en-US"/>
        </w:rPr>
        <w:t>.</w:t>
      </w:r>
    </w:p>
    <w:p w14:paraId="0AC59281" w14:textId="77777777" w:rsidR="00FA41BB" w:rsidRPr="009D52FD" w:rsidRDefault="00FA41BB" w:rsidP="00FA41BB">
      <w:pPr>
        <w:widowControl/>
        <w:autoSpaceDE w:val="0"/>
        <w:autoSpaceDN w:val="0"/>
        <w:spacing w:line="240" w:lineRule="auto"/>
        <w:textAlignment w:val="auto"/>
        <w:rPr>
          <w:rFonts w:cs="Arial"/>
          <w:color w:val="000000"/>
          <w:sz w:val="20"/>
          <w:szCs w:val="20"/>
          <w:lang w:val="en-US" w:eastAsia="en-US"/>
        </w:rPr>
      </w:pPr>
    </w:p>
    <w:p w14:paraId="58920AD8" w14:textId="444815FA" w:rsidR="00652A11" w:rsidRPr="009D52FD" w:rsidRDefault="00652A11" w:rsidP="00652A11">
      <w:pPr>
        <w:keepNext/>
        <w:keepLines/>
        <w:tabs>
          <w:tab w:val="left" w:pos="851"/>
        </w:tabs>
        <w:spacing w:line="240" w:lineRule="auto"/>
        <w:jc w:val="center"/>
        <w:outlineLvl w:val="0"/>
        <w:rPr>
          <w:rFonts w:cs="Verdana"/>
          <w:b/>
          <w:bCs/>
          <w:caps/>
          <w:snapToGrid w:val="0"/>
          <w:sz w:val="20"/>
          <w:szCs w:val="20"/>
          <w:lang w:val="en-US"/>
        </w:rPr>
      </w:pPr>
      <w:bookmarkStart w:id="38" w:name="_Toc375517114"/>
      <w:bookmarkStart w:id="39" w:name="_Toc459158102"/>
      <w:bookmarkStart w:id="40" w:name="_Toc470180046"/>
      <w:bookmarkStart w:id="41" w:name="_Toc514172609"/>
      <w:bookmarkStart w:id="42" w:name="_Toc51400077"/>
      <w:r w:rsidRPr="009D52FD">
        <w:rPr>
          <w:rFonts w:cs="Verdana"/>
          <w:b/>
          <w:bCs/>
          <w:caps/>
          <w:snapToGrid w:val="0"/>
          <w:sz w:val="20"/>
          <w:szCs w:val="20"/>
          <w:lang w:val="en-US"/>
        </w:rPr>
        <w:t>VI</w:t>
      </w:r>
      <w:r w:rsidRPr="009D52FD">
        <w:rPr>
          <w:rFonts w:cs="Verdana"/>
          <w:b/>
          <w:bCs/>
          <w:caps/>
          <w:snapToGrid w:val="0"/>
          <w:sz w:val="20"/>
          <w:szCs w:val="20"/>
          <w:lang w:val="en-US"/>
        </w:rPr>
        <w:br/>
      </w:r>
      <w:r w:rsidR="00315BAF" w:rsidRPr="009D52FD">
        <w:rPr>
          <w:rFonts w:cs="Verdana"/>
          <w:b/>
          <w:bCs/>
          <w:caps/>
          <w:snapToGrid w:val="0"/>
          <w:sz w:val="20"/>
          <w:szCs w:val="20"/>
          <w:lang w:val="en-US"/>
        </w:rPr>
        <w:t>EVIDENCE</w:t>
      </w:r>
      <w:bookmarkEnd w:id="38"/>
      <w:bookmarkEnd w:id="39"/>
      <w:bookmarkEnd w:id="40"/>
      <w:bookmarkEnd w:id="41"/>
      <w:bookmarkEnd w:id="42"/>
    </w:p>
    <w:p w14:paraId="75B6F235" w14:textId="77777777" w:rsidR="00652A11" w:rsidRPr="009D52FD" w:rsidRDefault="00652A11" w:rsidP="00652A11">
      <w:pPr>
        <w:spacing w:line="240" w:lineRule="auto"/>
        <w:rPr>
          <w:sz w:val="20"/>
          <w:szCs w:val="20"/>
          <w:lang w:val="en-US"/>
        </w:rPr>
      </w:pPr>
    </w:p>
    <w:p w14:paraId="0676D11F" w14:textId="3D581EB7" w:rsidR="00652A11" w:rsidRPr="009D52FD" w:rsidRDefault="00652A11" w:rsidP="00652A11">
      <w:pPr>
        <w:keepNext/>
        <w:keepLines/>
        <w:tabs>
          <w:tab w:val="left" w:pos="1134"/>
        </w:tabs>
        <w:spacing w:line="240" w:lineRule="auto"/>
        <w:ind w:left="567" w:firstLine="1"/>
        <w:outlineLvl w:val="1"/>
        <w:rPr>
          <w:rFonts w:eastAsia="MS Mincho"/>
          <w:b/>
          <w:bCs/>
          <w:i/>
          <w:sz w:val="20"/>
          <w:szCs w:val="20"/>
          <w:lang w:val="en-US"/>
        </w:rPr>
      </w:pPr>
      <w:bookmarkStart w:id="43" w:name="_Toc375517115"/>
      <w:bookmarkStart w:id="44" w:name="_Toc459158103"/>
      <w:bookmarkStart w:id="45" w:name="_Toc470180047"/>
      <w:bookmarkStart w:id="46" w:name="_Toc514172610"/>
      <w:bookmarkStart w:id="47" w:name="_Toc51400078"/>
      <w:r w:rsidRPr="009D52FD">
        <w:rPr>
          <w:rFonts w:eastAsia="MS Mincho"/>
          <w:b/>
          <w:bCs/>
          <w:i/>
          <w:sz w:val="20"/>
          <w:szCs w:val="20"/>
          <w:lang w:val="en-US"/>
        </w:rPr>
        <w:t>A.</w:t>
      </w:r>
      <w:r w:rsidRPr="009D52FD">
        <w:rPr>
          <w:rFonts w:eastAsia="MS Mincho"/>
          <w:b/>
          <w:bCs/>
          <w:i/>
          <w:sz w:val="20"/>
          <w:szCs w:val="20"/>
          <w:lang w:val="en-US"/>
        </w:rPr>
        <w:tab/>
      </w:r>
      <w:bookmarkEnd w:id="43"/>
      <w:bookmarkEnd w:id="44"/>
      <w:bookmarkEnd w:id="45"/>
      <w:bookmarkEnd w:id="46"/>
      <w:r w:rsidR="00997ADF" w:rsidRPr="009D52FD">
        <w:rPr>
          <w:rFonts w:eastAsia="MS Mincho"/>
          <w:b/>
          <w:bCs/>
          <w:i/>
          <w:sz w:val="20"/>
          <w:szCs w:val="20"/>
          <w:lang w:val="en-US"/>
        </w:rPr>
        <w:t>Admission of the evidence</w:t>
      </w:r>
      <w:bookmarkEnd w:id="47"/>
    </w:p>
    <w:p w14:paraId="17413B1A" w14:textId="77777777" w:rsidR="00652A11" w:rsidRPr="009D52FD" w:rsidRDefault="00652A11" w:rsidP="00652A11">
      <w:pPr>
        <w:spacing w:line="240" w:lineRule="auto"/>
        <w:rPr>
          <w:bCs/>
          <w:i/>
          <w:sz w:val="20"/>
          <w:szCs w:val="20"/>
          <w:lang w:val="en-US"/>
        </w:rPr>
      </w:pPr>
    </w:p>
    <w:p w14:paraId="3C8507B2" w14:textId="61E5D868" w:rsidR="00652A11" w:rsidRPr="009D52FD" w:rsidRDefault="00AB46B0" w:rsidP="00652A11">
      <w:pPr>
        <w:pStyle w:val="Heading2"/>
        <w:tabs>
          <w:tab w:val="left" w:pos="1843"/>
        </w:tabs>
        <w:spacing w:before="0" w:line="240" w:lineRule="auto"/>
        <w:ind w:left="1134"/>
        <w:rPr>
          <w:rFonts w:ascii="Verdana" w:hAnsi="Verdana"/>
          <w:b w:val="0"/>
          <w:i/>
          <w:color w:val="auto"/>
          <w:sz w:val="20"/>
          <w:szCs w:val="20"/>
          <w:lang w:val="en-US"/>
        </w:rPr>
      </w:pPr>
      <w:bookmarkStart w:id="48" w:name="_Toc375517117"/>
      <w:bookmarkStart w:id="49" w:name="_Toc459158105"/>
      <w:bookmarkStart w:id="50" w:name="_Toc470180049"/>
      <w:bookmarkStart w:id="51" w:name="_Toc514172612"/>
      <w:bookmarkStart w:id="52" w:name="_Toc51400079"/>
      <w:r w:rsidRPr="009D52FD">
        <w:rPr>
          <w:rFonts w:ascii="Verdana" w:hAnsi="Verdana"/>
          <w:b w:val="0"/>
          <w:i/>
          <w:color w:val="auto"/>
          <w:sz w:val="20"/>
          <w:szCs w:val="20"/>
          <w:lang w:val="en-US"/>
        </w:rPr>
        <w:t>A</w:t>
      </w:r>
      <w:r w:rsidR="00652A11" w:rsidRPr="009D52FD">
        <w:rPr>
          <w:rFonts w:ascii="Verdana" w:hAnsi="Verdana"/>
          <w:b w:val="0"/>
          <w:i/>
          <w:color w:val="auto"/>
          <w:sz w:val="20"/>
          <w:szCs w:val="20"/>
          <w:lang w:val="en-US"/>
        </w:rPr>
        <w:t xml:space="preserve">.1 </w:t>
      </w:r>
      <w:r w:rsidR="00652A11" w:rsidRPr="009D52FD">
        <w:rPr>
          <w:rFonts w:ascii="Verdana" w:hAnsi="Verdana"/>
          <w:b w:val="0"/>
          <w:i/>
          <w:color w:val="auto"/>
          <w:sz w:val="20"/>
          <w:szCs w:val="20"/>
          <w:lang w:val="en-US"/>
        </w:rPr>
        <w:tab/>
      </w:r>
      <w:r w:rsidR="00997ADF" w:rsidRPr="009D52FD">
        <w:rPr>
          <w:rFonts w:ascii="Verdana" w:hAnsi="Verdana"/>
          <w:b w:val="0"/>
          <w:i/>
          <w:color w:val="auto"/>
          <w:sz w:val="20"/>
          <w:szCs w:val="20"/>
          <w:lang w:val="en-US"/>
        </w:rPr>
        <w:t>Admission of the documentary evidence</w:t>
      </w:r>
      <w:bookmarkEnd w:id="48"/>
      <w:bookmarkEnd w:id="49"/>
      <w:bookmarkEnd w:id="50"/>
      <w:bookmarkEnd w:id="51"/>
      <w:bookmarkEnd w:id="52"/>
    </w:p>
    <w:p w14:paraId="56851ACB" w14:textId="77777777" w:rsidR="00652A11" w:rsidRPr="009D52FD" w:rsidRDefault="00652A11" w:rsidP="00652A11">
      <w:pPr>
        <w:widowControl/>
        <w:tabs>
          <w:tab w:val="left" w:pos="567"/>
        </w:tabs>
        <w:autoSpaceDE w:val="0"/>
        <w:autoSpaceDN w:val="0"/>
        <w:adjustRightInd/>
        <w:spacing w:line="240" w:lineRule="auto"/>
        <w:textAlignment w:val="auto"/>
        <w:rPr>
          <w:rFonts w:cs="Verdana"/>
          <w:sz w:val="20"/>
          <w:szCs w:val="20"/>
          <w:lang w:val="en-US" w:eastAsia="en-US"/>
        </w:rPr>
      </w:pPr>
    </w:p>
    <w:p w14:paraId="4B61C380" w14:textId="035C7F97" w:rsidR="00652A11" w:rsidRPr="009D52FD" w:rsidRDefault="0024513F" w:rsidP="00B74D4B">
      <w:pPr>
        <w:widowControl/>
        <w:numPr>
          <w:ilvl w:val="0"/>
          <w:numId w:val="1"/>
        </w:numPr>
        <w:tabs>
          <w:tab w:val="left" w:pos="567"/>
          <w:tab w:val="num" w:pos="1569"/>
          <w:tab w:val="num" w:pos="12305"/>
        </w:tabs>
        <w:autoSpaceDE w:val="0"/>
        <w:autoSpaceDN w:val="0"/>
        <w:spacing w:line="240" w:lineRule="auto"/>
        <w:ind w:left="0" w:firstLine="0"/>
        <w:textAlignment w:val="auto"/>
        <w:rPr>
          <w:sz w:val="20"/>
          <w:szCs w:val="20"/>
          <w:lang w:val="en-US"/>
        </w:rPr>
      </w:pPr>
      <w:r w:rsidRPr="009D52FD">
        <w:rPr>
          <w:sz w:val="20"/>
          <w:szCs w:val="20"/>
          <w:lang w:val="en-US"/>
        </w:rPr>
        <w:t xml:space="preserve">In this case, as in others, the Court admits the probative value of those documents presented by the parties and by </w:t>
      </w:r>
      <w:r w:rsidR="003630BB" w:rsidRPr="009D52FD">
        <w:rPr>
          <w:sz w:val="20"/>
          <w:szCs w:val="20"/>
          <w:lang w:val="en-US"/>
        </w:rPr>
        <w:t>the Commission</w:t>
      </w:r>
      <w:r w:rsidR="00652A11" w:rsidRPr="009D52FD">
        <w:rPr>
          <w:sz w:val="20"/>
          <w:szCs w:val="20"/>
          <w:lang w:val="en-US"/>
        </w:rPr>
        <w:t xml:space="preserve"> </w:t>
      </w:r>
      <w:r w:rsidRPr="009D52FD">
        <w:rPr>
          <w:sz w:val="20"/>
          <w:szCs w:val="20"/>
          <w:lang w:val="en-US"/>
        </w:rPr>
        <w:t xml:space="preserve">at the appropriate procedural moment, that were not contested or </w:t>
      </w:r>
      <w:r w:rsidR="007E2B01" w:rsidRPr="009D52FD">
        <w:rPr>
          <w:sz w:val="20"/>
          <w:szCs w:val="20"/>
          <w:lang w:val="en-US"/>
        </w:rPr>
        <w:t>opposed</w:t>
      </w:r>
      <w:r w:rsidRPr="009D52FD">
        <w:rPr>
          <w:sz w:val="20"/>
          <w:szCs w:val="20"/>
          <w:lang w:val="en-US"/>
        </w:rPr>
        <w:t xml:space="preserve"> and the authenticity of which was not </w:t>
      </w:r>
      <w:r w:rsidR="00E666B5" w:rsidRPr="009D52FD">
        <w:rPr>
          <w:sz w:val="20"/>
          <w:szCs w:val="20"/>
          <w:lang w:val="en-US"/>
        </w:rPr>
        <w:t>questioned</w:t>
      </w:r>
      <w:r w:rsidRPr="009D52FD">
        <w:rPr>
          <w:sz w:val="20"/>
          <w:szCs w:val="20"/>
          <w:lang w:val="en-US"/>
        </w:rPr>
        <w:t>.</w:t>
      </w:r>
    </w:p>
    <w:p w14:paraId="0095D29B" w14:textId="77777777" w:rsidR="00652A11" w:rsidRPr="009D52FD" w:rsidRDefault="00652A11" w:rsidP="00652A11">
      <w:pPr>
        <w:widowControl/>
        <w:tabs>
          <w:tab w:val="left" w:pos="720"/>
        </w:tabs>
        <w:adjustRightInd/>
        <w:spacing w:line="240" w:lineRule="auto"/>
        <w:ind w:right="-90"/>
        <w:textAlignment w:val="auto"/>
        <w:rPr>
          <w:sz w:val="20"/>
          <w:szCs w:val="20"/>
          <w:lang w:val="en-US"/>
        </w:rPr>
      </w:pPr>
    </w:p>
    <w:p w14:paraId="0EBD3444" w14:textId="64A47201" w:rsidR="00896E0A" w:rsidRPr="009D52FD" w:rsidRDefault="0024513F" w:rsidP="0024513F">
      <w:pPr>
        <w:widowControl/>
        <w:numPr>
          <w:ilvl w:val="0"/>
          <w:numId w:val="1"/>
        </w:numPr>
        <w:tabs>
          <w:tab w:val="left" w:pos="567"/>
          <w:tab w:val="num" w:pos="1569"/>
          <w:tab w:val="num" w:pos="12305"/>
        </w:tabs>
        <w:autoSpaceDE w:val="0"/>
        <w:autoSpaceDN w:val="0"/>
        <w:adjustRightInd/>
        <w:spacing w:line="240" w:lineRule="auto"/>
        <w:ind w:left="0" w:right="-90" w:firstLine="0"/>
        <w:textAlignment w:val="auto"/>
        <w:rPr>
          <w:sz w:val="20"/>
          <w:szCs w:val="20"/>
          <w:lang w:val="en-US"/>
        </w:rPr>
      </w:pPr>
      <w:r w:rsidRPr="009D52FD">
        <w:rPr>
          <w:rFonts w:eastAsia="Calibri"/>
          <w:sz w:val="20"/>
          <w:szCs w:val="20"/>
          <w:lang w:val="en-US"/>
        </w:rPr>
        <w:lastRenderedPageBreak/>
        <w:t xml:space="preserve">Following the presentation of their </w:t>
      </w:r>
      <w:r w:rsidR="002151C9" w:rsidRPr="009D52FD">
        <w:rPr>
          <w:rFonts w:eastAsia="Calibri"/>
          <w:sz w:val="20"/>
          <w:szCs w:val="20"/>
          <w:lang w:val="en-US"/>
        </w:rPr>
        <w:t>pleadings and motions</w:t>
      </w:r>
      <w:r w:rsidRPr="009D52FD">
        <w:rPr>
          <w:rFonts w:eastAsia="Calibri"/>
          <w:sz w:val="20"/>
          <w:szCs w:val="20"/>
          <w:lang w:val="en-US"/>
        </w:rPr>
        <w:t xml:space="preserve"> brief</w:t>
      </w:r>
      <w:r w:rsidR="008235F3" w:rsidRPr="009D52FD">
        <w:rPr>
          <w:rFonts w:eastAsia="Calibri"/>
          <w:sz w:val="20"/>
          <w:szCs w:val="20"/>
          <w:lang w:val="en-US"/>
        </w:rPr>
        <w:t>,</w:t>
      </w:r>
      <w:r w:rsidR="00B53657" w:rsidRPr="009D52FD">
        <w:rPr>
          <w:rFonts w:eastAsia="Calibri"/>
          <w:sz w:val="20"/>
          <w:szCs w:val="20"/>
          <w:lang w:val="en-US"/>
        </w:rPr>
        <w:t xml:space="preserve"> </w:t>
      </w:r>
      <w:r w:rsidR="003630BB" w:rsidRPr="009D52FD">
        <w:rPr>
          <w:sz w:val="20"/>
          <w:szCs w:val="20"/>
          <w:lang w:val="en-US"/>
        </w:rPr>
        <w:t>the representatives</w:t>
      </w:r>
      <w:r w:rsidR="00B53657" w:rsidRPr="009D52FD">
        <w:rPr>
          <w:sz w:val="20"/>
          <w:szCs w:val="20"/>
          <w:lang w:val="en-US"/>
        </w:rPr>
        <w:t xml:space="preserve"> </w:t>
      </w:r>
      <w:r w:rsidRPr="009D52FD">
        <w:rPr>
          <w:sz w:val="20"/>
          <w:szCs w:val="20"/>
          <w:lang w:val="en-US"/>
        </w:rPr>
        <w:t xml:space="preserve">forwarded, as supervening evidence, some annexes “corresponding to the risk portfolio of two insurance companies with regard to some of the medical expenses incurred by Linda Loaiza López [Soto].” This evidence had been announced in Annex 10.E to the </w:t>
      </w:r>
      <w:r w:rsidR="002151C9" w:rsidRPr="009D52FD">
        <w:rPr>
          <w:rFonts w:eastAsia="Times"/>
          <w:sz w:val="20"/>
          <w:szCs w:val="20"/>
          <w:lang w:val="en-US"/>
        </w:rPr>
        <w:t>pleadings and motions</w:t>
      </w:r>
      <w:r w:rsidRPr="009D52FD">
        <w:rPr>
          <w:rFonts w:eastAsia="Times"/>
          <w:sz w:val="20"/>
          <w:szCs w:val="20"/>
          <w:lang w:val="en-US"/>
        </w:rPr>
        <w:t xml:space="preserve"> brief</w:t>
      </w:r>
      <w:r w:rsidR="00824E01" w:rsidRPr="009D52FD">
        <w:rPr>
          <w:rFonts w:eastAsia="Times"/>
          <w:sz w:val="20"/>
          <w:szCs w:val="20"/>
          <w:lang w:val="en-US"/>
        </w:rPr>
        <w:t>.</w:t>
      </w:r>
      <w:r w:rsidR="00B53657" w:rsidRPr="009D52FD">
        <w:rPr>
          <w:rFonts w:eastAsia="Times"/>
          <w:sz w:val="20"/>
          <w:szCs w:val="20"/>
          <w:lang w:val="en-US"/>
        </w:rPr>
        <w:t xml:space="preserve"> </w:t>
      </w:r>
      <w:r w:rsidR="00010713" w:rsidRPr="009D52FD">
        <w:rPr>
          <w:rFonts w:eastAsia="Times"/>
          <w:sz w:val="20"/>
          <w:szCs w:val="20"/>
          <w:lang w:val="en-US"/>
        </w:rPr>
        <w:t>A</w:t>
      </w:r>
      <w:r w:rsidRPr="009D52FD">
        <w:rPr>
          <w:rFonts w:eastAsia="Times"/>
          <w:sz w:val="20"/>
          <w:szCs w:val="20"/>
          <w:lang w:val="en-US"/>
        </w:rPr>
        <w:t xml:space="preserve">lso, during the </w:t>
      </w:r>
      <w:r w:rsidR="0002239A" w:rsidRPr="009D52FD">
        <w:rPr>
          <w:rFonts w:eastAsia="Times"/>
          <w:sz w:val="20"/>
          <w:szCs w:val="20"/>
          <w:lang w:val="en-US"/>
        </w:rPr>
        <w:t>public hearing</w:t>
      </w:r>
      <w:r w:rsidR="003074AD" w:rsidRPr="009D52FD">
        <w:rPr>
          <w:rFonts w:eastAsia="Times"/>
          <w:sz w:val="20"/>
          <w:szCs w:val="20"/>
          <w:lang w:val="en-US"/>
        </w:rPr>
        <w:t xml:space="preserve">, </w:t>
      </w:r>
      <w:r w:rsidRPr="009D52FD">
        <w:rPr>
          <w:rFonts w:eastAsia="Times"/>
          <w:sz w:val="20"/>
          <w:szCs w:val="20"/>
          <w:lang w:val="en-US"/>
        </w:rPr>
        <w:t>Ms.</w:t>
      </w:r>
      <w:r w:rsidR="003074AD" w:rsidRPr="009D52FD">
        <w:rPr>
          <w:rFonts w:eastAsia="Times"/>
          <w:sz w:val="20"/>
          <w:szCs w:val="20"/>
          <w:lang w:val="en-US"/>
        </w:rPr>
        <w:t xml:space="preserve"> </w:t>
      </w:r>
      <w:r w:rsidR="00E42EA4" w:rsidRPr="009D52FD">
        <w:rPr>
          <w:rFonts w:eastAsia="Times"/>
          <w:sz w:val="20"/>
          <w:szCs w:val="20"/>
          <w:lang w:val="en-US"/>
        </w:rPr>
        <w:t xml:space="preserve">López Soto </w:t>
      </w:r>
      <w:r w:rsidR="003074AD" w:rsidRPr="009D52FD">
        <w:rPr>
          <w:rFonts w:eastAsia="Times"/>
          <w:sz w:val="20"/>
          <w:szCs w:val="20"/>
          <w:lang w:val="en-US"/>
        </w:rPr>
        <w:t>present</w:t>
      </w:r>
      <w:r w:rsidRPr="009D52FD">
        <w:rPr>
          <w:rFonts w:eastAsia="Times"/>
          <w:sz w:val="20"/>
          <w:szCs w:val="20"/>
          <w:lang w:val="en-US"/>
        </w:rPr>
        <w:t xml:space="preserve">ed a copy of the complaint relating to a death threat – </w:t>
      </w:r>
      <w:r w:rsidR="00E42EA4" w:rsidRPr="009D52FD">
        <w:rPr>
          <w:sz w:val="20"/>
          <w:szCs w:val="20"/>
          <w:lang w:val="en-US"/>
        </w:rPr>
        <w:t xml:space="preserve">No. 1025-01 </w:t>
      </w:r>
      <w:r w:rsidRPr="009D52FD">
        <w:rPr>
          <w:sz w:val="20"/>
          <w:szCs w:val="20"/>
          <w:lang w:val="en-US"/>
        </w:rPr>
        <w:t>of May 26,</w:t>
      </w:r>
      <w:r w:rsidR="00E42EA4" w:rsidRPr="009D52FD">
        <w:rPr>
          <w:sz w:val="20"/>
          <w:szCs w:val="20"/>
          <w:lang w:val="en-US"/>
        </w:rPr>
        <w:t xml:space="preserve"> 2001.</w:t>
      </w:r>
      <w:r w:rsidRPr="009D52FD">
        <w:rPr>
          <w:sz w:val="20"/>
          <w:szCs w:val="20"/>
          <w:lang w:val="en-US"/>
        </w:rPr>
        <w:t xml:space="preserve"> Since the State did not contest these documents and they are useful for deciding the case, the Court admits them under</w:t>
      </w:r>
      <w:r w:rsidR="008633E2" w:rsidRPr="009D52FD">
        <w:rPr>
          <w:sz w:val="20"/>
          <w:szCs w:val="20"/>
          <w:lang w:val="en-US"/>
        </w:rPr>
        <w:t xml:space="preserve"> </w:t>
      </w:r>
      <w:r w:rsidR="003630BB" w:rsidRPr="009D52FD">
        <w:rPr>
          <w:sz w:val="20"/>
          <w:szCs w:val="20"/>
          <w:lang w:val="en-US"/>
        </w:rPr>
        <w:t>Article</w:t>
      </w:r>
      <w:r w:rsidRPr="009D52FD">
        <w:rPr>
          <w:sz w:val="20"/>
          <w:szCs w:val="20"/>
          <w:lang w:val="en-US"/>
        </w:rPr>
        <w:t xml:space="preserve"> </w:t>
      </w:r>
      <w:r w:rsidR="008633E2" w:rsidRPr="009D52FD">
        <w:rPr>
          <w:sz w:val="20"/>
          <w:szCs w:val="20"/>
          <w:lang w:val="en-US"/>
        </w:rPr>
        <w:t>58</w:t>
      </w:r>
      <w:r w:rsidRPr="009D52FD">
        <w:rPr>
          <w:sz w:val="20"/>
          <w:szCs w:val="20"/>
          <w:lang w:val="en-US"/>
        </w:rPr>
        <w:t>(</w:t>
      </w:r>
      <w:r w:rsidR="008633E2" w:rsidRPr="009D52FD">
        <w:rPr>
          <w:sz w:val="20"/>
          <w:szCs w:val="20"/>
          <w:lang w:val="en-US"/>
        </w:rPr>
        <w:t>a</w:t>
      </w:r>
      <w:r w:rsidRPr="009D52FD">
        <w:rPr>
          <w:sz w:val="20"/>
          <w:szCs w:val="20"/>
          <w:lang w:val="en-US"/>
        </w:rPr>
        <w:t>)</w:t>
      </w:r>
      <w:r w:rsidR="003630BB" w:rsidRPr="009D52FD">
        <w:rPr>
          <w:sz w:val="20"/>
          <w:szCs w:val="20"/>
          <w:lang w:val="en-US"/>
        </w:rPr>
        <w:t xml:space="preserve"> of the Rules of Procedure</w:t>
      </w:r>
      <w:r w:rsidR="008633E2" w:rsidRPr="009D52FD">
        <w:rPr>
          <w:sz w:val="20"/>
          <w:szCs w:val="20"/>
          <w:lang w:val="en-US"/>
        </w:rPr>
        <w:t>.</w:t>
      </w:r>
    </w:p>
    <w:p w14:paraId="0B8AD1C6" w14:textId="77777777" w:rsidR="00896E0A" w:rsidRPr="009D52FD" w:rsidRDefault="00896E0A" w:rsidP="00652A11">
      <w:pPr>
        <w:widowControl/>
        <w:tabs>
          <w:tab w:val="left" w:pos="720"/>
        </w:tabs>
        <w:adjustRightInd/>
        <w:spacing w:line="240" w:lineRule="auto"/>
        <w:ind w:right="-90"/>
        <w:textAlignment w:val="auto"/>
        <w:rPr>
          <w:sz w:val="20"/>
          <w:szCs w:val="20"/>
          <w:lang w:val="en-US"/>
        </w:rPr>
      </w:pPr>
    </w:p>
    <w:p w14:paraId="679E5954" w14:textId="20378CB9" w:rsidR="00792662" w:rsidRPr="009D52FD" w:rsidRDefault="0024513F" w:rsidP="00565380">
      <w:pPr>
        <w:widowControl/>
        <w:numPr>
          <w:ilvl w:val="0"/>
          <w:numId w:val="1"/>
        </w:numPr>
        <w:tabs>
          <w:tab w:val="left" w:pos="567"/>
          <w:tab w:val="num" w:pos="1569"/>
          <w:tab w:val="num" w:pos="12305"/>
        </w:tabs>
        <w:autoSpaceDE w:val="0"/>
        <w:autoSpaceDN w:val="0"/>
        <w:adjustRightInd/>
        <w:spacing w:line="240" w:lineRule="auto"/>
        <w:ind w:left="0" w:right="-90" w:firstLine="0"/>
        <w:textAlignment w:val="auto"/>
        <w:rPr>
          <w:sz w:val="20"/>
          <w:szCs w:val="20"/>
          <w:lang w:val="en-US"/>
        </w:rPr>
      </w:pPr>
      <w:r w:rsidRPr="009D52FD">
        <w:rPr>
          <w:sz w:val="20"/>
          <w:szCs w:val="20"/>
          <w:lang w:val="en-US" w:eastAsia="es-ES"/>
        </w:rPr>
        <w:t>With their final written</w:t>
      </w:r>
      <w:r w:rsidR="00853263" w:rsidRPr="009D52FD">
        <w:rPr>
          <w:sz w:val="20"/>
          <w:szCs w:val="20"/>
          <w:lang w:val="en-US" w:eastAsia="es-ES"/>
        </w:rPr>
        <w:t xml:space="preserve"> </w:t>
      </w:r>
      <w:r w:rsidR="00584DF8" w:rsidRPr="009D52FD">
        <w:rPr>
          <w:sz w:val="20"/>
          <w:szCs w:val="20"/>
          <w:lang w:val="en-US" w:eastAsia="es-ES"/>
        </w:rPr>
        <w:t>arguments</w:t>
      </w:r>
      <w:r w:rsidR="00853263" w:rsidRPr="009D52FD">
        <w:rPr>
          <w:sz w:val="20"/>
          <w:szCs w:val="20"/>
          <w:lang w:val="en-US" w:eastAsia="es-ES"/>
        </w:rPr>
        <w:t xml:space="preserve">, </w:t>
      </w:r>
      <w:r w:rsidR="003630BB" w:rsidRPr="009D52FD">
        <w:rPr>
          <w:sz w:val="20"/>
          <w:szCs w:val="20"/>
          <w:lang w:val="en-US" w:eastAsia="es-ES"/>
        </w:rPr>
        <w:t>the representatives</w:t>
      </w:r>
      <w:r w:rsidR="00853263" w:rsidRPr="009D52FD">
        <w:rPr>
          <w:sz w:val="20"/>
          <w:szCs w:val="20"/>
          <w:lang w:val="en-US" w:eastAsia="es-ES"/>
        </w:rPr>
        <w:t xml:space="preserve"> </w:t>
      </w:r>
      <w:r w:rsidRPr="009D52FD">
        <w:rPr>
          <w:sz w:val="20"/>
          <w:szCs w:val="20"/>
          <w:lang w:val="en-US" w:eastAsia="es-ES"/>
        </w:rPr>
        <w:t>forwarded</w:t>
      </w:r>
      <w:r w:rsidR="00853263" w:rsidRPr="009D52FD">
        <w:rPr>
          <w:sz w:val="20"/>
          <w:szCs w:val="20"/>
          <w:lang w:val="en-US" w:eastAsia="es-ES"/>
        </w:rPr>
        <w:t xml:space="preserve">: </w:t>
      </w:r>
      <w:r w:rsidRPr="009D52FD">
        <w:rPr>
          <w:sz w:val="20"/>
          <w:szCs w:val="20"/>
          <w:lang w:val="en-US" w:eastAsia="es-ES"/>
        </w:rPr>
        <w:t>(</w:t>
      </w:r>
      <w:r w:rsidR="00853263" w:rsidRPr="009D52FD">
        <w:rPr>
          <w:sz w:val="20"/>
          <w:szCs w:val="20"/>
          <w:lang w:val="en-US" w:eastAsia="es-ES"/>
        </w:rPr>
        <w:t xml:space="preserve">i) </w:t>
      </w:r>
      <w:r w:rsidRPr="009D52FD">
        <w:rPr>
          <w:sz w:val="20"/>
          <w:szCs w:val="20"/>
          <w:lang w:val="en-US" w:eastAsia="es-ES"/>
        </w:rPr>
        <w:t xml:space="preserve">a brief addressed to the </w:t>
      </w:r>
      <w:r w:rsidR="00565380" w:rsidRPr="009D52FD">
        <w:rPr>
          <w:sz w:val="20"/>
          <w:szCs w:val="20"/>
          <w:lang w:val="en-US" w:eastAsia="es-ES"/>
        </w:rPr>
        <w:t>Senior Public Prosecutor</w:t>
      </w:r>
      <w:r w:rsidR="007D50B4" w:rsidRPr="009D52FD">
        <w:rPr>
          <w:sz w:val="20"/>
          <w:szCs w:val="20"/>
          <w:lang w:val="en-US" w:eastAsia="es-ES"/>
        </w:rPr>
        <w:t xml:space="preserve"> </w:t>
      </w:r>
      <w:r w:rsidR="00565380" w:rsidRPr="009D52FD">
        <w:rPr>
          <w:sz w:val="20"/>
          <w:szCs w:val="20"/>
          <w:lang w:val="en-US" w:eastAsia="es-ES"/>
        </w:rPr>
        <w:t>of the Judicial District</w:t>
      </w:r>
      <w:r w:rsidR="007D50B4" w:rsidRPr="009D52FD">
        <w:rPr>
          <w:sz w:val="20"/>
          <w:szCs w:val="20"/>
          <w:lang w:val="en-US" w:eastAsia="es-ES"/>
        </w:rPr>
        <w:t xml:space="preserve"> </w:t>
      </w:r>
      <w:r w:rsidR="00565380" w:rsidRPr="009D52FD">
        <w:rPr>
          <w:sz w:val="20"/>
          <w:szCs w:val="20"/>
          <w:lang w:val="en-US" w:eastAsia="es-ES"/>
        </w:rPr>
        <w:t>of the Caracas Metropolitan Area</w:t>
      </w:r>
      <w:r w:rsidR="007D50B4" w:rsidRPr="009D52FD">
        <w:rPr>
          <w:sz w:val="20"/>
          <w:szCs w:val="20"/>
          <w:lang w:val="en-US" w:eastAsia="es-ES"/>
        </w:rPr>
        <w:t xml:space="preserve"> d</w:t>
      </w:r>
      <w:r w:rsidR="00565380" w:rsidRPr="009D52FD">
        <w:rPr>
          <w:sz w:val="20"/>
          <w:szCs w:val="20"/>
          <w:lang w:val="en-US" w:eastAsia="es-ES"/>
        </w:rPr>
        <w:t xml:space="preserve">ated December 11, </w:t>
      </w:r>
      <w:r w:rsidR="007D50B4" w:rsidRPr="009D52FD">
        <w:rPr>
          <w:sz w:val="20"/>
          <w:szCs w:val="20"/>
          <w:lang w:val="en-US" w:eastAsia="es-ES"/>
        </w:rPr>
        <w:t>2017,</w:t>
      </w:r>
      <w:r w:rsidR="00565380" w:rsidRPr="009D52FD">
        <w:rPr>
          <w:sz w:val="20"/>
          <w:szCs w:val="20"/>
          <w:lang w:val="en-US" w:eastAsia="es-ES"/>
        </w:rPr>
        <w:t xml:space="preserve"> requesting information on the status of the criminal cases; (ii) medical insurance</w:t>
      </w:r>
      <w:r w:rsidR="00120E35" w:rsidRPr="009D52FD">
        <w:rPr>
          <w:sz w:val="20"/>
          <w:szCs w:val="20"/>
          <w:lang w:val="en-US" w:eastAsia="es-ES"/>
        </w:rPr>
        <w:t xml:space="preserve"> certificate</w:t>
      </w:r>
      <w:r w:rsidR="00565380" w:rsidRPr="009D52FD">
        <w:rPr>
          <w:sz w:val="20"/>
          <w:szCs w:val="20"/>
          <w:lang w:val="en-US" w:eastAsia="es-ES"/>
        </w:rPr>
        <w:t xml:space="preserve"> issued on April 11, 2017, and (iii) Report “</w:t>
      </w:r>
      <w:r w:rsidR="00565380" w:rsidRPr="009D52FD">
        <w:rPr>
          <w:i/>
          <w:iCs/>
          <w:sz w:val="20"/>
          <w:szCs w:val="20"/>
          <w:lang w:val="en-US" w:eastAsia="es-ES"/>
        </w:rPr>
        <w:t>Mujeres al Límite</w:t>
      </w:r>
      <w:r w:rsidR="00565380" w:rsidRPr="009D52FD">
        <w:rPr>
          <w:sz w:val="20"/>
          <w:szCs w:val="20"/>
          <w:lang w:val="en-US" w:eastAsia="es-ES"/>
        </w:rPr>
        <w:t xml:space="preserve">” of November 2017. The State argued that this evidence was inadmissible because its presentation was time-barred. Indeed, according to </w:t>
      </w:r>
      <w:r w:rsidR="00565380" w:rsidRPr="009D52FD">
        <w:rPr>
          <w:sz w:val="20"/>
          <w:szCs w:val="20"/>
          <w:lang w:val="en-US"/>
        </w:rPr>
        <w:t>Article</w:t>
      </w:r>
      <w:r w:rsidR="00565380" w:rsidRPr="009D52FD">
        <w:rPr>
          <w:sz w:val="20"/>
          <w:szCs w:val="20"/>
          <w:lang w:val="en-US" w:eastAsia="es-ES"/>
        </w:rPr>
        <w:t xml:space="preserve"> 57(2) of the Rules of Procedure, the procedural opportunity for the presentation of documentary evidence is, in general, together with the briefs submitting the case or with </w:t>
      </w:r>
      <w:r w:rsidR="002151C9" w:rsidRPr="009D52FD">
        <w:rPr>
          <w:sz w:val="20"/>
          <w:szCs w:val="20"/>
          <w:lang w:val="en-US" w:eastAsia="es-ES"/>
        </w:rPr>
        <w:t>pleadings and motions</w:t>
      </w:r>
      <w:r w:rsidR="00565380" w:rsidRPr="009D52FD">
        <w:rPr>
          <w:sz w:val="20"/>
          <w:szCs w:val="20"/>
          <w:lang w:val="en-US" w:eastAsia="es-ES"/>
        </w:rPr>
        <w:t>, or the answering brief, as applicable. Consequently, since the late presentation was not justified by any of the exceptions established in the Rules of Procedure, and the evidence was not expressly requested by the Court as helpful evidence, the brief addressed to the Prosecutor will not be considered by the Court in its decision. In addition, the Court notes that the insurance certification is already included in the case file and was incorporated in the preceding paragraph. The Court admits the report “</w:t>
      </w:r>
      <w:r w:rsidR="00565380" w:rsidRPr="009D52FD">
        <w:rPr>
          <w:i/>
          <w:iCs/>
          <w:sz w:val="20"/>
          <w:szCs w:val="20"/>
          <w:lang w:val="en-US" w:eastAsia="es-ES"/>
        </w:rPr>
        <w:t>Mujeres al Límite</w:t>
      </w:r>
      <w:r w:rsidR="00565380" w:rsidRPr="009D52FD">
        <w:rPr>
          <w:sz w:val="20"/>
          <w:szCs w:val="20"/>
          <w:lang w:val="en-US" w:eastAsia="es-ES"/>
        </w:rPr>
        <w:t xml:space="preserve">” based on </w:t>
      </w:r>
      <w:r w:rsidR="00565380" w:rsidRPr="009D52FD">
        <w:rPr>
          <w:sz w:val="20"/>
          <w:szCs w:val="20"/>
          <w:lang w:val="en-US"/>
        </w:rPr>
        <w:t xml:space="preserve">Article 58 of the Rules of Procedure because it is useful for deciding this case. Lastly, the Court admits the documents presented by the representatives as vouchers for alleged supervening expenses that were incurred following the presentation </w:t>
      </w:r>
      <w:r w:rsidR="00523AF4" w:rsidRPr="009D52FD">
        <w:rPr>
          <w:iCs/>
          <w:sz w:val="20"/>
          <w:szCs w:val="20"/>
          <w:lang w:val="en-US"/>
        </w:rPr>
        <w:t xml:space="preserve">of the </w:t>
      </w:r>
      <w:r w:rsidR="002151C9" w:rsidRPr="009D52FD">
        <w:rPr>
          <w:iCs/>
          <w:sz w:val="20"/>
          <w:szCs w:val="20"/>
          <w:lang w:val="en-US"/>
        </w:rPr>
        <w:t>pleadings and motions</w:t>
      </w:r>
      <w:r w:rsidR="00D6018A" w:rsidRPr="009D52FD">
        <w:rPr>
          <w:iCs/>
          <w:sz w:val="20"/>
          <w:szCs w:val="20"/>
          <w:lang w:val="en-US"/>
        </w:rPr>
        <w:t xml:space="preserve"> brief</w:t>
      </w:r>
      <w:r w:rsidR="00A308A9" w:rsidRPr="009D52FD">
        <w:rPr>
          <w:iCs/>
          <w:sz w:val="20"/>
          <w:szCs w:val="20"/>
          <w:lang w:val="en-US"/>
        </w:rPr>
        <w:t>.</w:t>
      </w:r>
    </w:p>
    <w:p w14:paraId="40D5DD25" w14:textId="77777777" w:rsidR="005675BD" w:rsidRPr="009D52FD" w:rsidRDefault="005675BD" w:rsidP="00652A11">
      <w:pPr>
        <w:widowControl/>
        <w:tabs>
          <w:tab w:val="left" w:pos="567"/>
        </w:tabs>
        <w:adjustRightInd/>
        <w:spacing w:line="240" w:lineRule="auto"/>
        <w:ind w:right="-90"/>
        <w:textAlignment w:val="auto"/>
        <w:rPr>
          <w:sz w:val="20"/>
          <w:szCs w:val="20"/>
          <w:lang w:val="en-US"/>
        </w:rPr>
      </w:pPr>
    </w:p>
    <w:p w14:paraId="36C0549A" w14:textId="03ED3A12" w:rsidR="00565380" w:rsidRPr="009D52FD" w:rsidRDefault="007E2B01" w:rsidP="005675BD">
      <w:pPr>
        <w:widowControl/>
        <w:numPr>
          <w:ilvl w:val="0"/>
          <w:numId w:val="1"/>
        </w:numPr>
        <w:tabs>
          <w:tab w:val="left" w:pos="567"/>
          <w:tab w:val="num" w:pos="1569"/>
          <w:tab w:val="num" w:pos="12305"/>
        </w:tabs>
        <w:autoSpaceDE w:val="0"/>
        <w:autoSpaceDN w:val="0"/>
        <w:spacing w:line="240" w:lineRule="auto"/>
        <w:ind w:left="0" w:firstLine="0"/>
        <w:textAlignment w:val="auto"/>
        <w:rPr>
          <w:sz w:val="20"/>
          <w:szCs w:val="20"/>
          <w:lang w:val="en-US"/>
        </w:rPr>
      </w:pPr>
      <w:r w:rsidRPr="009D52FD">
        <w:rPr>
          <w:sz w:val="20"/>
          <w:szCs w:val="20"/>
          <w:lang w:val="en-US"/>
        </w:rPr>
        <w:t>The</w:t>
      </w:r>
      <w:r w:rsidR="003630BB" w:rsidRPr="009D52FD">
        <w:rPr>
          <w:sz w:val="20"/>
          <w:szCs w:val="20"/>
          <w:lang w:val="en-US"/>
        </w:rPr>
        <w:t xml:space="preserve"> Court</w:t>
      </w:r>
      <w:r w:rsidRPr="009D52FD">
        <w:rPr>
          <w:sz w:val="20"/>
          <w:szCs w:val="20"/>
          <w:lang w:val="en-US"/>
        </w:rPr>
        <w:t xml:space="preserve"> also</w:t>
      </w:r>
      <w:r w:rsidR="005675BD" w:rsidRPr="009D52FD">
        <w:rPr>
          <w:sz w:val="20"/>
          <w:szCs w:val="20"/>
          <w:lang w:val="en-US"/>
        </w:rPr>
        <w:t xml:space="preserve"> </w:t>
      </w:r>
      <w:r w:rsidR="00565380" w:rsidRPr="009D52FD">
        <w:rPr>
          <w:sz w:val="20"/>
          <w:szCs w:val="20"/>
          <w:lang w:val="en-US"/>
        </w:rPr>
        <w:t xml:space="preserve">finds it appropriate to admit the documents provided by the State that were requested by </w:t>
      </w:r>
      <w:r w:rsidR="003630BB" w:rsidRPr="009D52FD">
        <w:rPr>
          <w:sz w:val="20"/>
          <w:szCs w:val="20"/>
          <w:lang w:val="en-US"/>
        </w:rPr>
        <w:t>the Court</w:t>
      </w:r>
      <w:r w:rsidR="005675BD" w:rsidRPr="009D52FD">
        <w:rPr>
          <w:sz w:val="20"/>
          <w:szCs w:val="20"/>
          <w:lang w:val="en-US"/>
        </w:rPr>
        <w:t>,</w:t>
      </w:r>
      <w:r w:rsidR="00565380" w:rsidRPr="009D52FD">
        <w:rPr>
          <w:sz w:val="20"/>
          <w:szCs w:val="20"/>
          <w:lang w:val="en-US"/>
        </w:rPr>
        <w:t xml:space="preserve"> its President or judges as useful evidence pursuant to the provisions</w:t>
      </w:r>
      <w:r w:rsidR="005675BD" w:rsidRPr="009D52FD">
        <w:rPr>
          <w:sz w:val="20"/>
          <w:szCs w:val="20"/>
          <w:lang w:val="en-US"/>
        </w:rPr>
        <w:t xml:space="preserve"> </w:t>
      </w:r>
      <w:r w:rsidR="00565380" w:rsidRPr="009D52FD">
        <w:rPr>
          <w:sz w:val="20"/>
          <w:szCs w:val="20"/>
          <w:lang w:val="en-US"/>
        </w:rPr>
        <w:t>of</w:t>
      </w:r>
      <w:r w:rsidR="005675BD" w:rsidRPr="009D52FD">
        <w:rPr>
          <w:sz w:val="20"/>
          <w:szCs w:val="20"/>
          <w:lang w:val="en-US"/>
        </w:rPr>
        <w:t xml:space="preserve"> </w:t>
      </w:r>
      <w:r w:rsidR="003630BB" w:rsidRPr="009D52FD">
        <w:rPr>
          <w:sz w:val="20"/>
          <w:szCs w:val="20"/>
          <w:lang w:val="en-US"/>
        </w:rPr>
        <w:t>Article</w:t>
      </w:r>
      <w:r w:rsidR="005675BD" w:rsidRPr="009D52FD">
        <w:rPr>
          <w:sz w:val="20"/>
          <w:szCs w:val="20"/>
          <w:lang w:val="en-US"/>
        </w:rPr>
        <w:t xml:space="preserve"> 58</w:t>
      </w:r>
      <w:r w:rsidR="003630BB" w:rsidRPr="009D52FD">
        <w:rPr>
          <w:sz w:val="20"/>
          <w:szCs w:val="20"/>
          <w:lang w:val="en-US"/>
        </w:rPr>
        <w:t xml:space="preserve"> of the Rules of Procedure of the Court</w:t>
      </w:r>
      <w:r w:rsidR="005675BD" w:rsidRPr="009D52FD">
        <w:rPr>
          <w:sz w:val="20"/>
          <w:szCs w:val="20"/>
          <w:lang w:val="en-US"/>
        </w:rPr>
        <w:t xml:space="preserve"> (</w:t>
      </w:r>
      <w:r w:rsidR="005675BD" w:rsidRPr="009D52FD">
        <w:rPr>
          <w:i/>
          <w:sz w:val="20"/>
          <w:szCs w:val="20"/>
          <w:lang w:val="en-US"/>
        </w:rPr>
        <w:t>supra</w:t>
      </w:r>
      <w:r w:rsidR="005675BD" w:rsidRPr="009D52FD">
        <w:rPr>
          <w:sz w:val="20"/>
          <w:szCs w:val="20"/>
          <w:lang w:val="en-US"/>
        </w:rPr>
        <w:t xml:space="preserve"> </w:t>
      </w:r>
      <w:r w:rsidR="009459E7" w:rsidRPr="009D52FD">
        <w:rPr>
          <w:sz w:val="20"/>
          <w:szCs w:val="20"/>
          <w:lang w:val="en-US"/>
        </w:rPr>
        <w:t>paras.</w:t>
      </w:r>
      <w:r w:rsidR="005675BD" w:rsidRPr="009D52FD">
        <w:rPr>
          <w:sz w:val="20"/>
          <w:szCs w:val="20"/>
          <w:lang w:val="en-US"/>
        </w:rPr>
        <w:t xml:space="preserve"> </w:t>
      </w:r>
      <w:r w:rsidR="001930E0" w:rsidRPr="009D52FD">
        <w:rPr>
          <w:sz w:val="20"/>
          <w:szCs w:val="20"/>
          <w:lang w:val="en-US"/>
        </w:rPr>
        <w:t>9</w:t>
      </w:r>
      <w:r w:rsidR="003630BB" w:rsidRPr="009D52FD">
        <w:rPr>
          <w:sz w:val="20"/>
          <w:szCs w:val="20"/>
          <w:lang w:val="en-US"/>
        </w:rPr>
        <w:t xml:space="preserve"> and </w:t>
      </w:r>
      <w:r w:rsidR="001930E0" w:rsidRPr="009D52FD">
        <w:rPr>
          <w:sz w:val="20"/>
          <w:szCs w:val="20"/>
          <w:lang w:val="en-US"/>
        </w:rPr>
        <w:t>14</w:t>
      </w:r>
      <w:r w:rsidR="005675BD" w:rsidRPr="009D52FD">
        <w:rPr>
          <w:sz w:val="20"/>
          <w:szCs w:val="20"/>
          <w:lang w:val="en-US"/>
        </w:rPr>
        <w:t xml:space="preserve">). </w:t>
      </w:r>
      <w:r w:rsidR="003630BB" w:rsidRPr="009D52FD">
        <w:rPr>
          <w:sz w:val="20"/>
          <w:szCs w:val="20"/>
          <w:lang w:val="en-US"/>
        </w:rPr>
        <w:t>The representatives</w:t>
      </w:r>
      <w:r w:rsidR="005675BD" w:rsidRPr="009D52FD">
        <w:rPr>
          <w:sz w:val="20"/>
          <w:szCs w:val="20"/>
          <w:lang w:val="en-US"/>
        </w:rPr>
        <w:t xml:space="preserve"> </w:t>
      </w:r>
      <w:r w:rsidR="00565380" w:rsidRPr="009D52FD">
        <w:rPr>
          <w:sz w:val="20"/>
          <w:szCs w:val="20"/>
          <w:lang w:val="en-US"/>
        </w:rPr>
        <w:t xml:space="preserve">questioned the content of the copy of the domestic judicial case file that was </w:t>
      </w:r>
      <w:r w:rsidRPr="009D52FD">
        <w:rPr>
          <w:sz w:val="20"/>
          <w:szCs w:val="20"/>
          <w:lang w:val="en-US"/>
        </w:rPr>
        <w:t>provided</w:t>
      </w:r>
      <w:r w:rsidR="00565380" w:rsidRPr="009D52FD">
        <w:rPr>
          <w:sz w:val="20"/>
          <w:szCs w:val="20"/>
          <w:lang w:val="en-US"/>
        </w:rPr>
        <w:t xml:space="preserve"> because allegedly it was not complete. The State presented clarifications and explanations on the correct order of the volumes provided and the page numbering. However, the Court notes that some procedural documents that </w:t>
      </w:r>
      <w:r w:rsidRPr="009D52FD">
        <w:rPr>
          <w:sz w:val="20"/>
          <w:szCs w:val="20"/>
          <w:lang w:val="en-US"/>
        </w:rPr>
        <w:t>form</w:t>
      </w:r>
      <w:r w:rsidR="00565380" w:rsidRPr="009D52FD">
        <w:rPr>
          <w:sz w:val="20"/>
          <w:szCs w:val="20"/>
          <w:lang w:val="en-US"/>
        </w:rPr>
        <w:t xml:space="preserve"> part of the domestic judicial case file are partially illegible or incomplete. </w:t>
      </w:r>
    </w:p>
    <w:p w14:paraId="5A9B748B" w14:textId="77777777" w:rsidR="005675BD" w:rsidRPr="009D52FD" w:rsidRDefault="005675BD" w:rsidP="005675BD">
      <w:pPr>
        <w:widowControl/>
        <w:tabs>
          <w:tab w:val="left" w:pos="567"/>
          <w:tab w:val="num" w:pos="12305"/>
        </w:tabs>
        <w:autoSpaceDE w:val="0"/>
        <w:autoSpaceDN w:val="0"/>
        <w:spacing w:line="240" w:lineRule="auto"/>
        <w:textAlignment w:val="auto"/>
        <w:rPr>
          <w:sz w:val="20"/>
          <w:szCs w:val="20"/>
          <w:lang w:val="en-US"/>
        </w:rPr>
      </w:pPr>
    </w:p>
    <w:p w14:paraId="18D2DBB4" w14:textId="6942FC26" w:rsidR="005675BD" w:rsidRPr="009D52FD" w:rsidRDefault="00565380" w:rsidP="005810D1">
      <w:pPr>
        <w:widowControl/>
        <w:numPr>
          <w:ilvl w:val="0"/>
          <w:numId w:val="1"/>
        </w:numPr>
        <w:tabs>
          <w:tab w:val="left" w:pos="567"/>
          <w:tab w:val="num" w:pos="1569"/>
          <w:tab w:val="num" w:pos="12305"/>
        </w:tabs>
        <w:autoSpaceDE w:val="0"/>
        <w:autoSpaceDN w:val="0"/>
        <w:adjustRightInd/>
        <w:spacing w:line="240" w:lineRule="auto"/>
        <w:ind w:left="0" w:right="-90" w:firstLine="0"/>
        <w:textAlignment w:val="auto"/>
        <w:rPr>
          <w:rFonts w:eastAsiaTheme="minorHAnsi" w:cs="Arial"/>
          <w:sz w:val="20"/>
          <w:szCs w:val="20"/>
          <w:lang w:val="en-US" w:eastAsia="en-US"/>
        </w:rPr>
      </w:pPr>
      <w:r w:rsidRPr="009D52FD">
        <w:rPr>
          <w:sz w:val="20"/>
          <w:szCs w:val="20"/>
          <w:lang w:val="en-US"/>
        </w:rPr>
        <w:t xml:space="preserve">In addition, the Court notes that the State did not present certain helpful evidence requested during the </w:t>
      </w:r>
      <w:r w:rsidR="0002239A" w:rsidRPr="009D52FD">
        <w:rPr>
          <w:sz w:val="20"/>
          <w:szCs w:val="20"/>
          <w:lang w:val="en-US"/>
        </w:rPr>
        <w:t>public hearing</w:t>
      </w:r>
      <w:r w:rsidR="005675BD" w:rsidRPr="009D52FD">
        <w:rPr>
          <w:sz w:val="20"/>
          <w:szCs w:val="20"/>
          <w:lang w:val="en-US"/>
        </w:rPr>
        <w:t xml:space="preserve">. </w:t>
      </w:r>
      <w:r w:rsidRPr="009D52FD">
        <w:rPr>
          <w:sz w:val="20"/>
          <w:szCs w:val="20"/>
          <w:lang w:val="en-US"/>
        </w:rPr>
        <w:t xml:space="preserve">Specifically, it failed to forward a </w:t>
      </w:r>
      <w:r w:rsidR="005810D1" w:rsidRPr="009D52FD">
        <w:rPr>
          <w:sz w:val="20"/>
          <w:szCs w:val="20"/>
          <w:lang w:val="en-US"/>
        </w:rPr>
        <w:t xml:space="preserve">copy of the record of </w:t>
      </w:r>
      <w:r w:rsidR="007E2B01" w:rsidRPr="009D52FD">
        <w:rPr>
          <w:sz w:val="20"/>
          <w:szCs w:val="20"/>
          <w:lang w:val="en-US"/>
        </w:rPr>
        <w:t>persons</w:t>
      </w:r>
      <w:r w:rsidR="005810D1" w:rsidRPr="009D52FD">
        <w:rPr>
          <w:sz w:val="20"/>
          <w:szCs w:val="20"/>
          <w:lang w:val="en-US"/>
        </w:rPr>
        <w:t xml:space="preserve"> who had </w:t>
      </w:r>
      <w:r w:rsidR="007E2B01" w:rsidRPr="009D52FD">
        <w:rPr>
          <w:sz w:val="20"/>
          <w:szCs w:val="20"/>
          <w:lang w:val="en-US"/>
        </w:rPr>
        <w:t>filed</w:t>
      </w:r>
      <w:r w:rsidR="005810D1" w:rsidRPr="009D52FD">
        <w:rPr>
          <w:sz w:val="20"/>
          <w:szCs w:val="20"/>
          <w:lang w:val="en-US"/>
        </w:rPr>
        <w:t xml:space="preserve"> complaints </w:t>
      </w:r>
      <w:r w:rsidR="007E2B01" w:rsidRPr="009D52FD">
        <w:rPr>
          <w:sz w:val="20"/>
          <w:szCs w:val="20"/>
          <w:lang w:val="en-US"/>
        </w:rPr>
        <w:t>with</w:t>
      </w:r>
      <w:r w:rsidR="005810D1" w:rsidRPr="009D52FD">
        <w:rPr>
          <w:sz w:val="20"/>
          <w:szCs w:val="20"/>
          <w:lang w:val="en-US"/>
        </w:rPr>
        <w:t xml:space="preserve"> the Judicial Technical Police located in Urdaneta Avenue, from March to July 2001, as well as any other complaint that had been </w:t>
      </w:r>
      <w:r w:rsidR="007E2B01" w:rsidRPr="009D52FD">
        <w:rPr>
          <w:sz w:val="20"/>
          <w:szCs w:val="20"/>
          <w:lang w:val="en-US"/>
        </w:rPr>
        <w:t xml:space="preserve">filed </w:t>
      </w:r>
      <w:r w:rsidR="005810D1" w:rsidRPr="009D52FD">
        <w:rPr>
          <w:sz w:val="20"/>
          <w:szCs w:val="20"/>
          <w:lang w:val="en-US"/>
        </w:rPr>
        <w:t>by Ana Secilia López Soto</w:t>
      </w:r>
      <w:r w:rsidR="007E2B01" w:rsidRPr="009D52FD">
        <w:rPr>
          <w:sz w:val="20"/>
          <w:szCs w:val="20"/>
          <w:lang w:val="en-US"/>
        </w:rPr>
        <w:t xml:space="preserve"> with a police station or entity</w:t>
      </w:r>
      <w:r w:rsidR="005810D1" w:rsidRPr="009D52FD">
        <w:rPr>
          <w:sz w:val="20"/>
          <w:szCs w:val="20"/>
          <w:lang w:val="en-US"/>
        </w:rPr>
        <w:t xml:space="preserve">. In this regard, the State indicated that, having requested the said documents from the </w:t>
      </w:r>
      <w:r w:rsidR="005810D1" w:rsidRPr="009D52FD">
        <w:rPr>
          <w:rFonts w:eastAsiaTheme="minorHAnsi" w:cs="Arial"/>
          <w:sz w:val="20"/>
          <w:szCs w:val="20"/>
          <w:lang w:val="en-US" w:eastAsia="en-US"/>
        </w:rPr>
        <w:t>Scientific, Criminal and Criminalistic Investigations Unit</w:t>
      </w:r>
      <w:r w:rsidR="005675BD" w:rsidRPr="009D52FD">
        <w:rPr>
          <w:rFonts w:eastAsiaTheme="minorHAnsi" w:cs="Arial"/>
          <w:sz w:val="20"/>
          <w:szCs w:val="20"/>
          <w:lang w:val="en-US" w:eastAsia="en-US"/>
        </w:rPr>
        <w:t xml:space="preserve">, </w:t>
      </w:r>
      <w:r w:rsidR="005810D1" w:rsidRPr="009D52FD">
        <w:rPr>
          <w:rFonts w:eastAsiaTheme="minorHAnsi" w:cs="Arial"/>
          <w:sz w:val="20"/>
          <w:szCs w:val="20"/>
          <w:lang w:val="en-US" w:eastAsia="en-US"/>
        </w:rPr>
        <w:t>it had been informed that they “were not available, because every 10 years many documents of an administrative nature are removed, mainly for reasons of physical space.</w:t>
      </w:r>
      <w:r w:rsidR="005675BD" w:rsidRPr="009D52FD">
        <w:rPr>
          <w:rFonts w:eastAsiaTheme="minorHAnsi" w:cs="Arial"/>
          <w:sz w:val="20"/>
          <w:szCs w:val="20"/>
          <w:lang w:val="en-US" w:eastAsia="en-US"/>
        </w:rPr>
        <w:t>”</w:t>
      </w:r>
      <w:r w:rsidR="005675BD" w:rsidRPr="009D52FD">
        <w:rPr>
          <w:rStyle w:val="FootnoteReference"/>
          <w:rFonts w:eastAsiaTheme="minorHAnsi" w:cs="Arial"/>
          <w:sz w:val="20"/>
          <w:szCs w:val="20"/>
          <w:lang w:val="en-US" w:eastAsia="en-US"/>
        </w:rPr>
        <w:footnoteReference w:id="29"/>
      </w:r>
      <w:r w:rsidR="005675BD" w:rsidRPr="009D52FD">
        <w:rPr>
          <w:rFonts w:eastAsiaTheme="minorHAnsi" w:cs="Arial"/>
          <w:sz w:val="20"/>
          <w:szCs w:val="20"/>
          <w:lang w:val="en-US" w:eastAsia="en-US"/>
        </w:rPr>
        <w:t xml:space="preserve"> </w:t>
      </w:r>
      <w:r w:rsidR="005810D1" w:rsidRPr="009D52FD">
        <w:rPr>
          <w:rFonts w:eastAsiaTheme="minorHAnsi" w:cs="Arial"/>
          <w:sz w:val="20"/>
          <w:szCs w:val="20"/>
          <w:lang w:val="en-US" w:eastAsia="en-US"/>
        </w:rPr>
        <w:t xml:space="preserve">Also, </w:t>
      </w:r>
      <w:r w:rsidR="001A30D4" w:rsidRPr="009D52FD">
        <w:rPr>
          <w:sz w:val="20"/>
          <w:szCs w:val="20"/>
          <w:lang w:val="en-US"/>
        </w:rPr>
        <w:t>Venezuela</w:t>
      </w:r>
      <w:r w:rsidR="005810D1" w:rsidRPr="009D52FD">
        <w:rPr>
          <w:sz w:val="20"/>
          <w:szCs w:val="20"/>
          <w:lang w:val="en-US"/>
        </w:rPr>
        <w:t xml:space="preserve"> did not forward a complete copy of the </w:t>
      </w:r>
      <w:r w:rsidR="007E2B01" w:rsidRPr="009D52FD">
        <w:rPr>
          <w:sz w:val="20"/>
          <w:szCs w:val="20"/>
          <w:lang w:val="en-US"/>
        </w:rPr>
        <w:t>report of</w:t>
      </w:r>
      <w:r w:rsidR="005810D1" w:rsidRPr="009D52FD">
        <w:rPr>
          <w:sz w:val="20"/>
          <w:szCs w:val="20"/>
          <w:lang w:val="en-US"/>
        </w:rPr>
        <w:t xml:space="preserve"> threats filed by</w:t>
      </w:r>
      <w:r w:rsidR="00FA46F9" w:rsidRPr="009D52FD">
        <w:rPr>
          <w:sz w:val="20"/>
          <w:szCs w:val="20"/>
          <w:lang w:val="en-US"/>
        </w:rPr>
        <w:t xml:space="preserve"> </w:t>
      </w:r>
      <w:r w:rsidR="005675BD" w:rsidRPr="009D52FD">
        <w:rPr>
          <w:sz w:val="20"/>
          <w:szCs w:val="20"/>
          <w:lang w:val="en-US"/>
        </w:rPr>
        <w:t xml:space="preserve">Ana Secilia López Soto </w:t>
      </w:r>
      <w:r w:rsidR="005810D1" w:rsidRPr="009D52FD">
        <w:rPr>
          <w:sz w:val="20"/>
          <w:szCs w:val="20"/>
          <w:lang w:val="en-US"/>
        </w:rPr>
        <w:t>against</w:t>
      </w:r>
      <w:r w:rsidR="005675BD" w:rsidRPr="009D52FD">
        <w:rPr>
          <w:sz w:val="20"/>
          <w:szCs w:val="20"/>
          <w:lang w:val="en-US"/>
        </w:rPr>
        <w:t xml:space="preserve"> Luis Antonio Carrera Almoina </w:t>
      </w:r>
      <w:r w:rsidR="005810D1" w:rsidRPr="009D52FD">
        <w:rPr>
          <w:sz w:val="20"/>
          <w:szCs w:val="20"/>
          <w:lang w:val="en-US"/>
        </w:rPr>
        <w:t xml:space="preserve">in May </w:t>
      </w:r>
      <w:r w:rsidR="005675BD" w:rsidRPr="009D52FD">
        <w:rPr>
          <w:sz w:val="20"/>
          <w:szCs w:val="20"/>
          <w:lang w:val="en-US"/>
        </w:rPr>
        <w:t>2001,</w:t>
      </w:r>
      <w:r w:rsidR="005810D1" w:rsidRPr="009D52FD">
        <w:rPr>
          <w:sz w:val="20"/>
          <w:szCs w:val="20"/>
          <w:lang w:val="en-US"/>
        </w:rPr>
        <w:t xml:space="preserve"> because it had been unable to locate this in the case file according to the certification sent. Instead, the State presented a copy of the corresponding section of the 2001</w:t>
      </w:r>
      <w:r w:rsidR="005810D1" w:rsidRPr="009D52FD">
        <w:rPr>
          <w:rFonts w:eastAsiaTheme="minorHAnsi" w:cs="Arial"/>
          <w:sz w:val="20"/>
          <w:szCs w:val="20"/>
          <w:lang w:val="en-US" w:eastAsia="en-US"/>
        </w:rPr>
        <w:t xml:space="preserve"> Annual Report</w:t>
      </w:r>
      <w:r w:rsidR="005675BD" w:rsidRPr="009D52FD">
        <w:rPr>
          <w:rFonts w:eastAsiaTheme="minorHAnsi" w:cs="Arial"/>
          <w:sz w:val="20"/>
          <w:szCs w:val="20"/>
          <w:lang w:val="en-US" w:eastAsia="en-US"/>
        </w:rPr>
        <w:t xml:space="preserve"> </w:t>
      </w:r>
      <w:r w:rsidR="005810D1" w:rsidRPr="009D52FD">
        <w:rPr>
          <w:rFonts w:eastAsiaTheme="minorHAnsi" w:cs="Arial"/>
          <w:sz w:val="20"/>
          <w:szCs w:val="20"/>
          <w:lang w:val="en-US" w:eastAsia="en-US"/>
        </w:rPr>
        <w:t>of the</w:t>
      </w:r>
      <w:r w:rsidR="005675BD" w:rsidRPr="009D52FD">
        <w:rPr>
          <w:rFonts w:eastAsiaTheme="minorHAnsi" w:cs="Arial"/>
          <w:sz w:val="20"/>
          <w:szCs w:val="20"/>
          <w:lang w:val="en-US" w:eastAsia="en-US"/>
        </w:rPr>
        <w:t xml:space="preserve"> </w:t>
      </w:r>
      <w:r w:rsidR="005810D1" w:rsidRPr="009D52FD">
        <w:rPr>
          <w:rFonts w:eastAsiaTheme="minorHAnsi" w:cs="Arial"/>
          <w:sz w:val="20"/>
          <w:szCs w:val="20"/>
          <w:lang w:val="en-US" w:eastAsia="en-US"/>
        </w:rPr>
        <w:t>Ministry of the Interior and Justice on the activities of the Scientific, Criminal and Criminalistic Investigations Unit</w:t>
      </w:r>
      <w:r w:rsidR="005675BD" w:rsidRPr="009D52FD">
        <w:rPr>
          <w:rFonts w:eastAsiaTheme="minorHAnsi" w:cs="Arial"/>
          <w:sz w:val="20"/>
          <w:szCs w:val="20"/>
          <w:lang w:val="en-US" w:eastAsia="en-US"/>
        </w:rPr>
        <w:t>,</w:t>
      </w:r>
      <w:r w:rsidR="005810D1" w:rsidRPr="009D52FD">
        <w:rPr>
          <w:rFonts w:eastAsiaTheme="minorHAnsi" w:cs="Arial"/>
          <w:sz w:val="20"/>
          <w:szCs w:val="20"/>
          <w:lang w:val="en-US" w:eastAsia="en-US"/>
        </w:rPr>
        <w:t xml:space="preserve"> which include</w:t>
      </w:r>
      <w:r w:rsidR="007E2B01" w:rsidRPr="009D52FD">
        <w:rPr>
          <w:rFonts w:eastAsiaTheme="minorHAnsi" w:cs="Arial"/>
          <w:sz w:val="20"/>
          <w:szCs w:val="20"/>
          <w:lang w:val="en-US" w:eastAsia="en-US"/>
        </w:rPr>
        <w:t>d</w:t>
      </w:r>
      <w:r w:rsidR="005810D1" w:rsidRPr="009D52FD">
        <w:rPr>
          <w:rFonts w:eastAsiaTheme="minorHAnsi" w:cs="Arial"/>
          <w:sz w:val="20"/>
          <w:szCs w:val="20"/>
          <w:lang w:val="en-US" w:eastAsia="en-US"/>
        </w:rPr>
        <w:t xml:space="preserve"> the statistics of the complaints received by this police agency during 2001. It </w:t>
      </w:r>
      <w:r w:rsidR="005810D1" w:rsidRPr="009D52FD">
        <w:rPr>
          <w:rFonts w:eastAsiaTheme="minorHAnsi" w:cs="Arial"/>
          <w:sz w:val="20"/>
          <w:szCs w:val="20"/>
          <w:lang w:val="en-US" w:eastAsia="en-US"/>
        </w:rPr>
        <w:lastRenderedPageBreak/>
        <w:t xml:space="preserve">also advised that “in the different police agencies, no </w:t>
      </w:r>
      <w:r w:rsidR="004707CB" w:rsidRPr="009D52FD">
        <w:rPr>
          <w:rFonts w:eastAsiaTheme="minorHAnsi" w:cs="Arial"/>
          <w:sz w:val="20"/>
          <w:szCs w:val="20"/>
          <w:lang w:val="en-US" w:eastAsia="en-US"/>
        </w:rPr>
        <w:t xml:space="preserve">report </w:t>
      </w:r>
      <w:r w:rsidR="005810D1" w:rsidRPr="009D52FD">
        <w:rPr>
          <w:rFonts w:eastAsiaTheme="minorHAnsi" w:cs="Arial"/>
          <w:sz w:val="20"/>
          <w:szCs w:val="20"/>
          <w:lang w:val="en-US" w:eastAsia="en-US"/>
        </w:rPr>
        <w:t>exists other than the one filed by the said citizen for death threat</w:t>
      </w:r>
      <w:r w:rsidR="004707CB" w:rsidRPr="009D52FD">
        <w:rPr>
          <w:rFonts w:eastAsiaTheme="minorHAnsi" w:cs="Arial"/>
          <w:sz w:val="20"/>
          <w:szCs w:val="20"/>
          <w:lang w:val="en-US" w:eastAsia="en-US"/>
        </w:rPr>
        <w:t>s</w:t>
      </w:r>
      <w:r w:rsidR="005810D1" w:rsidRPr="009D52FD">
        <w:rPr>
          <w:rFonts w:eastAsiaTheme="minorHAnsi" w:cs="Arial"/>
          <w:sz w:val="20"/>
          <w:szCs w:val="20"/>
          <w:lang w:val="en-US" w:eastAsia="en-US"/>
        </w:rPr>
        <w:t xml:space="preserve">.” The Court will assess these circumstances together with </w:t>
      </w:r>
      <w:r w:rsidR="004707CB" w:rsidRPr="009D52FD">
        <w:rPr>
          <w:rFonts w:eastAsiaTheme="minorHAnsi" w:cs="Arial"/>
          <w:sz w:val="20"/>
          <w:szCs w:val="20"/>
          <w:lang w:val="en-US" w:eastAsia="en-US"/>
        </w:rPr>
        <w:t>the whole</w:t>
      </w:r>
      <w:r w:rsidR="005810D1" w:rsidRPr="009D52FD">
        <w:rPr>
          <w:rFonts w:eastAsiaTheme="minorHAnsi" w:cs="Arial"/>
          <w:sz w:val="20"/>
          <w:szCs w:val="20"/>
          <w:lang w:val="en-US" w:eastAsia="en-US"/>
        </w:rPr>
        <w:t xml:space="preserve"> body of evidence when determining the facts and the scope of state responsibility, taking into account that “for the purposes of the international jurisdiction of this Court, it is the State that controls the means to clarify facts that occurred within its territory and, therefore, its defense cannot rest on the impossibility of the plaintiff providing evidence that, in many cases, cannot be obtained without the cooperation of the state </w:t>
      </w:r>
      <w:r w:rsidR="00002A76" w:rsidRPr="009D52FD">
        <w:rPr>
          <w:rFonts w:eastAsiaTheme="minorHAnsi" w:cs="Arial"/>
          <w:sz w:val="20"/>
          <w:szCs w:val="20"/>
          <w:lang w:val="en-US" w:eastAsia="en-US"/>
        </w:rPr>
        <w:t>authorities</w:t>
      </w:r>
      <w:r w:rsidR="005810D1" w:rsidRPr="009D52FD">
        <w:rPr>
          <w:rFonts w:eastAsiaTheme="minorHAnsi" w:cs="Arial"/>
          <w:sz w:val="20"/>
          <w:szCs w:val="20"/>
          <w:lang w:val="en-US" w:eastAsia="en-US"/>
        </w:rPr>
        <w:t>.</w:t>
      </w:r>
      <w:r w:rsidR="005675BD" w:rsidRPr="009D52FD">
        <w:rPr>
          <w:sz w:val="20"/>
          <w:szCs w:val="20"/>
          <w:lang w:val="en-US"/>
        </w:rPr>
        <w:t>”</w:t>
      </w:r>
      <w:r w:rsidR="005675BD" w:rsidRPr="009D52FD">
        <w:rPr>
          <w:rStyle w:val="FootnoteReference"/>
          <w:sz w:val="20"/>
          <w:szCs w:val="20"/>
          <w:lang w:val="en-US"/>
        </w:rPr>
        <w:footnoteReference w:id="30"/>
      </w:r>
      <w:r w:rsidR="005810D1" w:rsidRPr="009D52FD">
        <w:rPr>
          <w:sz w:val="20"/>
          <w:szCs w:val="20"/>
          <w:lang w:val="en-US"/>
        </w:rPr>
        <w:t xml:space="preserve"> Lastly, </w:t>
      </w:r>
      <w:r w:rsidR="003630BB" w:rsidRPr="009D52FD">
        <w:rPr>
          <w:sz w:val="20"/>
          <w:szCs w:val="20"/>
          <w:lang w:val="en-US"/>
        </w:rPr>
        <w:t>the Court</w:t>
      </w:r>
      <w:r w:rsidR="005675BD" w:rsidRPr="009D52FD">
        <w:rPr>
          <w:sz w:val="20"/>
          <w:szCs w:val="20"/>
          <w:lang w:val="en-US"/>
        </w:rPr>
        <w:t xml:space="preserve"> decide</w:t>
      </w:r>
      <w:r w:rsidR="005810D1" w:rsidRPr="009D52FD">
        <w:rPr>
          <w:sz w:val="20"/>
          <w:szCs w:val="20"/>
          <w:lang w:val="en-US"/>
        </w:rPr>
        <w:t>s to incorporate the corresponding section</w:t>
      </w:r>
      <w:r w:rsidR="005675BD" w:rsidRPr="009D52FD">
        <w:rPr>
          <w:sz w:val="20"/>
          <w:szCs w:val="20"/>
          <w:lang w:val="en-US"/>
        </w:rPr>
        <w:t xml:space="preserve"> </w:t>
      </w:r>
      <w:r w:rsidR="005810D1" w:rsidRPr="009D52FD">
        <w:rPr>
          <w:rFonts w:eastAsiaTheme="minorHAnsi" w:cs="Arial"/>
          <w:sz w:val="20"/>
          <w:szCs w:val="20"/>
          <w:lang w:val="en-US" w:eastAsia="en-US"/>
        </w:rPr>
        <w:t>of the 2001 Annual Report</w:t>
      </w:r>
      <w:r w:rsidR="005675BD" w:rsidRPr="009D52FD">
        <w:rPr>
          <w:rFonts w:eastAsiaTheme="minorHAnsi" w:cs="Arial"/>
          <w:sz w:val="20"/>
          <w:szCs w:val="20"/>
          <w:lang w:val="en-US" w:eastAsia="en-US"/>
        </w:rPr>
        <w:t xml:space="preserve"> </w:t>
      </w:r>
      <w:r w:rsidR="005810D1" w:rsidRPr="009D52FD">
        <w:rPr>
          <w:rFonts w:eastAsiaTheme="minorHAnsi" w:cs="Arial"/>
          <w:sz w:val="20"/>
          <w:szCs w:val="20"/>
          <w:lang w:val="en-US" w:eastAsia="en-US"/>
        </w:rPr>
        <w:t>of the</w:t>
      </w:r>
      <w:r w:rsidR="005675BD" w:rsidRPr="009D52FD">
        <w:rPr>
          <w:rFonts w:eastAsiaTheme="minorHAnsi" w:cs="Arial"/>
          <w:sz w:val="20"/>
          <w:szCs w:val="20"/>
          <w:lang w:val="en-US" w:eastAsia="en-US"/>
        </w:rPr>
        <w:t xml:space="preserve"> </w:t>
      </w:r>
      <w:r w:rsidR="005810D1" w:rsidRPr="009D52FD">
        <w:rPr>
          <w:rFonts w:eastAsiaTheme="minorHAnsi" w:cs="Arial"/>
          <w:sz w:val="20"/>
          <w:szCs w:val="20"/>
          <w:lang w:val="en-US" w:eastAsia="en-US"/>
        </w:rPr>
        <w:t>Ministry of the Interior and Justice</w:t>
      </w:r>
      <w:r w:rsidR="005675BD" w:rsidRPr="009D52FD">
        <w:rPr>
          <w:sz w:val="20"/>
          <w:szCs w:val="20"/>
          <w:lang w:val="en-US"/>
        </w:rPr>
        <w:t xml:space="preserve"> </w:t>
      </w:r>
      <w:r w:rsidR="005810D1" w:rsidRPr="009D52FD">
        <w:rPr>
          <w:sz w:val="20"/>
          <w:szCs w:val="20"/>
          <w:lang w:val="en-US"/>
        </w:rPr>
        <w:t>based on</w:t>
      </w:r>
      <w:r w:rsidR="005675BD" w:rsidRPr="009D52FD">
        <w:rPr>
          <w:sz w:val="20"/>
          <w:szCs w:val="20"/>
          <w:lang w:val="en-US"/>
        </w:rPr>
        <w:t xml:space="preserve"> </w:t>
      </w:r>
      <w:r w:rsidR="003630BB" w:rsidRPr="009D52FD">
        <w:rPr>
          <w:sz w:val="20"/>
          <w:szCs w:val="20"/>
          <w:lang w:val="en-US"/>
        </w:rPr>
        <w:t>Article</w:t>
      </w:r>
      <w:r w:rsidR="005675BD" w:rsidRPr="009D52FD">
        <w:rPr>
          <w:sz w:val="20"/>
          <w:szCs w:val="20"/>
          <w:lang w:val="en-US"/>
        </w:rPr>
        <w:t xml:space="preserve"> 58</w:t>
      </w:r>
      <w:r w:rsidR="003630BB" w:rsidRPr="009D52FD">
        <w:rPr>
          <w:sz w:val="20"/>
          <w:szCs w:val="20"/>
          <w:lang w:val="en-US"/>
        </w:rPr>
        <w:t xml:space="preserve"> of the </w:t>
      </w:r>
      <w:r w:rsidR="005810D1" w:rsidRPr="009D52FD">
        <w:rPr>
          <w:sz w:val="20"/>
          <w:szCs w:val="20"/>
          <w:lang w:val="en-US"/>
        </w:rPr>
        <w:t xml:space="preserve">Court’s </w:t>
      </w:r>
      <w:r w:rsidR="003630BB" w:rsidRPr="009D52FD">
        <w:rPr>
          <w:sz w:val="20"/>
          <w:szCs w:val="20"/>
          <w:lang w:val="en-US"/>
        </w:rPr>
        <w:t>Rules of Procedure</w:t>
      </w:r>
      <w:r w:rsidR="005810D1" w:rsidRPr="009D52FD">
        <w:rPr>
          <w:sz w:val="20"/>
          <w:szCs w:val="20"/>
          <w:lang w:val="en-US"/>
        </w:rPr>
        <w:t>, insofar as it is useful for deciding this case.</w:t>
      </w:r>
    </w:p>
    <w:p w14:paraId="6C434EBF" w14:textId="77777777" w:rsidR="005675BD" w:rsidRPr="009D52FD" w:rsidRDefault="005675BD" w:rsidP="00652A11">
      <w:pPr>
        <w:widowControl/>
        <w:tabs>
          <w:tab w:val="left" w:pos="567"/>
        </w:tabs>
        <w:adjustRightInd/>
        <w:spacing w:line="240" w:lineRule="auto"/>
        <w:ind w:right="-90"/>
        <w:textAlignment w:val="auto"/>
        <w:rPr>
          <w:sz w:val="20"/>
          <w:szCs w:val="20"/>
          <w:lang w:val="en-US"/>
        </w:rPr>
      </w:pPr>
    </w:p>
    <w:p w14:paraId="6D30E4BA" w14:textId="00B967A1" w:rsidR="00652A11" w:rsidRPr="009D52FD" w:rsidRDefault="00BF0E55" w:rsidP="00652A11">
      <w:pPr>
        <w:pStyle w:val="Heading2"/>
        <w:tabs>
          <w:tab w:val="left" w:pos="1843"/>
        </w:tabs>
        <w:spacing w:before="0" w:line="240" w:lineRule="auto"/>
        <w:ind w:left="1134"/>
        <w:rPr>
          <w:rFonts w:ascii="Verdana" w:hAnsi="Verdana"/>
          <w:b w:val="0"/>
          <w:i/>
          <w:color w:val="auto"/>
          <w:sz w:val="20"/>
          <w:szCs w:val="20"/>
          <w:lang w:val="en-US"/>
        </w:rPr>
      </w:pPr>
      <w:bookmarkStart w:id="53" w:name="_Toc375517118"/>
      <w:bookmarkStart w:id="54" w:name="_Toc459158106"/>
      <w:bookmarkStart w:id="55" w:name="_Toc470180050"/>
      <w:bookmarkStart w:id="56" w:name="_Toc514172613"/>
      <w:bookmarkStart w:id="57" w:name="_Toc51400080"/>
      <w:r w:rsidRPr="009D52FD">
        <w:rPr>
          <w:rFonts w:ascii="Verdana" w:hAnsi="Verdana"/>
          <w:b w:val="0"/>
          <w:i/>
          <w:color w:val="auto"/>
          <w:sz w:val="20"/>
          <w:szCs w:val="20"/>
          <w:lang w:val="en-US"/>
        </w:rPr>
        <w:t>A</w:t>
      </w:r>
      <w:r w:rsidR="00652A11" w:rsidRPr="009D52FD">
        <w:rPr>
          <w:rFonts w:ascii="Verdana" w:hAnsi="Verdana"/>
          <w:b w:val="0"/>
          <w:i/>
          <w:color w:val="auto"/>
          <w:sz w:val="20"/>
          <w:szCs w:val="20"/>
          <w:lang w:val="en-US"/>
        </w:rPr>
        <w:t xml:space="preserve">.2 </w:t>
      </w:r>
      <w:r w:rsidR="00652A11" w:rsidRPr="009D52FD">
        <w:rPr>
          <w:rFonts w:ascii="Verdana" w:hAnsi="Verdana"/>
          <w:b w:val="0"/>
          <w:i/>
          <w:color w:val="auto"/>
          <w:sz w:val="20"/>
          <w:szCs w:val="20"/>
          <w:lang w:val="en-US"/>
        </w:rPr>
        <w:tab/>
      </w:r>
      <w:r w:rsidR="00997ADF" w:rsidRPr="009D52FD">
        <w:rPr>
          <w:rFonts w:ascii="Verdana" w:hAnsi="Verdana"/>
          <w:b w:val="0"/>
          <w:i/>
          <w:color w:val="auto"/>
          <w:sz w:val="20"/>
          <w:szCs w:val="20"/>
          <w:lang w:val="en-US"/>
        </w:rPr>
        <w:t>Admission of the statements and expert opinions</w:t>
      </w:r>
      <w:bookmarkEnd w:id="53"/>
      <w:bookmarkEnd w:id="54"/>
      <w:bookmarkEnd w:id="55"/>
      <w:bookmarkEnd w:id="56"/>
      <w:bookmarkEnd w:id="57"/>
    </w:p>
    <w:p w14:paraId="07C3B0C7" w14:textId="77777777" w:rsidR="00652A11" w:rsidRPr="009D52FD" w:rsidRDefault="00652A11" w:rsidP="00652A11">
      <w:pPr>
        <w:widowControl/>
        <w:tabs>
          <w:tab w:val="left" w:pos="720"/>
        </w:tabs>
        <w:adjustRightInd/>
        <w:spacing w:line="240" w:lineRule="auto"/>
        <w:ind w:right="-90"/>
        <w:textAlignment w:val="auto"/>
        <w:rPr>
          <w:sz w:val="20"/>
          <w:szCs w:val="20"/>
          <w:lang w:val="en-US"/>
        </w:rPr>
      </w:pPr>
    </w:p>
    <w:p w14:paraId="796189D9" w14:textId="0BE73358" w:rsidR="00761BB5" w:rsidRPr="009D52FD" w:rsidRDefault="003630BB" w:rsidP="00761BB5">
      <w:pPr>
        <w:widowControl/>
        <w:numPr>
          <w:ilvl w:val="0"/>
          <w:numId w:val="1"/>
        </w:numPr>
        <w:tabs>
          <w:tab w:val="left" w:pos="567"/>
          <w:tab w:val="num" w:pos="1569"/>
          <w:tab w:val="num" w:pos="12305"/>
        </w:tabs>
        <w:autoSpaceDE w:val="0"/>
        <w:autoSpaceDN w:val="0"/>
        <w:spacing w:line="240" w:lineRule="auto"/>
        <w:ind w:left="0" w:firstLine="0"/>
        <w:textAlignment w:val="auto"/>
        <w:rPr>
          <w:sz w:val="20"/>
          <w:szCs w:val="20"/>
          <w:lang w:val="en-US"/>
        </w:rPr>
      </w:pPr>
      <w:r w:rsidRPr="009D52FD">
        <w:rPr>
          <w:sz w:val="20"/>
          <w:szCs w:val="20"/>
          <w:lang w:val="en-US"/>
        </w:rPr>
        <w:t>The Court</w:t>
      </w:r>
      <w:r w:rsidR="00652A11" w:rsidRPr="009D52FD">
        <w:rPr>
          <w:sz w:val="20"/>
          <w:szCs w:val="20"/>
          <w:lang w:val="en-US"/>
        </w:rPr>
        <w:t xml:space="preserve"> </w:t>
      </w:r>
      <w:r w:rsidR="001371C1" w:rsidRPr="009D52FD">
        <w:rPr>
          <w:sz w:val="20"/>
          <w:szCs w:val="20"/>
          <w:lang w:val="en-US"/>
        </w:rPr>
        <w:t xml:space="preserve">finds it pertinent to admit the statements and expert opinions provided during the </w:t>
      </w:r>
      <w:r w:rsidR="0002239A" w:rsidRPr="009D52FD">
        <w:rPr>
          <w:sz w:val="20"/>
          <w:szCs w:val="20"/>
          <w:lang w:val="en-US"/>
        </w:rPr>
        <w:t>public hearing</w:t>
      </w:r>
      <w:r w:rsidRPr="009D52FD">
        <w:rPr>
          <w:sz w:val="20"/>
          <w:szCs w:val="20"/>
          <w:lang w:val="en-US"/>
        </w:rPr>
        <w:t xml:space="preserve"> and </w:t>
      </w:r>
      <w:r w:rsidR="001371C1" w:rsidRPr="009D52FD">
        <w:rPr>
          <w:sz w:val="20"/>
          <w:szCs w:val="20"/>
          <w:lang w:val="en-US"/>
        </w:rPr>
        <w:t>by affidavit, insofar as they are in keeping with the purpose defined by the President in the order requiring them,</w:t>
      </w:r>
      <w:r w:rsidR="00652A11" w:rsidRPr="009D52FD">
        <w:rPr>
          <w:sz w:val="20"/>
          <w:szCs w:val="20"/>
          <w:vertAlign w:val="superscript"/>
          <w:lang w:val="en-US"/>
        </w:rPr>
        <w:footnoteReference w:id="31"/>
      </w:r>
      <w:r w:rsidRPr="009D52FD">
        <w:rPr>
          <w:sz w:val="20"/>
          <w:szCs w:val="20"/>
          <w:lang w:val="en-US"/>
        </w:rPr>
        <w:t xml:space="preserve"> and </w:t>
      </w:r>
      <w:r w:rsidR="001371C1" w:rsidRPr="009D52FD">
        <w:rPr>
          <w:sz w:val="20"/>
          <w:szCs w:val="20"/>
          <w:lang w:val="en-US"/>
        </w:rPr>
        <w:t>the purpose of this case.</w:t>
      </w:r>
    </w:p>
    <w:p w14:paraId="2DF23595" w14:textId="77777777" w:rsidR="009C3072" w:rsidRPr="009D52FD" w:rsidRDefault="009C3072" w:rsidP="00761BB5">
      <w:pPr>
        <w:tabs>
          <w:tab w:val="left" w:pos="567"/>
        </w:tabs>
        <w:spacing w:line="240" w:lineRule="auto"/>
        <w:rPr>
          <w:sz w:val="20"/>
          <w:szCs w:val="20"/>
          <w:lang w:val="en-US"/>
        </w:rPr>
      </w:pPr>
    </w:p>
    <w:p w14:paraId="3FFE5066" w14:textId="1087CA78" w:rsidR="0018152C" w:rsidRPr="009D52FD" w:rsidRDefault="001371C1" w:rsidP="00CB10CA">
      <w:pPr>
        <w:widowControl/>
        <w:numPr>
          <w:ilvl w:val="0"/>
          <w:numId w:val="1"/>
        </w:numPr>
        <w:tabs>
          <w:tab w:val="left" w:pos="567"/>
          <w:tab w:val="num" w:pos="1569"/>
          <w:tab w:val="num" w:pos="12305"/>
        </w:tabs>
        <w:autoSpaceDE w:val="0"/>
        <w:autoSpaceDN w:val="0"/>
        <w:spacing w:line="240" w:lineRule="auto"/>
        <w:ind w:left="0" w:firstLine="0"/>
        <w:textAlignment w:val="auto"/>
        <w:rPr>
          <w:rFonts w:cs="Verdana"/>
          <w:sz w:val="20"/>
          <w:szCs w:val="20"/>
          <w:lang w:val="en-US" w:eastAsia="es-MX"/>
        </w:rPr>
      </w:pPr>
      <w:r w:rsidRPr="009D52FD">
        <w:rPr>
          <w:sz w:val="20"/>
          <w:szCs w:val="20"/>
          <w:lang w:val="en-US"/>
        </w:rPr>
        <w:t xml:space="preserve">When forwarding the written statements of those who reside in Venezuela, </w:t>
      </w:r>
      <w:r w:rsidR="003630BB" w:rsidRPr="009D52FD">
        <w:rPr>
          <w:sz w:val="20"/>
          <w:szCs w:val="20"/>
          <w:lang w:val="en-US"/>
        </w:rPr>
        <w:t>the representatives</w:t>
      </w:r>
      <w:r w:rsidR="00514FFE" w:rsidRPr="009D52FD">
        <w:rPr>
          <w:sz w:val="20"/>
          <w:szCs w:val="20"/>
          <w:lang w:val="en-US"/>
        </w:rPr>
        <w:t xml:space="preserve"> </w:t>
      </w:r>
      <w:r w:rsidRPr="009D52FD">
        <w:rPr>
          <w:sz w:val="20"/>
          <w:szCs w:val="20"/>
          <w:lang w:val="en-US"/>
        </w:rPr>
        <w:t>indicated that it had not been possible “to obtain a notary public willing to officialize the statements in</w:t>
      </w:r>
      <w:r w:rsidR="00CB10CA" w:rsidRPr="009D52FD">
        <w:rPr>
          <w:sz w:val="20"/>
          <w:szCs w:val="20"/>
          <w:lang w:val="en-US"/>
        </w:rPr>
        <w:t xml:space="preserve"> Venezuela</w:t>
      </w:r>
      <w:r w:rsidRPr="009D52FD">
        <w:rPr>
          <w:sz w:val="20"/>
          <w:szCs w:val="20"/>
          <w:lang w:val="en-US"/>
        </w:rPr>
        <w:t>.</w:t>
      </w:r>
      <w:r w:rsidR="00CB10CA" w:rsidRPr="009D52FD">
        <w:rPr>
          <w:sz w:val="20"/>
          <w:szCs w:val="20"/>
          <w:lang w:val="en-US"/>
        </w:rPr>
        <w:t>”</w:t>
      </w:r>
      <w:r w:rsidR="00C75DC2" w:rsidRPr="009D52FD">
        <w:rPr>
          <w:sz w:val="20"/>
          <w:szCs w:val="20"/>
          <w:lang w:val="en-US"/>
        </w:rPr>
        <w:t xml:space="preserve"> </w:t>
      </w:r>
      <w:r w:rsidRPr="009D52FD">
        <w:rPr>
          <w:sz w:val="20"/>
          <w:szCs w:val="20"/>
          <w:lang w:val="en-US"/>
        </w:rPr>
        <w:t>The conduct of the State is incompatible with the duty of procedural cooperation and with the principle of good faith that governs the international proceedings.</w:t>
      </w:r>
      <w:r w:rsidR="00CB10CA" w:rsidRPr="009D52FD">
        <w:rPr>
          <w:rFonts w:cs="Verdana"/>
          <w:sz w:val="20"/>
          <w:vertAlign w:val="superscript"/>
          <w:lang w:val="en-US" w:eastAsia="es-MX"/>
        </w:rPr>
        <w:footnoteReference w:id="32"/>
      </w:r>
      <w:r w:rsidR="00CB10CA" w:rsidRPr="009D52FD">
        <w:rPr>
          <w:rFonts w:cs="Verdana"/>
          <w:sz w:val="20"/>
          <w:lang w:val="en-US" w:eastAsia="es-MX"/>
        </w:rPr>
        <w:t xml:space="preserve"> </w:t>
      </w:r>
      <w:r w:rsidRPr="009D52FD">
        <w:rPr>
          <w:rFonts w:cs="Verdana"/>
          <w:sz w:val="20"/>
          <w:lang w:val="en-US" w:eastAsia="es-MX"/>
        </w:rPr>
        <w:t>The said statements were presented within the established time frame, therefore the Court considers, as it has in other cases, th</w:t>
      </w:r>
      <w:r w:rsidR="00F15C84" w:rsidRPr="009D52FD">
        <w:rPr>
          <w:rFonts w:cs="Verdana"/>
          <w:sz w:val="20"/>
          <w:lang w:val="en-US" w:eastAsia="es-MX"/>
        </w:rPr>
        <w:t xml:space="preserve">at the absence of legalization by a public notary cannot be attributed to either </w:t>
      </w:r>
      <w:r w:rsidR="003630BB" w:rsidRPr="009D52FD">
        <w:rPr>
          <w:sz w:val="20"/>
          <w:lang w:val="en-US"/>
        </w:rPr>
        <w:t>the representatives</w:t>
      </w:r>
      <w:r w:rsidR="00CB10CA" w:rsidRPr="009D52FD">
        <w:rPr>
          <w:sz w:val="20"/>
          <w:lang w:val="en-US"/>
        </w:rPr>
        <w:t xml:space="preserve"> </w:t>
      </w:r>
      <w:r w:rsidR="00F15C84" w:rsidRPr="009D52FD">
        <w:rPr>
          <w:sz w:val="20"/>
          <w:lang w:val="en-US"/>
        </w:rPr>
        <w:t xml:space="preserve">or the deponents, but to undue </w:t>
      </w:r>
      <w:r w:rsidR="004707CB" w:rsidRPr="009D52FD">
        <w:rPr>
          <w:sz w:val="20"/>
          <w:lang w:val="en-US"/>
        </w:rPr>
        <w:t>conduct</w:t>
      </w:r>
      <w:r w:rsidR="00F15C84" w:rsidRPr="009D52FD">
        <w:rPr>
          <w:sz w:val="20"/>
          <w:lang w:val="en-US"/>
        </w:rPr>
        <w:t xml:space="preserve"> by the State</w:t>
      </w:r>
      <w:r w:rsidR="00CB10CA" w:rsidRPr="009D52FD">
        <w:rPr>
          <w:sz w:val="20"/>
          <w:lang w:val="en-US"/>
        </w:rPr>
        <w:t xml:space="preserve">. </w:t>
      </w:r>
      <w:r w:rsidR="00993EF0" w:rsidRPr="009D52FD">
        <w:rPr>
          <w:rFonts w:cs="Verdana"/>
          <w:sz w:val="20"/>
          <w:szCs w:val="20"/>
          <w:lang w:val="en-US" w:eastAsia="es-MX"/>
        </w:rPr>
        <w:t>Consequently</w:t>
      </w:r>
      <w:r w:rsidR="0018152C" w:rsidRPr="009D52FD">
        <w:rPr>
          <w:rFonts w:cs="Verdana"/>
          <w:sz w:val="20"/>
          <w:szCs w:val="20"/>
          <w:lang w:val="en-US" w:eastAsia="es-MX"/>
        </w:rPr>
        <w:t xml:space="preserve">, </w:t>
      </w:r>
      <w:r w:rsidR="003630BB" w:rsidRPr="009D52FD">
        <w:rPr>
          <w:rFonts w:cs="Verdana"/>
          <w:sz w:val="20"/>
          <w:szCs w:val="20"/>
          <w:lang w:val="en-US" w:eastAsia="es-MX"/>
        </w:rPr>
        <w:t>the Court</w:t>
      </w:r>
      <w:r w:rsidR="0018152C" w:rsidRPr="009D52FD">
        <w:rPr>
          <w:rFonts w:cs="Verdana"/>
          <w:sz w:val="20"/>
          <w:szCs w:val="20"/>
          <w:lang w:val="en-US" w:eastAsia="es-MX"/>
        </w:rPr>
        <w:t xml:space="preserve"> </w:t>
      </w:r>
      <w:r w:rsidR="00993EF0" w:rsidRPr="009D52FD">
        <w:rPr>
          <w:rFonts w:cs="Verdana"/>
          <w:sz w:val="20"/>
          <w:szCs w:val="20"/>
          <w:lang w:val="en-US" w:eastAsia="es-MX"/>
        </w:rPr>
        <w:t>finds it pertinent to admit the statements made, and they will be assessed as a simple statement pursuant to the criteria of this Court.</w:t>
      </w:r>
      <w:r w:rsidR="00CB10CA" w:rsidRPr="009D52FD">
        <w:rPr>
          <w:rFonts w:cs="Verdana"/>
          <w:sz w:val="20"/>
          <w:szCs w:val="20"/>
          <w:vertAlign w:val="superscript"/>
          <w:lang w:val="en-US" w:eastAsia="es-MX"/>
        </w:rPr>
        <w:footnoteReference w:id="33"/>
      </w:r>
    </w:p>
    <w:p w14:paraId="1A5F2688" w14:textId="77777777" w:rsidR="0018152C" w:rsidRPr="009D52FD" w:rsidRDefault="0018152C" w:rsidP="00652A11">
      <w:pPr>
        <w:pStyle w:val="ListParagraph"/>
        <w:spacing w:line="240" w:lineRule="auto"/>
        <w:ind w:left="0"/>
        <w:rPr>
          <w:rFonts w:cs="Verdana"/>
          <w:sz w:val="20"/>
          <w:szCs w:val="20"/>
          <w:lang w:val="en-US" w:eastAsia="es-MX"/>
        </w:rPr>
      </w:pPr>
    </w:p>
    <w:p w14:paraId="4F560234" w14:textId="07CC2EAF" w:rsidR="00EA3C00" w:rsidRPr="009D52FD" w:rsidRDefault="003630BB" w:rsidP="00F01168">
      <w:pPr>
        <w:widowControl/>
        <w:numPr>
          <w:ilvl w:val="0"/>
          <w:numId w:val="1"/>
        </w:numPr>
        <w:tabs>
          <w:tab w:val="left" w:pos="567"/>
          <w:tab w:val="num" w:pos="1569"/>
          <w:tab w:val="num" w:pos="12305"/>
        </w:tabs>
        <w:autoSpaceDE w:val="0"/>
        <w:autoSpaceDN w:val="0"/>
        <w:spacing w:line="240" w:lineRule="auto"/>
        <w:ind w:left="0" w:firstLine="0"/>
        <w:textAlignment w:val="auto"/>
        <w:rPr>
          <w:rFonts w:cs="Verdana"/>
          <w:sz w:val="20"/>
          <w:szCs w:val="20"/>
          <w:lang w:val="en-US" w:eastAsia="es-MX"/>
        </w:rPr>
      </w:pPr>
      <w:r w:rsidRPr="009D52FD">
        <w:rPr>
          <w:rFonts w:cs="Verdana"/>
          <w:sz w:val="20"/>
          <w:szCs w:val="20"/>
          <w:lang w:val="en-US" w:eastAsia="es-MX"/>
        </w:rPr>
        <w:t xml:space="preserve">The </w:t>
      </w:r>
      <w:r w:rsidRPr="009D52FD">
        <w:rPr>
          <w:rFonts w:cs="Verdana"/>
          <w:b/>
          <w:bCs/>
          <w:i/>
          <w:iCs/>
          <w:sz w:val="20"/>
          <w:szCs w:val="20"/>
          <w:lang w:val="en-US" w:eastAsia="es-MX"/>
        </w:rPr>
        <w:t>State</w:t>
      </w:r>
      <w:r w:rsidR="00A54273" w:rsidRPr="009D52FD">
        <w:rPr>
          <w:rFonts w:cs="Verdana"/>
          <w:sz w:val="20"/>
          <w:szCs w:val="20"/>
          <w:lang w:val="en-US" w:eastAsia="es-MX"/>
        </w:rPr>
        <w:t xml:space="preserve"> </w:t>
      </w:r>
      <w:r w:rsidR="00F01168" w:rsidRPr="009D52FD">
        <w:rPr>
          <w:rFonts w:cs="Verdana"/>
          <w:sz w:val="20"/>
          <w:szCs w:val="20"/>
          <w:lang w:val="en-US" w:eastAsia="es-MX"/>
        </w:rPr>
        <w:t>questioned the pertinen</w:t>
      </w:r>
      <w:r w:rsidR="00F305A1" w:rsidRPr="009D52FD">
        <w:rPr>
          <w:rFonts w:cs="Verdana"/>
          <w:sz w:val="20"/>
          <w:szCs w:val="20"/>
          <w:lang w:val="en-US" w:eastAsia="es-MX"/>
        </w:rPr>
        <w:t>ce</w:t>
      </w:r>
      <w:r w:rsidR="00F01168" w:rsidRPr="009D52FD">
        <w:rPr>
          <w:rFonts w:cs="Verdana"/>
          <w:sz w:val="20"/>
          <w:szCs w:val="20"/>
          <w:lang w:val="en-US" w:eastAsia="es-MX"/>
        </w:rPr>
        <w:t xml:space="preserve"> and probative value of the witness statement of the lawyer, </w:t>
      </w:r>
      <w:r w:rsidR="00A54273" w:rsidRPr="009D52FD">
        <w:rPr>
          <w:rFonts w:cs="Verdana"/>
          <w:sz w:val="20"/>
          <w:szCs w:val="20"/>
          <w:lang w:val="en-US" w:eastAsia="es-MX"/>
        </w:rPr>
        <w:t xml:space="preserve">Juan Bernardo Delgado Linares. </w:t>
      </w:r>
      <w:r w:rsidR="00F01168" w:rsidRPr="009D52FD">
        <w:rPr>
          <w:rFonts w:cs="Verdana"/>
          <w:sz w:val="20"/>
          <w:szCs w:val="20"/>
          <w:lang w:val="en-US" w:eastAsia="es-MX"/>
        </w:rPr>
        <w:t xml:space="preserve">As established in the order calling the hearing, the Court found it pertinent to admit this statement because it refers to facts and circumstances that this person was aware of personally, in particular regarding the supposed threats that were received and that were included in </w:t>
      </w:r>
      <w:r w:rsidR="00483040" w:rsidRPr="009D52FD">
        <w:rPr>
          <w:rFonts w:cs="Verdana"/>
          <w:sz w:val="20"/>
          <w:szCs w:val="20"/>
          <w:lang w:val="en-US" w:bidi="en-US"/>
        </w:rPr>
        <w:t>the Merits Report</w:t>
      </w:r>
      <w:r w:rsidR="00E555C2" w:rsidRPr="009D52FD">
        <w:rPr>
          <w:rFonts w:cs="Verdana"/>
          <w:sz w:val="20"/>
          <w:szCs w:val="20"/>
          <w:lang w:val="en-US" w:bidi="en-US"/>
        </w:rPr>
        <w:t>.</w:t>
      </w:r>
    </w:p>
    <w:p w14:paraId="319F53B7" w14:textId="77777777" w:rsidR="00EA3C00" w:rsidRPr="009D52FD" w:rsidRDefault="00EA3C00" w:rsidP="00652A11">
      <w:pPr>
        <w:pStyle w:val="ListParagraph"/>
        <w:spacing w:line="240" w:lineRule="auto"/>
        <w:ind w:left="0"/>
        <w:rPr>
          <w:rFonts w:cs="Verdana"/>
          <w:sz w:val="20"/>
          <w:szCs w:val="20"/>
          <w:lang w:val="en-US" w:eastAsia="es-MX"/>
        </w:rPr>
      </w:pPr>
    </w:p>
    <w:p w14:paraId="76FC2EC4" w14:textId="49601A72" w:rsidR="00351080" w:rsidRPr="009D52FD" w:rsidRDefault="003630BB" w:rsidP="00F305A1">
      <w:pPr>
        <w:widowControl/>
        <w:numPr>
          <w:ilvl w:val="0"/>
          <w:numId w:val="1"/>
        </w:numPr>
        <w:tabs>
          <w:tab w:val="left" w:pos="567"/>
          <w:tab w:val="num" w:pos="1569"/>
          <w:tab w:val="num" w:pos="12305"/>
        </w:tabs>
        <w:autoSpaceDE w:val="0"/>
        <w:autoSpaceDN w:val="0"/>
        <w:spacing w:line="240" w:lineRule="auto"/>
        <w:ind w:left="0" w:firstLine="0"/>
        <w:textAlignment w:val="auto"/>
        <w:rPr>
          <w:rFonts w:cs="Verdana"/>
          <w:sz w:val="20"/>
          <w:szCs w:val="20"/>
          <w:lang w:val="en-US" w:eastAsia="es-MX"/>
        </w:rPr>
      </w:pPr>
      <w:r w:rsidRPr="009D52FD">
        <w:rPr>
          <w:rFonts w:cs="Verdana"/>
          <w:sz w:val="20"/>
          <w:szCs w:val="20"/>
          <w:lang w:val="en-US" w:eastAsia="es-MX"/>
        </w:rPr>
        <w:t>The State</w:t>
      </w:r>
      <w:r w:rsidR="00186015" w:rsidRPr="009D52FD">
        <w:rPr>
          <w:rFonts w:cs="Verdana"/>
          <w:sz w:val="20"/>
          <w:szCs w:val="20"/>
          <w:lang w:val="en-US" w:eastAsia="es-MX"/>
        </w:rPr>
        <w:t xml:space="preserve"> </w:t>
      </w:r>
      <w:r w:rsidR="00F305A1" w:rsidRPr="009D52FD">
        <w:rPr>
          <w:rFonts w:cs="Verdana"/>
          <w:sz w:val="20"/>
          <w:szCs w:val="20"/>
          <w:lang w:val="en-US" w:eastAsia="es-MX"/>
        </w:rPr>
        <w:t xml:space="preserve">also questioned the probative value of some of the expert opinions provided in this case because they had not observed their obligation of impartiality. In particular, it indicated that </w:t>
      </w:r>
      <w:r w:rsidR="00F305A1" w:rsidRPr="009D52FD">
        <w:rPr>
          <w:rFonts w:cs="Verdana"/>
          <w:sz w:val="20"/>
          <w:szCs w:val="20"/>
          <w:lang w:val="en-US" w:eastAsia="es-MX"/>
        </w:rPr>
        <w:lastRenderedPageBreak/>
        <w:t xml:space="preserve">expert witnesses </w:t>
      </w:r>
      <w:r w:rsidR="00EA283F" w:rsidRPr="009D52FD">
        <w:rPr>
          <w:rFonts w:cs="Verdana"/>
          <w:sz w:val="20"/>
          <w:szCs w:val="20"/>
          <w:lang w:val="en-US" w:eastAsia="es-MX"/>
        </w:rPr>
        <w:t>Magaly Vásquez</w:t>
      </w:r>
      <w:r w:rsidR="009E6234" w:rsidRPr="009D52FD">
        <w:rPr>
          <w:rFonts w:cs="Verdana"/>
          <w:sz w:val="20"/>
          <w:szCs w:val="20"/>
          <w:lang w:val="en-US" w:eastAsia="es-MX"/>
        </w:rPr>
        <w:t xml:space="preserve"> González</w:t>
      </w:r>
      <w:r w:rsidR="00EA283F" w:rsidRPr="009D52FD">
        <w:rPr>
          <w:rFonts w:cs="Verdana"/>
          <w:sz w:val="20"/>
          <w:szCs w:val="20"/>
          <w:lang w:val="en-US" w:eastAsia="es-MX"/>
        </w:rPr>
        <w:t xml:space="preserve">, </w:t>
      </w:r>
      <w:r w:rsidR="00354747" w:rsidRPr="009D52FD">
        <w:rPr>
          <w:rFonts w:cs="Verdana"/>
          <w:sz w:val="20"/>
          <w:szCs w:val="20"/>
          <w:lang w:val="en-US" w:eastAsia="es-MX"/>
        </w:rPr>
        <w:t xml:space="preserve">Magaly Josefina </w:t>
      </w:r>
      <w:r w:rsidR="00EA283F" w:rsidRPr="009D52FD">
        <w:rPr>
          <w:rFonts w:cs="Verdana"/>
          <w:sz w:val="20"/>
          <w:szCs w:val="20"/>
          <w:lang w:val="en-US" w:eastAsia="es-MX"/>
        </w:rPr>
        <w:t xml:space="preserve">Huggins Castañeda, </w:t>
      </w:r>
      <w:r w:rsidR="00354747" w:rsidRPr="009D52FD">
        <w:rPr>
          <w:rFonts w:cs="Verdana"/>
          <w:sz w:val="20"/>
          <w:szCs w:val="20"/>
          <w:lang w:val="en-US" w:eastAsia="es-MX"/>
        </w:rPr>
        <w:t xml:space="preserve">Daniela </w:t>
      </w:r>
      <w:r w:rsidR="00EA283F" w:rsidRPr="009D52FD">
        <w:rPr>
          <w:rFonts w:cs="Verdana"/>
          <w:sz w:val="20"/>
          <w:szCs w:val="20"/>
          <w:lang w:val="en-US" w:eastAsia="es-MX"/>
        </w:rPr>
        <w:t>Kravetz</w:t>
      </w:r>
      <w:r w:rsidRPr="009D52FD">
        <w:rPr>
          <w:rFonts w:cs="Verdana"/>
          <w:sz w:val="20"/>
          <w:szCs w:val="20"/>
          <w:lang w:val="en-US" w:eastAsia="es-MX"/>
        </w:rPr>
        <w:t xml:space="preserve"> and </w:t>
      </w:r>
      <w:r w:rsidR="00354747" w:rsidRPr="009D52FD">
        <w:rPr>
          <w:rFonts w:cs="Verdana"/>
          <w:sz w:val="20"/>
          <w:szCs w:val="20"/>
          <w:lang w:val="en-US" w:eastAsia="es-MX"/>
        </w:rPr>
        <w:t xml:space="preserve">Marie Christine </w:t>
      </w:r>
      <w:r w:rsidR="00EA283F" w:rsidRPr="009D52FD">
        <w:rPr>
          <w:rFonts w:cs="Verdana"/>
          <w:sz w:val="20"/>
          <w:szCs w:val="20"/>
          <w:lang w:val="en-US" w:eastAsia="es-MX"/>
        </w:rPr>
        <w:t>Chinkin ha</w:t>
      </w:r>
      <w:r w:rsidR="00F305A1" w:rsidRPr="009D52FD">
        <w:rPr>
          <w:rFonts w:cs="Verdana"/>
          <w:sz w:val="20"/>
          <w:szCs w:val="20"/>
          <w:lang w:val="en-US" w:eastAsia="es-MX"/>
        </w:rPr>
        <w:t>d included opinions on this specific case, its processing in the domestic jurisdiction and the applicable measures of reparation, exceeding the purpose of their expert opinions</w:t>
      </w:r>
      <w:r w:rsidR="004707CB" w:rsidRPr="009D52FD">
        <w:rPr>
          <w:rFonts w:cs="Verdana"/>
          <w:sz w:val="20"/>
          <w:szCs w:val="20"/>
          <w:lang w:val="en-US" w:eastAsia="es-MX"/>
        </w:rPr>
        <w:t>; moreover,</w:t>
      </w:r>
      <w:r w:rsidR="00F305A1" w:rsidRPr="009D52FD">
        <w:rPr>
          <w:rFonts w:cs="Verdana"/>
          <w:sz w:val="20"/>
          <w:szCs w:val="20"/>
          <w:lang w:val="en-US" w:eastAsia="es-MX"/>
        </w:rPr>
        <w:t xml:space="preserve"> they had included observations in favor of the </w:t>
      </w:r>
      <w:r w:rsidR="00584DF8" w:rsidRPr="009D52FD">
        <w:rPr>
          <w:rFonts w:cs="Verdana"/>
          <w:sz w:val="20"/>
          <w:szCs w:val="20"/>
          <w:lang w:val="en-US" w:eastAsia="es-MX"/>
        </w:rPr>
        <w:t>arguments</w:t>
      </w:r>
      <w:r w:rsidRPr="009D52FD">
        <w:rPr>
          <w:rFonts w:cs="Verdana"/>
          <w:sz w:val="20"/>
          <w:szCs w:val="20"/>
          <w:lang w:val="en-US" w:eastAsia="es-MX"/>
        </w:rPr>
        <w:t xml:space="preserve"> of the representatives</w:t>
      </w:r>
      <w:r w:rsidR="00EA283F" w:rsidRPr="009D52FD">
        <w:rPr>
          <w:rFonts w:cs="Verdana"/>
          <w:sz w:val="20"/>
          <w:szCs w:val="20"/>
          <w:lang w:val="en-US" w:eastAsia="es-MX"/>
        </w:rPr>
        <w:t xml:space="preserve">. </w:t>
      </w:r>
      <w:r w:rsidRPr="009D52FD">
        <w:rPr>
          <w:rFonts w:cs="Verdana"/>
          <w:sz w:val="20"/>
          <w:szCs w:val="20"/>
          <w:lang w:val="en-US" w:eastAsia="es-MX"/>
        </w:rPr>
        <w:t>The Court</w:t>
      </w:r>
      <w:r w:rsidR="00813CC0" w:rsidRPr="009D52FD">
        <w:rPr>
          <w:rFonts w:cs="Verdana"/>
          <w:sz w:val="20"/>
          <w:szCs w:val="20"/>
          <w:lang w:val="en-US" w:eastAsia="es-MX"/>
        </w:rPr>
        <w:t xml:space="preserve"> ha</w:t>
      </w:r>
      <w:r w:rsidR="00F305A1" w:rsidRPr="009D52FD">
        <w:rPr>
          <w:rFonts w:cs="Verdana"/>
          <w:sz w:val="20"/>
          <w:szCs w:val="20"/>
          <w:lang w:val="en-US" w:eastAsia="es-MX"/>
        </w:rPr>
        <w:t xml:space="preserve">s established that, even </w:t>
      </w:r>
      <w:r w:rsidR="004707CB" w:rsidRPr="009D52FD">
        <w:rPr>
          <w:rFonts w:cs="Verdana"/>
          <w:sz w:val="20"/>
          <w:szCs w:val="20"/>
          <w:lang w:val="en-US" w:eastAsia="es-MX"/>
        </w:rPr>
        <w:t>if</w:t>
      </w:r>
      <w:r w:rsidR="00F305A1" w:rsidRPr="009D52FD">
        <w:rPr>
          <w:rFonts w:cs="Verdana"/>
          <w:sz w:val="20"/>
          <w:szCs w:val="20"/>
          <w:lang w:val="en-US" w:eastAsia="es-MX"/>
        </w:rPr>
        <w:t xml:space="preserve"> an expert witness’s opinion</w:t>
      </w:r>
      <w:r w:rsidR="004707CB" w:rsidRPr="009D52FD">
        <w:rPr>
          <w:rFonts w:cs="Verdana"/>
          <w:sz w:val="20"/>
          <w:szCs w:val="20"/>
          <w:lang w:val="en-US" w:eastAsia="es-MX"/>
        </w:rPr>
        <w:t xml:space="preserve"> </w:t>
      </w:r>
      <w:r w:rsidR="00F305A1" w:rsidRPr="009D52FD">
        <w:rPr>
          <w:rFonts w:cs="Verdana"/>
          <w:sz w:val="20"/>
          <w:szCs w:val="20"/>
          <w:lang w:val="en-US" w:eastAsia="es-MX"/>
        </w:rPr>
        <w:t>contain</w:t>
      </w:r>
      <w:r w:rsidR="004707CB" w:rsidRPr="009D52FD">
        <w:rPr>
          <w:rFonts w:cs="Verdana"/>
          <w:sz w:val="20"/>
          <w:szCs w:val="20"/>
          <w:lang w:val="en-US" w:eastAsia="es-MX"/>
        </w:rPr>
        <w:t>s</w:t>
      </w:r>
      <w:r w:rsidR="00F305A1" w:rsidRPr="009D52FD">
        <w:rPr>
          <w:rFonts w:cs="Verdana"/>
          <w:sz w:val="20"/>
          <w:szCs w:val="20"/>
          <w:lang w:val="en-US" w:eastAsia="es-MX"/>
        </w:rPr>
        <w:t xml:space="preserve"> elements that support the arguments of one of the parties, this does not </w:t>
      </w:r>
      <w:r w:rsidR="00F305A1" w:rsidRPr="009D52FD">
        <w:rPr>
          <w:rFonts w:cs="Verdana"/>
          <w:i/>
          <w:sz w:val="20"/>
          <w:szCs w:val="20"/>
          <w:lang w:val="en-US" w:eastAsia="es-MX"/>
        </w:rPr>
        <w:t xml:space="preserve">per se </w:t>
      </w:r>
      <w:r w:rsidR="00F305A1" w:rsidRPr="009D52FD">
        <w:rPr>
          <w:rFonts w:cs="Verdana"/>
          <w:iCs/>
          <w:sz w:val="20"/>
          <w:szCs w:val="20"/>
          <w:lang w:val="en-US" w:eastAsia="es-MX"/>
        </w:rPr>
        <w:t>disqualify the expert witness.</w:t>
      </w:r>
      <w:r w:rsidR="00813CC0" w:rsidRPr="009D52FD">
        <w:rPr>
          <w:rStyle w:val="FootnoteReference"/>
          <w:rFonts w:cs="Verdana"/>
          <w:sz w:val="20"/>
          <w:szCs w:val="20"/>
          <w:lang w:val="en-US" w:eastAsia="es-MX"/>
        </w:rPr>
        <w:footnoteReference w:id="34"/>
      </w:r>
      <w:r w:rsidR="00F305A1" w:rsidRPr="009D52FD">
        <w:rPr>
          <w:rFonts w:cs="Verdana"/>
          <w:sz w:val="20"/>
          <w:szCs w:val="20"/>
          <w:lang w:val="en-US" w:eastAsia="es-MX"/>
        </w:rPr>
        <w:t xml:space="preserve"> Therefore, the Court admits these expert opinions insofar as they are in keeping with the purposes that had been defined. The Court will not take into account anything that exceeds these purposes, in particular the references to this case, when this was not specified in the respective purpose, as in the case of the expert opinion of </w:t>
      </w:r>
      <w:r w:rsidR="00A75FA7" w:rsidRPr="009D52FD">
        <w:rPr>
          <w:rFonts w:cs="Verdana"/>
          <w:sz w:val="20"/>
          <w:szCs w:val="20"/>
          <w:lang w:val="en-US" w:eastAsia="es-MX"/>
        </w:rPr>
        <w:t>Huggins Castañeda</w:t>
      </w:r>
      <w:bookmarkStart w:id="58" w:name="_Ref402038868"/>
      <w:r w:rsidR="00F305A1" w:rsidRPr="009D52FD">
        <w:rPr>
          <w:rFonts w:cs="Verdana"/>
          <w:sz w:val="20"/>
          <w:szCs w:val="20"/>
          <w:lang w:val="en-US" w:eastAsia="es-MX"/>
        </w:rPr>
        <w:t>.</w:t>
      </w:r>
    </w:p>
    <w:p w14:paraId="4690D02D" w14:textId="77777777" w:rsidR="00F305A1" w:rsidRPr="009D52FD" w:rsidRDefault="00F305A1" w:rsidP="00F305A1">
      <w:pPr>
        <w:widowControl/>
        <w:tabs>
          <w:tab w:val="left" w:pos="567"/>
          <w:tab w:val="num" w:pos="12305"/>
        </w:tabs>
        <w:autoSpaceDE w:val="0"/>
        <w:autoSpaceDN w:val="0"/>
        <w:spacing w:line="240" w:lineRule="auto"/>
        <w:textAlignment w:val="auto"/>
        <w:rPr>
          <w:rFonts w:cs="Verdana"/>
          <w:sz w:val="20"/>
          <w:szCs w:val="20"/>
          <w:lang w:val="en-US" w:eastAsia="es-MX"/>
        </w:rPr>
      </w:pPr>
    </w:p>
    <w:p w14:paraId="439B1F72" w14:textId="3338DFC7" w:rsidR="00E300FC" w:rsidRPr="009D52FD" w:rsidRDefault="003630BB" w:rsidP="00F305A1">
      <w:pPr>
        <w:widowControl/>
        <w:numPr>
          <w:ilvl w:val="0"/>
          <w:numId w:val="1"/>
        </w:numPr>
        <w:tabs>
          <w:tab w:val="left" w:pos="567"/>
          <w:tab w:val="num" w:pos="1569"/>
          <w:tab w:val="num" w:pos="12305"/>
        </w:tabs>
        <w:autoSpaceDE w:val="0"/>
        <w:autoSpaceDN w:val="0"/>
        <w:spacing w:line="240" w:lineRule="auto"/>
        <w:ind w:left="0" w:firstLine="0"/>
        <w:textAlignment w:val="auto"/>
        <w:rPr>
          <w:rFonts w:cs="Verdana"/>
          <w:sz w:val="20"/>
          <w:szCs w:val="20"/>
          <w:lang w:val="en-US" w:eastAsia="es-MX"/>
        </w:rPr>
      </w:pPr>
      <w:r w:rsidRPr="009D52FD">
        <w:rPr>
          <w:sz w:val="20"/>
          <w:szCs w:val="20"/>
          <w:lang w:val="en-US" w:eastAsia="es-MX"/>
        </w:rPr>
        <w:t>The Court</w:t>
      </w:r>
      <w:r w:rsidR="00E300FC" w:rsidRPr="009D52FD">
        <w:rPr>
          <w:sz w:val="20"/>
          <w:szCs w:val="20"/>
          <w:lang w:val="en-US" w:eastAsia="es-MX"/>
        </w:rPr>
        <w:t xml:space="preserve"> </w:t>
      </w:r>
      <w:r w:rsidR="00F305A1" w:rsidRPr="009D52FD">
        <w:rPr>
          <w:sz w:val="20"/>
          <w:szCs w:val="20"/>
          <w:lang w:val="en-US" w:eastAsia="es-MX"/>
        </w:rPr>
        <w:t>notes that both</w:t>
      </w:r>
      <w:r w:rsidR="00E300FC" w:rsidRPr="009D52FD">
        <w:rPr>
          <w:sz w:val="20"/>
          <w:szCs w:val="20"/>
          <w:lang w:val="en-US" w:eastAsia="es-MX"/>
        </w:rPr>
        <w:t xml:space="preserve"> </w:t>
      </w:r>
      <w:r w:rsidRPr="009D52FD">
        <w:rPr>
          <w:sz w:val="20"/>
          <w:szCs w:val="20"/>
          <w:lang w:val="en-US" w:eastAsia="es-MX"/>
        </w:rPr>
        <w:t>the State</w:t>
      </w:r>
      <w:r w:rsidR="00E300FC" w:rsidRPr="009D52FD">
        <w:rPr>
          <w:sz w:val="20"/>
          <w:szCs w:val="20"/>
          <w:lang w:val="en-US" w:eastAsia="es-MX"/>
        </w:rPr>
        <w:t xml:space="preserve"> </w:t>
      </w:r>
      <w:r w:rsidR="00F305A1" w:rsidRPr="009D52FD">
        <w:rPr>
          <w:sz w:val="20"/>
          <w:szCs w:val="20"/>
          <w:lang w:val="en-US" w:eastAsia="es-MX"/>
        </w:rPr>
        <w:t>and</w:t>
      </w:r>
      <w:r w:rsidR="00E300FC" w:rsidRPr="009D52FD">
        <w:rPr>
          <w:sz w:val="20"/>
          <w:szCs w:val="20"/>
          <w:lang w:val="en-US" w:eastAsia="es-MX"/>
        </w:rPr>
        <w:t xml:space="preserve"> </w:t>
      </w:r>
      <w:r w:rsidRPr="009D52FD">
        <w:rPr>
          <w:sz w:val="20"/>
          <w:szCs w:val="20"/>
          <w:lang w:val="en-US" w:eastAsia="es-MX"/>
        </w:rPr>
        <w:t>the representatives</w:t>
      </w:r>
      <w:r w:rsidR="00E300FC" w:rsidRPr="009D52FD">
        <w:rPr>
          <w:sz w:val="20"/>
          <w:szCs w:val="20"/>
          <w:lang w:val="en-US" w:eastAsia="es-MX"/>
        </w:rPr>
        <w:t xml:space="preserve"> present</w:t>
      </w:r>
      <w:r w:rsidR="00F305A1" w:rsidRPr="009D52FD">
        <w:rPr>
          <w:sz w:val="20"/>
          <w:szCs w:val="20"/>
          <w:lang w:val="en-US" w:eastAsia="es-MX"/>
        </w:rPr>
        <w:t>ed</w:t>
      </w:r>
      <w:r w:rsidR="00E300FC" w:rsidRPr="009D52FD">
        <w:rPr>
          <w:sz w:val="20"/>
          <w:szCs w:val="20"/>
          <w:lang w:val="en-US" w:eastAsia="es-MX"/>
        </w:rPr>
        <w:t xml:space="preserve"> </w:t>
      </w:r>
      <w:r w:rsidR="00997ADF" w:rsidRPr="009D52FD">
        <w:rPr>
          <w:sz w:val="20"/>
          <w:szCs w:val="20"/>
          <w:lang w:val="en-US" w:eastAsia="es-MX"/>
        </w:rPr>
        <w:t>considerations</w:t>
      </w:r>
      <w:r w:rsidR="00E300FC" w:rsidRPr="009D52FD">
        <w:rPr>
          <w:sz w:val="20"/>
          <w:szCs w:val="20"/>
          <w:lang w:val="en-US" w:eastAsia="es-MX"/>
        </w:rPr>
        <w:t xml:space="preserve"> </w:t>
      </w:r>
      <w:r w:rsidR="00F305A1" w:rsidRPr="009D52FD">
        <w:rPr>
          <w:sz w:val="20"/>
          <w:szCs w:val="20"/>
          <w:lang w:val="en-US" w:eastAsia="es-MX"/>
        </w:rPr>
        <w:t xml:space="preserve">on the assessment of the evidence in this case. In particular, the State questioned the criteria used by this Court to assess the statements of the presumed victims. Meanwhile, the representatives submitted arguments on the assessment of the testimonial evidence in cases with limited documentary evidence or when confronted with possible ambiguities in the testimony. The Court will take these arguments into account and will establish the </w:t>
      </w:r>
      <w:r w:rsidR="00431804" w:rsidRPr="009D52FD">
        <w:rPr>
          <w:sz w:val="20"/>
          <w:szCs w:val="20"/>
          <w:lang w:val="en-US" w:eastAsia="es-MX"/>
        </w:rPr>
        <w:t>considerations that are relevant to deciding this case when addressing the contested facts</w:t>
      </w:r>
      <w:r w:rsidR="00D71481" w:rsidRPr="009D52FD">
        <w:rPr>
          <w:sz w:val="20"/>
          <w:szCs w:val="20"/>
          <w:lang w:val="en-US" w:eastAsia="es-MX"/>
        </w:rPr>
        <w:t xml:space="preserve"> (</w:t>
      </w:r>
      <w:r w:rsidR="00D71481" w:rsidRPr="009D52FD">
        <w:rPr>
          <w:i/>
          <w:sz w:val="20"/>
          <w:szCs w:val="20"/>
          <w:lang w:val="en-US" w:eastAsia="es-MX"/>
        </w:rPr>
        <w:t>infra</w:t>
      </w:r>
      <w:r w:rsidR="00D71481" w:rsidRPr="009D52FD">
        <w:rPr>
          <w:sz w:val="20"/>
          <w:szCs w:val="20"/>
          <w:lang w:val="en-US" w:eastAsia="es-MX"/>
        </w:rPr>
        <w:t xml:space="preserve"> </w:t>
      </w:r>
      <w:r w:rsidR="00EB0EB6" w:rsidRPr="009D52FD">
        <w:rPr>
          <w:sz w:val="20"/>
          <w:szCs w:val="20"/>
          <w:lang w:val="en-US" w:eastAsia="es-MX"/>
        </w:rPr>
        <w:t>Chapter</w:t>
      </w:r>
      <w:r w:rsidR="009B444D" w:rsidRPr="009D52FD">
        <w:rPr>
          <w:sz w:val="20"/>
          <w:szCs w:val="20"/>
          <w:lang w:val="en-US" w:eastAsia="es-MX"/>
        </w:rPr>
        <w:t xml:space="preserve"> VIII-1</w:t>
      </w:r>
      <w:r w:rsidR="00D71481" w:rsidRPr="009D52FD">
        <w:rPr>
          <w:sz w:val="20"/>
          <w:szCs w:val="20"/>
          <w:lang w:val="en-US" w:eastAsia="es-MX"/>
        </w:rPr>
        <w:t>)</w:t>
      </w:r>
      <w:r w:rsidR="00E300FC" w:rsidRPr="009D52FD">
        <w:rPr>
          <w:sz w:val="20"/>
          <w:szCs w:val="20"/>
          <w:lang w:val="en-US" w:eastAsia="es-MX"/>
        </w:rPr>
        <w:t>.</w:t>
      </w:r>
    </w:p>
    <w:bookmarkEnd w:id="58"/>
    <w:p w14:paraId="31123733" w14:textId="77777777" w:rsidR="00731D3E" w:rsidRPr="009D52FD" w:rsidRDefault="00731D3E" w:rsidP="00652A11">
      <w:pPr>
        <w:tabs>
          <w:tab w:val="left" w:pos="567"/>
        </w:tabs>
        <w:spacing w:line="240" w:lineRule="auto"/>
        <w:rPr>
          <w:rFonts w:cs="Verdana"/>
          <w:sz w:val="20"/>
          <w:szCs w:val="20"/>
          <w:lang w:val="en-US" w:eastAsia="es-MX"/>
        </w:rPr>
      </w:pPr>
    </w:p>
    <w:p w14:paraId="22DC70C0" w14:textId="01164FFB" w:rsidR="00652A11" w:rsidRPr="009D52FD" w:rsidRDefault="00652A11" w:rsidP="00652A11">
      <w:pPr>
        <w:keepNext/>
        <w:keepLines/>
        <w:tabs>
          <w:tab w:val="left" w:pos="851"/>
        </w:tabs>
        <w:spacing w:line="240" w:lineRule="auto"/>
        <w:jc w:val="center"/>
        <w:outlineLvl w:val="0"/>
        <w:rPr>
          <w:rFonts w:cs="Verdana"/>
          <w:b/>
          <w:bCs/>
          <w:caps/>
          <w:snapToGrid w:val="0"/>
          <w:sz w:val="20"/>
          <w:szCs w:val="20"/>
          <w:lang w:val="en-US"/>
        </w:rPr>
      </w:pPr>
      <w:bookmarkStart w:id="59" w:name="_Toc495658661"/>
      <w:bookmarkStart w:id="60" w:name="_Toc498013630"/>
      <w:bookmarkStart w:id="61" w:name="_Toc514172615"/>
      <w:bookmarkStart w:id="62" w:name="_Toc51400081"/>
      <w:r w:rsidRPr="009D52FD">
        <w:rPr>
          <w:rFonts w:cs="Verdana"/>
          <w:b/>
          <w:bCs/>
          <w:caps/>
          <w:snapToGrid w:val="0"/>
          <w:sz w:val="20"/>
          <w:szCs w:val="20"/>
          <w:lang w:val="en-US"/>
        </w:rPr>
        <w:t>ViI</w:t>
      </w:r>
      <w:r w:rsidRPr="009D52FD">
        <w:rPr>
          <w:rFonts w:cs="Verdana"/>
          <w:b/>
          <w:bCs/>
          <w:caps/>
          <w:snapToGrid w:val="0"/>
          <w:sz w:val="20"/>
          <w:szCs w:val="20"/>
          <w:lang w:val="en-US"/>
        </w:rPr>
        <w:br/>
      </w:r>
      <w:r w:rsidR="00315BAF" w:rsidRPr="009D52FD">
        <w:rPr>
          <w:rFonts w:cs="Verdana"/>
          <w:b/>
          <w:bCs/>
          <w:caps/>
          <w:snapToGrid w:val="0"/>
          <w:sz w:val="20"/>
          <w:szCs w:val="20"/>
          <w:lang w:val="en-US"/>
        </w:rPr>
        <w:t>FACTS</w:t>
      </w:r>
      <w:bookmarkEnd w:id="59"/>
      <w:bookmarkEnd w:id="60"/>
      <w:bookmarkEnd w:id="61"/>
      <w:bookmarkEnd w:id="62"/>
    </w:p>
    <w:p w14:paraId="7DDE4BB0" w14:textId="77777777" w:rsidR="00BB528A" w:rsidRPr="009D52FD" w:rsidRDefault="00BB528A" w:rsidP="00652A11">
      <w:pPr>
        <w:widowControl/>
        <w:autoSpaceDE w:val="0"/>
        <w:autoSpaceDN w:val="0"/>
        <w:spacing w:line="240" w:lineRule="auto"/>
        <w:textAlignment w:val="auto"/>
        <w:rPr>
          <w:rFonts w:eastAsia="Calibri" w:cs="Arial"/>
          <w:bCs/>
          <w:sz w:val="20"/>
          <w:szCs w:val="22"/>
          <w:lang w:val="en-US" w:eastAsia="en-US"/>
        </w:rPr>
      </w:pPr>
    </w:p>
    <w:p w14:paraId="540AAC40" w14:textId="2CD6FF49" w:rsidR="00BB528A" w:rsidRPr="009D52FD" w:rsidRDefault="00BB528A" w:rsidP="00BB528A">
      <w:pPr>
        <w:keepNext/>
        <w:keepLines/>
        <w:tabs>
          <w:tab w:val="left" w:pos="1134"/>
        </w:tabs>
        <w:spacing w:line="240" w:lineRule="auto"/>
        <w:ind w:left="567" w:firstLine="1"/>
        <w:outlineLvl w:val="1"/>
        <w:rPr>
          <w:rFonts w:eastAsia="MS Mincho"/>
          <w:b/>
          <w:bCs/>
          <w:i/>
          <w:sz w:val="20"/>
          <w:szCs w:val="20"/>
          <w:lang w:val="en-US"/>
        </w:rPr>
      </w:pPr>
      <w:bookmarkStart w:id="63" w:name="_Toc51400082"/>
      <w:r w:rsidRPr="009D52FD">
        <w:rPr>
          <w:rFonts w:eastAsia="MS Mincho"/>
          <w:b/>
          <w:bCs/>
          <w:i/>
          <w:sz w:val="20"/>
          <w:szCs w:val="20"/>
          <w:lang w:val="en-US"/>
        </w:rPr>
        <w:t xml:space="preserve">A. </w:t>
      </w:r>
      <w:r w:rsidR="00ED6EDF" w:rsidRPr="009D52FD">
        <w:rPr>
          <w:rFonts w:eastAsia="MS Mincho"/>
          <w:b/>
          <w:bCs/>
          <w:i/>
          <w:sz w:val="20"/>
          <w:szCs w:val="20"/>
          <w:lang w:val="en-US"/>
        </w:rPr>
        <w:tab/>
      </w:r>
      <w:r w:rsidR="00431804" w:rsidRPr="009D52FD">
        <w:rPr>
          <w:rFonts w:eastAsia="MS Mincho"/>
          <w:b/>
          <w:bCs/>
          <w:i/>
          <w:sz w:val="20"/>
          <w:szCs w:val="20"/>
          <w:lang w:val="en-US"/>
        </w:rPr>
        <w:t>Background information</w:t>
      </w:r>
      <w:bookmarkEnd w:id="63"/>
    </w:p>
    <w:p w14:paraId="387F0345" w14:textId="77777777" w:rsidR="00BB528A" w:rsidRPr="009D52FD" w:rsidRDefault="00BB528A" w:rsidP="00BB528A">
      <w:pPr>
        <w:widowControl/>
        <w:adjustRightInd/>
        <w:spacing w:line="240" w:lineRule="auto"/>
        <w:textAlignment w:val="auto"/>
        <w:rPr>
          <w:rFonts w:eastAsiaTheme="minorHAnsi" w:cstheme="minorBidi"/>
          <w:b/>
          <w:sz w:val="20"/>
          <w:szCs w:val="20"/>
          <w:lang w:val="en-US" w:eastAsia="en-US"/>
        </w:rPr>
      </w:pPr>
    </w:p>
    <w:p w14:paraId="7BAD36BE" w14:textId="28979635" w:rsidR="00BB528A" w:rsidRPr="009D52FD" w:rsidRDefault="00BB528A" w:rsidP="00BB528A">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 xml:space="preserve">Linda Loaiza López Soto </w:t>
      </w:r>
      <w:r w:rsidR="00431804" w:rsidRPr="009D52FD">
        <w:rPr>
          <w:rFonts w:eastAsiaTheme="minorHAnsi" w:cstheme="minorBidi"/>
          <w:sz w:val="20"/>
          <w:szCs w:val="20"/>
          <w:lang w:val="en-US" w:eastAsia="en-US"/>
        </w:rPr>
        <w:t>was born on December 12,</w:t>
      </w:r>
      <w:r w:rsidRPr="009D52FD">
        <w:rPr>
          <w:rFonts w:eastAsiaTheme="minorHAnsi" w:cstheme="minorBidi"/>
          <w:sz w:val="20"/>
          <w:szCs w:val="20"/>
          <w:lang w:val="en-US" w:eastAsia="en-US"/>
        </w:rPr>
        <w:t xml:space="preserve"> 1982</w:t>
      </w:r>
      <w:r w:rsidR="00431804" w:rsidRPr="009D52FD">
        <w:rPr>
          <w:rFonts w:eastAsiaTheme="minorHAnsi" w:cstheme="minorBidi"/>
          <w:sz w:val="20"/>
          <w:szCs w:val="20"/>
          <w:lang w:val="en-US" w:eastAsia="en-US"/>
        </w:rPr>
        <w:t>, in</w:t>
      </w:r>
      <w:r w:rsidRPr="009D52FD">
        <w:rPr>
          <w:rFonts w:eastAsiaTheme="minorHAnsi" w:cstheme="minorBidi"/>
          <w:sz w:val="20"/>
          <w:szCs w:val="20"/>
          <w:lang w:val="en-US" w:eastAsia="en-US"/>
        </w:rPr>
        <w:t xml:space="preserve"> La Azulita, capital</w:t>
      </w:r>
      <w:r w:rsidR="003630BB" w:rsidRPr="009D52FD">
        <w:rPr>
          <w:rFonts w:eastAsiaTheme="minorHAnsi" w:cstheme="minorBidi"/>
          <w:sz w:val="20"/>
          <w:szCs w:val="20"/>
          <w:lang w:val="en-US" w:eastAsia="en-US"/>
        </w:rPr>
        <w:t xml:space="preserve"> of </w:t>
      </w:r>
      <w:r w:rsidR="0050774C" w:rsidRPr="009D52FD">
        <w:rPr>
          <w:rFonts w:eastAsiaTheme="minorHAnsi" w:cstheme="minorBidi"/>
          <w:sz w:val="20"/>
          <w:szCs w:val="20"/>
          <w:lang w:val="en-US" w:eastAsia="en-US"/>
        </w:rPr>
        <w:t xml:space="preserve">the </w:t>
      </w:r>
      <w:r w:rsidR="00431804" w:rsidRPr="009D52FD">
        <w:rPr>
          <w:rFonts w:eastAsiaTheme="minorHAnsi" w:cstheme="minorBidi"/>
          <w:sz w:val="20"/>
          <w:szCs w:val="20"/>
          <w:lang w:val="en-US" w:eastAsia="en-US"/>
        </w:rPr>
        <w:t>s</w:t>
      </w:r>
      <w:r w:rsidR="0050774C" w:rsidRPr="009D52FD">
        <w:rPr>
          <w:rFonts w:eastAsiaTheme="minorHAnsi" w:cstheme="minorBidi"/>
          <w:sz w:val="20"/>
          <w:szCs w:val="20"/>
          <w:lang w:val="en-US" w:eastAsia="en-US"/>
        </w:rPr>
        <w:t>tate of</w:t>
      </w:r>
      <w:r w:rsidRPr="009D52FD">
        <w:rPr>
          <w:rFonts w:eastAsiaTheme="minorHAnsi" w:cstheme="minorBidi"/>
          <w:sz w:val="20"/>
          <w:szCs w:val="20"/>
          <w:lang w:val="en-US" w:eastAsia="en-US"/>
        </w:rPr>
        <w:t xml:space="preserve"> Mérida, Venezuela. </w:t>
      </w:r>
      <w:r w:rsidR="00431804" w:rsidRPr="009D52FD">
        <w:rPr>
          <w:rFonts w:eastAsiaTheme="minorHAnsi" w:cstheme="minorBidi"/>
          <w:sz w:val="20"/>
          <w:szCs w:val="20"/>
          <w:lang w:val="en-US" w:eastAsia="en-US"/>
        </w:rPr>
        <w:t>Her family consisted of her father,</w:t>
      </w:r>
      <w:r w:rsidRPr="009D52FD">
        <w:rPr>
          <w:rFonts w:eastAsiaTheme="minorHAnsi" w:cstheme="minorBidi"/>
          <w:sz w:val="20"/>
          <w:szCs w:val="20"/>
          <w:lang w:val="en-US" w:eastAsia="en-US"/>
        </w:rPr>
        <w:t xml:space="preserve"> Nelson López Meza, </w:t>
      </w:r>
      <w:r w:rsidR="00431804" w:rsidRPr="009D52FD">
        <w:rPr>
          <w:rFonts w:eastAsiaTheme="minorHAnsi" w:cstheme="minorBidi"/>
          <w:sz w:val="20"/>
          <w:szCs w:val="20"/>
          <w:lang w:val="en-US" w:eastAsia="en-US"/>
        </w:rPr>
        <w:t>her mother</w:t>
      </w:r>
      <w:r w:rsidRPr="009D52FD">
        <w:rPr>
          <w:rFonts w:eastAsiaTheme="minorHAnsi" w:cstheme="minorBidi"/>
          <w:sz w:val="20"/>
          <w:szCs w:val="20"/>
          <w:lang w:val="en-US" w:eastAsia="en-US"/>
        </w:rPr>
        <w:t xml:space="preserve">, </w:t>
      </w:r>
      <w:r w:rsidRPr="009D52FD">
        <w:rPr>
          <w:rFonts w:cs="Verdana"/>
          <w:sz w:val="20"/>
          <w:szCs w:val="20"/>
          <w:lang w:val="en-US" w:eastAsia="es-MX"/>
        </w:rPr>
        <w:t>Paulina</w:t>
      </w:r>
      <w:r w:rsidRPr="009D52FD">
        <w:rPr>
          <w:rFonts w:eastAsiaTheme="minorHAnsi" w:cstheme="minorBidi"/>
          <w:sz w:val="20"/>
          <w:szCs w:val="20"/>
          <w:lang w:val="en-US" w:eastAsia="en-US"/>
        </w:rPr>
        <w:t xml:space="preserve"> Soto </w:t>
      </w:r>
      <w:r w:rsidR="003A093C" w:rsidRPr="009D52FD">
        <w:rPr>
          <w:rFonts w:eastAsiaTheme="minorHAnsi" w:cstheme="minorBidi"/>
          <w:sz w:val="20"/>
          <w:szCs w:val="20"/>
          <w:lang w:val="en-US" w:eastAsia="en-US"/>
        </w:rPr>
        <w:t>Chaustre</w:t>
      </w:r>
      <w:r w:rsidRPr="009D52FD">
        <w:rPr>
          <w:rFonts w:eastAsiaTheme="minorHAnsi" w:cstheme="minorBidi"/>
          <w:sz w:val="20"/>
          <w:szCs w:val="20"/>
          <w:lang w:val="en-US" w:eastAsia="en-US"/>
        </w:rPr>
        <w:t>,</w:t>
      </w:r>
      <w:r w:rsidR="003630BB" w:rsidRPr="009D52FD">
        <w:rPr>
          <w:rFonts w:eastAsiaTheme="minorHAnsi" w:cstheme="minorBidi"/>
          <w:sz w:val="20"/>
          <w:szCs w:val="20"/>
          <w:lang w:val="en-US" w:eastAsia="en-US"/>
        </w:rPr>
        <w:t xml:space="preserve"> and </w:t>
      </w:r>
      <w:r w:rsidR="00431804" w:rsidRPr="009D52FD">
        <w:rPr>
          <w:rFonts w:eastAsiaTheme="minorHAnsi" w:cstheme="minorBidi"/>
          <w:sz w:val="20"/>
          <w:szCs w:val="20"/>
          <w:lang w:val="en-US" w:eastAsia="en-US"/>
        </w:rPr>
        <w:t>ten siblings,</w:t>
      </w:r>
      <w:r w:rsidRPr="009D52FD">
        <w:rPr>
          <w:rFonts w:eastAsiaTheme="minorHAnsi" w:cstheme="minorBidi"/>
          <w:sz w:val="20"/>
          <w:szCs w:val="20"/>
          <w:lang w:val="en-US" w:eastAsia="en-US"/>
        </w:rPr>
        <w:t xml:space="preserve"> Ana Secilia, Diana Carolina, Anyi Karina, Nelson Enrique, Elith Johana, Gerson José, Yusmely del Valle, Luz Paulina, José Isidro</w:t>
      </w:r>
      <w:r w:rsidR="003630BB" w:rsidRPr="009D52FD">
        <w:rPr>
          <w:rFonts w:eastAsiaTheme="minorHAnsi" w:cstheme="minorBidi"/>
          <w:sz w:val="20"/>
          <w:szCs w:val="20"/>
          <w:lang w:val="en-US" w:eastAsia="en-US"/>
        </w:rPr>
        <w:t xml:space="preserve"> and </w:t>
      </w:r>
      <w:r w:rsidRPr="009D52FD">
        <w:rPr>
          <w:rFonts w:eastAsiaTheme="minorHAnsi" w:cstheme="minorBidi"/>
          <w:sz w:val="20"/>
          <w:szCs w:val="20"/>
          <w:lang w:val="en-US" w:eastAsia="en-US"/>
        </w:rPr>
        <w:t xml:space="preserve">Emmanuel Adrián, </w:t>
      </w:r>
      <w:r w:rsidR="00431804" w:rsidRPr="009D52FD">
        <w:rPr>
          <w:rFonts w:eastAsiaTheme="minorHAnsi" w:cstheme="minorBidi"/>
          <w:sz w:val="20"/>
          <w:szCs w:val="20"/>
          <w:lang w:val="en-US" w:eastAsia="en-US"/>
        </w:rPr>
        <w:t xml:space="preserve">all with the last names </w:t>
      </w:r>
      <w:r w:rsidRPr="009D52FD">
        <w:rPr>
          <w:rFonts w:eastAsiaTheme="minorHAnsi" w:cstheme="minorBidi"/>
          <w:sz w:val="20"/>
          <w:szCs w:val="20"/>
          <w:lang w:val="en-US" w:eastAsia="en-US"/>
        </w:rPr>
        <w:t>López Soto</w:t>
      </w:r>
      <w:r w:rsidR="00431804" w:rsidRPr="009D52FD">
        <w:rPr>
          <w:rFonts w:eastAsiaTheme="minorHAnsi" w:cstheme="minorBidi"/>
          <w:sz w:val="20"/>
          <w:szCs w:val="20"/>
          <w:lang w:val="en-US" w:eastAsia="en-US"/>
        </w:rPr>
        <w:t>.</w:t>
      </w:r>
      <w:r w:rsidR="00827ED3" w:rsidRPr="009D52FD">
        <w:rPr>
          <w:rStyle w:val="FootnoteReference"/>
          <w:rFonts w:eastAsiaTheme="minorHAnsi" w:cstheme="minorBidi"/>
          <w:sz w:val="20"/>
          <w:szCs w:val="20"/>
          <w:lang w:val="en-US" w:eastAsia="en-US"/>
        </w:rPr>
        <w:footnoteReference w:id="35"/>
      </w:r>
      <w:r w:rsidRPr="009D52FD">
        <w:rPr>
          <w:rFonts w:eastAsiaTheme="minorHAnsi" w:cstheme="minorBidi"/>
          <w:sz w:val="20"/>
          <w:szCs w:val="20"/>
          <w:lang w:val="en-US" w:eastAsia="en-US"/>
        </w:rPr>
        <w:t xml:space="preserve"> Linda Loaiza López Soto </w:t>
      </w:r>
      <w:r w:rsidR="00431804" w:rsidRPr="009D52FD">
        <w:rPr>
          <w:rFonts w:eastAsiaTheme="minorHAnsi" w:cstheme="minorBidi"/>
          <w:sz w:val="20"/>
          <w:szCs w:val="20"/>
          <w:lang w:val="en-US" w:eastAsia="en-US"/>
        </w:rPr>
        <w:t>studied at the El Cenizo Agricultural Tech</w:t>
      </w:r>
      <w:r w:rsidR="00474D0E" w:rsidRPr="009D52FD">
        <w:rPr>
          <w:rFonts w:eastAsiaTheme="minorHAnsi" w:cstheme="minorBidi"/>
          <w:sz w:val="20"/>
          <w:szCs w:val="20"/>
          <w:lang w:val="en-US" w:eastAsia="en-US"/>
        </w:rPr>
        <w:t>n</w:t>
      </w:r>
      <w:r w:rsidR="00431804" w:rsidRPr="009D52FD">
        <w:rPr>
          <w:rFonts w:eastAsiaTheme="minorHAnsi" w:cstheme="minorBidi"/>
          <w:sz w:val="20"/>
          <w:szCs w:val="20"/>
          <w:lang w:val="en-US" w:eastAsia="en-US"/>
        </w:rPr>
        <w:t xml:space="preserve">ical College in </w:t>
      </w:r>
      <w:r w:rsidRPr="009D52FD">
        <w:rPr>
          <w:rFonts w:eastAsiaTheme="minorHAnsi" w:cstheme="minorBidi"/>
          <w:sz w:val="20"/>
          <w:szCs w:val="20"/>
          <w:lang w:val="en-US" w:eastAsia="en-US"/>
        </w:rPr>
        <w:t>Trujillo</w:t>
      </w:r>
      <w:r w:rsidR="00474D0E" w:rsidRPr="009D52FD">
        <w:rPr>
          <w:rFonts w:eastAsiaTheme="minorHAnsi" w:cstheme="minorBidi"/>
          <w:sz w:val="20"/>
          <w:szCs w:val="20"/>
          <w:lang w:val="en-US" w:eastAsia="en-US"/>
        </w:rPr>
        <w:t xml:space="preserve"> state</w:t>
      </w:r>
      <w:r w:rsidR="00431804" w:rsidRPr="009D52FD">
        <w:rPr>
          <w:rFonts w:eastAsiaTheme="minorHAnsi" w:cstheme="minorBidi"/>
          <w:sz w:val="20"/>
          <w:szCs w:val="20"/>
          <w:lang w:val="en-US" w:eastAsia="en-US"/>
        </w:rPr>
        <w:t xml:space="preserve"> </w:t>
      </w:r>
      <w:r w:rsidR="003630BB" w:rsidRPr="009D52FD">
        <w:rPr>
          <w:rFonts w:eastAsiaTheme="minorHAnsi" w:cstheme="minorBidi"/>
          <w:sz w:val="20"/>
          <w:szCs w:val="20"/>
          <w:lang w:val="en-US" w:eastAsia="en-US"/>
        </w:rPr>
        <w:t>and</w:t>
      </w:r>
      <w:r w:rsidR="00431804" w:rsidRPr="009D52FD">
        <w:rPr>
          <w:rFonts w:eastAsiaTheme="minorHAnsi" w:cstheme="minorBidi"/>
          <w:sz w:val="20"/>
          <w:szCs w:val="20"/>
          <w:lang w:val="en-US" w:eastAsia="en-US"/>
        </w:rPr>
        <w:t>,</w:t>
      </w:r>
      <w:r w:rsidR="003630BB" w:rsidRPr="009D52FD">
        <w:rPr>
          <w:rFonts w:eastAsiaTheme="minorHAnsi" w:cstheme="minorBidi"/>
          <w:sz w:val="20"/>
          <w:szCs w:val="20"/>
          <w:lang w:val="en-US" w:eastAsia="en-US"/>
        </w:rPr>
        <w:t xml:space="preserve"> </w:t>
      </w:r>
      <w:r w:rsidR="00431804" w:rsidRPr="009D52FD">
        <w:rPr>
          <w:rFonts w:eastAsiaTheme="minorHAnsi" w:cstheme="minorBidi"/>
          <w:sz w:val="20"/>
          <w:szCs w:val="20"/>
          <w:lang w:val="en-US" w:eastAsia="en-US"/>
        </w:rPr>
        <w:t>in</w:t>
      </w:r>
      <w:r w:rsidRPr="009D52FD">
        <w:rPr>
          <w:rFonts w:eastAsiaTheme="minorHAnsi" w:cstheme="minorBidi"/>
          <w:sz w:val="20"/>
          <w:szCs w:val="20"/>
          <w:lang w:val="en-US" w:eastAsia="en-US"/>
        </w:rPr>
        <w:t xml:space="preserve"> 2000</w:t>
      </w:r>
      <w:r w:rsidR="00431804" w:rsidRPr="009D52FD">
        <w:rPr>
          <w:rFonts w:eastAsiaTheme="minorHAnsi" w:cstheme="minorBidi"/>
          <w:sz w:val="20"/>
          <w:szCs w:val="20"/>
          <w:lang w:val="en-US" w:eastAsia="en-US"/>
        </w:rPr>
        <w:t>, graduated as a mid-level technician in animal husbandry.</w:t>
      </w:r>
      <w:r w:rsidRPr="009D52FD">
        <w:rPr>
          <w:rFonts w:eastAsiaTheme="minorHAnsi" w:cstheme="minorBidi"/>
          <w:sz w:val="20"/>
          <w:szCs w:val="20"/>
          <w:vertAlign w:val="superscript"/>
          <w:lang w:val="en-US" w:eastAsia="en-US"/>
        </w:rPr>
        <w:footnoteReference w:id="36"/>
      </w:r>
      <w:r w:rsidRPr="009D52FD">
        <w:rPr>
          <w:rFonts w:eastAsiaTheme="minorHAnsi" w:cstheme="minorBidi"/>
          <w:sz w:val="20"/>
          <w:szCs w:val="20"/>
          <w:lang w:val="en-US" w:eastAsia="en-US"/>
        </w:rPr>
        <w:t xml:space="preserve"> </w:t>
      </w:r>
      <w:r w:rsidR="00431804" w:rsidRPr="009D52FD">
        <w:rPr>
          <w:rFonts w:eastAsiaTheme="minorHAnsi" w:cstheme="minorBidi"/>
          <w:sz w:val="20"/>
          <w:szCs w:val="20"/>
          <w:lang w:val="en-US" w:eastAsia="en-US"/>
        </w:rPr>
        <w:t>On Febru</w:t>
      </w:r>
      <w:r w:rsidR="00474D0E" w:rsidRPr="009D52FD">
        <w:rPr>
          <w:rFonts w:eastAsiaTheme="minorHAnsi" w:cstheme="minorBidi"/>
          <w:sz w:val="20"/>
          <w:szCs w:val="20"/>
          <w:lang w:val="en-US" w:eastAsia="en-US"/>
        </w:rPr>
        <w:t>a</w:t>
      </w:r>
      <w:r w:rsidR="00431804" w:rsidRPr="009D52FD">
        <w:rPr>
          <w:rFonts w:eastAsiaTheme="minorHAnsi" w:cstheme="minorBidi"/>
          <w:sz w:val="20"/>
          <w:szCs w:val="20"/>
          <w:lang w:val="en-US" w:eastAsia="en-US"/>
        </w:rPr>
        <w:t>ry 27,</w:t>
      </w:r>
      <w:r w:rsidRPr="009D52FD">
        <w:rPr>
          <w:rFonts w:eastAsiaTheme="minorHAnsi" w:cstheme="minorBidi"/>
          <w:sz w:val="20"/>
          <w:szCs w:val="20"/>
          <w:lang w:val="en-US" w:eastAsia="en-US"/>
        </w:rPr>
        <w:t xml:space="preserve"> 2001</w:t>
      </w:r>
      <w:r w:rsidR="00431804" w:rsidRPr="009D52FD">
        <w:rPr>
          <w:rFonts w:eastAsiaTheme="minorHAnsi" w:cstheme="minorBidi"/>
          <w:sz w:val="20"/>
          <w:szCs w:val="20"/>
          <w:lang w:val="en-US" w:eastAsia="en-US"/>
        </w:rPr>
        <w:t xml:space="preserve">, she moved to </w:t>
      </w:r>
      <w:r w:rsidRPr="009D52FD">
        <w:rPr>
          <w:rFonts w:eastAsiaTheme="minorHAnsi" w:cstheme="minorBidi"/>
          <w:sz w:val="20"/>
          <w:szCs w:val="20"/>
          <w:lang w:val="en-US" w:eastAsia="en-US"/>
        </w:rPr>
        <w:t xml:space="preserve">Caracas </w:t>
      </w:r>
      <w:r w:rsidR="00431804" w:rsidRPr="009D52FD">
        <w:rPr>
          <w:rFonts w:eastAsiaTheme="minorHAnsi" w:cstheme="minorBidi"/>
          <w:sz w:val="20"/>
          <w:szCs w:val="20"/>
          <w:lang w:val="en-US" w:eastAsia="en-US"/>
        </w:rPr>
        <w:t>with her sister,</w:t>
      </w:r>
      <w:r w:rsidRPr="009D52FD">
        <w:rPr>
          <w:rFonts w:eastAsiaTheme="minorHAnsi" w:cstheme="minorBidi"/>
          <w:sz w:val="20"/>
          <w:szCs w:val="20"/>
          <w:lang w:val="en-US" w:eastAsia="en-US"/>
        </w:rPr>
        <w:t xml:space="preserve"> Ana Secilia, </w:t>
      </w:r>
      <w:r w:rsidR="00431804" w:rsidRPr="009D52FD">
        <w:rPr>
          <w:rFonts w:eastAsiaTheme="minorHAnsi" w:cstheme="minorBidi"/>
          <w:sz w:val="20"/>
          <w:szCs w:val="20"/>
          <w:lang w:val="en-US" w:eastAsia="en-US"/>
        </w:rPr>
        <w:t>in order to continue her studies at university and look for work.</w:t>
      </w:r>
      <w:r w:rsidRPr="009D52FD">
        <w:rPr>
          <w:rFonts w:eastAsiaTheme="minorHAnsi" w:cstheme="minorBidi"/>
          <w:sz w:val="20"/>
          <w:szCs w:val="20"/>
          <w:vertAlign w:val="superscript"/>
          <w:lang w:val="en-US" w:eastAsia="en-US"/>
        </w:rPr>
        <w:footnoteReference w:id="37"/>
      </w:r>
    </w:p>
    <w:p w14:paraId="3F1A1E92" w14:textId="77777777" w:rsidR="00BB528A" w:rsidRPr="009D52FD" w:rsidRDefault="00BB528A" w:rsidP="00BB528A">
      <w:pPr>
        <w:widowControl/>
        <w:adjustRightInd/>
        <w:spacing w:line="240" w:lineRule="auto"/>
        <w:textAlignment w:val="auto"/>
        <w:rPr>
          <w:rFonts w:eastAsiaTheme="minorHAnsi" w:cstheme="minorBidi"/>
          <w:b/>
          <w:sz w:val="20"/>
          <w:szCs w:val="20"/>
          <w:lang w:val="en-US" w:eastAsia="en-US"/>
        </w:rPr>
      </w:pPr>
    </w:p>
    <w:p w14:paraId="68139124" w14:textId="3492C559" w:rsidR="00BB528A" w:rsidRPr="009D52FD" w:rsidRDefault="00BB528A" w:rsidP="00BB528A">
      <w:pPr>
        <w:keepNext/>
        <w:keepLines/>
        <w:tabs>
          <w:tab w:val="left" w:pos="1134"/>
        </w:tabs>
        <w:spacing w:line="240" w:lineRule="auto"/>
        <w:ind w:left="567" w:firstLine="1"/>
        <w:outlineLvl w:val="1"/>
        <w:rPr>
          <w:rFonts w:eastAsia="MS Mincho"/>
          <w:b/>
          <w:bCs/>
          <w:i/>
          <w:sz w:val="20"/>
          <w:szCs w:val="20"/>
          <w:lang w:val="en-US"/>
        </w:rPr>
      </w:pPr>
      <w:bookmarkStart w:id="64" w:name="_Toc51400083"/>
      <w:r w:rsidRPr="009D52FD">
        <w:rPr>
          <w:rFonts w:eastAsia="MS Mincho"/>
          <w:b/>
          <w:bCs/>
          <w:i/>
          <w:sz w:val="20"/>
          <w:szCs w:val="20"/>
          <w:lang w:val="en-US"/>
        </w:rPr>
        <w:lastRenderedPageBreak/>
        <w:t xml:space="preserve">B. </w:t>
      </w:r>
      <w:r w:rsidR="00ED6EDF" w:rsidRPr="009D52FD">
        <w:rPr>
          <w:rFonts w:eastAsia="MS Mincho"/>
          <w:b/>
          <w:bCs/>
          <w:i/>
          <w:sz w:val="20"/>
          <w:szCs w:val="20"/>
          <w:lang w:val="en-US"/>
        </w:rPr>
        <w:tab/>
      </w:r>
      <w:r w:rsidR="00474D0E" w:rsidRPr="009D52FD">
        <w:rPr>
          <w:rFonts w:eastAsia="MS Mincho"/>
          <w:b/>
          <w:bCs/>
          <w:i/>
          <w:sz w:val="20"/>
          <w:szCs w:val="20"/>
          <w:lang w:val="en-US"/>
        </w:rPr>
        <w:t>The deprivation of liberty and the acts of physical, verbal, psychological and sexual violence against</w:t>
      </w:r>
      <w:r w:rsidRPr="009D52FD">
        <w:rPr>
          <w:rFonts w:eastAsia="MS Mincho"/>
          <w:b/>
          <w:bCs/>
          <w:i/>
          <w:sz w:val="20"/>
          <w:szCs w:val="20"/>
          <w:lang w:val="en-US"/>
        </w:rPr>
        <w:t xml:space="preserve"> Linda Loaiza López Soto</w:t>
      </w:r>
      <w:bookmarkEnd w:id="64"/>
    </w:p>
    <w:p w14:paraId="51B40491" w14:textId="77777777" w:rsidR="00BB528A" w:rsidRPr="009D52FD" w:rsidRDefault="00BB528A" w:rsidP="00BB528A">
      <w:pPr>
        <w:widowControl/>
        <w:adjustRightInd/>
        <w:spacing w:line="240" w:lineRule="auto"/>
        <w:textAlignment w:val="auto"/>
        <w:rPr>
          <w:rFonts w:eastAsiaTheme="minorHAnsi" w:cstheme="minorBidi"/>
          <w:b/>
          <w:i/>
          <w:sz w:val="20"/>
          <w:szCs w:val="20"/>
          <w:lang w:val="en-US" w:eastAsia="en-US"/>
        </w:rPr>
      </w:pPr>
    </w:p>
    <w:p w14:paraId="02201D80" w14:textId="30E07048" w:rsidR="00BB528A" w:rsidRPr="009D52FD" w:rsidRDefault="00474D0E" w:rsidP="00474D0E">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According to the statement made by</w:t>
      </w:r>
      <w:r w:rsidR="00BB528A" w:rsidRPr="009D52FD">
        <w:rPr>
          <w:rFonts w:eastAsiaTheme="minorHAnsi" w:cstheme="minorBidi"/>
          <w:sz w:val="20"/>
          <w:szCs w:val="20"/>
          <w:lang w:val="en-US" w:eastAsia="en-US"/>
        </w:rPr>
        <w:t xml:space="preserve"> Linda Loaiza López Soto</w:t>
      </w:r>
      <w:r w:rsidRPr="009D52FD">
        <w:rPr>
          <w:rFonts w:eastAsiaTheme="minorHAnsi" w:cstheme="minorBidi"/>
          <w:sz w:val="20"/>
          <w:szCs w:val="20"/>
          <w:lang w:val="en-US" w:eastAsia="en-US"/>
        </w:rPr>
        <w:t>,</w:t>
      </w:r>
      <w:r w:rsidR="001A78BB" w:rsidRPr="009D52FD">
        <w:rPr>
          <w:rFonts w:eastAsiaTheme="minorHAnsi" w:cstheme="minorBidi"/>
          <w:sz w:val="20"/>
          <w:szCs w:val="20"/>
          <w:vertAlign w:val="superscript"/>
          <w:lang w:val="en-US" w:eastAsia="en-US"/>
        </w:rPr>
        <w:footnoteReference w:id="38"/>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on March 27,</w:t>
      </w:r>
      <w:r w:rsidR="00BB528A" w:rsidRPr="009D52FD">
        <w:rPr>
          <w:rFonts w:eastAsiaTheme="minorHAnsi" w:cstheme="minorBidi"/>
          <w:sz w:val="20"/>
          <w:szCs w:val="20"/>
          <w:lang w:val="en-US" w:eastAsia="en-US"/>
        </w:rPr>
        <w:t xml:space="preserve"> 2001, </w:t>
      </w:r>
      <w:r w:rsidRPr="009D52FD">
        <w:rPr>
          <w:rFonts w:eastAsiaTheme="minorHAnsi" w:cstheme="minorBidi"/>
          <w:sz w:val="20"/>
          <w:szCs w:val="20"/>
          <w:lang w:val="en-US" w:eastAsia="en-US"/>
        </w:rPr>
        <w:t xml:space="preserve">on leaving her place of residence in the morning she was intercepted by </w:t>
      </w:r>
      <w:r w:rsidR="00BB528A" w:rsidRPr="009D52FD">
        <w:rPr>
          <w:rFonts w:eastAsiaTheme="minorHAnsi" w:cstheme="minorBidi"/>
          <w:sz w:val="20"/>
          <w:szCs w:val="20"/>
          <w:lang w:val="en-US" w:eastAsia="en-US"/>
        </w:rPr>
        <w:t>Luis Antonio Carrera Almoina</w:t>
      </w:r>
      <w:r w:rsidRPr="009D52FD">
        <w:rPr>
          <w:rFonts w:eastAsiaTheme="minorHAnsi" w:cstheme="minorBidi"/>
          <w:sz w:val="20"/>
          <w:szCs w:val="20"/>
          <w:lang w:val="en-US" w:eastAsia="en-US"/>
        </w:rPr>
        <w:t xml:space="preserve"> who made her get into a Jeep Grand Cherokee vehicle, the color of “red wine.” Once in the vehicle, under threat of being shot, he took her to the Aventura Hotel in Caracas where he had reserved a room several days previously, from March 26 to May 26, 2001.</w:t>
      </w:r>
      <w:r w:rsidR="00BB528A" w:rsidRPr="009D52FD">
        <w:rPr>
          <w:rFonts w:eastAsiaTheme="minorHAnsi" w:cstheme="minorBidi"/>
          <w:sz w:val="20"/>
          <w:szCs w:val="20"/>
          <w:vertAlign w:val="superscript"/>
          <w:lang w:val="en-US" w:eastAsia="en-US"/>
        </w:rPr>
        <w:footnoteReference w:id="39"/>
      </w:r>
      <w:r w:rsidRPr="009D52FD">
        <w:rPr>
          <w:rFonts w:eastAsiaTheme="minorHAnsi" w:cstheme="minorBidi"/>
          <w:sz w:val="20"/>
          <w:szCs w:val="20"/>
          <w:lang w:val="en-US" w:eastAsia="en-US"/>
        </w:rPr>
        <w:t xml:space="preserve"> Nevertheless, when they arrived at the hotel, he was advised that the room was not yet ready; therefore, </w:t>
      </w:r>
      <w:r w:rsidR="00BB528A" w:rsidRPr="009D52FD">
        <w:rPr>
          <w:rFonts w:eastAsiaTheme="minorHAnsi" w:cstheme="minorBidi"/>
          <w:sz w:val="20"/>
          <w:szCs w:val="20"/>
          <w:lang w:val="en-US" w:eastAsia="en-US"/>
        </w:rPr>
        <w:t xml:space="preserve">Luis Antonio Carrera Almoina </w:t>
      </w:r>
      <w:r w:rsidRPr="009D52FD">
        <w:rPr>
          <w:rFonts w:eastAsiaTheme="minorHAnsi" w:cstheme="minorBidi"/>
          <w:sz w:val="20"/>
          <w:szCs w:val="20"/>
          <w:lang w:val="en-US" w:eastAsia="en-US"/>
        </w:rPr>
        <w:t>took</w:t>
      </w:r>
      <w:r w:rsidR="00BB528A" w:rsidRPr="009D52FD">
        <w:rPr>
          <w:rFonts w:eastAsiaTheme="minorHAnsi" w:cstheme="minorBidi"/>
          <w:sz w:val="20"/>
          <w:szCs w:val="20"/>
          <w:lang w:val="en-US" w:eastAsia="en-US"/>
        </w:rPr>
        <w:t xml:space="preserve"> Linda Loaiza López Soto </w:t>
      </w:r>
      <w:r w:rsidRPr="009D52FD">
        <w:rPr>
          <w:rFonts w:eastAsiaTheme="minorHAnsi" w:cstheme="minorBidi"/>
          <w:sz w:val="20"/>
          <w:szCs w:val="20"/>
          <w:lang w:val="en-US" w:eastAsia="en-US"/>
        </w:rPr>
        <w:t xml:space="preserve">to his father’s home, where they remained for half an hour and then returned to the Aventura Hotel. On entering, the hotel only recorded the name of </w:t>
      </w:r>
      <w:r w:rsidR="00BB528A" w:rsidRPr="009D52FD">
        <w:rPr>
          <w:rFonts w:eastAsiaTheme="minorHAnsi" w:cstheme="minorBidi"/>
          <w:sz w:val="20"/>
          <w:szCs w:val="20"/>
          <w:lang w:val="en-US" w:eastAsia="en-US"/>
        </w:rPr>
        <w:t>Luis Antonio Carrera Almoina</w:t>
      </w:r>
      <w:r w:rsidR="003630BB" w:rsidRPr="009D52FD">
        <w:rPr>
          <w:rFonts w:eastAsiaTheme="minorHAnsi" w:cstheme="minorBidi"/>
          <w:sz w:val="20"/>
          <w:szCs w:val="20"/>
          <w:lang w:val="en-US" w:eastAsia="en-US"/>
        </w:rPr>
        <w:t xml:space="preserve"> and </w:t>
      </w:r>
      <w:r w:rsidRPr="009D52FD">
        <w:rPr>
          <w:rFonts w:eastAsiaTheme="minorHAnsi" w:cstheme="minorBidi"/>
          <w:sz w:val="20"/>
          <w:szCs w:val="20"/>
          <w:lang w:val="en-US" w:eastAsia="en-US"/>
        </w:rPr>
        <w:t xml:space="preserve">did not require </w:t>
      </w:r>
      <w:r w:rsidR="000B44B4" w:rsidRPr="009D52FD">
        <w:rPr>
          <w:rFonts w:eastAsiaTheme="minorHAnsi" w:cstheme="minorBidi"/>
          <w:sz w:val="20"/>
          <w:szCs w:val="20"/>
          <w:lang w:val="en-US" w:eastAsia="en-US"/>
        </w:rPr>
        <w:t>Linda Loaiza López Soto</w:t>
      </w:r>
      <w:r w:rsidRPr="009D52FD">
        <w:rPr>
          <w:rFonts w:eastAsiaTheme="minorHAnsi" w:cstheme="minorBidi"/>
          <w:sz w:val="20"/>
          <w:szCs w:val="20"/>
          <w:lang w:val="en-US" w:eastAsia="en-US"/>
        </w:rPr>
        <w:t xml:space="preserve"> to present an identity document.</w:t>
      </w:r>
      <w:r w:rsidR="00BB528A" w:rsidRPr="009D52FD">
        <w:rPr>
          <w:rFonts w:eastAsiaTheme="minorHAnsi" w:cstheme="minorBidi"/>
          <w:sz w:val="20"/>
          <w:szCs w:val="20"/>
          <w:vertAlign w:val="superscript"/>
          <w:lang w:val="en-US" w:eastAsia="en-US"/>
        </w:rPr>
        <w:footnoteReference w:id="40"/>
      </w:r>
    </w:p>
    <w:p w14:paraId="25185D6A" w14:textId="77777777" w:rsidR="00BB528A" w:rsidRPr="009D52FD" w:rsidRDefault="00BB528A" w:rsidP="00BB528A">
      <w:pPr>
        <w:widowControl/>
        <w:adjustRightInd/>
        <w:spacing w:line="240" w:lineRule="auto"/>
        <w:textAlignment w:val="auto"/>
        <w:rPr>
          <w:rFonts w:eastAsiaTheme="minorHAnsi" w:cstheme="minorBidi"/>
          <w:sz w:val="20"/>
          <w:szCs w:val="20"/>
          <w:lang w:val="en-US" w:eastAsia="en-US"/>
        </w:rPr>
      </w:pPr>
    </w:p>
    <w:p w14:paraId="32C481E7" w14:textId="143179DC" w:rsidR="00BB528A" w:rsidRPr="009D52FD" w:rsidRDefault="00BB528A" w:rsidP="00B848E2">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 xml:space="preserve">Linda Loaiza López Soto </w:t>
      </w:r>
      <w:r w:rsidR="00B848E2" w:rsidRPr="009D52FD">
        <w:rPr>
          <w:rFonts w:eastAsiaTheme="minorHAnsi" w:cstheme="minorBidi"/>
          <w:sz w:val="20"/>
          <w:szCs w:val="20"/>
          <w:lang w:val="en-US" w:eastAsia="en-US"/>
        </w:rPr>
        <w:t xml:space="preserve">remained deprived of </w:t>
      </w:r>
      <w:r w:rsidR="00A86531" w:rsidRPr="009D52FD">
        <w:rPr>
          <w:rFonts w:eastAsiaTheme="minorHAnsi" w:cstheme="minorBidi"/>
          <w:sz w:val="20"/>
          <w:szCs w:val="20"/>
          <w:lang w:val="en-US" w:eastAsia="en-US"/>
        </w:rPr>
        <w:t>l</w:t>
      </w:r>
      <w:r w:rsidR="00B848E2" w:rsidRPr="009D52FD">
        <w:rPr>
          <w:rFonts w:eastAsiaTheme="minorHAnsi" w:cstheme="minorBidi"/>
          <w:sz w:val="20"/>
          <w:szCs w:val="20"/>
          <w:lang w:val="en-US" w:eastAsia="en-US"/>
        </w:rPr>
        <w:t>iberty by</w:t>
      </w:r>
      <w:r w:rsidRPr="009D52FD">
        <w:rPr>
          <w:rFonts w:eastAsiaTheme="minorHAnsi" w:cstheme="minorBidi"/>
          <w:sz w:val="20"/>
          <w:szCs w:val="20"/>
          <w:lang w:val="en-US" w:eastAsia="en-US"/>
        </w:rPr>
        <w:t xml:space="preserve"> Luis Antonio Carrera Almoina </w:t>
      </w:r>
      <w:r w:rsidR="00B848E2" w:rsidRPr="009D52FD">
        <w:rPr>
          <w:rFonts w:eastAsiaTheme="minorHAnsi" w:cstheme="minorBidi"/>
          <w:sz w:val="20"/>
          <w:szCs w:val="20"/>
          <w:lang w:val="en-US" w:eastAsia="en-US"/>
        </w:rPr>
        <w:t>in the room of the Aventura Hotel for one week, and was the victim of daily repeated rape, and physical ill-treatment. In addition, on various occasions she was obliged to go out with him and pretend that they were a couple. At night she was handcuffed in the hotel room so that she could not escape while he was sleeping, and he kept the key under the mattress on his side of the bed.</w:t>
      </w:r>
      <w:r w:rsidRPr="009D52FD">
        <w:rPr>
          <w:rFonts w:eastAsiaTheme="minorHAnsi" w:cstheme="minorBidi"/>
          <w:sz w:val="20"/>
          <w:szCs w:val="20"/>
          <w:vertAlign w:val="superscript"/>
          <w:lang w:val="en-US" w:eastAsia="en-US"/>
        </w:rPr>
        <w:footnoteReference w:id="41"/>
      </w:r>
    </w:p>
    <w:p w14:paraId="37B855F5" w14:textId="77777777" w:rsidR="00BB528A" w:rsidRPr="009D52FD" w:rsidRDefault="00BB528A" w:rsidP="00BB528A">
      <w:pPr>
        <w:widowControl/>
        <w:adjustRightInd/>
        <w:spacing w:line="240" w:lineRule="auto"/>
        <w:textAlignment w:val="auto"/>
        <w:rPr>
          <w:rFonts w:eastAsiaTheme="minorHAnsi" w:cstheme="minorBidi"/>
          <w:sz w:val="20"/>
          <w:szCs w:val="20"/>
          <w:lang w:val="en-US" w:eastAsia="en-US"/>
        </w:rPr>
      </w:pPr>
    </w:p>
    <w:p w14:paraId="35C66615" w14:textId="13776221" w:rsidR="00BE390D" w:rsidRPr="009D52FD" w:rsidRDefault="00B848E2" w:rsidP="00317299">
      <w:pPr>
        <w:numPr>
          <w:ilvl w:val="0"/>
          <w:numId w:val="1"/>
        </w:numPr>
        <w:tabs>
          <w:tab w:val="left" w:pos="567"/>
        </w:tabs>
        <w:spacing w:line="240" w:lineRule="auto"/>
        <w:ind w:left="0" w:firstLine="0"/>
        <w:rPr>
          <w:rFonts w:eastAsiaTheme="minorHAnsi" w:cstheme="minorBidi"/>
          <w:b/>
          <w:sz w:val="20"/>
          <w:szCs w:val="20"/>
          <w:u w:val="single"/>
          <w:lang w:val="en-US" w:eastAsia="en-US"/>
        </w:rPr>
      </w:pPr>
      <w:r w:rsidRPr="009D52FD">
        <w:rPr>
          <w:rFonts w:eastAsiaTheme="minorHAnsi" w:cstheme="minorBidi"/>
          <w:sz w:val="20"/>
          <w:szCs w:val="20"/>
          <w:lang w:val="en-US" w:eastAsia="en-US"/>
        </w:rPr>
        <w:t xml:space="preserve">After one week at the Aventura Hotel, </w:t>
      </w:r>
      <w:r w:rsidR="00BB528A" w:rsidRPr="009D52FD">
        <w:rPr>
          <w:rFonts w:eastAsiaTheme="minorHAnsi" w:cstheme="minorBidi"/>
          <w:sz w:val="20"/>
          <w:szCs w:val="20"/>
          <w:lang w:val="en-US" w:eastAsia="en-US"/>
        </w:rPr>
        <w:t xml:space="preserve">Linda Loaiza López Soto </w:t>
      </w:r>
      <w:r w:rsidRPr="009D52FD">
        <w:rPr>
          <w:rFonts w:eastAsiaTheme="minorHAnsi" w:cstheme="minorBidi"/>
          <w:sz w:val="20"/>
          <w:szCs w:val="20"/>
          <w:lang w:val="en-US" w:eastAsia="en-US"/>
        </w:rPr>
        <w:t xml:space="preserve">was moved by her aggressor to a house near the beach in the locality of </w:t>
      </w:r>
      <w:r w:rsidR="00BB528A" w:rsidRPr="009D52FD">
        <w:rPr>
          <w:rFonts w:eastAsiaTheme="minorHAnsi" w:cstheme="minorBidi"/>
          <w:sz w:val="20"/>
          <w:szCs w:val="20"/>
          <w:lang w:val="en-US" w:eastAsia="en-US"/>
        </w:rPr>
        <w:t xml:space="preserve">Petare, </w:t>
      </w:r>
      <w:r w:rsidRPr="009D52FD">
        <w:rPr>
          <w:rFonts w:eastAsiaTheme="minorHAnsi" w:cstheme="minorBidi"/>
          <w:sz w:val="20"/>
          <w:szCs w:val="20"/>
          <w:lang w:val="en-US" w:eastAsia="en-US"/>
        </w:rPr>
        <w:t>in the town of</w:t>
      </w:r>
      <w:r w:rsidR="00BB528A" w:rsidRPr="009D52FD">
        <w:rPr>
          <w:rFonts w:eastAsiaTheme="minorHAnsi" w:cstheme="minorBidi"/>
          <w:sz w:val="20"/>
          <w:szCs w:val="20"/>
          <w:lang w:val="en-US" w:eastAsia="en-US"/>
        </w:rPr>
        <w:t xml:space="preserve"> Cumana, Sucre</w:t>
      </w:r>
      <w:r w:rsidR="00A86531" w:rsidRPr="009D52FD">
        <w:rPr>
          <w:rFonts w:eastAsiaTheme="minorHAnsi" w:cstheme="minorBidi"/>
          <w:sz w:val="20"/>
          <w:szCs w:val="20"/>
          <w:lang w:val="en-US" w:eastAsia="en-US"/>
        </w:rPr>
        <w:t xml:space="preserve"> state</w:t>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 xml:space="preserve">During May </w:t>
      </w:r>
      <w:r w:rsidR="00BE390D" w:rsidRPr="009D52FD">
        <w:rPr>
          <w:rFonts w:eastAsiaTheme="minorHAnsi" w:cstheme="minorBidi"/>
          <w:sz w:val="20"/>
          <w:szCs w:val="20"/>
          <w:lang w:val="en-US" w:eastAsia="en-US"/>
        </w:rPr>
        <w:t xml:space="preserve">2001, </w:t>
      </w:r>
      <w:r w:rsidRPr="009D52FD">
        <w:rPr>
          <w:rFonts w:eastAsiaTheme="minorHAnsi" w:cstheme="minorBidi"/>
          <w:sz w:val="20"/>
          <w:szCs w:val="20"/>
          <w:lang w:val="en-US" w:eastAsia="en-US"/>
        </w:rPr>
        <w:t xml:space="preserve">the aggressor again moved </w:t>
      </w:r>
      <w:r w:rsidR="00BE390D" w:rsidRPr="009D52FD">
        <w:rPr>
          <w:rFonts w:eastAsiaTheme="minorHAnsi" w:cstheme="minorBidi"/>
          <w:sz w:val="20"/>
          <w:szCs w:val="20"/>
          <w:lang w:val="en-US" w:eastAsia="en-US"/>
        </w:rPr>
        <w:t>Linda Loaiza López Soto</w:t>
      </w:r>
      <w:r w:rsidR="00A86531" w:rsidRPr="009D52FD">
        <w:rPr>
          <w:rFonts w:eastAsiaTheme="minorHAnsi" w:cstheme="minorBidi"/>
          <w:sz w:val="20"/>
          <w:szCs w:val="20"/>
          <w:lang w:val="en-US" w:eastAsia="en-US"/>
        </w:rPr>
        <w:t>, this time</w:t>
      </w:r>
      <w:r w:rsidR="00BE390D"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 xml:space="preserve">to a room in the Minerva Hotel in </w:t>
      </w:r>
      <w:r w:rsidR="00BE390D" w:rsidRPr="009D52FD">
        <w:rPr>
          <w:rFonts w:eastAsiaTheme="minorHAnsi" w:cstheme="minorBidi"/>
          <w:sz w:val="20"/>
          <w:szCs w:val="20"/>
          <w:lang w:val="en-US" w:eastAsia="en-US"/>
        </w:rPr>
        <w:t xml:space="preserve">Cumana. Luis Antonio Carrera Almoina </w:t>
      </w:r>
      <w:r w:rsidRPr="009D52FD">
        <w:rPr>
          <w:rFonts w:eastAsiaTheme="minorHAnsi" w:cstheme="minorBidi"/>
          <w:sz w:val="20"/>
          <w:szCs w:val="20"/>
          <w:lang w:val="en-US" w:eastAsia="en-US"/>
        </w:rPr>
        <w:t>checked in to the hotel without recording that he was accompanied.</w:t>
      </w:r>
      <w:r w:rsidR="00820C5A" w:rsidRPr="009D52FD">
        <w:rPr>
          <w:rStyle w:val="FootnoteReference"/>
          <w:rFonts w:eastAsiaTheme="minorHAnsi" w:cstheme="minorBidi"/>
          <w:sz w:val="20"/>
          <w:szCs w:val="20"/>
          <w:lang w:val="en-US" w:eastAsia="en-US"/>
        </w:rPr>
        <w:footnoteReference w:id="42"/>
      </w:r>
      <w:r w:rsidRPr="009D52FD">
        <w:rPr>
          <w:rFonts w:eastAsiaTheme="minorHAnsi" w:cstheme="minorBidi"/>
          <w:sz w:val="20"/>
          <w:szCs w:val="20"/>
          <w:lang w:val="en-US" w:eastAsia="en-US"/>
        </w:rPr>
        <w:t xml:space="preserve"> Subsequently, they returned to the Aventura Hotel in Caracas. Lastly</w:t>
      </w:r>
      <w:r w:rsidR="0073638E" w:rsidRPr="009D52FD">
        <w:rPr>
          <w:rFonts w:eastAsiaTheme="minorHAnsi" w:cstheme="minorBidi"/>
          <w:sz w:val="20"/>
          <w:szCs w:val="20"/>
          <w:lang w:val="en-US" w:eastAsia="en-US"/>
        </w:rPr>
        <w:t xml:space="preserve"> Luis Antonio Carrera Almoina </w:t>
      </w:r>
      <w:r w:rsidRPr="009D52FD">
        <w:rPr>
          <w:rFonts w:eastAsiaTheme="minorHAnsi" w:cstheme="minorBidi"/>
          <w:sz w:val="20"/>
          <w:szCs w:val="20"/>
          <w:lang w:val="en-US" w:eastAsia="en-US"/>
        </w:rPr>
        <w:t xml:space="preserve">rented an apartment in a district in Caracas, where he took </w:t>
      </w:r>
      <w:r w:rsidR="0073638E" w:rsidRPr="009D52FD">
        <w:rPr>
          <w:rFonts w:eastAsiaTheme="minorHAnsi" w:cstheme="minorBidi"/>
          <w:sz w:val="20"/>
          <w:szCs w:val="20"/>
          <w:lang w:val="en-US" w:eastAsia="en-US"/>
        </w:rPr>
        <w:t xml:space="preserve">Linda Loaiza López Soto </w:t>
      </w:r>
      <w:r w:rsidRPr="009D52FD">
        <w:rPr>
          <w:rFonts w:eastAsiaTheme="minorHAnsi" w:cstheme="minorBidi"/>
          <w:sz w:val="20"/>
          <w:szCs w:val="20"/>
          <w:lang w:val="en-US" w:eastAsia="en-US"/>
        </w:rPr>
        <w:t>during the night to avoid anyone seeing her.</w:t>
      </w:r>
      <w:r w:rsidR="0073638E" w:rsidRPr="009D52FD">
        <w:rPr>
          <w:rFonts w:eastAsiaTheme="minorHAnsi" w:cstheme="minorBidi"/>
          <w:sz w:val="20"/>
          <w:szCs w:val="20"/>
          <w:vertAlign w:val="superscript"/>
          <w:lang w:val="en-US" w:eastAsia="en-US"/>
        </w:rPr>
        <w:footnoteReference w:id="43"/>
      </w:r>
      <w:r w:rsidRPr="009D52FD">
        <w:rPr>
          <w:rFonts w:eastAsiaTheme="minorHAnsi" w:cstheme="minorBidi"/>
          <w:sz w:val="20"/>
          <w:szCs w:val="20"/>
          <w:lang w:val="en-US" w:eastAsia="en-US"/>
        </w:rPr>
        <w:t xml:space="preserve"> It was from this apartment that she was rescued on </w:t>
      </w:r>
      <w:r w:rsidR="00DB6AF5" w:rsidRPr="009D52FD">
        <w:rPr>
          <w:rFonts w:eastAsiaTheme="minorHAnsi" w:cstheme="minorBidi"/>
          <w:sz w:val="20"/>
          <w:szCs w:val="20"/>
          <w:lang w:val="en-US" w:eastAsia="en-US"/>
        </w:rPr>
        <w:t>July 19,</w:t>
      </w:r>
      <w:r w:rsidR="0073638E" w:rsidRPr="009D52FD">
        <w:rPr>
          <w:rFonts w:eastAsiaTheme="minorHAnsi" w:cstheme="minorBidi"/>
          <w:sz w:val="20"/>
          <w:szCs w:val="20"/>
          <w:lang w:val="en-US" w:eastAsia="en-US"/>
        </w:rPr>
        <w:t xml:space="preserve"> 2001 (</w:t>
      </w:r>
      <w:r w:rsidR="0073638E" w:rsidRPr="009D52FD">
        <w:rPr>
          <w:rFonts w:eastAsiaTheme="minorHAnsi" w:cstheme="minorBidi"/>
          <w:i/>
          <w:sz w:val="20"/>
          <w:szCs w:val="20"/>
          <w:lang w:val="en-US" w:eastAsia="en-US"/>
        </w:rPr>
        <w:t>infra</w:t>
      </w:r>
      <w:r w:rsidR="0073638E" w:rsidRPr="009D52FD">
        <w:rPr>
          <w:rFonts w:eastAsiaTheme="minorHAnsi" w:cstheme="minorBidi"/>
          <w:sz w:val="20"/>
          <w:szCs w:val="20"/>
          <w:lang w:val="en-US" w:eastAsia="en-US"/>
        </w:rPr>
        <w:t xml:space="preserve"> </w:t>
      </w:r>
      <w:r w:rsidR="009459E7" w:rsidRPr="009D52FD">
        <w:rPr>
          <w:rFonts w:eastAsiaTheme="minorHAnsi" w:cstheme="minorBidi"/>
          <w:sz w:val="20"/>
          <w:szCs w:val="20"/>
          <w:lang w:val="en-US" w:eastAsia="en-US"/>
        </w:rPr>
        <w:t>para.</w:t>
      </w:r>
      <w:r w:rsidR="0073638E" w:rsidRPr="009D52FD">
        <w:rPr>
          <w:rFonts w:eastAsiaTheme="minorHAnsi" w:cstheme="minorBidi"/>
          <w:sz w:val="20"/>
          <w:szCs w:val="20"/>
          <w:lang w:val="en-US" w:eastAsia="en-US"/>
        </w:rPr>
        <w:t xml:space="preserve"> </w:t>
      </w:r>
      <w:r w:rsidR="009B444D" w:rsidRPr="009D52FD">
        <w:rPr>
          <w:rFonts w:eastAsiaTheme="minorHAnsi" w:cstheme="minorBidi"/>
          <w:sz w:val="20"/>
          <w:szCs w:val="20"/>
          <w:lang w:val="en-US" w:eastAsia="en-US"/>
        </w:rPr>
        <w:t>70</w:t>
      </w:r>
      <w:r w:rsidR="0073638E" w:rsidRPr="009D52FD">
        <w:rPr>
          <w:rFonts w:eastAsiaTheme="minorHAnsi" w:cstheme="minorBidi"/>
          <w:sz w:val="20"/>
          <w:szCs w:val="20"/>
          <w:lang w:val="en-US" w:eastAsia="en-US"/>
        </w:rPr>
        <w:t>).</w:t>
      </w:r>
    </w:p>
    <w:p w14:paraId="1746F173" w14:textId="77777777" w:rsidR="00BE390D" w:rsidRPr="009D52FD" w:rsidRDefault="00BE390D" w:rsidP="00BE390D">
      <w:pPr>
        <w:tabs>
          <w:tab w:val="left" w:pos="567"/>
        </w:tabs>
        <w:spacing w:line="240" w:lineRule="auto"/>
        <w:rPr>
          <w:rFonts w:eastAsiaTheme="minorHAnsi" w:cstheme="minorBidi"/>
          <w:b/>
          <w:sz w:val="20"/>
          <w:szCs w:val="20"/>
          <w:u w:val="single"/>
          <w:lang w:val="en-US" w:eastAsia="en-US"/>
        </w:rPr>
      </w:pPr>
    </w:p>
    <w:p w14:paraId="17A976A3" w14:textId="06BAAFC2" w:rsidR="00BB528A" w:rsidRPr="009D52FD" w:rsidRDefault="00B848E2" w:rsidP="00B848E2">
      <w:pPr>
        <w:numPr>
          <w:ilvl w:val="0"/>
          <w:numId w:val="1"/>
        </w:numPr>
        <w:tabs>
          <w:tab w:val="left" w:pos="567"/>
        </w:tabs>
        <w:spacing w:line="240" w:lineRule="auto"/>
        <w:ind w:left="0" w:firstLine="0"/>
        <w:rPr>
          <w:rFonts w:eastAsiaTheme="minorHAnsi" w:cstheme="minorBidi"/>
          <w:b/>
          <w:sz w:val="20"/>
          <w:szCs w:val="20"/>
          <w:u w:val="single"/>
          <w:lang w:val="en-US" w:eastAsia="en-US"/>
        </w:rPr>
      </w:pPr>
      <w:r w:rsidRPr="009D52FD">
        <w:rPr>
          <w:rFonts w:eastAsiaTheme="minorHAnsi" w:cstheme="minorBidi"/>
          <w:sz w:val="20"/>
          <w:szCs w:val="20"/>
          <w:lang w:val="en-US" w:eastAsia="en-US"/>
        </w:rPr>
        <w:lastRenderedPageBreak/>
        <w:t>The sexual abuse, physical ill-treatment and threats with a firearm continued in the above places, and she was also forced to consume drugs.</w:t>
      </w:r>
      <w:r w:rsidR="00BE390D" w:rsidRPr="009D52FD">
        <w:rPr>
          <w:rFonts w:eastAsiaTheme="minorHAnsi" w:cstheme="minorBidi"/>
          <w:sz w:val="20"/>
          <w:szCs w:val="20"/>
          <w:vertAlign w:val="superscript"/>
          <w:lang w:val="en-US" w:eastAsia="en-US"/>
        </w:rPr>
        <w:footnoteReference w:id="44"/>
      </w:r>
      <w:r w:rsidRPr="009D52FD">
        <w:rPr>
          <w:rFonts w:eastAsiaTheme="minorHAnsi" w:cstheme="minorBidi"/>
          <w:sz w:val="20"/>
          <w:szCs w:val="20"/>
          <w:lang w:val="en-US" w:eastAsia="en-US"/>
        </w:rPr>
        <w:t xml:space="preserve"> At times, an attempt was made to drown out the victim’s screams by turning</w:t>
      </w:r>
      <w:r w:rsidR="00A86531" w:rsidRPr="009D52FD">
        <w:rPr>
          <w:rFonts w:eastAsiaTheme="minorHAnsi" w:cstheme="minorBidi"/>
          <w:sz w:val="20"/>
          <w:szCs w:val="20"/>
          <w:lang w:val="en-US" w:eastAsia="en-US"/>
        </w:rPr>
        <w:t xml:space="preserve"> up</w:t>
      </w:r>
      <w:r w:rsidRPr="009D52FD">
        <w:rPr>
          <w:rFonts w:eastAsiaTheme="minorHAnsi" w:cstheme="minorBidi"/>
          <w:sz w:val="20"/>
          <w:szCs w:val="20"/>
          <w:lang w:val="en-US" w:eastAsia="en-US"/>
        </w:rPr>
        <w:t xml:space="preserve"> the volum</w:t>
      </w:r>
      <w:r w:rsidR="00A86531" w:rsidRPr="009D52FD">
        <w:rPr>
          <w:rFonts w:eastAsiaTheme="minorHAnsi" w:cstheme="minorBidi"/>
          <w:sz w:val="20"/>
          <w:szCs w:val="20"/>
          <w:lang w:val="en-US" w:eastAsia="en-US"/>
        </w:rPr>
        <w:t>e</w:t>
      </w:r>
      <w:r w:rsidRPr="009D52FD">
        <w:rPr>
          <w:rFonts w:eastAsiaTheme="minorHAnsi" w:cstheme="minorBidi"/>
          <w:sz w:val="20"/>
          <w:szCs w:val="20"/>
          <w:lang w:val="en-US" w:eastAsia="en-US"/>
        </w:rPr>
        <w:t xml:space="preserve"> on the radio. </w:t>
      </w:r>
      <w:r w:rsidR="00A86531" w:rsidRPr="009D52FD">
        <w:rPr>
          <w:rFonts w:eastAsiaTheme="minorHAnsi" w:cstheme="minorBidi"/>
          <w:sz w:val="20"/>
          <w:szCs w:val="20"/>
          <w:lang w:val="en-US" w:eastAsia="en-US"/>
        </w:rPr>
        <w:t>Nevertheless</w:t>
      </w:r>
      <w:r w:rsidRPr="009D52FD">
        <w:rPr>
          <w:rFonts w:eastAsiaTheme="minorHAnsi" w:cstheme="minorBidi"/>
          <w:sz w:val="20"/>
          <w:szCs w:val="20"/>
          <w:lang w:val="en-US" w:eastAsia="en-US"/>
        </w:rPr>
        <w:t xml:space="preserve"> this did not prevent the neighbors from hearing her screams</w:t>
      </w:r>
      <w:r w:rsidR="00A86531" w:rsidRPr="009D52FD">
        <w:rPr>
          <w:rFonts w:eastAsiaTheme="minorHAnsi" w:cstheme="minorBidi"/>
          <w:sz w:val="20"/>
          <w:szCs w:val="20"/>
          <w:lang w:val="en-US" w:eastAsia="en-US"/>
        </w:rPr>
        <w:t>,</w:t>
      </w:r>
      <w:r w:rsidRPr="009D52FD">
        <w:rPr>
          <w:rFonts w:eastAsiaTheme="minorHAnsi" w:cstheme="minorBidi"/>
          <w:sz w:val="20"/>
          <w:szCs w:val="20"/>
          <w:lang w:val="en-US" w:eastAsia="en-US"/>
        </w:rPr>
        <w:t xml:space="preserve"> </w:t>
      </w:r>
      <w:r w:rsidR="00A86531" w:rsidRPr="009D52FD">
        <w:rPr>
          <w:rFonts w:eastAsiaTheme="minorHAnsi" w:cstheme="minorBidi"/>
          <w:sz w:val="20"/>
          <w:szCs w:val="20"/>
          <w:lang w:val="en-US" w:eastAsia="en-US"/>
        </w:rPr>
        <w:t>but</w:t>
      </w:r>
      <w:r w:rsidRPr="009D52FD">
        <w:rPr>
          <w:rFonts w:eastAsiaTheme="minorHAnsi" w:cstheme="minorBidi"/>
          <w:sz w:val="20"/>
          <w:szCs w:val="20"/>
          <w:lang w:val="en-US" w:eastAsia="en-US"/>
        </w:rPr>
        <w:t xml:space="preserve"> Luis Antonio Carrera Almoina explained that they were due to </w:t>
      </w:r>
      <w:r w:rsidR="00A86531" w:rsidRPr="009D52FD">
        <w:rPr>
          <w:rFonts w:eastAsiaTheme="minorHAnsi" w:cstheme="minorBidi"/>
          <w:sz w:val="20"/>
          <w:szCs w:val="20"/>
          <w:lang w:val="en-US" w:eastAsia="en-US"/>
        </w:rPr>
        <w:t>relationship</w:t>
      </w:r>
      <w:r w:rsidR="00326D09" w:rsidRPr="009D52FD">
        <w:rPr>
          <w:rFonts w:eastAsiaTheme="minorHAnsi" w:cstheme="minorBidi"/>
          <w:sz w:val="20"/>
          <w:szCs w:val="20"/>
          <w:lang w:val="en-US" w:eastAsia="en-US"/>
        </w:rPr>
        <w:t xml:space="preserve"> issues.</w:t>
      </w:r>
      <w:r w:rsidR="002719F1" w:rsidRPr="009D52FD">
        <w:rPr>
          <w:rStyle w:val="FootnoteReference"/>
          <w:rFonts w:eastAsiaTheme="minorHAnsi" w:cstheme="minorBidi"/>
          <w:sz w:val="20"/>
          <w:szCs w:val="20"/>
          <w:lang w:val="en-US" w:eastAsia="en-US"/>
        </w:rPr>
        <w:footnoteReference w:id="45"/>
      </w:r>
    </w:p>
    <w:p w14:paraId="5B3904FC" w14:textId="77777777" w:rsidR="00BB528A" w:rsidRPr="009D52FD" w:rsidRDefault="00BB528A" w:rsidP="00BB528A">
      <w:pPr>
        <w:widowControl/>
        <w:adjustRightInd/>
        <w:spacing w:line="240" w:lineRule="auto"/>
        <w:textAlignment w:val="auto"/>
        <w:rPr>
          <w:rFonts w:eastAsiaTheme="minorHAnsi" w:cstheme="minorBidi"/>
          <w:sz w:val="20"/>
          <w:szCs w:val="20"/>
          <w:lang w:val="en-US" w:eastAsia="en-US"/>
        </w:rPr>
      </w:pPr>
    </w:p>
    <w:p w14:paraId="3581131C" w14:textId="719BF25B" w:rsidR="00F87229" w:rsidRPr="009D52FD" w:rsidRDefault="00326D09" w:rsidP="00326D09">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 xml:space="preserve">According to the victim’s statement, the sexual and physical abuse was constant. She was obliged to consume narcotics and medicines, watch pornographic films, cook and remain </w:t>
      </w:r>
      <w:r w:rsidR="00A86531" w:rsidRPr="009D52FD">
        <w:rPr>
          <w:rFonts w:eastAsiaTheme="minorHAnsi" w:cstheme="minorBidi"/>
          <w:sz w:val="20"/>
          <w:szCs w:val="20"/>
          <w:lang w:val="en-US" w:eastAsia="en-US"/>
        </w:rPr>
        <w:t>nude</w:t>
      </w:r>
      <w:r w:rsidRPr="009D52FD">
        <w:rPr>
          <w:rFonts w:eastAsiaTheme="minorHAnsi" w:cstheme="minorBidi"/>
          <w:sz w:val="20"/>
          <w:szCs w:val="20"/>
          <w:lang w:val="en-US" w:eastAsia="en-US"/>
        </w:rPr>
        <w:t xml:space="preserve">, continually under threat that her family would be killed. </w:t>
      </w:r>
      <w:r w:rsidR="00F87229" w:rsidRPr="009D52FD">
        <w:rPr>
          <w:rFonts w:eastAsiaTheme="minorHAnsi" w:cstheme="minorBidi"/>
          <w:sz w:val="20"/>
          <w:szCs w:val="20"/>
          <w:lang w:val="en-US" w:eastAsia="en-US"/>
        </w:rPr>
        <w:t xml:space="preserve">Luis Antonio Carrera Almoina </w:t>
      </w:r>
      <w:r w:rsidRPr="009D52FD">
        <w:rPr>
          <w:rFonts w:eastAsiaTheme="minorHAnsi" w:cstheme="minorBidi"/>
          <w:sz w:val="20"/>
          <w:szCs w:val="20"/>
          <w:lang w:val="en-US" w:eastAsia="en-US"/>
        </w:rPr>
        <w:t xml:space="preserve">told </w:t>
      </w:r>
      <w:r w:rsidR="00002A76" w:rsidRPr="009D52FD">
        <w:rPr>
          <w:rFonts w:eastAsiaTheme="minorHAnsi" w:cstheme="minorBidi"/>
          <w:sz w:val="20"/>
          <w:szCs w:val="20"/>
          <w:lang w:val="en-US" w:eastAsia="en-US"/>
        </w:rPr>
        <w:t>everyone</w:t>
      </w:r>
      <w:r w:rsidRPr="009D52FD">
        <w:rPr>
          <w:rFonts w:eastAsiaTheme="minorHAnsi" w:cstheme="minorBidi"/>
          <w:sz w:val="20"/>
          <w:szCs w:val="20"/>
          <w:lang w:val="en-US" w:eastAsia="en-US"/>
        </w:rPr>
        <w:t xml:space="preserve"> that </w:t>
      </w:r>
      <w:r w:rsidR="00F87229" w:rsidRPr="009D52FD">
        <w:rPr>
          <w:rFonts w:eastAsiaTheme="minorHAnsi" w:cstheme="minorBidi"/>
          <w:sz w:val="20"/>
          <w:szCs w:val="20"/>
          <w:lang w:val="en-US" w:eastAsia="en-US"/>
        </w:rPr>
        <w:t xml:space="preserve">Linda Loaiza López Soto </w:t>
      </w:r>
      <w:r w:rsidRPr="009D52FD">
        <w:rPr>
          <w:rFonts w:eastAsiaTheme="minorHAnsi" w:cstheme="minorBidi"/>
          <w:sz w:val="20"/>
          <w:szCs w:val="20"/>
          <w:lang w:val="en-US" w:eastAsia="en-US"/>
        </w:rPr>
        <w:t xml:space="preserve">was his partner and the screams were due to relationship problems that they were resolving, forcing her to say that she was all right. She stated that her aggressor “penetrated </w:t>
      </w:r>
      <w:r w:rsidR="00B7133F" w:rsidRPr="009D52FD">
        <w:rPr>
          <w:rFonts w:eastAsiaTheme="minorHAnsi" w:cstheme="minorBidi"/>
          <w:sz w:val="20"/>
          <w:szCs w:val="20"/>
          <w:lang w:val="en-US" w:eastAsia="en-US"/>
        </w:rPr>
        <w:t>[</w:t>
      </w:r>
      <w:r w:rsidRPr="009D52FD">
        <w:rPr>
          <w:rFonts w:eastAsiaTheme="minorHAnsi" w:cstheme="minorBidi"/>
          <w:sz w:val="20"/>
          <w:szCs w:val="20"/>
          <w:lang w:val="en-US" w:eastAsia="en-US"/>
        </w:rPr>
        <w:t>her</w:t>
      </w:r>
      <w:r w:rsidR="00B7133F" w:rsidRPr="009D52FD">
        <w:rPr>
          <w:rFonts w:eastAsiaTheme="minorHAnsi" w:cstheme="minorBidi"/>
          <w:sz w:val="20"/>
          <w:szCs w:val="20"/>
          <w:lang w:val="en-US" w:eastAsia="en-US"/>
        </w:rPr>
        <w:t>]</w:t>
      </w:r>
      <w:r w:rsidRPr="009D52FD">
        <w:rPr>
          <w:rFonts w:eastAsiaTheme="minorHAnsi" w:cstheme="minorBidi"/>
          <w:sz w:val="20"/>
          <w:szCs w:val="20"/>
          <w:lang w:val="en-US" w:eastAsia="en-US"/>
        </w:rPr>
        <w:t xml:space="preserve"> anus and vagina with a whisky bottle; he enjoyed this, he laughed, he was very pleased with everything he did</w:t>
      </w:r>
      <w:r w:rsidR="00A86531" w:rsidRPr="009D52FD">
        <w:rPr>
          <w:rFonts w:eastAsiaTheme="minorHAnsi" w:cstheme="minorBidi"/>
          <w:sz w:val="20"/>
          <w:szCs w:val="20"/>
          <w:lang w:val="en-US" w:eastAsia="en-US"/>
        </w:rPr>
        <w:t>;</w:t>
      </w:r>
      <w:r w:rsidRPr="009D52FD">
        <w:rPr>
          <w:rFonts w:eastAsiaTheme="minorHAnsi" w:cstheme="minorBidi"/>
          <w:sz w:val="20"/>
          <w:szCs w:val="20"/>
          <w:lang w:val="en-US" w:eastAsia="en-US"/>
        </w:rPr>
        <w:t xml:space="preserve"> </w:t>
      </w:r>
      <w:r w:rsidR="00803A3E" w:rsidRPr="009D52FD">
        <w:rPr>
          <w:rFonts w:eastAsiaTheme="minorHAnsi" w:cstheme="minorBidi"/>
          <w:sz w:val="20"/>
          <w:szCs w:val="20"/>
          <w:lang w:val="en-US" w:eastAsia="en-US"/>
        </w:rPr>
        <w:t>[…]</w:t>
      </w:r>
      <w:r w:rsidRPr="009D52FD">
        <w:rPr>
          <w:rFonts w:eastAsiaTheme="minorHAnsi" w:cstheme="minorBidi"/>
          <w:sz w:val="20"/>
          <w:szCs w:val="20"/>
          <w:lang w:val="en-US" w:eastAsia="en-US"/>
        </w:rPr>
        <w:t xml:space="preserve"> he put out cigarettes on </w:t>
      </w:r>
      <w:r w:rsidR="00B7133F" w:rsidRPr="009D52FD">
        <w:rPr>
          <w:rFonts w:eastAsiaTheme="minorHAnsi" w:cstheme="minorBidi"/>
          <w:sz w:val="20"/>
          <w:szCs w:val="20"/>
          <w:lang w:val="en-US" w:eastAsia="en-US"/>
        </w:rPr>
        <w:t>[</w:t>
      </w:r>
      <w:r w:rsidRPr="009D52FD">
        <w:rPr>
          <w:rFonts w:eastAsiaTheme="minorHAnsi" w:cstheme="minorBidi"/>
          <w:sz w:val="20"/>
          <w:szCs w:val="20"/>
          <w:lang w:val="en-US" w:eastAsia="en-US"/>
        </w:rPr>
        <w:t>her</w:t>
      </w:r>
      <w:r w:rsidR="00B7133F" w:rsidRPr="009D52FD">
        <w:rPr>
          <w:rFonts w:eastAsiaTheme="minorHAnsi" w:cstheme="minorBidi"/>
          <w:sz w:val="20"/>
          <w:szCs w:val="20"/>
          <w:lang w:val="en-US" w:eastAsia="en-US"/>
        </w:rPr>
        <w:t>]</w:t>
      </w:r>
      <w:r w:rsidRPr="009D52FD">
        <w:rPr>
          <w:rFonts w:eastAsiaTheme="minorHAnsi" w:cstheme="minorBidi"/>
          <w:sz w:val="20"/>
          <w:szCs w:val="20"/>
          <w:lang w:val="en-US" w:eastAsia="en-US"/>
        </w:rPr>
        <w:t xml:space="preserve"> face, </w:t>
      </w:r>
      <w:r w:rsidR="00B7133F" w:rsidRPr="009D52FD">
        <w:rPr>
          <w:rFonts w:eastAsiaTheme="minorHAnsi" w:cstheme="minorBidi"/>
          <w:sz w:val="20"/>
          <w:szCs w:val="20"/>
          <w:lang w:val="en-US" w:eastAsia="en-US"/>
        </w:rPr>
        <w:t xml:space="preserve">burned [her] with the embers, and beat [her] constantly.” Also, once he tried to penetrate her vagina with a broom handle. When he went out, he left her in the room handcuffed. The victim had to plead for the aggressor’s permission every time she needed to go to the bathroom, and she was fed with food leftovers so that she would survive. Luis Antonio Carrera Almoina “always had the gun with which he threatened [her], he had leather ropes </w:t>
      </w:r>
      <w:r w:rsidR="007944B1" w:rsidRPr="009D52FD">
        <w:rPr>
          <w:rFonts w:eastAsiaTheme="minorHAnsi" w:cstheme="minorBidi"/>
          <w:sz w:val="20"/>
          <w:szCs w:val="20"/>
          <w:lang w:val="en-US" w:eastAsia="en-US"/>
        </w:rPr>
        <w:t>that</w:t>
      </w:r>
      <w:r w:rsidR="00B7133F" w:rsidRPr="009D52FD">
        <w:rPr>
          <w:rFonts w:eastAsiaTheme="minorHAnsi" w:cstheme="minorBidi"/>
          <w:sz w:val="20"/>
          <w:szCs w:val="20"/>
          <w:lang w:val="en-US" w:eastAsia="en-US"/>
        </w:rPr>
        <w:t xml:space="preserve"> he tied [her] up</w:t>
      </w:r>
      <w:r w:rsidR="007944B1" w:rsidRPr="009D52FD">
        <w:rPr>
          <w:rFonts w:eastAsiaTheme="minorHAnsi" w:cstheme="minorBidi"/>
          <w:sz w:val="20"/>
          <w:szCs w:val="20"/>
          <w:lang w:val="en-US" w:eastAsia="en-US"/>
        </w:rPr>
        <w:t xml:space="preserve"> with;</w:t>
      </w:r>
      <w:r w:rsidR="00B7133F" w:rsidRPr="009D52FD">
        <w:rPr>
          <w:rFonts w:eastAsiaTheme="minorHAnsi" w:cstheme="minorBidi"/>
          <w:sz w:val="20"/>
          <w:szCs w:val="20"/>
          <w:lang w:val="en-US" w:eastAsia="en-US"/>
        </w:rPr>
        <w:t xml:space="preserve"> [</w:t>
      </w:r>
      <w:r w:rsidR="007944B1" w:rsidRPr="009D52FD">
        <w:rPr>
          <w:rFonts w:eastAsiaTheme="minorHAnsi" w:cstheme="minorBidi"/>
          <w:sz w:val="20"/>
          <w:szCs w:val="20"/>
          <w:lang w:val="en-US" w:eastAsia="en-US"/>
        </w:rPr>
        <w:t xml:space="preserve">… </w:t>
      </w:r>
      <w:r w:rsidR="00B7133F" w:rsidRPr="009D52FD">
        <w:rPr>
          <w:rFonts w:eastAsiaTheme="minorHAnsi" w:cstheme="minorBidi"/>
          <w:sz w:val="20"/>
          <w:szCs w:val="20"/>
          <w:lang w:val="en-US" w:eastAsia="en-US"/>
        </w:rPr>
        <w:t>she] heard him on the telephone saying that he was the son of the</w:t>
      </w:r>
      <w:r w:rsidR="007944B1" w:rsidRPr="009D52FD">
        <w:rPr>
          <w:rFonts w:eastAsiaTheme="minorHAnsi" w:cstheme="minorBidi"/>
          <w:sz w:val="20"/>
          <w:szCs w:val="20"/>
          <w:lang w:val="en-US" w:eastAsia="en-US"/>
        </w:rPr>
        <w:t xml:space="preserve"> university president</w:t>
      </w:r>
      <w:r w:rsidR="00B7133F" w:rsidRPr="009D52FD">
        <w:rPr>
          <w:rFonts w:eastAsiaTheme="minorHAnsi" w:cstheme="minorBidi"/>
          <w:sz w:val="20"/>
          <w:szCs w:val="20"/>
          <w:lang w:val="en-US" w:eastAsia="en-US"/>
        </w:rPr>
        <w:t>,” “he showed her photographs of different women who he had done the same to</w:t>
      </w:r>
      <w:r w:rsidR="007944B1" w:rsidRPr="009D52FD">
        <w:rPr>
          <w:rFonts w:eastAsiaTheme="minorHAnsi" w:cstheme="minorBidi"/>
          <w:sz w:val="20"/>
          <w:szCs w:val="20"/>
          <w:lang w:val="en-US" w:eastAsia="en-US"/>
        </w:rPr>
        <w:t>;</w:t>
      </w:r>
      <w:r w:rsidR="00B7133F" w:rsidRPr="009D52FD">
        <w:rPr>
          <w:rFonts w:eastAsiaTheme="minorHAnsi" w:cstheme="minorBidi"/>
          <w:sz w:val="20"/>
          <w:szCs w:val="20"/>
          <w:lang w:val="en-US" w:eastAsia="en-US"/>
        </w:rPr>
        <w:t xml:space="preserve"> he had left them beside the Caracas-La Guaria or the Caracas-Guarenas highways.” When they were in Petare, the aggressor had penetrated her vagina with his hand causing a tear, and at the Aventura Hotel he had injured her ear.</w:t>
      </w:r>
      <w:r w:rsidR="00F87229" w:rsidRPr="009D52FD">
        <w:rPr>
          <w:rFonts w:eastAsiaTheme="minorHAnsi" w:cstheme="minorBidi"/>
          <w:sz w:val="20"/>
          <w:szCs w:val="20"/>
          <w:vertAlign w:val="superscript"/>
          <w:lang w:val="en-US" w:eastAsia="en-US"/>
        </w:rPr>
        <w:footnoteReference w:id="46"/>
      </w:r>
    </w:p>
    <w:p w14:paraId="33C6F1AA" w14:textId="77777777" w:rsidR="00F87229" w:rsidRPr="009D52FD" w:rsidRDefault="00F87229" w:rsidP="00BB528A">
      <w:pPr>
        <w:widowControl/>
        <w:adjustRightInd/>
        <w:spacing w:line="240" w:lineRule="auto"/>
        <w:textAlignment w:val="auto"/>
        <w:rPr>
          <w:rFonts w:eastAsiaTheme="minorHAnsi" w:cstheme="minorBidi"/>
          <w:sz w:val="20"/>
          <w:szCs w:val="20"/>
          <w:lang w:val="en-US" w:eastAsia="en-US"/>
        </w:rPr>
      </w:pPr>
    </w:p>
    <w:p w14:paraId="7231CE16" w14:textId="79166249" w:rsidR="00BB528A" w:rsidRPr="009D52FD" w:rsidRDefault="00BB528A" w:rsidP="00B7133F">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 xml:space="preserve">Linda Loaiza López Soto </w:t>
      </w:r>
      <w:r w:rsidR="00B7133F" w:rsidRPr="009D52FD">
        <w:rPr>
          <w:rFonts w:eastAsiaTheme="minorHAnsi" w:cstheme="minorBidi"/>
          <w:sz w:val="20"/>
          <w:szCs w:val="20"/>
          <w:lang w:val="en-US" w:eastAsia="en-US"/>
        </w:rPr>
        <w:t xml:space="preserve">stated that, while she was deprived of </w:t>
      </w:r>
      <w:r w:rsidR="007944B1" w:rsidRPr="009D52FD">
        <w:rPr>
          <w:rFonts w:eastAsiaTheme="minorHAnsi" w:cstheme="minorBidi"/>
          <w:sz w:val="20"/>
          <w:szCs w:val="20"/>
          <w:lang w:val="en-US" w:eastAsia="en-US"/>
        </w:rPr>
        <w:t>l</w:t>
      </w:r>
      <w:r w:rsidR="00B7133F" w:rsidRPr="009D52FD">
        <w:rPr>
          <w:rFonts w:eastAsiaTheme="minorHAnsi" w:cstheme="minorBidi"/>
          <w:sz w:val="20"/>
          <w:szCs w:val="20"/>
          <w:lang w:val="en-US" w:eastAsia="en-US"/>
        </w:rPr>
        <w:t xml:space="preserve">iberty, she was unable to communicate with her family. </w:t>
      </w:r>
      <w:r w:rsidRPr="009D52FD">
        <w:rPr>
          <w:rFonts w:eastAsiaTheme="minorHAnsi" w:cstheme="minorBidi"/>
          <w:sz w:val="20"/>
          <w:szCs w:val="20"/>
          <w:lang w:val="en-US" w:eastAsia="en-US"/>
        </w:rPr>
        <w:t xml:space="preserve">Luis Antonio Carrera Almoina </w:t>
      </w:r>
      <w:r w:rsidR="00B7133F" w:rsidRPr="009D52FD">
        <w:rPr>
          <w:rFonts w:eastAsiaTheme="minorHAnsi" w:cstheme="minorBidi"/>
          <w:sz w:val="20"/>
          <w:szCs w:val="20"/>
          <w:lang w:val="en-US" w:eastAsia="en-US"/>
        </w:rPr>
        <w:t>called</w:t>
      </w:r>
      <w:r w:rsidRPr="009D52FD">
        <w:rPr>
          <w:rFonts w:eastAsiaTheme="minorHAnsi" w:cstheme="minorBidi"/>
          <w:sz w:val="20"/>
          <w:szCs w:val="20"/>
          <w:lang w:val="en-US" w:eastAsia="en-US"/>
        </w:rPr>
        <w:t xml:space="preserve"> Linda Loaiza López Soto</w:t>
      </w:r>
      <w:r w:rsidR="00B7133F" w:rsidRPr="009D52FD">
        <w:rPr>
          <w:rFonts w:eastAsiaTheme="minorHAnsi" w:cstheme="minorBidi"/>
          <w:sz w:val="20"/>
          <w:szCs w:val="20"/>
          <w:lang w:val="en-US" w:eastAsia="en-US"/>
        </w:rPr>
        <w:t xml:space="preserve">’s sister and told her that she was fine, that she was studying to be a model. Once, he obliged </w:t>
      </w:r>
      <w:r w:rsidR="00F156E2" w:rsidRPr="009D52FD">
        <w:rPr>
          <w:rFonts w:eastAsiaTheme="minorHAnsi" w:cstheme="minorBidi"/>
          <w:sz w:val="20"/>
          <w:szCs w:val="20"/>
          <w:lang w:val="en-US" w:eastAsia="en-US"/>
        </w:rPr>
        <w:t xml:space="preserve">Linda Loaiza </w:t>
      </w:r>
      <w:r w:rsidR="00B7133F" w:rsidRPr="009D52FD">
        <w:rPr>
          <w:rFonts w:eastAsiaTheme="minorHAnsi" w:cstheme="minorBidi"/>
          <w:sz w:val="20"/>
          <w:szCs w:val="20"/>
          <w:lang w:val="en-US" w:eastAsia="en-US"/>
        </w:rPr>
        <w:t>to call her sister and to insult her.</w:t>
      </w:r>
      <w:r w:rsidR="002B772D" w:rsidRPr="009D52FD">
        <w:rPr>
          <w:rFonts w:eastAsiaTheme="minorHAnsi" w:cstheme="minorBidi"/>
          <w:sz w:val="20"/>
          <w:szCs w:val="20"/>
          <w:vertAlign w:val="superscript"/>
          <w:lang w:val="en-US" w:eastAsia="en-US"/>
        </w:rPr>
        <w:footnoteReference w:id="47"/>
      </w:r>
      <w:r w:rsidRPr="009D52FD">
        <w:rPr>
          <w:rFonts w:eastAsiaTheme="minorHAnsi" w:cstheme="minorBidi"/>
          <w:sz w:val="20"/>
          <w:szCs w:val="20"/>
          <w:lang w:val="en-US" w:eastAsia="en-US"/>
        </w:rPr>
        <w:t xml:space="preserve"> </w:t>
      </w:r>
      <w:r w:rsidR="00B7133F" w:rsidRPr="009D52FD">
        <w:rPr>
          <w:rFonts w:eastAsiaTheme="minorHAnsi" w:cstheme="minorBidi"/>
          <w:sz w:val="20"/>
          <w:szCs w:val="20"/>
          <w:lang w:val="en-US" w:eastAsia="en-US"/>
        </w:rPr>
        <w:t xml:space="preserve">On another occasion, he deposited money in the name of </w:t>
      </w:r>
      <w:r w:rsidRPr="009D52FD">
        <w:rPr>
          <w:rFonts w:eastAsiaTheme="minorHAnsi" w:cstheme="minorBidi"/>
          <w:sz w:val="20"/>
          <w:szCs w:val="20"/>
          <w:lang w:val="en-US" w:eastAsia="en-US"/>
        </w:rPr>
        <w:t>Linda Loaiza López Soto</w:t>
      </w:r>
      <w:r w:rsidR="00B7133F" w:rsidRPr="009D52FD">
        <w:rPr>
          <w:rFonts w:eastAsiaTheme="minorHAnsi" w:cstheme="minorBidi"/>
          <w:sz w:val="20"/>
          <w:szCs w:val="20"/>
          <w:lang w:val="en-US" w:eastAsia="en-US"/>
        </w:rPr>
        <w:t xml:space="preserve">’s father telling her that, in this way, “he had proof, that no one could blame him for what he had done.” He also obliged her “to write things on some photographs that </w:t>
      </w:r>
      <w:r w:rsidR="00803A3E" w:rsidRPr="009D52FD">
        <w:rPr>
          <w:rFonts w:eastAsiaTheme="minorHAnsi" w:cstheme="minorBidi"/>
          <w:sz w:val="20"/>
          <w:szCs w:val="20"/>
          <w:lang w:val="en-US" w:eastAsia="en-US"/>
        </w:rPr>
        <w:t>[…]</w:t>
      </w:r>
      <w:r w:rsidR="00B7133F" w:rsidRPr="009D52FD">
        <w:rPr>
          <w:rFonts w:eastAsiaTheme="minorHAnsi" w:cstheme="minorBidi"/>
          <w:sz w:val="20"/>
          <w:szCs w:val="20"/>
          <w:lang w:val="en-US" w:eastAsia="en-US"/>
        </w:rPr>
        <w:t xml:space="preserve"> he had,” and also to write letters “hitting [her] or putting the gun to [her] head.</w:t>
      </w:r>
      <w:r w:rsidRPr="009D52FD">
        <w:rPr>
          <w:rFonts w:eastAsiaTheme="minorHAnsi" w:cstheme="minorBidi"/>
          <w:sz w:val="20"/>
          <w:szCs w:val="20"/>
          <w:lang w:val="en-US" w:eastAsia="en-US"/>
        </w:rPr>
        <w:t>”</w:t>
      </w:r>
      <w:r w:rsidRPr="009D52FD">
        <w:rPr>
          <w:rFonts w:eastAsiaTheme="minorHAnsi" w:cstheme="minorBidi"/>
          <w:sz w:val="20"/>
          <w:szCs w:val="20"/>
          <w:vertAlign w:val="superscript"/>
          <w:lang w:val="en-US" w:eastAsia="en-US"/>
        </w:rPr>
        <w:footnoteReference w:id="48"/>
      </w:r>
    </w:p>
    <w:p w14:paraId="7BBC1F32" w14:textId="77777777" w:rsidR="00BB528A" w:rsidRPr="009D52FD" w:rsidRDefault="00BB528A" w:rsidP="00BB528A">
      <w:pPr>
        <w:widowControl/>
        <w:adjustRightInd/>
        <w:spacing w:line="240" w:lineRule="auto"/>
        <w:textAlignment w:val="auto"/>
        <w:rPr>
          <w:rFonts w:eastAsiaTheme="minorHAnsi" w:cstheme="minorBidi"/>
          <w:sz w:val="20"/>
          <w:szCs w:val="20"/>
          <w:lang w:val="en-US" w:eastAsia="en-US"/>
        </w:rPr>
      </w:pPr>
    </w:p>
    <w:p w14:paraId="7B05AF15" w14:textId="5186E13A" w:rsidR="00BB528A" w:rsidRPr="009D52FD" w:rsidRDefault="00BB528A" w:rsidP="00B412EC">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 xml:space="preserve">Linda Loaiza López Soto </w:t>
      </w:r>
      <w:r w:rsidR="00B412EC" w:rsidRPr="009D52FD">
        <w:rPr>
          <w:rFonts w:eastAsiaTheme="minorHAnsi" w:cstheme="minorBidi"/>
          <w:sz w:val="20"/>
          <w:szCs w:val="20"/>
          <w:lang w:val="en-US" w:eastAsia="en-US"/>
        </w:rPr>
        <w:t xml:space="preserve">stated that the aggressor’s father, who was </w:t>
      </w:r>
      <w:r w:rsidR="007944B1" w:rsidRPr="009D52FD">
        <w:rPr>
          <w:rFonts w:eastAsiaTheme="minorHAnsi" w:cstheme="minorBidi"/>
          <w:sz w:val="20"/>
          <w:szCs w:val="20"/>
          <w:lang w:val="en-US" w:eastAsia="en-US"/>
        </w:rPr>
        <w:t>President</w:t>
      </w:r>
      <w:r w:rsidR="00B412EC" w:rsidRPr="009D52FD">
        <w:rPr>
          <w:rFonts w:eastAsiaTheme="minorHAnsi" w:cstheme="minorBidi"/>
          <w:sz w:val="20"/>
          <w:szCs w:val="20"/>
          <w:lang w:val="en-US" w:eastAsia="en-US"/>
        </w:rPr>
        <w:t xml:space="preserve"> of the</w:t>
      </w:r>
      <w:r w:rsidR="00FF67B6" w:rsidRPr="009D52FD">
        <w:rPr>
          <w:rFonts w:eastAsiaTheme="minorHAnsi" w:cstheme="minorBidi"/>
          <w:sz w:val="20"/>
          <w:szCs w:val="20"/>
          <w:lang w:val="en-US" w:eastAsia="en-US"/>
        </w:rPr>
        <w:t xml:space="preserve"> Universidad Nacional Abierta</w:t>
      </w:r>
      <w:r w:rsidR="003630BB" w:rsidRPr="009D52FD">
        <w:rPr>
          <w:rFonts w:eastAsiaTheme="minorHAnsi" w:cstheme="minorBidi"/>
          <w:sz w:val="20"/>
          <w:szCs w:val="20"/>
          <w:lang w:val="en-US" w:eastAsia="en-US"/>
        </w:rPr>
        <w:t xml:space="preserve"> and</w:t>
      </w:r>
      <w:r w:rsidR="00B412EC" w:rsidRPr="009D52FD">
        <w:rPr>
          <w:rFonts w:eastAsiaTheme="minorHAnsi" w:cstheme="minorBidi"/>
          <w:sz w:val="20"/>
          <w:szCs w:val="20"/>
          <w:lang w:val="en-US" w:eastAsia="en-US"/>
        </w:rPr>
        <w:t xml:space="preserve"> from</w:t>
      </w:r>
      <w:r w:rsidR="003630BB" w:rsidRPr="009D52FD">
        <w:rPr>
          <w:rFonts w:eastAsiaTheme="minorHAnsi" w:cstheme="minorBidi"/>
          <w:sz w:val="20"/>
          <w:szCs w:val="20"/>
          <w:lang w:val="en-US" w:eastAsia="en-US"/>
        </w:rPr>
        <w:t xml:space="preserve"> </w:t>
      </w:r>
      <w:r w:rsidR="00FF67B6" w:rsidRPr="009D52FD">
        <w:rPr>
          <w:rFonts w:eastAsiaTheme="minorHAnsi" w:cstheme="minorBidi"/>
          <w:sz w:val="20"/>
          <w:szCs w:val="20"/>
          <w:lang w:val="en-US" w:eastAsia="en-US"/>
        </w:rPr>
        <w:t xml:space="preserve">Cumaná </w:t>
      </w:r>
      <w:r w:rsidR="00B412EC" w:rsidRPr="009D52FD">
        <w:rPr>
          <w:rFonts w:eastAsiaTheme="minorHAnsi" w:cstheme="minorBidi"/>
          <w:sz w:val="20"/>
          <w:szCs w:val="20"/>
          <w:lang w:val="en-US" w:eastAsia="en-US"/>
        </w:rPr>
        <w:t xml:space="preserve">in </w:t>
      </w:r>
      <w:r w:rsidR="00FF67B6" w:rsidRPr="009D52FD">
        <w:rPr>
          <w:rFonts w:eastAsiaTheme="minorHAnsi" w:cstheme="minorBidi"/>
          <w:sz w:val="20"/>
          <w:szCs w:val="20"/>
          <w:lang w:val="en-US" w:eastAsia="en-US"/>
        </w:rPr>
        <w:t>Sucre</w:t>
      </w:r>
      <w:r w:rsidR="007944B1" w:rsidRPr="009D52FD">
        <w:rPr>
          <w:rFonts w:eastAsiaTheme="minorHAnsi" w:cstheme="minorBidi"/>
          <w:sz w:val="20"/>
          <w:szCs w:val="20"/>
          <w:lang w:val="en-US" w:eastAsia="en-US"/>
        </w:rPr>
        <w:t xml:space="preserve"> state</w:t>
      </w:r>
      <w:r w:rsidR="00FF67B6" w:rsidRPr="009D52FD">
        <w:rPr>
          <w:rFonts w:eastAsiaTheme="minorHAnsi" w:cstheme="minorBidi"/>
          <w:sz w:val="20"/>
          <w:szCs w:val="20"/>
          <w:lang w:val="en-US" w:eastAsia="en-US"/>
        </w:rPr>
        <w:t xml:space="preserve">, </w:t>
      </w:r>
      <w:r w:rsidR="00B412EC" w:rsidRPr="009D52FD">
        <w:rPr>
          <w:rFonts w:eastAsiaTheme="minorHAnsi" w:cstheme="minorBidi"/>
          <w:sz w:val="20"/>
          <w:szCs w:val="20"/>
          <w:lang w:val="en-US" w:eastAsia="en-US"/>
        </w:rPr>
        <w:t>was aware of what was happening. According to the victim’s statement</w:t>
      </w:r>
      <w:r w:rsidRPr="009D52FD">
        <w:rPr>
          <w:rFonts w:eastAsiaTheme="minorHAnsi" w:cstheme="minorBidi"/>
          <w:sz w:val="20"/>
          <w:szCs w:val="20"/>
          <w:lang w:val="en-US" w:eastAsia="en-US"/>
        </w:rPr>
        <w:t>, Luis Antonio Carrera Almoina “</w:t>
      </w:r>
      <w:r w:rsidR="00B412EC" w:rsidRPr="009D52FD">
        <w:rPr>
          <w:rFonts w:eastAsiaTheme="minorHAnsi" w:cstheme="minorBidi"/>
          <w:sz w:val="20"/>
          <w:szCs w:val="20"/>
          <w:lang w:val="en-US" w:eastAsia="en-US"/>
        </w:rPr>
        <w:t>called his father on several occasions and told him that his ear was swollen, and his father told him to bleed it with a syringe and he pressed it and bled it and got rid of the blood in the washbasin.” She stated that, when they returned to Caracas, they went to the father’s apartment and he told his son</w:t>
      </w:r>
      <w:r w:rsidR="007944B1" w:rsidRPr="009D52FD">
        <w:rPr>
          <w:rFonts w:eastAsiaTheme="minorHAnsi" w:cstheme="minorBidi"/>
          <w:sz w:val="20"/>
          <w:szCs w:val="20"/>
          <w:lang w:val="en-US" w:eastAsia="en-US"/>
        </w:rPr>
        <w:t xml:space="preserve"> that</w:t>
      </w:r>
      <w:r w:rsidR="00B412EC" w:rsidRPr="009D52FD">
        <w:rPr>
          <w:rFonts w:eastAsiaTheme="minorHAnsi" w:cstheme="minorBidi"/>
          <w:sz w:val="20"/>
          <w:szCs w:val="20"/>
          <w:lang w:val="en-US" w:eastAsia="en-US"/>
        </w:rPr>
        <w:t xml:space="preserve"> “some people were calling his house and </w:t>
      </w:r>
      <w:r w:rsidR="007944B1" w:rsidRPr="009D52FD">
        <w:rPr>
          <w:rFonts w:eastAsiaTheme="minorHAnsi" w:cstheme="minorBidi"/>
          <w:sz w:val="20"/>
          <w:szCs w:val="20"/>
          <w:lang w:val="en-US" w:eastAsia="en-US"/>
        </w:rPr>
        <w:t>[Luis Antonio]</w:t>
      </w:r>
      <w:r w:rsidR="00B412EC" w:rsidRPr="009D52FD">
        <w:rPr>
          <w:rFonts w:eastAsiaTheme="minorHAnsi" w:cstheme="minorBidi"/>
          <w:sz w:val="20"/>
          <w:szCs w:val="20"/>
          <w:lang w:val="en-US" w:eastAsia="en-US"/>
        </w:rPr>
        <w:t xml:space="preserve"> told him that it was [her] family who wanted news of [her].</w:t>
      </w:r>
      <w:r w:rsidRPr="009D52FD">
        <w:rPr>
          <w:rFonts w:eastAsiaTheme="minorHAnsi" w:cstheme="minorBidi"/>
          <w:sz w:val="20"/>
          <w:szCs w:val="20"/>
          <w:lang w:val="en-US" w:eastAsia="en-US"/>
        </w:rPr>
        <w:t>”</w:t>
      </w:r>
      <w:r w:rsidRPr="009D52FD">
        <w:rPr>
          <w:rFonts w:eastAsiaTheme="minorHAnsi" w:cstheme="minorBidi"/>
          <w:sz w:val="20"/>
          <w:szCs w:val="20"/>
          <w:vertAlign w:val="superscript"/>
          <w:lang w:val="en-US" w:eastAsia="en-US"/>
        </w:rPr>
        <w:footnoteReference w:id="49"/>
      </w:r>
      <w:r w:rsidR="00B412EC" w:rsidRPr="009D52FD">
        <w:rPr>
          <w:rFonts w:eastAsiaTheme="minorHAnsi" w:cstheme="minorBidi"/>
          <w:sz w:val="20"/>
          <w:szCs w:val="20"/>
          <w:lang w:val="en-US" w:eastAsia="en-US"/>
        </w:rPr>
        <w:t xml:space="preserve"> </w:t>
      </w:r>
      <w:r w:rsidR="003A0220" w:rsidRPr="009D52FD">
        <w:rPr>
          <w:rFonts w:eastAsiaTheme="minorHAnsi" w:cstheme="minorBidi"/>
          <w:sz w:val="20"/>
          <w:szCs w:val="20"/>
          <w:lang w:val="en-US" w:eastAsia="en-US"/>
        </w:rPr>
        <w:t xml:space="preserve">The victim also stated that </w:t>
      </w:r>
      <w:r w:rsidRPr="009D52FD">
        <w:rPr>
          <w:rFonts w:eastAsiaTheme="minorHAnsi" w:cstheme="minorBidi"/>
          <w:sz w:val="20"/>
          <w:szCs w:val="20"/>
          <w:lang w:val="en-US" w:eastAsia="en-US"/>
        </w:rPr>
        <w:t xml:space="preserve">Luis Antonio Carrera Almoina </w:t>
      </w:r>
      <w:r w:rsidR="003A0220" w:rsidRPr="009D52FD">
        <w:rPr>
          <w:rFonts w:eastAsiaTheme="minorHAnsi" w:cstheme="minorBidi"/>
          <w:sz w:val="20"/>
          <w:szCs w:val="20"/>
          <w:lang w:val="en-US" w:eastAsia="en-US"/>
        </w:rPr>
        <w:t xml:space="preserve">rented the apartment in Caracas with his father’s help. Before the victim was rescued, </w:t>
      </w:r>
      <w:r w:rsidRPr="009D52FD">
        <w:rPr>
          <w:rFonts w:eastAsiaTheme="minorHAnsi" w:cstheme="minorBidi"/>
          <w:sz w:val="20"/>
          <w:szCs w:val="20"/>
          <w:lang w:val="en-US" w:eastAsia="en-US"/>
        </w:rPr>
        <w:t>Luis Antonio Carrera Almoina “</w:t>
      </w:r>
      <w:r w:rsidR="003A0220" w:rsidRPr="009D52FD">
        <w:rPr>
          <w:rFonts w:eastAsiaTheme="minorHAnsi" w:cstheme="minorBidi"/>
          <w:sz w:val="20"/>
          <w:szCs w:val="20"/>
          <w:lang w:val="en-US" w:eastAsia="en-US"/>
        </w:rPr>
        <w:t>called his father and told him that Linda no longer satisfied him, and asked him to get hold of some black bags</w:t>
      </w:r>
      <w:r w:rsidR="00BC3869" w:rsidRPr="009D52FD">
        <w:rPr>
          <w:rFonts w:eastAsiaTheme="minorHAnsi" w:cstheme="minorBidi"/>
          <w:sz w:val="20"/>
          <w:szCs w:val="20"/>
          <w:lang w:val="en-US" w:eastAsia="en-US"/>
        </w:rPr>
        <w:t xml:space="preserve"> in order</w:t>
      </w:r>
      <w:r w:rsidR="003A0220" w:rsidRPr="009D52FD">
        <w:rPr>
          <w:rFonts w:eastAsiaTheme="minorHAnsi" w:cstheme="minorBidi"/>
          <w:sz w:val="20"/>
          <w:szCs w:val="20"/>
          <w:lang w:val="en-US" w:eastAsia="en-US"/>
        </w:rPr>
        <w:t xml:space="preserve"> to [get her out] of there.</w:t>
      </w:r>
      <w:r w:rsidRPr="009D52FD">
        <w:rPr>
          <w:rFonts w:eastAsiaTheme="minorHAnsi" w:cstheme="minorBidi"/>
          <w:sz w:val="20"/>
          <w:szCs w:val="20"/>
          <w:lang w:val="en-US" w:eastAsia="en-US"/>
        </w:rPr>
        <w:t>”</w:t>
      </w:r>
      <w:r w:rsidRPr="009D52FD">
        <w:rPr>
          <w:rFonts w:eastAsiaTheme="minorHAnsi" w:cstheme="minorBidi"/>
          <w:sz w:val="20"/>
          <w:szCs w:val="20"/>
          <w:vertAlign w:val="superscript"/>
          <w:lang w:val="en-US" w:eastAsia="en-US"/>
        </w:rPr>
        <w:footnoteReference w:id="50"/>
      </w:r>
    </w:p>
    <w:p w14:paraId="241AA474" w14:textId="77777777" w:rsidR="00BB528A" w:rsidRPr="009D52FD" w:rsidRDefault="00BB528A" w:rsidP="00BB528A">
      <w:pPr>
        <w:widowControl/>
        <w:adjustRightInd/>
        <w:spacing w:line="240" w:lineRule="auto"/>
        <w:textAlignment w:val="auto"/>
        <w:rPr>
          <w:rFonts w:eastAsiaTheme="minorHAnsi" w:cstheme="minorBidi"/>
          <w:sz w:val="20"/>
          <w:szCs w:val="20"/>
          <w:u w:val="single"/>
          <w:lang w:val="en-US" w:eastAsia="en-US"/>
        </w:rPr>
      </w:pPr>
    </w:p>
    <w:p w14:paraId="2D23B84E" w14:textId="5B09F03E" w:rsidR="00BB528A" w:rsidRPr="009D52FD" w:rsidRDefault="00BB528A" w:rsidP="00BB528A">
      <w:pPr>
        <w:keepNext/>
        <w:keepLines/>
        <w:tabs>
          <w:tab w:val="left" w:pos="1134"/>
        </w:tabs>
        <w:spacing w:line="240" w:lineRule="auto"/>
        <w:ind w:left="567" w:firstLine="1"/>
        <w:outlineLvl w:val="1"/>
        <w:rPr>
          <w:rFonts w:eastAsia="MS Mincho"/>
          <w:b/>
          <w:bCs/>
          <w:i/>
          <w:sz w:val="20"/>
          <w:szCs w:val="20"/>
          <w:lang w:val="en-US"/>
        </w:rPr>
      </w:pPr>
      <w:bookmarkStart w:id="65" w:name="_Toc51400084"/>
      <w:r w:rsidRPr="009D52FD">
        <w:rPr>
          <w:rFonts w:eastAsia="MS Mincho"/>
          <w:b/>
          <w:bCs/>
          <w:i/>
          <w:sz w:val="20"/>
          <w:szCs w:val="20"/>
          <w:lang w:val="en-US"/>
        </w:rPr>
        <w:t xml:space="preserve">C. </w:t>
      </w:r>
      <w:r w:rsidR="00ED6EDF" w:rsidRPr="009D52FD">
        <w:rPr>
          <w:rFonts w:eastAsia="MS Mincho"/>
          <w:b/>
          <w:bCs/>
          <w:i/>
          <w:sz w:val="20"/>
          <w:szCs w:val="20"/>
          <w:lang w:val="en-US"/>
        </w:rPr>
        <w:tab/>
      </w:r>
      <w:r w:rsidR="006E1F8F" w:rsidRPr="009D52FD">
        <w:rPr>
          <w:rFonts w:eastAsia="MS Mincho"/>
          <w:b/>
          <w:bCs/>
          <w:i/>
          <w:sz w:val="20"/>
          <w:szCs w:val="20"/>
          <w:lang w:val="en-US"/>
        </w:rPr>
        <w:t>Actions undertaken by Linda Loaiza</w:t>
      </w:r>
      <w:r w:rsidR="003A0220" w:rsidRPr="009D52FD">
        <w:rPr>
          <w:rFonts w:eastAsia="MS Mincho"/>
          <w:b/>
          <w:bCs/>
          <w:i/>
          <w:sz w:val="20"/>
          <w:szCs w:val="20"/>
          <w:lang w:val="en-US"/>
        </w:rPr>
        <w:t xml:space="preserve"> López Soto’s family</w:t>
      </w:r>
      <w:bookmarkEnd w:id="65"/>
    </w:p>
    <w:p w14:paraId="4E624AB9" w14:textId="77777777" w:rsidR="00BB528A" w:rsidRPr="009D52FD" w:rsidRDefault="00BB528A" w:rsidP="00BB528A">
      <w:pPr>
        <w:widowControl/>
        <w:adjustRightInd/>
        <w:spacing w:line="240" w:lineRule="auto"/>
        <w:textAlignment w:val="auto"/>
        <w:rPr>
          <w:rFonts w:eastAsiaTheme="minorHAnsi" w:cstheme="minorBidi"/>
          <w:b/>
          <w:sz w:val="20"/>
          <w:szCs w:val="20"/>
          <w:lang w:val="en-US" w:eastAsia="en-US"/>
        </w:rPr>
      </w:pPr>
    </w:p>
    <w:p w14:paraId="2BD97280" w14:textId="7C0C0235" w:rsidR="00317299" w:rsidRPr="009D52FD" w:rsidRDefault="003A0220" w:rsidP="00317299">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During the domestic criminal proceedings,</w:t>
      </w:r>
      <w:r w:rsidR="00BB528A" w:rsidRPr="009D52FD">
        <w:rPr>
          <w:rFonts w:eastAsiaTheme="minorHAnsi" w:cstheme="minorBidi"/>
          <w:sz w:val="20"/>
          <w:szCs w:val="20"/>
          <w:vertAlign w:val="superscript"/>
          <w:lang w:val="en-US" w:eastAsia="en-US"/>
        </w:rPr>
        <w:footnoteReference w:id="51"/>
      </w:r>
      <w:r w:rsidR="00BB528A" w:rsidRPr="009D52FD">
        <w:rPr>
          <w:rFonts w:eastAsiaTheme="minorHAnsi" w:cstheme="minorBidi"/>
          <w:sz w:val="20"/>
          <w:szCs w:val="20"/>
          <w:lang w:val="en-US" w:eastAsia="en-US"/>
        </w:rPr>
        <w:t xml:space="preserve"> Ana Secilia López Soto </w:t>
      </w:r>
      <w:r w:rsidRPr="009D52FD">
        <w:rPr>
          <w:rFonts w:eastAsiaTheme="minorHAnsi" w:cstheme="minorBidi"/>
          <w:sz w:val="20"/>
          <w:szCs w:val="20"/>
          <w:lang w:val="en-US" w:eastAsia="en-US"/>
        </w:rPr>
        <w:t>recounted that on March</w:t>
      </w:r>
      <w:r w:rsidR="00BB528A" w:rsidRPr="009D52FD">
        <w:rPr>
          <w:rFonts w:eastAsiaTheme="minorHAnsi" w:cstheme="minorBidi"/>
          <w:sz w:val="20"/>
          <w:szCs w:val="20"/>
          <w:lang w:val="en-US" w:eastAsia="en-US"/>
        </w:rPr>
        <w:t xml:space="preserve"> 27</w:t>
      </w:r>
      <w:r w:rsidRPr="009D52FD">
        <w:rPr>
          <w:rFonts w:eastAsiaTheme="minorHAnsi" w:cstheme="minorBidi"/>
          <w:sz w:val="20"/>
          <w:szCs w:val="20"/>
          <w:lang w:val="en-US" w:eastAsia="en-US"/>
        </w:rPr>
        <w:t xml:space="preserve">, </w:t>
      </w:r>
      <w:r w:rsidR="00BB528A" w:rsidRPr="009D52FD">
        <w:rPr>
          <w:rFonts w:eastAsiaTheme="minorHAnsi" w:cstheme="minorBidi"/>
          <w:sz w:val="20"/>
          <w:szCs w:val="20"/>
          <w:lang w:val="en-US" w:eastAsia="en-US"/>
        </w:rPr>
        <w:t>2001</w:t>
      </w:r>
      <w:r w:rsidRPr="009D52FD">
        <w:rPr>
          <w:rFonts w:eastAsiaTheme="minorHAnsi" w:cstheme="minorBidi"/>
          <w:sz w:val="20"/>
          <w:szCs w:val="20"/>
          <w:lang w:val="en-US" w:eastAsia="en-US"/>
        </w:rPr>
        <w:t>, her sister did not return to the apartment early as was her custom. At 2 a.m. the following day, she received a telephone call from an unknown person who merely said that “Linda was not going to return home.</w:t>
      </w:r>
      <w:r w:rsidR="00BB528A" w:rsidRPr="009D52FD">
        <w:rPr>
          <w:rFonts w:eastAsiaTheme="minorHAnsi" w:cstheme="minorBidi"/>
          <w:sz w:val="20"/>
          <w:szCs w:val="20"/>
          <w:lang w:val="en-US" w:eastAsia="en-US"/>
        </w:rPr>
        <w:t>”</w:t>
      </w:r>
      <w:r w:rsidR="00BB528A" w:rsidRPr="009D52FD">
        <w:rPr>
          <w:rFonts w:eastAsiaTheme="minorHAnsi" w:cstheme="minorBidi"/>
          <w:sz w:val="20"/>
          <w:szCs w:val="20"/>
          <w:vertAlign w:val="superscript"/>
          <w:lang w:val="en-US" w:eastAsia="en-US"/>
        </w:rPr>
        <w:footnoteReference w:id="52"/>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Later</w:t>
      </w:r>
      <w:r w:rsidR="00BB528A" w:rsidRPr="009D52FD">
        <w:rPr>
          <w:rFonts w:eastAsiaTheme="minorHAnsi" w:cstheme="minorBidi"/>
          <w:sz w:val="20"/>
          <w:szCs w:val="20"/>
          <w:lang w:val="en-US" w:eastAsia="en-US"/>
        </w:rPr>
        <w:t>, Ana Secilia López Soto</w:t>
      </w:r>
      <w:r w:rsidRPr="009D52FD">
        <w:rPr>
          <w:rFonts w:eastAsiaTheme="minorHAnsi" w:cstheme="minorBidi"/>
          <w:sz w:val="20"/>
          <w:szCs w:val="20"/>
          <w:lang w:val="en-US" w:eastAsia="en-US"/>
        </w:rPr>
        <w:t xml:space="preserve"> tried to call the number that</w:t>
      </w:r>
      <w:r w:rsidR="00BC3869" w:rsidRPr="009D52FD">
        <w:rPr>
          <w:rFonts w:eastAsiaTheme="minorHAnsi" w:cstheme="minorBidi"/>
          <w:sz w:val="20"/>
          <w:szCs w:val="20"/>
          <w:lang w:val="en-US" w:eastAsia="en-US"/>
        </w:rPr>
        <w:t xml:space="preserve"> was</w:t>
      </w:r>
      <w:r w:rsidRPr="009D52FD">
        <w:rPr>
          <w:rFonts w:eastAsiaTheme="minorHAnsi" w:cstheme="minorBidi"/>
          <w:sz w:val="20"/>
          <w:szCs w:val="20"/>
          <w:lang w:val="en-US" w:eastAsia="en-US"/>
        </w:rPr>
        <w:t xml:space="preserve"> registered on her telephone; but the number was answered by an answering machine which said: “you have called </w:t>
      </w:r>
      <w:r w:rsidR="00BB528A" w:rsidRPr="009D52FD">
        <w:rPr>
          <w:rFonts w:eastAsiaTheme="minorHAnsi" w:cstheme="minorBidi"/>
          <w:sz w:val="20"/>
          <w:szCs w:val="20"/>
          <w:lang w:val="en-US" w:eastAsia="en-US"/>
        </w:rPr>
        <w:t>Luis Antonio Carrera Almoina</w:t>
      </w:r>
      <w:r w:rsidRPr="009D52FD">
        <w:rPr>
          <w:rFonts w:eastAsiaTheme="minorHAnsi" w:cstheme="minorBidi"/>
          <w:sz w:val="20"/>
          <w:szCs w:val="20"/>
          <w:lang w:val="en-US" w:eastAsia="en-US"/>
        </w:rPr>
        <w:t>.</w:t>
      </w:r>
      <w:r w:rsidR="00BB528A" w:rsidRPr="009D52FD">
        <w:rPr>
          <w:rFonts w:eastAsiaTheme="minorHAnsi" w:cstheme="minorBidi"/>
          <w:sz w:val="20"/>
          <w:szCs w:val="20"/>
          <w:lang w:val="en-US" w:eastAsia="en-US"/>
        </w:rPr>
        <w:t>”</w:t>
      </w:r>
      <w:r w:rsidRPr="009D52FD">
        <w:rPr>
          <w:rFonts w:eastAsiaTheme="minorHAnsi" w:cstheme="minorBidi"/>
          <w:sz w:val="20"/>
          <w:szCs w:val="20"/>
          <w:lang w:val="en-US" w:eastAsia="en-US"/>
        </w:rPr>
        <w:t xml:space="preserve"> She told her father what had happened, and he urged her to file a </w:t>
      </w:r>
      <w:r w:rsidR="00BC3869" w:rsidRPr="009D52FD">
        <w:rPr>
          <w:rFonts w:eastAsiaTheme="minorHAnsi" w:cstheme="minorBidi"/>
          <w:sz w:val="20"/>
          <w:szCs w:val="20"/>
          <w:lang w:val="en-US" w:eastAsia="en-US"/>
        </w:rPr>
        <w:t>repor</w:t>
      </w:r>
      <w:r w:rsidRPr="009D52FD">
        <w:rPr>
          <w:rFonts w:eastAsiaTheme="minorHAnsi" w:cstheme="minorBidi"/>
          <w:sz w:val="20"/>
          <w:szCs w:val="20"/>
          <w:lang w:val="en-US" w:eastAsia="en-US"/>
        </w:rPr>
        <w:t>t.</w:t>
      </w:r>
      <w:r w:rsidR="00BB528A" w:rsidRPr="009D52FD">
        <w:rPr>
          <w:rFonts w:eastAsiaTheme="minorHAnsi" w:cstheme="minorBidi"/>
          <w:sz w:val="20"/>
          <w:szCs w:val="20"/>
          <w:vertAlign w:val="superscript"/>
          <w:lang w:val="en-US" w:eastAsia="en-US"/>
        </w:rPr>
        <w:footnoteReference w:id="53"/>
      </w:r>
      <w:r w:rsidR="00E21451"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Meanwhile,</w:t>
      </w:r>
      <w:r w:rsidR="00E21451" w:rsidRPr="009D52FD">
        <w:rPr>
          <w:rFonts w:eastAsiaTheme="minorHAnsi" w:cstheme="minorBidi"/>
          <w:sz w:val="20"/>
          <w:szCs w:val="20"/>
          <w:lang w:val="en-US" w:eastAsia="en-US"/>
        </w:rPr>
        <w:t xml:space="preserve"> </w:t>
      </w:r>
      <w:r w:rsidR="00CF3A41" w:rsidRPr="009D52FD">
        <w:rPr>
          <w:rFonts w:eastAsiaTheme="minorHAnsi" w:cstheme="minorBidi"/>
          <w:sz w:val="20"/>
          <w:szCs w:val="20"/>
          <w:lang w:val="en-US" w:eastAsia="en-US"/>
        </w:rPr>
        <w:t>Nelson López Meza</w:t>
      </w:r>
      <w:r w:rsidR="00CF3A41" w:rsidRPr="009D52FD" w:rsidDel="00CF3A41">
        <w:rPr>
          <w:rFonts w:eastAsiaTheme="minorHAnsi" w:cstheme="minorBidi"/>
          <w:sz w:val="20"/>
          <w:szCs w:val="20"/>
          <w:lang w:val="en-US" w:eastAsia="en-US"/>
        </w:rPr>
        <w:t xml:space="preserve"> </w:t>
      </w:r>
      <w:r w:rsidRPr="009D52FD">
        <w:rPr>
          <w:rFonts w:eastAsiaTheme="minorHAnsi" w:cstheme="minorBidi"/>
          <w:sz w:val="20"/>
          <w:szCs w:val="20"/>
          <w:lang w:val="en-US" w:eastAsia="en-US"/>
        </w:rPr>
        <w:t>tried to call the number that his daughter had given him, without getting an answer, even though he left messages.</w:t>
      </w:r>
      <w:r w:rsidR="0064633A" w:rsidRPr="009D52FD">
        <w:rPr>
          <w:rFonts w:eastAsiaTheme="minorHAnsi" w:cstheme="minorBidi"/>
          <w:sz w:val="20"/>
          <w:szCs w:val="20"/>
          <w:vertAlign w:val="superscript"/>
          <w:lang w:val="en-US" w:eastAsia="en-US"/>
        </w:rPr>
        <w:footnoteReference w:id="54"/>
      </w:r>
      <w:r w:rsidR="00BD7865" w:rsidRPr="009D52FD">
        <w:rPr>
          <w:rFonts w:eastAsiaTheme="minorHAnsi" w:cstheme="minorBidi"/>
          <w:sz w:val="20"/>
          <w:szCs w:val="20"/>
          <w:lang w:val="en-US" w:eastAsia="en-US"/>
        </w:rPr>
        <w:t xml:space="preserve"> Ana Secilia López Soto</w:t>
      </w:r>
      <w:r w:rsidRPr="009D52FD">
        <w:rPr>
          <w:rFonts w:eastAsiaTheme="minorHAnsi" w:cstheme="minorBidi"/>
          <w:sz w:val="20"/>
          <w:szCs w:val="20"/>
          <w:lang w:val="en-US" w:eastAsia="en-US"/>
        </w:rPr>
        <w:t xml:space="preserve"> also tried to call her sister several times, calling </w:t>
      </w:r>
      <w:r w:rsidR="00BD7865" w:rsidRPr="009D52FD">
        <w:rPr>
          <w:rFonts w:eastAsiaTheme="minorHAnsi" w:cstheme="minorBidi"/>
          <w:sz w:val="20"/>
          <w:szCs w:val="20"/>
          <w:lang w:val="en-US" w:eastAsia="en-US"/>
        </w:rPr>
        <w:t>Luis Antonio Carrera Almoina</w:t>
      </w:r>
      <w:r w:rsidRPr="009D52FD">
        <w:rPr>
          <w:rFonts w:eastAsiaTheme="minorHAnsi" w:cstheme="minorBidi"/>
          <w:sz w:val="20"/>
          <w:szCs w:val="20"/>
          <w:lang w:val="en-US" w:eastAsia="en-US"/>
        </w:rPr>
        <w:t>’s number, but never obtained news of her.</w:t>
      </w:r>
      <w:r w:rsidR="00BD7865" w:rsidRPr="009D52FD">
        <w:rPr>
          <w:rFonts w:eastAsiaTheme="minorHAnsi" w:cstheme="minorBidi"/>
          <w:sz w:val="20"/>
          <w:szCs w:val="20"/>
          <w:vertAlign w:val="superscript"/>
          <w:lang w:val="en-US" w:eastAsia="en-US"/>
        </w:rPr>
        <w:footnoteReference w:id="55"/>
      </w:r>
    </w:p>
    <w:p w14:paraId="500A636D" w14:textId="77777777" w:rsidR="00317299" w:rsidRPr="009D52FD" w:rsidRDefault="00317299" w:rsidP="00317299">
      <w:pPr>
        <w:tabs>
          <w:tab w:val="left" w:pos="567"/>
        </w:tabs>
        <w:spacing w:line="240" w:lineRule="auto"/>
        <w:rPr>
          <w:rFonts w:eastAsiaTheme="minorHAnsi" w:cstheme="minorBidi"/>
          <w:sz w:val="20"/>
          <w:szCs w:val="20"/>
          <w:lang w:val="en-US" w:eastAsia="en-US"/>
        </w:rPr>
      </w:pPr>
    </w:p>
    <w:p w14:paraId="39953F04" w14:textId="192D7970" w:rsidR="00BB528A" w:rsidRPr="009D52FD" w:rsidRDefault="00BB528A" w:rsidP="003A0220">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 xml:space="preserve">Ana Secilia </w:t>
      </w:r>
      <w:r w:rsidR="00D754FD" w:rsidRPr="009D52FD">
        <w:rPr>
          <w:rFonts w:eastAsiaTheme="minorHAnsi" w:cstheme="minorBidi"/>
          <w:sz w:val="20"/>
          <w:szCs w:val="20"/>
          <w:lang w:val="en-US" w:eastAsia="en-US"/>
        </w:rPr>
        <w:t xml:space="preserve">López Soto </w:t>
      </w:r>
      <w:r w:rsidRPr="009D52FD">
        <w:rPr>
          <w:rFonts w:eastAsiaTheme="minorHAnsi" w:cstheme="minorBidi"/>
          <w:sz w:val="20"/>
          <w:szCs w:val="20"/>
          <w:lang w:val="en-US" w:eastAsia="en-US"/>
        </w:rPr>
        <w:t>indic</w:t>
      </w:r>
      <w:r w:rsidR="003A0220" w:rsidRPr="009D52FD">
        <w:rPr>
          <w:rFonts w:eastAsiaTheme="minorHAnsi" w:cstheme="minorBidi"/>
          <w:sz w:val="20"/>
          <w:szCs w:val="20"/>
          <w:lang w:val="en-US" w:eastAsia="en-US"/>
        </w:rPr>
        <w:t>ated that she t</w:t>
      </w:r>
      <w:r w:rsidR="00BC3869" w:rsidRPr="009D52FD">
        <w:rPr>
          <w:rFonts w:eastAsiaTheme="minorHAnsi" w:cstheme="minorBidi"/>
          <w:sz w:val="20"/>
          <w:szCs w:val="20"/>
          <w:lang w:val="en-US" w:eastAsia="en-US"/>
        </w:rPr>
        <w:t>r</w:t>
      </w:r>
      <w:r w:rsidR="003A0220" w:rsidRPr="009D52FD">
        <w:rPr>
          <w:rFonts w:eastAsiaTheme="minorHAnsi" w:cstheme="minorBidi"/>
          <w:sz w:val="20"/>
          <w:szCs w:val="20"/>
          <w:lang w:val="en-US" w:eastAsia="en-US"/>
        </w:rPr>
        <w:t xml:space="preserve">ied to file the </w:t>
      </w:r>
      <w:r w:rsidR="00BC3869" w:rsidRPr="009D52FD">
        <w:rPr>
          <w:rFonts w:eastAsiaTheme="minorHAnsi" w:cstheme="minorBidi"/>
          <w:sz w:val="20"/>
          <w:szCs w:val="20"/>
          <w:lang w:val="en-US" w:eastAsia="en-US"/>
        </w:rPr>
        <w:t xml:space="preserve">report concerning </w:t>
      </w:r>
      <w:r w:rsidR="003A0220" w:rsidRPr="009D52FD">
        <w:rPr>
          <w:rFonts w:eastAsiaTheme="minorHAnsi" w:cstheme="minorBidi"/>
          <w:sz w:val="20"/>
          <w:szCs w:val="20"/>
          <w:lang w:val="en-US" w:eastAsia="en-US"/>
        </w:rPr>
        <w:t>her sister’s situation on six occasions, but it was not received “because they said that they must be a couple.</w:t>
      </w:r>
      <w:r w:rsidRPr="009D52FD">
        <w:rPr>
          <w:rFonts w:eastAsiaTheme="minorHAnsi" w:cstheme="minorBidi"/>
          <w:sz w:val="20"/>
          <w:szCs w:val="20"/>
          <w:lang w:val="en-US" w:eastAsia="en-US"/>
        </w:rPr>
        <w:t>”</w:t>
      </w:r>
      <w:r w:rsidRPr="009D52FD">
        <w:rPr>
          <w:rFonts w:eastAsiaTheme="minorHAnsi" w:cstheme="minorBidi"/>
          <w:sz w:val="20"/>
          <w:szCs w:val="20"/>
          <w:vertAlign w:val="superscript"/>
          <w:lang w:val="en-US" w:eastAsia="en-US"/>
        </w:rPr>
        <w:footnoteReference w:id="56"/>
      </w:r>
      <w:r w:rsidRPr="009D52FD">
        <w:rPr>
          <w:rFonts w:eastAsiaTheme="minorHAnsi" w:cstheme="minorBidi"/>
          <w:sz w:val="20"/>
          <w:szCs w:val="20"/>
          <w:lang w:val="en-US" w:eastAsia="en-US"/>
        </w:rPr>
        <w:t xml:space="preserve"> </w:t>
      </w:r>
      <w:r w:rsidR="003A0220" w:rsidRPr="009D52FD">
        <w:rPr>
          <w:rFonts w:eastAsiaTheme="minorHAnsi" w:cstheme="minorBidi"/>
          <w:sz w:val="20"/>
          <w:szCs w:val="20"/>
          <w:lang w:val="en-US" w:eastAsia="en-US"/>
        </w:rPr>
        <w:t xml:space="preserve">The State contested this point, and it will be examined in this judgment together with the merits </w:t>
      </w:r>
      <w:r w:rsidRPr="009D52FD">
        <w:rPr>
          <w:rFonts w:eastAsiaTheme="minorHAnsi" w:cstheme="minorBidi"/>
          <w:sz w:val="20"/>
          <w:szCs w:val="20"/>
          <w:lang w:val="en-US" w:eastAsia="en-US"/>
        </w:rPr>
        <w:t>(</w:t>
      </w:r>
      <w:r w:rsidRPr="009D52FD">
        <w:rPr>
          <w:rFonts w:eastAsiaTheme="minorHAnsi" w:cstheme="minorBidi"/>
          <w:i/>
          <w:sz w:val="20"/>
          <w:szCs w:val="20"/>
          <w:lang w:val="en-US" w:eastAsia="en-US"/>
        </w:rPr>
        <w:t xml:space="preserve">infra </w:t>
      </w:r>
      <w:r w:rsidR="009459E7" w:rsidRPr="009D52FD">
        <w:rPr>
          <w:rFonts w:eastAsiaTheme="minorHAnsi" w:cstheme="minorBidi"/>
          <w:sz w:val="20"/>
          <w:szCs w:val="20"/>
          <w:lang w:val="en-US" w:eastAsia="en-US"/>
        </w:rPr>
        <w:t>paras.</w:t>
      </w:r>
      <w:r w:rsidRPr="009D52FD">
        <w:rPr>
          <w:rFonts w:eastAsiaTheme="minorHAnsi" w:cstheme="minorBidi"/>
          <w:sz w:val="20"/>
          <w:szCs w:val="20"/>
          <w:lang w:val="en-US" w:eastAsia="en-US"/>
        </w:rPr>
        <w:t xml:space="preserve"> </w:t>
      </w:r>
      <w:r w:rsidR="009B444D" w:rsidRPr="009D52FD">
        <w:rPr>
          <w:rFonts w:eastAsiaTheme="minorHAnsi" w:cstheme="minorBidi"/>
          <w:sz w:val="20"/>
          <w:szCs w:val="20"/>
          <w:lang w:val="en-US" w:eastAsia="en-US"/>
        </w:rPr>
        <w:t xml:space="preserve">154 </w:t>
      </w:r>
      <w:r w:rsidR="003A0220" w:rsidRPr="009D52FD">
        <w:rPr>
          <w:rFonts w:eastAsiaTheme="minorHAnsi" w:cstheme="minorBidi"/>
          <w:sz w:val="20"/>
          <w:szCs w:val="20"/>
          <w:lang w:val="en-US" w:eastAsia="en-US"/>
        </w:rPr>
        <w:t>to</w:t>
      </w:r>
      <w:r w:rsidR="009B444D" w:rsidRPr="009D52FD">
        <w:rPr>
          <w:rFonts w:eastAsiaTheme="minorHAnsi" w:cstheme="minorBidi"/>
          <w:sz w:val="20"/>
          <w:szCs w:val="20"/>
          <w:lang w:val="en-US" w:eastAsia="en-US"/>
        </w:rPr>
        <w:t xml:space="preserve"> 164</w:t>
      </w:r>
      <w:r w:rsidRPr="009D52FD">
        <w:rPr>
          <w:rFonts w:eastAsiaTheme="minorHAnsi" w:cstheme="minorBidi"/>
          <w:sz w:val="20"/>
          <w:szCs w:val="20"/>
          <w:lang w:val="en-US" w:eastAsia="en-US"/>
        </w:rPr>
        <w:t xml:space="preserve">). </w:t>
      </w:r>
      <w:r w:rsidR="003A0220" w:rsidRPr="009D52FD">
        <w:rPr>
          <w:color w:val="000000"/>
          <w:sz w:val="20"/>
          <w:szCs w:val="20"/>
          <w:lang w:val="en-US" w:eastAsia="en-US"/>
        </w:rPr>
        <w:t>On May 26,</w:t>
      </w:r>
      <w:r w:rsidR="00711A68" w:rsidRPr="009D52FD">
        <w:rPr>
          <w:color w:val="000000"/>
          <w:sz w:val="20"/>
          <w:szCs w:val="20"/>
          <w:lang w:val="en-US" w:eastAsia="en-US"/>
        </w:rPr>
        <w:t xml:space="preserve"> 2001</w:t>
      </w:r>
      <w:r w:rsidR="003A0220" w:rsidRPr="009D52FD">
        <w:rPr>
          <w:color w:val="000000"/>
          <w:sz w:val="20"/>
          <w:szCs w:val="20"/>
          <w:lang w:val="en-US" w:eastAsia="en-US"/>
        </w:rPr>
        <w:t>,</w:t>
      </w:r>
      <w:r w:rsidR="00711A68" w:rsidRPr="009D52FD">
        <w:rPr>
          <w:color w:val="000000"/>
          <w:sz w:val="20"/>
          <w:szCs w:val="20"/>
          <w:lang w:val="en-US" w:eastAsia="en-US"/>
        </w:rPr>
        <w:t xml:space="preserve"> Ana Secilia López Soto </w:t>
      </w:r>
      <w:r w:rsidR="003A0220" w:rsidRPr="009D52FD">
        <w:rPr>
          <w:color w:val="000000"/>
          <w:sz w:val="20"/>
          <w:szCs w:val="20"/>
          <w:lang w:val="en-US" w:eastAsia="en-US"/>
        </w:rPr>
        <w:t>filed a complaint against the aggressor with the Judicial Technical Police, which was processed for the offense of death threats.</w:t>
      </w:r>
      <w:r w:rsidR="00711A68" w:rsidRPr="009D52FD">
        <w:rPr>
          <w:color w:val="000000"/>
          <w:sz w:val="20"/>
          <w:szCs w:val="20"/>
          <w:vertAlign w:val="superscript"/>
          <w:lang w:val="en-US" w:eastAsia="en-US"/>
        </w:rPr>
        <w:footnoteReference w:id="57"/>
      </w:r>
      <w:r w:rsidR="003A0220" w:rsidRPr="009D52FD">
        <w:rPr>
          <w:color w:val="000000"/>
          <w:sz w:val="20"/>
          <w:szCs w:val="20"/>
          <w:lang w:val="en-US" w:eastAsia="en-US"/>
        </w:rPr>
        <w:t xml:space="preserve"> The </w:t>
      </w:r>
      <w:r w:rsidR="00002A76" w:rsidRPr="009D52FD">
        <w:rPr>
          <w:color w:val="000000"/>
          <w:sz w:val="20"/>
          <w:szCs w:val="20"/>
          <w:lang w:val="en-US" w:eastAsia="en-US"/>
        </w:rPr>
        <w:t>police</w:t>
      </w:r>
      <w:r w:rsidR="003A0220" w:rsidRPr="009D52FD">
        <w:rPr>
          <w:color w:val="000000"/>
          <w:sz w:val="20"/>
          <w:szCs w:val="20"/>
          <w:lang w:val="en-US" w:eastAsia="en-US"/>
        </w:rPr>
        <w:t xml:space="preserve"> officials merely tried to communicate with the accused by telephone</w:t>
      </w:r>
      <w:r w:rsidR="0047312A" w:rsidRPr="009D52FD">
        <w:rPr>
          <w:color w:val="000000"/>
          <w:sz w:val="20"/>
          <w:szCs w:val="20"/>
          <w:lang w:val="en-US" w:eastAsia="en-US"/>
        </w:rPr>
        <w:t xml:space="preserve"> and, when they did not get an answer, they left messages for him to present himself at the police station. The family had no information of any action taken by the </w:t>
      </w:r>
      <w:r w:rsidR="00002A76" w:rsidRPr="009D52FD">
        <w:rPr>
          <w:color w:val="000000"/>
          <w:sz w:val="20"/>
          <w:szCs w:val="20"/>
          <w:lang w:val="en-US" w:eastAsia="en-US"/>
        </w:rPr>
        <w:t>authorities</w:t>
      </w:r>
      <w:r w:rsidR="0047312A" w:rsidRPr="009D52FD">
        <w:rPr>
          <w:color w:val="000000"/>
          <w:sz w:val="20"/>
          <w:szCs w:val="20"/>
          <w:lang w:val="en-US" w:eastAsia="en-US"/>
        </w:rPr>
        <w:t xml:space="preserve"> as a result of the complaint filed.</w:t>
      </w:r>
      <w:r w:rsidRPr="009D52FD">
        <w:rPr>
          <w:rFonts w:eastAsiaTheme="minorHAnsi" w:cstheme="minorBidi"/>
          <w:sz w:val="20"/>
          <w:szCs w:val="20"/>
          <w:vertAlign w:val="superscript"/>
          <w:lang w:val="en-US" w:eastAsia="en-US"/>
        </w:rPr>
        <w:footnoteReference w:id="58"/>
      </w:r>
    </w:p>
    <w:p w14:paraId="2D9F3DF1" w14:textId="77777777" w:rsidR="00317299" w:rsidRPr="009D52FD" w:rsidRDefault="00317299" w:rsidP="00317299">
      <w:pPr>
        <w:tabs>
          <w:tab w:val="left" w:pos="567"/>
        </w:tabs>
        <w:spacing w:line="240" w:lineRule="auto"/>
        <w:rPr>
          <w:rFonts w:eastAsiaTheme="minorHAnsi" w:cstheme="minorBidi"/>
          <w:sz w:val="20"/>
          <w:szCs w:val="20"/>
          <w:lang w:val="en-US" w:eastAsia="en-US"/>
        </w:rPr>
      </w:pPr>
    </w:p>
    <w:p w14:paraId="511816F3" w14:textId="191FB48E" w:rsidR="0064633A" w:rsidRPr="009D52FD" w:rsidRDefault="00BB528A" w:rsidP="00BB6E79">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A</w:t>
      </w:r>
      <w:r w:rsidR="0047312A" w:rsidRPr="009D52FD">
        <w:rPr>
          <w:rFonts w:eastAsiaTheme="minorHAnsi" w:cstheme="minorBidi"/>
          <w:sz w:val="20"/>
          <w:szCs w:val="20"/>
          <w:lang w:val="en-US" w:eastAsia="en-US"/>
        </w:rPr>
        <w:t xml:space="preserve">round three months after the disappearance, </w:t>
      </w:r>
      <w:r w:rsidRPr="009D52FD">
        <w:rPr>
          <w:rFonts w:eastAsiaTheme="minorHAnsi" w:cstheme="minorBidi"/>
          <w:sz w:val="20"/>
          <w:szCs w:val="20"/>
          <w:lang w:val="en-US" w:eastAsia="en-US"/>
        </w:rPr>
        <w:t xml:space="preserve">Luis Antonio Carrera Almoina </w:t>
      </w:r>
      <w:r w:rsidR="0047312A" w:rsidRPr="009D52FD">
        <w:rPr>
          <w:rFonts w:eastAsiaTheme="minorHAnsi" w:cstheme="minorBidi"/>
          <w:sz w:val="20"/>
          <w:szCs w:val="20"/>
          <w:lang w:val="en-US" w:eastAsia="en-US"/>
        </w:rPr>
        <w:t xml:space="preserve">called </w:t>
      </w:r>
      <w:r w:rsidRPr="009D52FD">
        <w:rPr>
          <w:rFonts w:eastAsiaTheme="minorHAnsi" w:cstheme="minorBidi"/>
          <w:sz w:val="20"/>
          <w:szCs w:val="20"/>
          <w:lang w:val="en-US" w:eastAsia="en-US"/>
        </w:rPr>
        <w:t>Ana Secilia López Soto</w:t>
      </w:r>
      <w:r w:rsidR="0047312A" w:rsidRPr="009D52FD">
        <w:rPr>
          <w:rFonts w:eastAsiaTheme="minorHAnsi" w:cstheme="minorBidi"/>
          <w:sz w:val="20"/>
          <w:szCs w:val="20"/>
          <w:lang w:val="en-US" w:eastAsia="en-US"/>
        </w:rPr>
        <w:t xml:space="preserve"> and asked her to meet him in </w:t>
      </w:r>
      <w:r w:rsidRPr="009D52FD">
        <w:rPr>
          <w:rFonts w:eastAsiaTheme="minorHAnsi" w:cstheme="minorBidi"/>
          <w:sz w:val="20"/>
          <w:szCs w:val="20"/>
          <w:lang w:val="en-US" w:eastAsia="en-US"/>
        </w:rPr>
        <w:t>Plaza Venezuela,</w:t>
      </w:r>
      <w:r w:rsidR="001A75C1" w:rsidRPr="009D52FD">
        <w:rPr>
          <w:rFonts w:eastAsiaTheme="minorHAnsi" w:cstheme="minorBidi"/>
          <w:sz w:val="20"/>
          <w:szCs w:val="20"/>
          <w:lang w:val="en-US" w:eastAsia="en-US"/>
        </w:rPr>
        <w:t xml:space="preserve"> </w:t>
      </w:r>
      <w:r w:rsidR="0047312A" w:rsidRPr="009D52FD">
        <w:rPr>
          <w:rFonts w:eastAsiaTheme="minorHAnsi" w:cstheme="minorBidi"/>
          <w:sz w:val="20"/>
          <w:szCs w:val="20"/>
          <w:lang w:val="en-US" w:eastAsia="en-US"/>
        </w:rPr>
        <w:t>in</w:t>
      </w:r>
      <w:r w:rsidR="001A75C1" w:rsidRPr="009D52FD">
        <w:rPr>
          <w:rFonts w:eastAsiaTheme="minorHAnsi" w:cstheme="minorBidi"/>
          <w:sz w:val="20"/>
          <w:szCs w:val="20"/>
          <w:lang w:val="en-US" w:eastAsia="en-US"/>
        </w:rPr>
        <w:t xml:space="preserve"> Caracas,</w:t>
      </w:r>
      <w:r w:rsidRPr="009D52FD">
        <w:rPr>
          <w:rFonts w:eastAsiaTheme="minorHAnsi" w:cstheme="minorBidi"/>
          <w:sz w:val="20"/>
          <w:szCs w:val="20"/>
          <w:lang w:val="en-US" w:eastAsia="en-US"/>
        </w:rPr>
        <w:t xml:space="preserve"> </w:t>
      </w:r>
      <w:r w:rsidR="0047312A" w:rsidRPr="009D52FD">
        <w:rPr>
          <w:rFonts w:eastAsiaTheme="minorHAnsi" w:cstheme="minorBidi"/>
          <w:sz w:val="20"/>
          <w:szCs w:val="20"/>
          <w:lang w:val="en-US" w:eastAsia="en-US"/>
        </w:rPr>
        <w:t>telling her that he would be waiting with her sister. She took a taxi to the place and, seeing that he was alone, she left.</w:t>
      </w:r>
      <w:r w:rsidR="00AE0910" w:rsidRPr="009D52FD">
        <w:rPr>
          <w:rStyle w:val="FootnoteReference"/>
          <w:rFonts w:eastAsiaTheme="minorHAnsi" w:cstheme="minorBidi"/>
          <w:sz w:val="20"/>
          <w:szCs w:val="20"/>
          <w:lang w:val="en-US" w:eastAsia="en-US"/>
        </w:rPr>
        <w:footnoteReference w:id="59"/>
      </w:r>
      <w:r w:rsidR="0047312A" w:rsidRPr="009D52FD">
        <w:rPr>
          <w:rFonts w:eastAsiaTheme="minorHAnsi" w:cstheme="minorBidi"/>
          <w:sz w:val="20"/>
          <w:szCs w:val="20"/>
          <w:lang w:val="en-US" w:eastAsia="en-US"/>
        </w:rPr>
        <w:t xml:space="preserve"> Following the rescue, </w:t>
      </w:r>
      <w:r w:rsidRPr="009D52FD">
        <w:rPr>
          <w:rFonts w:eastAsiaTheme="minorHAnsi" w:cstheme="minorBidi"/>
          <w:sz w:val="20"/>
          <w:szCs w:val="20"/>
          <w:lang w:val="en-US" w:eastAsia="en-US"/>
        </w:rPr>
        <w:t xml:space="preserve">Linda Loaiza López Soto </w:t>
      </w:r>
      <w:r w:rsidR="0047312A" w:rsidRPr="009D52FD">
        <w:rPr>
          <w:rFonts w:eastAsiaTheme="minorHAnsi" w:cstheme="minorBidi"/>
          <w:sz w:val="20"/>
          <w:szCs w:val="20"/>
          <w:lang w:val="en-US" w:eastAsia="en-US"/>
        </w:rPr>
        <w:t>told her sister that, that day, the aggressor “had beaten her very hard in reprisal.</w:t>
      </w:r>
      <w:r w:rsidRPr="009D52FD">
        <w:rPr>
          <w:rFonts w:eastAsiaTheme="minorHAnsi" w:cstheme="minorBidi"/>
          <w:sz w:val="20"/>
          <w:szCs w:val="20"/>
          <w:lang w:val="en-US" w:eastAsia="en-US"/>
        </w:rPr>
        <w:t>”</w:t>
      </w:r>
      <w:r w:rsidRPr="009D52FD">
        <w:rPr>
          <w:rFonts w:eastAsiaTheme="minorHAnsi" w:cstheme="minorBidi"/>
          <w:sz w:val="20"/>
          <w:szCs w:val="20"/>
          <w:vertAlign w:val="superscript"/>
          <w:lang w:val="en-US" w:eastAsia="en-US"/>
        </w:rPr>
        <w:footnoteReference w:id="60"/>
      </w:r>
    </w:p>
    <w:p w14:paraId="24353E4C" w14:textId="41C03427" w:rsidR="0064633A" w:rsidRPr="009D52FD" w:rsidRDefault="0064633A" w:rsidP="0064633A">
      <w:pPr>
        <w:tabs>
          <w:tab w:val="left" w:pos="567"/>
        </w:tabs>
        <w:spacing w:line="240" w:lineRule="auto"/>
        <w:rPr>
          <w:rFonts w:eastAsiaTheme="minorHAnsi" w:cstheme="minorBidi"/>
          <w:sz w:val="20"/>
          <w:szCs w:val="20"/>
          <w:lang w:val="en-US" w:eastAsia="en-US"/>
        </w:rPr>
      </w:pPr>
    </w:p>
    <w:p w14:paraId="29A3B12B" w14:textId="57CDD97B" w:rsidR="00BB6E79" w:rsidRPr="009D52FD" w:rsidRDefault="001D422B" w:rsidP="001D422B">
      <w:pPr>
        <w:keepNext/>
        <w:keepLines/>
        <w:tabs>
          <w:tab w:val="left" w:pos="1134"/>
        </w:tabs>
        <w:spacing w:line="240" w:lineRule="auto"/>
        <w:ind w:left="567" w:firstLine="1"/>
        <w:outlineLvl w:val="1"/>
        <w:rPr>
          <w:rFonts w:eastAsia="MS Mincho"/>
          <w:b/>
          <w:bCs/>
          <w:i/>
          <w:sz w:val="20"/>
          <w:szCs w:val="20"/>
          <w:lang w:val="en-US"/>
        </w:rPr>
      </w:pPr>
      <w:bookmarkStart w:id="66" w:name="_Toc51400085"/>
      <w:r w:rsidRPr="009D52FD">
        <w:rPr>
          <w:rFonts w:eastAsia="MS Mincho"/>
          <w:b/>
          <w:bCs/>
          <w:i/>
          <w:sz w:val="20"/>
          <w:szCs w:val="20"/>
          <w:lang w:val="en-US"/>
        </w:rPr>
        <w:t>D</w:t>
      </w:r>
      <w:r w:rsidR="00AA5BA0" w:rsidRPr="009D52FD">
        <w:rPr>
          <w:rFonts w:eastAsia="MS Mincho"/>
          <w:b/>
          <w:bCs/>
          <w:i/>
          <w:sz w:val="20"/>
          <w:szCs w:val="20"/>
          <w:lang w:val="en-US"/>
        </w:rPr>
        <w:t xml:space="preserve">. </w:t>
      </w:r>
      <w:r w:rsidR="00ED6EDF" w:rsidRPr="009D52FD">
        <w:rPr>
          <w:rFonts w:eastAsia="MS Mincho"/>
          <w:b/>
          <w:bCs/>
          <w:i/>
          <w:sz w:val="20"/>
          <w:szCs w:val="20"/>
          <w:lang w:val="en-US"/>
        </w:rPr>
        <w:tab/>
      </w:r>
      <w:r w:rsidR="0047312A" w:rsidRPr="009D52FD">
        <w:rPr>
          <w:rFonts w:eastAsia="MS Mincho"/>
          <w:b/>
          <w:bCs/>
          <w:i/>
          <w:sz w:val="20"/>
          <w:szCs w:val="20"/>
          <w:lang w:val="en-US"/>
        </w:rPr>
        <w:t>Linda Loaiza López Soto’s rescue</w:t>
      </w:r>
      <w:r w:rsidR="00BB528A" w:rsidRPr="009D52FD">
        <w:rPr>
          <w:rFonts w:eastAsia="MS Mincho"/>
          <w:b/>
          <w:bCs/>
          <w:i/>
          <w:sz w:val="20"/>
          <w:szCs w:val="20"/>
          <w:lang w:val="en-US"/>
        </w:rPr>
        <w:t xml:space="preserve">, </w:t>
      </w:r>
      <w:r w:rsidR="0047312A" w:rsidRPr="009D52FD">
        <w:rPr>
          <w:rFonts w:eastAsia="MS Mincho"/>
          <w:b/>
          <w:bCs/>
          <w:i/>
          <w:sz w:val="20"/>
          <w:szCs w:val="20"/>
          <w:lang w:val="en-US"/>
        </w:rPr>
        <w:t>her reunion with her family and the physical and psychological aftereffects</w:t>
      </w:r>
      <w:bookmarkEnd w:id="66"/>
    </w:p>
    <w:p w14:paraId="07D08402" w14:textId="77777777" w:rsidR="001D422B" w:rsidRPr="009D52FD" w:rsidRDefault="001D422B" w:rsidP="001D422B">
      <w:pPr>
        <w:tabs>
          <w:tab w:val="left" w:pos="567"/>
        </w:tabs>
        <w:spacing w:line="240" w:lineRule="auto"/>
        <w:rPr>
          <w:rFonts w:eastAsiaTheme="minorHAnsi" w:cstheme="minorBidi"/>
          <w:sz w:val="20"/>
          <w:szCs w:val="20"/>
          <w:lang w:val="en-US" w:eastAsia="en-US"/>
        </w:rPr>
      </w:pPr>
    </w:p>
    <w:p w14:paraId="6564FBD8" w14:textId="4430C2D0" w:rsidR="00BB528A" w:rsidRPr="009D52FD" w:rsidRDefault="003F7C61" w:rsidP="008B4B6F">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On</w:t>
      </w:r>
      <w:r w:rsidR="00BB528A" w:rsidRPr="009D52FD">
        <w:rPr>
          <w:rFonts w:eastAsiaTheme="minorHAnsi" w:cstheme="minorBidi"/>
          <w:sz w:val="20"/>
          <w:szCs w:val="20"/>
          <w:lang w:val="en-US" w:eastAsia="en-US"/>
        </w:rPr>
        <w:t xml:space="preserve"> </w:t>
      </w:r>
      <w:r w:rsidR="00DB6AF5" w:rsidRPr="009D52FD">
        <w:rPr>
          <w:rFonts w:eastAsiaTheme="minorHAnsi" w:cstheme="minorBidi"/>
          <w:sz w:val="20"/>
          <w:szCs w:val="20"/>
          <w:lang w:val="en-US" w:eastAsia="en-US"/>
        </w:rPr>
        <w:t>July 19,</w:t>
      </w:r>
      <w:r w:rsidR="00BB528A" w:rsidRPr="009D52FD">
        <w:rPr>
          <w:rFonts w:eastAsiaTheme="minorHAnsi" w:cstheme="minorBidi"/>
          <w:sz w:val="20"/>
          <w:szCs w:val="20"/>
          <w:lang w:val="en-US" w:eastAsia="en-US"/>
        </w:rPr>
        <w:t xml:space="preserve"> 2001</w:t>
      </w:r>
      <w:r w:rsidR="008B4B6F" w:rsidRPr="009D52FD">
        <w:rPr>
          <w:rFonts w:eastAsiaTheme="minorHAnsi" w:cstheme="minorBidi"/>
          <w:sz w:val="20"/>
          <w:szCs w:val="20"/>
          <w:lang w:val="en-US" w:eastAsia="en-US"/>
        </w:rPr>
        <w:t>,</w:t>
      </w:r>
      <w:r w:rsidR="00BB528A" w:rsidRPr="009D52FD">
        <w:rPr>
          <w:rFonts w:eastAsiaTheme="minorHAnsi" w:cstheme="minorBidi"/>
          <w:sz w:val="20"/>
          <w:szCs w:val="20"/>
          <w:lang w:val="en-US" w:eastAsia="en-US"/>
        </w:rPr>
        <w:t xml:space="preserve"> Linda Loaiza López Soto </w:t>
      </w:r>
      <w:r w:rsidR="008B4B6F" w:rsidRPr="009D52FD">
        <w:rPr>
          <w:rFonts w:eastAsiaTheme="minorHAnsi" w:cstheme="minorBidi"/>
          <w:sz w:val="20"/>
          <w:szCs w:val="20"/>
          <w:lang w:val="en-US" w:eastAsia="en-US"/>
        </w:rPr>
        <w:t xml:space="preserve">was left alone in the room in the apartment where she was deprived of liberty. According to her statement, </w:t>
      </w:r>
      <w:r w:rsidR="00BB528A" w:rsidRPr="009D52FD">
        <w:rPr>
          <w:rFonts w:eastAsiaTheme="minorHAnsi" w:cstheme="minorBidi"/>
          <w:sz w:val="20"/>
          <w:szCs w:val="20"/>
          <w:lang w:val="en-US" w:eastAsia="en-US"/>
        </w:rPr>
        <w:t>Carrera Almoina not</w:t>
      </w:r>
      <w:r w:rsidR="008B4B6F" w:rsidRPr="009D52FD">
        <w:rPr>
          <w:rFonts w:eastAsiaTheme="minorHAnsi" w:cstheme="minorBidi"/>
          <w:sz w:val="20"/>
          <w:szCs w:val="20"/>
          <w:lang w:val="en-US" w:eastAsia="en-US"/>
        </w:rPr>
        <w:t>ed</w:t>
      </w:r>
      <w:r w:rsidR="00BB528A" w:rsidRPr="009D52FD">
        <w:rPr>
          <w:rFonts w:eastAsiaTheme="minorHAnsi" w:cstheme="minorBidi"/>
          <w:sz w:val="20"/>
          <w:szCs w:val="20"/>
          <w:lang w:val="en-US" w:eastAsia="en-US"/>
        </w:rPr>
        <w:t xml:space="preserve"> </w:t>
      </w:r>
      <w:r w:rsidR="008B4B6F" w:rsidRPr="009D52FD">
        <w:rPr>
          <w:rFonts w:eastAsiaTheme="minorHAnsi" w:cstheme="minorBidi"/>
          <w:sz w:val="20"/>
          <w:szCs w:val="20"/>
          <w:lang w:val="en-US" w:eastAsia="en-US"/>
        </w:rPr>
        <w:t>that she was helpless and</w:t>
      </w:r>
      <w:r w:rsidR="00BC3869" w:rsidRPr="009D52FD">
        <w:rPr>
          <w:rFonts w:eastAsiaTheme="minorHAnsi" w:cstheme="minorBidi"/>
          <w:sz w:val="20"/>
          <w:szCs w:val="20"/>
          <w:lang w:val="en-US" w:eastAsia="en-US"/>
        </w:rPr>
        <w:t>,</w:t>
      </w:r>
      <w:r w:rsidR="008B4B6F" w:rsidRPr="009D52FD">
        <w:rPr>
          <w:rFonts w:eastAsiaTheme="minorHAnsi" w:cstheme="minorBidi"/>
          <w:sz w:val="20"/>
          <w:szCs w:val="20"/>
          <w:lang w:val="en-US" w:eastAsia="en-US"/>
        </w:rPr>
        <w:t xml:space="preserve"> therefore</w:t>
      </w:r>
      <w:r w:rsidR="00BC3869" w:rsidRPr="009D52FD">
        <w:rPr>
          <w:rFonts w:eastAsiaTheme="minorHAnsi" w:cstheme="minorBidi"/>
          <w:sz w:val="20"/>
          <w:szCs w:val="20"/>
          <w:lang w:val="en-US" w:eastAsia="en-US"/>
        </w:rPr>
        <w:t>,</w:t>
      </w:r>
      <w:r w:rsidR="008B4B6F" w:rsidRPr="009D52FD">
        <w:rPr>
          <w:rFonts w:eastAsiaTheme="minorHAnsi" w:cstheme="minorBidi"/>
          <w:sz w:val="20"/>
          <w:szCs w:val="20"/>
          <w:lang w:val="en-US" w:eastAsia="en-US"/>
        </w:rPr>
        <w:t xml:space="preserve"> did not tie her up or handcuff her </w:t>
      </w:r>
      <w:r w:rsidR="00BC3869" w:rsidRPr="009D52FD">
        <w:rPr>
          <w:rFonts w:eastAsiaTheme="minorHAnsi" w:cstheme="minorBidi"/>
          <w:sz w:val="20"/>
          <w:szCs w:val="20"/>
          <w:lang w:val="en-US" w:eastAsia="en-US"/>
        </w:rPr>
        <w:t xml:space="preserve">that time </w:t>
      </w:r>
      <w:r w:rsidR="008B4B6F" w:rsidRPr="009D52FD">
        <w:rPr>
          <w:rFonts w:eastAsiaTheme="minorHAnsi" w:cstheme="minorBidi"/>
          <w:sz w:val="20"/>
          <w:szCs w:val="20"/>
          <w:lang w:val="en-US" w:eastAsia="en-US"/>
        </w:rPr>
        <w:t>before going out.</w:t>
      </w:r>
      <w:r w:rsidR="0057717B" w:rsidRPr="009D52FD">
        <w:rPr>
          <w:rStyle w:val="FootnoteReference"/>
          <w:rFonts w:eastAsiaTheme="minorHAnsi" w:cstheme="minorBidi"/>
          <w:sz w:val="20"/>
          <w:szCs w:val="20"/>
          <w:lang w:val="en-US" w:eastAsia="en-US"/>
        </w:rPr>
        <w:footnoteReference w:id="61"/>
      </w:r>
      <w:r w:rsidR="008B4B6F" w:rsidRPr="009D52FD">
        <w:rPr>
          <w:rFonts w:eastAsiaTheme="minorHAnsi" w:cstheme="minorBidi"/>
          <w:sz w:val="20"/>
          <w:szCs w:val="20"/>
          <w:lang w:val="en-US" w:eastAsia="en-US"/>
        </w:rPr>
        <w:t xml:space="preserve"> She was naked, so she “grabbed a sheet, and dragged [herself] to a window and looked out; [she] could not see very well, [she] did not know if they were children; [she] opened th</w:t>
      </w:r>
      <w:r w:rsidR="00BC3869" w:rsidRPr="009D52FD">
        <w:rPr>
          <w:rFonts w:eastAsiaTheme="minorHAnsi" w:cstheme="minorBidi"/>
          <w:sz w:val="20"/>
          <w:szCs w:val="20"/>
          <w:lang w:val="en-US" w:eastAsia="en-US"/>
        </w:rPr>
        <w:t>e</w:t>
      </w:r>
      <w:r w:rsidR="008B4B6F" w:rsidRPr="009D52FD">
        <w:rPr>
          <w:rFonts w:eastAsiaTheme="minorHAnsi" w:cstheme="minorBidi"/>
          <w:sz w:val="20"/>
          <w:szCs w:val="20"/>
          <w:lang w:val="en-US" w:eastAsia="en-US"/>
        </w:rPr>
        <w:t xml:space="preserve"> window and called for help and to be rescued; the fire department arrived with a</w:t>
      </w:r>
      <w:r w:rsidR="0066697A" w:rsidRPr="009D52FD">
        <w:rPr>
          <w:rFonts w:eastAsiaTheme="minorHAnsi" w:cstheme="minorBidi"/>
          <w:sz w:val="20"/>
          <w:szCs w:val="20"/>
          <w:lang w:val="en-US" w:eastAsia="en-US"/>
        </w:rPr>
        <w:t xml:space="preserve"> rope</w:t>
      </w:r>
      <w:r w:rsidR="008B4B6F" w:rsidRPr="009D52FD">
        <w:rPr>
          <w:rFonts w:eastAsiaTheme="minorHAnsi" w:cstheme="minorBidi"/>
          <w:sz w:val="20"/>
          <w:szCs w:val="20"/>
          <w:lang w:val="en-US" w:eastAsia="en-US"/>
        </w:rPr>
        <w:t>; they entered the apartment; they began to take photographs; [she] told them the name of the person who was holding [her] there; they sat [her] down on a chair; [she] asked them to get [her] out of there, that [she] wanted to see [her] father, [her] family.</w:t>
      </w:r>
      <w:r w:rsidR="00BB528A" w:rsidRPr="009D52FD">
        <w:rPr>
          <w:rFonts w:eastAsiaTheme="minorHAnsi" w:cstheme="minorBidi"/>
          <w:sz w:val="20"/>
          <w:szCs w:val="20"/>
          <w:lang w:val="en-US" w:eastAsia="en-US"/>
        </w:rPr>
        <w:t>”</w:t>
      </w:r>
      <w:r w:rsidR="00BB528A" w:rsidRPr="009D52FD">
        <w:rPr>
          <w:rFonts w:eastAsiaTheme="minorHAnsi" w:cstheme="minorBidi"/>
          <w:sz w:val="20"/>
          <w:szCs w:val="20"/>
          <w:vertAlign w:val="superscript"/>
          <w:lang w:val="en-US" w:eastAsia="en-US"/>
        </w:rPr>
        <w:footnoteReference w:id="62"/>
      </w:r>
    </w:p>
    <w:p w14:paraId="6E1E735E" w14:textId="77777777" w:rsidR="00BB528A" w:rsidRPr="009D52FD" w:rsidRDefault="00BB528A" w:rsidP="00BB528A">
      <w:pPr>
        <w:widowControl/>
        <w:adjustRightInd/>
        <w:spacing w:line="240" w:lineRule="auto"/>
        <w:textAlignment w:val="auto"/>
        <w:rPr>
          <w:rFonts w:eastAsiaTheme="minorHAnsi" w:cstheme="minorBidi"/>
          <w:sz w:val="20"/>
          <w:szCs w:val="20"/>
          <w:lang w:val="en-US" w:eastAsia="en-US"/>
        </w:rPr>
      </w:pPr>
    </w:p>
    <w:p w14:paraId="213CDE8D" w14:textId="49461663" w:rsidR="00BB528A" w:rsidRPr="009D52FD" w:rsidRDefault="008B4B6F" w:rsidP="009F0C29">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 xml:space="preserve">That day, at around 7 p.m., the Chacao Municipal Police received a call asking them to come to Residencias 27, in Sojo Avenue, “because the cries </w:t>
      </w:r>
      <w:r w:rsidR="009F0C29" w:rsidRPr="009D52FD">
        <w:rPr>
          <w:rFonts w:eastAsiaTheme="minorHAnsi" w:cstheme="minorBidi"/>
          <w:sz w:val="20"/>
          <w:szCs w:val="20"/>
          <w:lang w:val="en-US" w:eastAsia="en-US"/>
        </w:rPr>
        <w:t xml:space="preserve">could be heard </w:t>
      </w:r>
      <w:r w:rsidRPr="009D52FD">
        <w:rPr>
          <w:rFonts w:eastAsiaTheme="minorHAnsi" w:cstheme="minorBidi"/>
          <w:sz w:val="20"/>
          <w:szCs w:val="20"/>
          <w:lang w:val="en-US" w:eastAsia="en-US"/>
        </w:rPr>
        <w:t xml:space="preserve">of someone </w:t>
      </w:r>
      <w:r w:rsidR="009F0C29" w:rsidRPr="009D52FD">
        <w:rPr>
          <w:rFonts w:eastAsiaTheme="minorHAnsi" w:cstheme="minorBidi"/>
          <w:sz w:val="20"/>
          <w:szCs w:val="20"/>
          <w:lang w:val="en-US" w:eastAsia="en-US"/>
        </w:rPr>
        <w:t>calling</w:t>
      </w:r>
      <w:r w:rsidRPr="009D52FD">
        <w:rPr>
          <w:rFonts w:eastAsiaTheme="minorHAnsi" w:cstheme="minorBidi"/>
          <w:sz w:val="20"/>
          <w:szCs w:val="20"/>
          <w:lang w:val="en-US" w:eastAsia="en-US"/>
        </w:rPr>
        <w:t xml:space="preserve"> for help from </w:t>
      </w:r>
      <w:r w:rsidR="009F0C29" w:rsidRPr="009D52FD">
        <w:rPr>
          <w:rFonts w:eastAsiaTheme="minorHAnsi" w:cstheme="minorBidi"/>
          <w:sz w:val="20"/>
          <w:szCs w:val="20"/>
          <w:lang w:val="en-US" w:eastAsia="en-US"/>
        </w:rPr>
        <w:t>the second floor, apartment 2-A.” Two officers who were on patrol in the El Rosal district of Caracas went to the p</w:t>
      </w:r>
      <w:r w:rsidR="0066697A" w:rsidRPr="009D52FD">
        <w:rPr>
          <w:rFonts w:eastAsiaTheme="minorHAnsi" w:cstheme="minorBidi"/>
          <w:sz w:val="20"/>
          <w:szCs w:val="20"/>
          <w:lang w:val="en-US" w:eastAsia="en-US"/>
        </w:rPr>
        <w:t>l</w:t>
      </w:r>
      <w:r w:rsidR="009F0C29" w:rsidRPr="009D52FD">
        <w:rPr>
          <w:rFonts w:eastAsiaTheme="minorHAnsi" w:cstheme="minorBidi"/>
          <w:sz w:val="20"/>
          <w:szCs w:val="20"/>
          <w:lang w:val="en-US" w:eastAsia="en-US"/>
        </w:rPr>
        <w:t xml:space="preserve">ace, where they observed </w:t>
      </w:r>
      <w:r w:rsidR="00BB528A" w:rsidRPr="009D52FD">
        <w:rPr>
          <w:rFonts w:eastAsiaTheme="minorHAnsi" w:cstheme="minorBidi"/>
          <w:sz w:val="20"/>
          <w:szCs w:val="20"/>
          <w:lang w:val="en-US" w:eastAsia="en-US"/>
        </w:rPr>
        <w:t xml:space="preserve">Linda Loaiza López Soto </w:t>
      </w:r>
      <w:r w:rsidR="009F0C29" w:rsidRPr="009D52FD">
        <w:rPr>
          <w:rFonts w:eastAsiaTheme="minorHAnsi" w:cstheme="minorBidi"/>
          <w:sz w:val="20"/>
          <w:szCs w:val="20"/>
          <w:lang w:val="en-US" w:eastAsia="en-US"/>
        </w:rPr>
        <w:t>on the balcony of the apartment; they “could see that she had bruises on her face and seemed intent on throwing herself off the balcony.</w:t>
      </w:r>
      <w:r w:rsidR="00BB528A" w:rsidRPr="009D52FD">
        <w:rPr>
          <w:rFonts w:eastAsiaTheme="minorHAnsi" w:cstheme="minorBidi"/>
          <w:sz w:val="20"/>
          <w:szCs w:val="20"/>
          <w:lang w:val="en-US" w:eastAsia="en-US"/>
        </w:rPr>
        <w:t>”</w:t>
      </w:r>
      <w:r w:rsidR="00BB528A" w:rsidRPr="009D52FD">
        <w:rPr>
          <w:rFonts w:eastAsiaTheme="minorHAnsi" w:cstheme="minorBidi"/>
          <w:sz w:val="20"/>
          <w:szCs w:val="20"/>
          <w:vertAlign w:val="superscript"/>
          <w:lang w:val="en-US" w:eastAsia="en-US"/>
        </w:rPr>
        <w:footnoteReference w:id="63"/>
      </w:r>
      <w:r w:rsidR="009F0C29" w:rsidRPr="009D52FD">
        <w:rPr>
          <w:rFonts w:eastAsiaTheme="minorHAnsi" w:cstheme="minorBidi"/>
          <w:sz w:val="20"/>
          <w:szCs w:val="20"/>
          <w:lang w:val="en-US" w:eastAsia="en-US"/>
        </w:rPr>
        <w:t xml:space="preserve"> One of the officers stated that the apartment was locked; consequently, “owing to the desperation of that person it was decided to go up” to the balcony where the victim was. He noted that Linda Loaiza López Soto “was rather dehydrated </w:t>
      </w:r>
      <w:r w:rsidR="00803A3E" w:rsidRPr="009D52FD">
        <w:rPr>
          <w:rFonts w:eastAsiaTheme="minorHAnsi" w:cstheme="minorBidi"/>
          <w:sz w:val="20"/>
          <w:szCs w:val="20"/>
          <w:lang w:val="en-US" w:eastAsia="en-US"/>
        </w:rPr>
        <w:t>[…]</w:t>
      </w:r>
      <w:r w:rsidR="009F0C29" w:rsidRPr="009D52FD">
        <w:rPr>
          <w:rFonts w:eastAsiaTheme="minorHAnsi" w:cstheme="minorBidi"/>
          <w:sz w:val="20"/>
          <w:szCs w:val="20"/>
          <w:lang w:val="en-US" w:eastAsia="en-US"/>
        </w:rPr>
        <w:t xml:space="preserve">, terrified </w:t>
      </w:r>
      <w:r w:rsidR="00803A3E" w:rsidRPr="009D52FD">
        <w:rPr>
          <w:rFonts w:eastAsiaTheme="minorHAnsi" w:cstheme="minorBidi"/>
          <w:sz w:val="20"/>
          <w:szCs w:val="20"/>
          <w:lang w:val="en-US" w:eastAsia="en-US"/>
        </w:rPr>
        <w:t>[…]</w:t>
      </w:r>
      <w:r w:rsidR="009F0C29" w:rsidRPr="009D52FD">
        <w:rPr>
          <w:rFonts w:eastAsiaTheme="minorHAnsi" w:cstheme="minorBidi"/>
          <w:sz w:val="20"/>
          <w:szCs w:val="20"/>
          <w:lang w:val="en-US" w:eastAsia="en-US"/>
        </w:rPr>
        <w:t xml:space="preserve">; what caught [his] attention was her lips, because it was if they had been torn off.” During </w:t>
      </w:r>
      <w:r w:rsidR="003A0220" w:rsidRPr="009D52FD">
        <w:rPr>
          <w:rFonts w:eastAsiaTheme="minorHAnsi" w:cstheme="minorBidi"/>
          <w:sz w:val="20"/>
          <w:szCs w:val="20"/>
          <w:lang w:val="en-US" w:eastAsia="en-US"/>
        </w:rPr>
        <w:t>the domestic criminal proceedings</w:t>
      </w:r>
      <w:r w:rsidR="00BB528A" w:rsidRPr="009D52FD">
        <w:rPr>
          <w:rFonts w:eastAsiaTheme="minorHAnsi" w:cstheme="minorBidi"/>
          <w:sz w:val="20"/>
          <w:szCs w:val="20"/>
          <w:lang w:val="en-US" w:eastAsia="en-US"/>
        </w:rPr>
        <w:t xml:space="preserve">, </w:t>
      </w:r>
      <w:r w:rsidR="009F0C29" w:rsidRPr="009D52FD">
        <w:rPr>
          <w:rFonts w:eastAsiaTheme="minorHAnsi" w:cstheme="minorBidi"/>
          <w:sz w:val="20"/>
          <w:szCs w:val="20"/>
          <w:lang w:val="en-US" w:eastAsia="en-US"/>
        </w:rPr>
        <w:t>the police officer considered that, taking into account the condition she was in, “if that person had been there one more day, she would not have come out alive.</w:t>
      </w:r>
      <w:r w:rsidR="00BB528A" w:rsidRPr="009D52FD">
        <w:rPr>
          <w:rFonts w:eastAsiaTheme="minorHAnsi" w:cstheme="minorBidi"/>
          <w:sz w:val="20"/>
          <w:szCs w:val="20"/>
          <w:lang w:val="en-US" w:eastAsia="en-US"/>
        </w:rPr>
        <w:t>”</w:t>
      </w:r>
      <w:r w:rsidR="00BB528A" w:rsidRPr="009D52FD">
        <w:rPr>
          <w:rFonts w:eastAsiaTheme="minorHAnsi" w:cstheme="minorBidi"/>
          <w:sz w:val="20"/>
          <w:szCs w:val="20"/>
          <w:vertAlign w:val="superscript"/>
          <w:lang w:val="en-US" w:eastAsia="en-US"/>
        </w:rPr>
        <w:footnoteReference w:id="64"/>
      </w:r>
    </w:p>
    <w:p w14:paraId="37329560" w14:textId="77777777" w:rsidR="00BB528A" w:rsidRPr="009D52FD" w:rsidRDefault="00BB528A" w:rsidP="00BB528A">
      <w:pPr>
        <w:widowControl/>
        <w:adjustRightInd/>
        <w:spacing w:line="240" w:lineRule="auto"/>
        <w:textAlignment w:val="auto"/>
        <w:rPr>
          <w:rFonts w:eastAsiaTheme="minorHAnsi" w:cstheme="minorBidi"/>
          <w:sz w:val="20"/>
          <w:szCs w:val="20"/>
          <w:lang w:val="en-US" w:eastAsia="en-US"/>
        </w:rPr>
      </w:pPr>
    </w:p>
    <w:p w14:paraId="2A9948A9" w14:textId="5A53B33E" w:rsidR="00BB528A" w:rsidRPr="009D52FD" w:rsidRDefault="009F0C29" w:rsidP="009F0C29">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Subsequently, four officials from the Eastern Fire Department arrived and rappelled down to the apartment</w:t>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Later, the owner of the building arrived</w:t>
      </w:r>
      <w:r w:rsidR="0066697A" w:rsidRPr="009D52FD">
        <w:rPr>
          <w:rFonts w:eastAsiaTheme="minorHAnsi" w:cstheme="minorBidi"/>
          <w:sz w:val="20"/>
          <w:szCs w:val="20"/>
          <w:lang w:val="en-US" w:eastAsia="en-US"/>
        </w:rPr>
        <w:t xml:space="preserve"> and</w:t>
      </w:r>
      <w:r w:rsidRPr="009D52FD">
        <w:rPr>
          <w:rFonts w:eastAsiaTheme="minorHAnsi" w:cstheme="minorBidi"/>
          <w:sz w:val="20"/>
          <w:szCs w:val="20"/>
          <w:lang w:val="en-US" w:eastAsia="en-US"/>
        </w:rPr>
        <w:t xml:space="preserve"> </w:t>
      </w:r>
      <w:r w:rsidR="000C6475" w:rsidRPr="009D52FD">
        <w:rPr>
          <w:rFonts w:eastAsiaTheme="minorHAnsi" w:cstheme="minorBidi"/>
          <w:sz w:val="20"/>
          <w:szCs w:val="20"/>
          <w:lang w:val="en-US" w:eastAsia="en-US"/>
        </w:rPr>
        <w:t>unlocked the door</w:t>
      </w:r>
      <w:r w:rsidR="0066697A" w:rsidRPr="009D52FD">
        <w:rPr>
          <w:rFonts w:eastAsiaTheme="minorHAnsi" w:cstheme="minorBidi"/>
          <w:sz w:val="20"/>
          <w:szCs w:val="20"/>
          <w:lang w:val="en-US" w:eastAsia="en-US"/>
        </w:rPr>
        <w:t>;</w:t>
      </w:r>
      <w:r w:rsidR="000C6475" w:rsidRPr="009D52FD">
        <w:rPr>
          <w:rFonts w:eastAsiaTheme="minorHAnsi" w:cstheme="minorBidi"/>
          <w:sz w:val="20"/>
          <w:szCs w:val="20"/>
          <w:lang w:val="en-US" w:eastAsia="en-US"/>
        </w:rPr>
        <w:t xml:space="preserve"> also Prosecutor No. 33 of the Public Prosecution Service</w:t>
      </w:r>
      <w:r w:rsidR="00BB528A" w:rsidRPr="009D52FD">
        <w:rPr>
          <w:rFonts w:eastAsiaTheme="minorHAnsi" w:cstheme="minorBidi"/>
          <w:sz w:val="20"/>
          <w:szCs w:val="20"/>
          <w:lang w:val="en-US" w:eastAsia="en-US"/>
        </w:rPr>
        <w:t>, perso</w:t>
      </w:r>
      <w:r w:rsidR="000C6475" w:rsidRPr="009D52FD">
        <w:rPr>
          <w:rFonts w:eastAsiaTheme="minorHAnsi" w:cstheme="minorBidi"/>
          <w:sz w:val="20"/>
          <w:szCs w:val="20"/>
          <w:lang w:val="en-US" w:eastAsia="en-US"/>
        </w:rPr>
        <w:t>nne</w:t>
      </w:r>
      <w:r w:rsidR="00BB528A" w:rsidRPr="009D52FD">
        <w:rPr>
          <w:rFonts w:eastAsiaTheme="minorHAnsi" w:cstheme="minorBidi"/>
          <w:sz w:val="20"/>
          <w:szCs w:val="20"/>
          <w:lang w:val="en-US" w:eastAsia="en-US"/>
        </w:rPr>
        <w:t>l</w:t>
      </w:r>
      <w:r w:rsidR="000C6475" w:rsidRPr="009D52FD">
        <w:rPr>
          <w:rFonts w:eastAsiaTheme="minorHAnsi" w:cstheme="minorBidi"/>
          <w:sz w:val="20"/>
          <w:szCs w:val="20"/>
          <w:lang w:val="en-US" w:eastAsia="en-US"/>
        </w:rPr>
        <w:t xml:space="preserve"> of the Judicial Technical Police</w:t>
      </w:r>
      <w:r w:rsidR="00BB528A" w:rsidRPr="009D52FD">
        <w:rPr>
          <w:rFonts w:eastAsiaTheme="minorHAnsi" w:cstheme="minorBidi"/>
          <w:sz w:val="20"/>
          <w:szCs w:val="20"/>
          <w:lang w:val="en-US" w:eastAsia="en-US"/>
        </w:rPr>
        <w:t xml:space="preserve"> </w:t>
      </w:r>
      <w:r w:rsidR="000C6475" w:rsidRPr="009D52FD">
        <w:rPr>
          <w:rFonts w:eastAsiaTheme="minorHAnsi" w:cstheme="minorBidi"/>
          <w:sz w:val="20"/>
          <w:szCs w:val="20"/>
          <w:lang w:val="en-US" w:eastAsia="en-US"/>
        </w:rPr>
        <w:t>of the Chacao Police Station</w:t>
      </w:r>
      <w:r w:rsidR="00BB528A" w:rsidRPr="009D52FD">
        <w:rPr>
          <w:rFonts w:eastAsiaTheme="minorHAnsi" w:cstheme="minorBidi"/>
          <w:sz w:val="20"/>
          <w:szCs w:val="20"/>
          <w:lang w:val="en-US" w:eastAsia="en-US"/>
        </w:rPr>
        <w:t>,</w:t>
      </w:r>
      <w:r w:rsidR="003630BB" w:rsidRPr="009D52FD">
        <w:rPr>
          <w:rFonts w:eastAsiaTheme="minorHAnsi" w:cstheme="minorBidi"/>
          <w:sz w:val="20"/>
          <w:szCs w:val="20"/>
          <w:lang w:val="en-US" w:eastAsia="en-US"/>
        </w:rPr>
        <w:t xml:space="preserve"> and </w:t>
      </w:r>
      <w:r w:rsidR="000C6475" w:rsidRPr="009D52FD">
        <w:rPr>
          <w:rFonts w:eastAsiaTheme="minorHAnsi" w:cstheme="minorBidi"/>
          <w:sz w:val="20"/>
          <w:szCs w:val="20"/>
          <w:lang w:val="en-US" w:eastAsia="en-US"/>
        </w:rPr>
        <w:t>a group of representatives of the</w:t>
      </w:r>
      <w:r w:rsidR="00BB528A" w:rsidRPr="009D52FD">
        <w:rPr>
          <w:rFonts w:eastAsiaTheme="minorHAnsi" w:cstheme="minorBidi"/>
          <w:sz w:val="20"/>
          <w:szCs w:val="20"/>
          <w:lang w:val="en-US" w:eastAsia="en-US"/>
        </w:rPr>
        <w:t xml:space="preserve"> </w:t>
      </w:r>
      <w:r w:rsidR="000C6475" w:rsidRPr="009D52FD">
        <w:rPr>
          <w:rFonts w:eastAsiaTheme="minorHAnsi" w:cstheme="minorBidi"/>
          <w:sz w:val="20"/>
          <w:szCs w:val="20"/>
          <w:lang w:val="en-US" w:eastAsia="en-US"/>
        </w:rPr>
        <w:t xml:space="preserve">Municipal Cooperation and Health Care </w:t>
      </w:r>
      <w:r w:rsidR="00BB528A" w:rsidRPr="009D52FD">
        <w:rPr>
          <w:rFonts w:eastAsiaTheme="minorHAnsi" w:cstheme="minorBidi"/>
          <w:sz w:val="20"/>
          <w:szCs w:val="20"/>
          <w:lang w:val="en-US" w:eastAsia="en-US"/>
        </w:rPr>
        <w:t>Institut</w:t>
      </w:r>
      <w:r w:rsidR="000C6475" w:rsidRPr="009D52FD">
        <w:rPr>
          <w:rFonts w:eastAsiaTheme="minorHAnsi" w:cstheme="minorBidi"/>
          <w:sz w:val="20"/>
          <w:szCs w:val="20"/>
          <w:lang w:val="en-US" w:eastAsia="en-US"/>
        </w:rPr>
        <w:t>e</w:t>
      </w:r>
      <w:r w:rsidR="00BB528A" w:rsidRPr="009D52FD">
        <w:rPr>
          <w:rFonts w:eastAsiaTheme="minorHAnsi" w:cstheme="minorBidi"/>
          <w:sz w:val="20"/>
          <w:szCs w:val="20"/>
          <w:lang w:val="en-US" w:eastAsia="en-US"/>
        </w:rPr>
        <w:t xml:space="preserve"> (IMCAS). </w:t>
      </w:r>
      <w:r w:rsidR="000C6475" w:rsidRPr="009D52FD">
        <w:rPr>
          <w:rFonts w:eastAsiaTheme="minorHAnsi" w:cstheme="minorBidi"/>
          <w:sz w:val="20"/>
          <w:szCs w:val="20"/>
          <w:lang w:val="en-US" w:eastAsia="en-US"/>
        </w:rPr>
        <w:t xml:space="preserve">The latter was headed by a doctor who treated </w:t>
      </w:r>
      <w:r w:rsidR="00BB528A" w:rsidRPr="009D52FD">
        <w:rPr>
          <w:rFonts w:eastAsiaTheme="minorHAnsi" w:cstheme="minorBidi"/>
          <w:sz w:val="20"/>
          <w:szCs w:val="20"/>
          <w:lang w:val="en-US" w:eastAsia="en-US"/>
        </w:rPr>
        <w:t>Linda Loaiza López Soto</w:t>
      </w:r>
      <w:r w:rsidR="000C6475" w:rsidRPr="009D52FD">
        <w:rPr>
          <w:rFonts w:eastAsiaTheme="minorHAnsi" w:cstheme="minorBidi"/>
          <w:sz w:val="20"/>
          <w:szCs w:val="20"/>
          <w:lang w:val="en-US" w:eastAsia="en-US"/>
        </w:rPr>
        <w:t xml:space="preserve"> in the apartment and organized her transfer by ambulance to the Caracas University Hospital.</w:t>
      </w:r>
      <w:r w:rsidR="00BB528A" w:rsidRPr="009D52FD">
        <w:rPr>
          <w:rFonts w:eastAsiaTheme="minorHAnsi" w:cstheme="minorBidi"/>
          <w:sz w:val="20"/>
          <w:szCs w:val="20"/>
          <w:vertAlign w:val="superscript"/>
          <w:lang w:val="en-US" w:eastAsia="en-US"/>
        </w:rPr>
        <w:footnoteReference w:id="65"/>
      </w:r>
      <w:r w:rsidR="000C6475" w:rsidRPr="009D52FD">
        <w:rPr>
          <w:rFonts w:eastAsiaTheme="minorHAnsi" w:cstheme="minorBidi"/>
          <w:sz w:val="20"/>
          <w:szCs w:val="20"/>
          <w:lang w:val="en-US" w:eastAsia="en-US"/>
        </w:rPr>
        <w:t xml:space="preserve"> When she was rescued she weighed</w:t>
      </w:r>
      <w:r w:rsidR="007B005D" w:rsidRPr="009D52FD">
        <w:rPr>
          <w:rFonts w:eastAsiaTheme="minorHAnsi" w:cstheme="minorBidi"/>
          <w:sz w:val="20"/>
          <w:szCs w:val="20"/>
          <w:lang w:val="en-US" w:eastAsia="en-US"/>
        </w:rPr>
        <w:t xml:space="preserve"> 32 kg</w:t>
      </w:r>
      <w:r w:rsidR="000C6475" w:rsidRPr="009D52FD">
        <w:rPr>
          <w:rFonts w:eastAsiaTheme="minorHAnsi" w:cstheme="minorBidi"/>
          <w:sz w:val="20"/>
          <w:szCs w:val="20"/>
          <w:lang w:val="en-US" w:eastAsia="en-US"/>
        </w:rPr>
        <w:t>.</w:t>
      </w:r>
      <w:r w:rsidR="007B005D" w:rsidRPr="009D52FD">
        <w:rPr>
          <w:rFonts w:eastAsiaTheme="minorHAnsi" w:cstheme="minorBidi"/>
          <w:sz w:val="20"/>
          <w:szCs w:val="20"/>
          <w:vertAlign w:val="superscript"/>
          <w:lang w:val="en-US" w:eastAsia="en-US"/>
        </w:rPr>
        <w:footnoteReference w:id="66"/>
      </w:r>
    </w:p>
    <w:p w14:paraId="55854B7E" w14:textId="14A6C3B0" w:rsidR="00BB528A" w:rsidRPr="009D52FD" w:rsidRDefault="00BB528A" w:rsidP="00BB528A">
      <w:pPr>
        <w:widowControl/>
        <w:adjustRightInd/>
        <w:spacing w:line="240" w:lineRule="auto"/>
        <w:textAlignment w:val="auto"/>
        <w:rPr>
          <w:rFonts w:eastAsiaTheme="minorHAnsi" w:cstheme="minorBidi"/>
          <w:sz w:val="20"/>
          <w:szCs w:val="20"/>
          <w:lang w:val="en-US" w:eastAsia="en-US"/>
        </w:rPr>
      </w:pPr>
    </w:p>
    <w:p w14:paraId="75AE0147" w14:textId="2E2C8123" w:rsidR="00BB528A" w:rsidRPr="009D52FD" w:rsidRDefault="00BB528A" w:rsidP="00DA768D">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 xml:space="preserve">Linda Loaiza López Soto </w:t>
      </w:r>
      <w:r w:rsidR="000C6475" w:rsidRPr="009D52FD">
        <w:rPr>
          <w:rFonts w:eastAsiaTheme="minorHAnsi" w:cstheme="minorBidi"/>
          <w:sz w:val="20"/>
          <w:szCs w:val="20"/>
          <w:lang w:val="en-US" w:eastAsia="en-US"/>
        </w:rPr>
        <w:t>was admitted to the emergency department of the</w:t>
      </w:r>
      <w:r w:rsidRPr="009D52FD">
        <w:rPr>
          <w:rFonts w:eastAsiaTheme="minorHAnsi" w:cstheme="minorBidi"/>
          <w:sz w:val="20"/>
          <w:szCs w:val="20"/>
          <w:lang w:val="en-US" w:eastAsia="en-US"/>
        </w:rPr>
        <w:t xml:space="preserve"> </w:t>
      </w:r>
      <w:r w:rsidR="000C6475" w:rsidRPr="009D52FD">
        <w:rPr>
          <w:rFonts w:eastAsiaTheme="minorHAnsi" w:cstheme="minorBidi"/>
          <w:sz w:val="20"/>
          <w:szCs w:val="20"/>
          <w:lang w:val="en-US" w:eastAsia="en-US"/>
        </w:rPr>
        <w:t>Caracas University Hospital</w:t>
      </w:r>
      <w:r w:rsidRPr="009D52FD">
        <w:rPr>
          <w:rFonts w:eastAsiaTheme="minorHAnsi" w:cstheme="minorBidi"/>
          <w:sz w:val="20"/>
          <w:szCs w:val="20"/>
          <w:lang w:val="en-US" w:eastAsia="en-US"/>
        </w:rPr>
        <w:t xml:space="preserve">, </w:t>
      </w:r>
      <w:r w:rsidR="000C6475" w:rsidRPr="009D52FD">
        <w:rPr>
          <w:rFonts w:eastAsiaTheme="minorHAnsi" w:cstheme="minorBidi"/>
          <w:sz w:val="20"/>
          <w:szCs w:val="20"/>
          <w:lang w:val="en-US" w:eastAsia="en-US"/>
        </w:rPr>
        <w:t>where the presence of numerous contusions and injuries on different parts of her body were recorded.</w:t>
      </w:r>
      <w:r w:rsidRPr="009D52FD">
        <w:rPr>
          <w:rFonts w:eastAsiaTheme="minorHAnsi" w:cstheme="minorBidi"/>
          <w:sz w:val="20"/>
          <w:szCs w:val="20"/>
          <w:vertAlign w:val="superscript"/>
          <w:lang w:val="en-US" w:eastAsia="en-US"/>
        </w:rPr>
        <w:footnoteReference w:id="67"/>
      </w:r>
      <w:r w:rsidR="000C6475" w:rsidRPr="009D52FD">
        <w:rPr>
          <w:rFonts w:eastAsiaTheme="minorHAnsi" w:cstheme="minorBidi"/>
          <w:sz w:val="20"/>
          <w:szCs w:val="20"/>
          <w:lang w:val="en-US" w:eastAsia="en-US"/>
        </w:rPr>
        <w:t xml:space="preserve"> The forensic medical examination determined that she</w:t>
      </w:r>
      <w:r w:rsidRPr="009D52FD">
        <w:rPr>
          <w:rFonts w:eastAsiaTheme="minorHAnsi" w:cstheme="minorBidi"/>
          <w:sz w:val="20"/>
          <w:szCs w:val="20"/>
          <w:lang w:val="en-US" w:eastAsia="en-US"/>
        </w:rPr>
        <w:t xml:space="preserve"> </w:t>
      </w:r>
      <w:r w:rsidR="000C6475" w:rsidRPr="009D52FD">
        <w:rPr>
          <w:rFonts w:eastAsiaTheme="minorHAnsi" w:cstheme="minorBidi"/>
          <w:sz w:val="20"/>
          <w:szCs w:val="20"/>
          <w:lang w:val="en-US" w:eastAsia="en-US"/>
        </w:rPr>
        <w:t>had</w:t>
      </w:r>
      <w:r w:rsidRPr="009D52FD">
        <w:rPr>
          <w:rFonts w:eastAsiaTheme="minorHAnsi" w:cstheme="minorBidi"/>
          <w:sz w:val="20"/>
          <w:szCs w:val="20"/>
          <w:lang w:val="en-US" w:eastAsia="en-US"/>
        </w:rPr>
        <w:t xml:space="preserve"> “</w:t>
      </w:r>
      <w:r w:rsidR="000C6475" w:rsidRPr="009D52FD">
        <w:rPr>
          <w:rFonts w:eastAsiaTheme="minorHAnsi" w:cstheme="minorBidi"/>
          <w:sz w:val="20"/>
          <w:szCs w:val="20"/>
          <w:lang w:val="en-US" w:eastAsia="en-US"/>
        </w:rPr>
        <w:t>an ext</w:t>
      </w:r>
      <w:r w:rsidR="008B0B91" w:rsidRPr="009D52FD">
        <w:rPr>
          <w:rFonts w:eastAsiaTheme="minorHAnsi" w:cstheme="minorBidi"/>
          <w:sz w:val="20"/>
          <w:szCs w:val="20"/>
          <w:lang w:val="en-US" w:eastAsia="en-US"/>
        </w:rPr>
        <w:t>ensive and scarred</w:t>
      </w:r>
      <w:r w:rsidR="000C6475" w:rsidRPr="009D52FD">
        <w:rPr>
          <w:rFonts w:eastAsiaTheme="minorHAnsi" w:cstheme="minorBidi"/>
          <w:sz w:val="20"/>
          <w:szCs w:val="20"/>
          <w:lang w:val="en-US" w:eastAsia="en-US"/>
        </w:rPr>
        <w:t xml:space="preserve"> tear that </w:t>
      </w:r>
      <w:r w:rsidR="0066697A" w:rsidRPr="009D52FD">
        <w:rPr>
          <w:rFonts w:eastAsiaTheme="minorHAnsi" w:cstheme="minorBidi"/>
          <w:sz w:val="20"/>
          <w:szCs w:val="20"/>
          <w:lang w:val="en-US" w:eastAsia="en-US"/>
        </w:rPr>
        <w:t xml:space="preserve">even </w:t>
      </w:r>
      <w:r w:rsidR="008B0B91" w:rsidRPr="009D52FD">
        <w:rPr>
          <w:rFonts w:eastAsiaTheme="minorHAnsi" w:cstheme="minorBidi"/>
          <w:sz w:val="20"/>
          <w:szCs w:val="20"/>
          <w:lang w:val="en-US" w:eastAsia="en-US"/>
        </w:rPr>
        <w:t>extended to the</w:t>
      </w:r>
      <w:r w:rsidR="000C6475" w:rsidRPr="009D52FD">
        <w:rPr>
          <w:rFonts w:eastAsiaTheme="minorHAnsi" w:cstheme="minorBidi"/>
          <w:sz w:val="20"/>
          <w:szCs w:val="20"/>
          <w:lang w:val="en-US" w:eastAsia="en-US"/>
        </w:rPr>
        <w:t xml:space="preserve"> vaginal mucosa </w:t>
      </w:r>
      <w:r w:rsidR="003630BB" w:rsidRPr="009D52FD">
        <w:rPr>
          <w:rFonts w:eastAsiaTheme="minorHAnsi" w:cstheme="minorBidi"/>
          <w:sz w:val="20"/>
          <w:szCs w:val="20"/>
          <w:lang w:val="en-US" w:eastAsia="en-US"/>
        </w:rPr>
        <w:t>and</w:t>
      </w:r>
      <w:r w:rsidR="000C6475" w:rsidRPr="009D52FD">
        <w:rPr>
          <w:rFonts w:eastAsiaTheme="minorHAnsi" w:cstheme="minorBidi"/>
          <w:sz w:val="20"/>
          <w:szCs w:val="20"/>
          <w:lang w:val="en-US" w:eastAsia="en-US"/>
        </w:rPr>
        <w:t xml:space="preserve"> adjacent vulvar regi</w:t>
      </w:r>
      <w:r w:rsidR="008B0B91" w:rsidRPr="009D52FD">
        <w:rPr>
          <w:rFonts w:eastAsiaTheme="minorHAnsi" w:cstheme="minorBidi"/>
          <w:sz w:val="20"/>
          <w:szCs w:val="20"/>
          <w:lang w:val="en-US" w:eastAsia="en-US"/>
        </w:rPr>
        <w:t>o</w:t>
      </w:r>
      <w:r w:rsidR="000C6475" w:rsidRPr="009D52FD">
        <w:rPr>
          <w:rFonts w:eastAsiaTheme="minorHAnsi" w:cstheme="minorBidi"/>
          <w:sz w:val="20"/>
          <w:szCs w:val="20"/>
          <w:lang w:val="en-US" w:eastAsia="en-US"/>
        </w:rPr>
        <w:t>n”;</w:t>
      </w:r>
      <w:r w:rsidR="003630BB"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w:t>
      </w:r>
      <w:r w:rsidR="008B0B91" w:rsidRPr="009D52FD">
        <w:rPr>
          <w:rFonts w:eastAsiaTheme="minorHAnsi" w:cstheme="minorBidi"/>
          <w:sz w:val="20"/>
          <w:szCs w:val="20"/>
          <w:lang w:val="en-US" w:eastAsia="en-US"/>
        </w:rPr>
        <w:t xml:space="preserve">older </w:t>
      </w:r>
      <w:r w:rsidR="00297CDF" w:rsidRPr="009D52FD">
        <w:rPr>
          <w:rFonts w:eastAsiaTheme="minorHAnsi" w:cstheme="minorBidi"/>
          <w:sz w:val="20"/>
          <w:szCs w:val="20"/>
          <w:lang w:val="en-US" w:eastAsia="en-US"/>
        </w:rPr>
        <w:t xml:space="preserve">deflowering and signs of genital trauma </w:t>
      </w:r>
      <w:r w:rsidR="008B0B91" w:rsidRPr="009D52FD">
        <w:rPr>
          <w:rFonts w:eastAsiaTheme="minorHAnsi" w:cstheme="minorBidi"/>
          <w:sz w:val="20"/>
          <w:szCs w:val="20"/>
          <w:lang w:val="en-US" w:eastAsia="en-US"/>
        </w:rPr>
        <w:t>produced</w:t>
      </w:r>
      <w:r w:rsidR="00297CDF" w:rsidRPr="009D52FD">
        <w:rPr>
          <w:rFonts w:eastAsiaTheme="minorHAnsi" w:cstheme="minorBidi"/>
          <w:sz w:val="20"/>
          <w:szCs w:val="20"/>
          <w:lang w:val="en-US" w:eastAsia="en-US"/>
        </w:rPr>
        <w:t xml:space="preserve"> more than </w:t>
      </w:r>
      <w:r w:rsidR="0066697A" w:rsidRPr="009D52FD">
        <w:rPr>
          <w:rFonts w:eastAsiaTheme="minorHAnsi" w:cstheme="minorBidi"/>
          <w:sz w:val="20"/>
          <w:szCs w:val="20"/>
          <w:lang w:val="en-US" w:eastAsia="en-US"/>
        </w:rPr>
        <w:t xml:space="preserve">eight </w:t>
      </w:r>
      <w:r w:rsidR="00297CDF" w:rsidRPr="009D52FD">
        <w:rPr>
          <w:rFonts w:eastAsiaTheme="minorHAnsi" w:cstheme="minorBidi"/>
          <w:sz w:val="20"/>
          <w:szCs w:val="20"/>
          <w:lang w:val="en-US" w:eastAsia="en-US"/>
        </w:rPr>
        <w:t xml:space="preserve">days </w:t>
      </w:r>
      <w:r w:rsidR="008B0B91" w:rsidRPr="009D52FD">
        <w:rPr>
          <w:rFonts w:eastAsiaTheme="minorHAnsi" w:cstheme="minorBidi"/>
          <w:sz w:val="20"/>
          <w:szCs w:val="20"/>
          <w:lang w:val="en-US" w:eastAsia="en-US"/>
        </w:rPr>
        <w:t>ago</w:t>
      </w:r>
      <w:r w:rsidR="00297CDF"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w:t>
      </w:r>
      <w:r w:rsidR="00297CDF" w:rsidRPr="009D52FD">
        <w:rPr>
          <w:rFonts w:eastAsiaTheme="minorHAnsi" w:cstheme="minorBidi"/>
          <w:sz w:val="20"/>
          <w:szCs w:val="20"/>
          <w:lang w:val="en-US" w:eastAsia="en-US"/>
        </w:rPr>
        <w:t>sca</w:t>
      </w:r>
      <w:r w:rsidR="008B0B91" w:rsidRPr="009D52FD">
        <w:rPr>
          <w:rFonts w:eastAsiaTheme="minorHAnsi" w:cstheme="minorBidi"/>
          <w:sz w:val="20"/>
          <w:szCs w:val="20"/>
          <w:lang w:val="en-US" w:eastAsia="en-US"/>
        </w:rPr>
        <w:t xml:space="preserve">bbed-over abrasion on the </w:t>
      </w:r>
      <w:r w:rsidR="00297CDF" w:rsidRPr="009D52FD">
        <w:rPr>
          <w:rFonts w:eastAsiaTheme="minorHAnsi" w:cstheme="minorBidi"/>
          <w:sz w:val="20"/>
          <w:szCs w:val="20"/>
          <w:lang w:val="en-US" w:eastAsia="en-US"/>
        </w:rPr>
        <w:t>nasal dorsum</w:t>
      </w:r>
      <w:r w:rsidRPr="009D52FD">
        <w:rPr>
          <w:rFonts w:eastAsiaTheme="minorHAnsi" w:cstheme="minorBidi"/>
          <w:sz w:val="20"/>
          <w:szCs w:val="20"/>
          <w:lang w:val="en-US" w:eastAsia="en-US"/>
        </w:rPr>
        <w:t xml:space="preserve">, </w:t>
      </w:r>
      <w:r w:rsidR="008B0B91" w:rsidRPr="009D52FD">
        <w:rPr>
          <w:rFonts w:eastAsiaTheme="minorHAnsi" w:cstheme="minorBidi"/>
          <w:sz w:val="20"/>
          <w:szCs w:val="20"/>
          <w:lang w:val="en-US" w:eastAsia="en-US"/>
        </w:rPr>
        <w:t>multiple anfractuous</w:t>
      </w:r>
      <w:r w:rsidR="00297CDF" w:rsidRPr="009D52FD">
        <w:rPr>
          <w:rFonts w:eastAsiaTheme="minorHAnsi" w:cstheme="minorBidi"/>
          <w:sz w:val="20"/>
          <w:szCs w:val="20"/>
          <w:lang w:val="en-US" w:eastAsia="en-US"/>
        </w:rPr>
        <w:t xml:space="preserve"> injuries of varying size</w:t>
      </w:r>
      <w:r w:rsidRPr="009D52FD">
        <w:rPr>
          <w:rFonts w:eastAsiaTheme="minorHAnsi" w:cstheme="minorBidi"/>
          <w:sz w:val="20"/>
          <w:szCs w:val="20"/>
          <w:lang w:val="en-US" w:eastAsia="en-US"/>
        </w:rPr>
        <w:t xml:space="preserve"> </w:t>
      </w:r>
      <w:r w:rsidR="00297CDF" w:rsidRPr="009D52FD">
        <w:rPr>
          <w:rFonts w:eastAsiaTheme="minorHAnsi" w:cstheme="minorBidi"/>
          <w:sz w:val="20"/>
          <w:szCs w:val="20"/>
          <w:lang w:val="en-US" w:eastAsia="en-US"/>
        </w:rPr>
        <w:t>on both lips</w:t>
      </w:r>
      <w:r w:rsidRPr="009D52FD">
        <w:rPr>
          <w:rFonts w:eastAsiaTheme="minorHAnsi" w:cstheme="minorBidi"/>
          <w:sz w:val="20"/>
          <w:szCs w:val="20"/>
          <w:lang w:val="en-US" w:eastAsia="en-US"/>
        </w:rPr>
        <w:t xml:space="preserve">, </w:t>
      </w:r>
      <w:r w:rsidR="00297CDF" w:rsidRPr="009D52FD">
        <w:rPr>
          <w:rFonts w:eastAsiaTheme="minorHAnsi" w:cstheme="minorBidi"/>
          <w:sz w:val="20"/>
          <w:szCs w:val="20"/>
          <w:lang w:val="en-US" w:eastAsia="en-US"/>
        </w:rPr>
        <w:t>los</w:t>
      </w:r>
      <w:r w:rsidR="00640455" w:rsidRPr="009D52FD">
        <w:rPr>
          <w:rFonts w:eastAsiaTheme="minorHAnsi" w:cstheme="minorBidi"/>
          <w:sz w:val="20"/>
          <w:szCs w:val="20"/>
          <w:lang w:val="en-US" w:eastAsia="en-US"/>
        </w:rPr>
        <w:t>s</w:t>
      </w:r>
      <w:r w:rsidR="00297CDF" w:rsidRPr="009D52FD">
        <w:rPr>
          <w:rFonts w:eastAsiaTheme="minorHAnsi" w:cstheme="minorBidi"/>
          <w:sz w:val="20"/>
          <w:szCs w:val="20"/>
          <w:lang w:val="en-US" w:eastAsia="en-US"/>
        </w:rPr>
        <w:t xml:space="preserve"> of external substance and with signs of infection in the left </w:t>
      </w:r>
      <w:r w:rsidR="00E52270" w:rsidRPr="009D52FD">
        <w:rPr>
          <w:rFonts w:eastAsiaTheme="minorHAnsi" w:cstheme="minorBidi"/>
          <w:sz w:val="20"/>
          <w:szCs w:val="20"/>
          <w:lang w:val="en-US" w:eastAsia="en-US"/>
        </w:rPr>
        <w:t>auricle</w:t>
      </w:r>
      <w:r w:rsidR="00297CDF" w:rsidRPr="009D52FD">
        <w:rPr>
          <w:rFonts w:eastAsiaTheme="minorHAnsi" w:cstheme="minorBidi"/>
          <w:sz w:val="20"/>
          <w:szCs w:val="20"/>
          <w:lang w:val="en-US" w:eastAsia="en-US"/>
        </w:rPr>
        <w:t xml:space="preserve">,” “small scratches on the right side of the neck,” “bruising </w:t>
      </w:r>
      <w:r w:rsidR="008B0B91" w:rsidRPr="009D52FD">
        <w:rPr>
          <w:rFonts w:eastAsiaTheme="minorHAnsi" w:cstheme="minorBidi"/>
          <w:sz w:val="20"/>
          <w:szCs w:val="20"/>
          <w:lang w:val="en-US" w:eastAsia="en-US"/>
        </w:rPr>
        <w:t>on the vertical band of the left lower jawbone,” “</w:t>
      </w:r>
      <w:r w:rsidR="00640455" w:rsidRPr="009D52FD">
        <w:rPr>
          <w:rFonts w:eastAsiaTheme="minorHAnsi" w:cstheme="minorBidi"/>
          <w:sz w:val="20"/>
          <w:szCs w:val="20"/>
          <w:lang w:val="en-US" w:eastAsia="en-US"/>
        </w:rPr>
        <w:t>signs of abrasions</w:t>
      </w:r>
      <w:r w:rsidR="008B0B91" w:rsidRPr="009D52FD">
        <w:rPr>
          <w:rFonts w:eastAsiaTheme="minorHAnsi" w:cstheme="minorBidi"/>
          <w:sz w:val="20"/>
          <w:szCs w:val="20"/>
          <w:lang w:val="en-US" w:eastAsia="en-US"/>
        </w:rPr>
        <w:t xml:space="preserve"> on both hands and </w:t>
      </w:r>
      <w:r w:rsidR="00640455" w:rsidRPr="009D52FD">
        <w:rPr>
          <w:rFonts w:eastAsiaTheme="minorHAnsi" w:cstheme="minorBidi"/>
          <w:sz w:val="20"/>
          <w:szCs w:val="20"/>
          <w:lang w:val="en-US" w:eastAsia="en-US"/>
        </w:rPr>
        <w:t>dorsal lumbar area</w:t>
      </w:r>
      <w:r w:rsidR="008B0B91"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“cr</w:t>
      </w:r>
      <w:r w:rsidR="00640455" w:rsidRPr="009D52FD">
        <w:rPr>
          <w:rFonts w:eastAsiaTheme="minorHAnsi" w:cstheme="minorBidi"/>
          <w:sz w:val="20"/>
          <w:szCs w:val="20"/>
          <w:lang w:val="en-US" w:eastAsia="en-US"/>
        </w:rPr>
        <w:t>a</w:t>
      </w:r>
      <w:r w:rsidRPr="009D52FD">
        <w:rPr>
          <w:rFonts w:eastAsiaTheme="minorHAnsi" w:cstheme="minorBidi"/>
          <w:sz w:val="20"/>
          <w:szCs w:val="20"/>
          <w:lang w:val="en-US" w:eastAsia="en-US"/>
        </w:rPr>
        <w:t>n</w:t>
      </w:r>
      <w:r w:rsidR="00640455" w:rsidRPr="009D52FD">
        <w:rPr>
          <w:rFonts w:eastAsiaTheme="minorHAnsi" w:cstheme="minorBidi"/>
          <w:sz w:val="20"/>
          <w:szCs w:val="20"/>
          <w:lang w:val="en-US" w:eastAsia="en-US"/>
        </w:rPr>
        <w:t>i</w:t>
      </w:r>
      <w:r w:rsidRPr="009D52FD">
        <w:rPr>
          <w:rFonts w:eastAsiaTheme="minorHAnsi" w:cstheme="minorBidi"/>
          <w:sz w:val="20"/>
          <w:szCs w:val="20"/>
          <w:lang w:val="en-US" w:eastAsia="en-US"/>
        </w:rPr>
        <w:t>o</w:t>
      </w:r>
      <w:r w:rsidR="00640455" w:rsidRPr="009D52FD">
        <w:rPr>
          <w:rFonts w:eastAsiaTheme="minorHAnsi" w:cstheme="minorBidi"/>
          <w:sz w:val="20"/>
          <w:szCs w:val="20"/>
          <w:lang w:val="en-US" w:eastAsia="en-US"/>
        </w:rPr>
        <w:t>encephalic</w:t>
      </w:r>
      <w:r w:rsidRPr="009D52FD">
        <w:rPr>
          <w:rFonts w:eastAsiaTheme="minorHAnsi" w:cstheme="minorBidi"/>
          <w:sz w:val="20"/>
          <w:szCs w:val="20"/>
          <w:lang w:val="en-US" w:eastAsia="en-US"/>
        </w:rPr>
        <w:t xml:space="preserve"> </w:t>
      </w:r>
      <w:r w:rsidR="008B0B91" w:rsidRPr="009D52FD">
        <w:rPr>
          <w:rFonts w:eastAsiaTheme="minorHAnsi" w:cstheme="minorBidi"/>
          <w:sz w:val="20"/>
          <w:szCs w:val="20"/>
          <w:lang w:val="en-US" w:eastAsia="en-US"/>
        </w:rPr>
        <w:t>trauma complicated by fracture of lower jaw,” “thoracic trauma,”</w:t>
      </w:r>
      <w:r w:rsidRPr="009D52FD">
        <w:rPr>
          <w:rFonts w:eastAsiaTheme="minorHAnsi" w:cstheme="minorBidi"/>
          <w:sz w:val="20"/>
          <w:szCs w:val="20"/>
          <w:lang w:val="en-US" w:eastAsia="en-US"/>
        </w:rPr>
        <w:t xml:space="preserve"> “</w:t>
      </w:r>
      <w:r w:rsidR="00DA768D" w:rsidRPr="009D52FD">
        <w:rPr>
          <w:rFonts w:eastAsiaTheme="minorHAnsi" w:cstheme="minorBidi"/>
          <w:sz w:val="20"/>
          <w:szCs w:val="20"/>
          <w:lang w:val="en-US" w:eastAsia="en-US"/>
        </w:rPr>
        <w:t xml:space="preserve">blunt </w:t>
      </w:r>
      <w:r w:rsidRPr="009D52FD">
        <w:rPr>
          <w:rFonts w:eastAsiaTheme="minorHAnsi" w:cstheme="minorBidi"/>
          <w:sz w:val="20"/>
          <w:szCs w:val="20"/>
          <w:lang w:val="en-US" w:eastAsia="en-US"/>
        </w:rPr>
        <w:t xml:space="preserve">abdominal </w:t>
      </w:r>
      <w:r w:rsidR="00640455" w:rsidRPr="009D52FD">
        <w:rPr>
          <w:rFonts w:eastAsiaTheme="minorHAnsi" w:cstheme="minorBidi"/>
          <w:sz w:val="20"/>
          <w:szCs w:val="20"/>
          <w:lang w:val="en-US" w:eastAsia="en-US"/>
        </w:rPr>
        <w:t>trauma</w:t>
      </w:r>
      <w:r w:rsidR="00DA768D" w:rsidRPr="009D52FD">
        <w:rPr>
          <w:rFonts w:eastAsiaTheme="minorHAnsi" w:cstheme="minorBidi"/>
          <w:sz w:val="20"/>
          <w:szCs w:val="20"/>
          <w:lang w:val="en-US" w:eastAsia="en-US"/>
        </w:rPr>
        <w:t xml:space="preserve"> complicated by acute abdomen</w:t>
      </w:r>
      <w:r w:rsidR="00640455" w:rsidRPr="009D52FD">
        <w:rPr>
          <w:rFonts w:eastAsiaTheme="minorHAnsi" w:cstheme="minorBidi"/>
          <w:sz w:val="20"/>
          <w:szCs w:val="20"/>
          <w:lang w:val="en-US" w:eastAsia="en-US"/>
        </w:rPr>
        <w:t>.</w:t>
      </w:r>
      <w:r w:rsidRPr="009D52FD">
        <w:rPr>
          <w:rFonts w:eastAsiaTheme="minorHAnsi" w:cstheme="minorBidi"/>
          <w:sz w:val="20"/>
          <w:szCs w:val="20"/>
          <w:lang w:val="en-US" w:eastAsia="en-US"/>
        </w:rPr>
        <w:t>”</w:t>
      </w:r>
      <w:r w:rsidRPr="009D52FD">
        <w:rPr>
          <w:rFonts w:eastAsiaTheme="minorHAnsi" w:cstheme="minorBidi"/>
          <w:sz w:val="20"/>
          <w:szCs w:val="20"/>
          <w:vertAlign w:val="superscript"/>
          <w:lang w:val="en-US" w:eastAsia="en-US"/>
        </w:rPr>
        <w:footnoteReference w:id="68"/>
      </w:r>
      <w:r w:rsidR="00640455" w:rsidRPr="009D52FD">
        <w:rPr>
          <w:rFonts w:eastAsiaTheme="minorHAnsi" w:cstheme="minorBidi"/>
          <w:sz w:val="20"/>
          <w:szCs w:val="20"/>
          <w:lang w:val="en-US" w:eastAsia="en-US"/>
        </w:rPr>
        <w:t xml:space="preserve"> In addition, the victim was “moderately dehydrated” and was suffering from “anemia probably caused by lack of </w:t>
      </w:r>
      <w:r w:rsidR="00640455" w:rsidRPr="009D52FD">
        <w:rPr>
          <w:rFonts w:eastAsiaTheme="minorHAnsi" w:cstheme="minorBidi"/>
          <w:sz w:val="20"/>
          <w:szCs w:val="20"/>
          <w:lang w:val="en-US" w:eastAsia="en-US"/>
        </w:rPr>
        <w:lastRenderedPageBreak/>
        <w:t>food,</w:t>
      </w:r>
      <w:r w:rsidRPr="009D52FD">
        <w:rPr>
          <w:rFonts w:eastAsiaTheme="minorHAnsi" w:cstheme="minorBidi"/>
          <w:sz w:val="20"/>
          <w:szCs w:val="20"/>
          <w:lang w:val="en-US" w:eastAsia="en-US"/>
        </w:rPr>
        <w:t>”</w:t>
      </w:r>
      <w:r w:rsidRPr="009D52FD">
        <w:rPr>
          <w:rFonts w:eastAsiaTheme="minorHAnsi" w:cstheme="minorBidi"/>
          <w:sz w:val="20"/>
          <w:szCs w:val="20"/>
          <w:vertAlign w:val="superscript"/>
          <w:lang w:val="en-US" w:eastAsia="en-US"/>
        </w:rPr>
        <w:footnoteReference w:id="69"/>
      </w:r>
      <w:r w:rsidRPr="009D52FD">
        <w:rPr>
          <w:rFonts w:eastAsiaTheme="minorHAnsi" w:cstheme="minorBidi"/>
          <w:sz w:val="20"/>
          <w:szCs w:val="20"/>
          <w:lang w:val="en-US" w:eastAsia="en-US"/>
        </w:rPr>
        <w:t xml:space="preserve"> “</w:t>
      </w:r>
      <w:r w:rsidR="00640455" w:rsidRPr="009D52FD">
        <w:rPr>
          <w:rFonts w:eastAsiaTheme="minorHAnsi" w:cstheme="minorBidi"/>
          <w:sz w:val="20"/>
          <w:szCs w:val="20"/>
          <w:lang w:val="en-US" w:eastAsia="en-US"/>
        </w:rPr>
        <w:t>she was undernourished, she had a pancreatic cyst, a hepatic injury that could have been caused by the anemia.</w:t>
      </w:r>
      <w:r w:rsidRPr="009D52FD">
        <w:rPr>
          <w:rFonts w:eastAsiaTheme="minorHAnsi" w:cstheme="minorBidi"/>
          <w:sz w:val="20"/>
          <w:szCs w:val="20"/>
          <w:lang w:val="en-US" w:eastAsia="en-US"/>
        </w:rPr>
        <w:t>”</w:t>
      </w:r>
      <w:r w:rsidRPr="009D52FD">
        <w:rPr>
          <w:rFonts w:eastAsiaTheme="minorHAnsi" w:cstheme="minorBidi"/>
          <w:sz w:val="20"/>
          <w:szCs w:val="20"/>
          <w:vertAlign w:val="superscript"/>
          <w:lang w:val="en-US" w:eastAsia="en-US"/>
        </w:rPr>
        <w:footnoteReference w:id="70"/>
      </w:r>
      <w:r w:rsidRPr="009D52FD">
        <w:rPr>
          <w:rFonts w:eastAsiaTheme="minorHAnsi" w:cstheme="minorBidi"/>
          <w:sz w:val="20"/>
          <w:szCs w:val="20"/>
          <w:lang w:val="en-US" w:eastAsia="en-US"/>
        </w:rPr>
        <w:t xml:space="preserve"> </w:t>
      </w:r>
      <w:r w:rsidR="00640455" w:rsidRPr="009D52FD">
        <w:rPr>
          <w:rFonts w:eastAsiaTheme="minorHAnsi" w:cstheme="minorBidi"/>
          <w:sz w:val="20"/>
          <w:szCs w:val="20"/>
          <w:lang w:val="en-US" w:eastAsia="en-US"/>
        </w:rPr>
        <w:t>Based on her condition,</w:t>
      </w:r>
      <w:r w:rsidRPr="009D52FD">
        <w:rPr>
          <w:rFonts w:eastAsiaTheme="minorHAnsi" w:cstheme="minorBidi"/>
          <w:sz w:val="20"/>
          <w:szCs w:val="20"/>
          <w:lang w:val="en-US" w:eastAsia="en-US"/>
        </w:rPr>
        <w:t xml:space="preserve"> Linda Loaiza López Soto </w:t>
      </w:r>
      <w:r w:rsidR="00DA768D" w:rsidRPr="009D52FD">
        <w:rPr>
          <w:rFonts w:eastAsiaTheme="minorHAnsi" w:cstheme="minorBidi"/>
          <w:sz w:val="20"/>
          <w:szCs w:val="20"/>
          <w:lang w:val="en-US" w:eastAsia="en-US"/>
        </w:rPr>
        <w:t>was treated by various medical service that same night, she had emergency exploratory laparoscopic surgery, and received four blood transfusions.</w:t>
      </w:r>
      <w:r w:rsidRPr="009D52FD">
        <w:rPr>
          <w:rFonts w:eastAsiaTheme="minorHAnsi" w:cstheme="minorBidi"/>
          <w:sz w:val="20"/>
          <w:szCs w:val="20"/>
          <w:vertAlign w:val="superscript"/>
          <w:lang w:val="en-US" w:eastAsia="en-US"/>
        </w:rPr>
        <w:footnoteReference w:id="71"/>
      </w:r>
    </w:p>
    <w:p w14:paraId="2F73FF33" w14:textId="77777777" w:rsidR="00BB528A" w:rsidRPr="009D52FD" w:rsidRDefault="00BB528A" w:rsidP="00BB528A">
      <w:pPr>
        <w:widowControl/>
        <w:adjustRightInd/>
        <w:spacing w:line="240" w:lineRule="auto"/>
        <w:textAlignment w:val="auto"/>
        <w:rPr>
          <w:rFonts w:eastAsiaTheme="minorHAnsi" w:cstheme="minorBidi"/>
          <w:sz w:val="20"/>
          <w:szCs w:val="20"/>
          <w:lang w:val="en-US" w:eastAsia="en-US"/>
        </w:rPr>
      </w:pPr>
    </w:p>
    <w:p w14:paraId="10120B7E" w14:textId="72AE86D2" w:rsidR="00BB528A" w:rsidRPr="009D52FD" w:rsidRDefault="00DA768D" w:rsidP="00DA768D">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 xml:space="preserve">The representative </w:t>
      </w:r>
      <w:r w:rsidR="000C6475" w:rsidRPr="009D52FD">
        <w:rPr>
          <w:rFonts w:eastAsiaTheme="minorHAnsi" w:cstheme="minorBidi"/>
          <w:sz w:val="20"/>
          <w:szCs w:val="20"/>
          <w:lang w:val="en-US" w:eastAsia="en-US"/>
        </w:rPr>
        <w:t>of the Public Prosecution Service</w:t>
      </w:r>
      <w:r w:rsidR="00983712" w:rsidRPr="009D52FD">
        <w:rPr>
          <w:rFonts w:eastAsiaTheme="minorHAnsi" w:cstheme="minorBidi"/>
          <w:sz w:val="20"/>
          <w:szCs w:val="20"/>
          <w:lang w:val="en-US" w:eastAsia="en-US"/>
        </w:rPr>
        <w:t xml:space="preserve"> </w:t>
      </w:r>
      <w:r w:rsidR="0066697A" w:rsidRPr="009D52FD">
        <w:rPr>
          <w:rFonts w:eastAsiaTheme="minorHAnsi" w:cstheme="minorBidi"/>
          <w:sz w:val="20"/>
          <w:szCs w:val="20"/>
          <w:lang w:val="en-US" w:eastAsia="en-US"/>
        </w:rPr>
        <w:t>prohibited</w:t>
      </w:r>
      <w:r w:rsidRPr="009D52FD">
        <w:rPr>
          <w:rFonts w:eastAsiaTheme="minorHAnsi" w:cstheme="minorBidi"/>
          <w:sz w:val="20"/>
          <w:szCs w:val="20"/>
          <w:lang w:val="en-US" w:eastAsia="en-US"/>
        </w:rPr>
        <w:t xml:space="preserve"> visits to </w:t>
      </w:r>
      <w:r w:rsidR="00BB528A" w:rsidRPr="009D52FD">
        <w:rPr>
          <w:rFonts w:eastAsiaTheme="minorHAnsi" w:cstheme="minorBidi"/>
          <w:sz w:val="20"/>
          <w:szCs w:val="20"/>
          <w:lang w:val="en-US" w:eastAsia="en-US"/>
        </w:rPr>
        <w:t xml:space="preserve">Linda Loaiza López Soto </w:t>
      </w:r>
      <w:r w:rsidRPr="009D52FD">
        <w:rPr>
          <w:rFonts w:eastAsiaTheme="minorHAnsi" w:cstheme="minorBidi"/>
          <w:sz w:val="20"/>
          <w:szCs w:val="20"/>
          <w:lang w:val="en-US" w:eastAsia="en-US"/>
        </w:rPr>
        <w:t xml:space="preserve">while she was in the hospital, “to preserve her physical safety and </w:t>
      </w:r>
      <w:r w:rsidR="0066697A" w:rsidRPr="009D52FD">
        <w:rPr>
          <w:rFonts w:eastAsiaTheme="minorHAnsi" w:cstheme="minorBidi"/>
          <w:sz w:val="20"/>
          <w:szCs w:val="20"/>
          <w:lang w:val="en-US" w:eastAsia="en-US"/>
        </w:rPr>
        <w:t>safeguard the</w:t>
      </w:r>
      <w:r w:rsidRPr="009D52FD">
        <w:rPr>
          <w:rFonts w:eastAsiaTheme="minorHAnsi" w:cstheme="minorBidi"/>
          <w:sz w:val="20"/>
          <w:szCs w:val="20"/>
          <w:lang w:val="en-US" w:eastAsia="en-US"/>
        </w:rPr>
        <w:t xml:space="preserve"> investigation.</w:t>
      </w:r>
      <w:r w:rsidR="00BB528A" w:rsidRPr="009D52FD">
        <w:rPr>
          <w:rFonts w:eastAsiaTheme="minorHAnsi" w:cstheme="minorBidi"/>
          <w:sz w:val="20"/>
          <w:szCs w:val="20"/>
          <w:lang w:val="en-US" w:eastAsia="en-US"/>
        </w:rPr>
        <w:t>”</w:t>
      </w:r>
      <w:r w:rsidR="00BB528A" w:rsidRPr="009D52FD">
        <w:rPr>
          <w:rFonts w:eastAsiaTheme="minorHAnsi" w:cstheme="minorBidi"/>
          <w:sz w:val="20"/>
          <w:szCs w:val="20"/>
          <w:vertAlign w:val="superscript"/>
          <w:lang w:val="en-US" w:eastAsia="en-US"/>
        </w:rPr>
        <w:footnoteReference w:id="72"/>
      </w:r>
      <w:r w:rsidRPr="009D52FD">
        <w:rPr>
          <w:rFonts w:eastAsiaTheme="minorHAnsi" w:cstheme="minorBidi"/>
          <w:sz w:val="20"/>
          <w:szCs w:val="20"/>
          <w:lang w:val="en-US" w:eastAsia="en-US"/>
        </w:rPr>
        <w:t xml:space="preserve"> Consequently, </w:t>
      </w:r>
      <w:r w:rsidR="00BB528A" w:rsidRPr="009D52FD">
        <w:rPr>
          <w:rFonts w:eastAsiaTheme="minorHAnsi" w:cstheme="minorBidi"/>
          <w:sz w:val="20"/>
          <w:szCs w:val="20"/>
          <w:lang w:val="en-US" w:eastAsia="en-US"/>
        </w:rPr>
        <w:t>Linda Loaiza López Soto</w:t>
      </w:r>
      <w:r w:rsidRPr="009D52FD">
        <w:rPr>
          <w:rFonts w:eastAsiaTheme="minorHAnsi" w:cstheme="minorBidi"/>
          <w:sz w:val="20"/>
          <w:szCs w:val="20"/>
          <w:lang w:val="en-US" w:eastAsia="en-US"/>
        </w:rPr>
        <w:t xml:space="preserve">’s parents had to ask the prosecutor in charge of the case for permission to visit her and </w:t>
      </w:r>
      <w:r w:rsidR="0066697A" w:rsidRPr="009D52FD">
        <w:rPr>
          <w:rFonts w:eastAsiaTheme="minorHAnsi" w:cstheme="minorBidi"/>
          <w:sz w:val="20"/>
          <w:szCs w:val="20"/>
          <w:lang w:val="en-US" w:eastAsia="en-US"/>
        </w:rPr>
        <w:t xml:space="preserve">to </w:t>
      </w:r>
      <w:r w:rsidR="00D42423" w:rsidRPr="009D52FD">
        <w:rPr>
          <w:rFonts w:eastAsiaTheme="minorHAnsi" w:cstheme="minorBidi"/>
          <w:sz w:val="20"/>
          <w:szCs w:val="20"/>
          <w:lang w:val="en-US" w:eastAsia="en-US"/>
        </w:rPr>
        <w:t>prove that they were her parents.</w:t>
      </w:r>
      <w:r w:rsidR="00D42423" w:rsidRPr="009D52FD">
        <w:rPr>
          <w:rFonts w:eastAsiaTheme="minorHAnsi" w:cstheme="minorBidi"/>
          <w:sz w:val="20"/>
          <w:szCs w:val="20"/>
          <w:vertAlign w:val="superscript"/>
          <w:lang w:val="en-US" w:eastAsia="en-US"/>
        </w:rPr>
        <w:footnoteReference w:id="73"/>
      </w:r>
      <w:r w:rsidR="00D42423" w:rsidRPr="009D52FD">
        <w:rPr>
          <w:rFonts w:eastAsiaTheme="minorHAnsi" w:cstheme="minorBidi"/>
          <w:sz w:val="20"/>
          <w:szCs w:val="20"/>
          <w:lang w:val="en-US" w:eastAsia="en-US"/>
        </w:rPr>
        <w:t xml:space="preserve"> On July 25, 2001, th</w:t>
      </w:r>
      <w:r w:rsidR="0066697A" w:rsidRPr="009D52FD">
        <w:rPr>
          <w:rFonts w:eastAsiaTheme="minorHAnsi" w:cstheme="minorBidi"/>
          <w:sz w:val="20"/>
          <w:szCs w:val="20"/>
          <w:lang w:val="en-US" w:eastAsia="en-US"/>
        </w:rPr>
        <w:t>e</w:t>
      </w:r>
      <w:r w:rsidR="00D42423" w:rsidRPr="009D52FD">
        <w:rPr>
          <w:rFonts w:eastAsiaTheme="minorHAnsi" w:cstheme="minorBidi"/>
          <w:sz w:val="20"/>
          <w:szCs w:val="20"/>
          <w:lang w:val="en-US" w:eastAsia="en-US"/>
        </w:rPr>
        <w:t xml:space="preserve"> prosecutor sent a letter to the hospital </w:t>
      </w:r>
      <w:r w:rsidR="00002A76" w:rsidRPr="009D52FD">
        <w:rPr>
          <w:rFonts w:eastAsiaTheme="minorHAnsi" w:cstheme="minorBidi"/>
          <w:sz w:val="20"/>
          <w:szCs w:val="20"/>
          <w:lang w:val="en-US" w:eastAsia="en-US"/>
        </w:rPr>
        <w:t>auth</w:t>
      </w:r>
      <w:r w:rsidR="006B506A" w:rsidRPr="009D52FD">
        <w:rPr>
          <w:rFonts w:eastAsiaTheme="minorHAnsi" w:cstheme="minorBidi"/>
          <w:sz w:val="20"/>
          <w:szCs w:val="20"/>
          <w:lang w:val="en-US" w:eastAsia="en-US"/>
        </w:rPr>
        <w:t>or</w:t>
      </w:r>
      <w:r w:rsidR="00D42423" w:rsidRPr="009D52FD">
        <w:rPr>
          <w:rFonts w:eastAsiaTheme="minorHAnsi" w:cstheme="minorBidi"/>
          <w:sz w:val="20"/>
          <w:szCs w:val="20"/>
          <w:lang w:val="en-US" w:eastAsia="en-US"/>
        </w:rPr>
        <w:t xml:space="preserve">izing </w:t>
      </w:r>
      <w:r w:rsidR="0066697A" w:rsidRPr="009D52FD">
        <w:rPr>
          <w:rFonts w:eastAsiaTheme="minorHAnsi" w:cstheme="minorBidi"/>
          <w:sz w:val="20"/>
          <w:szCs w:val="20"/>
          <w:lang w:val="en-US" w:eastAsia="en-US"/>
        </w:rPr>
        <w:t>their</w:t>
      </w:r>
      <w:r w:rsidR="00D42423" w:rsidRPr="009D52FD">
        <w:rPr>
          <w:rFonts w:eastAsiaTheme="minorHAnsi" w:cstheme="minorBidi"/>
          <w:sz w:val="20"/>
          <w:szCs w:val="20"/>
          <w:lang w:val="en-US" w:eastAsia="en-US"/>
        </w:rPr>
        <w:t xml:space="preserve"> visit.</w:t>
      </w:r>
      <w:r w:rsidR="00D42423" w:rsidRPr="009D52FD">
        <w:rPr>
          <w:rFonts w:eastAsiaTheme="minorHAnsi" w:cstheme="minorBidi"/>
          <w:sz w:val="20"/>
          <w:szCs w:val="20"/>
          <w:vertAlign w:val="superscript"/>
          <w:lang w:val="en-US" w:eastAsia="en-US"/>
        </w:rPr>
        <w:footnoteReference w:id="74"/>
      </w:r>
      <w:r w:rsidR="00D42423" w:rsidRPr="009D52FD">
        <w:rPr>
          <w:rFonts w:eastAsiaTheme="minorHAnsi" w:cstheme="minorBidi"/>
          <w:sz w:val="20"/>
          <w:szCs w:val="20"/>
          <w:lang w:val="en-US" w:eastAsia="en-US"/>
        </w:rPr>
        <w:t xml:space="preserve"> The same procedure was followed with the lawyer, </w:t>
      </w:r>
      <w:r w:rsidR="00BB528A" w:rsidRPr="009D52FD">
        <w:rPr>
          <w:rFonts w:eastAsiaTheme="minorHAnsi" w:cstheme="minorBidi"/>
          <w:sz w:val="20"/>
          <w:szCs w:val="20"/>
          <w:lang w:val="en-US" w:eastAsia="en-US"/>
        </w:rPr>
        <w:t xml:space="preserve">Juan Bernardo Delgado. </w:t>
      </w:r>
      <w:r w:rsidR="00D42423" w:rsidRPr="009D52FD">
        <w:rPr>
          <w:rFonts w:eastAsiaTheme="minorHAnsi" w:cstheme="minorBidi"/>
          <w:sz w:val="20"/>
          <w:szCs w:val="20"/>
          <w:lang w:val="en-US" w:eastAsia="en-US"/>
        </w:rPr>
        <w:t>On November 7,</w:t>
      </w:r>
      <w:r w:rsidR="00BB528A" w:rsidRPr="009D52FD">
        <w:rPr>
          <w:rFonts w:eastAsiaTheme="minorHAnsi" w:cstheme="minorBidi"/>
          <w:sz w:val="20"/>
          <w:szCs w:val="20"/>
          <w:lang w:val="en-US" w:eastAsia="en-US"/>
        </w:rPr>
        <w:t xml:space="preserve"> 2011</w:t>
      </w:r>
      <w:r w:rsidR="00D42423" w:rsidRPr="009D52FD">
        <w:rPr>
          <w:rFonts w:eastAsiaTheme="minorHAnsi" w:cstheme="minorBidi"/>
          <w:sz w:val="20"/>
          <w:szCs w:val="20"/>
          <w:lang w:val="en-US" w:eastAsia="en-US"/>
        </w:rPr>
        <w:t xml:space="preserve">, the prosecutor sent a communication to the Director of the Caracas University Hospital </w:t>
      </w:r>
      <w:r w:rsidR="00002A76" w:rsidRPr="009D52FD">
        <w:rPr>
          <w:rFonts w:eastAsiaTheme="minorHAnsi" w:cstheme="minorBidi"/>
          <w:sz w:val="20"/>
          <w:szCs w:val="20"/>
          <w:lang w:val="en-US" w:eastAsia="en-US"/>
        </w:rPr>
        <w:t>auth</w:t>
      </w:r>
      <w:r w:rsidR="006B506A" w:rsidRPr="009D52FD">
        <w:rPr>
          <w:rFonts w:eastAsiaTheme="minorHAnsi" w:cstheme="minorBidi"/>
          <w:sz w:val="20"/>
          <w:szCs w:val="20"/>
          <w:lang w:val="en-US" w:eastAsia="en-US"/>
        </w:rPr>
        <w:t>or</w:t>
      </w:r>
      <w:r w:rsidR="00D42423" w:rsidRPr="009D52FD">
        <w:rPr>
          <w:rFonts w:eastAsiaTheme="minorHAnsi" w:cstheme="minorBidi"/>
          <w:sz w:val="20"/>
          <w:szCs w:val="20"/>
          <w:lang w:val="en-US" w:eastAsia="en-US"/>
        </w:rPr>
        <w:t xml:space="preserve">izing him to meet with </w:t>
      </w:r>
      <w:r w:rsidR="00BB528A" w:rsidRPr="009D52FD">
        <w:rPr>
          <w:rFonts w:eastAsiaTheme="minorHAnsi" w:cstheme="minorBidi"/>
          <w:sz w:val="20"/>
          <w:szCs w:val="20"/>
          <w:lang w:val="en-US" w:eastAsia="en-US"/>
        </w:rPr>
        <w:t>Linda Loaiza Soto</w:t>
      </w:r>
      <w:r w:rsidR="00D42423" w:rsidRPr="009D52FD">
        <w:rPr>
          <w:rFonts w:eastAsiaTheme="minorHAnsi" w:cstheme="minorBidi"/>
          <w:sz w:val="20"/>
          <w:szCs w:val="20"/>
          <w:lang w:val="en-US" w:eastAsia="en-US"/>
        </w:rPr>
        <w:t>.</w:t>
      </w:r>
      <w:r w:rsidR="00BB528A" w:rsidRPr="009D52FD">
        <w:rPr>
          <w:rFonts w:eastAsiaTheme="minorHAnsi" w:cstheme="minorBidi"/>
          <w:sz w:val="20"/>
          <w:szCs w:val="20"/>
          <w:vertAlign w:val="superscript"/>
          <w:lang w:val="en-US" w:eastAsia="en-US"/>
        </w:rPr>
        <w:footnoteReference w:id="75"/>
      </w:r>
    </w:p>
    <w:p w14:paraId="1F4F8A96" w14:textId="77777777" w:rsidR="00BB528A" w:rsidRPr="009D52FD" w:rsidRDefault="00BB528A" w:rsidP="00BB528A">
      <w:pPr>
        <w:widowControl/>
        <w:adjustRightInd/>
        <w:spacing w:line="240" w:lineRule="auto"/>
        <w:textAlignment w:val="auto"/>
        <w:rPr>
          <w:rFonts w:eastAsiaTheme="minorHAnsi" w:cstheme="minorBidi"/>
          <w:sz w:val="20"/>
          <w:szCs w:val="20"/>
          <w:lang w:val="en-US" w:eastAsia="en-US"/>
        </w:rPr>
      </w:pPr>
    </w:p>
    <w:p w14:paraId="49845D9B" w14:textId="2AE86F34" w:rsidR="00BB528A" w:rsidRPr="009D52FD" w:rsidRDefault="00BB528A" w:rsidP="00BB6E79">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Linda Lo</w:t>
      </w:r>
      <w:r w:rsidR="00BB6E79" w:rsidRPr="009D52FD">
        <w:rPr>
          <w:rFonts w:eastAsiaTheme="minorHAnsi" w:cstheme="minorBidi"/>
          <w:sz w:val="20"/>
          <w:szCs w:val="20"/>
          <w:lang w:val="en-US" w:eastAsia="en-US"/>
        </w:rPr>
        <w:t>a</w:t>
      </w:r>
      <w:r w:rsidRPr="009D52FD">
        <w:rPr>
          <w:rFonts w:eastAsiaTheme="minorHAnsi" w:cstheme="minorBidi"/>
          <w:sz w:val="20"/>
          <w:szCs w:val="20"/>
          <w:lang w:val="en-US" w:eastAsia="en-US"/>
        </w:rPr>
        <w:t xml:space="preserve">iza López Soto </w:t>
      </w:r>
      <w:r w:rsidR="00D42423" w:rsidRPr="009D52FD">
        <w:rPr>
          <w:rFonts w:eastAsiaTheme="minorHAnsi" w:cstheme="minorBidi"/>
          <w:sz w:val="20"/>
          <w:szCs w:val="20"/>
          <w:lang w:val="en-US" w:eastAsia="en-US"/>
        </w:rPr>
        <w:t xml:space="preserve">remained hospitalized from July 20, </w:t>
      </w:r>
      <w:r w:rsidRPr="009D52FD">
        <w:rPr>
          <w:rFonts w:eastAsiaTheme="minorHAnsi" w:cstheme="minorBidi"/>
          <w:sz w:val="20"/>
          <w:szCs w:val="20"/>
          <w:lang w:val="en-US" w:eastAsia="en-US"/>
        </w:rPr>
        <w:t>2001</w:t>
      </w:r>
      <w:r w:rsidR="00D42423" w:rsidRPr="009D52FD">
        <w:rPr>
          <w:rFonts w:eastAsiaTheme="minorHAnsi" w:cstheme="minorBidi"/>
          <w:sz w:val="20"/>
          <w:szCs w:val="20"/>
          <w:lang w:val="en-US" w:eastAsia="en-US"/>
        </w:rPr>
        <w:t>,</w:t>
      </w:r>
      <w:r w:rsidRPr="009D52FD">
        <w:rPr>
          <w:rFonts w:eastAsiaTheme="minorHAnsi" w:cstheme="minorBidi"/>
          <w:sz w:val="20"/>
          <w:szCs w:val="20"/>
          <w:vertAlign w:val="superscript"/>
          <w:lang w:val="en-US" w:eastAsia="en-US"/>
        </w:rPr>
        <w:footnoteReference w:id="76"/>
      </w:r>
      <w:r w:rsidRPr="009D52FD">
        <w:rPr>
          <w:rFonts w:eastAsiaTheme="minorHAnsi" w:cstheme="minorBidi"/>
          <w:sz w:val="20"/>
          <w:szCs w:val="20"/>
          <w:lang w:val="en-US" w:eastAsia="en-US"/>
        </w:rPr>
        <w:t xml:space="preserve"> </w:t>
      </w:r>
      <w:r w:rsidR="00D42423" w:rsidRPr="009D52FD">
        <w:rPr>
          <w:rFonts w:eastAsiaTheme="minorHAnsi" w:cstheme="minorBidi"/>
          <w:sz w:val="20"/>
          <w:szCs w:val="20"/>
          <w:lang w:val="en-US" w:eastAsia="en-US"/>
        </w:rPr>
        <w:t>until December</w:t>
      </w:r>
      <w:r w:rsidRPr="009D52FD">
        <w:rPr>
          <w:rFonts w:eastAsiaTheme="minorHAnsi" w:cstheme="minorBidi"/>
          <w:sz w:val="20"/>
          <w:szCs w:val="20"/>
          <w:lang w:val="en-US" w:eastAsia="en-US"/>
        </w:rPr>
        <w:t xml:space="preserve"> 25</w:t>
      </w:r>
      <w:r w:rsidR="00D42423"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2001</w:t>
      </w:r>
      <w:r w:rsidR="007B005D" w:rsidRPr="009D52FD">
        <w:rPr>
          <w:rFonts w:eastAsiaTheme="minorHAnsi" w:cstheme="minorBidi"/>
          <w:sz w:val="20"/>
          <w:szCs w:val="20"/>
          <w:lang w:val="en-US" w:eastAsia="en-US"/>
        </w:rPr>
        <w:t>,</w:t>
      </w:r>
      <w:r w:rsidRPr="009D52FD">
        <w:rPr>
          <w:rFonts w:eastAsiaTheme="minorHAnsi" w:cstheme="minorBidi"/>
          <w:sz w:val="20"/>
          <w:szCs w:val="20"/>
          <w:lang w:val="en-US" w:eastAsia="en-US"/>
        </w:rPr>
        <w:t xml:space="preserve"> </w:t>
      </w:r>
      <w:r w:rsidR="00D42423" w:rsidRPr="009D52FD">
        <w:rPr>
          <w:rFonts w:eastAsiaTheme="minorHAnsi" w:cstheme="minorBidi"/>
          <w:sz w:val="20"/>
          <w:szCs w:val="20"/>
          <w:lang w:val="en-US" w:eastAsia="en-US"/>
        </w:rPr>
        <w:t>when she was transferred to the Caracas Military Hospital,</w:t>
      </w:r>
      <w:r w:rsidRPr="009D52FD">
        <w:rPr>
          <w:rFonts w:eastAsiaTheme="minorHAnsi" w:cstheme="minorBidi"/>
          <w:sz w:val="20"/>
          <w:szCs w:val="20"/>
          <w:vertAlign w:val="superscript"/>
          <w:lang w:val="en-US" w:eastAsia="en-US"/>
        </w:rPr>
        <w:footnoteReference w:id="77"/>
      </w:r>
      <w:r w:rsidR="00D42423" w:rsidRPr="009D52FD">
        <w:rPr>
          <w:rFonts w:eastAsiaTheme="minorHAnsi" w:cstheme="minorBidi"/>
          <w:sz w:val="20"/>
          <w:szCs w:val="20"/>
          <w:lang w:val="en-US" w:eastAsia="en-US"/>
        </w:rPr>
        <w:t xml:space="preserve"> where she stayed until June 10, 2002.</w:t>
      </w:r>
      <w:r w:rsidRPr="009D52FD">
        <w:rPr>
          <w:rFonts w:eastAsiaTheme="minorHAnsi" w:cstheme="minorBidi"/>
          <w:sz w:val="20"/>
          <w:szCs w:val="20"/>
          <w:vertAlign w:val="superscript"/>
          <w:lang w:val="en-US" w:eastAsia="en-US"/>
        </w:rPr>
        <w:footnoteReference w:id="78"/>
      </w:r>
      <w:r w:rsidR="00D42423" w:rsidRPr="009D52FD">
        <w:rPr>
          <w:rFonts w:eastAsiaTheme="minorHAnsi" w:cstheme="minorBidi"/>
          <w:sz w:val="20"/>
          <w:szCs w:val="20"/>
          <w:lang w:val="en-US" w:eastAsia="en-US"/>
        </w:rPr>
        <w:t xml:space="preserve"> Subsequently, she also had to be hospitalized on several occasions to undergo various surgical procedures,</w:t>
      </w:r>
      <w:r w:rsidR="00A608FF" w:rsidRPr="009D52FD">
        <w:rPr>
          <w:rFonts w:eastAsiaTheme="minorHAnsi" w:cstheme="minorBidi"/>
          <w:sz w:val="20"/>
          <w:szCs w:val="20"/>
          <w:vertAlign w:val="superscript"/>
          <w:lang w:val="en-US" w:eastAsia="en-US"/>
        </w:rPr>
        <w:footnoteReference w:id="79"/>
      </w:r>
      <w:r w:rsidR="00D42423" w:rsidRPr="009D52FD">
        <w:rPr>
          <w:rFonts w:eastAsiaTheme="minorHAnsi" w:cstheme="minorBidi"/>
          <w:sz w:val="20"/>
          <w:szCs w:val="20"/>
          <w:lang w:val="en-US" w:eastAsia="en-US"/>
        </w:rPr>
        <w:t xml:space="preserve"> facial reconstruction surgery (upper and lower lips) and jaw surgery (owing to the triple jaw fracture she had suffered), psychological and psychiatric treatment, and </w:t>
      </w:r>
      <w:r w:rsidR="00D42423" w:rsidRPr="009D52FD">
        <w:rPr>
          <w:rFonts w:eastAsiaTheme="minorHAnsi" w:cstheme="minorBidi"/>
          <w:sz w:val="20"/>
          <w:szCs w:val="20"/>
          <w:lang w:val="en-US" w:eastAsia="en-US"/>
        </w:rPr>
        <w:lastRenderedPageBreak/>
        <w:t>ophthalmic services, among other treatments.</w:t>
      </w:r>
      <w:r w:rsidRPr="009D52FD">
        <w:rPr>
          <w:rFonts w:eastAsiaTheme="minorHAnsi" w:cstheme="minorBidi"/>
          <w:sz w:val="20"/>
          <w:szCs w:val="20"/>
          <w:vertAlign w:val="superscript"/>
          <w:lang w:val="en-US" w:eastAsia="en-US"/>
        </w:rPr>
        <w:footnoteReference w:id="80"/>
      </w:r>
      <w:r w:rsidR="00D42423" w:rsidRPr="009D52FD">
        <w:rPr>
          <w:rFonts w:eastAsiaTheme="minorHAnsi" w:cstheme="minorBidi"/>
          <w:sz w:val="20"/>
          <w:szCs w:val="20"/>
          <w:lang w:val="en-US" w:eastAsia="en-US"/>
        </w:rPr>
        <w:t xml:space="preserve"> She was also diagnosed with post-traumatic stress syndrome.</w:t>
      </w:r>
      <w:r w:rsidR="00FF7360" w:rsidRPr="009D52FD">
        <w:rPr>
          <w:rFonts w:eastAsiaTheme="minorHAnsi" w:cstheme="minorBidi"/>
          <w:sz w:val="20"/>
          <w:szCs w:val="20"/>
          <w:vertAlign w:val="superscript"/>
          <w:lang w:val="en-US" w:eastAsia="en-US"/>
        </w:rPr>
        <w:footnoteReference w:id="81"/>
      </w:r>
    </w:p>
    <w:p w14:paraId="7607D73A" w14:textId="77777777" w:rsidR="00BB528A" w:rsidRPr="009D52FD" w:rsidRDefault="00BB528A" w:rsidP="00BB528A">
      <w:pPr>
        <w:widowControl/>
        <w:adjustRightInd/>
        <w:spacing w:line="240" w:lineRule="auto"/>
        <w:textAlignment w:val="auto"/>
        <w:rPr>
          <w:rFonts w:eastAsiaTheme="minorHAnsi" w:cstheme="minorBidi"/>
          <w:sz w:val="20"/>
          <w:szCs w:val="20"/>
          <w:lang w:val="en-US" w:eastAsia="en-US"/>
        </w:rPr>
      </w:pPr>
    </w:p>
    <w:p w14:paraId="25D8B6B2" w14:textId="034CDB8A" w:rsidR="00BB528A" w:rsidRPr="009D52FD" w:rsidRDefault="001D422B" w:rsidP="001D422B">
      <w:pPr>
        <w:keepNext/>
        <w:keepLines/>
        <w:tabs>
          <w:tab w:val="left" w:pos="1134"/>
        </w:tabs>
        <w:spacing w:line="240" w:lineRule="auto"/>
        <w:ind w:left="567" w:firstLine="1"/>
        <w:outlineLvl w:val="1"/>
        <w:rPr>
          <w:rFonts w:eastAsia="MS Mincho"/>
          <w:b/>
          <w:bCs/>
          <w:i/>
          <w:sz w:val="20"/>
          <w:szCs w:val="20"/>
          <w:lang w:val="en-US"/>
        </w:rPr>
      </w:pPr>
      <w:bookmarkStart w:id="67" w:name="_Toc51400086"/>
      <w:r w:rsidRPr="009D52FD">
        <w:rPr>
          <w:rFonts w:eastAsia="MS Mincho"/>
          <w:b/>
          <w:bCs/>
          <w:i/>
          <w:sz w:val="20"/>
          <w:szCs w:val="20"/>
          <w:lang w:val="en-US"/>
        </w:rPr>
        <w:t>E</w:t>
      </w:r>
      <w:r w:rsidR="00BB528A" w:rsidRPr="009D52FD">
        <w:rPr>
          <w:rFonts w:eastAsia="MS Mincho"/>
          <w:b/>
          <w:bCs/>
          <w:i/>
          <w:sz w:val="20"/>
          <w:szCs w:val="20"/>
          <w:lang w:val="en-US"/>
        </w:rPr>
        <w:t xml:space="preserve">. </w:t>
      </w:r>
      <w:r w:rsidR="00ED6EDF" w:rsidRPr="009D52FD">
        <w:rPr>
          <w:rFonts w:eastAsia="MS Mincho"/>
          <w:b/>
          <w:bCs/>
          <w:i/>
          <w:sz w:val="20"/>
          <w:szCs w:val="20"/>
          <w:lang w:val="en-US"/>
        </w:rPr>
        <w:tab/>
      </w:r>
      <w:r w:rsidR="006E1F8F" w:rsidRPr="009D52FD">
        <w:rPr>
          <w:rFonts w:eastAsia="MS Mincho"/>
          <w:b/>
          <w:bCs/>
          <w:i/>
          <w:sz w:val="20"/>
          <w:szCs w:val="20"/>
          <w:lang w:val="en-US"/>
        </w:rPr>
        <w:t>Investigation and judicial proceedings for the acts of</w:t>
      </w:r>
      <w:r w:rsidR="009E0789" w:rsidRPr="009D52FD">
        <w:rPr>
          <w:rFonts w:eastAsia="MS Mincho"/>
          <w:b/>
          <w:bCs/>
          <w:i/>
          <w:sz w:val="20"/>
          <w:szCs w:val="20"/>
          <w:lang w:val="en-US"/>
        </w:rPr>
        <w:t xml:space="preserve"> violence perpetrated against</w:t>
      </w:r>
      <w:r w:rsidR="00BB528A" w:rsidRPr="009D52FD">
        <w:rPr>
          <w:rFonts w:eastAsia="MS Mincho"/>
          <w:b/>
          <w:bCs/>
          <w:i/>
          <w:sz w:val="20"/>
          <w:szCs w:val="20"/>
          <w:lang w:val="en-US"/>
        </w:rPr>
        <w:t xml:space="preserve"> Linda Loaiza López Soto</w:t>
      </w:r>
      <w:bookmarkEnd w:id="67"/>
    </w:p>
    <w:p w14:paraId="05E5906D" w14:textId="77777777" w:rsidR="00BB528A" w:rsidRPr="009D52FD" w:rsidRDefault="00BB528A" w:rsidP="00BB528A">
      <w:pPr>
        <w:widowControl/>
        <w:adjustRightInd/>
        <w:spacing w:line="240" w:lineRule="auto"/>
        <w:textAlignment w:val="auto"/>
        <w:rPr>
          <w:rFonts w:eastAsiaTheme="minorHAnsi" w:cstheme="minorBidi"/>
          <w:b/>
          <w:bCs/>
          <w:sz w:val="20"/>
          <w:szCs w:val="20"/>
          <w:lang w:val="en-US" w:eastAsia="en-US"/>
        </w:rPr>
      </w:pPr>
    </w:p>
    <w:p w14:paraId="52E25D32" w14:textId="3181A8C9" w:rsidR="00BB528A" w:rsidRPr="009D52FD" w:rsidRDefault="001D422B" w:rsidP="00050831">
      <w:pPr>
        <w:widowControl/>
        <w:tabs>
          <w:tab w:val="left" w:pos="1985"/>
        </w:tabs>
        <w:adjustRightInd/>
        <w:spacing w:line="240" w:lineRule="auto"/>
        <w:ind w:left="1275"/>
        <w:textAlignment w:val="auto"/>
        <w:rPr>
          <w:rFonts w:eastAsiaTheme="minorHAnsi" w:cstheme="minorBidi"/>
          <w:bCs/>
          <w:i/>
          <w:sz w:val="20"/>
          <w:szCs w:val="20"/>
          <w:lang w:val="en-US" w:eastAsia="en-US"/>
        </w:rPr>
      </w:pPr>
      <w:r w:rsidRPr="009D52FD">
        <w:rPr>
          <w:rFonts w:eastAsiaTheme="minorHAnsi" w:cstheme="minorBidi"/>
          <w:bCs/>
          <w:i/>
          <w:sz w:val="20"/>
          <w:szCs w:val="20"/>
          <w:lang w:val="en-US" w:eastAsia="en-US"/>
        </w:rPr>
        <w:t>E</w:t>
      </w:r>
      <w:r w:rsidR="00BB528A" w:rsidRPr="009D52FD">
        <w:rPr>
          <w:rFonts w:eastAsiaTheme="minorHAnsi" w:cstheme="minorBidi"/>
          <w:bCs/>
          <w:i/>
          <w:sz w:val="20"/>
          <w:szCs w:val="20"/>
          <w:lang w:val="en-US" w:eastAsia="en-US"/>
        </w:rPr>
        <w:t xml:space="preserve">.1 </w:t>
      </w:r>
      <w:r w:rsidR="00050831" w:rsidRPr="009D52FD">
        <w:rPr>
          <w:rFonts w:eastAsiaTheme="minorHAnsi" w:cstheme="minorBidi"/>
          <w:bCs/>
          <w:i/>
          <w:sz w:val="20"/>
          <w:szCs w:val="20"/>
          <w:lang w:val="en-US" w:eastAsia="en-US"/>
        </w:rPr>
        <w:tab/>
      </w:r>
      <w:r w:rsidR="009E0789" w:rsidRPr="009D52FD">
        <w:rPr>
          <w:rFonts w:eastAsiaTheme="minorHAnsi" w:cstheme="minorBidi"/>
          <w:bCs/>
          <w:i/>
          <w:sz w:val="20"/>
          <w:szCs w:val="20"/>
          <w:lang w:val="en-US" w:eastAsia="en-US"/>
        </w:rPr>
        <w:t>Criminal investigation procedures and actions by</w:t>
      </w:r>
      <w:r w:rsidR="000C6475" w:rsidRPr="009D52FD">
        <w:rPr>
          <w:rFonts w:eastAsiaTheme="minorHAnsi" w:cstheme="minorBidi"/>
          <w:bCs/>
          <w:i/>
          <w:sz w:val="20"/>
          <w:szCs w:val="20"/>
          <w:lang w:val="en-US" w:eastAsia="en-US"/>
        </w:rPr>
        <w:t xml:space="preserve"> the </w:t>
      </w:r>
      <w:r w:rsidR="009E0789" w:rsidRPr="009D52FD">
        <w:rPr>
          <w:rFonts w:eastAsiaTheme="minorHAnsi" w:cstheme="minorBidi"/>
          <w:bCs/>
          <w:i/>
          <w:sz w:val="20"/>
          <w:szCs w:val="20"/>
          <w:lang w:val="en-US" w:eastAsia="en-US"/>
        </w:rPr>
        <w:t>Public Prosecution Service</w:t>
      </w:r>
    </w:p>
    <w:p w14:paraId="511E1876" w14:textId="77777777" w:rsidR="00BB528A" w:rsidRPr="009D52FD" w:rsidRDefault="00BB528A" w:rsidP="00BB528A">
      <w:pPr>
        <w:widowControl/>
        <w:adjustRightInd/>
        <w:spacing w:line="240" w:lineRule="auto"/>
        <w:textAlignment w:val="auto"/>
        <w:rPr>
          <w:rFonts w:eastAsiaTheme="minorHAnsi" w:cstheme="minorBidi"/>
          <w:bCs/>
          <w:sz w:val="20"/>
          <w:szCs w:val="20"/>
          <w:lang w:val="en-US" w:eastAsia="en-US"/>
        </w:rPr>
      </w:pPr>
    </w:p>
    <w:p w14:paraId="0A9D43C8" w14:textId="64F6E8C8" w:rsidR="001D422B" w:rsidRPr="009D52FD" w:rsidRDefault="009523F6" w:rsidP="00001624">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On</w:t>
      </w:r>
      <w:r w:rsidR="00BB528A" w:rsidRPr="009D52FD">
        <w:rPr>
          <w:rFonts w:eastAsiaTheme="minorHAnsi" w:cstheme="minorBidi"/>
          <w:sz w:val="20"/>
          <w:szCs w:val="20"/>
          <w:lang w:val="en-US" w:eastAsia="en-US"/>
        </w:rPr>
        <w:t xml:space="preserve"> </w:t>
      </w:r>
      <w:r w:rsidR="00DB6AF5" w:rsidRPr="009D52FD">
        <w:rPr>
          <w:rFonts w:eastAsiaTheme="minorHAnsi" w:cstheme="minorBidi"/>
          <w:sz w:val="20"/>
          <w:szCs w:val="20"/>
          <w:lang w:val="en-US" w:eastAsia="en-US"/>
        </w:rPr>
        <w:t>July 19,</w:t>
      </w:r>
      <w:r w:rsidR="00BB528A" w:rsidRPr="009D52FD">
        <w:rPr>
          <w:rFonts w:eastAsiaTheme="minorHAnsi" w:cstheme="minorBidi"/>
          <w:sz w:val="20"/>
          <w:szCs w:val="20"/>
          <w:lang w:val="en-US" w:eastAsia="en-US"/>
        </w:rPr>
        <w:t xml:space="preserve"> 2001,</w:t>
      </w:r>
      <w:r w:rsidR="004C4393" w:rsidRPr="009D52FD">
        <w:rPr>
          <w:rFonts w:eastAsiaTheme="minorHAnsi" w:cstheme="minorBidi"/>
          <w:sz w:val="20"/>
          <w:szCs w:val="20"/>
          <w:lang w:val="en-US" w:eastAsia="en-US"/>
        </w:rPr>
        <w:t xml:space="preserve"> </w:t>
      </w:r>
      <w:r w:rsidR="00001624" w:rsidRPr="009D52FD">
        <w:rPr>
          <w:rFonts w:eastAsiaTheme="minorHAnsi" w:cstheme="minorBidi"/>
          <w:sz w:val="20"/>
          <w:szCs w:val="20"/>
          <w:lang w:val="en-US" w:eastAsia="en-US"/>
        </w:rPr>
        <w:t>the date of which</w:t>
      </w:r>
      <w:r w:rsidR="00BB528A" w:rsidRPr="009D52FD">
        <w:rPr>
          <w:rFonts w:eastAsiaTheme="minorHAnsi" w:cstheme="minorBidi"/>
          <w:sz w:val="20"/>
          <w:szCs w:val="20"/>
          <w:lang w:val="en-US" w:eastAsia="en-US"/>
        </w:rPr>
        <w:t xml:space="preserve"> Linda Loaiza López Soto</w:t>
      </w:r>
      <w:r w:rsidR="00001624" w:rsidRPr="009D52FD">
        <w:rPr>
          <w:rFonts w:eastAsiaTheme="minorHAnsi" w:cstheme="minorBidi"/>
          <w:sz w:val="20"/>
          <w:szCs w:val="20"/>
          <w:lang w:val="en-US" w:eastAsia="en-US"/>
        </w:rPr>
        <w:t xml:space="preserve"> was rescued, the criminal investigation was initiated by Prosecutor </w:t>
      </w:r>
      <w:r w:rsidR="00BB528A" w:rsidRPr="009D52FD">
        <w:rPr>
          <w:rFonts w:eastAsiaTheme="minorHAnsi" w:cstheme="minorBidi"/>
          <w:sz w:val="20"/>
          <w:szCs w:val="20"/>
          <w:lang w:val="en-US" w:eastAsia="en-US"/>
        </w:rPr>
        <w:t>N</w:t>
      </w:r>
      <w:r w:rsidR="00CB564C" w:rsidRPr="009D52FD">
        <w:rPr>
          <w:rFonts w:eastAsiaTheme="minorHAnsi" w:cstheme="minorBidi"/>
          <w:sz w:val="20"/>
          <w:szCs w:val="20"/>
          <w:lang w:val="en-US" w:eastAsia="en-US"/>
        </w:rPr>
        <w:t>o.</w:t>
      </w:r>
      <w:r w:rsidR="00BB528A" w:rsidRPr="009D52FD">
        <w:rPr>
          <w:rFonts w:eastAsiaTheme="minorHAnsi" w:cstheme="minorBidi"/>
          <w:sz w:val="20"/>
          <w:szCs w:val="20"/>
          <w:lang w:val="en-US" w:eastAsia="en-US"/>
        </w:rPr>
        <w:t xml:space="preserve"> 33</w:t>
      </w:r>
      <w:r w:rsidR="000C6475" w:rsidRPr="009D52FD">
        <w:rPr>
          <w:rFonts w:eastAsiaTheme="minorHAnsi" w:cstheme="minorBidi"/>
          <w:sz w:val="20"/>
          <w:szCs w:val="20"/>
          <w:lang w:val="en-US" w:eastAsia="en-US"/>
        </w:rPr>
        <w:t xml:space="preserve"> of the Public Prosecution Service</w:t>
      </w:r>
      <w:r w:rsidR="00BB528A" w:rsidRPr="009D52FD">
        <w:rPr>
          <w:rFonts w:eastAsiaTheme="minorHAnsi" w:cstheme="minorBidi"/>
          <w:sz w:val="20"/>
          <w:szCs w:val="20"/>
          <w:lang w:val="en-US" w:eastAsia="en-US"/>
        </w:rPr>
        <w:t xml:space="preserve"> </w:t>
      </w:r>
      <w:r w:rsidR="00565380" w:rsidRPr="009D52FD">
        <w:rPr>
          <w:rFonts w:eastAsiaTheme="minorHAnsi" w:cstheme="minorBidi"/>
          <w:sz w:val="20"/>
          <w:szCs w:val="20"/>
          <w:lang w:val="en-US" w:eastAsia="en-US"/>
        </w:rPr>
        <w:t>of the Caracas Metropolitan Area</w:t>
      </w:r>
      <w:r w:rsidR="00001624" w:rsidRPr="009D52FD">
        <w:rPr>
          <w:rFonts w:eastAsiaTheme="minorHAnsi" w:cstheme="minorBidi"/>
          <w:sz w:val="20"/>
          <w:szCs w:val="20"/>
          <w:lang w:val="en-US" w:eastAsia="en-US"/>
        </w:rPr>
        <w:t>.</w:t>
      </w:r>
      <w:r w:rsidR="00BB528A" w:rsidRPr="009D52FD">
        <w:rPr>
          <w:rFonts w:eastAsiaTheme="minorHAnsi" w:cstheme="minorBidi"/>
          <w:sz w:val="20"/>
          <w:szCs w:val="20"/>
          <w:vertAlign w:val="superscript"/>
          <w:lang w:val="en-US" w:eastAsia="en-US"/>
        </w:rPr>
        <w:footnoteReference w:id="82"/>
      </w:r>
      <w:r w:rsidR="00001624" w:rsidRPr="009D52FD">
        <w:rPr>
          <w:rFonts w:eastAsiaTheme="minorHAnsi" w:cstheme="minorBidi"/>
          <w:sz w:val="20"/>
          <w:szCs w:val="20"/>
          <w:lang w:val="en-US" w:eastAsia="en-US"/>
        </w:rPr>
        <w:t xml:space="preserve"> That same day, the Judicial Technical Police of the Chacao Police Station made a visual inspection of the apartment and recorded that “in the building  […] several types of criminal evidence were found, such as wrappers containing waste, and seeds of a presumed </w:t>
      </w:r>
      <w:r w:rsidR="009C73CE" w:rsidRPr="009D52FD">
        <w:rPr>
          <w:rFonts w:eastAsiaTheme="minorHAnsi" w:cstheme="minorBidi"/>
          <w:sz w:val="20"/>
          <w:szCs w:val="20"/>
          <w:lang w:val="en-US" w:eastAsia="en-US"/>
        </w:rPr>
        <w:t>narcotic</w:t>
      </w:r>
      <w:r w:rsidR="00001624" w:rsidRPr="009D52FD">
        <w:rPr>
          <w:rFonts w:eastAsiaTheme="minorHAnsi" w:cstheme="minorBidi"/>
          <w:sz w:val="20"/>
          <w:szCs w:val="20"/>
          <w:lang w:val="en-US" w:eastAsia="en-US"/>
        </w:rPr>
        <w:t>, several pornographic magazines, a pair of handcuffs without any visible marking, and bedsheets impregnated with brownish stain, [and] two VHS tapes.</w:t>
      </w:r>
      <w:r w:rsidR="00E4537B" w:rsidRPr="009D52FD">
        <w:rPr>
          <w:rFonts w:eastAsiaTheme="minorHAnsi" w:cstheme="minorBidi"/>
          <w:sz w:val="20"/>
          <w:szCs w:val="20"/>
          <w:lang w:val="en-US" w:eastAsia="en-US"/>
        </w:rPr>
        <w:t>”</w:t>
      </w:r>
      <w:r w:rsidR="00E4537B" w:rsidRPr="009D52FD">
        <w:rPr>
          <w:rFonts w:eastAsiaTheme="minorHAnsi" w:cstheme="minorBidi"/>
          <w:sz w:val="20"/>
          <w:szCs w:val="20"/>
          <w:vertAlign w:val="superscript"/>
          <w:lang w:val="en-US" w:eastAsia="en-US"/>
        </w:rPr>
        <w:footnoteReference w:id="83"/>
      </w:r>
      <w:r w:rsidR="00E4537B" w:rsidRPr="009D52FD">
        <w:rPr>
          <w:rFonts w:eastAsiaTheme="minorHAnsi" w:cstheme="minorBidi"/>
          <w:sz w:val="20"/>
          <w:szCs w:val="20"/>
          <w:lang w:val="en-US" w:eastAsia="en-US"/>
        </w:rPr>
        <w:t xml:space="preserve"> </w:t>
      </w:r>
      <w:r w:rsidR="00001624" w:rsidRPr="009D52FD">
        <w:rPr>
          <w:rFonts w:eastAsiaTheme="minorHAnsi" w:cstheme="minorBidi"/>
          <w:sz w:val="20"/>
          <w:szCs w:val="20"/>
          <w:lang w:val="en-US" w:eastAsia="en-US"/>
        </w:rPr>
        <w:t>The officials who took part in the visual inspection subsequently testified in the oral trial and referred to several pieces of evidence that were not included in the photographic record that complemented this procedure.</w:t>
      </w:r>
      <w:r w:rsidR="00BB528A" w:rsidRPr="009D52FD">
        <w:rPr>
          <w:rFonts w:eastAsiaTheme="minorHAnsi" w:cstheme="minorBidi"/>
          <w:sz w:val="20"/>
          <w:szCs w:val="20"/>
          <w:vertAlign w:val="superscript"/>
          <w:lang w:val="en-US" w:eastAsia="en-US"/>
        </w:rPr>
        <w:footnoteReference w:id="84"/>
      </w:r>
    </w:p>
    <w:p w14:paraId="4E3E0C1F" w14:textId="77777777" w:rsidR="001D422B" w:rsidRPr="009D52FD" w:rsidRDefault="001D422B" w:rsidP="001D422B">
      <w:pPr>
        <w:tabs>
          <w:tab w:val="left" w:pos="567"/>
        </w:tabs>
        <w:spacing w:line="240" w:lineRule="auto"/>
        <w:rPr>
          <w:rFonts w:eastAsiaTheme="minorHAnsi" w:cstheme="minorBidi"/>
          <w:sz w:val="20"/>
          <w:szCs w:val="20"/>
          <w:lang w:val="en-US" w:eastAsia="en-US"/>
        </w:rPr>
      </w:pPr>
    </w:p>
    <w:p w14:paraId="3D63F181" w14:textId="63E3412D" w:rsidR="00BB528A" w:rsidRPr="009D52FD" w:rsidRDefault="00BB528A" w:rsidP="001D422B">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Dur</w:t>
      </w:r>
      <w:r w:rsidR="00001624" w:rsidRPr="009D52FD">
        <w:rPr>
          <w:rFonts w:eastAsiaTheme="minorHAnsi" w:cstheme="minorBidi"/>
          <w:sz w:val="20"/>
          <w:szCs w:val="20"/>
          <w:lang w:val="en-US" w:eastAsia="en-US"/>
        </w:rPr>
        <w:t xml:space="preserve">ing the first months of her hospitalization, state </w:t>
      </w:r>
      <w:r w:rsidR="00120E35" w:rsidRPr="009D52FD">
        <w:rPr>
          <w:rFonts w:eastAsiaTheme="minorHAnsi" w:cstheme="minorBidi"/>
          <w:sz w:val="20"/>
          <w:szCs w:val="20"/>
          <w:lang w:val="en-US" w:eastAsia="en-US"/>
        </w:rPr>
        <w:t>auth</w:t>
      </w:r>
      <w:r w:rsidR="006B506A" w:rsidRPr="009D52FD">
        <w:rPr>
          <w:rFonts w:eastAsiaTheme="minorHAnsi" w:cstheme="minorBidi"/>
          <w:sz w:val="20"/>
          <w:szCs w:val="20"/>
          <w:lang w:val="en-US" w:eastAsia="en-US"/>
        </w:rPr>
        <w:t>or</w:t>
      </w:r>
      <w:r w:rsidR="00001624" w:rsidRPr="009D52FD">
        <w:rPr>
          <w:rFonts w:eastAsiaTheme="minorHAnsi" w:cstheme="minorBidi"/>
          <w:sz w:val="20"/>
          <w:szCs w:val="20"/>
          <w:lang w:val="en-US" w:eastAsia="en-US"/>
        </w:rPr>
        <w:t>ities tried to interview</w:t>
      </w:r>
      <w:r w:rsidR="006B3733" w:rsidRPr="009D52FD">
        <w:rPr>
          <w:rFonts w:eastAsiaTheme="minorHAnsi" w:cstheme="minorBidi"/>
          <w:sz w:val="20"/>
          <w:szCs w:val="20"/>
          <w:lang w:val="en-US" w:eastAsia="en-US"/>
        </w:rPr>
        <w:t xml:space="preserve"> Linda Loaiza</w:t>
      </w:r>
      <w:r w:rsidR="00606A42" w:rsidRPr="009D52FD">
        <w:rPr>
          <w:rFonts w:eastAsiaTheme="minorHAnsi" w:cstheme="minorBidi"/>
          <w:sz w:val="20"/>
          <w:szCs w:val="20"/>
          <w:lang w:val="en-US" w:eastAsia="en-US"/>
        </w:rPr>
        <w:t xml:space="preserve"> López Soto</w:t>
      </w:r>
      <w:r w:rsidR="00001624" w:rsidRPr="009D52FD">
        <w:rPr>
          <w:rFonts w:eastAsiaTheme="minorHAnsi" w:cstheme="minorBidi"/>
          <w:sz w:val="20"/>
          <w:szCs w:val="20"/>
          <w:lang w:val="en-US" w:eastAsia="en-US"/>
        </w:rPr>
        <w:t xml:space="preserve"> on numerous occasions.</w:t>
      </w:r>
      <w:r w:rsidRPr="009D52FD">
        <w:rPr>
          <w:rFonts w:eastAsiaTheme="minorHAnsi" w:cstheme="minorBidi"/>
          <w:sz w:val="20"/>
          <w:szCs w:val="20"/>
          <w:vertAlign w:val="superscript"/>
          <w:lang w:val="en-US" w:eastAsia="en-US"/>
        </w:rPr>
        <w:footnoteReference w:id="85"/>
      </w:r>
      <w:r w:rsidRPr="009D52FD">
        <w:rPr>
          <w:rFonts w:eastAsiaTheme="minorHAnsi" w:cstheme="minorBidi"/>
          <w:sz w:val="20"/>
          <w:szCs w:val="20"/>
          <w:lang w:val="en-US" w:eastAsia="en-US"/>
        </w:rPr>
        <w:t xml:space="preserve"> Linda Loaiza den</w:t>
      </w:r>
      <w:r w:rsidR="00CE476F" w:rsidRPr="009D52FD">
        <w:rPr>
          <w:rFonts w:eastAsiaTheme="minorHAnsi" w:cstheme="minorBidi"/>
          <w:sz w:val="20"/>
          <w:szCs w:val="20"/>
          <w:lang w:val="en-US" w:eastAsia="en-US"/>
        </w:rPr>
        <w:t xml:space="preserve">ounced the intervening prosecutor for having made her sign, under threat, while she was in the </w:t>
      </w:r>
      <w:r w:rsidR="000C6475" w:rsidRPr="009D52FD">
        <w:rPr>
          <w:rFonts w:eastAsiaTheme="minorHAnsi" w:cstheme="minorBidi"/>
          <w:sz w:val="20"/>
          <w:szCs w:val="20"/>
          <w:lang w:val="en-US" w:eastAsia="en-US"/>
        </w:rPr>
        <w:t>Caracas University Hospital</w:t>
      </w:r>
      <w:r w:rsidR="006C16DA" w:rsidRPr="009D52FD">
        <w:rPr>
          <w:rFonts w:eastAsiaTheme="minorHAnsi" w:cstheme="minorBidi"/>
          <w:sz w:val="20"/>
          <w:szCs w:val="20"/>
          <w:lang w:val="en-US" w:eastAsia="en-US"/>
        </w:rPr>
        <w:t>,</w:t>
      </w:r>
      <w:r w:rsidR="00CE476F" w:rsidRPr="009D52FD">
        <w:rPr>
          <w:rFonts w:eastAsiaTheme="minorHAnsi" w:cstheme="minorBidi"/>
          <w:sz w:val="20"/>
          <w:szCs w:val="20"/>
          <w:lang w:val="en-US" w:eastAsia="en-US"/>
        </w:rPr>
        <w:t xml:space="preserve"> a statement that she was not allowed to see and in the presence of an unidentified individual carrying a weapon.</w:t>
      </w:r>
      <w:r w:rsidRPr="009D52FD">
        <w:rPr>
          <w:rFonts w:eastAsiaTheme="minorHAnsi" w:cstheme="minorBidi"/>
          <w:sz w:val="20"/>
          <w:szCs w:val="20"/>
          <w:vertAlign w:val="superscript"/>
          <w:lang w:val="en-US" w:eastAsia="en-US"/>
        </w:rPr>
        <w:footnoteReference w:id="86"/>
      </w:r>
      <w:r w:rsidRPr="009D52FD">
        <w:rPr>
          <w:rFonts w:eastAsiaTheme="minorHAnsi" w:cstheme="minorBidi"/>
          <w:sz w:val="20"/>
          <w:szCs w:val="20"/>
          <w:lang w:val="en-US" w:eastAsia="en-US"/>
        </w:rPr>
        <w:t xml:space="preserve"> Linda</w:t>
      </w:r>
      <w:r w:rsidR="00CE476F" w:rsidRPr="009D52FD">
        <w:rPr>
          <w:rFonts w:eastAsiaTheme="minorHAnsi" w:cstheme="minorBidi"/>
          <w:sz w:val="20"/>
          <w:szCs w:val="20"/>
          <w:lang w:val="en-US" w:eastAsia="en-US"/>
        </w:rPr>
        <w:t xml:space="preserve">’s parents also denounced that the prosecutor tried to take statements from </w:t>
      </w:r>
      <w:r w:rsidRPr="009D52FD">
        <w:rPr>
          <w:rFonts w:eastAsiaTheme="minorHAnsi" w:cstheme="minorBidi"/>
          <w:sz w:val="20"/>
          <w:szCs w:val="20"/>
          <w:lang w:val="en-US" w:eastAsia="en-US"/>
        </w:rPr>
        <w:t>Linda</w:t>
      </w:r>
      <w:r w:rsidR="002042ED" w:rsidRPr="009D52FD">
        <w:rPr>
          <w:rFonts w:eastAsiaTheme="minorHAnsi" w:cstheme="minorBidi"/>
          <w:sz w:val="20"/>
          <w:szCs w:val="20"/>
          <w:lang w:val="en-US" w:eastAsia="en-US"/>
        </w:rPr>
        <w:t xml:space="preserve"> Loaiza</w:t>
      </w:r>
      <w:r w:rsidRPr="009D52FD">
        <w:rPr>
          <w:rFonts w:eastAsiaTheme="minorHAnsi" w:cstheme="minorBidi"/>
          <w:sz w:val="20"/>
          <w:szCs w:val="20"/>
          <w:lang w:val="en-US" w:eastAsia="en-US"/>
        </w:rPr>
        <w:t xml:space="preserve">, </w:t>
      </w:r>
      <w:r w:rsidR="00CE476F" w:rsidRPr="009D52FD">
        <w:rPr>
          <w:rFonts w:eastAsiaTheme="minorHAnsi" w:cstheme="minorBidi"/>
          <w:sz w:val="20"/>
          <w:szCs w:val="20"/>
          <w:lang w:val="en-US" w:eastAsia="en-US"/>
        </w:rPr>
        <w:t xml:space="preserve">for a whole week at different times of day, even when she had just been operated on and could not speak. They also denounced that, while she was still in these conditions, the prosecutor questioned </w:t>
      </w:r>
      <w:r w:rsidR="00CE476F" w:rsidRPr="009D52FD">
        <w:rPr>
          <w:rFonts w:eastAsiaTheme="minorHAnsi" w:cstheme="minorBidi"/>
          <w:sz w:val="20"/>
          <w:szCs w:val="20"/>
          <w:lang w:val="en-US" w:eastAsia="en-US"/>
        </w:rPr>
        <w:lastRenderedPageBreak/>
        <w:t xml:space="preserve">her and </w:t>
      </w:r>
      <w:r w:rsidRPr="009D52FD">
        <w:rPr>
          <w:rFonts w:eastAsiaTheme="minorHAnsi" w:cstheme="minorBidi"/>
          <w:sz w:val="20"/>
          <w:szCs w:val="20"/>
          <w:lang w:val="en-US" w:eastAsia="en-US"/>
        </w:rPr>
        <w:t>Linda</w:t>
      </w:r>
      <w:r w:rsidR="00554111" w:rsidRPr="009D52FD">
        <w:rPr>
          <w:rFonts w:eastAsiaTheme="minorHAnsi" w:cstheme="minorBidi"/>
          <w:sz w:val="20"/>
          <w:szCs w:val="20"/>
          <w:lang w:val="en-US" w:eastAsia="en-US"/>
        </w:rPr>
        <w:t xml:space="preserve"> Loaiza</w:t>
      </w:r>
      <w:r w:rsidRPr="009D52FD">
        <w:rPr>
          <w:rFonts w:eastAsiaTheme="minorHAnsi" w:cstheme="minorBidi"/>
          <w:sz w:val="20"/>
          <w:szCs w:val="20"/>
          <w:lang w:val="en-US" w:eastAsia="en-US"/>
        </w:rPr>
        <w:t xml:space="preserve"> </w:t>
      </w:r>
      <w:r w:rsidR="00CE476F" w:rsidRPr="009D52FD">
        <w:rPr>
          <w:rFonts w:eastAsiaTheme="minorHAnsi" w:cstheme="minorBidi"/>
          <w:sz w:val="20"/>
          <w:szCs w:val="20"/>
          <w:lang w:val="en-US" w:eastAsia="en-US"/>
        </w:rPr>
        <w:t>had to answer him in writing.</w:t>
      </w:r>
      <w:r w:rsidRPr="009D52FD">
        <w:rPr>
          <w:rFonts w:eastAsiaTheme="minorHAnsi" w:cstheme="minorBidi"/>
          <w:sz w:val="20"/>
          <w:szCs w:val="20"/>
          <w:vertAlign w:val="superscript"/>
          <w:lang w:val="en-US" w:eastAsia="en-US"/>
        </w:rPr>
        <w:footnoteReference w:id="87"/>
      </w:r>
      <w:r w:rsidR="00CE476F" w:rsidRPr="009D52FD">
        <w:rPr>
          <w:rFonts w:eastAsiaTheme="minorHAnsi" w:cstheme="minorBidi"/>
          <w:sz w:val="20"/>
          <w:szCs w:val="20"/>
          <w:lang w:val="en-US" w:eastAsia="en-US"/>
        </w:rPr>
        <w:t xml:space="preserve"> All these </w:t>
      </w:r>
      <w:r w:rsidR="009C73CE" w:rsidRPr="009D52FD">
        <w:rPr>
          <w:rFonts w:eastAsiaTheme="minorHAnsi" w:cstheme="minorBidi"/>
          <w:sz w:val="20"/>
          <w:szCs w:val="20"/>
          <w:lang w:val="en-US" w:eastAsia="en-US"/>
        </w:rPr>
        <w:t>complaints</w:t>
      </w:r>
      <w:r w:rsidR="00CE476F" w:rsidRPr="009D52FD">
        <w:rPr>
          <w:rFonts w:eastAsiaTheme="minorHAnsi" w:cstheme="minorBidi"/>
          <w:sz w:val="20"/>
          <w:szCs w:val="20"/>
          <w:lang w:val="en-US" w:eastAsia="en-US"/>
        </w:rPr>
        <w:t xml:space="preserve"> </w:t>
      </w:r>
      <w:r w:rsidR="00724BBE" w:rsidRPr="009D52FD">
        <w:rPr>
          <w:rFonts w:eastAsiaTheme="minorHAnsi" w:cstheme="minorBidi"/>
          <w:sz w:val="20"/>
          <w:szCs w:val="20"/>
          <w:lang w:val="en-US" w:eastAsia="en-US"/>
        </w:rPr>
        <w:t>failed to</w:t>
      </w:r>
      <w:r w:rsidR="00CE476F" w:rsidRPr="009D52FD">
        <w:rPr>
          <w:rFonts w:eastAsiaTheme="minorHAnsi" w:cstheme="minorBidi"/>
          <w:sz w:val="20"/>
          <w:szCs w:val="20"/>
          <w:lang w:val="en-US" w:eastAsia="en-US"/>
        </w:rPr>
        <w:t xml:space="preserve"> culminate in a disciplinary investigation.</w:t>
      </w:r>
      <w:r w:rsidRPr="009D52FD">
        <w:rPr>
          <w:rFonts w:eastAsiaTheme="minorHAnsi" w:cstheme="minorBidi"/>
          <w:sz w:val="20"/>
          <w:szCs w:val="20"/>
          <w:vertAlign w:val="superscript"/>
          <w:lang w:val="en-US" w:eastAsia="en-US"/>
        </w:rPr>
        <w:footnoteReference w:id="88"/>
      </w:r>
    </w:p>
    <w:p w14:paraId="3E34BF73" w14:textId="599CE8A7" w:rsidR="00BB528A" w:rsidRPr="009D52FD" w:rsidRDefault="00BB528A" w:rsidP="00BB528A">
      <w:pPr>
        <w:widowControl/>
        <w:adjustRightInd/>
        <w:spacing w:line="240" w:lineRule="auto"/>
        <w:textAlignment w:val="auto"/>
        <w:rPr>
          <w:rFonts w:eastAsiaTheme="minorHAnsi" w:cstheme="minorBidi"/>
          <w:b/>
          <w:bCs/>
          <w:sz w:val="20"/>
          <w:szCs w:val="20"/>
          <w:lang w:val="en-US" w:eastAsia="en-US"/>
        </w:rPr>
      </w:pPr>
    </w:p>
    <w:p w14:paraId="08A1739A" w14:textId="7047ABA7" w:rsidR="00BB528A" w:rsidRPr="009D52FD" w:rsidRDefault="001D422B" w:rsidP="00050831">
      <w:pPr>
        <w:widowControl/>
        <w:tabs>
          <w:tab w:val="left" w:pos="1985"/>
        </w:tabs>
        <w:adjustRightInd/>
        <w:spacing w:line="240" w:lineRule="auto"/>
        <w:ind w:left="1275"/>
        <w:textAlignment w:val="auto"/>
        <w:rPr>
          <w:rFonts w:eastAsiaTheme="minorHAnsi" w:cstheme="minorBidi"/>
          <w:bCs/>
          <w:i/>
          <w:sz w:val="20"/>
          <w:szCs w:val="20"/>
          <w:lang w:val="en-US" w:eastAsia="en-US"/>
        </w:rPr>
      </w:pPr>
      <w:r w:rsidRPr="009D52FD">
        <w:rPr>
          <w:rFonts w:eastAsiaTheme="minorHAnsi" w:cstheme="minorBidi"/>
          <w:bCs/>
          <w:i/>
          <w:sz w:val="20"/>
          <w:szCs w:val="20"/>
          <w:lang w:val="en-US" w:eastAsia="en-US"/>
        </w:rPr>
        <w:t>E</w:t>
      </w:r>
      <w:r w:rsidR="00BB528A" w:rsidRPr="009D52FD">
        <w:rPr>
          <w:rFonts w:eastAsiaTheme="minorHAnsi" w:cstheme="minorBidi"/>
          <w:bCs/>
          <w:i/>
          <w:sz w:val="20"/>
          <w:szCs w:val="20"/>
          <w:lang w:val="en-US" w:eastAsia="en-US"/>
        </w:rPr>
        <w:t xml:space="preserve">.2 </w:t>
      </w:r>
      <w:r w:rsidR="00050831" w:rsidRPr="009D52FD">
        <w:rPr>
          <w:rFonts w:eastAsiaTheme="minorHAnsi" w:cstheme="minorBidi"/>
          <w:bCs/>
          <w:i/>
          <w:sz w:val="20"/>
          <w:szCs w:val="20"/>
          <w:lang w:val="en-US" w:eastAsia="en-US"/>
        </w:rPr>
        <w:tab/>
      </w:r>
      <w:r w:rsidR="006E1F8F" w:rsidRPr="009D52FD">
        <w:rPr>
          <w:rFonts w:eastAsiaTheme="minorHAnsi" w:cstheme="minorBidi"/>
          <w:bCs/>
          <w:i/>
          <w:sz w:val="20"/>
          <w:szCs w:val="20"/>
          <w:lang w:val="en-US" w:eastAsia="en-US"/>
        </w:rPr>
        <w:t>A</w:t>
      </w:r>
      <w:r w:rsidR="00CE476F" w:rsidRPr="009D52FD">
        <w:rPr>
          <w:rFonts w:eastAsiaTheme="minorHAnsi" w:cstheme="minorBidi"/>
          <w:bCs/>
          <w:i/>
          <w:sz w:val="20"/>
          <w:szCs w:val="20"/>
          <w:lang w:val="en-US" w:eastAsia="en-US"/>
        </w:rPr>
        <w:t>ctions relating to the deprivation of liberty of the accused and his escape</w:t>
      </w:r>
    </w:p>
    <w:p w14:paraId="34DC7FBC" w14:textId="77777777" w:rsidR="00BB528A" w:rsidRPr="009D52FD" w:rsidRDefault="00BB528A" w:rsidP="00BB528A">
      <w:pPr>
        <w:widowControl/>
        <w:adjustRightInd/>
        <w:spacing w:line="240" w:lineRule="auto"/>
        <w:textAlignment w:val="auto"/>
        <w:rPr>
          <w:rFonts w:eastAsiaTheme="minorHAnsi" w:cstheme="minorBidi"/>
          <w:b/>
          <w:bCs/>
          <w:sz w:val="20"/>
          <w:szCs w:val="20"/>
          <w:lang w:val="en-US" w:eastAsia="en-US"/>
        </w:rPr>
      </w:pPr>
    </w:p>
    <w:p w14:paraId="0A1D3042" w14:textId="42F5699B" w:rsidR="00BB528A" w:rsidRPr="009D52FD" w:rsidRDefault="00CE476F" w:rsidP="00CE476F">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On August 22,</w:t>
      </w:r>
      <w:r w:rsidR="001D422B" w:rsidRPr="009D52FD">
        <w:rPr>
          <w:rFonts w:eastAsiaTheme="minorHAnsi" w:cstheme="minorBidi"/>
          <w:sz w:val="20"/>
          <w:szCs w:val="20"/>
          <w:lang w:val="en-US" w:eastAsia="en-US"/>
        </w:rPr>
        <w:t xml:space="preserve"> 2001</w:t>
      </w:r>
      <w:r w:rsidRPr="009D52FD">
        <w:rPr>
          <w:rFonts w:eastAsiaTheme="minorHAnsi" w:cstheme="minorBidi"/>
          <w:sz w:val="20"/>
          <w:szCs w:val="20"/>
          <w:lang w:val="en-US" w:eastAsia="en-US"/>
        </w:rPr>
        <w:t xml:space="preserve">, the prosecutor requested the preventive detention of </w:t>
      </w:r>
      <w:r w:rsidR="00BB528A" w:rsidRPr="009D52FD">
        <w:rPr>
          <w:rFonts w:eastAsiaTheme="minorHAnsi" w:cstheme="minorBidi"/>
          <w:sz w:val="20"/>
          <w:szCs w:val="20"/>
          <w:lang w:val="en-US" w:eastAsia="en-US"/>
        </w:rPr>
        <w:t xml:space="preserve">Carrera Almoina </w:t>
      </w:r>
      <w:r w:rsidRPr="009D52FD">
        <w:rPr>
          <w:rFonts w:eastAsiaTheme="minorHAnsi" w:cstheme="minorBidi"/>
          <w:sz w:val="20"/>
          <w:szCs w:val="20"/>
          <w:lang w:val="en-US" w:eastAsia="en-US"/>
        </w:rPr>
        <w:t>based on the presumed perpetration of the offenses of concealment of drugs and narcotic substances and of the crimes of rape and personal injury.</w:t>
      </w:r>
      <w:r w:rsidRPr="009D52FD">
        <w:rPr>
          <w:rFonts w:eastAsiaTheme="minorHAnsi" w:cstheme="minorBidi"/>
          <w:sz w:val="20"/>
          <w:szCs w:val="20"/>
          <w:vertAlign w:val="superscript"/>
          <w:lang w:val="en-US" w:eastAsia="en-US"/>
        </w:rPr>
        <w:footnoteReference w:id="89"/>
      </w:r>
      <w:r w:rsidRPr="009D52FD">
        <w:rPr>
          <w:rFonts w:eastAsiaTheme="minorHAnsi" w:cstheme="minorBidi"/>
          <w:sz w:val="20"/>
          <w:szCs w:val="20"/>
          <w:lang w:val="en-US" w:eastAsia="en-US"/>
        </w:rPr>
        <w:t xml:space="preserve"> On September 10, 2001, the hearing to read out the charges was held in the presence of the prosecutor, the accused and his defense counsel.</w:t>
      </w:r>
      <w:r w:rsidR="00BB528A" w:rsidRPr="009D52FD">
        <w:rPr>
          <w:rFonts w:eastAsiaTheme="minorHAnsi" w:cstheme="minorBidi"/>
          <w:sz w:val="20"/>
          <w:szCs w:val="20"/>
          <w:vertAlign w:val="superscript"/>
          <w:lang w:val="en-US" w:eastAsia="en-US"/>
        </w:rPr>
        <w:footnoteReference w:id="90"/>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At the end of the hearing</w:t>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the Eighteenth Court</w:t>
      </w:r>
      <w:r w:rsidR="0047577B" w:rsidRPr="009D52FD">
        <w:rPr>
          <w:rFonts w:eastAsiaTheme="minorHAnsi" w:cstheme="minorBidi"/>
          <w:sz w:val="20"/>
          <w:szCs w:val="20"/>
          <w:lang w:val="en-US" w:eastAsia="en-US"/>
        </w:rPr>
        <w:t xml:space="preserve"> </w:t>
      </w:r>
      <w:r w:rsidR="00BB528A" w:rsidRPr="009D52FD">
        <w:rPr>
          <w:rFonts w:eastAsiaTheme="minorHAnsi" w:cstheme="minorBidi"/>
          <w:sz w:val="20"/>
          <w:szCs w:val="20"/>
          <w:lang w:val="en-US" w:eastAsia="en-US"/>
        </w:rPr>
        <w:t>determin</w:t>
      </w:r>
      <w:r w:rsidRPr="009D52FD">
        <w:rPr>
          <w:rFonts w:eastAsiaTheme="minorHAnsi" w:cstheme="minorBidi"/>
          <w:sz w:val="20"/>
          <w:szCs w:val="20"/>
          <w:lang w:val="en-US" w:eastAsia="en-US"/>
        </w:rPr>
        <w:t xml:space="preserve">ed the criminal responsibility of </w:t>
      </w:r>
      <w:r w:rsidR="00BB528A" w:rsidRPr="009D52FD">
        <w:rPr>
          <w:rFonts w:eastAsiaTheme="minorHAnsi" w:cstheme="minorBidi"/>
          <w:sz w:val="20"/>
          <w:szCs w:val="20"/>
          <w:lang w:val="en-US" w:eastAsia="en-US"/>
        </w:rPr>
        <w:t xml:space="preserve">Luis </w:t>
      </w:r>
      <w:r w:rsidR="000E7AA5" w:rsidRPr="009D52FD">
        <w:rPr>
          <w:rFonts w:eastAsiaTheme="minorHAnsi" w:cstheme="minorBidi"/>
          <w:sz w:val="20"/>
          <w:szCs w:val="20"/>
          <w:lang w:val="en-US" w:eastAsia="en-US"/>
        </w:rPr>
        <w:t xml:space="preserve">Antonio </w:t>
      </w:r>
      <w:r w:rsidR="00BB528A" w:rsidRPr="009D52FD">
        <w:rPr>
          <w:rFonts w:eastAsiaTheme="minorHAnsi" w:cstheme="minorBidi"/>
          <w:sz w:val="20"/>
          <w:szCs w:val="20"/>
          <w:lang w:val="en-US" w:eastAsia="en-US"/>
        </w:rPr>
        <w:t>Carrera Almoina</w:t>
      </w:r>
      <w:r w:rsidRPr="009D52FD">
        <w:rPr>
          <w:rFonts w:eastAsiaTheme="minorHAnsi" w:cstheme="minorBidi"/>
          <w:sz w:val="20"/>
          <w:szCs w:val="20"/>
          <w:lang w:val="en-US" w:eastAsia="en-US"/>
        </w:rPr>
        <w:t>, on a preliminary basis and established the alternative precautionary measure of house arrest.</w:t>
      </w:r>
      <w:r w:rsidR="00BB528A" w:rsidRPr="009D52FD">
        <w:rPr>
          <w:rFonts w:eastAsiaTheme="minorHAnsi" w:cstheme="minorBidi"/>
          <w:sz w:val="20"/>
          <w:szCs w:val="20"/>
          <w:vertAlign w:val="superscript"/>
          <w:lang w:val="en-US" w:eastAsia="en-US"/>
        </w:rPr>
        <w:footnoteReference w:id="91"/>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The</w:t>
      </w:r>
      <w:r w:rsidR="000C6475" w:rsidRPr="009D52FD">
        <w:rPr>
          <w:rFonts w:eastAsiaTheme="minorHAnsi" w:cstheme="minorBidi"/>
          <w:sz w:val="20"/>
          <w:szCs w:val="20"/>
          <w:lang w:val="en-US" w:eastAsia="en-US"/>
        </w:rPr>
        <w:t xml:space="preserve"> Public Prosecution Service</w:t>
      </w:r>
      <w:r w:rsidR="003630BB" w:rsidRPr="009D52FD">
        <w:rPr>
          <w:rFonts w:eastAsiaTheme="minorHAnsi" w:cstheme="minorBidi"/>
          <w:sz w:val="20"/>
          <w:szCs w:val="20"/>
          <w:lang w:val="en-US" w:eastAsia="en-US"/>
        </w:rPr>
        <w:t xml:space="preserve"> and </w:t>
      </w:r>
      <w:r w:rsidRPr="009D52FD">
        <w:rPr>
          <w:rFonts w:eastAsiaTheme="minorHAnsi" w:cstheme="minorBidi"/>
          <w:sz w:val="20"/>
          <w:szCs w:val="20"/>
          <w:lang w:val="en-US" w:eastAsia="en-US"/>
        </w:rPr>
        <w:t>the accused’s defense counsel</w:t>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appealed against this decision</w:t>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On October 11,</w:t>
      </w:r>
      <w:r w:rsidR="00BB528A" w:rsidRPr="009D52FD">
        <w:rPr>
          <w:rFonts w:eastAsiaTheme="minorHAnsi" w:cstheme="minorBidi"/>
          <w:sz w:val="20"/>
          <w:szCs w:val="20"/>
          <w:lang w:val="en-US" w:eastAsia="en-US"/>
        </w:rPr>
        <w:t xml:space="preserve"> 2001</w:t>
      </w:r>
      <w:r w:rsidRPr="009D52FD">
        <w:rPr>
          <w:rFonts w:eastAsiaTheme="minorHAnsi" w:cstheme="minorBidi"/>
          <w:sz w:val="20"/>
          <w:szCs w:val="20"/>
          <w:lang w:val="en-US" w:eastAsia="en-US"/>
        </w:rPr>
        <w:t>,</w:t>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the Appellate Court</w:t>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 xml:space="preserve">admitted the appeal and ordered preventive </w:t>
      </w:r>
      <w:r w:rsidR="009C73CE" w:rsidRPr="009D52FD">
        <w:rPr>
          <w:rFonts w:eastAsiaTheme="minorHAnsi" w:cstheme="minorBidi"/>
          <w:sz w:val="20"/>
          <w:szCs w:val="20"/>
          <w:lang w:val="en-US" w:eastAsia="en-US"/>
        </w:rPr>
        <w:t>detention</w:t>
      </w:r>
      <w:r w:rsidRPr="009D52FD">
        <w:rPr>
          <w:rFonts w:eastAsiaTheme="minorHAnsi" w:cstheme="minorBidi"/>
          <w:sz w:val="20"/>
          <w:szCs w:val="20"/>
          <w:lang w:val="en-US" w:eastAsia="en-US"/>
        </w:rPr>
        <w:t>.</w:t>
      </w:r>
      <w:r w:rsidR="00BB528A" w:rsidRPr="009D52FD">
        <w:rPr>
          <w:rFonts w:eastAsiaTheme="minorHAnsi" w:cstheme="minorBidi"/>
          <w:sz w:val="20"/>
          <w:szCs w:val="20"/>
          <w:vertAlign w:val="superscript"/>
          <w:lang w:val="en-US" w:eastAsia="en-US"/>
        </w:rPr>
        <w:footnoteReference w:id="92"/>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On</w:t>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October 3,</w:t>
      </w:r>
      <w:r w:rsidR="00BB528A" w:rsidRPr="009D52FD">
        <w:rPr>
          <w:rFonts w:eastAsiaTheme="minorHAnsi" w:cstheme="minorBidi"/>
          <w:sz w:val="20"/>
          <w:szCs w:val="20"/>
          <w:lang w:val="en-US" w:eastAsia="en-US"/>
        </w:rPr>
        <w:t xml:space="preserve"> 2001</w:t>
      </w:r>
      <w:r w:rsidRPr="009D52FD">
        <w:rPr>
          <w:rFonts w:eastAsiaTheme="minorHAnsi" w:cstheme="minorBidi"/>
          <w:sz w:val="20"/>
          <w:szCs w:val="20"/>
          <w:lang w:val="en-US" w:eastAsia="en-US"/>
        </w:rPr>
        <w:t>,</w:t>
      </w:r>
      <w:r w:rsidR="00BB528A" w:rsidRPr="009D52FD">
        <w:rPr>
          <w:rFonts w:eastAsiaTheme="minorHAnsi" w:cstheme="minorBidi"/>
          <w:sz w:val="20"/>
          <w:szCs w:val="20"/>
          <w:lang w:val="en-US" w:eastAsia="en-US"/>
        </w:rPr>
        <w:t xml:space="preserve"> </w:t>
      </w:r>
      <w:r w:rsidR="009D4972" w:rsidRPr="009D52FD">
        <w:rPr>
          <w:rFonts w:eastAsiaTheme="minorHAnsi" w:cstheme="minorBidi"/>
          <w:sz w:val="20"/>
          <w:szCs w:val="20"/>
          <w:lang w:val="en-US" w:eastAsia="en-US"/>
        </w:rPr>
        <w:t>L</w:t>
      </w:r>
      <w:r w:rsidR="00BB528A" w:rsidRPr="009D52FD">
        <w:rPr>
          <w:rFonts w:eastAsiaTheme="minorHAnsi" w:cstheme="minorBidi"/>
          <w:sz w:val="20"/>
          <w:szCs w:val="20"/>
          <w:lang w:val="en-US" w:eastAsia="en-US"/>
        </w:rPr>
        <w:t>inda Loaiza L</w:t>
      </w:r>
      <w:r w:rsidR="009D4972" w:rsidRPr="009D52FD">
        <w:rPr>
          <w:rFonts w:eastAsiaTheme="minorHAnsi" w:cstheme="minorBidi"/>
          <w:sz w:val="20"/>
          <w:szCs w:val="20"/>
          <w:lang w:val="en-US" w:eastAsia="en-US"/>
        </w:rPr>
        <w:t>ó</w:t>
      </w:r>
      <w:r w:rsidR="00BB528A" w:rsidRPr="009D52FD">
        <w:rPr>
          <w:rFonts w:eastAsiaTheme="minorHAnsi" w:cstheme="minorBidi"/>
          <w:sz w:val="20"/>
          <w:szCs w:val="20"/>
          <w:lang w:val="en-US" w:eastAsia="en-US"/>
        </w:rPr>
        <w:t>pez Soto</w:t>
      </w:r>
      <w:r w:rsidRPr="009D52FD">
        <w:rPr>
          <w:rFonts w:eastAsiaTheme="minorHAnsi" w:cstheme="minorBidi"/>
          <w:sz w:val="20"/>
          <w:szCs w:val="20"/>
          <w:lang w:val="en-US" w:eastAsia="en-US"/>
        </w:rPr>
        <w:t>’s lawyer informed the Ombudsman that the accused had not been detained, and also that the victim’s personal integrity was in danger as she had received threats.</w:t>
      </w:r>
      <w:r w:rsidR="00BB528A" w:rsidRPr="009D52FD">
        <w:rPr>
          <w:rFonts w:eastAsiaTheme="minorHAnsi" w:cstheme="minorBidi"/>
          <w:sz w:val="20"/>
          <w:szCs w:val="20"/>
          <w:vertAlign w:val="superscript"/>
          <w:lang w:val="en-US" w:eastAsia="en-US"/>
        </w:rPr>
        <w:footnoteReference w:id="93"/>
      </w:r>
    </w:p>
    <w:p w14:paraId="1CD1091A" w14:textId="7E4F5275" w:rsidR="00BB528A" w:rsidRPr="009D52FD" w:rsidRDefault="00BB528A" w:rsidP="00BB528A">
      <w:pPr>
        <w:widowControl/>
        <w:adjustRightInd/>
        <w:spacing w:line="240" w:lineRule="auto"/>
        <w:textAlignment w:val="auto"/>
        <w:rPr>
          <w:rFonts w:eastAsiaTheme="minorHAnsi" w:cstheme="minorBidi"/>
          <w:sz w:val="20"/>
          <w:szCs w:val="20"/>
          <w:lang w:val="en-US" w:eastAsia="en-US"/>
        </w:rPr>
      </w:pPr>
    </w:p>
    <w:p w14:paraId="1A56FBF8" w14:textId="4BEC6E13" w:rsidR="00BB528A" w:rsidRPr="009D52FD" w:rsidRDefault="00CE476F" w:rsidP="001D422B">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On November 2,</w:t>
      </w:r>
      <w:r w:rsidR="00BB528A" w:rsidRPr="009D52FD">
        <w:rPr>
          <w:rFonts w:eastAsiaTheme="minorHAnsi" w:cstheme="minorBidi"/>
          <w:sz w:val="20"/>
          <w:szCs w:val="20"/>
          <w:lang w:val="en-US" w:eastAsia="en-US"/>
        </w:rPr>
        <w:t xml:space="preserve"> 2001</w:t>
      </w:r>
      <w:r w:rsidRPr="009D52FD">
        <w:rPr>
          <w:rFonts w:eastAsiaTheme="minorHAnsi" w:cstheme="minorBidi"/>
          <w:sz w:val="20"/>
          <w:szCs w:val="20"/>
          <w:lang w:val="en-US" w:eastAsia="en-US"/>
        </w:rPr>
        <w:t>,</w:t>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the Eighteenth Court</w:t>
      </w:r>
      <w:r w:rsidR="00AF6103" w:rsidRPr="009D52FD">
        <w:rPr>
          <w:rFonts w:eastAsiaTheme="minorHAnsi" w:cstheme="minorBidi"/>
          <w:sz w:val="20"/>
          <w:szCs w:val="20"/>
          <w:lang w:val="en-US" w:eastAsia="en-US"/>
        </w:rPr>
        <w:t xml:space="preserve"> </w:t>
      </w:r>
      <w:r w:rsidR="00724BBE" w:rsidRPr="009D52FD">
        <w:rPr>
          <w:rFonts w:eastAsiaTheme="minorHAnsi" w:cstheme="minorBidi"/>
          <w:sz w:val="20"/>
          <w:szCs w:val="20"/>
          <w:lang w:val="en-US" w:eastAsia="en-US"/>
        </w:rPr>
        <w:t>again granted an alternative precautionary measure of house arrest in favor of the accused.</w:t>
      </w:r>
      <w:r w:rsidR="00BB528A" w:rsidRPr="009D52FD">
        <w:rPr>
          <w:rFonts w:eastAsiaTheme="minorHAnsi" w:cstheme="minorBidi"/>
          <w:sz w:val="20"/>
          <w:szCs w:val="20"/>
          <w:vertAlign w:val="superscript"/>
          <w:lang w:val="en-US" w:eastAsia="en-US"/>
        </w:rPr>
        <w:footnoteReference w:id="94"/>
      </w:r>
      <w:r w:rsidR="00BB528A" w:rsidRPr="009D52FD">
        <w:rPr>
          <w:rFonts w:eastAsiaTheme="minorHAnsi" w:cstheme="minorBidi"/>
          <w:sz w:val="20"/>
          <w:szCs w:val="20"/>
          <w:lang w:val="en-US" w:eastAsia="en-US"/>
        </w:rPr>
        <w:t xml:space="preserve"> </w:t>
      </w:r>
      <w:r w:rsidR="00724BBE" w:rsidRPr="009D52FD">
        <w:rPr>
          <w:rFonts w:eastAsiaTheme="minorHAnsi" w:cstheme="minorBidi"/>
          <w:sz w:val="20"/>
          <w:szCs w:val="20"/>
          <w:lang w:val="en-US" w:eastAsia="en-US"/>
        </w:rPr>
        <w:t>On November 6,</w:t>
      </w:r>
      <w:r w:rsidR="00BB528A" w:rsidRPr="009D52FD">
        <w:rPr>
          <w:rFonts w:eastAsiaTheme="minorHAnsi" w:cstheme="minorBidi"/>
          <w:sz w:val="20"/>
          <w:szCs w:val="20"/>
          <w:lang w:val="en-US" w:eastAsia="en-US"/>
        </w:rPr>
        <w:t xml:space="preserve"> 2001</w:t>
      </w:r>
      <w:r w:rsidR="00724BBE" w:rsidRPr="009D52FD">
        <w:rPr>
          <w:rFonts w:eastAsiaTheme="minorHAnsi" w:cstheme="minorBidi"/>
          <w:sz w:val="20"/>
          <w:szCs w:val="20"/>
          <w:lang w:val="en-US" w:eastAsia="en-US"/>
        </w:rPr>
        <w:t xml:space="preserve">, the same court revoked that measures and imposed preventive </w:t>
      </w:r>
      <w:r w:rsidR="009C73CE" w:rsidRPr="009D52FD">
        <w:rPr>
          <w:rFonts w:eastAsiaTheme="minorHAnsi" w:cstheme="minorBidi"/>
          <w:sz w:val="20"/>
          <w:szCs w:val="20"/>
          <w:lang w:val="en-US" w:eastAsia="en-US"/>
        </w:rPr>
        <w:t>detention</w:t>
      </w:r>
      <w:r w:rsidR="00724BBE" w:rsidRPr="009D52FD">
        <w:rPr>
          <w:rFonts w:eastAsiaTheme="minorHAnsi" w:cstheme="minorBidi"/>
          <w:sz w:val="20"/>
          <w:szCs w:val="20"/>
          <w:lang w:val="en-US" w:eastAsia="en-US"/>
        </w:rPr>
        <w:t>.</w:t>
      </w:r>
      <w:r w:rsidR="00BB528A" w:rsidRPr="009D52FD">
        <w:rPr>
          <w:rFonts w:eastAsiaTheme="minorHAnsi" w:cstheme="minorBidi"/>
          <w:sz w:val="20"/>
          <w:szCs w:val="20"/>
          <w:vertAlign w:val="superscript"/>
          <w:lang w:val="en-US" w:eastAsia="en-US"/>
        </w:rPr>
        <w:footnoteReference w:id="95"/>
      </w:r>
      <w:r w:rsidR="00BB528A" w:rsidRPr="009D52FD">
        <w:rPr>
          <w:rFonts w:eastAsiaTheme="minorHAnsi" w:cstheme="minorBidi"/>
          <w:sz w:val="20"/>
          <w:szCs w:val="20"/>
          <w:lang w:val="en-US" w:eastAsia="en-US"/>
        </w:rPr>
        <w:t xml:space="preserve"> </w:t>
      </w:r>
      <w:r w:rsidR="00724BBE" w:rsidRPr="009D52FD">
        <w:rPr>
          <w:rFonts w:eastAsiaTheme="minorHAnsi" w:cstheme="minorBidi"/>
          <w:sz w:val="20"/>
          <w:szCs w:val="20"/>
          <w:lang w:val="en-US" w:eastAsia="en-US"/>
        </w:rPr>
        <w:t>That same day</w:t>
      </w:r>
      <w:r w:rsidR="00BB528A" w:rsidRPr="009D52FD">
        <w:rPr>
          <w:rFonts w:eastAsiaTheme="minorHAnsi" w:cstheme="minorBidi"/>
          <w:sz w:val="20"/>
          <w:szCs w:val="20"/>
          <w:lang w:val="en-US" w:eastAsia="en-US"/>
        </w:rPr>
        <w:t xml:space="preserve">, Carrera Almoina </w:t>
      </w:r>
      <w:r w:rsidR="00724BBE" w:rsidRPr="009D52FD">
        <w:rPr>
          <w:rFonts w:eastAsiaTheme="minorHAnsi" w:cstheme="minorBidi"/>
          <w:sz w:val="20"/>
          <w:szCs w:val="20"/>
          <w:lang w:val="en-US" w:eastAsia="en-US"/>
        </w:rPr>
        <w:t>absconded from the place where his house arrest had been ordered.</w:t>
      </w:r>
      <w:r w:rsidR="00BB528A" w:rsidRPr="009D52FD">
        <w:rPr>
          <w:rFonts w:eastAsiaTheme="minorHAnsi" w:cstheme="minorBidi"/>
          <w:sz w:val="20"/>
          <w:szCs w:val="20"/>
          <w:vertAlign w:val="superscript"/>
          <w:lang w:val="en-US" w:eastAsia="en-US"/>
        </w:rPr>
        <w:footnoteReference w:id="96"/>
      </w:r>
      <w:r w:rsidR="00724BBE" w:rsidRPr="009D52FD">
        <w:rPr>
          <w:rFonts w:eastAsiaTheme="minorHAnsi" w:cstheme="minorBidi"/>
          <w:sz w:val="20"/>
          <w:szCs w:val="20"/>
          <w:lang w:val="en-US" w:eastAsia="en-US"/>
        </w:rPr>
        <w:t xml:space="preserve"> A criminal investigation was opened against the accused, his father and two employees of the Universidad Nacional Abierta</w:t>
      </w:r>
      <w:r w:rsidR="00BB528A" w:rsidRPr="009D52FD">
        <w:rPr>
          <w:rFonts w:eastAsiaTheme="minorHAnsi" w:cstheme="minorBidi"/>
          <w:sz w:val="20"/>
          <w:szCs w:val="20"/>
          <w:lang w:val="en-US" w:eastAsia="en-US"/>
        </w:rPr>
        <w:t xml:space="preserve"> </w:t>
      </w:r>
      <w:r w:rsidR="00724BBE" w:rsidRPr="009D52FD">
        <w:rPr>
          <w:rFonts w:eastAsiaTheme="minorHAnsi" w:cstheme="minorBidi"/>
          <w:sz w:val="20"/>
          <w:szCs w:val="20"/>
          <w:lang w:val="en-US" w:eastAsia="en-US"/>
        </w:rPr>
        <w:t xml:space="preserve">in relation to his </w:t>
      </w:r>
      <w:r w:rsidR="009C73CE" w:rsidRPr="009D52FD">
        <w:rPr>
          <w:rFonts w:eastAsiaTheme="minorHAnsi" w:cstheme="minorBidi"/>
          <w:sz w:val="20"/>
          <w:szCs w:val="20"/>
          <w:lang w:val="en-US" w:eastAsia="en-US"/>
        </w:rPr>
        <w:t>escape</w:t>
      </w:r>
      <w:r w:rsidR="00724BBE" w:rsidRPr="009D52FD">
        <w:rPr>
          <w:rFonts w:eastAsiaTheme="minorHAnsi" w:cstheme="minorBidi"/>
          <w:sz w:val="20"/>
          <w:szCs w:val="20"/>
          <w:lang w:val="en-US" w:eastAsia="en-US"/>
        </w:rPr>
        <w:t>.</w:t>
      </w:r>
      <w:r w:rsidR="00BB528A" w:rsidRPr="009D52FD">
        <w:rPr>
          <w:rFonts w:eastAsiaTheme="minorHAnsi" w:cstheme="minorBidi"/>
          <w:sz w:val="20"/>
          <w:szCs w:val="20"/>
          <w:vertAlign w:val="superscript"/>
          <w:lang w:val="en-US" w:eastAsia="en-US"/>
        </w:rPr>
        <w:footnoteReference w:id="97"/>
      </w:r>
      <w:r w:rsidR="00BB528A" w:rsidRPr="009D52FD">
        <w:rPr>
          <w:rFonts w:eastAsiaTheme="minorHAnsi" w:cstheme="minorBidi"/>
          <w:sz w:val="20"/>
          <w:szCs w:val="20"/>
          <w:lang w:val="en-US" w:eastAsia="en-US"/>
        </w:rPr>
        <w:t xml:space="preserve"> </w:t>
      </w:r>
      <w:r w:rsidR="00724BBE" w:rsidRPr="009D52FD">
        <w:rPr>
          <w:rFonts w:eastAsiaTheme="minorHAnsi" w:cstheme="minorBidi"/>
          <w:sz w:val="20"/>
          <w:szCs w:val="20"/>
          <w:lang w:val="en-US" w:eastAsia="en-US"/>
        </w:rPr>
        <w:t>On November 8,</w:t>
      </w:r>
      <w:r w:rsidR="00BB528A" w:rsidRPr="009D52FD">
        <w:rPr>
          <w:rFonts w:eastAsiaTheme="minorHAnsi" w:cstheme="minorBidi"/>
          <w:sz w:val="20"/>
          <w:szCs w:val="20"/>
          <w:lang w:val="en-US" w:eastAsia="en-US"/>
        </w:rPr>
        <w:t xml:space="preserve"> 2001</w:t>
      </w:r>
      <w:r w:rsidR="00724BBE" w:rsidRPr="009D52FD">
        <w:rPr>
          <w:rFonts w:eastAsiaTheme="minorHAnsi" w:cstheme="minorBidi"/>
          <w:sz w:val="20"/>
          <w:szCs w:val="20"/>
          <w:lang w:val="en-US" w:eastAsia="en-US"/>
        </w:rPr>
        <w:t>, the oversight court ordered the preventive detention of all the accused.</w:t>
      </w:r>
      <w:r w:rsidR="00BB528A" w:rsidRPr="009D52FD">
        <w:rPr>
          <w:rFonts w:eastAsiaTheme="minorHAnsi" w:cstheme="minorBidi"/>
          <w:sz w:val="20"/>
          <w:szCs w:val="20"/>
          <w:vertAlign w:val="superscript"/>
          <w:lang w:val="en-US" w:eastAsia="en-US"/>
        </w:rPr>
        <w:footnoteReference w:id="98"/>
      </w:r>
      <w:r w:rsidR="00BB528A" w:rsidRPr="009D52FD">
        <w:rPr>
          <w:rFonts w:eastAsiaTheme="minorHAnsi" w:cstheme="minorBidi"/>
          <w:sz w:val="20"/>
          <w:szCs w:val="20"/>
          <w:lang w:val="en-US" w:eastAsia="en-US"/>
        </w:rPr>
        <w:t xml:space="preserve"> Final</w:t>
      </w:r>
      <w:r w:rsidR="00724BBE" w:rsidRPr="009D52FD">
        <w:rPr>
          <w:rFonts w:eastAsiaTheme="minorHAnsi" w:cstheme="minorBidi"/>
          <w:sz w:val="20"/>
          <w:szCs w:val="20"/>
          <w:lang w:val="en-US" w:eastAsia="en-US"/>
        </w:rPr>
        <w:t xml:space="preserve">ly, </w:t>
      </w:r>
      <w:r w:rsidR="009C73CE" w:rsidRPr="009D52FD">
        <w:rPr>
          <w:rFonts w:eastAsiaTheme="minorHAnsi" w:cstheme="minorBidi"/>
          <w:sz w:val="20"/>
          <w:szCs w:val="20"/>
          <w:lang w:val="en-US" w:eastAsia="en-US"/>
        </w:rPr>
        <w:t>in</w:t>
      </w:r>
      <w:r w:rsidR="00724BBE" w:rsidRPr="009D52FD">
        <w:rPr>
          <w:rFonts w:eastAsiaTheme="minorHAnsi" w:cstheme="minorBidi"/>
          <w:sz w:val="20"/>
          <w:szCs w:val="20"/>
          <w:lang w:val="en-US" w:eastAsia="en-US"/>
        </w:rPr>
        <w:t xml:space="preserve"> the case relating to </w:t>
      </w:r>
      <w:r w:rsidR="009C73CE" w:rsidRPr="009D52FD">
        <w:rPr>
          <w:rFonts w:eastAsiaTheme="minorHAnsi" w:cstheme="minorBidi"/>
          <w:sz w:val="20"/>
          <w:szCs w:val="20"/>
          <w:lang w:val="en-US" w:eastAsia="en-US"/>
        </w:rPr>
        <w:t>Carrera Almoina’s</w:t>
      </w:r>
      <w:r w:rsidR="00724BBE" w:rsidRPr="009D52FD">
        <w:rPr>
          <w:rFonts w:eastAsiaTheme="minorHAnsi" w:cstheme="minorBidi"/>
          <w:sz w:val="20"/>
          <w:szCs w:val="20"/>
          <w:lang w:val="en-US" w:eastAsia="en-US"/>
        </w:rPr>
        <w:t xml:space="preserve"> escape, all the accused were acquitted and their release was ordered.</w:t>
      </w:r>
      <w:r w:rsidR="00BB528A" w:rsidRPr="009D52FD">
        <w:rPr>
          <w:rFonts w:eastAsiaTheme="minorHAnsi" w:cstheme="minorBidi"/>
          <w:sz w:val="20"/>
          <w:szCs w:val="20"/>
          <w:vertAlign w:val="superscript"/>
          <w:lang w:val="en-US" w:eastAsia="en-US"/>
        </w:rPr>
        <w:footnoteReference w:id="99"/>
      </w:r>
    </w:p>
    <w:p w14:paraId="160D248D" w14:textId="77777777" w:rsidR="00BB528A" w:rsidRPr="009D52FD" w:rsidRDefault="00BB528A" w:rsidP="00BB528A">
      <w:pPr>
        <w:widowControl/>
        <w:adjustRightInd/>
        <w:spacing w:line="240" w:lineRule="auto"/>
        <w:textAlignment w:val="auto"/>
        <w:rPr>
          <w:rFonts w:eastAsiaTheme="minorHAnsi" w:cstheme="minorBidi"/>
          <w:sz w:val="20"/>
          <w:szCs w:val="20"/>
          <w:lang w:val="en-US" w:eastAsia="en-US"/>
        </w:rPr>
      </w:pPr>
    </w:p>
    <w:p w14:paraId="113FE554" w14:textId="22031C78" w:rsidR="00BB528A" w:rsidRPr="009D52FD" w:rsidRDefault="00724BBE" w:rsidP="001D422B">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On November 7,</w:t>
      </w:r>
      <w:r w:rsidR="00004CA5" w:rsidRPr="009D52FD">
        <w:rPr>
          <w:rFonts w:eastAsiaTheme="minorHAnsi" w:cstheme="minorBidi"/>
          <w:sz w:val="20"/>
          <w:szCs w:val="20"/>
          <w:lang w:val="en-US" w:eastAsia="en-US"/>
        </w:rPr>
        <w:t xml:space="preserve"> 2001</w:t>
      </w:r>
      <w:r w:rsidRPr="009D52FD">
        <w:rPr>
          <w:rFonts w:eastAsiaTheme="minorHAnsi" w:cstheme="minorBidi"/>
          <w:sz w:val="20"/>
          <w:szCs w:val="20"/>
          <w:lang w:val="en-US" w:eastAsia="en-US"/>
        </w:rPr>
        <w:t>,</w:t>
      </w:r>
      <w:r w:rsidR="00BB528A" w:rsidRPr="009D52FD">
        <w:rPr>
          <w:rFonts w:eastAsiaTheme="minorHAnsi" w:cstheme="minorBidi"/>
          <w:sz w:val="20"/>
          <w:szCs w:val="20"/>
          <w:lang w:val="en-US" w:eastAsia="en-US"/>
        </w:rPr>
        <w:t xml:space="preserve"> </w:t>
      </w:r>
      <w:r w:rsidR="003630BB" w:rsidRPr="009D52FD">
        <w:rPr>
          <w:rFonts w:eastAsiaTheme="minorHAnsi" w:cstheme="minorBidi"/>
          <w:sz w:val="20"/>
          <w:szCs w:val="20"/>
          <w:lang w:val="en-US" w:eastAsia="en-US"/>
        </w:rPr>
        <w:t xml:space="preserve">the </w:t>
      </w:r>
      <w:r w:rsidRPr="009D52FD">
        <w:rPr>
          <w:rFonts w:eastAsiaTheme="minorHAnsi" w:cstheme="minorBidi"/>
          <w:sz w:val="20"/>
          <w:szCs w:val="20"/>
          <w:lang w:val="en-US" w:eastAsia="en-US"/>
        </w:rPr>
        <w:t>Committee on the Operation and Restructuring of the Judicial System decided to apply a 60-day suspension on the Eighteenth Judge owing to the serious charges filed against him.</w:t>
      </w:r>
      <w:r w:rsidR="00BB528A" w:rsidRPr="009D52FD">
        <w:rPr>
          <w:rFonts w:eastAsiaTheme="minorHAnsi" w:cstheme="minorBidi"/>
          <w:sz w:val="20"/>
          <w:szCs w:val="20"/>
          <w:vertAlign w:val="superscript"/>
          <w:lang w:val="en-US" w:eastAsia="en-US"/>
        </w:rPr>
        <w:footnoteReference w:id="100"/>
      </w:r>
    </w:p>
    <w:p w14:paraId="5B4D9284" w14:textId="77777777" w:rsidR="00BB528A" w:rsidRPr="009D52FD" w:rsidRDefault="00BB528A" w:rsidP="00BB528A">
      <w:pPr>
        <w:widowControl/>
        <w:adjustRightInd/>
        <w:spacing w:line="240" w:lineRule="auto"/>
        <w:textAlignment w:val="auto"/>
        <w:rPr>
          <w:rFonts w:eastAsiaTheme="minorHAnsi" w:cstheme="minorBidi"/>
          <w:sz w:val="20"/>
          <w:szCs w:val="20"/>
          <w:lang w:val="en-US" w:eastAsia="en-US"/>
        </w:rPr>
      </w:pPr>
    </w:p>
    <w:p w14:paraId="49FACB56" w14:textId="37829A8F" w:rsidR="001D422B" w:rsidRPr="009D52FD" w:rsidRDefault="001D422B" w:rsidP="00050831">
      <w:pPr>
        <w:widowControl/>
        <w:tabs>
          <w:tab w:val="left" w:pos="1985"/>
        </w:tabs>
        <w:adjustRightInd/>
        <w:spacing w:line="240" w:lineRule="auto"/>
        <w:ind w:left="1275"/>
        <w:textAlignment w:val="auto"/>
        <w:rPr>
          <w:rFonts w:eastAsiaTheme="minorHAnsi" w:cstheme="minorBidi"/>
          <w:bCs/>
          <w:i/>
          <w:sz w:val="20"/>
          <w:szCs w:val="20"/>
          <w:lang w:val="en-US" w:eastAsia="en-US"/>
        </w:rPr>
      </w:pPr>
      <w:r w:rsidRPr="009D52FD">
        <w:rPr>
          <w:rFonts w:eastAsiaTheme="minorHAnsi" w:cstheme="minorBidi"/>
          <w:bCs/>
          <w:i/>
          <w:sz w:val="20"/>
          <w:szCs w:val="20"/>
          <w:lang w:val="en-US" w:eastAsia="en-US"/>
        </w:rPr>
        <w:t>E</w:t>
      </w:r>
      <w:r w:rsidR="00BB528A" w:rsidRPr="009D52FD">
        <w:rPr>
          <w:rFonts w:eastAsiaTheme="minorHAnsi" w:cstheme="minorBidi"/>
          <w:bCs/>
          <w:i/>
          <w:sz w:val="20"/>
          <w:szCs w:val="20"/>
          <w:lang w:val="en-US" w:eastAsia="en-US"/>
        </w:rPr>
        <w:t>.3</w:t>
      </w:r>
      <w:r w:rsidR="00050831" w:rsidRPr="009D52FD">
        <w:rPr>
          <w:rFonts w:eastAsiaTheme="minorHAnsi" w:cstheme="minorBidi"/>
          <w:bCs/>
          <w:i/>
          <w:sz w:val="20"/>
          <w:szCs w:val="20"/>
          <w:lang w:val="en-US" w:eastAsia="en-US"/>
        </w:rPr>
        <w:tab/>
      </w:r>
      <w:r w:rsidR="00D9081F" w:rsidRPr="009D52FD">
        <w:rPr>
          <w:rFonts w:eastAsiaTheme="minorHAnsi" w:cstheme="minorBidi"/>
          <w:bCs/>
          <w:i/>
          <w:sz w:val="20"/>
          <w:szCs w:val="20"/>
          <w:lang w:val="en-US" w:eastAsia="en-US"/>
        </w:rPr>
        <w:t>The first oral trial and other accusations of irregularities in the judicial proceedings</w:t>
      </w:r>
    </w:p>
    <w:p w14:paraId="355785F9" w14:textId="77777777" w:rsidR="001D422B" w:rsidRPr="009D52FD" w:rsidRDefault="001D422B" w:rsidP="00BB528A">
      <w:pPr>
        <w:widowControl/>
        <w:adjustRightInd/>
        <w:spacing w:line="240" w:lineRule="auto"/>
        <w:textAlignment w:val="auto"/>
        <w:rPr>
          <w:rFonts w:eastAsiaTheme="minorHAnsi" w:cstheme="minorBidi"/>
          <w:b/>
          <w:bCs/>
          <w:i/>
          <w:sz w:val="20"/>
          <w:szCs w:val="20"/>
          <w:lang w:val="en-US" w:eastAsia="en-US"/>
        </w:rPr>
      </w:pPr>
    </w:p>
    <w:p w14:paraId="79BB723A" w14:textId="3DD830DE" w:rsidR="00BB528A" w:rsidRPr="009D52FD" w:rsidRDefault="00D01945" w:rsidP="001D422B">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On November 5,</w:t>
      </w:r>
      <w:r w:rsidR="00004CA5" w:rsidRPr="009D52FD">
        <w:rPr>
          <w:rFonts w:eastAsiaTheme="minorHAnsi" w:cstheme="minorBidi"/>
          <w:sz w:val="20"/>
          <w:szCs w:val="20"/>
          <w:lang w:val="en-US" w:eastAsia="en-US"/>
        </w:rPr>
        <w:t xml:space="preserve"> 2001</w:t>
      </w:r>
      <w:r w:rsidR="00724BBE" w:rsidRPr="009D52FD">
        <w:rPr>
          <w:rFonts w:eastAsiaTheme="minorHAnsi" w:cstheme="minorBidi"/>
          <w:sz w:val="20"/>
          <w:szCs w:val="20"/>
          <w:lang w:val="en-US" w:eastAsia="en-US"/>
        </w:rPr>
        <w:t>,</w:t>
      </w:r>
      <w:r w:rsidR="00BB528A" w:rsidRPr="009D52FD">
        <w:rPr>
          <w:rFonts w:eastAsiaTheme="minorHAnsi" w:cstheme="minorBidi"/>
          <w:sz w:val="20"/>
          <w:szCs w:val="20"/>
          <w:lang w:val="en-US" w:eastAsia="en-US"/>
        </w:rPr>
        <w:t xml:space="preserve"> </w:t>
      </w:r>
      <w:r w:rsidR="0066603B" w:rsidRPr="009D52FD">
        <w:rPr>
          <w:rFonts w:eastAsiaTheme="minorHAnsi" w:cstheme="minorBidi"/>
          <w:sz w:val="20"/>
          <w:szCs w:val="20"/>
          <w:lang w:val="en-US" w:eastAsia="en-US"/>
        </w:rPr>
        <w:t>Prosecutor No. 33</w:t>
      </w:r>
      <w:r w:rsidR="00BB528A" w:rsidRPr="009D52FD">
        <w:rPr>
          <w:rFonts w:eastAsiaTheme="minorHAnsi" w:cstheme="minorBidi"/>
          <w:sz w:val="20"/>
          <w:szCs w:val="20"/>
          <w:lang w:val="en-US" w:eastAsia="en-US"/>
        </w:rPr>
        <w:t xml:space="preserve"> </w:t>
      </w:r>
      <w:r w:rsidR="00D9081F" w:rsidRPr="009D52FD">
        <w:rPr>
          <w:rFonts w:eastAsiaTheme="minorHAnsi" w:cstheme="minorBidi"/>
          <w:sz w:val="20"/>
          <w:szCs w:val="20"/>
          <w:lang w:val="en-US" w:eastAsia="en-US"/>
        </w:rPr>
        <w:t>filed charges against</w:t>
      </w:r>
      <w:r w:rsidR="00BB528A" w:rsidRPr="009D52FD">
        <w:rPr>
          <w:rFonts w:eastAsiaTheme="minorHAnsi" w:cstheme="minorBidi"/>
          <w:sz w:val="20"/>
          <w:szCs w:val="20"/>
          <w:lang w:val="en-US" w:eastAsia="en-US"/>
        </w:rPr>
        <w:t xml:space="preserve"> Luis Antonio Carrera Almoina </w:t>
      </w:r>
      <w:r w:rsidR="00D9081F" w:rsidRPr="009D52FD">
        <w:rPr>
          <w:rFonts w:eastAsiaTheme="minorHAnsi" w:cstheme="minorBidi"/>
          <w:sz w:val="20"/>
          <w:szCs w:val="20"/>
          <w:lang w:val="en-US" w:eastAsia="en-US"/>
        </w:rPr>
        <w:t>for the crimes of aggravated attempted murder, rape and unlawful deprivation of liberty.</w:t>
      </w:r>
      <w:r w:rsidR="00BB528A" w:rsidRPr="009D52FD">
        <w:rPr>
          <w:rFonts w:eastAsiaTheme="minorHAnsi" w:cstheme="minorBidi"/>
          <w:sz w:val="20"/>
          <w:szCs w:val="20"/>
          <w:vertAlign w:val="superscript"/>
          <w:lang w:val="en-US" w:eastAsia="en-US"/>
        </w:rPr>
        <w:footnoteReference w:id="101"/>
      </w:r>
      <w:r w:rsidR="00D9081F" w:rsidRPr="009D52FD">
        <w:rPr>
          <w:rFonts w:eastAsiaTheme="minorHAnsi" w:cstheme="minorBidi"/>
          <w:sz w:val="20"/>
          <w:szCs w:val="20"/>
          <w:lang w:val="en-US" w:eastAsia="en-US"/>
        </w:rPr>
        <w:t xml:space="preserve"> On November 19,</w:t>
      </w:r>
      <w:r w:rsidR="00BB528A" w:rsidRPr="009D52FD">
        <w:rPr>
          <w:rFonts w:eastAsiaTheme="minorHAnsi" w:cstheme="minorBidi"/>
          <w:sz w:val="20"/>
          <w:szCs w:val="20"/>
          <w:lang w:val="en-US" w:eastAsia="en-US"/>
        </w:rPr>
        <w:t xml:space="preserve"> 2001</w:t>
      </w:r>
      <w:r w:rsidR="00D9081F" w:rsidRPr="009D52FD">
        <w:rPr>
          <w:rFonts w:eastAsiaTheme="minorHAnsi" w:cstheme="minorBidi"/>
          <w:sz w:val="20"/>
          <w:szCs w:val="20"/>
          <w:lang w:val="en-US" w:eastAsia="en-US"/>
        </w:rPr>
        <w:t>,</w:t>
      </w:r>
      <w:r w:rsidR="00BB528A" w:rsidRPr="009D52FD">
        <w:rPr>
          <w:rFonts w:eastAsiaTheme="minorHAnsi" w:cstheme="minorBidi"/>
          <w:sz w:val="20"/>
          <w:szCs w:val="20"/>
          <w:lang w:val="en-US" w:eastAsia="en-US"/>
        </w:rPr>
        <w:t xml:space="preserve"> Linda Loaiza López Soto </w:t>
      </w:r>
      <w:r w:rsidR="00D9081F" w:rsidRPr="009D52FD">
        <w:rPr>
          <w:rFonts w:eastAsiaTheme="minorHAnsi" w:cstheme="minorBidi"/>
          <w:sz w:val="20"/>
          <w:szCs w:val="20"/>
          <w:lang w:val="en-US" w:eastAsia="en-US"/>
        </w:rPr>
        <w:t>filed a private prosecution against him for the crimes of aggravated attempted murder</w:t>
      </w:r>
      <w:r w:rsidR="00BB528A" w:rsidRPr="009D52FD">
        <w:rPr>
          <w:rFonts w:eastAsiaTheme="minorHAnsi" w:cstheme="minorBidi"/>
          <w:sz w:val="20"/>
          <w:szCs w:val="20"/>
          <w:lang w:val="en-US" w:eastAsia="en-US"/>
        </w:rPr>
        <w:t xml:space="preserve">, </w:t>
      </w:r>
      <w:r w:rsidR="00D9081F" w:rsidRPr="009D52FD">
        <w:rPr>
          <w:rFonts w:eastAsiaTheme="minorHAnsi" w:cstheme="minorBidi"/>
          <w:sz w:val="20"/>
          <w:szCs w:val="20"/>
          <w:lang w:val="en-US" w:eastAsia="en-US"/>
        </w:rPr>
        <w:t>rape and unlawful deprivation of liberty</w:t>
      </w:r>
      <w:r w:rsidR="009D05A8" w:rsidRPr="009D52FD">
        <w:rPr>
          <w:rFonts w:eastAsiaTheme="minorHAnsi" w:cstheme="minorBidi"/>
          <w:sz w:val="20"/>
          <w:szCs w:val="20"/>
          <w:lang w:val="en-US" w:eastAsia="en-US"/>
        </w:rPr>
        <w:t>, as</w:t>
      </w:r>
      <w:r w:rsidR="00D9081F" w:rsidRPr="009D52FD">
        <w:rPr>
          <w:rFonts w:eastAsiaTheme="minorHAnsi" w:cstheme="minorBidi"/>
          <w:sz w:val="20"/>
          <w:szCs w:val="20"/>
          <w:lang w:val="en-US" w:eastAsia="en-US"/>
        </w:rPr>
        <w:t xml:space="preserve"> well as for the crime of torture pursuant to the Rome Statute of the International Criminal Court</w:t>
      </w:r>
      <w:r w:rsidR="00BB528A" w:rsidRPr="009D52FD">
        <w:rPr>
          <w:rFonts w:eastAsiaTheme="minorHAnsi" w:cstheme="minorBidi"/>
          <w:sz w:val="20"/>
          <w:szCs w:val="20"/>
          <w:lang w:val="en-US" w:eastAsia="en-US"/>
        </w:rPr>
        <w:t>,</w:t>
      </w:r>
      <w:r w:rsidR="00D9081F" w:rsidRPr="009D52FD">
        <w:rPr>
          <w:rFonts w:eastAsiaTheme="minorHAnsi" w:cstheme="minorBidi"/>
          <w:sz w:val="20"/>
          <w:szCs w:val="20"/>
          <w:lang w:val="en-US" w:eastAsia="en-US"/>
        </w:rPr>
        <w:t xml:space="preserve"> adopted by a Venezuelan law of December 7, </w:t>
      </w:r>
      <w:r w:rsidR="00BB528A" w:rsidRPr="009D52FD">
        <w:rPr>
          <w:rFonts w:eastAsiaTheme="minorHAnsi" w:cstheme="minorBidi"/>
          <w:sz w:val="20"/>
          <w:szCs w:val="20"/>
          <w:lang w:val="en-US" w:eastAsia="en-US"/>
        </w:rPr>
        <w:t>1999</w:t>
      </w:r>
      <w:r w:rsidR="00D9081F" w:rsidRPr="009D52FD">
        <w:rPr>
          <w:rFonts w:eastAsiaTheme="minorHAnsi" w:cstheme="minorBidi"/>
          <w:sz w:val="20"/>
          <w:szCs w:val="20"/>
          <w:lang w:val="en-US" w:eastAsia="en-US"/>
        </w:rPr>
        <w:t>.</w:t>
      </w:r>
      <w:r w:rsidR="00BB528A" w:rsidRPr="009D52FD">
        <w:rPr>
          <w:rFonts w:eastAsiaTheme="minorHAnsi" w:cstheme="minorBidi"/>
          <w:sz w:val="20"/>
          <w:szCs w:val="20"/>
          <w:vertAlign w:val="superscript"/>
          <w:lang w:val="en-US" w:eastAsia="en-US"/>
        </w:rPr>
        <w:footnoteReference w:id="102"/>
      </w:r>
      <w:r w:rsidR="00BB528A" w:rsidRPr="009D52FD">
        <w:rPr>
          <w:rFonts w:eastAsiaTheme="minorHAnsi" w:cstheme="minorBidi"/>
          <w:sz w:val="20"/>
          <w:szCs w:val="20"/>
          <w:lang w:val="en-US" w:eastAsia="en-US"/>
        </w:rPr>
        <w:t xml:space="preserve"> </w:t>
      </w:r>
      <w:r w:rsidR="00D9081F" w:rsidRPr="009D52FD">
        <w:rPr>
          <w:rFonts w:eastAsiaTheme="minorHAnsi" w:cstheme="minorBidi"/>
          <w:sz w:val="20"/>
          <w:szCs w:val="20"/>
          <w:lang w:val="en-US" w:eastAsia="en-US"/>
        </w:rPr>
        <w:t>On December 11,</w:t>
      </w:r>
      <w:r w:rsidR="00BB528A" w:rsidRPr="009D52FD">
        <w:rPr>
          <w:rFonts w:eastAsiaTheme="minorHAnsi" w:cstheme="minorBidi"/>
          <w:sz w:val="20"/>
          <w:szCs w:val="20"/>
          <w:lang w:val="en-US" w:eastAsia="en-US"/>
        </w:rPr>
        <w:t xml:space="preserve"> 2001</w:t>
      </w:r>
      <w:r w:rsidR="00D9081F" w:rsidRPr="009D52FD">
        <w:rPr>
          <w:rFonts w:eastAsiaTheme="minorHAnsi" w:cstheme="minorBidi"/>
          <w:sz w:val="20"/>
          <w:szCs w:val="20"/>
          <w:lang w:val="en-US" w:eastAsia="en-US"/>
        </w:rPr>
        <w:t>, she filed a second private prosecution against the father of the accused and the two individuals involved in the case relating to the escape.</w:t>
      </w:r>
      <w:r w:rsidR="00BB528A" w:rsidRPr="009D52FD">
        <w:rPr>
          <w:rFonts w:eastAsiaTheme="minorHAnsi" w:cstheme="minorBidi"/>
          <w:sz w:val="20"/>
          <w:szCs w:val="20"/>
          <w:vertAlign w:val="superscript"/>
          <w:lang w:val="en-US" w:eastAsia="en-US"/>
        </w:rPr>
        <w:footnoteReference w:id="103"/>
      </w:r>
    </w:p>
    <w:p w14:paraId="271A13EE" w14:textId="77777777" w:rsidR="00BB528A" w:rsidRPr="009D52FD" w:rsidRDefault="00BB528A" w:rsidP="00BB528A">
      <w:pPr>
        <w:widowControl/>
        <w:adjustRightInd/>
        <w:spacing w:line="240" w:lineRule="auto"/>
        <w:textAlignment w:val="auto"/>
        <w:rPr>
          <w:rFonts w:eastAsiaTheme="minorHAnsi" w:cstheme="minorBidi"/>
          <w:sz w:val="20"/>
          <w:szCs w:val="20"/>
          <w:lang w:val="en-US" w:eastAsia="en-US"/>
        </w:rPr>
      </w:pPr>
    </w:p>
    <w:p w14:paraId="2E7B6ADA" w14:textId="764F2270" w:rsidR="001D422B" w:rsidRPr="009D52FD" w:rsidRDefault="00B32DB7" w:rsidP="00B32DB7">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 xml:space="preserve">After several postponements, the preliminary hearing was held on December 17, </w:t>
      </w:r>
      <w:r w:rsidR="00BB528A" w:rsidRPr="009D52FD">
        <w:rPr>
          <w:rFonts w:eastAsiaTheme="minorHAnsi" w:cstheme="minorBidi"/>
          <w:sz w:val="20"/>
          <w:szCs w:val="20"/>
          <w:lang w:val="en-US" w:eastAsia="en-US"/>
        </w:rPr>
        <w:t xml:space="preserve">2001. </w:t>
      </w:r>
      <w:r w:rsidRPr="009D52FD">
        <w:rPr>
          <w:rFonts w:eastAsiaTheme="minorHAnsi" w:cstheme="minorBidi"/>
          <w:sz w:val="20"/>
          <w:szCs w:val="20"/>
          <w:lang w:val="en-US" w:eastAsia="en-US"/>
        </w:rPr>
        <w:t xml:space="preserve">At that time, </w:t>
      </w:r>
      <w:r w:rsidR="00CE476F" w:rsidRPr="009D52FD">
        <w:rPr>
          <w:rFonts w:eastAsiaTheme="minorHAnsi" w:cstheme="minorBidi"/>
          <w:sz w:val="20"/>
          <w:szCs w:val="20"/>
          <w:lang w:val="en-US" w:eastAsia="en-US"/>
        </w:rPr>
        <w:t xml:space="preserve">the Eighteenth </w:t>
      </w:r>
      <w:r w:rsidRPr="009D52FD">
        <w:rPr>
          <w:rFonts w:eastAsiaTheme="minorHAnsi" w:cstheme="minorBidi"/>
          <w:sz w:val="20"/>
          <w:szCs w:val="20"/>
          <w:lang w:val="en-US" w:eastAsia="en-US"/>
        </w:rPr>
        <w:t xml:space="preserve">Oversight </w:t>
      </w:r>
      <w:r w:rsidR="00CE476F" w:rsidRPr="009D52FD">
        <w:rPr>
          <w:rFonts w:eastAsiaTheme="minorHAnsi" w:cstheme="minorBidi"/>
          <w:sz w:val="20"/>
          <w:szCs w:val="20"/>
          <w:lang w:val="en-US" w:eastAsia="en-US"/>
        </w:rPr>
        <w:t>Court</w:t>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 xml:space="preserve">admitted the accusation filed against Luis Antonio Carrera Almoina by </w:t>
      </w:r>
      <w:r w:rsidR="000C6475" w:rsidRPr="009D52FD">
        <w:rPr>
          <w:rFonts w:eastAsiaTheme="minorHAnsi" w:cstheme="minorBidi"/>
          <w:sz w:val="20"/>
          <w:szCs w:val="20"/>
          <w:lang w:val="en-US" w:eastAsia="en-US"/>
        </w:rPr>
        <w:t>the Public Prosecution Service</w:t>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for the crimes of</w:t>
      </w:r>
      <w:r w:rsidR="00D9081F" w:rsidRPr="009D52FD">
        <w:rPr>
          <w:rFonts w:eastAsiaTheme="minorHAnsi" w:cstheme="minorBidi"/>
          <w:iCs/>
          <w:sz w:val="20"/>
          <w:szCs w:val="20"/>
          <w:lang w:val="en-US" w:eastAsia="en-US"/>
        </w:rPr>
        <w:t xml:space="preserve"> attempted </w:t>
      </w:r>
      <w:r w:rsidR="00EB0591" w:rsidRPr="009D52FD">
        <w:rPr>
          <w:rFonts w:eastAsiaTheme="minorHAnsi" w:cstheme="minorBidi"/>
          <w:iCs/>
          <w:sz w:val="20"/>
          <w:szCs w:val="20"/>
          <w:lang w:val="en-US" w:eastAsia="en-US"/>
        </w:rPr>
        <w:t xml:space="preserve">first-degree </w:t>
      </w:r>
      <w:r w:rsidR="00D9081F" w:rsidRPr="009D52FD">
        <w:rPr>
          <w:rFonts w:eastAsiaTheme="minorHAnsi" w:cstheme="minorBidi"/>
          <w:iCs/>
          <w:sz w:val="20"/>
          <w:szCs w:val="20"/>
          <w:lang w:val="en-US" w:eastAsia="en-US"/>
        </w:rPr>
        <w:t>murder</w:t>
      </w:r>
      <w:r w:rsidR="00BB528A" w:rsidRPr="009D52FD">
        <w:rPr>
          <w:rFonts w:eastAsiaTheme="minorHAnsi" w:cstheme="minorBidi"/>
          <w:iCs/>
          <w:sz w:val="20"/>
          <w:szCs w:val="20"/>
          <w:lang w:val="en-US" w:eastAsia="en-US"/>
        </w:rPr>
        <w:t xml:space="preserve">; </w:t>
      </w:r>
      <w:r w:rsidRPr="009D52FD">
        <w:rPr>
          <w:rFonts w:eastAsiaTheme="minorHAnsi" w:cstheme="minorBidi"/>
          <w:iCs/>
          <w:sz w:val="20"/>
          <w:szCs w:val="20"/>
          <w:lang w:val="en-US" w:eastAsia="en-US"/>
        </w:rPr>
        <w:t xml:space="preserve">rape and unlawful deprivation of </w:t>
      </w:r>
      <w:r w:rsidR="00EB0591" w:rsidRPr="009D52FD">
        <w:rPr>
          <w:rFonts w:eastAsiaTheme="minorHAnsi" w:cstheme="minorBidi"/>
          <w:iCs/>
          <w:sz w:val="20"/>
          <w:szCs w:val="20"/>
          <w:lang w:val="en-US" w:eastAsia="en-US"/>
        </w:rPr>
        <w:t>l</w:t>
      </w:r>
      <w:r w:rsidRPr="009D52FD">
        <w:rPr>
          <w:rFonts w:eastAsiaTheme="minorHAnsi" w:cstheme="minorBidi"/>
          <w:iCs/>
          <w:sz w:val="20"/>
          <w:szCs w:val="20"/>
          <w:lang w:val="en-US" w:eastAsia="en-US"/>
        </w:rPr>
        <w:t xml:space="preserve">iberty </w:t>
      </w:r>
      <w:r w:rsidR="003630BB" w:rsidRPr="009D52FD">
        <w:rPr>
          <w:rFonts w:eastAsiaTheme="minorHAnsi" w:cstheme="minorBidi"/>
          <w:sz w:val="20"/>
          <w:szCs w:val="20"/>
          <w:lang w:val="en-US" w:eastAsia="en-US"/>
        </w:rPr>
        <w:t>and</w:t>
      </w:r>
      <w:r w:rsidRPr="009D52FD">
        <w:rPr>
          <w:rFonts w:eastAsiaTheme="minorHAnsi" w:cstheme="minorBidi"/>
          <w:sz w:val="20"/>
          <w:szCs w:val="20"/>
          <w:lang w:val="en-US" w:eastAsia="en-US"/>
        </w:rPr>
        <w:t xml:space="preserve"> rejected, as time-barred the accusation of attempted premeditated first degree murder, perpetrated in his home</w:t>
      </w:r>
      <w:r w:rsidR="00BF31E9" w:rsidRPr="009D52FD">
        <w:rPr>
          <w:rFonts w:eastAsiaTheme="minorHAnsi" w:cstheme="minorBidi"/>
          <w:sz w:val="20"/>
          <w:szCs w:val="20"/>
          <w:lang w:val="en-US" w:eastAsia="en-US"/>
        </w:rPr>
        <w:t>,</w:t>
      </w:r>
      <w:r w:rsidRPr="009D52FD">
        <w:rPr>
          <w:rFonts w:eastAsiaTheme="minorHAnsi" w:cstheme="minorBidi"/>
          <w:sz w:val="20"/>
          <w:szCs w:val="20"/>
          <w:lang w:val="en-US" w:eastAsia="en-US"/>
        </w:rPr>
        <w:t xml:space="preserve"> offending and disrespecting the dignity that the victim merited owing to her age and sex without the victim having provoked the incident; aggravated continuing rape; unlawful deprivation of liberty using threats and cruelty, and forcing the victim to consume narcotic substances using threats and violence. It also admitted the accusation filed against Luis Antonio Carrera Almoina by the Public Prosecution Service for the offense of impeding and obstructing the execution of the judicial proceedings by fraud; against his father for the offense of impeding and obstructing the execution of the judicial proceedings by fraud</w:t>
      </w:r>
      <w:r w:rsidR="004F440F" w:rsidRPr="009D52FD">
        <w:rPr>
          <w:rFonts w:eastAsiaTheme="minorHAnsi" w:cstheme="minorBidi"/>
          <w:sz w:val="20"/>
          <w:szCs w:val="20"/>
          <w:lang w:val="en-US" w:eastAsia="en-US"/>
        </w:rPr>
        <w:t>,</w:t>
      </w:r>
      <w:r w:rsidRPr="009D52FD">
        <w:rPr>
          <w:rFonts w:eastAsiaTheme="minorHAnsi" w:cstheme="minorBidi"/>
          <w:sz w:val="20"/>
          <w:szCs w:val="20"/>
          <w:lang w:val="en-US" w:eastAsia="en-US"/>
        </w:rPr>
        <w:t xml:space="preserve"> a</w:t>
      </w:r>
      <w:r w:rsidR="004F440F" w:rsidRPr="009D52FD">
        <w:rPr>
          <w:rFonts w:eastAsiaTheme="minorHAnsi" w:cstheme="minorBidi"/>
          <w:sz w:val="20"/>
          <w:szCs w:val="20"/>
          <w:lang w:val="en-US" w:eastAsia="en-US"/>
        </w:rPr>
        <w:t>s well as</w:t>
      </w:r>
      <w:r w:rsidR="00BF31E9" w:rsidRPr="009D52FD">
        <w:rPr>
          <w:rFonts w:eastAsiaTheme="minorHAnsi" w:cstheme="minorBidi"/>
          <w:sz w:val="20"/>
          <w:szCs w:val="20"/>
          <w:lang w:val="en-US" w:eastAsia="en-US"/>
        </w:rPr>
        <w:t xml:space="preserve"> misuse of public office, </w:t>
      </w:r>
      <w:r w:rsidRPr="009D52FD">
        <w:rPr>
          <w:rFonts w:eastAsiaTheme="minorHAnsi" w:cstheme="minorBidi"/>
          <w:sz w:val="20"/>
          <w:szCs w:val="20"/>
          <w:lang w:val="en-US" w:eastAsia="en-US"/>
        </w:rPr>
        <w:t>and against another two individuals for the offense of aiding and abetting</w:t>
      </w:r>
      <w:r w:rsidR="00BB528A" w:rsidRPr="009D52FD">
        <w:rPr>
          <w:rFonts w:eastAsiaTheme="minorHAnsi" w:cstheme="minorBidi"/>
          <w:iCs/>
          <w:sz w:val="20"/>
          <w:szCs w:val="20"/>
          <w:lang w:val="en-US" w:eastAsia="en-US"/>
        </w:rPr>
        <w:t>.</w:t>
      </w:r>
      <w:r w:rsidR="00BB528A" w:rsidRPr="009D52FD">
        <w:rPr>
          <w:rFonts w:eastAsiaTheme="minorHAnsi" w:cstheme="minorBidi"/>
          <w:sz w:val="20"/>
          <w:szCs w:val="20"/>
          <w:lang w:val="en-US" w:eastAsia="en-US"/>
        </w:rPr>
        <w:t xml:space="preserve"> Re</w:t>
      </w:r>
      <w:r w:rsidRPr="009D52FD">
        <w:rPr>
          <w:rFonts w:eastAsiaTheme="minorHAnsi" w:cstheme="minorBidi"/>
          <w:sz w:val="20"/>
          <w:szCs w:val="20"/>
          <w:lang w:val="en-US" w:eastAsia="en-US"/>
        </w:rPr>
        <w:t xml:space="preserve">garding the </w:t>
      </w:r>
      <w:r w:rsidR="004233C5" w:rsidRPr="009D52FD">
        <w:rPr>
          <w:rFonts w:eastAsiaTheme="minorHAnsi" w:cstheme="minorBidi"/>
          <w:sz w:val="20"/>
          <w:szCs w:val="20"/>
          <w:lang w:val="en-US" w:eastAsia="en-US"/>
        </w:rPr>
        <w:t>private prosecution</w:t>
      </w:r>
      <w:r w:rsidRPr="009D52FD">
        <w:rPr>
          <w:rFonts w:eastAsiaTheme="minorHAnsi" w:cstheme="minorBidi"/>
          <w:sz w:val="20"/>
          <w:szCs w:val="20"/>
          <w:lang w:val="en-US" w:eastAsia="en-US"/>
        </w:rPr>
        <w:t xml:space="preserve"> against Luis Antonio Carrera Almoina filed by </w:t>
      </w:r>
      <w:r w:rsidR="00BB528A" w:rsidRPr="009D52FD">
        <w:rPr>
          <w:rFonts w:eastAsiaTheme="minorHAnsi" w:cstheme="minorBidi"/>
          <w:sz w:val="20"/>
          <w:szCs w:val="20"/>
          <w:lang w:val="en-US" w:eastAsia="en-US"/>
        </w:rPr>
        <w:t xml:space="preserve">Linda Loaiza López Soto, </w:t>
      </w:r>
      <w:r w:rsidR="00CE476F" w:rsidRPr="009D52FD">
        <w:rPr>
          <w:rFonts w:eastAsiaTheme="minorHAnsi" w:cstheme="minorBidi"/>
          <w:sz w:val="20"/>
          <w:szCs w:val="20"/>
          <w:lang w:val="en-US" w:eastAsia="en-US"/>
        </w:rPr>
        <w:t xml:space="preserve">the Eighteenth </w:t>
      </w:r>
      <w:r w:rsidRPr="009D52FD">
        <w:rPr>
          <w:rFonts w:eastAsiaTheme="minorHAnsi" w:cstheme="minorBidi"/>
          <w:sz w:val="20"/>
          <w:szCs w:val="20"/>
          <w:lang w:val="en-US" w:eastAsia="en-US"/>
        </w:rPr>
        <w:t xml:space="preserve">Oversight </w:t>
      </w:r>
      <w:r w:rsidR="00CE476F" w:rsidRPr="009D52FD">
        <w:rPr>
          <w:rFonts w:eastAsiaTheme="minorHAnsi" w:cstheme="minorBidi"/>
          <w:sz w:val="20"/>
          <w:szCs w:val="20"/>
          <w:lang w:val="en-US" w:eastAsia="en-US"/>
        </w:rPr>
        <w:t>Court</w:t>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admitted it in relation to the crimes of</w:t>
      </w:r>
      <w:r w:rsidR="00D9081F" w:rsidRPr="009D52FD">
        <w:rPr>
          <w:rFonts w:eastAsiaTheme="minorHAnsi" w:cstheme="minorBidi"/>
          <w:iCs/>
          <w:sz w:val="20"/>
          <w:szCs w:val="20"/>
          <w:lang w:val="en-US" w:eastAsia="en-US"/>
        </w:rPr>
        <w:t xml:space="preserve"> attempted </w:t>
      </w:r>
      <w:r w:rsidR="00EB0591" w:rsidRPr="009D52FD">
        <w:rPr>
          <w:rFonts w:eastAsiaTheme="minorHAnsi" w:cstheme="minorBidi"/>
          <w:iCs/>
          <w:sz w:val="20"/>
          <w:szCs w:val="20"/>
          <w:lang w:val="en-US" w:eastAsia="en-US"/>
        </w:rPr>
        <w:t xml:space="preserve">first-degree </w:t>
      </w:r>
      <w:r w:rsidR="00D9081F" w:rsidRPr="009D52FD">
        <w:rPr>
          <w:rFonts w:eastAsiaTheme="minorHAnsi" w:cstheme="minorBidi"/>
          <w:iCs/>
          <w:sz w:val="20"/>
          <w:szCs w:val="20"/>
          <w:lang w:val="en-US" w:eastAsia="en-US"/>
        </w:rPr>
        <w:t>murder</w:t>
      </w:r>
      <w:r w:rsidR="00EB0591" w:rsidRPr="009D52FD">
        <w:rPr>
          <w:rFonts w:eastAsiaTheme="minorHAnsi" w:cstheme="minorBidi"/>
          <w:iCs/>
          <w:sz w:val="20"/>
          <w:szCs w:val="20"/>
          <w:lang w:val="en-US" w:eastAsia="en-US"/>
        </w:rPr>
        <w:t>,</w:t>
      </w:r>
      <w:r w:rsidR="00BB528A" w:rsidRPr="009D52FD">
        <w:rPr>
          <w:rFonts w:eastAsiaTheme="minorHAnsi" w:cstheme="minorBidi"/>
          <w:iCs/>
          <w:sz w:val="20"/>
          <w:szCs w:val="20"/>
          <w:lang w:val="en-US" w:eastAsia="en-US"/>
        </w:rPr>
        <w:t xml:space="preserve"> </w:t>
      </w:r>
      <w:r w:rsidRPr="009D52FD">
        <w:rPr>
          <w:rFonts w:eastAsiaTheme="minorHAnsi" w:cstheme="minorBidi"/>
          <w:iCs/>
          <w:sz w:val="20"/>
          <w:szCs w:val="20"/>
          <w:lang w:val="en-US" w:eastAsia="en-US"/>
        </w:rPr>
        <w:t xml:space="preserve">rape, unlawful deprivation of liberty and torture, and rejected the accusation against his father and a university employee for the offenses of </w:t>
      </w:r>
      <w:r w:rsidR="00BB528A" w:rsidRPr="009D52FD">
        <w:rPr>
          <w:rFonts w:eastAsiaTheme="minorHAnsi" w:cstheme="minorBidi"/>
          <w:iCs/>
          <w:sz w:val="20"/>
          <w:szCs w:val="20"/>
          <w:lang w:val="en-US" w:eastAsia="en-US"/>
        </w:rPr>
        <w:t xml:space="preserve"> </w:t>
      </w:r>
      <w:r w:rsidRPr="009D52FD">
        <w:rPr>
          <w:rFonts w:eastAsiaTheme="minorHAnsi" w:cstheme="minorBidi"/>
          <w:iCs/>
          <w:sz w:val="20"/>
          <w:szCs w:val="20"/>
          <w:lang w:val="en-US" w:eastAsia="en-US"/>
        </w:rPr>
        <w:t>being accomplices to</w:t>
      </w:r>
      <w:r w:rsidR="00D9081F" w:rsidRPr="009D52FD">
        <w:rPr>
          <w:rFonts w:eastAsiaTheme="minorHAnsi" w:cstheme="minorBidi"/>
          <w:iCs/>
          <w:sz w:val="20"/>
          <w:szCs w:val="20"/>
          <w:lang w:val="en-US" w:eastAsia="en-US"/>
        </w:rPr>
        <w:t xml:space="preserve"> attempted</w:t>
      </w:r>
      <w:r w:rsidR="00EB0591" w:rsidRPr="009D52FD">
        <w:rPr>
          <w:rFonts w:eastAsiaTheme="minorHAnsi" w:cstheme="minorBidi"/>
          <w:iCs/>
          <w:sz w:val="20"/>
          <w:szCs w:val="20"/>
          <w:lang w:val="en-US" w:eastAsia="en-US"/>
        </w:rPr>
        <w:t xml:space="preserve"> first-degree</w:t>
      </w:r>
      <w:r w:rsidR="00D9081F" w:rsidRPr="009D52FD">
        <w:rPr>
          <w:rFonts w:eastAsiaTheme="minorHAnsi" w:cstheme="minorBidi"/>
          <w:iCs/>
          <w:sz w:val="20"/>
          <w:szCs w:val="20"/>
          <w:lang w:val="en-US" w:eastAsia="en-US"/>
        </w:rPr>
        <w:t xml:space="preserve"> murder</w:t>
      </w:r>
      <w:r w:rsidRPr="009D52FD">
        <w:rPr>
          <w:rFonts w:eastAsiaTheme="minorHAnsi" w:cstheme="minorBidi"/>
          <w:iCs/>
          <w:sz w:val="20"/>
          <w:szCs w:val="20"/>
          <w:lang w:val="en-US" w:eastAsia="en-US"/>
        </w:rPr>
        <w:t>,</w:t>
      </w:r>
      <w:r w:rsidR="00BB528A" w:rsidRPr="009D52FD">
        <w:rPr>
          <w:rFonts w:eastAsiaTheme="minorHAnsi" w:cstheme="minorBidi"/>
          <w:iCs/>
          <w:sz w:val="20"/>
          <w:szCs w:val="20"/>
          <w:lang w:val="en-US" w:eastAsia="en-US"/>
        </w:rPr>
        <w:t xml:space="preserve"> </w:t>
      </w:r>
      <w:r w:rsidR="00D9081F" w:rsidRPr="009D52FD">
        <w:rPr>
          <w:rFonts w:eastAsiaTheme="minorHAnsi" w:cstheme="minorBidi"/>
          <w:iCs/>
          <w:sz w:val="20"/>
          <w:szCs w:val="20"/>
          <w:lang w:val="en-US" w:eastAsia="en-US"/>
        </w:rPr>
        <w:t>rape and unlawful deprivation of liberty</w:t>
      </w:r>
      <w:r w:rsidR="00BB528A" w:rsidRPr="009D52FD">
        <w:rPr>
          <w:rFonts w:eastAsiaTheme="minorHAnsi" w:cstheme="minorBidi"/>
          <w:iCs/>
          <w:sz w:val="20"/>
          <w:szCs w:val="20"/>
          <w:lang w:val="en-US" w:eastAsia="en-US"/>
        </w:rPr>
        <w:t>,</w:t>
      </w:r>
      <w:r w:rsidRPr="009D52FD">
        <w:rPr>
          <w:rFonts w:eastAsiaTheme="minorHAnsi" w:cstheme="minorBidi"/>
          <w:iCs/>
          <w:sz w:val="20"/>
          <w:szCs w:val="20"/>
          <w:lang w:val="en-US" w:eastAsia="en-US"/>
        </w:rPr>
        <w:t xml:space="preserve"> because this accusation was filed by </w:t>
      </w:r>
      <w:r w:rsidR="00BB528A" w:rsidRPr="009D52FD">
        <w:rPr>
          <w:rFonts w:eastAsiaTheme="minorHAnsi" w:cstheme="minorBidi"/>
          <w:sz w:val="20"/>
          <w:szCs w:val="20"/>
          <w:lang w:val="en-US" w:eastAsia="en-US"/>
        </w:rPr>
        <w:t xml:space="preserve">Juan Bernardo Delgado </w:t>
      </w:r>
      <w:r w:rsidRPr="009D52FD">
        <w:rPr>
          <w:rFonts w:eastAsiaTheme="minorHAnsi" w:cstheme="minorBidi"/>
          <w:sz w:val="20"/>
          <w:szCs w:val="20"/>
          <w:lang w:val="en-US" w:eastAsia="en-US"/>
        </w:rPr>
        <w:t xml:space="preserve">with a special power of attorney granted by </w:t>
      </w:r>
      <w:r w:rsidR="00BB528A" w:rsidRPr="009D52FD">
        <w:rPr>
          <w:rFonts w:eastAsiaTheme="minorHAnsi" w:cstheme="minorBidi"/>
          <w:sz w:val="20"/>
          <w:szCs w:val="20"/>
          <w:lang w:val="en-US" w:eastAsia="en-US"/>
        </w:rPr>
        <w:t>Ana Secilia López Soto,</w:t>
      </w:r>
      <w:r w:rsidR="003630BB" w:rsidRPr="009D52FD">
        <w:rPr>
          <w:rFonts w:eastAsiaTheme="minorHAnsi" w:cstheme="minorBidi"/>
          <w:sz w:val="20"/>
          <w:szCs w:val="20"/>
          <w:lang w:val="en-US" w:eastAsia="en-US"/>
        </w:rPr>
        <w:t xml:space="preserve"> and </w:t>
      </w:r>
      <w:r w:rsidR="00BB528A" w:rsidRPr="009D52FD">
        <w:rPr>
          <w:rFonts w:eastAsiaTheme="minorHAnsi" w:cstheme="minorBidi"/>
          <w:sz w:val="20"/>
          <w:szCs w:val="20"/>
          <w:lang w:val="en-US" w:eastAsia="en-US"/>
        </w:rPr>
        <w:t>n</w:t>
      </w:r>
      <w:r w:rsidRPr="009D52FD">
        <w:rPr>
          <w:rFonts w:eastAsiaTheme="minorHAnsi" w:cstheme="minorBidi"/>
          <w:sz w:val="20"/>
          <w:szCs w:val="20"/>
          <w:lang w:val="en-US" w:eastAsia="en-US"/>
        </w:rPr>
        <w:t>ot by</w:t>
      </w:r>
      <w:r w:rsidR="00BB528A" w:rsidRPr="009D52FD">
        <w:rPr>
          <w:rFonts w:eastAsiaTheme="minorHAnsi" w:cstheme="minorBidi"/>
          <w:sz w:val="20"/>
          <w:szCs w:val="20"/>
          <w:lang w:val="en-US" w:eastAsia="en-US"/>
        </w:rPr>
        <w:t xml:space="preserve"> Linda Loaiza López Soto</w:t>
      </w:r>
      <w:r w:rsidRPr="009D52FD">
        <w:rPr>
          <w:rFonts w:eastAsiaTheme="minorHAnsi" w:cstheme="minorBidi"/>
          <w:sz w:val="20"/>
          <w:szCs w:val="20"/>
          <w:lang w:val="en-US" w:eastAsia="en-US"/>
        </w:rPr>
        <w:t>.</w:t>
      </w:r>
      <w:r w:rsidR="00BB528A" w:rsidRPr="009D52FD">
        <w:rPr>
          <w:rFonts w:eastAsiaTheme="minorHAnsi" w:cstheme="minorBidi"/>
          <w:sz w:val="20"/>
          <w:szCs w:val="20"/>
          <w:vertAlign w:val="superscript"/>
          <w:lang w:val="en-US" w:eastAsia="en-US"/>
        </w:rPr>
        <w:footnoteReference w:id="104"/>
      </w:r>
    </w:p>
    <w:p w14:paraId="4FBEFB6B" w14:textId="77777777" w:rsidR="001D422B" w:rsidRPr="009D52FD" w:rsidRDefault="001D422B" w:rsidP="001D422B">
      <w:pPr>
        <w:tabs>
          <w:tab w:val="left" w:pos="567"/>
        </w:tabs>
        <w:spacing w:line="240" w:lineRule="auto"/>
        <w:rPr>
          <w:rFonts w:eastAsiaTheme="minorHAnsi" w:cstheme="minorBidi"/>
          <w:sz w:val="20"/>
          <w:szCs w:val="20"/>
          <w:lang w:val="en-US" w:eastAsia="en-US"/>
        </w:rPr>
      </w:pPr>
    </w:p>
    <w:p w14:paraId="6CC029FC" w14:textId="295B1C3E" w:rsidR="00BB528A" w:rsidRPr="009D52FD" w:rsidRDefault="00EB0591" w:rsidP="00587396">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On January 2,</w:t>
      </w:r>
      <w:r w:rsidR="00004CA5" w:rsidRPr="009D52FD">
        <w:rPr>
          <w:rFonts w:eastAsiaTheme="minorHAnsi" w:cstheme="minorBidi"/>
          <w:sz w:val="20"/>
          <w:szCs w:val="20"/>
          <w:lang w:val="en-US" w:eastAsia="en-US"/>
        </w:rPr>
        <w:t xml:space="preserve"> 2002</w:t>
      </w:r>
      <w:r w:rsidRPr="009D52FD">
        <w:rPr>
          <w:rFonts w:eastAsiaTheme="minorHAnsi" w:cstheme="minorBidi"/>
          <w:sz w:val="20"/>
          <w:szCs w:val="20"/>
          <w:lang w:val="en-US" w:eastAsia="en-US"/>
        </w:rPr>
        <w:t>,</w:t>
      </w:r>
      <w:r w:rsidR="00BB528A" w:rsidRPr="009D52FD">
        <w:rPr>
          <w:rFonts w:eastAsiaTheme="minorHAnsi" w:cstheme="minorBidi"/>
          <w:sz w:val="20"/>
          <w:szCs w:val="20"/>
          <w:lang w:val="en-US" w:eastAsia="en-US"/>
        </w:rPr>
        <w:t xml:space="preserve"> </w:t>
      </w:r>
      <w:r w:rsidR="00CE476F" w:rsidRPr="009D52FD">
        <w:rPr>
          <w:rFonts w:eastAsiaTheme="minorHAnsi" w:cstheme="minorBidi"/>
          <w:sz w:val="20"/>
          <w:szCs w:val="20"/>
          <w:lang w:val="en-US" w:eastAsia="en-US"/>
        </w:rPr>
        <w:t xml:space="preserve">the Eighteenth </w:t>
      </w:r>
      <w:r w:rsidRPr="009D52FD">
        <w:rPr>
          <w:rFonts w:eastAsiaTheme="minorHAnsi" w:cstheme="minorBidi"/>
          <w:sz w:val="20"/>
          <w:szCs w:val="20"/>
          <w:lang w:val="en-US" w:eastAsia="en-US"/>
        </w:rPr>
        <w:t xml:space="preserve">Oversight </w:t>
      </w:r>
      <w:r w:rsidR="00CE476F" w:rsidRPr="009D52FD">
        <w:rPr>
          <w:rFonts w:eastAsiaTheme="minorHAnsi" w:cstheme="minorBidi"/>
          <w:sz w:val="20"/>
          <w:szCs w:val="20"/>
          <w:lang w:val="en-US" w:eastAsia="en-US"/>
        </w:rPr>
        <w:t>Court</w:t>
      </w:r>
      <w:r w:rsidRPr="009D52FD">
        <w:rPr>
          <w:rFonts w:eastAsiaTheme="minorHAnsi" w:cstheme="minorBidi"/>
          <w:sz w:val="20"/>
          <w:szCs w:val="20"/>
          <w:lang w:val="en-US" w:eastAsia="en-US"/>
        </w:rPr>
        <w:t xml:space="preserve"> issued the order to </w:t>
      </w:r>
      <w:r w:rsidR="004F440F" w:rsidRPr="009D52FD">
        <w:rPr>
          <w:rFonts w:eastAsiaTheme="minorHAnsi" w:cstheme="minorBidi"/>
          <w:sz w:val="20"/>
          <w:szCs w:val="20"/>
          <w:lang w:val="en-US" w:eastAsia="en-US"/>
        </w:rPr>
        <w:t>start</w:t>
      </w:r>
      <w:r w:rsidR="006E1F8F"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 xml:space="preserve">the </w:t>
      </w:r>
      <w:r w:rsidR="004F440F" w:rsidRPr="009D52FD">
        <w:rPr>
          <w:rFonts w:eastAsiaTheme="minorHAnsi" w:cstheme="minorBidi"/>
          <w:sz w:val="20"/>
          <w:szCs w:val="20"/>
          <w:lang w:val="en-US" w:eastAsia="en-US"/>
        </w:rPr>
        <w:t xml:space="preserve">criminal trial </w:t>
      </w:r>
      <w:r w:rsidRPr="009D52FD">
        <w:rPr>
          <w:rFonts w:eastAsiaTheme="minorHAnsi" w:cstheme="minorBidi"/>
          <w:sz w:val="20"/>
          <w:szCs w:val="20"/>
          <w:lang w:val="en-US" w:eastAsia="en-US"/>
        </w:rPr>
        <w:t>against</w:t>
      </w:r>
      <w:r w:rsidR="00BB528A" w:rsidRPr="009D52FD">
        <w:rPr>
          <w:rFonts w:eastAsiaTheme="minorHAnsi" w:cstheme="minorBidi"/>
          <w:sz w:val="20"/>
          <w:szCs w:val="20"/>
          <w:lang w:val="en-US" w:eastAsia="en-US"/>
        </w:rPr>
        <w:t xml:space="preserve"> Luis </w:t>
      </w:r>
      <w:r w:rsidR="000E7AA5" w:rsidRPr="009D52FD">
        <w:rPr>
          <w:rFonts w:eastAsiaTheme="minorHAnsi" w:cstheme="minorBidi"/>
          <w:sz w:val="20"/>
          <w:szCs w:val="20"/>
          <w:lang w:val="en-US" w:eastAsia="en-US"/>
        </w:rPr>
        <w:t xml:space="preserve">Antonio </w:t>
      </w:r>
      <w:r w:rsidR="00BB528A" w:rsidRPr="009D52FD">
        <w:rPr>
          <w:rFonts w:eastAsiaTheme="minorHAnsi" w:cstheme="minorBidi"/>
          <w:sz w:val="20"/>
          <w:szCs w:val="20"/>
          <w:lang w:val="en-US" w:eastAsia="en-US"/>
        </w:rPr>
        <w:t xml:space="preserve">Carrera Almoina, </w:t>
      </w:r>
      <w:r w:rsidRPr="009D52FD">
        <w:rPr>
          <w:rFonts w:eastAsiaTheme="minorHAnsi" w:cstheme="minorBidi"/>
          <w:sz w:val="20"/>
          <w:szCs w:val="20"/>
          <w:lang w:val="en-US" w:eastAsia="en-US"/>
        </w:rPr>
        <w:t>his father and an university employee.</w:t>
      </w:r>
      <w:r w:rsidR="00BB528A" w:rsidRPr="009D52FD">
        <w:rPr>
          <w:rFonts w:eastAsiaTheme="minorHAnsi" w:cstheme="minorBidi"/>
          <w:sz w:val="20"/>
          <w:szCs w:val="20"/>
          <w:vertAlign w:val="superscript"/>
          <w:lang w:val="en-US" w:eastAsia="en-US"/>
        </w:rPr>
        <w:footnoteReference w:id="105"/>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On Janu</w:t>
      </w:r>
      <w:r w:rsidR="006E1F8F" w:rsidRPr="009D52FD">
        <w:rPr>
          <w:rFonts w:eastAsiaTheme="minorHAnsi" w:cstheme="minorBidi"/>
          <w:sz w:val="20"/>
          <w:szCs w:val="20"/>
          <w:lang w:val="en-US" w:eastAsia="en-US"/>
        </w:rPr>
        <w:t>ar</w:t>
      </w:r>
      <w:r w:rsidRPr="009D52FD">
        <w:rPr>
          <w:rFonts w:eastAsiaTheme="minorHAnsi" w:cstheme="minorBidi"/>
          <w:sz w:val="20"/>
          <w:szCs w:val="20"/>
          <w:lang w:val="en-US" w:eastAsia="en-US"/>
        </w:rPr>
        <w:t>y 10,</w:t>
      </w:r>
      <w:r w:rsidR="00BB528A" w:rsidRPr="009D52FD">
        <w:rPr>
          <w:rFonts w:eastAsiaTheme="minorHAnsi" w:cstheme="minorBidi"/>
          <w:sz w:val="20"/>
          <w:szCs w:val="20"/>
          <w:lang w:val="en-US" w:eastAsia="en-US"/>
        </w:rPr>
        <w:t xml:space="preserve"> </w:t>
      </w:r>
      <w:r w:rsidR="00BB528A" w:rsidRPr="009D52FD">
        <w:rPr>
          <w:rFonts w:eastAsiaTheme="minorHAnsi" w:cstheme="minorBidi"/>
          <w:sz w:val="20"/>
          <w:szCs w:val="20"/>
          <w:lang w:val="en-US" w:eastAsia="en-US"/>
        </w:rPr>
        <w:lastRenderedPageBreak/>
        <w:t>2002</w:t>
      </w:r>
      <w:r w:rsidRPr="009D52FD">
        <w:rPr>
          <w:rFonts w:eastAsiaTheme="minorHAnsi" w:cstheme="minorBidi"/>
          <w:sz w:val="20"/>
          <w:szCs w:val="20"/>
          <w:lang w:val="en-US" w:eastAsia="en-US"/>
        </w:rPr>
        <w:t>,</w:t>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 xml:space="preserve">the date of February 5, 2002, was established for the </w:t>
      </w:r>
      <w:r w:rsidR="00F848CC" w:rsidRPr="009D52FD">
        <w:rPr>
          <w:rFonts w:eastAsiaTheme="minorHAnsi" w:cstheme="minorBidi"/>
          <w:sz w:val="20"/>
          <w:szCs w:val="20"/>
          <w:lang w:val="en-US" w:eastAsia="en-US"/>
        </w:rPr>
        <w:t>public oral hearing</w:t>
      </w:r>
      <w:r w:rsidRPr="009D52FD">
        <w:rPr>
          <w:rFonts w:eastAsiaTheme="minorHAnsi" w:cstheme="minorBidi"/>
          <w:sz w:val="20"/>
          <w:szCs w:val="20"/>
          <w:lang w:val="en-US" w:eastAsia="en-US"/>
        </w:rPr>
        <w:t>.</w:t>
      </w:r>
      <w:r w:rsidR="00BB528A" w:rsidRPr="009D52FD">
        <w:rPr>
          <w:rFonts w:eastAsiaTheme="minorHAnsi" w:cstheme="minorBidi"/>
          <w:sz w:val="20"/>
          <w:szCs w:val="20"/>
          <w:vertAlign w:val="superscript"/>
          <w:lang w:val="en-US" w:eastAsia="en-US"/>
        </w:rPr>
        <w:footnoteReference w:id="106"/>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 xml:space="preserve">However, </w:t>
      </w:r>
      <w:r w:rsidR="006E1F8F" w:rsidRPr="009D52FD">
        <w:rPr>
          <w:rFonts w:eastAsiaTheme="minorHAnsi" w:cstheme="minorBidi"/>
          <w:sz w:val="20"/>
          <w:szCs w:val="20"/>
          <w:lang w:val="en-US" w:eastAsia="en-US"/>
        </w:rPr>
        <w:t xml:space="preserve">there were </w:t>
      </w:r>
      <w:r w:rsidRPr="009D52FD">
        <w:rPr>
          <w:rFonts w:eastAsiaTheme="minorHAnsi" w:cstheme="minorBidi"/>
          <w:sz w:val="20"/>
          <w:szCs w:val="20"/>
          <w:lang w:val="en-US" w:eastAsia="en-US"/>
        </w:rPr>
        <w:t>numerous postponements for different reasons</w:t>
      </w:r>
      <w:r w:rsidR="004F440F" w:rsidRPr="009D52FD">
        <w:rPr>
          <w:rFonts w:eastAsiaTheme="minorHAnsi" w:cstheme="minorBidi"/>
          <w:sz w:val="20"/>
          <w:szCs w:val="20"/>
          <w:lang w:val="en-US" w:eastAsia="en-US"/>
        </w:rPr>
        <w:t>,</w:t>
      </w:r>
      <w:r w:rsidRPr="009D52FD">
        <w:rPr>
          <w:rFonts w:eastAsiaTheme="minorHAnsi" w:cstheme="minorBidi"/>
          <w:sz w:val="20"/>
          <w:szCs w:val="20"/>
          <w:lang w:val="en-US" w:eastAsia="en-US"/>
        </w:rPr>
        <w:t xml:space="preserve"> </w:t>
      </w:r>
      <w:r w:rsidR="004F440F" w:rsidRPr="009D52FD">
        <w:rPr>
          <w:rFonts w:eastAsiaTheme="minorHAnsi" w:cstheme="minorBidi"/>
          <w:sz w:val="20"/>
          <w:szCs w:val="20"/>
          <w:lang w:val="en-US" w:eastAsia="en-US"/>
        </w:rPr>
        <w:t>on</w:t>
      </w:r>
      <w:r w:rsidRPr="009D52FD">
        <w:rPr>
          <w:rFonts w:eastAsiaTheme="minorHAnsi" w:cstheme="minorBidi"/>
          <w:sz w:val="20"/>
          <w:szCs w:val="20"/>
          <w:lang w:val="en-US" w:eastAsia="en-US"/>
        </w:rPr>
        <w:t xml:space="preserve">e of which was that </w:t>
      </w:r>
      <w:r w:rsidR="00587396" w:rsidRPr="009D52FD">
        <w:rPr>
          <w:rFonts w:eastAsiaTheme="minorHAnsi" w:cstheme="minorBidi"/>
          <w:sz w:val="20"/>
          <w:szCs w:val="20"/>
          <w:lang w:val="en-US" w:eastAsia="en-US"/>
        </w:rPr>
        <w:t>the mixed court with jurors had not been constituted</w:t>
      </w:r>
      <w:r w:rsidR="004F440F" w:rsidRPr="009D52FD">
        <w:rPr>
          <w:rFonts w:eastAsiaTheme="minorHAnsi" w:cstheme="minorBidi"/>
          <w:sz w:val="20"/>
          <w:szCs w:val="20"/>
          <w:lang w:val="en-US" w:eastAsia="en-US"/>
        </w:rPr>
        <w:t>;</w:t>
      </w:r>
      <w:r w:rsidR="00BB528A" w:rsidRPr="009D52FD">
        <w:rPr>
          <w:rFonts w:eastAsiaTheme="minorHAnsi" w:cstheme="minorBidi"/>
          <w:sz w:val="20"/>
          <w:szCs w:val="20"/>
          <w:vertAlign w:val="superscript"/>
          <w:lang w:val="en-US" w:eastAsia="en-US"/>
        </w:rPr>
        <w:footnoteReference w:id="107"/>
      </w:r>
      <w:r w:rsidR="004F440F" w:rsidRPr="009D52FD">
        <w:rPr>
          <w:rFonts w:eastAsiaTheme="minorHAnsi" w:cstheme="minorBidi"/>
          <w:sz w:val="20"/>
          <w:szCs w:val="20"/>
          <w:lang w:val="en-US" w:eastAsia="en-US"/>
        </w:rPr>
        <w:t xml:space="preserve"> t</w:t>
      </w:r>
      <w:r w:rsidR="00587396" w:rsidRPr="009D52FD">
        <w:rPr>
          <w:rFonts w:eastAsiaTheme="minorHAnsi" w:cstheme="minorBidi"/>
          <w:sz w:val="20"/>
          <w:szCs w:val="20"/>
          <w:lang w:val="en-US" w:eastAsia="en-US"/>
        </w:rPr>
        <w:t xml:space="preserve">herefore, </w:t>
      </w:r>
      <w:r w:rsidR="004F440F" w:rsidRPr="009D52FD">
        <w:rPr>
          <w:rFonts w:eastAsiaTheme="minorHAnsi" w:cstheme="minorBidi"/>
          <w:sz w:val="20"/>
          <w:szCs w:val="20"/>
          <w:lang w:val="en-US" w:eastAsia="en-US"/>
        </w:rPr>
        <w:t>a</w:t>
      </w:r>
      <w:r w:rsidR="00587396" w:rsidRPr="009D52FD">
        <w:rPr>
          <w:rFonts w:eastAsiaTheme="minorHAnsi" w:cstheme="minorBidi"/>
          <w:sz w:val="20"/>
          <w:szCs w:val="20"/>
          <w:lang w:val="en-US" w:eastAsia="en-US"/>
        </w:rPr>
        <w:t xml:space="preserve"> new date of October 14, 2002, was established.</w:t>
      </w:r>
      <w:r w:rsidR="00BB528A" w:rsidRPr="009D52FD">
        <w:rPr>
          <w:rFonts w:eastAsiaTheme="minorHAnsi" w:cstheme="minorBidi"/>
          <w:sz w:val="20"/>
          <w:szCs w:val="20"/>
          <w:vertAlign w:val="superscript"/>
          <w:lang w:val="en-US" w:eastAsia="en-US"/>
        </w:rPr>
        <w:footnoteReference w:id="108"/>
      </w:r>
      <w:r w:rsidR="00BB528A" w:rsidRPr="009D52FD">
        <w:rPr>
          <w:rFonts w:eastAsiaTheme="minorHAnsi" w:cstheme="minorBidi"/>
          <w:sz w:val="20"/>
          <w:szCs w:val="20"/>
          <w:lang w:val="en-US" w:eastAsia="en-US"/>
        </w:rPr>
        <w:t xml:space="preserve"> </w:t>
      </w:r>
      <w:r w:rsidR="00587396" w:rsidRPr="009D52FD">
        <w:rPr>
          <w:rFonts w:eastAsiaTheme="minorHAnsi" w:cstheme="minorBidi"/>
          <w:sz w:val="20"/>
          <w:szCs w:val="20"/>
          <w:lang w:val="en-US" w:eastAsia="en-US"/>
        </w:rPr>
        <w:t>Between October</w:t>
      </w:r>
      <w:r w:rsidR="00BB528A" w:rsidRPr="009D52FD">
        <w:rPr>
          <w:rFonts w:eastAsiaTheme="minorHAnsi" w:cstheme="minorBidi"/>
          <w:sz w:val="20"/>
          <w:szCs w:val="20"/>
          <w:lang w:val="en-US" w:eastAsia="en-US"/>
        </w:rPr>
        <w:t xml:space="preserve"> 2002</w:t>
      </w:r>
      <w:r w:rsidR="003630BB" w:rsidRPr="009D52FD">
        <w:rPr>
          <w:rFonts w:eastAsiaTheme="minorHAnsi" w:cstheme="minorBidi"/>
          <w:sz w:val="20"/>
          <w:szCs w:val="20"/>
          <w:lang w:val="en-US" w:eastAsia="en-US"/>
        </w:rPr>
        <w:t xml:space="preserve"> and </w:t>
      </w:r>
      <w:r w:rsidR="00587396" w:rsidRPr="009D52FD">
        <w:rPr>
          <w:rFonts w:eastAsiaTheme="minorHAnsi" w:cstheme="minorBidi"/>
          <w:sz w:val="20"/>
          <w:szCs w:val="20"/>
          <w:lang w:val="en-US" w:eastAsia="en-US"/>
        </w:rPr>
        <w:t>June</w:t>
      </w:r>
      <w:r w:rsidR="00BB528A" w:rsidRPr="009D52FD">
        <w:rPr>
          <w:rFonts w:eastAsiaTheme="minorHAnsi" w:cstheme="minorBidi"/>
          <w:sz w:val="20"/>
          <w:szCs w:val="20"/>
          <w:lang w:val="en-US" w:eastAsia="en-US"/>
        </w:rPr>
        <w:t xml:space="preserve"> 2003, </w:t>
      </w:r>
      <w:r w:rsidR="00587396" w:rsidRPr="009D52FD">
        <w:rPr>
          <w:rFonts w:eastAsiaTheme="minorHAnsi" w:cstheme="minorBidi"/>
          <w:sz w:val="20"/>
          <w:szCs w:val="20"/>
          <w:lang w:val="en-US" w:eastAsia="en-US"/>
        </w:rPr>
        <w:t xml:space="preserve">the hearing was postponed nine times; four times due to the health of the victim and the other five times owing to requests by the accused, </w:t>
      </w:r>
      <w:r w:rsidR="000C6475" w:rsidRPr="009D52FD">
        <w:rPr>
          <w:rFonts w:eastAsiaTheme="minorHAnsi" w:cstheme="minorBidi"/>
          <w:sz w:val="20"/>
          <w:szCs w:val="20"/>
          <w:lang w:val="en-US" w:eastAsia="en-US"/>
        </w:rPr>
        <w:t>the Public Prosecution Service</w:t>
      </w:r>
      <w:r w:rsidR="004F440F" w:rsidRPr="009D52FD">
        <w:rPr>
          <w:rFonts w:eastAsiaTheme="minorHAnsi" w:cstheme="minorBidi"/>
          <w:sz w:val="20"/>
          <w:szCs w:val="20"/>
          <w:lang w:val="en-US" w:eastAsia="en-US"/>
        </w:rPr>
        <w:t>,</w:t>
      </w:r>
      <w:r w:rsidR="003630BB" w:rsidRPr="009D52FD">
        <w:rPr>
          <w:rFonts w:eastAsiaTheme="minorHAnsi" w:cstheme="minorBidi"/>
          <w:sz w:val="20"/>
          <w:szCs w:val="20"/>
          <w:lang w:val="en-US" w:eastAsia="en-US"/>
        </w:rPr>
        <w:t xml:space="preserve"> and </w:t>
      </w:r>
      <w:r w:rsidR="00587396" w:rsidRPr="009D52FD">
        <w:rPr>
          <w:rFonts w:eastAsiaTheme="minorHAnsi" w:cstheme="minorBidi"/>
          <w:sz w:val="20"/>
          <w:szCs w:val="20"/>
          <w:lang w:val="en-US" w:eastAsia="en-US"/>
        </w:rPr>
        <w:t>for the Christmas holiday.</w:t>
      </w:r>
      <w:r w:rsidR="00BB528A" w:rsidRPr="009D52FD">
        <w:rPr>
          <w:rFonts w:eastAsiaTheme="minorHAnsi" w:cstheme="minorBidi"/>
          <w:sz w:val="20"/>
          <w:szCs w:val="20"/>
          <w:vertAlign w:val="superscript"/>
          <w:lang w:val="en-US" w:eastAsia="en-US"/>
        </w:rPr>
        <w:footnoteReference w:id="109"/>
      </w:r>
      <w:r w:rsidR="00587396" w:rsidRPr="009D52FD">
        <w:rPr>
          <w:rFonts w:eastAsiaTheme="minorHAnsi" w:cstheme="minorBidi"/>
          <w:sz w:val="20"/>
          <w:szCs w:val="20"/>
          <w:lang w:val="en-US" w:eastAsia="en-US"/>
        </w:rPr>
        <w:t xml:space="preserve"> Between June</w:t>
      </w:r>
      <w:r w:rsidR="00BB528A" w:rsidRPr="009D52FD">
        <w:rPr>
          <w:rFonts w:eastAsiaTheme="minorHAnsi" w:cstheme="minorBidi"/>
          <w:sz w:val="20"/>
          <w:szCs w:val="20"/>
          <w:lang w:val="en-US" w:eastAsia="en-US"/>
        </w:rPr>
        <w:t xml:space="preserve"> 2003 </w:t>
      </w:r>
      <w:r w:rsidR="00587396" w:rsidRPr="009D52FD">
        <w:rPr>
          <w:rFonts w:eastAsiaTheme="minorHAnsi" w:cstheme="minorBidi"/>
          <w:sz w:val="20"/>
          <w:szCs w:val="20"/>
          <w:lang w:val="en-US" w:eastAsia="en-US"/>
        </w:rPr>
        <w:t>and August</w:t>
      </w:r>
      <w:r w:rsidR="00BB528A" w:rsidRPr="009D52FD">
        <w:rPr>
          <w:rFonts w:eastAsiaTheme="minorHAnsi" w:cstheme="minorBidi"/>
          <w:sz w:val="20"/>
          <w:szCs w:val="20"/>
          <w:lang w:val="en-US" w:eastAsia="en-US"/>
        </w:rPr>
        <w:t xml:space="preserve"> 2004,</w:t>
      </w:r>
      <w:r w:rsidR="00587396" w:rsidRPr="009D52FD">
        <w:rPr>
          <w:rFonts w:eastAsiaTheme="minorHAnsi" w:cstheme="minorBidi"/>
          <w:sz w:val="20"/>
          <w:szCs w:val="20"/>
          <w:lang w:val="en-US" w:eastAsia="en-US"/>
        </w:rPr>
        <w:t xml:space="preserve"> the hearing was also postponed on several occasions.</w:t>
      </w:r>
      <w:r w:rsidR="00BB528A" w:rsidRPr="009D52FD">
        <w:rPr>
          <w:rFonts w:eastAsiaTheme="minorHAnsi" w:cstheme="minorBidi"/>
          <w:sz w:val="20"/>
          <w:szCs w:val="20"/>
          <w:vertAlign w:val="superscript"/>
          <w:lang w:val="en-US" w:eastAsia="en-US"/>
        </w:rPr>
        <w:footnoteReference w:id="110"/>
      </w:r>
      <w:r w:rsidR="00BB528A" w:rsidRPr="009D52FD">
        <w:rPr>
          <w:rFonts w:eastAsiaTheme="minorHAnsi" w:cstheme="minorBidi"/>
          <w:sz w:val="20"/>
          <w:szCs w:val="20"/>
          <w:lang w:val="en-US" w:eastAsia="en-US"/>
        </w:rPr>
        <w:t xml:space="preserve"> </w:t>
      </w:r>
      <w:r w:rsidR="00587396" w:rsidRPr="009D52FD">
        <w:rPr>
          <w:rFonts w:eastAsiaTheme="minorHAnsi" w:cstheme="minorBidi"/>
          <w:sz w:val="20"/>
          <w:szCs w:val="20"/>
          <w:lang w:val="en-US" w:eastAsia="en-US"/>
        </w:rPr>
        <w:t>On August 3,</w:t>
      </w:r>
      <w:r w:rsidR="00BB528A" w:rsidRPr="009D52FD">
        <w:rPr>
          <w:rFonts w:eastAsiaTheme="minorHAnsi" w:cstheme="minorBidi"/>
          <w:sz w:val="20"/>
          <w:szCs w:val="20"/>
          <w:lang w:val="en-US" w:eastAsia="en-US"/>
        </w:rPr>
        <w:t xml:space="preserve"> 2004</w:t>
      </w:r>
      <w:r w:rsidR="00587396" w:rsidRPr="009D52FD">
        <w:rPr>
          <w:rFonts w:eastAsiaTheme="minorHAnsi" w:cstheme="minorBidi"/>
          <w:sz w:val="20"/>
          <w:szCs w:val="20"/>
          <w:lang w:val="en-US" w:eastAsia="en-US"/>
        </w:rPr>
        <w:t>,</w:t>
      </w:r>
      <w:r w:rsidR="00BB528A" w:rsidRPr="009D52FD">
        <w:rPr>
          <w:rFonts w:eastAsiaTheme="minorHAnsi" w:cstheme="minorBidi"/>
          <w:sz w:val="20"/>
          <w:szCs w:val="20"/>
          <w:lang w:val="en-US" w:eastAsia="en-US"/>
        </w:rPr>
        <w:t xml:space="preserve"> Linda Loaiza López Soto</w:t>
      </w:r>
      <w:r w:rsidR="00587396" w:rsidRPr="009D52FD">
        <w:rPr>
          <w:rFonts w:eastAsiaTheme="minorHAnsi" w:cstheme="minorBidi"/>
          <w:sz w:val="20"/>
          <w:szCs w:val="20"/>
          <w:lang w:val="en-US" w:eastAsia="en-US"/>
        </w:rPr>
        <w:t>’s lawyer denounced that, at that date, the hearing had been postponed twenty-nine times, and twenty-six of those postponements could be attributed to the defense counsel of the accused.</w:t>
      </w:r>
      <w:r w:rsidR="00BB528A" w:rsidRPr="009D52FD">
        <w:rPr>
          <w:rFonts w:eastAsiaTheme="minorHAnsi" w:cstheme="minorBidi"/>
          <w:sz w:val="20"/>
          <w:szCs w:val="20"/>
          <w:vertAlign w:val="superscript"/>
          <w:lang w:val="en-US" w:eastAsia="en-US"/>
        </w:rPr>
        <w:footnoteReference w:id="111"/>
      </w:r>
    </w:p>
    <w:p w14:paraId="23179AE4" w14:textId="77777777" w:rsidR="00BB528A" w:rsidRPr="009D52FD" w:rsidRDefault="00BB528A" w:rsidP="00BB528A">
      <w:pPr>
        <w:widowControl/>
        <w:adjustRightInd/>
        <w:spacing w:line="240" w:lineRule="auto"/>
        <w:textAlignment w:val="auto"/>
        <w:rPr>
          <w:rFonts w:eastAsiaTheme="minorHAnsi" w:cstheme="minorBidi"/>
          <w:sz w:val="20"/>
          <w:szCs w:val="20"/>
          <w:lang w:val="en-US" w:eastAsia="en-US"/>
        </w:rPr>
      </w:pPr>
    </w:p>
    <w:p w14:paraId="5B9DD77F" w14:textId="3C88F098" w:rsidR="00BB528A" w:rsidRPr="009D52FD" w:rsidRDefault="00587396" w:rsidP="00D43515">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On June 6,</w:t>
      </w:r>
      <w:r w:rsidR="00BB528A" w:rsidRPr="009D52FD">
        <w:rPr>
          <w:rFonts w:eastAsiaTheme="minorHAnsi" w:cstheme="minorBidi"/>
          <w:sz w:val="20"/>
          <w:szCs w:val="20"/>
          <w:lang w:val="en-US" w:eastAsia="en-US"/>
        </w:rPr>
        <w:t xml:space="preserve"> 2003</w:t>
      </w:r>
      <w:r w:rsidRPr="009D52FD">
        <w:rPr>
          <w:rFonts w:eastAsiaTheme="minorHAnsi" w:cstheme="minorBidi"/>
          <w:sz w:val="20"/>
          <w:szCs w:val="20"/>
          <w:lang w:val="en-US" w:eastAsia="en-US"/>
        </w:rPr>
        <w:t>,</w:t>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the Thirtieth Trial Court</w:t>
      </w:r>
      <w:r w:rsidR="00BB528A" w:rsidRPr="009D52FD">
        <w:rPr>
          <w:rFonts w:eastAsiaTheme="minorHAnsi" w:cstheme="minorBidi"/>
          <w:sz w:val="20"/>
          <w:szCs w:val="20"/>
          <w:lang w:val="en-US" w:eastAsia="en-US"/>
        </w:rPr>
        <w:t xml:space="preserve"> declar</w:t>
      </w:r>
      <w:r w:rsidR="00D43515" w:rsidRPr="009D52FD">
        <w:rPr>
          <w:rFonts w:eastAsiaTheme="minorHAnsi" w:cstheme="minorBidi"/>
          <w:sz w:val="20"/>
          <w:szCs w:val="20"/>
          <w:lang w:val="en-US" w:eastAsia="en-US"/>
        </w:rPr>
        <w:t xml:space="preserve">ed that the </w:t>
      </w:r>
      <w:r w:rsidR="004233C5" w:rsidRPr="009D52FD">
        <w:rPr>
          <w:rFonts w:eastAsiaTheme="minorHAnsi" w:cstheme="minorBidi"/>
          <w:sz w:val="20"/>
          <w:szCs w:val="20"/>
          <w:lang w:val="en-US" w:eastAsia="en-US"/>
        </w:rPr>
        <w:t>private prosecution</w:t>
      </w:r>
      <w:r w:rsidR="00D43515" w:rsidRPr="009D52FD">
        <w:rPr>
          <w:rFonts w:eastAsiaTheme="minorHAnsi" w:cstheme="minorBidi"/>
          <w:sz w:val="20"/>
          <w:szCs w:val="20"/>
          <w:lang w:val="en-US" w:eastAsia="en-US"/>
        </w:rPr>
        <w:t xml:space="preserve"> </w:t>
      </w:r>
      <w:r w:rsidR="0020281A" w:rsidRPr="009D52FD">
        <w:rPr>
          <w:rFonts w:eastAsiaTheme="minorHAnsi" w:cstheme="minorBidi"/>
          <w:sz w:val="20"/>
          <w:szCs w:val="20"/>
          <w:lang w:val="en-US" w:eastAsia="en-US"/>
        </w:rPr>
        <w:t>had been abandoned</w:t>
      </w:r>
      <w:r w:rsidR="00D43515" w:rsidRPr="009D52FD">
        <w:rPr>
          <w:rFonts w:eastAsiaTheme="minorHAnsi" w:cstheme="minorBidi"/>
          <w:sz w:val="20"/>
          <w:szCs w:val="20"/>
          <w:lang w:val="en-US" w:eastAsia="en-US"/>
        </w:rPr>
        <w:t xml:space="preserve"> owing to the victim’s “repeated failure to attend” the trial hearing. </w:t>
      </w:r>
      <w:r w:rsidR="00BB528A" w:rsidRPr="009D52FD">
        <w:rPr>
          <w:rFonts w:eastAsiaTheme="minorHAnsi" w:cstheme="minorBidi"/>
          <w:sz w:val="20"/>
          <w:szCs w:val="20"/>
          <w:lang w:val="en-US" w:eastAsia="en-US"/>
        </w:rPr>
        <w:t>Linda Loaiza López Soto</w:t>
      </w:r>
      <w:r w:rsidR="00D43515" w:rsidRPr="009D52FD">
        <w:rPr>
          <w:rFonts w:eastAsiaTheme="minorHAnsi" w:cstheme="minorBidi"/>
          <w:sz w:val="20"/>
          <w:szCs w:val="20"/>
          <w:lang w:val="en-US" w:eastAsia="en-US"/>
        </w:rPr>
        <w:t>’s lawyer filed a request for reconsideration based on the fact that her absences were health-related. This request was rejected and, therefore, an application for constitutional amparo was filed. This application was rejected in first instance. Finally, the Constitutional Chamber</w:t>
      </w:r>
      <w:r w:rsidR="003630BB" w:rsidRPr="009D52FD">
        <w:rPr>
          <w:rFonts w:eastAsiaTheme="minorHAnsi" w:cstheme="minorBidi"/>
          <w:sz w:val="20"/>
          <w:szCs w:val="20"/>
          <w:lang w:val="en-US" w:eastAsia="en-US"/>
        </w:rPr>
        <w:t xml:space="preserve"> of the </w:t>
      </w:r>
      <w:r w:rsidR="00D43515" w:rsidRPr="009D52FD">
        <w:rPr>
          <w:rFonts w:eastAsiaTheme="minorHAnsi" w:cstheme="minorBidi"/>
          <w:sz w:val="20"/>
          <w:szCs w:val="20"/>
          <w:lang w:val="en-US" w:eastAsia="en-US"/>
        </w:rPr>
        <w:t>Supreme Court of Justice</w:t>
      </w:r>
      <w:r w:rsidR="00BB528A" w:rsidRPr="009D52FD">
        <w:rPr>
          <w:rFonts w:eastAsiaTheme="minorHAnsi" w:cstheme="minorBidi"/>
          <w:sz w:val="20"/>
          <w:szCs w:val="20"/>
          <w:lang w:val="en-US" w:eastAsia="en-US"/>
        </w:rPr>
        <w:t xml:space="preserve"> </w:t>
      </w:r>
      <w:r w:rsidR="004233C5" w:rsidRPr="009D52FD">
        <w:rPr>
          <w:rFonts w:eastAsiaTheme="minorHAnsi" w:cstheme="minorBidi"/>
          <w:sz w:val="20"/>
          <w:szCs w:val="20"/>
          <w:lang w:val="en-US" w:eastAsia="en-US"/>
        </w:rPr>
        <w:t>granted the application due to</w:t>
      </w:r>
      <w:r w:rsidR="00D43515" w:rsidRPr="009D52FD">
        <w:rPr>
          <w:rFonts w:eastAsiaTheme="minorHAnsi" w:cstheme="minorBidi"/>
          <w:sz w:val="20"/>
          <w:szCs w:val="20"/>
          <w:lang w:val="en-US" w:eastAsia="en-US"/>
        </w:rPr>
        <w:t xml:space="preserve"> violations of constitutional </w:t>
      </w:r>
      <w:r w:rsidR="004233C5" w:rsidRPr="009D52FD">
        <w:rPr>
          <w:rFonts w:eastAsiaTheme="minorHAnsi" w:cstheme="minorBidi"/>
          <w:sz w:val="20"/>
          <w:szCs w:val="20"/>
          <w:lang w:val="en-US" w:eastAsia="en-US"/>
        </w:rPr>
        <w:t xml:space="preserve">rights and </w:t>
      </w:r>
      <w:r w:rsidR="00D43515" w:rsidRPr="009D52FD">
        <w:rPr>
          <w:rFonts w:eastAsiaTheme="minorHAnsi" w:cstheme="minorBidi"/>
          <w:sz w:val="20"/>
          <w:szCs w:val="20"/>
          <w:lang w:val="en-US" w:eastAsia="en-US"/>
        </w:rPr>
        <w:t xml:space="preserve">guarantees. Consequently, </w:t>
      </w:r>
      <w:r w:rsidR="00BB528A" w:rsidRPr="009D52FD">
        <w:rPr>
          <w:rFonts w:eastAsiaTheme="minorHAnsi" w:cstheme="minorBidi"/>
          <w:sz w:val="20"/>
          <w:szCs w:val="20"/>
          <w:lang w:val="en-US" w:eastAsia="en-US"/>
        </w:rPr>
        <w:t xml:space="preserve">Linda Loaiza López Soto </w:t>
      </w:r>
      <w:r w:rsidR="00D43515" w:rsidRPr="009D52FD">
        <w:rPr>
          <w:rFonts w:eastAsiaTheme="minorHAnsi" w:cstheme="minorBidi"/>
          <w:sz w:val="20"/>
          <w:szCs w:val="20"/>
          <w:lang w:val="en-US" w:eastAsia="en-US"/>
        </w:rPr>
        <w:t>was again recognized as a complainant in the proceeding</w:t>
      </w:r>
      <w:r w:rsidR="004233C5" w:rsidRPr="009D52FD">
        <w:rPr>
          <w:rFonts w:eastAsiaTheme="minorHAnsi" w:cstheme="minorBidi"/>
          <w:sz w:val="20"/>
          <w:szCs w:val="20"/>
          <w:lang w:val="en-US" w:eastAsia="en-US"/>
        </w:rPr>
        <w:t>s</w:t>
      </w:r>
      <w:r w:rsidR="00D43515" w:rsidRPr="009D52FD">
        <w:rPr>
          <w:rFonts w:eastAsiaTheme="minorHAnsi" w:cstheme="minorBidi"/>
          <w:sz w:val="20"/>
          <w:szCs w:val="20"/>
          <w:lang w:val="en-US" w:eastAsia="en-US"/>
        </w:rPr>
        <w:t>.</w:t>
      </w:r>
      <w:r w:rsidR="00BB528A" w:rsidRPr="009D52FD">
        <w:rPr>
          <w:rFonts w:eastAsiaTheme="minorHAnsi" w:cstheme="minorBidi"/>
          <w:sz w:val="20"/>
          <w:szCs w:val="20"/>
          <w:vertAlign w:val="superscript"/>
          <w:lang w:val="en-US" w:eastAsia="en-US"/>
        </w:rPr>
        <w:footnoteReference w:id="112"/>
      </w:r>
    </w:p>
    <w:p w14:paraId="51610597" w14:textId="77777777" w:rsidR="00BB528A" w:rsidRPr="009D52FD" w:rsidRDefault="00BB528A" w:rsidP="00BB528A">
      <w:pPr>
        <w:widowControl/>
        <w:adjustRightInd/>
        <w:spacing w:line="240" w:lineRule="auto"/>
        <w:textAlignment w:val="auto"/>
        <w:rPr>
          <w:rFonts w:eastAsiaTheme="minorHAnsi" w:cstheme="minorBidi"/>
          <w:sz w:val="20"/>
          <w:szCs w:val="20"/>
          <w:lang w:val="en-US" w:eastAsia="en-US"/>
        </w:rPr>
      </w:pPr>
    </w:p>
    <w:p w14:paraId="1220659F" w14:textId="40CEAAD0" w:rsidR="00BB528A" w:rsidRPr="009D52FD" w:rsidRDefault="00BB528A" w:rsidP="004233C5">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Linda Loaiza López Soto</w:t>
      </w:r>
      <w:r w:rsidR="004233C5" w:rsidRPr="009D52FD">
        <w:rPr>
          <w:rFonts w:eastAsiaTheme="minorHAnsi" w:cstheme="minorBidi"/>
          <w:sz w:val="20"/>
          <w:szCs w:val="20"/>
          <w:lang w:val="en-US" w:eastAsia="en-US"/>
        </w:rPr>
        <w:t xml:space="preserve"> filed complaints against the judge of the </w:t>
      </w:r>
      <w:r w:rsidR="00587396" w:rsidRPr="009D52FD">
        <w:rPr>
          <w:rFonts w:eastAsiaTheme="minorHAnsi" w:cstheme="minorBidi"/>
          <w:sz w:val="20"/>
          <w:szCs w:val="20"/>
          <w:lang w:val="en-US" w:eastAsia="en-US"/>
        </w:rPr>
        <w:t>Thirtieth Trial Court</w:t>
      </w:r>
      <w:r w:rsidRPr="009D52FD">
        <w:rPr>
          <w:rFonts w:eastAsiaTheme="minorHAnsi" w:cstheme="minorBidi"/>
          <w:sz w:val="20"/>
          <w:szCs w:val="20"/>
          <w:lang w:val="en-US" w:eastAsia="en-US"/>
        </w:rPr>
        <w:t xml:space="preserve"> </w:t>
      </w:r>
      <w:r w:rsidR="004233C5" w:rsidRPr="009D52FD">
        <w:rPr>
          <w:rFonts w:eastAsiaTheme="minorHAnsi" w:cstheme="minorBidi"/>
          <w:sz w:val="20"/>
          <w:szCs w:val="20"/>
          <w:lang w:val="en-US" w:eastAsia="en-US"/>
        </w:rPr>
        <w:t>before the General Inspectorate of Courts</w:t>
      </w:r>
      <w:r w:rsidRPr="009D52FD">
        <w:rPr>
          <w:rFonts w:eastAsiaTheme="minorHAnsi" w:cstheme="minorBidi"/>
          <w:sz w:val="20"/>
          <w:szCs w:val="20"/>
          <w:vertAlign w:val="superscript"/>
          <w:lang w:val="en-US" w:eastAsia="en-US"/>
        </w:rPr>
        <w:footnoteReference w:id="113"/>
      </w:r>
      <w:r w:rsidR="003630BB" w:rsidRPr="009D52FD">
        <w:rPr>
          <w:rFonts w:eastAsiaTheme="minorHAnsi" w:cstheme="minorBidi"/>
          <w:sz w:val="20"/>
          <w:szCs w:val="20"/>
          <w:lang w:val="en-US" w:eastAsia="en-US"/>
        </w:rPr>
        <w:t xml:space="preserve"> and </w:t>
      </w:r>
      <w:r w:rsidR="004233C5" w:rsidRPr="009D52FD">
        <w:rPr>
          <w:rFonts w:eastAsiaTheme="minorHAnsi" w:cstheme="minorBidi"/>
          <w:sz w:val="20"/>
          <w:szCs w:val="20"/>
          <w:lang w:val="en-US" w:eastAsia="en-US"/>
        </w:rPr>
        <w:t>before</w:t>
      </w:r>
      <w:r w:rsidRPr="009D52FD">
        <w:rPr>
          <w:rFonts w:eastAsiaTheme="minorHAnsi" w:cstheme="minorBidi"/>
          <w:sz w:val="20"/>
          <w:szCs w:val="20"/>
          <w:lang w:val="en-US" w:eastAsia="en-US"/>
        </w:rPr>
        <w:t xml:space="preserve"> </w:t>
      </w:r>
      <w:r w:rsidR="004233C5" w:rsidRPr="009D52FD">
        <w:rPr>
          <w:rFonts w:eastAsiaTheme="minorHAnsi" w:cstheme="minorBidi"/>
          <w:sz w:val="20"/>
          <w:szCs w:val="20"/>
          <w:lang w:val="en-US" w:eastAsia="en-US"/>
        </w:rPr>
        <w:t>the Ombudsman,</w:t>
      </w:r>
      <w:r w:rsidRPr="009D52FD">
        <w:rPr>
          <w:rFonts w:eastAsiaTheme="minorHAnsi" w:cstheme="minorBidi"/>
          <w:sz w:val="20"/>
          <w:szCs w:val="20"/>
          <w:vertAlign w:val="superscript"/>
          <w:lang w:val="en-US" w:eastAsia="en-US"/>
        </w:rPr>
        <w:footnoteReference w:id="114"/>
      </w:r>
      <w:r w:rsidR="004233C5" w:rsidRPr="009D52FD">
        <w:rPr>
          <w:rFonts w:eastAsiaTheme="minorHAnsi" w:cstheme="minorBidi"/>
          <w:sz w:val="20"/>
          <w:szCs w:val="20"/>
          <w:lang w:val="en-US" w:eastAsia="en-US"/>
        </w:rPr>
        <w:t xml:space="preserve"> owing to irregularities in the proceedings, mainly due to the declaration of </w:t>
      </w:r>
      <w:r w:rsidR="0020281A" w:rsidRPr="009D52FD">
        <w:rPr>
          <w:rFonts w:eastAsiaTheme="minorHAnsi" w:cstheme="minorBidi"/>
          <w:sz w:val="20"/>
          <w:szCs w:val="20"/>
          <w:lang w:val="en-US" w:eastAsia="en-US"/>
        </w:rPr>
        <w:t xml:space="preserve">the abandonment </w:t>
      </w:r>
      <w:r w:rsidR="004233C5" w:rsidRPr="009D52FD">
        <w:rPr>
          <w:rFonts w:eastAsiaTheme="minorHAnsi" w:cstheme="minorBidi"/>
          <w:sz w:val="20"/>
          <w:szCs w:val="20"/>
          <w:lang w:val="en-US" w:eastAsia="en-US"/>
        </w:rPr>
        <w:t>of</w:t>
      </w:r>
      <w:r w:rsidRPr="009D52FD">
        <w:rPr>
          <w:rFonts w:eastAsiaTheme="minorHAnsi" w:cstheme="minorBidi"/>
          <w:sz w:val="20"/>
          <w:szCs w:val="20"/>
          <w:lang w:val="en-US" w:eastAsia="en-US"/>
        </w:rPr>
        <w:t xml:space="preserve"> </w:t>
      </w:r>
      <w:r w:rsidR="004233C5" w:rsidRPr="009D52FD">
        <w:rPr>
          <w:rFonts w:eastAsiaTheme="minorHAnsi" w:cstheme="minorBidi"/>
          <w:sz w:val="20"/>
          <w:szCs w:val="20"/>
          <w:lang w:val="en-US" w:eastAsia="en-US"/>
        </w:rPr>
        <w:t>the private prosecution</w:t>
      </w:r>
      <w:r w:rsidRPr="009D52FD">
        <w:rPr>
          <w:rFonts w:eastAsiaTheme="minorHAnsi" w:cstheme="minorBidi"/>
          <w:sz w:val="20"/>
          <w:szCs w:val="20"/>
          <w:lang w:val="en-US" w:eastAsia="en-US"/>
        </w:rPr>
        <w:t xml:space="preserve">. </w:t>
      </w:r>
      <w:r w:rsidR="004233C5" w:rsidRPr="009D52FD">
        <w:rPr>
          <w:rFonts w:eastAsiaTheme="minorHAnsi" w:cstheme="minorBidi"/>
          <w:sz w:val="20"/>
          <w:szCs w:val="20"/>
          <w:lang w:val="en-US" w:eastAsia="en-US"/>
        </w:rPr>
        <w:t>In addition,</w:t>
      </w:r>
      <w:r w:rsidRPr="009D52FD">
        <w:rPr>
          <w:rFonts w:eastAsiaTheme="minorHAnsi" w:cstheme="minorBidi"/>
          <w:sz w:val="20"/>
          <w:szCs w:val="20"/>
          <w:lang w:val="en-US" w:eastAsia="en-US"/>
        </w:rPr>
        <w:t xml:space="preserve"> </w:t>
      </w:r>
      <w:r w:rsidR="003630BB" w:rsidRPr="009D52FD">
        <w:rPr>
          <w:rFonts w:eastAsiaTheme="minorHAnsi" w:cstheme="minorBidi"/>
          <w:sz w:val="20"/>
          <w:szCs w:val="20"/>
          <w:lang w:val="en-US" w:eastAsia="en-US"/>
        </w:rPr>
        <w:t xml:space="preserve">the President of the </w:t>
      </w:r>
      <w:r w:rsidR="004233C5" w:rsidRPr="009D52FD">
        <w:rPr>
          <w:rFonts w:eastAsiaTheme="minorHAnsi" w:cstheme="minorBidi"/>
          <w:sz w:val="20"/>
          <w:szCs w:val="20"/>
          <w:lang w:val="en-US" w:eastAsia="en-US"/>
        </w:rPr>
        <w:t xml:space="preserve">Permanent Committee on </w:t>
      </w:r>
      <w:r w:rsidR="00DD419F" w:rsidRPr="009D52FD">
        <w:rPr>
          <w:rFonts w:eastAsiaTheme="minorHAnsi" w:cstheme="minorBidi"/>
          <w:sz w:val="20"/>
          <w:szCs w:val="20"/>
          <w:lang w:val="en-US" w:eastAsia="en-US"/>
        </w:rPr>
        <w:t xml:space="preserve">Domestic Policy, Justice, Human Rights and Constitutional Guarantees of the National Assembly filed a complaint before the </w:t>
      </w:r>
      <w:r w:rsidR="004233C5" w:rsidRPr="009D52FD">
        <w:rPr>
          <w:rFonts w:eastAsiaTheme="minorHAnsi" w:cstheme="minorBidi"/>
          <w:sz w:val="20"/>
          <w:szCs w:val="20"/>
          <w:lang w:val="en-US" w:eastAsia="en-US"/>
        </w:rPr>
        <w:t>General Inspectorate of Courts</w:t>
      </w:r>
      <w:r w:rsidRPr="009D52FD">
        <w:rPr>
          <w:rFonts w:eastAsiaTheme="minorHAnsi" w:cstheme="minorBidi"/>
          <w:sz w:val="20"/>
          <w:szCs w:val="20"/>
          <w:lang w:val="en-US" w:eastAsia="en-US"/>
        </w:rPr>
        <w:t xml:space="preserve"> </w:t>
      </w:r>
      <w:r w:rsidR="00DD419F" w:rsidRPr="009D52FD">
        <w:rPr>
          <w:rFonts w:eastAsiaTheme="minorHAnsi" w:cstheme="minorBidi"/>
          <w:sz w:val="20"/>
          <w:szCs w:val="20"/>
          <w:lang w:val="en-US" w:eastAsia="en-US"/>
        </w:rPr>
        <w:t xml:space="preserve">owing to the serious irregularities in the judicial proceedings, and the mistreatment that </w:t>
      </w:r>
      <w:r w:rsidRPr="009D52FD">
        <w:rPr>
          <w:rFonts w:eastAsiaTheme="minorHAnsi" w:cstheme="minorBidi"/>
          <w:sz w:val="20"/>
          <w:szCs w:val="20"/>
          <w:lang w:val="en-US" w:eastAsia="en-US"/>
        </w:rPr>
        <w:t xml:space="preserve">Linda Loaiza López Soto </w:t>
      </w:r>
      <w:r w:rsidR="00DD419F" w:rsidRPr="009D52FD">
        <w:rPr>
          <w:rFonts w:eastAsiaTheme="minorHAnsi" w:cstheme="minorBidi"/>
          <w:sz w:val="20"/>
          <w:szCs w:val="20"/>
          <w:lang w:val="en-US" w:eastAsia="en-US"/>
        </w:rPr>
        <w:t>had received when she had recourse to the Court.</w:t>
      </w:r>
      <w:r w:rsidRPr="009D52FD">
        <w:rPr>
          <w:rFonts w:eastAsiaTheme="minorHAnsi" w:cstheme="minorBidi"/>
          <w:sz w:val="20"/>
          <w:szCs w:val="20"/>
          <w:vertAlign w:val="superscript"/>
          <w:lang w:val="en-US" w:eastAsia="en-US"/>
        </w:rPr>
        <w:footnoteReference w:id="115"/>
      </w:r>
    </w:p>
    <w:p w14:paraId="7FE75096" w14:textId="77777777" w:rsidR="00BB528A" w:rsidRPr="009D52FD" w:rsidRDefault="00BB528A" w:rsidP="00BB528A">
      <w:pPr>
        <w:widowControl/>
        <w:adjustRightInd/>
        <w:spacing w:line="240" w:lineRule="auto"/>
        <w:textAlignment w:val="auto"/>
        <w:rPr>
          <w:rFonts w:eastAsiaTheme="minorHAnsi" w:cstheme="minorBidi"/>
          <w:sz w:val="20"/>
          <w:szCs w:val="20"/>
          <w:lang w:val="en-US" w:eastAsia="en-US"/>
        </w:rPr>
      </w:pPr>
    </w:p>
    <w:p w14:paraId="680B83CD" w14:textId="4D16D3CA" w:rsidR="00BB528A" w:rsidRPr="009D52FD" w:rsidRDefault="00BB528A" w:rsidP="00DD419F">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Dur</w:t>
      </w:r>
      <w:r w:rsidR="00DD419F" w:rsidRPr="009D52FD">
        <w:rPr>
          <w:rFonts w:eastAsiaTheme="minorHAnsi" w:cstheme="minorBidi"/>
          <w:sz w:val="20"/>
          <w:szCs w:val="20"/>
          <w:lang w:val="en-US" w:eastAsia="en-US"/>
        </w:rPr>
        <w:t xml:space="preserve">ing the stage prior to the oral hearing, various judges </w:t>
      </w:r>
      <w:r w:rsidR="004F440F" w:rsidRPr="009D52FD">
        <w:rPr>
          <w:rFonts w:eastAsiaTheme="minorHAnsi" w:cstheme="minorBidi"/>
          <w:sz w:val="20"/>
          <w:szCs w:val="20"/>
          <w:lang w:val="en-US" w:eastAsia="en-US"/>
        </w:rPr>
        <w:t xml:space="preserve">recused </w:t>
      </w:r>
      <w:r w:rsidR="00DD419F" w:rsidRPr="009D52FD">
        <w:rPr>
          <w:rFonts w:eastAsiaTheme="minorHAnsi" w:cstheme="minorBidi"/>
          <w:sz w:val="20"/>
          <w:szCs w:val="20"/>
          <w:lang w:val="en-US" w:eastAsia="en-US"/>
        </w:rPr>
        <w:t xml:space="preserve">themselves from </w:t>
      </w:r>
      <w:r w:rsidR="00DD419F" w:rsidRPr="009D52FD">
        <w:rPr>
          <w:rFonts w:eastAsiaTheme="minorHAnsi" w:cstheme="minorBidi"/>
          <w:sz w:val="20"/>
          <w:szCs w:val="20"/>
          <w:lang w:val="en-US" w:eastAsia="en-US"/>
        </w:rPr>
        <w:lastRenderedPageBreak/>
        <w:t>intervening.</w:t>
      </w:r>
      <w:r w:rsidRPr="009D52FD">
        <w:rPr>
          <w:rFonts w:eastAsiaTheme="minorHAnsi" w:cstheme="minorBidi"/>
          <w:sz w:val="20"/>
          <w:szCs w:val="20"/>
          <w:vertAlign w:val="superscript"/>
          <w:lang w:val="en-US" w:eastAsia="en-US"/>
        </w:rPr>
        <w:footnoteReference w:id="116"/>
      </w:r>
      <w:r w:rsidR="00DD419F" w:rsidRPr="009D52FD">
        <w:rPr>
          <w:rFonts w:eastAsiaTheme="minorHAnsi" w:cstheme="minorBidi"/>
          <w:sz w:val="20"/>
          <w:szCs w:val="20"/>
          <w:lang w:val="en-US" w:eastAsia="en-US"/>
        </w:rPr>
        <w:t xml:space="preserve"> According to the final report of the joint team of parliamentarians of February 25, 2005, forty-four judges had taken cognizance of the case file between August 2001 and July 2004.</w:t>
      </w:r>
      <w:r w:rsidRPr="009D52FD">
        <w:rPr>
          <w:rFonts w:eastAsiaTheme="minorHAnsi" w:cstheme="minorBidi"/>
          <w:sz w:val="20"/>
          <w:szCs w:val="20"/>
          <w:vertAlign w:val="superscript"/>
          <w:lang w:val="en-US" w:eastAsia="en-US"/>
        </w:rPr>
        <w:footnoteReference w:id="117"/>
      </w:r>
      <w:r w:rsidRPr="009D52FD">
        <w:rPr>
          <w:rFonts w:eastAsiaTheme="minorHAnsi" w:cstheme="minorBidi"/>
          <w:sz w:val="20"/>
          <w:szCs w:val="20"/>
          <w:lang w:val="en-US" w:eastAsia="en-US"/>
        </w:rPr>
        <w:t xml:space="preserve"> </w:t>
      </w:r>
      <w:r w:rsidR="00DD419F" w:rsidRPr="009D52FD">
        <w:rPr>
          <w:rFonts w:eastAsiaTheme="minorHAnsi" w:cstheme="minorBidi"/>
          <w:sz w:val="20"/>
          <w:szCs w:val="20"/>
          <w:lang w:val="en-US" w:eastAsia="en-US"/>
        </w:rPr>
        <w:t xml:space="preserve">On September </w:t>
      </w:r>
      <w:r w:rsidRPr="009D52FD">
        <w:rPr>
          <w:rFonts w:eastAsiaTheme="minorHAnsi" w:cstheme="minorBidi"/>
          <w:sz w:val="20"/>
          <w:szCs w:val="20"/>
          <w:lang w:val="en-US" w:eastAsia="en-US"/>
        </w:rPr>
        <w:t>3</w:t>
      </w:r>
      <w:r w:rsidR="003630BB" w:rsidRPr="009D52FD">
        <w:rPr>
          <w:rFonts w:eastAsiaTheme="minorHAnsi" w:cstheme="minorBidi"/>
          <w:sz w:val="20"/>
          <w:szCs w:val="20"/>
          <w:lang w:val="en-US" w:eastAsia="en-US"/>
        </w:rPr>
        <w:t xml:space="preserve"> and </w:t>
      </w:r>
      <w:r w:rsidRPr="009D52FD">
        <w:rPr>
          <w:rFonts w:eastAsiaTheme="minorHAnsi" w:cstheme="minorBidi"/>
          <w:sz w:val="20"/>
          <w:szCs w:val="20"/>
          <w:lang w:val="en-US" w:eastAsia="en-US"/>
        </w:rPr>
        <w:t>15</w:t>
      </w:r>
      <w:r w:rsidR="00DD419F"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2004</w:t>
      </w:r>
      <w:r w:rsidR="00DD419F"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Linda Loaiza López Soto</w:t>
      </w:r>
      <w:r w:rsidR="00DD419F" w:rsidRPr="009D52FD">
        <w:rPr>
          <w:rFonts w:eastAsiaTheme="minorHAnsi" w:cstheme="minorBidi"/>
          <w:sz w:val="20"/>
          <w:szCs w:val="20"/>
          <w:lang w:val="en-US" w:eastAsia="en-US"/>
        </w:rPr>
        <w:t xml:space="preserve">’s lawyer denounced </w:t>
      </w:r>
      <w:r w:rsidR="0020281A" w:rsidRPr="009D52FD">
        <w:rPr>
          <w:rFonts w:eastAsiaTheme="minorHAnsi" w:cstheme="minorBidi"/>
          <w:sz w:val="20"/>
          <w:szCs w:val="20"/>
          <w:lang w:val="en-US" w:eastAsia="en-US"/>
        </w:rPr>
        <w:t xml:space="preserve">the delay in the trial hearing, the numerous postponements and the recusals </w:t>
      </w:r>
      <w:r w:rsidR="00DD419F" w:rsidRPr="009D52FD">
        <w:rPr>
          <w:rFonts w:eastAsiaTheme="minorHAnsi" w:cstheme="minorBidi"/>
          <w:sz w:val="20"/>
          <w:szCs w:val="20"/>
          <w:lang w:val="en-US" w:eastAsia="en-US"/>
        </w:rPr>
        <w:t xml:space="preserve">before </w:t>
      </w:r>
      <w:r w:rsidRPr="009D52FD">
        <w:rPr>
          <w:rFonts w:eastAsiaTheme="minorHAnsi" w:cstheme="minorBidi"/>
          <w:sz w:val="20"/>
          <w:szCs w:val="20"/>
          <w:lang w:val="en-US" w:eastAsia="en-US"/>
        </w:rPr>
        <w:t xml:space="preserve"> </w:t>
      </w:r>
      <w:r w:rsidR="004233C5" w:rsidRPr="009D52FD">
        <w:rPr>
          <w:rFonts w:eastAsiaTheme="minorHAnsi" w:cstheme="minorBidi"/>
          <w:sz w:val="20"/>
          <w:szCs w:val="20"/>
          <w:lang w:val="en-US" w:eastAsia="en-US"/>
        </w:rPr>
        <w:t>the Ombudsman</w:t>
      </w:r>
      <w:r w:rsidRPr="009D52FD">
        <w:rPr>
          <w:rFonts w:eastAsiaTheme="minorHAnsi" w:cstheme="minorBidi"/>
          <w:sz w:val="20"/>
          <w:szCs w:val="20"/>
          <w:vertAlign w:val="superscript"/>
          <w:lang w:val="en-US" w:eastAsia="en-US"/>
        </w:rPr>
        <w:footnoteReference w:id="118"/>
      </w:r>
      <w:r w:rsidR="003630BB" w:rsidRPr="009D52FD">
        <w:rPr>
          <w:rFonts w:eastAsiaTheme="minorHAnsi" w:cstheme="minorBidi"/>
          <w:sz w:val="20"/>
          <w:szCs w:val="20"/>
          <w:lang w:val="en-US" w:eastAsia="en-US"/>
        </w:rPr>
        <w:t xml:space="preserve"> and </w:t>
      </w:r>
      <w:r w:rsidR="00DD419F" w:rsidRPr="009D52FD">
        <w:rPr>
          <w:rFonts w:eastAsiaTheme="minorHAnsi" w:cstheme="minorBidi"/>
          <w:sz w:val="20"/>
          <w:szCs w:val="20"/>
          <w:lang w:val="en-US" w:eastAsia="en-US"/>
        </w:rPr>
        <w:t xml:space="preserve">the </w:t>
      </w:r>
      <w:r w:rsidR="004233C5" w:rsidRPr="009D52FD">
        <w:rPr>
          <w:rFonts w:eastAsiaTheme="minorHAnsi" w:cstheme="minorBidi"/>
          <w:sz w:val="20"/>
          <w:szCs w:val="20"/>
          <w:lang w:val="en-US" w:eastAsia="en-US"/>
        </w:rPr>
        <w:t>General Inspectorate of Courts</w:t>
      </w:r>
      <w:r w:rsidR="00DD419F" w:rsidRPr="009D52FD">
        <w:rPr>
          <w:rFonts w:eastAsiaTheme="minorHAnsi" w:cstheme="minorBidi"/>
          <w:sz w:val="20"/>
          <w:szCs w:val="20"/>
          <w:lang w:val="en-US" w:eastAsia="en-US"/>
        </w:rPr>
        <w:t>,</w:t>
      </w:r>
      <w:r w:rsidRPr="009D52FD">
        <w:rPr>
          <w:rFonts w:eastAsiaTheme="minorHAnsi" w:cstheme="minorBidi"/>
          <w:sz w:val="20"/>
          <w:szCs w:val="20"/>
          <w:vertAlign w:val="superscript"/>
          <w:lang w:val="en-US" w:eastAsia="en-US"/>
        </w:rPr>
        <w:footnoteReference w:id="119"/>
      </w:r>
      <w:r w:rsidRPr="009D52FD">
        <w:rPr>
          <w:rFonts w:eastAsiaTheme="minorHAnsi" w:cstheme="minorBidi"/>
          <w:sz w:val="20"/>
          <w:szCs w:val="20"/>
          <w:lang w:val="en-US" w:eastAsia="en-US"/>
        </w:rPr>
        <w:t xml:space="preserve"> respectiv</w:t>
      </w:r>
      <w:r w:rsidR="00DD419F" w:rsidRPr="009D52FD">
        <w:rPr>
          <w:rFonts w:eastAsiaTheme="minorHAnsi" w:cstheme="minorBidi"/>
          <w:sz w:val="20"/>
          <w:szCs w:val="20"/>
          <w:lang w:val="en-US" w:eastAsia="en-US"/>
        </w:rPr>
        <w:t>ely</w:t>
      </w:r>
      <w:r w:rsidR="004F440F" w:rsidRPr="009D52FD">
        <w:rPr>
          <w:rFonts w:eastAsiaTheme="minorHAnsi" w:cstheme="minorBidi"/>
          <w:sz w:val="20"/>
          <w:szCs w:val="20"/>
          <w:lang w:val="en-US" w:eastAsia="en-US"/>
        </w:rPr>
        <w:t>.</w:t>
      </w:r>
    </w:p>
    <w:p w14:paraId="1CCC2C50" w14:textId="77777777" w:rsidR="00BB528A" w:rsidRPr="009D52FD" w:rsidRDefault="00BB528A" w:rsidP="00BB528A">
      <w:pPr>
        <w:widowControl/>
        <w:adjustRightInd/>
        <w:spacing w:line="240" w:lineRule="auto"/>
        <w:textAlignment w:val="auto"/>
        <w:rPr>
          <w:rFonts w:eastAsiaTheme="minorHAnsi" w:cstheme="minorBidi"/>
          <w:sz w:val="20"/>
          <w:szCs w:val="20"/>
          <w:lang w:val="en-US" w:eastAsia="en-US"/>
        </w:rPr>
      </w:pPr>
    </w:p>
    <w:p w14:paraId="5FCCAE8F" w14:textId="09F8A382" w:rsidR="00BB528A" w:rsidRPr="009D52FD" w:rsidRDefault="00DD419F" w:rsidP="001D422B">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In August</w:t>
      </w:r>
      <w:r w:rsidR="00BB528A" w:rsidRPr="009D52FD">
        <w:rPr>
          <w:rFonts w:eastAsiaTheme="minorHAnsi" w:cstheme="minorBidi"/>
          <w:sz w:val="20"/>
          <w:szCs w:val="20"/>
          <w:lang w:val="en-US" w:eastAsia="en-US"/>
        </w:rPr>
        <w:t xml:space="preserve"> 2004, Linda Loaiza López Soto </w:t>
      </w:r>
      <w:r w:rsidRPr="009D52FD">
        <w:rPr>
          <w:rFonts w:eastAsiaTheme="minorHAnsi" w:cstheme="minorBidi"/>
          <w:sz w:val="20"/>
          <w:szCs w:val="20"/>
          <w:lang w:val="en-US" w:eastAsia="en-US"/>
        </w:rPr>
        <w:t xml:space="preserve">went on hunger strike </w:t>
      </w:r>
      <w:r w:rsidR="0027402B" w:rsidRPr="009D52FD">
        <w:rPr>
          <w:rFonts w:eastAsiaTheme="minorHAnsi" w:cstheme="minorBidi"/>
          <w:sz w:val="20"/>
          <w:szCs w:val="20"/>
          <w:lang w:val="en-US" w:eastAsia="en-US"/>
        </w:rPr>
        <w:t>at</w:t>
      </w:r>
      <w:r w:rsidRPr="009D52FD">
        <w:rPr>
          <w:rFonts w:eastAsiaTheme="minorHAnsi" w:cstheme="minorBidi"/>
          <w:sz w:val="20"/>
          <w:szCs w:val="20"/>
          <w:lang w:val="en-US" w:eastAsia="en-US"/>
        </w:rPr>
        <w:t xml:space="preserve"> the door </w:t>
      </w:r>
      <w:r w:rsidR="003630BB" w:rsidRPr="009D52FD">
        <w:rPr>
          <w:rFonts w:eastAsiaTheme="minorHAnsi" w:cstheme="minorBidi"/>
          <w:sz w:val="20"/>
          <w:szCs w:val="20"/>
          <w:lang w:val="en-US" w:eastAsia="en-US"/>
        </w:rPr>
        <w:t xml:space="preserve">of the </w:t>
      </w:r>
      <w:r w:rsidR="00D43515" w:rsidRPr="009D52FD">
        <w:rPr>
          <w:rFonts w:eastAsiaTheme="minorHAnsi" w:cstheme="minorBidi"/>
          <w:sz w:val="20"/>
          <w:szCs w:val="20"/>
          <w:lang w:val="en-US" w:eastAsia="en-US"/>
        </w:rPr>
        <w:t>Supreme Court of Justice</w:t>
      </w:r>
      <w:r w:rsidR="00BB528A" w:rsidRPr="009D52FD">
        <w:rPr>
          <w:rFonts w:eastAsiaTheme="minorHAnsi" w:cstheme="minorBidi"/>
          <w:sz w:val="20"/>
          <w:szCs w:val="20"/>
          <w:vertAlign w:val="superscript"/>
          <w:lang w:val="en-US" w:eastAsia="en-US"/>
        </w:rPr>
        <w:footnoteReference w:id="120"/>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to demand the start of the oral trial and because, at that time</w:t>
      </w:r>
      <w:r w:rsidR="0027402B" w:rsidRPr="009D52FD">
        <w:rPr>
          <w:rFonts w:eastAsiaTheme="minorHAnsi" w:cstheme="minorBidi"/>
          <w:sz w:val="20"/>
          <w:szCs w:val="20"/>
          <w:lang w:val="en-US" w:eastAsia="en-US"/>
        </w:rPr>
        <w:t>,</w:t>
      </w:r>
      <w:r w:rsidRPr="009D52FD">
        <w:rPr>
          <w:rFonts w:eastAsiaTheme="minorHAnsi" w:cstheme="minorBidi"/>
          <w:sz w:val="20"/>
          <w:szCs w:val="20"/>
          <w:lang w:val="en-US" w:eastAsia="en-US"/>
        </w:rPr>
        <w:t xml:space="preserve"> </w:t>
      </w:r>
      <w:r w:rsidR="00BB528A" w:rsidRPr="009D52FD">
        <w:rPr>
          <w:rFonts w:eastAsiaTheme="minorHAnsi" w:cstheme="minorBidi"/>
          <w:sz w:val="20"/>
          <w:szCs w:val="20"/>
          <w:lang w:val="en-US" w:eastAsia="en-US"/>
        </w:rPr>
        <w:t>“</w:t>
      </w:r>
      <w:r w:rsidR="0070665C" w:rsidRPr="009D52FD">
        <w:rPr>
          <w:rFonts w:eastAsiaTheme="minorHAnsi" w:cstheme="minorBidi"/>
          <w:sz w:val="20"/>
          <w:szCs w:val="20"/>
          <w:lang w:val="en-US" w:eastAsia="en-US"/>
        </w:rPr>
        <w:t>[</w:t>
      </w:r>
      <w:r w:rsidR="00BB528A" w:rsidRPr="009D52FD">
        <w:rPr>
          <w:rFonts w:eastAsiaTheme="minorHAnsi" w:cstheme="minorBidi"/>
          <w:sz w:val="20"/>
          <w:szCs w:val="20"/>
          <w:lang w:val="en-US" w:eastAsia="en-US"/>
        </w:rPr>
        <w:t>…</w:t>
      </w:r>
      <w:r w:rsidR="0070665C"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 xml:space="preserve">more than sixty judges </w:t>
      </w:r>
      <w:r w:rsidR="00BB528A" w:rsidRPr="009D52FD">
        <w:rPr>
          <w:rFonts w:eastAsiaTheme="minorHAnsi" w:cstheme="minorBidi"/>
          <w:sz w:val="20"/>
          <w:szCs w:val="20"/>
          <w:lang w:val="en-US" w:eastAsia="en-US"/>
        </w:rPr>
        <w:t xml:space="preserve">[…] </w:t>
      </w:r>
      <w:r w:rsidR="00490A9F" w:rsidRPr="009D52FD">
        <w:rPr>
          <w:rFonts w:eastAsiaTheme="minorHAnsi" w:cstheme="minorBidi"/>
          <w:sz w:val="20"/>
          <w:szCs w:val="20"/>
          <w:lang w:val="en-US" w:eastAsia="en-US"/>
        </w:rPr>
        <w:t>[ha</w:t>
      </w:r>
      <w:r w:rsidRPr="009D52FD">
        <w:rPr>
          <w:rFonts w:eastAsiaTheme="minorHAnsi" w:cstheme="minorBidi"/>
          <w:sz w:val="20"/>
          <w:szCs w:val="20"/>
          <w:lang w:val="en-US" w:eastAsia="en-US"/>
        </w:rPr>
        <w:t>d</w:t>
      </w:r>
      <w:r w:rsidR="00490A9F"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 xml:space="preserve">excused themselves from hearing the case simply because the aggressor is the son of an important public figure in </w:t>
      </w:r>
      <w:r w:rsidR="00BB528A" w:rsidRPr="009D52FD">
        <w:rPr>
          <w:rFonts w:eastAsiaTheme="minorHAnsi" w:cstheme="minorBidi"/>
          <w:sz w:val="20"/>
          <w:szCs w:val="20"/>
          <w:lang w:val="en-US" w:eastAsia="en-US"/>
        </w:rPr>
        <w:t>Venezuela</w:t>
      </w:r>
      <w:r w:rsidRPr="009D52FD">
        <w:rPr>
          <w:rFonts w:eastAsiaTheme="minorHAnsi" w:cstheme="minorBidi"/>
          <w:sz w:val="20"/>
          <w:szCs w:val="20"/>
          <w:lang w:val="en-US" w:eastAsia="en-US"/>
        </w:rPr>
        <w:t>.</w:t>
      </w:r>
      <w:r w:rsidR="00BB528A" w:rsidRPr="009D52FD">
        <w:rPr>
          <w:rFonts w:eastAsiaTheme="minorHAnsi" w:cstheme="minorBidi"/>
          <w:sz w:val="20"/>
          <w:szCs w:val="20"/>
          <w:lang w:val="en-US" w:eastAsia="en-US"/>
        </w:rPr>
        <w:t>”</w:t>
      </w:r>
      <w:r w:rsidR="00BB528A" w:rsidRPr="009D52FD">
        <w:rPr>
          <w:rFonts w:eastAsiaTheme="minorHAnsi" w:cstheme="minorBidi"/>
          <w:sz w:val="20"/>
          <w:szCs w:val="20"/>
          <w:vertAlign w:val="superscript"/>
          <w:lang w:val="en-US" w:eastAsia="en-US"/>
        </w:rPr>
        <w:footnoteReference w:id="121"/>
      </w:r>
    </w:p>
    <w:p w14:paraId="4A519850" w14:textId="77777777" w:rsidR="00BB528A" w:rsidRPr="009D52FD" w:rsidRDefault="00BB528A" w:rsidP="00BB528A">
      <w:pPr>
        <w:widowControl/>
        <w:adjustRightInd/>
        <w:spacing w:line="240" w:lineRule="auto"/>
        <w:textAlignment w:val="auto"/>
        <w:rPr>
          <w:rFonts w:eastAsiaTheme="minorHAnsi" w:cstheme="minorBidi"/>
          <w:sz w:val="20"/>
          <w:szCs w:val="20"/>
          <w:lang w:val="en-US" w:eastAsia="en-US"/>
        </w:rPr>
      </w:pPr>
    </w:p>
    <w:p w14:paraId="374D1246" w14:textId="4AE4458F" w:rsidR="00BB528A" w:rsidRPr="009D52FD" w:rsidRDefault="001D422B" w:rsidP="00050831">
      <w:pPr>
        <w:widowControl/>
        <w:tabs>
          <w:tab w:val="left" w:pos="1985"/>
        </w:tabs>
        <w:adjustRightInd/>
        <w:spacing w:line="240" w:lineRule="auto"/>
        <w:ind w:left="1275"/>
        <w:textAlignment w:val="auto"/>
        <w:rPr>
          <w:rFonts w:eastAsiaTheme="minorHAnsi" w:cstheme="minorBidi"/>
          <w:bCs/>
          <w:i/>
          <w:sz w:val="20"/>
          <w:szCs w:val="20"/>
          <w:lang w:val="en-US" w:eastAsia="en-US"/>
        </w:rPr>
      </w:pPr>
      <w:r w:rsidRPr="009D52FD">
        <w:rPr>
          <w:rFonts w:eastAsiaTheme="minorHAnsi" w:cstheme="minorBidi"/>
          <w:bCs/>
          <w:i/>
          <w:sz w:val="20"/>
          <w:szCs w:val="20"/>
          <w:lang w:val="en-US" w:eastAsia="en-US"/>
        </w:rPr>
        <w:t>E</w:t>
      </w:r>
      <w:r w:rsidR="00490A9F" w:rsidRPr="009D52FD">
        <w:rPr>
          <w:rFonts w:eastAsiaTheme="minorHAnsi" w:cstheme="minorBidi"/>
          <w:bCs/>
          <w:i/>
          <w:sz w:val="20"/>
          <w:szCs w:val="20"/>
          <w:lang w:val="en-US" w:eastAsia="en-US"/>
        </w:rPr>
        <w:t xml:space="preserve">.4 </w:t>
      </w:r>
      <w:r w:rsidR="00050831" w:rsidRPr="009D52FD">
        <w:rPr>
          <w:rFonts w:eastAsiaTheme="minorHAnsi" w:cstheme="minorBidi"/>
          <w:bCs/>
          <w:i/>
          <w:sz w:val="20"/>
          <w:szCs w:val="20"/>
          <w:lang w:val="en-US" w:eastAsia="en-US"/>
        </w:rPr>
        <w:tab/>
      </w:r>
      <w:r w:rsidR="00DD419F" w:rsidRPr="009D52FD">
        <w:rPr>
          <w:rFonts w:eastAsiaTheme="minorHAnsi" w:cstheme="minorBidi"/>
          <w:bCs/>
          <w:i/>
          <w:sz w:val="20"/>
          <w:szCs w:val="20"/>
          <w:lang w:val="en-US" w:eastAsia="en-US"/>
        </w:rPr>
        <w:t>First oral trial and acquittal</w:t>
      </w:r>
    </w:p>
    <w:p w14:paraId="22C2DFC6" w14:textId="77777777" w:rsidR="00BB528A" w:rsidRPr="009D52FD" w:rsidRDefault="00BB528A" w:rsidP="00BB528A">
      <w:pPr>
        <w:widowControl/>
        <w:adjustRightInd/>
        <w:spacing w:line="240" w:lineRule="auto"/>
        <w:textAlignment w:val="auto"/>
        <w:rPr>
          <w:rFonts w:eastAsiaTheme="minorHAnsi" w:cstheme="minorBidi"/>
          <w:b/>
          <w:bCs/>
          <w:sz w:val="20"/>
          <w:szCs w:val="20"/>
          <w:lang w:val="en-US" w:eastAsia="en-US"/>
        </w:rPr>
      </w:pPr>
    </w:p>
    <w:p w14:paraId="290F6854" w14:textId="2694AA2D" w:rsidR="00BB528A" w:rsidRPr="009D52FD" w:rsidRDefault="000C2262" w:rsidP="001D422B">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The first oral trial was held</w:t>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from</w:t>
      </w:r>
      <w:r w:rsidR="00FC7130" w:rsidRPr="009D52FD">
        <w:rPr>
          <w:rFonts w:eastAsiaTheme="minorHAnsi" w:cstheme="minorBidi"/>
          <w:sz w:val="20"/>
          <w:szCs w:val="20"/>
          <w:lang w:val="en-US" w:eastAsia="en-US"/>
        </w:rPr>
        <w:t xml:space="preserve"> September 6</w:t>
      </w:r>
      <w:r w:rsidR="00BB528A" w:rsidRPr="009D52FD">
        <w:rPr>
          <w:rFonts w:eastAsiaTheme="minorHAnsi" w:cstheme="minorBidi"/>
          <w:sz w:val="20"/>
          <w:szCs w:val="20"/>
          <w:vertAlign w:val="superscript"/>
          <w:lang w:val="en-US" w:eastAsia="en-US"/>
        </w:rPr>
        <w:footnoteReference w:id="122"/>
      </w:r>
      <w:r w:rsidR="00BB528A" w:rsidRPr="009D52FD">
        <w:rPr>
          <w:rFonts w:eastAsiaTheme="minorHAnsi" w:cstheme="minorBidi"/>
          <w:sz w:val="20"/>
          <w:szCs w:val="20"/>
          <w:lang w:val="en-US" w:eastAsia="en-US"/>
        </w:rPr>
        <w:t xml:space="preserve"> </w:t>
      </w:r>
      <w:r w:rsidR="0027402B" w:rsidRPr="009D52FD">
        <w:rPr>
          <w:rFonts w:eastAsiaTheme="minorHAnsi" w:cstheme="minorBidi"/>
          <w:sz w:val="20"/>
          <w:szCs w:val="20"/>
          <w:lang w:val="en-US" w:eastAsia="en-US"/>
        </w:rPr>
        <w:t>to</w:t>
      </w:r>
      <w:r w:rsidRPr="009D52FD">
        <w:rPr>
          <w:rFonts w:eastAsiaTheme="minorHAnsi" w:cstheme="minorBidi"/>
          <w:sz w:val="20"/>
          <w:szCs w:val="20"/>
          <w:lang w:val="en-US" w:eastAsia="en-US"/>
        </w:rPr>
        <w:t xml:space="preserve"> October</w:t>
      </w:r>
      <w:r w:rsidR="00BB528A" w:rsidRPr="009D52FD">
        <w:rPr>
          <w:rFonts w:eastAsiaTheme="minorHAnsi" w:cstheme="minorBidi"/>
          <w:sz w:val="20"/>
          <w:szCs w:val="20"/>
          <w:lang w:val="en-US" w:eastAsia="en-US"/>
        </w:rPr>
        <w:t xml:space="preserve"> 21</w:t>
      </w:r>
      <w:r w:rsidRPr="009D52FD">
        <w:rPr>
          <w:rFonts w:eastAsiaTheme="minorHAnsi" w:cstheme="minorBidi"/>
          <w:sz w:val="20"/>
          <w:szCs w:val="20"/>
          <w:lang w:val="en-US" w:eastAsia="en-US"/>
        </w:rPr>
        <w:t xml:space="preserve">, </w:t>
      </w:r>
      <w:r w:rsidR="00BB528A" w:rsidRPr="009D52FD">
        <w:rPr>
          <w:rFonts w:eastAsiaTheme="minorHAnsi" w:cstheme="minorBidi"/>
          <w:sz w:val="20"/>
          <w:szCs w:val="20"/>
          <w:lang w:val="en-US" w:eastAsia="en-US"/>
        </w:rPr>
        <w:t>2004</w:t>
      </w:r>
      <w:r w:rsidRPr="009D52FD">
        <w:rPr>
          <w:rFonts w:eastAsiaTheme="minorHAnsi" w:cstheme="minorBidi"/>
          <w:sz w:val="20"/>
          <w:szCs w:val="20"/>
          <w:lang w:val="en-US" w:eastAsia="en-US"/>
        </w:rPr>
        <w:t>,</w:t>
      </w:r>
      <w:r w:rsidR="00217558" w:rsidRPr="009D52FD">
        <w:rPr>
          <w:rFonts w:eastAsiaTheme="minorHAnsi" w:cstheme="minorBidi"/>
          <w:sz w:val="20"/>
          <w:szCs w:val="20"/>
          <w:vertAlign w:val="superscript"/>
          <w:lang w:val="en-US" w:eastAsia="en-US"/>
        </w:rPr>
        <w:footnoteReference w:id="123"/>
      </w:r>
      <w:r w:rsidRPr="009D52FD">
        <w:rPr>
          <w:rFonts w:eastAsiaTheme="minorHAnsi" w:cstheme="minorBidi"/>
          <w:sz w:val="20"/>
          <w:szCs w:val="20"/>
          <w:lang w:val="en-US" w:eastAsia="en-US"/>
        </w:rPr>
        <w:t xml:space="preserve"> the date on which</w:t>
      </w:r>
      <w:r w:rsidR="00E43469" w:rsidRPr="009D52FD">
        <w:rPr>
          <w:rFonts w:eastAsiaTheme="minorHAnsi" w:cstheme="minorBidi"/>
          <w:sz w:val="20"/>
          <w:szCs w:val="20"/>
          <w:lang w:val="en-US" w:eastAsia="en-US"/>
        </w:rPr>
        <w:t xml:space="preserve"> the hearing </w:t>
      </w:r>
      <w:r w:rsidR="0027402B" w:rsidRPr="009D52FD">
        <w:rPr>
          <w:rFonts w:eastAsiaTheme="minorHAnsi" w:cstheme="minorBidi"/>
          <w:sz w:val="20"/>
          <w:szCs w:val="20"/>
          <w:lang w:val="en-US" w:eastAsia="en-US"/>
        </w:rPr>
        <w:t>ended.</w:t>
      </w:r>
      <w:r w:rsidR="00365B72" w:rsidRPr="009D52FD">
        <w:rPr>
          <w:rFonts w:eastAsiaTheme="minorHAnsi" w:cstheme="minorBidi"/>
          <w:sz w:val="20"/>
          <w:szCs w:val="20"/>
          <w:lang w:val="en-US" w:eastAsia="en-US"/>
        </w:rPr>
        <w:t xml:space="preserve"> </w:t>
      </w:r>
      <w:r w:rsidR="0027402B" w:rsidRPr="009D52FD">
        <w:rPr>
          <w:rFonts w:eastAsiaTheme="minorHAnsi" w:cstheme="minorBidi"/>
          <w:sz w:val="20"/>
          <w:szCs w:val="20"/>
          <w:lang w:val="en-US" w:eastAsia="en-US"/>
        </w:rPr>
        <w:t>T</w:t>
      </w:r>
      <w:r w:rsidR="00F848CC" w:rsidRPr="009D52FD">
        <w:rPr>
          <w:rFonts w:eastAsiaTheme="minorHAnsi" w:cstheme="minorBidi"/>
          <w:sz w:val="20"/>
          <w:szCs w:val="20"/>
          <w:lang w:val="en-US" w:eastAsia="en-US"/>
        </w:rPr>
        <w:t>he Twentieth Trial Court</w:t>
      </w:r>
      <w:r w:rsidR="00E43469" w:rsidRPr="009D52FD">
        <w:rPr>
          <w:rFonts w:eastAsiaTheme="minorHAnsi" w:cstheme="minorBidi"/>
          <w:sz w:val="20"/>
          <w:szCs w:val="20"/>
          <w:lang w:val="en-US" w:eastAsia="en-US"/>
        </w:rPr>
        <w:t xml:space="preserve"> issued a ruling acquitting </w:t>
      </w:r>
      <w:r w:rsidR="00BB528A" w:rsidRPr="009D52FD">
        <w:rPr>
          <w:rFonts w:eastAsiaTheme="minorHAnsi" w:cstheme="minorBidi"/>
          <w:sz w:val="20"/>
          <w:szCs w:val="20"/>
          <w:lang w:val="en-US" w:eastAsia="en-US"/>
        </w:rPr>
        <w:t xml:space="preserve">Luis </w:t>
      </w:r>
      <w:r w:rsidR="000E7AA5" w:rsidRPr="009D52FD">
        <w:rPr>
          <w:rFonts w:eastAsiaTheme="minorHAnsi" w:cstheme="minorBidi"/>
          <w:sz w:val="20"/>
          <w:szCs w:val="20"/>
          <w:lang w:val="en-US" w:eastAsia="en-US"/>
        </w:rPr>
        <w:t xml:space="preserve">Antonio </w:t>
      </w:r>
      <w:r w:rsidR="00BB528A" w:rsidRPr="009D52FD">
        <w:rPr>
          <w:rFonts w:eastAsiaTheme="minorHAnsi" w:cstheme="minorBidi"/>
          <w:sz w:val="20"/>
          <w:szCs w:val="20"/>
          <w:lang w:val="en-US" w:eastAsia="en-US"/>
        </w:rPr>
        <w:t xml:space="preserve">Carrera Almoina, </w:t>
      </w:r>
      <w:r w:rsidR="00E43469" w:rsidRPr="009D52FD">
        <w:rPr>
          <w:rFonts w:eastAsiaTheme="minorHAnsi" w:cstheme="minorBidi"/>
          <w:sz w:val="20"/>
          <w:szCs w:val="20"/>
          <w:lang w:val="en-US" w:eastAsia="en-US"/>
        </w:rPr>
        <w:t xml:space="preserve">his father and the employee of the </w:t>
      </w:r>
      <w:r w:rsidR="00BB528A" w:rsidRPr="009D52FD">
        <w:rPr>
          <w:rFonts w:eastAsiaTheme="minorHAnsi" w:cstheme="minorBidi"/>
          <w:sz w:val="20"/>
          <w:szCs w:val="20"/>
          <w:lang w:val="en-US" w:eastAsia="en-US"/>
        </w:rPr>
        <w:t xml:space="preserve">Universidad Nacional Abierta, </w:t>
      </w:r>
      <w:r w:rsidR="00E43469" w:rsidRPr="009D52FD">
        <w:rPr>
          <w:rFonts w:eastAsiaTheme="minorHAnsi" w:cstheme="minorBidi"/>
          <w:sz w:val="20"/>
          <w:szCs w:val="20"/>
          <w:lang w:val="en-US" w:eastAsia="en-US"/>
        </w:rPr>
        <w:t>of all the crimes with which they had been charged.</w:t>
      </w:r>
      <w:r w:rsidR="00BB528A" w:rsidRPr="009D52FD">
        <w:rPr>
          <w:rFonts w:eastAsiaTheme="minorHAnsi" w:cstheme="minorBidi"/>
          <w:sz w:val="20"/>
          <w:szCs w:val="20"/>
          <w:vertAlign w:val="superscript"/>
          <w:lang w:val="en-US" w:eastAsia="en-US"/>
        </w:rPr>
        <w:footnoteReference w:id="124"/>
      </w:r>
      <w:r w:rsidR="00BB528A" w:rsidRPr="009D52FD">
        <w:rPr>
          <w:rFonts w:eastAsiaTheme="minorHAnsi" w:cstheme="minorBidi"/>
          <w:sz w:val="20"/>
          <w:szCs w:val="20"/>
          <w:lang w:val="en-US" w:eastAsia="en-US"/>
        </w:rPr>
        <w:t xml:space="preserve"> </w:t>
      </w:r>
      <w:r w:rsidR="00D01945" w:rsidRPr="009D52FD">
        <w:rPr>
          <w:rFonts w:eastAsiaTheme="minorHAnsi" w:cstheme="minorBidi"/>
          <w:sz w:val="20"/>
          <w:szCs w:val="20"/>
          <w:lang w:val="en-US" w:eastAsia="en-US"/>
        </w:rPr>
        <w:t>On November 5,</w:t>
      </w:r>
      <w:r w:rsidR="00BB528A" w:rsidRPr="009D52FD">
        <w:rPr>
          <w:rFonts w:eastAsiaTheme="minorHAnsi" w:cstheme="minorBidi"/>
          <w:sz w:val="20"/>
          <w:szCs w:val="20"/>
          <w:lang w:val="en-US" w:eastAsia="en-US"/>
        </w:rPr>
        <w:t xml:space="preserve"> 2004</w:t>
      </w:r>
      <w:r w:rsidR="00E43469" w:rsidRPr="009D52FD">
        <w:rPr>
          <w:rFonts w:eastAsiaTheme="minorHAnsi" w:cstheme="minorBidi"/>
          <w:sz w:val="20"/>
          <w:szCs w:val="20"/>
          <w:lang w:val="en-US" w:eastAsia="en-US"/>
        </w:rPr>
        <w:t>,</w:t>
      </w:r>
      <w:r w:rsidR="00BB528A" w:rsidRPr="009D52FD">
        <w:rPr>
          <w:rFonts w:eastAsiaTheme="minorHAnsi" w:cstheme="minorBidi"/>
          <w:sz w:val="20"/>
          <w:szCs w:val="20"/>
          <w:lang w:val="en-US" w:eastAsia="en-US"/>
        </w:rPr>
        <w:t xml:space="preserve"> </w:t>
      </w:r>
      <w:r w:rsidR="00E43469" w:rsidRPr="009D52FD">
        <w:rPr>
          <w:rFonts w:eastAsiaTheme="minorHAnsi" w:cstheme="minorBidi"/>
          <w:sz w:val="20"/>
          <w:szCs w:val="20"/>
          <w:lang w:val="en-US" w:eastAsia="en-US"/>
        </w:rPr>
        <w:t>the Twentieth Trial Court delivered judgment setting out the grounds for that decision.</w:t>
      </w:r>
      <w:r w:rsidR="00BB528A" w:rsidRPr="009D52FD">
        <w:rPr>
          <w:rFonts w:eastAsiaTheme="minorHAnsi" w:cstheme="minorBidi"/>
          <w:sz w:val="20"/>
          <w:szCs w:val="20"/>
          <w:vertAlign w:val="superscript"/>
          <w:lang w:val="en-US" w:eastAsia="en-US"/>
        </w:rPr>
        <w:footnoteReference w:id="125"/>
      </w:r>
    </w:p>
    <w:p w14:paraId="4F22173C" w14:textId="77777777" w:rsidR="001D422B" w:rsidRPr="009D52FD" w:rsidRDefault="001D422B" w:rsidP="001D422B">
      <w:pPr>
        <w:tabs>
          <w:tab w:val="left" w:pos="567"/>
        </w:tabs>
        <w:spacing w:line="240" w:lineRule="auto"/>
        <w:rPr>
          <w:rFonts w:eastAsiaTheme="minorHAnsi" w:cstheme="minorBidi"/>
          <w:sz w:val="20"/>
          <w:szCs w:val="20"/>
          <w:lang w:val="en-US" w:eastAsia="en-US"/>
        </w:rPr>
      </w:pPr>
    </w:p>
    <w:p w14:paraId="69E245E4" w14:textId="6D16A658" w:rsidR="00BB528A" w:rsidRPr="009D52FD" w:rsidRDefault="00E43469" w:rsidP="00E43469">
      <w:pPr>
        <w:widowControl/>
        <w:numPr>
          <w:ilvl w:val="0"/>
          <w:numId w:val="1"/>
        </w:numPr>
        <w:tabs>
          <w:tab w:val="left" w:pos="567"/>
        </w:tabs>
        <w:adjustRightInd/>
        <w:spacing w:line="240" w:lineRule="auto"/>
        <w:ind w:left="0" w:firstLine="0"/>
        <w:textAlignment w:val="auto"/>
        <w:rPr>
          <w:rFonts w:eastAsiaTheme="minorHAnsi" w:cstheme="minorBidi"/>
          <w:sz w:val="20"/>
          <w:szCs w:val="20"/>
          <w:lang w:val="en-US" w:eastAsia="en-US"/>
        </w:rPr>
      </w:pPr>
      <w:r w:rsidRPr="009D52FD">
        <w:rPr>
          <w:rFonts w:eastAsiaTheme="minorHAnsi" w:cstheme="minorBidi"/>
          <w:sz w:val="20"/>
          <w:szCs w:val="20"/>
          <w:lang w:val="en-US" w:eastAsia="en-US"/>
        </w:rPr>
        <w:lastRenderedPageBreak/>
        <w:t xml:space="preserve">That court established that </w:t>
      </w:r>
      <w:r w:rsidR="00ED2426" w:rsidRPr="009D52FD">
        <w:rPr>
          <w:rFonts w:eastAsiaTheme="minorHAnsi" w:cstheme="minorBidi"/>
          <w:sz w:val="20"/>
          <w:szCs w:val="20"/>
          <w:lang w:val="en-US" w:eastAsia="en-US"/>
        </w:rPr>
        <w:t>Linda Loaiza López Soto</w:t>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 xml:space="preserve">suffered from injuries, depression, post-traumatic stress, eye cataracts, among other ailments, and that she had been “subjected to sexual abuse, </w:t>
      </w:r>
      <w:r w:rsidR="0027402B" w:rsidRPr="009D52FD">
        <w:rPr>
          <w:rFonts w:eastAsiaTheme="minorHAnsi" w:cstheme="minorBidi"/>
          <w:sz w:val="20"/>
          <w:szCs w:val="20"/>
          <w:lang w:val="en-US" w:eastAsia="en-US"/>
        </w:rPr>
        <w:t>as shown by</w:t>
      </w:r>
      <w:r w:rsidRPr="009D52FD">
        <w:rPr>
          <w:rFonts w:eastAsiaTheme="minorHAnsi" w:cstheme="minorBidi"/>
          <w:sz w:val="20"/>
          <w:szCs w:val="20"/>
          <w:lang w:val="en-US" w:eastAsia="en-US"/>
        </w:rPr>
        <w:t xml:space="preserve"> the state of her vagina.</w:t>
      </w:r>
      <w:r w:rsidR="001D422B" w:rsidRPr="009D52FD">
        <w:rPr>
          <w:rFonts w:eastAsiaTheme="minorHAnsi" w:cstheme="minorBidi"/>
          <w:sz w:val="20"/>
          <w:szCs w:val="20"/>
          <w:lang w:val="en-US" w:eastAsia="en-US"/>
        </w:rPr>
        <w:t>”</w:t>
      </w:r>
      <w:r w:rsidR="00BB528A" w:rsidRPr="009D52FD">
        <w:rPr>
          <w:rFonts w:eastAsiaTheme="minorHAnsi" w:cstheme="minorBidi"/>
          <w:sz w:val="20"/>
          <w:szCs w:val="20"/>
          <w:vertAlign w:val="superscript"/>
          <w:lang w:val="en-US" w:eastAsia="en-US"/>
        </w:rPr>
        <w:footnoteReference w:id="126"/>
      </w:r>
      <w:r w:rsidRPr="009D52FD">
        <w:rPr>
          <w:rFonts w:eastAsiaTheme="minorHAnsi" w:cstheme="minorBidi"/>
          <w:sz w:val="20"/>
          <w:szCs w:val="20"/>
          <w:lang w:val="en-US" w:eastAsia="en-US"/>
        </w:rPr>
        <w:t xml:space="preserve"> However, it considered that the person responsible for the respective offenses had not been established, or the circumstances of the time and manner in which they had occurred. It considered that Linda Loaiza’s testimony had not been corroborated by other evidence.</w:t>
      </w:r>
      <w:r w:rsidRPr="009D52FD">
        <w:rPr>
          <w:rFonts w:eastAsiaTheme="minorHAnsi" w:cstheme="minorBidi"/>
          <w:sz w:val="20"/>
          <w:szCs w:val="20"/>
          <w:vertAlign w:val="superscript"/>
          <w:lang w:val="en-US" w:eastAsia="en-US"/>
        </w:rPr>
        <w:footnoteReference w:id="127"/>
      </w:r>
      <w:r w:rsidRPr="009D52FD">
        <w:rPr>
          <w:rFonts w:eastAsiaTheme="minorHAnsi" w:cstheme="minorBidi"/>
          <w:sz w:val="20"/>
          <w:szCs w:val="20"/>
          <w:lang w:val="en-US" w:eastAsia="en-US"/>
        </w:rPr>
        <w:t xml:space="preserve"> In addition, the court determined that serious errors had been committed, </w:t>
      </w:r>
      <w:r w:rsidRPr="009D52FD">
        <w:rPr>
          <w:rFonts w:eastAsiaTheme="minorHAnsi" w:cstheme="minorBidi"/>
          <w:i/>
          <w:iCs/>
          <w:sz w:val="20"/>
          <w:szCs w:val="20"/>
          <w:lang w:val="en-US" w:eastAsia="en-US"/>
        </w:rPr>
        <w:t>inter alia</w:t>
      </w:r>
      <w:r w:rsidRPr="009D52FD">
        <w:rPr>
          <w:rFonts w:eastAsiaTheme="minorHAnsi" w:cstheme="minorBidi"/>
          <w:sz w:val="20"/>
          <w:szCs w:val="20"/>
          <w:lang w:val="en-US" w:eastAsia="en-US"/>
        </w:rPr>
        <w:t>, in the collection of evidence, the conservation of the place from where Linda Loaiza López had been rescued, the safeguard of the chain of custody of the evidence, and the photographic evidence,</w:t>
      </w:r>
      <w:r w:rsidR="00BB528A" w:rsidRPr="009D52FD">
        <w:rPr>
          <w:rFonts w:eastAsiaTheme="minorHAnsi" w:cstheme="minorBidi"/>
          <w:sz w:val="20"/>
          <w:szCs w:val="20"/>
          <w:vertAlign w:val="superscript"/>
          <w:lang w:val="en-US" w:eastAsia="en-US"/>
        </w:rPr>
        <w:footnoteReference w:id="128"/>
      </w:r>
      <w:r w:rsidR="003630BB"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which was essential.</w:t>
      </w:r>
      <w:r w:rsidR="00BB528A" w:rsidRPr="009D52FD">
        <w:rPr>
          <w:rFonts w:eastAsiaTheme="minorHAnsi" w:cstheme="minorBidi"/>
          <w:sz w:val="20"/>
          <w:szCs w:val="20"/>
          <w:vertAlign w:val="superscript"/>
          <w:lang w:val="en-US" w:eastAsia="en-US"/>
        </w:rPr>
        <w:footnoteReference w:id="129"/>
      </w:r>
      <w:r w:rsidRPr="009D52FD">
        <w:rPr>
          <w:rFonts w:eastAsiaTheme="minorHAnsi" w:cstheme="minorBidi"/>
          <w:sz w:val="20"/>
          <w:szCs w:val="20"/>
          <w:lang w:val="en-US" w:eastAsia="en-US"/>
        </w:rPr>
        <w:t xml:space="preserve"> Regarding the crime of torture, the judgment established that it was not possible to apply this in the case, taking into account that, in the Rome Statute, the content of this wrongful act relates to crimes against humanity.</w:t>
      </w:r>
      <w:r w:rsidR="00BB528A" w:rsidRPr="009D52FD">
        <w:rPr>
          <w:rFonts w:eastAsiaTheme="minorHAnsi" w:cstheme="minorBidi"/>
          <w:sz w:val="20"/>
          <w:szCs w:val="20"/>
          <w:vertAlign w:val="superscript"/>
          <w:lang w:val="en-US" w:eastAsia="en-US"/>
        </w:rPr>
        <w:footnoteReference w:id="130"/>
      </w:r>
    </w:p>
    <w:p w14:paraId="28A027A7" w14:textId="77777777" w:rsidR="00BB528A" w:rsidRPr="009D52FD" w:rsidRDefault="00BB528A" w:rsidP="00BB528A">
      <w:pPr>
        <w:widowControl/>
        <w:adjustRightInd/>
        <w:spacing w:line="240" w:lineRule="auto"/>
        <w:textAlignment w:val="auto"/>
        <w:rPr>
          <w:rFonts w:eastAsiaTheme="minorHAnsi" w:cstheme="minorBidi"/>
          <w:sz w:val="20"/>
          <w:szCs w:val="20"/>
          <w:lang w:val="en-US" w:eastAsia="en-US"/>
        </w:rPr>
      </w:pPr>
    </w:p>
    <w:p w14:paraId="231DF3C2" w14:textId="65AE19F5" w:rsidR="00BB528A" w:rsidRPr="009D52FD" w:rsidRDefault="0054156E" w:rsidP="001D422B">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On</w:t>
      </w:r>
      <w:r w:rsidR="00E43469" w:rsidRPr="009D52FD">
        <w:rPr>
          <w:rFonts w:eastAsiaTheme="minorHAnsi" w:cstheme="minorBidi"/>
          <w:sz w:val="20"/>
          <w:szCs w:val="20"/>
          <w:lang w:val="en-US" w:eastAsia="en-US"/>
        </w:rPr>
        <w:t xml:space="preserve"> October</w:t>
      </w:r>
      <w:r w:rsidR="00BB528A" w:rsidRPr="009D52FD">
        <w:rPr>
          <w:rFonts w:eastAsiaTheme="minorHAnsi" w:cstheme="minorBidi"/>
          <w:sz w:val="20"/>
          <w:szCs w:val="20"/>
          <w:lang w:val="en-US" w:eastAsia="en-US"/>
        </w:rPr>
        <w:t xml:space="preserve"> 25</w:t>
      </w:r>
      <w:r w:rsidR="003630BB" w:rsidRPr="009D52FD">
        <w:rPr>
          <w:rFonts w:eastAsiaTheme="minorHAnsi" w:cstheme="minorBidi"/>
          <w:sz w:val="20"/>
          <w:szCs w:val="20"/>
          <w:lang w:val="en-US" w:eastAsia="en-US"/>
        </w:rPr>
        <w:t xml:space="preserve"> and </w:t>
      </w:r>
      <w:r w:rsidR="00BB528A" w:rsidRPr="009D52FD">
        <w:rPr>
          <w:rFonts w:eastAsiaTheme="minorHAnsi" w:cstheme="minorBidi"/>
          <w:sz w:val="20"/>
          <w:szCs w:val="20"/>
          <w:lang w:val="en-US" w:eastAsia="en-US"/>
        </w:rPr>
        <w:t>27</w:t>
      </w:r>
      <w:r w:rsidR="00E43469" w:rsidRPr="009D52FD">
        <w:rPr>
          <w:rFonts w:eastAsiaTheme="minorHAnsi" w:cstheme="minorBidi"/>
          <w:sz w:val="20"/>
          <w:szCs w:val="20"/>
          <w:lang w:val="en-US" w:eastAsia="en-US"/>
        </w:rPr>
        <w:t xml:space="preserve">, </w:t>
      </w:r>
      <w:r w:rsidR="00BB528A" w:rsidRPr="009D52FD">
        <w:rPr>
          <w:rFonts w:eastAsiaTheme="minorHAnsi" w:cstheme="minorBidi"/>
          <w:sz w:val="20"/>
          <w:szCs w:val="20"/>
          <w:lang w:val="en-US" w:eastAsia="en-US"/>
        </w:rPr>
        <w:t>2004</w:t>
      </w:r>
      <w:r w:rsidR="00E43469" w:rsidRPr="009D52FD">
        <w:rPr>
          <w:rFonts w:eastAsiaTheme="minorHAnsi" w:cstheme="minorBidi"/>
          <w:sz w:val="20"/>
          <w:szCs w:val="20"/>
          <w:lang w:val="en-US" w:eastAsia="en-US"/>
        </w:rPr>
        <w:t>,</w:t>
      </w:r>
      <w:r w:rsidR="00BB528A" w:rsidRPr="009D52FD">
        <w:rPr>
          <w:rFonts w:eastAsiaTheme="minorHAnsi" w:cstheme="minorBidi"/>
          <w:sz w:val="20"/>
          <w:szCs w:val="20"/>
          <w:lang w:val="en-US" w:eastAsia="en-US"/>
        </w:rPr>
        <w:t xml:space="preserve"> </w:t>
      </w:r>
      <w:r w:rsidR="00E43469" w:rsidRPr="009D52FD">
        <w:rPr>
          <w:rFonts w:eastAsiaTheme="minorHAnsi" w:cstheme="minorBidi"/>
          <w:sz w:val="20"/>
          <w:szCs w:val="20"/>
          <w:lang w:val="en-US" w:eastAsia="en-US"/>
        </w:rPr>
        <w:t xml:space="preserve">the representatives of </w:t>
      </w:r>
      <w:r w:rsidR="00BB528A" w:rsidRPr="009D52FD">
        <w:rPr>
          <w:rFonts w:eastAsiaTheme="minorHAnsi" w:cstheme="minorBidi"/>
          <w:sz w:val="20"/>
          <w:szCs w:val="20"/>
          <w:lang w:val="en-US" w:eastAsia="en-US"/>
        </w:rPr>
        <w:t xml:space="preserve">Linda Loaiza López </w:t>
      </w:r>
      <w:r w:rsidR="00E43469" w:rsidRPr="009D52FD">
        <w:rPr>
          <w:rFonts w:eastAsiaTheme="minorHAnsi" w:cstheme="minorBidi"/>
          <w:sz w:val="20"/>
          <w:szCs w:val="20"/>
          <w:lang w:val="en-US" w:eastAsia="en-US"/>
        </w:rPr>
        <w:t xml:space="preserve">filed complaints against the judge who issued the acquittal before the Judicial Committee </w:t>
      </w:r>
      <w:r w:rsidR="003630BB" w:rsidRPr="009D52FD">
        <w:rPr>
          <w:rFonts w:eastAsiaTheme="minorHAnsi" w:cstheme="minorBidi"/>
          <w:sz w:val="20"/>
          <w:szCs w:val="20"/>
          <w:lang w:val="en-US" w:eastAsia="en-US"/>
        </w:rPr>
        <w:t xml:space="preserve">of the </w:t>
      </w:r>
      <w:r w:rsidR="00D43515" w:rsidRPr="009D52FD">
        <w:rPr>
          <w:rFonts w:eastAsiaTheme="minorHAnsi" w:cstheme="minorBidi"/>
          <w:sz w:val="20"/>
          <w:szCs w:val="20"/>
          <w:lang w:val="en-US" w:eastAsia="en-US"/>
        </w:rPr>
        <w:t>Supreme Court of Justice</w:t>
      </w:r>
      <w:r w:rsidR="00E43469" w:rsidRPr="009D52FD">
        <w:rPr>
          <w:rFonts w:eastAsiaTheme="minorHAnsi" w:cstheme="minorBidi"/>
          <w:sz w:val="20"/>
          <w:szCs w:val="20"/>
          <w:lang w:val="en-US" w:eastAsia="en-US"/>
        </w:rPr>
        <w:t>,</w:t>
      </w:r>
      <w:r w:rsidR="00BB528A" w:rsidRPr="009D52FD">
        <w:rPr>
          <w:rFonts w:eastAsiaTheme="minorHAnsi" w:cstheme="minorBidi"/>
          <w:sz w:val="20"/>
          <w:szCs w:val="20"/>
          <w:vertAlign w:val="superscript"/>
          <w:lang w:val="en-US" w:eastAsia="en-US"/>
        </w:rPr>
        <w:footnoteReference w:id="131"/>
      </w:r>
      <w:r w:rsidR="00BB528A" w:rsidRPr="009D52FD">
        <w:rPr>
          <w:rFonts w:eastAsiaTheme="minorHAnsi" w:cstheme="minorBidi"/>
          <w:sz w:val="20"/>
          <w:szCs w:val="20"/>
          <w:lang w:val="en-US" w:eastAsia="en-US"/>
        </w:rPr>
        <w:t xml:space="preserve"> </w:t>
      </w:r>
      <w:r w:rsidR="00E43469" w:rsidRPr="009D52FD">
        <w:rPr>
          <w:rFonts w:eastAsiaTheme="minorHAnsi" w:cstheme="minorBidi"/>
          <w:sz w:val="20"/>
          <w:szCs w:val="20"/>
          <w:lang w:val="en-US" w:eastAsia="en-US"/>
        </w:rPr>
        <w:t>the Prosecutor General,</w:t>
      </w:r>
      <w:r w:rsidR="00BB528A" w:rsidRPr="009D52FD">
        <w:rPr>
          <w:rFonts w:eastAsiaTheme="minorHAnsi" w:cstheme="minorBidi"/>
          <w:sz w:val="20"/>
          <w:szCs w:val="20"/>
          <w:vertAlign w:val="superscript"/>
          <w:lang w:val="en-US" w:eastAsia="en-US"/>
        </w:rPr>
        <w:footnoteReference w:id="132"/>
      </w:r>
      <w:r w:rsidR="003630BB" w:rsidRPr="009D52FD">
        <w:rPr>
          <w:rFonts w:eastAsiaTheme="minorHAnsi" w:cstheme="minorBidi"/>
          <w:sz w:val="20"/>
          <w:szCs w:val="20"/>
          <w:lang w:val="en-US" w:eastAsia="en-US"/>
        </w:rPr>
        <w:t xml:space="preserve"> and </w:t>
      </w:r>
      <w:r w:rsidR="004233C5" w:rsidRPr="009D52FD">
        <w:rPr>
          <w:rFonts w:eastAsiaTheme="minorHAnsi" w:cstheme="minorBidi"/>
          <w:sz w:val="20"/>
          <w:szCs w:val="20"/>
          <w:lang w:val="en-US" w:eastAsia="en-US"/>
        </w:rPr>
        <w:t>the Ombudsman</w:t>
      </w:r>
      <w:r w:rsidR="00BB528A" w:rsidRPr="009D52FD">
        <w:rPr>
          <w:rFonts w:eastAsiaTheme="minorHAnsi" w:cstheme="minorBidi"/>
          <w:sz w:val="20"/>
          <w:szCs w:val="20"/>
          <w:vertAlign w:val="superscript"/>
          <w:lang w:val="en-US" w:eastAsia="en-US"/>
        </w:rPr>
        <w:footnoteReference w:id="133"/>
      </w:r>
      <w:r w:rsidR="00BB528A" w:rsidRPr="009D52FD">
        <w:rPr>
          <w:rFonts w:eastAsiaTheme="minorHAnsi" w:cstheme="minorBidi"/>
          <w:sz w:val="20"/>
          <w:szCs w:val="20"/>
          <w:lang w:val="en-US" w:eastAsia="en-US"/>
        </w:rPr>
        <w:t xml:space="preserve"> </w:t>
      </w:r>
      <w:r w:rsidR="00E43469" w:rsidRPr="009D52FD">
        <w:rPr>
          <w:rFonts w:eastAsiaTheme="minorHAnsi" w:cstheme="minorBidi"/>
          <w:sz w:val="20"/>
          <w:szCs w:val="20"/>
          <w:lang w:val="en-US" w:eastAsia="en-US"/>
        </w:rPr>
        <w:t xml:space="preserve">based on different irregularities. On November 1, </w:t>
      </w:r>
      <w:r w:rsidR="00BB528A" w:rsidRPr="009D52FD">
        <w:rPr>
          <w:rFonts w:eastAsiaTheme="minorHAnsi" w:cstheme="minorBidi"/>
          <w:sz w:val="20"/>
          <w:szCs w:val="20"/>
          <w:lang w:val="en-US" w:eastAsia="en-US"/>
        </w:rPr>
        <w:t>2004</w:t>
      </w:r>
      <w:r w:rsidR="00E43469" w:rsidRPr="009D52FD">
        <w:rPr>
          <w:rFonts w:eastAsiaTheme="minorHAnsi" w:cstheme="minorBidi"/>
          <w:sz w:val="20"/>
          <w:szCs w:val="20"/>
          <w:lang w:val="en-US" w:eastAsia="en-US"/>
        </w:rPr>
        <w:t>,</w:t>
      </w:r>
      <w:r w:rsidR="00BB528A" w:rsidRPr="009D52FD">
        <w:rPr>
          <w:rFonts w:eastAsiaTheme="minorHAnsi" w:cstheme="minorBidi"/>
          <w:sz w:val="20"/>
          <w:szCs w:val="20"/>
          <w:lang w:val="en-US" w:eastAsia="en-US"/>
        </w:rPr>
        <w:t xml:space="preserve"> </w:t>
      </w:r>
      <w:r w:rsidR="00E43469" w:rsidRPr="009D52FD">
        <w:rPr>
          <w:rFonts w:eastAsiaTheme="minorHAnsi" w:cstheme="minorBidi"/>
          <w:sz w:val="20"/>
          <w:szCs w:val="20"/>
          <w:lang w:val="en-US" w:eastAsia="en-US"/>
        </w:rPr>
        <w:t>the</w:t>
      </w:r>
      <w:r w:rsidR="00BB528A" w:rsidRPr="009D52FD">
        <w:rPr>
          <w:rFonts w:eastAsiaTheme="minorHAnsi" w:cstheme="minorBidi"/>
          <w:sz w:val="20"/>
          <w:szCs w:val="20"/>
          <w:lang w:val="en-US" w:eastAsia="en-US"/>
        </w:rPr>
        <w:t xml:space="preserve"> </w:t>
      </w:r>
      <w:r w:rsidR="00E43469" w:rsidRPr="009D52FD">
        <w:rPr>
          <w:rFonts w:eastAsiaTheme="minorHAnsi" w:cstheme="minorBidi"/>
          <w:sz w:val="20"/>
          <w:szCs w:val="20"/>
          <w:lang w:val="en-US" w:eastAsia="en-US"/>
        </w:rPr>
        <w:t>Nineteenth</w:t>
      </w:r>
      <w:r w:rsidR="003630BB" w:rsidRPr="009D52FD">
        <w:rPr>
          <w:rFonts w:eastAsiaTheme="minorHAnsi" w:cstheme="minorBidi"/>
          <w:sz w:val="20"/>
          <w:szCs w:val="20"/>
          <w:lang w:val="en-US" w:eastAsia="en-US"/>
        </w:rPr>
        <w:t xml:space="preserve"> and </w:t>
      </w:r>
      <w:r w:rsidR="00E43469" w:rsidRPr="009D52FD">
        <w:rPr>
          <w:rFonts w:eastAsiaTheme="minorHAnsi" w:cstheme="minorBidi"/>
          <w:sz w:val="20"/>
          <w:szCs w:val="20"/>
          <w:lang w:val="en-US" w:eastAsia="en-US"/>
        </w:rPr>
        <w:t>Thirtieth</w:t>
      </w:r>
      <w:r w:rsidR="000C6475" w:rsidRPr="009D52FD">
        <w:rPr>
          <w:rFonts w:eastAsiaTheme="minorHAnsi" w:cstheme="minorBidi"/>
          <w:sz w:val="20"/>
          <w:szCs w:val="20"/>
          <w:lang w:val="en-US" w:eastAsia="en-US"/>
        </w:rPr>
        <w:t xml:space="preserve"> </w:t>
      </w:r>
      <w:r w:rsidR="00E43469" w:rsidRPr="009D52FD">
        <w:rPr>
          <w:rFonts w:eastAsiaTheme="minorHAnsi" w:cstheme="minorBidi"/>
          <w:sz w:val="20"/>
          <w:szCs w:val="20"/>
          <w:lang w:val="en-US" w:eastAsia="en-US"/>
        </w:rPr>
        <w:t xml:space="preserve">Prosecutors </w:t>
      </w:r>
      <w:r w:rsidR="000C6475" w:rsidRPr="009D52FD">
        <w:rPr>
          <w:rFonts w:eastAsiaTheme="minorHAnsi" w:cstheme="minorBidi"/>
          <w:sz w:val="20"/>
          <w:szCs w:val="20"/>
          <w:lang w:val="en-US" w:eastAsia="en-US"/>
        </w:rPr>
        <w:t>of the Public Prosecution Service</w:t>
      </w:r>
      <w:r w:rsidR="00BB528A" w:rsidRPr="009D52FD">
        <w:rPr>
          <w:rFonts w:eastAsiaTheme="minorHAnsi" w:cstheme="minorBidi"/>
          <w:sz w:val="20"/>
          <w:szCs w:val="20"/>
          <w:lang w:val="en-US" w:eastAsia="en-US"/>
        </w:rPr>
        <w:t xml:space="preserve"> </w:t>
      </w:r>
      <w:r w:rsidR="00E43469" w:rsidRPr="009D52FD">
        <w:rPr>
          <w:rFonts w:eastAsiaTheme="minorHAnsi" w:cstheme="minorBidi"/>
          <w:sz w:val="20"/>
          <w:szCs w:val="20"/>
          <w:lang w:val="en-US" w:eastAsia="en-US"/>
        </w:rPr>
        <w:t xml:space="preserve">filed a complaint against the said judge before the </w:t>
      </w:r>
      <w:r w:rsidR="004233C5" w:rsidRPr="009D52FD">
        <w:rPr>
          <w:rFonts w:eastAsiaTheme="minorHAnsi" w:cstheme="minorBidi"/>
          <w:sz w:val="20"/>
          <w:szCs w:val="20"/>
          <w:lang w:val="en-US" w:eastAsia="en-US"/>
        </w:rPr>
        <w:t>General Inspectorate of Courts</w:t>
      </w:r>
      <w:r w:rsidR="00BB528A" w:rsidRPr="009D52FD">
        <w:rPr>
          <w:rFonts w:eastAsiaTheme="minorHAnsi" w:cstheme="minorBidi"/>
          <w:sz w:val="20"/>
          <w:szCs w:val="20"/>
          <w:lang w:val="en-US" w:eastAsia="en-US"/>
        </w:rPr>
        <w:t>, al</w:t>
      </w:r>
      <w:r w:rsidR="00E43469" w:rsidRPr="009D52FD">
        <w:rPr>
          <w:rFonts w:eastAsiaTheme="minorHAnsi" w:cstheme="minorBidi"/>
          <w:sz w:val="20"/>
          <w:szCs w:val="20"/>
          <w:lang w:val="en-US" w:eastAsia="en-US"/>
        </w:rPr>
        <w:t>leging her lack of impartiality in the trial. On June 21, 2005, the Inspectorate decided not to bring charges.</w:t>
      </w:r>
      <w:r w:rsidR="00435C0B" w:rsidRPr="009D52FD">
        <w:rPr>
          <w:rFonts w:eastAsiaTheme="minorHAnsi" w:cstheme="minorBidi"/>
          <w:sz w:val="20"/>
          <w:szCs w:val="20"/>
          <w:vertAlign w:val="superscript"/>
          <w:lang w:val="en-US" w:eastAsia="en-US"/>
        </w:rPr>
        <w:footnoteReference w:id="134"/>
      </w:r>
      <w:r w:rsidR="00E43469" w:rsidRPr="009D52FD">
        <w:rPr>
          <w:rFonts w:eastAsiaTheme="minorHAnsi" w:cstheme="minorBidi"/>
          <w:sz w:val="20"/>
          <w:szCs w:val="20"/>
          <w:lang w:val="en-US" w:eastAsia="en-US"/>
        </w:rPr>
        <w:t xml:space="preserve"> Following an objection filed by </w:t>
      </w:r>
      <w:r w:rsidR="00BB528A" w:rsidRPr="009D52FD">
        <w:rPr>
          <w:rFonts w:eastAsiaTheme="minorHAnsi" w:cstheme="minorBidi"/>
          <w:sz w:val="20"/>
          <w:szCs w:val="20"/>
          <w:lang w:val="en-US" w:eastAsia="en-US"/>
        </w:rPr>
        <w:t>Linda Loaiza López</w:t>
      </w:r>
      <w:r w:rsidR="00E43469" w:rsidRPr="009D52FD">
        <w:rPr>
          <w:rFonts w:eastAsiaTheme="minorHAnsi" w:cstheme="minorBidi"/>
          <w:sz w:val="20"/>
          <w:szCs w:val="20"/>
          <w:lang w:val="en-US" w:eastAsia="en-US"/>
        </w:rPr>
        <w:t>,</w:t>
      </w:r>
      <w:r w:rsidR="00BB528A" w:rsidRPr="009D52FD">
        <w:rPr>
          <w:rFonts w:eastAsiaTheme="minorHAnsi" w:cstheme="minorBidi"/>
          <w:sz w:val="20"/>
          <w:szCs w:val="20"/>
          <w:vertAlign w:val="superscript"/>
          <w:lang w:val="en-US" w:eastAsia="en-US"/>
        </w:rPr>
        <w:footnoteReference w:id="135"/>
      </w:r>
      <w:r w:rsidR="00E43469" w:rsidRPr="009D52FD">
        <w:rPr>
          <w:rFonts w:eastAsiaTheme="minorHAnsi" w:cstheme="minorBidi"/>
          <w:sz w:val="20"/>
          <w:szCs w:val="20"/>
          <w:lang w:val="en-US" w:eastAsia="en-US"/>
        </w:rPr>
        <w:t xml:space="preserve"> that decision became final.</w:t>
      </w:r>
      <w:r w:rsidR="00BB528A" w:rsidRPr="009D52FD">
        <w:rPr>
          <w:rFonts w:eastAsiaTheme="minorHAnsi" w:cstheme="minorBidi"/>
          <w:sz w:val="20"/>
          <w:szCs w:val="20"/>
          <w:vertAlign w:val="superscript"/>
          <w:lang w:val="en-US" w:eastAsia="en-US"/>
        </w:rPr>
        <w:footnoteReference w:id="136"/>
      </w:r>
    </w:p>
    <w:p w14:paraId="4F1D14E5" w14:textId="77777777" w:rsidR="00BB528A" w:rsidRPr="009D52FD" w:rsidRDefault="00BB528A" w:rsidP="00BB528A">
      <w:pPr>
        <w:widowControl/>
        <w:adjustRightInd/>
        <w:spacing w:line="240" w:lineRule="auto"/>
        <w:textAlignment w:val="auto"/>
        <w:rPr>
          <w:rFonts w:eastAsiaTheme="minorHAnsi" w:cstheme="minorBidi"/>
          <w:sz w:val="20"/>
          <w:szCs w:val="20"/>
          <w:lang w:val="en-US" w:eastAsia="en-US"/>
        </w:rPr>
      </w:pPr>
    </w:p>
    <w:p w14:paraId="29B7709B" w14:textId="23BE32FD" w:rsidR="00BB528A" w:rsidRPr="009D52FD" w:rsidRDefault="00E43469" w:rsidP="001D422B">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On November 26,</w:t>
      </w:r>
      <w:r w:rsidR="00BB528A" w:rsidRPr="009D52FD">
        <w:rPr>
          <w:rFonts w:eastAsiaTheme="minorHAnsi" w:cstheme="minorBidi"/>
          <w:sz w:val="20"/>
          <w:szCs w:val="20"/>
          <w:lang w:val="en-US" w:eastAsia="en-US"/>
        </w:rPr>
        <w:t xml:space="preserve"> 2004</w:t>
      </w:r>
      <w:r w:rsidRPr="009D52FD">
        <w:rPr>
          <w:rFonts w:eastAsiaTheme="minorHAnsi" w:cstheme="minorBidi"/>
          <w:sz w:val="20"/>
          <w:szCs w:val="20"/>
          <w:lang w:val="en-US" w:eastAsia="en-US"/>
        </w:rPr>
        <w:t>,</w:t>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the National Assembly</w:t>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issued a public communiqué in which it “re</w:t>
      </w:r>
      <w:r w:rsidR="0054156E" w:rsidRPr="009D52FD">
        <w:rPr>
          <w:rFonts w:eastAsiaTheme="minorHAnsi" w:cstheme="minorBidi"/>
          <w:sz w:val="20"/>
          <w:szCs w:val="20"/>
          <w:lang w:val="en-US" w:eastAsia="en-US"/>
        </w:rPr>
        <w:t xml:space="preserve">ject[ed]the judgment against </w:t>
      </w:r>
      <w:r w:rsidR="00BB528A" w:rsidRPr="009D52FD">
        <w:rPr>
          <w:rFonts w:eastAsiaTheme="minorHAnsi" w:cstheme="minorBidi"/>
          <w:sz w:val="20"/>
          <w:szCs w:val="20"/>
          <w:lang w:val="en-US" w:eastAsia="en-US"/>
        </w:rPr>
        <w:t>Linda Loaiza</w:t>
      </w:r>
      <w:r w:rsidR="0054156E" w:rsidRPr="009D52FD">
        <w:rPr>
          <w:rFonts w:eastAsiaTheme="minorHAnsi" w:cstheme="minorBidi"/>
          <w:sz w:val="20"/>
          <w:szCs w:val="20"/>
          <w:lang w:val="en-US" w:eastAsia="en-US"/>
        </w:rPr>
        <w:t>.</w:t>
      </w:r>
      <w:r w:rsidR="00BB528A" w:rsidRPr="009D52FD">
        <w:rPr>
          <w:rFonts w:eastAsiaTheme="minorHAnsi" w:cstheme="minorBidi"/>
          <w:sz w:val="20"/>
          <w:szCs w:val="20"/>
          <w:lang w:val="en-US" w:eastAsia="en-US"/>
        </w:rPr>
        <w:t>”</w:t>
      </w:r>
      <w:r w:rsidR="00BB528A" w:rsidRPr="009D52FD">
        <w:rPr>
          <w:rFonts w:eastAsiaTheme="minorHAnsi" w:cstheme="minorBidi"/>
          <w:sz w:val="20"/>
          <w:szCs w:val="20"/>
          <w:vertAlign w:val="superscript"/>
          <w:lang w:val="en-US" w:eastAsia="en-US"/>
        </w:rPr>
        <w:footnoteReference w:id="137"/>
      </w:r>
      <w:r w:rsidR="00BB528A" w:rsidRPr="009D52FD">
        <w:rPr>
          <w:rFonts w:eastAsiaTheme="minorHAnsi" w:cstheme="minorBidi"/>
          <w:sz w:val="20"/>
          <w:szCs w:val="20"/>
          <w:lang w:val="en-US" w:eastAsia="en-US"/>
        </w:rPr>
        <w:t xml:space="preserve"> </w:t>
      </w:r>
      <w:r w:rsidR="0054156E" w:rsidRPr="009D52FD">
        <w:rPr>
          <w:rFonts w:eastAsiaTheme="minorHAnsi" w:cstheme="minorBidi"/>
          <w:sz w:val="20"/>
          <w:szCs w:val="20"/>
          <w:lang w:val="en-US" w:eastAsia="en-US"/>
        </w:rPr>
        <w:t>On February 25,</w:t>
      </w:r>
      <w:r w:rsidR="00BB528A" w:rsidRPr="009D52FD">
        <w:rPr>
          <w:rFonts w:eastAsiaTheme="minorHAnsi" w:cstheme="minorBidi"/>
          <w:sz w:val="20"/>
          <w:szCs w:val="20"/>
          <w:lang w:val="en-US" w:eastAsia="en-US"/>
        </w:rPr>
        <w:t xml:space="preserve"> 2005</w:t>
      </w:r>
      <w:r w:rsidR="0054156E" w:rsidRPr="009D52FD">
        <w:rPr>
          <w:rFonts w:eastAsiaTheme="minorHAnsi" w:cstheme="minorBidi"/>
          <w:sz w:val="20"/>
          <w:szCs w:val="20"/>
          <w:lang w:val="en-US" w:eastAsia="en-US"/>
        </w:rPr>
        <w:t>, the Assembly issued a final report in the investigation undertaken following the creation of a special committee to this end on October 6, 2004. Among other recommendations, it urged the Prosecutor General to undertake an investigation into the actions of all the officials who had intervened in the case.</w:t>
      </w:r>
      <w:r w:rsidR="00BB528A" w:rsidRPr="009D52FD">
        <w:rPr>
          <w:rFonts w:eastAsiaTheme="minorHAnsi" w:cstheme="minorBidi"/>
          <w:sz w:val="20"/>
          <w:szCs w:val="20"/>
          <w:vertAlign w:val="superscript"/>
          <w:lang w:val="en-US" w:eastAsia="en-US"/>
        </w:rPr>
        <w:footnoteReference w:id="138"/>
      </w:r>
    </w:p>
    <w:p w14:paraId="7D67B4DC" w14:textId="77777777" w:rsidR="00BB528A" w:rsidRPr="009D52FD" w:rsidRDefault="00BB528A" w:rsidP="00BB528A">
      <w:pPr>
        <w:widowControl/>
        <w:adjustRightInd/>
        <w:spacing w:line="240" w:lineRule="auto"/>
        <w:textAlignment w:val="auto"/>
        <w:rPr>
          <w:rFonts w:eastAsiaTheme="minorHAnsi" w:cstheme="minorBidi"/>
          <w:sz w:val="20"/>
          <w:szCs w:val="20"/>
          <w:lang w:val="en-US" w:eastAsia="en-US"/>
        </w:rPr>
      </w:pPr>
    </w:p>
    <w:p w14:paraId="0E9251DD" w14:textId="00D579C9" w:rsidR="00BB528A" w:rsidRPr="009D52FD" w:rsidRDefault="0054156E" w:rsidP="001D422B">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lastRenderedPageBreak/>
        <w:t>Both</w:t>
      </w:r>
      <w:r w:rsidR="00BB528A" w:rsidRPr="009D52FD">
        <w:rPr>
          <w:rFonts w:eastAsiaTheme="minorHAnsi" w:cstheme="minorBidi"/>
          <w:sz w:val="20"/>
          <w:szCs w:val="20"/>
          <w:lang w:val="en-US" w:eastAsia="en-US"/>
        </w:rPr>
        <w:t xml:space="preserve"> </w:t>
      </w:r>
      <w:r w:rsidR="000C6475" w:rsidRPr="009D52FD">
        <w:rPr>
          <w:rFonts w:eastAsiaTheme="minorHAnsi" w:cstheme="minorBidi"/>
          <w:sz w:val="20"/>
          <w:szCs w:val="20"/>
          <w:lang w:val="en-US" w:eastAsia="en-US"/>
        </w:rPr>
        <w:t>the Public Prosecution Service</w:t>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and</w:t>
      </w:r>
      <w:r w:rsidR="00BB528A" w:rsidRPr="009D52FD">
        <w:rPr>
          <w:rFonts w:eastAsiaTheme="minorHAnsi" w:cstheme="minorBidi"/>
          <w:sz w:val="20"/>
          <w:szCs w:val="20"/>
          <w:lang w:val="en-US" w:eastAsia="en-US"/>
        </w:rPr>
        <w:t xml:space="preserve"> Linda Loaiza López Soto</w:t>
      </w:r>
      <w:r w:rsidRPr="009D52FD">
        <w:rPr>
          <w:rFonts w:eastAsiaTheme="minorHAnsi" w:cstheme="minorBidi"/>
          <w:sz w:val="20"/>
          <w:szCs w:val="20"/>
          <w:lang w:val="en-US" w:eastAsia="en-US"/>
        </w:rPr>
        <w:t xml:space="preserve">’s representative appealed against the acquittal decision of </w:t>
      </w:r>
      <w:r w:rsidR="00D01945" w:rsidRPr="009D52FD">
        <w:rPr>
          <w:rFonts w:eastAsiaTheme="minorHAnsi" w:cstheme="minorBidi"/>
          <w:sz w:val="20"/>
          <w:szCs w:val="20"/>
          <w:lang w:val="en-US" w:eastAsia="en-US"/>
        </w:rPr>
        <w:t>November 5,</w:t>
      </w:r>
      <w:r w:rsidR="00BB528A" w:rsidRPr="009D52FD">
        <w:rPr>
          <w:rFonts w:eastAsiaTheme="minorHAnsi" w:cstheme="minorBidi"/>
          <w:sz w:val="20"/>
          <w:szCs w:val="20"/>
          <w:lang w:val="en-US" w:eastAsia="en-US"/>
        </w:rPr>
        <w:t xml:space="preserve"> 2004</w:t>
      </w:r>
      <w:r w:rsidRPr="009D52FD">
        <w:rPr>
          <w:rFonts w:eastAsiaTheme="minorHAnsi" w:cstheme="minorBidi"/>
          <w:sz w:val="20"/>
          <w:szCs w:val="20"/>
          <w:lang w:val="en-US" w:eastAsia="en-US"/>
        </w:rPr>
        <w:t>.</w:t>
      </w:r>
      <w:r w:rsidR="00BB528A" w:rsidRPr="009D52FD">
        <w:rPr>
          <w:rFonts w:eastAsiaTheme="minorHAnsi" w:cstheme="minorBidi"/>
          <w:sz w:val="20"/>
          <w:szCs w:val="20"/>
          <w:vertAlign w:val="superscript"/>
          <w:lang w:val="en-US" w:eastAsia="en-US"/>
        </w:rPr>
        <w:footnoteReference w:id="139"/>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 xml:space="preserve">The complaint denounced the failure to appoint a substitute judge in </w:t>
      </w:r>
      <w:r w:rsidR="00CE476F" w:rsidRPr="009D52FD">
        <w:rPr>
          <w:rFonts w:eastAsiaTheme="minorHAnsi" w:cstheme="minorBidi"/>
          <w:sz w:val="20"/>
          <w:szCs w:val="20"/>
          <w:lang w:val="en-US" w:eastAsia="en-US"/>
        </w:rPr>
        <w:t>the Appellate Court</w:t>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that would hear the appeals.</w:t>
      </w:r>
      <w:r w:rsidR="00BB528A" w:rsidRPr="009D52FD">
        <w:rPr>
          <w:rFonts w:eastAsiaTheme="minorHAnsi" w:cstheme="minorBidi"/>
          <w:sz w:val="20"/>
          <w:szCs w:val="20"/>
          <w:vertAlign w:val="superscript"/>
          <w:lang w:val="en-US" w:eastAsia="en-US"/>
        </w:rPr>
        <w:footnoteReference w:id="140"/>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On April 12,</w:t>
      </w:r>
      <w:r w:rsidR="00BB528A" w:rsidRPr="009D52FD">
        <w:rPr>
          <w:rFonts w:eastAsiaTheme="minorHAnsi" w:cstheme="minorBidi"/>
          <w:sz w:val="20"/>
          <w:szCs w:val="20"/>
          <w:lang w:val="en-US" w:eastAsia="en-US"/>
        </w:rPr>
        <w:t xml:space="preserve"> 2005, </w:t>
      </w:r>
      <w:r w:rsidRPr="009D52FD">
        <w:rPr>
          <w:rFonts w:eastAsiaTheme="minorHAnsi" w:cstheme="minorBidi"/>
          <w:sz w:val="20"/>
          <w:szCs w:val="20"/>
          <w:lang w:val="en-US" w:eastAsia="en-US"/>
        </w:rPr>
        <w:t>the Seventh Chamber</w:t>
      </w:r>
      <w:r w:rsidR="003630BB" w:rsidRPr="009D52FD">
        <w:rPr>
          <w:rFonts w:eastAsiaTheme="minorHAnsi" w:cstheme="minorBidi"/>
          <w:sz w:val="20"/>
          <w:szCs w:val="20"/>
          <w:lang w:val="en-US" w:eastAsia="en-US"/>
        </w:rPr>
        <w:t xml:space="preserve"> of </w:t>
      </w:r>
      <w:r w:rsidR="00CE476F" w:rsidRPr="009D52FD">
        <w:rPr>
          <w:rFonts w:eastAsiaTheme="minorHAnsi" w:cstheme="minorBidi"/>
          <w:sz w:val="20"/>
          <w:szCs w:val="20"/>
          <w:lang w:val="en-US" w:eastAsia="en-US"/>
        </w:rPr>
        <w:t>the Appellate Court</w:t>
      </w:r>
      <w:r w:rsidR="00BB528A" w:rsidRPr="009D52FD">
        <w:rPr>
          <w:rFonts w:eastAsiaTheme="minorHAnsi" w:cstheme="minorBidi"/>
          <w:sz w:val="20"/>
          <w:szCs w:val="20"/>
          <w:lang w:val="en-US" w:eastAsia="en-US"/>
        </w:rPr>
        <w:t xml:space="preserve"> </w:t>
      </w:r>
      <w:r w:rsidR="00565380" w:rsidRPr="009D52FD">
        <w:rPr>
          <w:rFonts w:eastAsiaTheme="minorHAnsi" w:cstheme="minorBidi"/>
          <w:sz w:val="20"/>
          <w:szCs w:val="20"/>
          <w:lang w:val="en-US" w:eastAsia="en-US"/>
        </w:rPr>
        <w:t>of the Caracas Metropolitan Area</w:t>
      </w:r>
      <w:r w:rsidR="00BB528A" w:rsidRPr="009D52FD">
        <w:rPr>
          <w:rFonts w:eastAsiaTheme="minorHAnsi" w:cstheme="minorBidi"/>
          <w:sz w:val="20"/>
          <w:szCs w:val="20"/>
          <w:lang w:val="en-US" w:eastAsia="en-US"/>
        </w:rPr>
        <w:t xml:space="preserve"> declar</w:t>
      </w:r>
      <w:r w:rsidRPr="009D52FD">
        <w:rPr>
          <w:rFonts w:eastAsiaTheme="minorHAnsi" w:cstheme="minorBidi"/>
          <w:sz w:val="20"/>
          <w:szCs w:val="20"/>
          <w:lang w:val="en-US" w:eastAsia="en-US"/>
        </w:rPr>
        <w:t>ed the appeals admissible, annulled the contested judgment due to lack of reasons, and ordered that a new trial be held. It also ordered that the measure of deprivation of liberty ordered against</w:t>
      </w:r>
      <w:r w:rsidR="00BB528A" w:rsidRPr="009D52FD">
        <w:rPr>
          <w:rFonts w:eastAsiaTheme="minorHAnsi" w:cstheme="minorBidi"/>
          <w:sz w:val="20"/>
          <w:szCs w:val="20"/>
          <w:lang w:val="en-US" w:eastAsia="en-US"/>
        </w:rPr>
        <w:t xml:space="preserve"> Carrera Almoina</w:t>
      </w:r>
      <w:r w:rsidRPr="009D52FD">
        <w:rPr>
          <w:rFonts w:eastAsiaTheme="minorHAnsi" w:cstheme="minorBidi"/>
          <w:sz w:val="20"/>
          <w:szCs w:val="20"/>
          <w:lang w:val="en-US" w:eastAsia="en-US"/>
        </w:rPr>
        <w:t xml:space="preserve"> be maintained in force as well as the precautionary measures in relation to his father and the employee.</w:t>
      </w:r>
      <w:r w:rsidR="00BB528A" w:rsidRPr="009D52FD">
        <w:rPr>
          <w:rFonts w:eastAsiaTheme="minorHAnsi" w:cstheme="minorBidi"/>
          <w:sz w:val="20"/>
          <w:szCs w:val="20"/>
          <w:vertAlign w:val="superscript"/>
          <w:lang w:val="en-US" w:eastAsia="en-US"/>
        </w:rPr>
        <w:footnoteReference w:id="141"/>
      </w:r>
    </w:p>
    <w:p w14:paraId="1E5B3B2B" w14:textId="04672702" w:rsidR="00BB528A" w:rsidRPr="009D52FD" w:rsidRDefault="00BB528A" w:rsidP="00BB528A">
      <w:pPr>
        <w:widowControl/>
        <w:adjustRightInd/>
        <w:spacing w:line="240" w:lineRule="auto"/>
        <w:textAlignment w:val="auto"/>
        <w:rPr>
          <w:rFonts w:eastAsiaTheme="minorHAnsi" w:cstheme="minorBidi"/>
          <w:b/>
          <w:bCs/>
          <w:sz w:val="20"/>
          <w:szCs w:val="20"/>
          <w:lang w:val="en-US" w:eastAsia="en-US"/>
        </w:rPr>
      </w:pPr>
    </w:p>
    <w:p w14:paraId="2CF996B9" w14:textId="28687644" w:rsidR="00BB528A" w:rsidRPr="009D52FD" w:rsidRDefault="00876368" w:rsidP="00050831">
      <w:pPr>
        <w:widowControl/>
        <w:tabs>
          <w:tab w:val="left" w:pos="1985"/>
        </w:tabs>
        <w:adjustRightInd/>
        <w:spacing w:line="240" w:lineRule="auto"/>
        <w:ind w:left="1275"/>
        <w:textAlignment w:val="auto"/>
        <w:rPr>
          <w:rFonts w:eastAsiaTheme="minorHAnsi" w:cstheme="minorBidi"/>
          <w:bCs/>
          <w:i/>
          <w:sz w:val="20"/>
          <w:szCs w:val="20"/>
          <w:lang w:val="en-US" w:eastAsia="en-US"/>
        </w:rPr>
      </w:pPr>
      <w:r w:rsidRPr="009D52FD">
        <w:rPr>
          <w:rFonts w:eastAsiaTheme="minorHAnsi" w:cstheme="minorBidi"/>
          <w:bCs/>
          <w:i/>
          <w:sz w:val="20"/>
          <w:szCs w:val="20"/>
          <w:lang w:val="en-US" w:eastAsia="en-US"/>
        </w:rPr>
        <w:t>E</w:t>
      </w:r>
      <w:r w:rsidR="00BB528A" w:rsidRPr="009D52FD">
        <w:rPr>
          <w:rFonts w:eastAsiaTheme="minorHAnsi" w:cstheme="minorBidi"/>
          <w:bCs/>
          <w:i/>
          <w:sz w:val="20"/>
          <w:szCs w:val="20"/>
          <w:lang w:val="en-US" w:eastAsia="en-US"/>
        </w:rPr>
        <w:t>.</w:t>
      </w:r>
      <w:r w:rsidR="007C5159" w:rsidRPr="009D52FD">
        <w:rPr>
          <w:rFonts w:eastAsiaTheme="minorHAnsi" w:cstheme="minorBidi"/>
          <w:bCs/>
          <w:i/>
          <w:sz w:val="20"/>
          <w:szCs w:val="20"/>
          <w:lang w:val="en-US" w:eastAsia="en-US"/>
        </w:rPr>
        <w:t xml:space="preserve">5 </w:t>
      </w:r>
      <w:r w:rsidR="00050831" w:rsidRPr="009D52FD">
        <w:rPr>
          <w:rFonts w:eastAsiaTheme="minorHAnsi" w:cstheme="minorBidi"/>
          <w:bCs/>
          <w:i/>
          <w:sz w:val="20"/>
          <w:szCs w:val="20"/>
          <w:lang w:val="en-US" w:eastAsia="en-US"/>
        </w:rPr>
        <w:tab/>
      </w:r>
      <w:r w:rsidR="0054156E" w:rsidRPr="009D52FD">
        <w:rPr>
          <w:rFonts w:eastAsiaTheme="minorHAnsi" w:cstheme="minorBidi"/>
          <w:bCs/>
          <w:i/>
          <w:sz w:val="20"/>
          <w:szCs w:val="20"/>
          <w:lang w:val="en-US" w:eastAsia="en-US"/>
        </w:rPr>
        <w:t>Second oral trial and partially guilty verdict</w:t>
      </w:r>
    </w:p>
    <w:p w14:paraId="7E17F039" w14:textId="77777777" w:rsidR="00BB528A" w:rsidRPr="009D52FD" w:rsidRDefault="00BB528A" w:rsidP="00BB528A">
      <w:pPr>
        <w:widowControl/>
        <w:adjustRightInd/>
        <w:spacing w:line="240" w:lineRule="auto"/>
        <w:textAlignment w:val="auto"/>
        <w:rPr>
          <w:rFonts w:eastAsiaTheme="minorHAnsi" w:cstheme="minorBidi"/>
          <w:b/>
          <w:bCs/>
          <w:sz w:val="20"/>
          <w:szCs w:val="20"/>
          <w:lang w:val="en-US" w:eastAsia="en-US"/>
        </w:rPr>
      </w:pPr>
    </w:p>
    <w:p w14:paraId="7767C3AC" w14:textId="71D770D1" w:rsidR="00BB528A" w:rsidRPr="009D52FD" w:rsidRDefault="0054156E" w:rsidP="001D422B">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As a result of the decision of the Seventh Chamber</w:t>
      </w:r>
      <w:r w:rsidR="003630BB" w:rsidRPr="009D52FD">
        <w:rPr>
          <w:rFonts w:eastAsiaTheme="minorHAnsi" w:cstheme="minorBidi"/>
          <w:sz w:val="20"/>
          <w:szCs w:val="20"/>
          <w:lang w:val="en-US" w:eastAsia="en-US"/>
        </w:rPr>
        <w:t xml:space="preserve"> of </w:t>
      </w:r>
      <w:r w:rsidR="00CE476F" w:rsidRPr="009D52FD">
        <w:rPr>
          <w:rFonts w:eastAsiaTheme="minorHAnsi" w:cstheme="minorBidi"/>
          <w:sz w:val="20"/>
          <w:szCs w:val="20"/>
          <w:lang w:val="en-US" w:eastAsia="en-US"/>
        </w:rPr>
        <w:t>the Appellate Court</w:t>
      </w:r>
      <w:r w:rsidR="00BB528A" w:rsidRPr="009D52FD">
        <w:rPr>
          <w:rFonts w:eastAsiaTheme="minorHAnsi" w:cstheme="minorBidi"/>
          <w:sz w:val="20"/>
          <w:szCs w:val="20"/>
          <w:lang w:val="en-US" w:eastAsia="en-US"/>
        </w:rPr>
        <w:t xml:space="preserve"> </w:t>
      </w:r>
      <w:r w:rsidR="00565380" w:rsidRPr="009D52FD">
        <w:rPr>
          <w:rFonts w:eastAsiaTheme="minorHAnsi" w:cstheme="minorBidi"/>
          <w:sz w:val="20"/>
          <w:szCs w:val="20"/>
          <w:lang w:val="en-US" w:eastAsia="en-US"/>
        </w:rPr>
        <w:t>of the Caracas Metropolitan Area</w:t>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that annulled the acquittal of</w:t>
      </w:r>
      <w:r w:rsidR="00D01945" w:rsidRPr="009D52FD">
        <w:rPr>
          <w:rFonts w:eastAsiaTheme="minorHAnsi" w:cstheme="minorBidi"/>
          <w:sz w:val="20"/>
          <w:szCs w:val="20"/>
          <w:lang w:val="en-US" w:eastAsia="en-US"/>
        </w:rPr>
        <w:t xml:space="preserve"> November 5,</w:t>
      </w:r>
      <w:r w:rsidR="00BB528A" w:rsidRPr="009D52FD">
        <w:rPr>
          <w:rFonts w:eastAsiaTheme="minorHAnsi" w:cstheme="minorBidi"/>
          <w:sz w:val="20"/>
          <w:szCs w:val="20"/>
          <w:lang w:val="en-US" w:eastAsia="en-US"/>
        </w:rPr>
        <w:t xml:space="preserve"> 2004, </w:t>
      </w:r>
      <w:r w:rsidRPr="009D52FD">
        <w:rPr>
          <w:rFonts w:eastAsiaTheme="minorHAnsi" w:cstheme="minorBidi"/>
          <w:sz w:val="20"/>
          <w:szCs w:val="20"/>
          <w:lang w:val="en-US" w:eastAsia="en-US"/>
        </w:rPr>
        <w:t>a second judicial proceeding was initiated based on the charges brought by</w:t>
      </w:r>
      <w:r w:rsidR="000C6475" w:rsidRPr="009D52FD">
        <w:rPr>
          <w:rFonts w:eastAsiaTheme="minorHAnsi" w:cstheme="minorBidi"/>
          <w:sz w:val="20"/>
          <w:szCs w:val="20"/>
          <w:lang w:val="en-US" w:eastAsia="en-US"/>
        </w:rPr>
        <w:t xml:space="preserve"> the Public Prosecution Service</w:t>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against</w:t>
      </w:r>
      <w:r w:rsidR="00BB528A" w:rsidRPr="009D52FD">
        <w:rPr>
          <w:rFonts w:eastAsiaTheme="minorHAnsi" w:cstheme="minorBidi"/>
          <w:sz w:val="20"/>
          <w:szCs w:val="20"/>
          <w:lang w:val="en-US" w:eastAsia="en-US"/>
        </w:rPr>
        <w:t xml:space="preserve"> Luis </w:t>
      </w:r>
      <w:r w:rsidR="00A70F8D" w:rsidRPr="009D52FD">
        <w:rPr>
          <w:rFonts w:eastAsiaTheme="minorHAnsi" w:cstheme="minorBidi"/>
          <w:sz w:val="20"/>
          <w:szCs w:val="20"/>
          <w:lang w:val="en-US" w:eastAsia="en-US"/>
        </w:rPr>
        <w:t xml:space="preserve">Antonio </w:t>
      </w:r>
      <w:r w:rsidR="00BB528A" w:rsidRPr="009D52FD">
        <w:rPr>
          <w:rFonts w:eastAsiaTheme="minorHAnsi" w:cstheme="minorBidi"/>
          <w:sz w:val="20"/>
          <w:szCs w:val="20"/>
          <w:lang w:val="en-US" w:eastAsia="en-US"/>
        </w:rPr>
        <w:t xml:space="preserve">Carrera Almoina, </w:t>
      </w:r>
      <w:r w:rsidRPr="009D52FD">
        <w:rPr>
          <w:rFonts w:eastAsiaTheme="minorHAnsi" w:cstheme="minorBidi"/>
          <w:sz w:val="20"/>
          <w:szCs w:val="20"/>
          <w:lang w:val="en-US" w:eastAsia="en-US"/>
        </w:rPr>
        <w:t xml:space="preserve">his father and an employee for the same crimes they had been charged with in the previous trial. Also, </w:t>
      </w:r>
      <w:r w:rsidR="00BB528A" w:rsidRPr="009D52FD">
        <w:rPr>
          <w:rFonts w:eastAsiaTheme="minorHAnsi" w:cstheme="minorBidi"/>
          <w:sz w:val="20"/>
          <w:szCs w:val="20"/>
          <w:lang w:val="en-US" w:eastAsia="en-US"/>
        </w:rPr>
        <w:t>Linda Loaiza López Soto</w:t>
      </w:r>
      <w:r w:rsidRPr="009D52FD">
        <w:rPr>
          <w:rFonts w:eastAsiaTheme="minorHAnsi" w:cstheme="minorBidi"/>
          <w:sz w:val="20"/>
          <w:szCs w:val="20"/>
          <w:lang w:val="en-US" w:eastAsia="en-US"/>
        </w:rPr>
        <w:t xml:space="preserve">’s lawyer filed a private prosecution only with regard to </w:t>
      </w:r>
      <w:r w:rsidR="00BB528A" w:rsidRPr="009D52FD">
        <w:rPr>
          <w:rFonts w:eastAsiaTheme="minorHAnsi" w:cstheme="minorBidi"/>
          <w:sz w:val="20"/>
          <w:szCs w:val="20"/>
          <w:lang w:val="en-US" w:eastAsia="en-US"/>
        </w:rPr>
        <w:t>Carrera Almoina</w:t>
      </w:r>
      <w:r w:rsidRPr="009D52FD">
        <w:rPr>
          <w:rFonts w:eastAsiaTheme="minorHAnsi" w:cstheme="minorBidi"/>
          <w:sz w:val="20"/>
          <w:szCs w:val="20"/>
          <w:lang w:val="en-US" w:eastAsia="en-US"/>
        </w:rPr>
        <w:t>.</w:t>
      </w:r>
      <w:r w:rsidR="00BB528A" w:rsidRPr="009D52FD">
        <w:rPr>
          <w:rFonts w:eastAsiaTheme="minorHAnsi" w:cstheme="minorBidi"/>
          <w:sz w:val="20"/>
          <w:szCs w:val="20"/>
          <w:vertAlign w:val="superscript"/>
          <w:lang w:val="en-US" w:eastAsia="en-US"/>
        </w:rPr>
        <w:footnoteReference w:id="142"/>
      </w:r>
    </w:p>
    <w:p w14:paraId="62CA9F2F" w14:textId="77777777" w:rsidR="00BB528A" w:rsidRPr="009D52FD" w:rsidRDefault="00BB528A" w:rsidP="00BB528A">
      <w:pPr>
        <w:widowControl/>
        <w:adjustRightInd/>
        <w:spacing w:line="240" w:lineRule="auto"/>
        <w:textAlignment w:val="auto"/>
        <w:rPr>
          <w:rFonts w:eastAsiaTheme="minorHAnsi" w:cstheme="minorBidi"/>
          <w:sz w:val="20"/>
          <w:szCs w:val="20"/>
          <w:lang w:val="en-US" w:eastAsia="en-US"/>
        </w:rPr>
      </w:pPr>
    </w:p>
    <w:p w14:paraId="1249B81A" w14:textId="78C16BB5" w:rsidR="00BB528A" w:rsidRPr="009D52FD" w:rsidRDefault="004C1426" w:rsidP="004C1426">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The oral trial started on November 8, 2005, before the Seventh Trial Court</w:t>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 xml:space="preserve">and, following successive suspensions, culminated on April 8, </w:t>
      </w:r>
      <w:r w:rsidR="00BB528A" w:rsidRPr="009D52FD">
        <w:rPr>
          <w:rFonts w:eastAsiaTheme="minorHAnsi" w:cstheme="minorBidi"/>
          <w:sz w:val="20"/>
          <w:szCs w:val="20"/>
          <w:lang w:val="en-US" w:eastAsia="en-US"/>
        </w:rPr>
        <w:t>2006</w:t>
      </w:r>
      <w:r w:rsidRPr="009D52FD">
        <w:rPr>
          <w:rFonts w:eastAsiaTheme="minorHAnsi" w:cstheme="minorBidi"/>
          <w:sz w:val="20"/>
          <w:szCs w:val="20"/>
          <w:lang w:val="en-US" w:eastAsia="en-US"/>
        </w:rPr>
        <w:t>.</w:t>
      </w:r>
      <w:r w:rsidR="00BB528A" w:rsidRPr="009D52FD">
        <w:rPr>
          <w:rFonts w:eastAsiaTheme="minorHAnsi" w:cstheme="minorBidi"/>
          <w:sz w:val="20"/>
          <w:szCs w:val="20"/>
          <w:vertAlign w:val="superscript"/>
          <w:lang w:val="en-US" w:eastAsia="en-US"/>
        </w:rPr>
        <w:footnoteReference w:id="143"/>
      </w:r>
      <w:r w:rsidR="00095517" w:rsidRPr="009D52FD">
        <w:rPr>
          <w:rFonts w:eastAsiaTheme="minorHAnsi" w:cstheme="minorBidi"/>
          <w:sz w:val="20"/>
          <w:szCs w:val="20"/>
          <w:lang w:val="en-US" w:eastAsia="en-US"/>
        </w:rPr>
        <w:t xml:space="preserve"> </w:t>
      </w:r>
      <w:r w:rsidR="003630BB" w:rsidRPr="009D52FD">
        <w:rPr>
          <w:rFonts w:eastAsiaTheme="minorHAnsi" w:cstheme="minorBidi"/>
          <w:sz w:val="20"/>
          <w:szCs w:val="20"/>
          <w:lang w:val="en-US" w:eastAsia="en-US"/>
        </w:rPr>
        <w:t>The Court</w:t>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decided to convict</w:t>
      </w:r>
      <w:r w:rsidR="00BB528A" w:rsidRPr="009D52FD">
        <w:rPr>
          <w:rFonts w:eastAsiaTheme="minorHAnsi" w:cstheme="minorBidi"/>
          <w:sz w:val="20"/>
          <w:szCs w:val="20"/>
          <w:lang w:val="en-US" w:eastAsia="en-US"/>
        </w:rPr>
        <w:t xml:space="preserve"> Luis </w:t>
      </w:r>
      <w:r w:rsidR="006141EE" w:rsidRPr="009D52FD">
        <w:rPr>
          <w:rFonts w:eastAsiaTheme="minorHAnsi" w:cstheme="minorBidi"/>
          <w:sz w:val="20"/>
          <w:szCs w:val="20"/>
          <w:lang w:val="en-US" w:eastAsia="en-US"/>
        </w:rPr>
        <w:t xml:space="preserve">Antonio </w:t>
      </w:r>
      <w:r w:rsidR="00BB528A" w:rsidRPr="009D52FD">
        <w:rPr>
          <w:rFonts w:eastAsiaTheme="minorHAnsi" w:cstheme="minorBidi"/>
          <w:sz w:val="20"/>
          <w:szCs w:val="20"/>
          <w:lang w:val="en-US" w:eastAsia="en-US"/>
        </w:rPr>
        <w:t xml:space="preserve">Carrera Almoina </w:t>
      </w:r>
      <w:r w:rsidRPr="009D52FD">
        <w:rPr>
          <w:rFonts w:eastAsiaTheme="minorHAnsi" w:cstheme="minorBidi"/>
          <w:sz w:val="20"/>
          <w:szCs w:val="20"/>
          <w:lang w:val="en-US" w:eastAsia="en-US"/>
        </w:rPr>
        <w:t xml:space="preserve">of the crimes of unlawful deprivation of </w:t>
      </w:r>
      <w:r w:rsidR="00BA37A6" w:rsidRPr="009D52FD">
        <w:rPr>
          <w:rFonts w:eastAsiaTheme="minorHAnsi" w:cstheme="minorBidi"/>
          <w:sz w:val="20"/>
          <w:szCs w:val="20"/>
          <w:lang w:val="en-US" w:eastAsia="en-US"/>
        </w:rPr>
        <w:t>l</w:t>
      </w:r>
      <w:r w:rsidRPr="009D52FD">
        <w:rPr>
          <w:rFonts w:eastAsiaTheme="minorHAnsi" w:cstheme="minorBidi"/>
          <w:sz w:val="20"/>
          <w:szCs w:val="20"/>
          <w:lang w:val="en-US" w:eastAsia="en-US"/>
        </w:rPr>
        <w:t xml:space="preserve">iberty and extremely serious personal injuries, and acquitted him of the crimes of rape and obstruction of </w:t>
      </w:r>
      <w:r w:rsidR="00BA37A6" w:rsidRPr="009D52FD">
        <w:rPr>
          <w:rFonts w:eastAsiaTheme="minorHAnsi" w:cstheme="minorBidi"/>
          <w:sz w:val="20"/>
          <w:szCs w:val="20"/>
          <w:lang w:val="en-US" w:eastAsia="en-US"/>
        </w:rPr>
        <w:t>justice</w:t>
      </w:r>
      <w:r w:rsidRPr="009D52FD">
        <w:rPr>
          <w:rFonts w:eastAsiaTheme="minorHAnsi" w:cstheme="minorBidi"/>
          <w:sz w:val="20"/>
          <w:szCs w:val="20"/>
          <w:lang w:val="en-US" w:eastAsia="en-US"/>
        </w:rPr>
        <w:t xml:space="preserve"> by fraud. The Court imposed </w:t>
      </w:r>
      <w:r w:rsidR="00BA37A6" w:rsidRPr="009D52FD">
        <w:rPr>
          <w:rFonts w:eastAsiaTheme="minorHAnsi" w:cstheme="minorBidi"/>
          <w:sz w:val="20"/>
          <w:szCs w:val="20"/>
          <w:lang w:val="en-US" w:eastAsia="en-US"/>
        </w:rPr>
        <w:t>a</w:t>
      </w:r>
      <w:r w:rsidRPr="009D52FD">
        <w:rPr>
          <w:rFonts w:eastAsiaTheme="minorHAnsi" w:cstheme="minorBidi"/>
          <w:sz w:val="20"/>
          <w:szCs w:val="20"/>
          <w:lang w:val="en-US" w:eastAsia="en-US"/>
        </w:rPr>
        <w:t xml:space="preserve"> sentence of</w:t>
      </w:r>
      <w:r w:rsidR="00BA37A6" w:rsidRPr="009D52FD">
        <w:rPr>
          <w:rFonts w:eastAsiaTheme="minorHAnsi" w:cstheme="minorBidi"/>
          <w:sz w:val="20"/>
          <w:szCs w:val="20"/>
          <w:lang w:val="en-US" w:eastAsia="en-US"/>
        </w:rPr>
        <w:t xml:space="preserve"> imprisonment of</w:t>
      </w:r>
      <w:r w:rsidRPr="009D52FD">
        <w:rPr>
          <w:rFonts w:eastAsiaTheme="minorHAnsi" w:cstheme="minorBidi"/>
          <w:sz w:val="20"/>
          <w:szCs w:val="20"/>
          <w:lang w:val="en-US" w:eastAsia="en-US"/>
        </w:rPr>
        <w:t xml:space="preserve"> six years and one month. </w:t>
      </w:r>
      <w:r w:rsidR="003630BB" w:rsidRPr="009D52FD">
        <w:rPr>
          <w:rFonts w:eastAsiaTheme="minorHAnsi" w:cstheme="minorBidi"/>
          <w:sz w:val="20"/>
          <w:szCs w:val="20"/>
          <w:lang w:val="en-US" w:eastAsia="en-US"/>
        </w:rPr>
        <w:t>Th</w:t>
      </w:r>
      <w:r w:rsidRPr="009D52FD">
        <w:rPr>
          <w:rFonts w:eastAsiaTheme="minorHAnsi" w:cstheme="minorBidi"/>
          <w:sz w:val="20"/>
          <w:szCs w:val="20"/>
          <w:lang w:val="en-US" w:eastAsia="en-US"/>
        </w:rPr>
        <w:t>at</w:t>
      </w:r>
      <w:r w:rsidR="003630BB" w:rsidRPr="009D52FD">
        <w:rPr>
          <w:rFonts w:eastAsiaTheme="minorHAnsi" w:cstheme="minorBidi"/>
          <w:sz w:val="20"/>
          <w:szCs w:val="20"/>
          <w:lang w:val="en-US" w:eastAsia="en-US"/>
        </w:rPr>
        <w:t xml:space="preserve"> Court</w:t>
      </w:r>
      <w:r w:rsidRPr="009D52FD">
        <w:rPr>
          <w:rFonts w:eastAsiaTheme="minorHAnsi" w:cstheme="minorBidi"/>
          <w:sz w:val="20"/>
          <w:szCs w:val="20"/>
          <w:lang w:val="en-US" w:eastAsia="en-US"/>
        </w:rPr>
        <w:t xml:space="preserve"> acquitted the father and the university employees.</w:t>
      </w:r>
      <w:r w:rsidR="00BB528A" w:rsidRPr="009D52FD">
        <w:rPr>
          <w:rFonts w:eastAsiaTheme="minorHAnsi" w:cstheme="minorBidi"/>
          <w:sz w:val="20"/>
          <w:szCs w:val="20"/>
          <w:vertAlign w:val="superscript"/>
          <w:lang w:val="en-US" w:eastAsia="en-US"/>
        </w:rPr>
        <w:footnoteReference w:id="144"/>
      </w:r>
    </w:p>
    <w:p w14:paraId="312871BF" w14:textId="77777777" w:rsidR="00BB528A" w:rsidRPr="009D52FD" w:rsidRDefault="00BB528A" w:rsidP="00BB528A">
      <w:pPr>
        <w:widowControl/>
        <w:adjustRightInd/>
        <w:spacing w:line="240" w:lineRule="auto"/>
        <w:textAlignment w:val="auto"/>
        <w:rPr>
          <w:rFonts w:eastAsiaTheme="minorHAnsi" w:cstheme="minorBidi"/>
          <w:sz w:val="20"/>
          <w:szCs w:val="20"/>
          <w:lang w:val="en-US" w:eastAsia="en-US"/>
        </w:rPr>
      </w:pPr>
    </w:p>
    <w:p w14:paraId="77A07DFB" w14:textId="6F090C57" w:rsidR="00BB528A" w:rsidRPr="009D52FD" w:rsidRDefault="008B4B6F" w:rsidP="004C1426">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On May 22,</w:t>
      </w:r>
      <w:r w:rsidR="00503324" w:rsidRPr="009D52FD">
        <w:rPr>
          <w:rFonts w:eastAsiaTheme="minorHAnsi" w:cstheme="minorBidi"/>
          <w:sz w:val="20"/>
          <w:szCs w:val="20"/>
          <w:lang w:val="en-US" w:eastAsia="en-US"/>
        </w:rPr>
        <w:t xml:space="preserve"> 2006</w:t>
      </w:r>
      <w:r w:rsidR="004C1426" w:rsidRPr="009D52FD">
        <w:rPr>
          <w:rFonts w:eastAsiaTheme="minorHAnsi" w:cstheme="minorBidi"/>
          <w:sz w:val="20"/>
          <w:szCs w:val="20"/>
          <w:lang w:val="en-US" w:eastAsia="en-US"/>
        </w:rPr>
        <w:t xml:space="preserve">, </w:t>
      </w:r>
      <w:r w:rsidR="003630BB" w:rsidRPr="009D52FD">
        <w:rPr>
          <w:rFonts w:eastAsiaTheme="minorHAnsi" w:cstheme="minorBidi"/>
          <w:sz w:val="20"/>
          <w:szCs w:val="20"/>
          <w:lang w:val="en-US" w:eastAsia="en-US"/>
        </w:rPr>
        <w:t xml:space="preserve">the </w:t>
      </w:r>
      <w:r w:rsidR="004C1426" w:rsidRPr="009D52FD">
        <w:rPr>
          <w:rFonts w:eastAsiaTheme="minorHAnsi" w:cstheme="minorBidi"/>
          <w:sz w:val="20"/>
          <w:szCs w:val="20"/>
          <w:lang w:val="en-US" w:eastAsia="en-US"/>
        </w:rPr>
        <w:t xml:space="preserve">Seventh </w:t>
      </w:r>
      <w:r w:rsidR="003630BB" w:rsidRPr="009D52FD">
        <w:rPr>
          <w:rFonts w:eastAsiaTheme="minorHAnsi" w:cstheme="minorBidi"/>
          <w:sz w:val="20"/>
          <w:szCs w:val="20"/>
          <w:lang w:val="en-US" w:eastAsia="en-US"/>
        </w:rPr>
        <w:t>Court</w:t>
      </w:r>
      <w:r w:rsidR="004C1426" w:rsidRPr="009D52FD">
        <w:rPr>
          <w:rFonts w:eastAsiaTheme="minorHAnsi" w:cstheme="minorBidi"/>
          <w:sz w:val="20"/>
          <w:szCs w:val="20"/>
          <w:lang w:val="en-US" w:eastAsia="en-US"/>
        </w:rPr>
        <w:t xml:space="preserve"> delivered the respective judgment, which  included the grounds for its decision.</w:t>
      </w:r>
      <w:r w:rsidR="00503324" w:rsidRPr="009D52FD">
        <w:rPr>
          <w:rFonts w:eastAsiaTheme="minorHAnsi" w:cstheme="minorBidi"/>
          <w:sz w:val="20"/>
          <w:szCs w:val="20"/>
          <w:vertAlign w:val="superscript"/>
          <w:lang w:val="en-US" w:eastAsia="en-US"/>
        </w:rPr>
        <w:footnoteReference w:id="145"/>
      </w:r>
      <w:r w:rsidR="00503324" w:rsidRPr="009D52FD">
        <w:rPr>
          <w:rFonts w:eastAsiaTheme="minorHAnsi" w:cstheme="minorBidi"/>
          <w:sz w:val="20"/>
          <w:szCs w:val="20"/>
          <w:lang w:val="en-US" w:eastAsia="en-US"/>
        </w:rPr>
        <w:t xml:space="preserve"> </w:t>
      </w:r>
      <w:r w:rsidR="004C1426" w:rsidRPr="009D52FD">
        <w:rPr>
          <w:rFonts w:eastAsiaTheme="minorHAnsi" w:cstheme="minorBidi"/>
          <w:sz w:val="20"/>
          <w:szCs w:val="20"/>
          <w:lang w:val="en-US" w:eastAsia="en-US"/>
        </w:rPr>
        <w:t xml:space="preserve">Regarding the factual and legal grounds for the judicial decision, the court changed the legal categorization of the crime of attempted homicide </w:t>
      </w:r>
      <w:r w:rsidR="00BA37A6" w:rsidRPr="009D52FD">
        <w:rPr>
          <w:rFonts w:eastAsiaTheme="minorHAnsi" w:cstheme="minorBidi"/>
          <w:sz w:val="20"/>
          <w:szCs w:val="20"/>
          <w:lang w:val="en-US" w:eastAsia="en-US"/>
        </w:rPr>
        <w:t>to</w:t>
      </w:r>
      <w:r w:rsidR="004C1426" w:rsidRPr="009D52FD">
        <w:rPr>
          <w:rFonts w:eastAsiaTheme="minorHAnsi" w:cstheme="minorBidi"/>
          <w:sz w:val="20"/>
          <w:szCs w:val="20"/>
          <w:lang w:val="en-US" w:eastAsia="en-US"/>
        </w:rPr>
        <w:t xml:space="preserve"> that of extremely serious personal injuries established in article 416 of the Criminal Code in force at the time. Regarding the crime of rape, the court again took into account the testimony of the forensic experts and concluded that they had only confirmed the injuries identified in the gynecological examinations, but had not proved who had perpetrated them. Thus, it considered that it was not possible to attribute the accused with criminal responsibility because “the perpetration of that crime ha[d] not been corroborated by witnesses or experts, [and there was] no evidence, either </w:t>
      </w:r>
      <w:r w:rsidR="004C1426" w:rsidRPr="009D52FD">
        <w:rPr>
          <w:rFonts w:eastAsiaTheme="minorHAnsi" w:cstheme="minorBidi"/>
          <w:sz w:val="20"/>
          <w:szCs w:val="20"/>
          <w:lang w:val="en-US" w:eastAsia="en-US"/>
        </w:rPr>
        <w:lastRenderedPageBreak/>
        <w:t>medical or legal</w:t>
      </w:r>
      <w:r w:rsidR="00635F70" w:rsidRPr="009D52FD">
        <w:rPr>
          <w:rFonts w:eastAsiaTheme="minorHAnsi" w:cstheme="minorBidi"/>
          <w:sz w:val="20"/>
          <w:szCs w:val="20"/>
          <w:lang w:val="en-US" w:eastAsia="en-US"/>
        </w:rPr>
        <w:t xml:space="preserve"> that [could] lead to a presumption of [its] perpetration.</w:t>
      </w:r>
      <w:r w:rsidR="00BB528A" w:rsidRPr="009D52FD">
        <w:rPr>
          <w:rFonts w:eastAsiaTheme="minorHAnsi" w:cstheme="minorBidi"/>
          <w:sz w:val="20"/>
          <w:szCs w:val="20"/>
          <w:lang w:val="en-US" w:eastAsia="en-US"/>
        </w:rPr>
        <w:t>”</w:t>
      </w:r>
      <w:r w:rsidR="00BB528A" w:rsidRPr="009D52FD">
        <w:rPr>
          <w:rFonts w:eastAsiaTheme="minorHAnsi" w:cstheme="minorBidi"/>
          <w:sz w:val="20"/>
          <w:szCs w:val="20"/>
          <w:vertAlign w:val="superscript"/>
          <w:lang w:val="en-US" w:eastAsia="en-US"/>
        </w:rPr>
        <w:footnoteReference w:id="146"/>
      </w:r>
      <w:r w:rsidR="001D422B" w:rsidRPr="009D52FD">
        <w:rPr>
          <w:rFonts w:eastAsiaTheme="minorHAnsi" w:cstheme="minorBidi"/>
          <w:sz w:val="20"/>
          <w:szCs w:val="20"/>
          <w:lang w:val="en-US" w:eastAsia="en-US"/>
        </w:rPr>
        <w:t xml:space="preserve"> </w:t>
      </w:r>
      <w:r w:rsidR="00635F70" w:rsidRPr="009D52FD">
        <w:rPr>
          <w:rFonts w:eastAsiaTheme="minorHAnsi" w:cstheme="minorBidi"/>
          <w:sz w:val="20"/>
          <w:szCs w:val="20"/>
          <w:lang w:val="en-US" w:eastAsia="en-US"/>
        </w:rPr>
        <w:t>Lastly,</w:t>
      </w:r>
      <w:r w:rsidR="00BB528A" w:rsidRPr="009D52FD">
        <w:rPr>
          <w:rFonts w:eastAsiaTheme="minorHAnsi" w:cstheme="minorBidi"/>
          <w:sz w:val="20"/>
          <w:szCs w:val="20"/>
          <w:lang w:val="en-US" w:eastAsia="en-US"/>
        </w:rPr>
        <w:t xml:space="preserve"> </w:t>
      </w:r>
      <w:r w:rsidR="003630BB" w:rsidRPr="009D52FD">
        <w:rPr>
          <w:rFonts w:eastAsiaTheme="minorHAnsi" w:cstheme="minorBidi"/>
          <w:sz w:val="20"/>
          <w:szCs w:val="20"/>
          <w:lang w:val="en-US" w:eastAsia="en-US"/>
        </w:rPr>
        <w:t>the Court</w:t>
      </w:r>
      <w:r w:rsidR="00BB528A" w:rsidRPr="009D52FD">
        <w:rPr>
          <w:rFonts w:eastAsiaTheme="minorHAnsi" w:cstheme="minorBidi"/>
          <w:sz w:val="20"/>
          <w:szCs w:val="20"/>
          <w:lang w:val="en-US" w:eastAsia="en-US"/>
        </w:rPr>
        <w:t xml:space="preserve"> a</w:t>
      </w:r>
      <w:r w:rsidR="00635F70" w:rsidRPr="009D52FD">
        <w:rPr>
          <w:rFonts w:eastAsiaTheme="minorHAnsi" w:cstheme="minorBidi"/>
          <w:sz w:val="20"/>
          <w:szCs w:val="20"/>
          <w:lang w:val="en-US" w:eastAsia="en-US"/>
        </w:rPr>
        <w:t>cquitted the other persons who had been charged in the proceedings.</w:t>
      </w:r>
      <w:r w:rsidR="00BB528A" w:rsidRPr="009D52FD">
        <w:rPr>
          <w:rFonts w:eastAsiaTheme="minorHAnsi" w:cstheme="minorBidi"/>
          <w:sz w:val="20"/>
          <w:szCs w:val="20"/>
          <w:vertAlign w:val="superscript"/>
          <w:lang w:val="en-US" w:eastAsia="en-US"/>
        </w:rPr>
        <w:footnoteReference w:id="147"/>
      </w:r>
    </w:p>
    <w:p w14:paraId="630DFEF7" w14:textId="77777777" w:rsidR="001D422B" w:rsidRPr="009D52FD" w:rsidRDefault="001D422B" w:rsidP="00BB528A">
      <w:pPr>
        <w:widowControl/>
        <w:adjustRightInd/>
        <w:spacing w:line="240" w:lineRule="auto"/>
        <w:textAlignment w:val="auto"/>
        <w:rPr>
          <w:rFonts w:eastAsiaTheme="minorHAnsi" w:cstheme="minorBidi"/>
          <w:sz w:val="20"/>
          <w:szCs w:val="20"/>
          <w:lang w:val="en-US" w:eastAsia="en-US"/>
        </w:rPr>
      </w:pPr>
    </w:p>
    <w:p w14:paraId="2AFB4271" w14:textId="573F718A" w:rsidR="00BB528A" w:rsidRPr="009D52FD" w:rsidRDefault="00635F70" w:rsidP="001D422B">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The judgment was appealed by</w:t>
      </w:r>
      <w:r w:rsidR="00BB528A" w:rsidRPr="009D52FD">
        <w:rPr>
          <w:rFonts w:eastAsiaTheme="minorHAnsi" w:cstheme="minorBidi"/>
          <w:sz w:val="20"/>
          <w:szCs w:val="20"/>
          <w:lang w:val="en-US" w:eastAsia="en-US"/>
        </w:rPr>
        <w:t xml:space="preserve"> </w:t>
      </w:r>
      <w:r w:rsidR="000C6475" w:rsidRPr="009D52FD">
        <w:rPr>
          <w:rFonts w:eastAsiaTheme="minorHAnsi" w:cstheme="minorBidi"/>
          <w:sz w:val="20"/>
          <w:szCs w:val="20"/>
          <w:lang w:val="en-US" w:eastAsia="en-US"/>
        </w:rPr>
        <w:t>the Public Prosecution Service</w:t>
      </w:r>
      <w:r w:rsidR="003630BB" w:rsidRPr="009D52FD">
        <w:rPr>
          <w:rFonts w:eastAsiaTheme="minorHAnsi" w:cstheme="minorBidi"/>
          <w:sz w:val="20"/>
          <w:szCs w:val="20"/>
          <w:lang w:val="en-US" w:eastAsia="en-US"/>
        </w:rPr>
        <w:t xml:space="preserve"> and </w:t>
      </w:r>
      <w:r w:rsidR="00BB528A" w:rsidRPr="009D52FD">
        <w:rPr>
          <w:rFonts w:eastAsiaTheme="minorHAnsi" w:cstheme="minorBidi"/>
          <w:sz w:val="20"/>
          <w:szCs w:val="20"/>
          <w:lang w:val="en-US" w:eastAsia="en-US"/>
        </w:rPr>
        <w:t>Linda Loaiza López Soto</w:t>
      </w:r>
      <w:r w:rsidRPr="009D52FD">
        <w:rPr>
          <w:rFonts w:eastAsiaTheme="minorHAnsi" w:cstheme="minorBidi"/>
          <w:sz w:val="20"/>
          <w:szCs w:val="20"/>
          <w:lang w:val="en-US" w:eastAsia="en-US"/>
        </w:rPr>
        <w:t>’s lawyer</w:t>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On December 19,</w:t>
      </w:r>
      <w:r w:rsidR="00BB528A" w:rsidRPr="009D52FD">
        <w:rPr>
          <w:rFonts w:eastAsiaTheme="minorHAnsi" w:cstheme="minorBidi"/>
          <w:sz w:val="20"/>
          <w:szCs w:val="20"/>
          <w:lang w:val="en-US" w:eastAsia="en-US"/>
        </w:rPr>
        <w:t xml:space="preserve"> 2006</w:t>
      </w:r>
      <w:r w:rsidRPr="009D52FD">
        <w:rPr>
          <w:rFonts w:eastAsiaTheme="minorHAnsi" w:cstheme="minorBidi"/>
          <w:sz w:val="20"/>
          <w:szCs w:val="20"/>
          <w:lang w:val="en-US" w:eastAsia="en-US"/>
        </w:rPr>
        <w:t xml:space="preserve">, the Sixth Chamber </w:t>
      </w:r>
      <w:r w:rsidR="003630BB" w:rsidRPr="009D52FD">
        <w:rPr>
          <w:rFonts w:eastAsiaTheme="minorHAnsi" w:cstheme="minorBidi"/>
          <w:sz w:val="20"/>
          <w:szCs w:val="20"/>
          <w:lang w:val="en-US" w:eastAsia="en-US"/>
        </w:rPr>
        <w:t xml:space="preserve">of </w:t>
      </w:r>
      <w:r w:rsidR="00CE476F" w:rsidRPr="009D52FD">
        <w:rPr>
          <w:rFonts w:eastAsiaTheme="minorHAnsi" w:cstheme="minorBidi"/>
          <w:sz w:val="20"/>
          <w:szCs w:val="20"/>
          <w:lang w:val="en-US" w:eastAsia="en-US"/>
        </w:rPr>
        <w:t>the Appellate Court</w:t>
      </w:r>
      <w:r w:rsidR="00BB528A" w:rsidRPr="009D52FD">
        <w:rPr>
          <w:rFonts w:eastAsiaTheme="minorHAnsi" w:cstheme="minorBidi"/>
          <w:sz w:val="20"/>
          <w:szCs w:val="20"/>
          <w:lang w:val="en-US" w:eastAsia="en-US"/>
        </w:rPr>
        <w:t xml:space="preserve"> </w:t>
      </w:r>
      <w:r w:rsidR="00565380" w:rsidRPr="009D52FD">
        <w:rPr>
          <w:rFonts w:eastAsiaTheme="minorHAnsi" w:cstheme="minorBidi"/>
          <w:sz w:val="20"/>
          <w:szCs w:val="20"/>
          <w:lang w:val="en-US" w:eastAsia="en-US"/>
        </w:rPr>
        <w:t>of the Caracas Metropolitan Area</w:t>
      </w:r>
      <w:r w:rsidR="00BB528A" w:rsidRPr="009D52FD">
        <w:rPr>
          <w:rFonts w:eastAsiaTheme="minorHAnsi" w:cstheme="minorBidi"/>
          <w:sz w:val="20"/>
          <w:szCs w:val="20"/>
          <w:lang w:val="en-US" w:eastAsia="en-US"/>
        </w:rPr>
        <w:t xml:space="preserve"> declar</w:t>
      </w:r>
      <w:r w:rsidRPr="009D52FD">
        <w:rPr>
          <w:rFonts w:eastAsiaTheme="minorHAnsi" w:cstheme="minorBidi"/>
          <w:sz w:val="20"/>
          <w:szCs w:val="20"/>
          <w:lang w:val="en-US" w:eastAsia="en-US"/>
        </w:rPr>
        <w:t xml:space="preserve">ed the appeals inadmissible. On March 16, </w:t>
      </w:r>
      <w:r w:rsidR="00BB528A" w:rsidRPr="009D52FD">
        <w:rPr>
          <w:rFonts w:eastAsiaTheme="minorHAnsi" w:cstheme="minorBidi"/>
          <w:sz w:val="20"/>
          <w:szCs w:val="20"/>
          <w:lang w:val="en-US" w:eastAsia="en-US"/>
        </w:rPr>
        <w:t>2007</w:t>
      </w:r>
      <w:r w:rsidRPr="009D52FD">
        <w:rPr>
          <w:rFonts w:eastAsiaTheme="minorHAnsi" w:cstheme="minorBidi"/>
          <w:sz w:val="20"/>
          <w:szCs w:val="20"/>
          <w:lang w:val="en-US" w:eastAsia="en-US"/>
        </w:rPr>
        <w:t xml:space="preserve">, </w:t>
      </w:r>
      <w:r w:rsidR="00BB528A" w:rsidRPr="009D52FD">
        <w:rPr>
          <w:rFonts w:eastAsiaTheme="minorHAnsi" w:cstheme="minorBidi"/>
          <w:sz w:val="20"/>
          <w:szCs w:val="20"/>
          <w:lang w:val="en-US" w:eastAsia="en-US"/>
        </w:rPr>
        <w:t>Linda Loaiza López Soto</w:t>
      </w:r>
      <w:r w:rsidRPr="009D52FD">
        <w:rPr>
          <w:rFonts w:eastAsiaTheme="minorHAnsi" w:cstheme="minorBidi"/>
          <w:sz w:val="20"/>
          <w:szCs w:val="20"/>
          <w:lang w:val="en-US" w:eastAsia="en-US"/>
        </w:rPr>
        <w:t>’s lawyer filed a remedy of cassation against the decision</w:t>
      </w:r>
      <w:r w:rsidR="00BB528A" w:rsidRPr="009D52FD">
        <w:rPr>
          <w:rFonts w:eastAsiaTheme="minorHAnsi" w:cstheme="minorBidi"/>
          <w:sz w:val="20"/>
          <w:szCs w:val="20"/>
          <w:lang w:val="en-US" w:eastAsia="en-US"/>
        </w:rPr>
        <w:t xml:space="preserve"> </w:t>
      </w:r>
      <w:r w:rsidR="003630BB" w:rsidRPr="009D52FD">
        <w:rPr>
          <w:rFonts w:eastAsiaTheme="minorHAnsi" w:cstheme="minorBidi"/>
          <w:sz w:val="20"/>
          <w:szCs w:val="20"/>
          <w:lang w:val="en-US" w:eastAsia="en-US"/>
        </w:rPr>
        <w:t xml:space="preserve">of </w:t>
      </w:r>
      <w:r w:rsidR="00CE476F" w:rsidRPr="009D52FD">
        <w:rPr>
          <w:rFonts w:eastAsiaTheme="minorHAnsi" w:cstheme="minorBidi"/>
          <w:sz w:val="20"/>
          <w:szCs w:val="20"/>
          <w:lang w:val="en-US" w:eastAsia="en-US"/>
        </w:rPr>
        <w:t>the Appellate Court</w:t>
      </w:r>
      <w:r w:rsidRPr="009D52FD">
        <w:rPr>
          <w:rFonts w:eastAsiaTheme="minorHAnsi" w:cstheme="minorBidi"/>
          <w:sz w:val="20"/>
          <w:szCs w:val="20"/>
          <w:lang w:val="en-US" w:eastAsia="en-US"/>
        </w:rPr>
        <w:t>.</w:t>
      </w:r>
      <w:r w:rsidR="00BB528A" w:rsidRPr="009D52FD">
        <w:rPr>
          <w:rFonts w:eastAsiaTheme="minorHAnsi" w:cstheme="minorBidi"/>
          <w:sz w:val="20"/>
          <w:szCs w:val="20"/>
          <w:vertAlign w:val="superscript"/>
          <w:lang w:val="en-US" w:eastAsia="en-US"/>
        </w:rPr>
        <w:footnoteReference w:id="148"/>
      </w:r>
      <w:r w:rsidRPr="009D52FD">
        <w:rPr>
          <w:rFonts w:eastAsiaTheme="minorHAnsi" w:cstheme="minorBidi"/>
          <w:sz w:val="20"/>
          <w:szCs w:val="20"/>
          <w:lang w:val="en-US" w:eastAsia="en-US"/>
        </w:rPr>
        <w:t xml:space="preserve"> On May 11,</w:t>
      </w:r>
      <w:r w:rsidR="005549F0" w:rsidRPr="009D52FD">
        <w:rPr>
          <w:rFonts w:eastAsiaTheme="minorHAnsi" w:cstheme="minorBidi"/>
          <w:sz w:val="20"/>
          <w:szCs w:val="20"/>
          <w:lang w:val="en-US" w:eastAsia="en-US"/>
        </w:rPr>
        <w:t xml:space="preserve"> 2007</w:t>
      </w:r>
      <w:r w:rsidRPr="009D52FD">
        <w:rPr>
          <w:rFonts w:eastAsiaTheme="minorHAnsi" w:cstheme="minorBidi"/>
          <w:sz w:val="20"/>
          <w:szCs w:val="20"/>
          <w:lang w:val="en-US" w:eastAsia="en-US"/>
        </w:rPr>
        <w:t>,</w:t>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 xml:space="preserve">the </w:t>
      </w:r>
      <w:r w:rsidR="005A6F5D" w:rsidRPr="009D52FD">
        <w:rPr>
          <w:rFonts w:eastAsiaTheme="minorHAnsi" w:cstheme="minorBidi"/>
          <w:sz w:val="20"/>
          <w:szCs w:val="20"/>
          <w:lang w:val="en-US" w:eastAsia="en-US"/>
        </w:rPr>
        <w:t>Contingent</w:t>
      </w:r>
      <w:r w:rsidRPr="009D52FD">
        <w:rPr>
          <w:rFonts w:eastAsiaTheme="minorHAnsi" w:cstheme="minorBidi"/>
          <w:sz w:val="20"/>
          <w:szCs w:val="20"/>
          <w:lang w:val="en-US" w:eastAsia="en-US"/>
        </w:rPr>
        <w:t xml:space="preserve"> Criminal Cassation Chamber of the Supreme Court of Justice declared the remedy of cassation inadmissible.</w:t>
      </w:r>
      <w:r w:rsidR="00BB528A" w:rsidRPr="009D52FD">
        <w:rPr>
          <w:rFonts w:eastAsiaTheme="minorHAnsi" w:cstheme="minorBidi"/>
          <w:sz w:val="20"/>
          <w:szCs w:val="20"/>
          <w:vertAlign w:val="superscript"/>
          <w:lang w:val="en-US" w:eastAsia="en-US"/>
        </w:rPr>
        <w:footnoteReference w:id="149"/>
      </w:r>
    </w:p>
    <w:p w14:paraId="0430B46F" w14:textId="77777777" w:rsidR="00BB528A" w:rsidRPr="009D52FD" w:rsidRDefault="00BB528A" w:rsidP="00BB528A">
      <w:pPr>
        <w:widowControl/>
        <w:adjustRightInd/>
        <w:spacing w:line="240" w:lineRule="auto"/>
        <w:textAlignment w:val="auto"/>
        <w:rPr>
          <w:rFonts w:eastAsiaTheme="minorHAnsi" w:cstheme="minorBidi"/>
          <w:b/>
          <w:bCs/>
          <w:sz w:val="20"/>
          <w:szCs w:val="20"/>
          <w:lang w:val="en-US" w:eastAsia="en-US"/>
        </w:rPr>
      </w:pPr>
    </w:p>
    <w:p w14:paraId="5B86AF75" w14:textId="1C4331C7" w:rsidR="00977FDC" w:rsidRPr="009D52FD" w:rsidRDefault="00635F70" w:rsidP="00977FDC">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On November</w:t>
      </w:r>
      <w:r w:rsidR="00977FDC" w:rsidRPr="009D52FD">
        <w:rPr>
          <w:rFonts w:eastAsiaTheme="minorHAnsi" w:cstheme="minorBidi"/>
          <w:sz w:val="20"/>
          <w:szCs w:val="20"/>
          <w:lang w:val="en-US" w:eastAsia="en-US"/>
        </w:rPr>
        <w:t xml:space="preserve"> 6</w:t>
      </w:r>
      <w:r w:rsidR="003630BB" w:rsidRPr="009D52FD">
        <w:rPr>
          <w:rFonts w:eastAsiaTheme="minorHAnsi" w:cstheme="minorBidi"/>
          <w:sz w:val="20"/>
          <w:szCs w:val="20"/>
          <w:lang w:val="en-US" w:eastAsia="en-US"/>
        </w:rPr>
        <w:t xml:space="preserve"> and </w:t>
      </w:r>
      <w:r w:rsidR="00977FDC" w:rsidRPr="009D52FD">
        <w:rPr>
          <w:rFonts w:eastAsiaTheme="minorHAnsi" w:cstheme="minorBidi"/>
          <w:sz w:val="20"/>
          <w:szCs w:val="20"/>
          <w:lang w:val="en-US" w:eastAsia="en-US"/>
        </w:rPr>
        <w:t>7</w:t>
      </w:r>
      <w:r w:rsidRPr="009D52FD">
        <w:rPr>
          <w:rFonts w:eastAsiaTheme="minorHAnsi" w:cstheme="minorBidi"/>
          <w:sz w:val="20"/>
          <w:szCs w:val="20"/>
          <w:lang w:val="en-US" w:eastAsia="en-US"/>
        </w:rPr>
        <w:t xml:space="preserve">, </w:t>
      </w:r>
      <w:r w:rsidR="00977FDC" w:rsidRPr="009D52FD">
        <w:rPr>
          <w:rFonts w:eastAsiaTheme="minorHAnsi" w:cstheme="minorBidi"/>
          <w:sz w:val="20"/>
          <w:szCs w:val="20"/>
          <w:lang w:val="en-US" w:eastAsia="en-US"/>
        </w:rPr>
        <w:t>2006</w:t>
      </w:r>
      <w:r w:rsidRPr="009D52FD">
        <w:rPr>
          <w:rFonts w:eastAsiaTheme="minorHAnsi" w:cstheme="minorBidi"/>
          <w:sz w:val="20"/>
          <w:szCs w:val="20"/>
          <w:lang w:val="en-US" w:eastAsia="en-US"/>
        </w:rPr>
        <w:t>,</w:t>
      </w:r>
      <w:r w:rsidR="00977FDC" w:rsidRPr="009D52FD">
        <w:rPr>
          <w:rFonts w:eastAsiaTheme="minorHAnsi" w:cstheme="minorBidi"/>
          <w:sz w:val="20"/>
          <w:szCs w:val="20"/>
          <w:lang w:val="en-US" w:eastAsia="en-US"/>
        </w:rPr>
        <w:t xml:space="preserve"> Linda Loaiza López</w:t>
      </w:r>
      <w:r w:rsidR="003630BB" w:rsidRPr="009D52FD">
        <w:rPr>
          <w:rFonts w:eastAsiaTheme="minorHAnsi" w:cstheme="minorBidi"/>
          <w:sz w:val="20"/>
          <w:szCs w:val="20"/>
          <w:lang w:val="en-US" w:eastAsia="en-US"/>
        </w:rPr>
        <w:t xml:space="preserve"> and</w:t>
      </w:r>
      <w:r w:rsidRPr="009D52FD">
        <w:rPr>
          <w:rFonts w:eastAsiaTheme="minorHAnsi" w:cstheme="minorBidi"/>
          <w:sz w:val="20"/>
          <w:szCs w:val="20"/>
          <w:lang w:val="en-US" w:eastAsia="en-US"/>
        </w:rPr>
        <w:t xml:space="preserve"> her lawyer were notified that a disciplinary procedure had been instituted against one of the contested judges who had delivered the judgment of acquittal. However, the </w:t>
      </w:r>
      <w:r w:rsidR="004233C5" w:rsidRPr="009D52FD">
        <w:rPr>
          <w:rFonts w:eastAsiaTheme="minorHAnsi" w:cstheme="minorBidi"/>
          <w:sz w:val="20"/>
          <w:szCs w:val="20"/>
          <w:lang w:val="en-US" w:eastAsia="en-US"/>
        </w:rPr>
        <w:t>General Inspectorate of Courts</w:t>
      </w:r>
      <w:r w:rsidR="00977FDC"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subsequently decided to archive the case.</w:t>
      </w:r>
      <w:r w:rsidR="00977FDC" w:rsidRPr="009D52FD">
        <w:rPr>
          <w:rFonts w:eastAsiaTheme="minorHAnsi" w:cstheme="minorBidi"/>
          <w:sz w:val="20"/>
          <w:szCs w:val="20"/>
          <w:vertAlign w:val="superscript"/>
          <w:lang w:val="en-US" w:eastAsia="en-US"/>
        </w:rPr>
        <w:footnoteReference w:id="150"/>
      </w:r>
    </w:p>
    <w:p w14:paraId="590610FE" w14:textId="77777777" w:rsidR="00977FDC" w:rsidRPr="009D52FD" w:rsidRDefault="00977FDC" w:rsidP="00BB528A">
      <w:pPr>
        <w:widowControl/>
        <w:adjustRightInd/>
        <w:spacing w:line="240" w:lineRule="auto"/>
        <w:textAlignment w:val="auto"/>
        <w:rPr>
          <w:rFonts w:eastAsiaTheme="minorHAnsi" w:cstheme="minorBidi"/>
          <w:b/>
          <w:bCs/>
          <w:sz w:val="20"/>
          <w:szCs w:val="20"/>
          <w:lang w:val="en-US" w:eastAsia="en-US"/>
        </w:rPr>
      </w:pPr>
    </w:p>
    <w:p w14:paraId="58C6B2EB" w14:textId="676F5B57" w:rsidR="00BB528A" w:rsidRPr="009D52FD" w:rsidRDefault="00876368" w:rsidP="00050831">
      <w:pPr>
        <w:widowControl/>
        <w:tabs>
          <w:tab w:val="left" w:pos="1985"/>
        </w:tabs>
        <w:adjustRightInd/>
        <w:spacing w:line="240" w:lineRule="auto"/>
        <w:ind w:left="1275"/>
        <w:textAlignment w:val="auto"/>
        <w:rPr>
          <w:rFonts w:eastAsiaTheme="minorHAnsi" w:cstheme="minorBidi"/>
          <w:bCs/>
          <w:i/>
          <w:sz w:val="20"/>
          <w:szCs w:val="20"/>
          <w:lang w:val="en-US" w:eastAsia="en-US"/>
        </w:rPr>
      </w:pPr>
      <w:r w:rsidRPr="009D52FD">
        <w:rPr>
          <w:rFonts w:eastAsiaTheme="minorHAnsi" w:cstheme="minorBidi"/>
          <w:bCs/>
          <w:i/>
          <w:sz w:val="20"/>
          <w:szCs w:val="20"/>
          <w:lang w:val="en-US" w:eastAsia="en-US"/>
        </w:rPr>
        <w:t>E</w:t>
      </w:r>
      <w:r w:rsidR="001D422B" w:rsidRPr="009D52FD">
        <w:rPr>
          <w:rFonts w:eastAsiaTheme="minorHAnsi" w:cstheme="minorBidi"/>
          <w:bCs/>
          <w:i/>
          <w:sz w:val="20"/>
          <w:szCs w:val="20"/>
          <w:lang w:val="en-US" w:eastAsia="en-US"/>
        </w:rPr>
        <w:t>.</w:t>
      </w:r>
      <w:r w:rsidR="007C5159" w:rsidRPr="009D52FD">
        <w:rPr>
          <w:rFonts w:eastAsiaTheme="minorHAnsi" w:cstheme="minorBidi"/>
          <w:bCs/>
          <w:i/>
          <w:sz w:val="20"/>
          <w:szCs w:val="20"/>
          <w:lang w:val="en-US" w:eastAsia="en-US"/>
        </w:rPr>
        <w:t>6</w:t>
      </w:r>
      <w:r w:rsidR="00BB528A" w:rsidRPr="009D52FD">
        <w:rPr>
          <w:rFonts w:eastAsiaTheme="minorHAnsi" w:cstheme="minorBidi"/>
          <w:bCs/>
          <w:i/>
          <w:sz w:val="20"/>
          <w:szCs w:val="20"/>
          <w:lang w:val="en-US" w:eastAsia="en-US"/>
        </w:rPr>
        <w:t xml:space="preserve"> </w:t>
      </w:r>
      <w:r w:rsidR="00050831" w:rsidRPr="009D52FD">
        <w:rPr>
          <w:rFonts w:eastAsiaTheme="minorHAnsi" w:cstheme="minorBidi"/>
          <w:bCs/>
          <w:i/>
          <w:sz w:val="20"/>
          <w:szCs w:val="20"/>
          <w:lang w:val="en-US" w:eastAsia="en-US"/>
        </w:rPr>
        <w:tab/>
      </w:r>
      <w:r w:rsidR="00635F70" w:rsidRPr="009D52FD">
        <w:rPr>
          <w:rFonts w:eastAsiaTheme="minorHAnsi" w:cstheme="minorBidi"/>
          <w:bCs/>
          <w:i/>
          <w:sz w:val="20"/>
          <w:szCs w:val="20"/>
          <w:lang w:val="en-US" w:eastAsia="en-US"/>
        </w:rPr>
        <w:t>Compliance with the sentence imposed</w:t>
      </w:r>
    </w:p>
    <w:p w14:paraId="59CAC89F" w14:textId="77777777" w:rsidR="001D422B" w:rsidRPr="009D52FD" w:rsidRDefault="001D422B" w:rsidP="00BB528A">
      <w:pPr>
        <w:widowControl/>
        <w:adjustRightInd/>
        <w:spacing w:line="240" w:lineRule="auto"/>
        <w:textAlignment w:val="auto"/>
        <w:rPr>
          <w:rFonts w:eastAsiaTheme="minorHAnsi" w:cstheme="minorBidi"/>
          <w:b/>
          <w:bCs/>
          <w:sz w:val="20"/>
          <w:szCs w:val="20"/>
          <w:lang w:val="en-US" w:eastAsia="en-US"/>
        </w:rPr>
      </w:pPr>
    </w:p>
    <w:p w14:paraId="537F6124" w14:textId="4736A5EB" w:rsidR="00BB528A" w:rsidRPr="009D52FD" w:rsidRDefault="00635F70" w:rsidP="00635F70">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On May 8,</w:t>
      </w:r>
      <w:r w:rsidR="00BB528A" w:rsidRPr="009D52FD">
        <w:rPr>
          <w:rFonts w:eastAsiaTheme="minorHAnsi" w:cstheme="minorBidi"/>
          <w:sz w:val="20"/>
          <w:szCs w:val="20"/>
          <w:lang w:val="en-US" w:eastAsia="en-US"/>
        </w:rPr>
        <w:t xml:space="preserve"> 2008</w:t>
      </w:r>
      <w:r w:rsidRPr="009D52FD">
        <w:rPr>
          <w:rFonts w:eastAsiaTheme="minorHAnsi" w:cstheme="minorBidi"/>
          <w:sz w:val="20"/>
          <w:szCs w:val="20"/>
          <w:lang w:val="en-US" w:eastAsia="en-US"/>
        </w:rPr>
        <w:t>,</w:t>
      </w:r>
      <w:r w:rsidR="00BB528A" w:rsidRPr="009D52FD">
        <w:rPr>
          <w:rFonts w:eastAsiaTheme="minorHAnsi" w:cstheme="minorBidi"/>
          <w:sz w:val="20"/>
          <w:szCs w:val="20"/>
          <w:lang w:val="en-US" w:eastAsia="en-US"/>
        </w:rPr>
        <w:t xml:space="preserve"> </w:t>
      </w:r>
      <w:r w:rsidR="003630BB" w:rsidRPr="009D52FD">
        <w:rPr>
          <w:rFonts w:eastAsiaTheme="minorHAnsi" w:cstheme="minorBidi"/>
          <w:sz w:val="20"/>
          <w:szCs w:val="20"/>
          <w:lang w:val="en-US" w:eastAsia="en-US"/>
        </w:rPr>
        <w:t xml:space="preserve">the </w:t>
      </w:r>
      <w:r w:rsidRPr="009D52FD">
        <w:rPr>
          <w:rFonts w:eastAsiaTheme="minorHAnsi" w:cstheme="minorBidi"/>
          <w:sz w:val="20"/>
          <w:szCs w:val="20"/>
          <w:lang w:val="en-US" w:eastAsia="en-US"/>
        </w:rPr>
        <w:t xml:space="preserve">Sixth Court </w:t>
      </w:r>
      <w:r w:rsidR="00BA37A6" w:rsidRPr="009D52FD">
        <w:rPr>
          <w:rFonts w:eastAsiaTheme="minorHAnsi" w:cstheme="minorBidi"/>
          <w:sz w:val="20"/>
          <w:szCs w:val="20"/>
          <w:lang w:val="en-US" w:eastAsia="en-US"/>
        </w:rPr>
        <w:t>for</w:t>
      </w:r>
      <w:r w:rsidRPr="009D52FD">
        <w:rPr>
          <w:rFonts w:eastAsiaTheme="minorHAnsi" w:cstheme="minorBidi"/>
          <w:sz w:val="20"/>
          <w:szCs w:val="20"/>
          <w:lang w:val="en-US" w:eastAsia="en-US"/>
        </w:rPr>
        <w:t xml:space="preserve"> Execution of Judgments</w:t>
      </w:r>
      <w:r w:rsidR="00BB528A" w:rsidRPr="009D52FD">
        <w:rPr>
          <w:rFonts w:eastAsiaTheme="minorHAnsi" w:cstheme="minorBidi"/>
          <w:sz w:val="20"/>
          <w:szCs w:val="20"/>
          <w:lang w:val="en-US" w:eastAsia="en-US"/>
        </w:rPr>
        <w:t xml:space="preserve"> </w:t>
      </w:r>
      <w:r w:rsidR="00565380" w:rsidRPr="009D52FD">
        <w:rPr>
          <w:rFonts w:eastAsiaTheme="minorHAnsi" w:cstheme="minorBidi"/>
          <w:sz w:val="20"/>
          <w:szCs w:val="20"/>
          <w:lang w:val="en-US" w:eastAsia="en-US"/>
        </w:rPr>
        <w:t>of the Caracas Metropolitan Area</w:t>
      </w:r>
      <w:r w:rsidR="00BB528A" w:rsidRPr="009D52FD">
        <w:rPr>
          <w:rFonts w:eastAsiaTheme="minorHAnsi" w:cstheme="minorBidi"/>
          <w:sz w:val="20"/>
          <w:szCs w:val="20"/>
          <w:lang w:val="en-US" w:eastAsia="en-US"/>
        </w:rPr>
        <w:t xml:space="preserve"> declar</w:t>
      </w:r>
      <w:r w:rsidRPr="009D52FD">
        <w:rPr>
          <w:rFonts w:eastAsiaTheme="minorHAnsi" w:cstheme="minorBidi"/>
          <w:sz w:val="20"/>
          <w:szCs w:val="20"/>
          <w:lang w:val="en-US" w:eastAsia="en-US"/>
        </w:rPr>
        <w:t xml:space="preserve">ed that the prison sentence imposed on </w:t>
      </w:r>
      <w:r w:rsidR="00BB528A" w:rsidRPr="009D52FD">
        <w:rPr>
          <w:rFonts w:eastAsiaTheme="minorHAnsi" w:cstheme="minorBidi"/>
          <w:sz w:val="20"/>
          <w:szCs w:val="20"/>
          <w:lang w:val="en-US" w:eastAsia="en-US"/>
        </w:rPr>
        <w:t xml:space="preserve">Luis </w:t>
      </w:r>
      <w:r w:rsidR="006141EE" w:rsidRPr="009D52FD">
        <w:rPr>
          <w:rFonts w:eastAsiaTheme="minorHAnsi" w:cstheme="minorBidi"/>
          <w:sz w:val="20"/>
          <w:szCs w:val="20"/>
          <w:lang w:val="en-US" w:eastAsia="en-US"/>
        </w:rPr>
        <w:t xml:space="preserve">Antonio </w:t>
      </w:r>
      <w:r w:rsidR="00BB528A" w:rsidRPr="009D52FD">
        <w:rPr>
          <w:rFonts w:eastAsiaTheme="minorHAnsi" w:cstheme="minorBidi"/>
          <w:sz w:val="20"/>
          <w:szCs w:val="20"/>
          <w:lang w:val="en-US" w:eastAsia="en-US"/>
        </w:rPr>
        <w:t xml:space="preserve">Carrera Almoina </w:t>
      </w:r>
      <w:r w:rsidRPr="009D52FD">
        <w:rPr>
          <w:rFonts w:eastAsiaTheme="minorHAnsi" w:cstheme="minorBidi"/>
          <w:sz w:val="20"/>
          <w:szCs w:val="20"/>
          <w:lang w:val="en-US" w:eastAsia="en-US"/>
        </w:rPr>
        <w:t>in the judgment of May</w:t>
      </w:r>
      <w:r w:rsidR="00BB528A" w:rsidRPr="009D52FD">
        <w:rPr>
          <w:rFonts w:eastAsiaTheme="minorHAnsi" w:cstheme="minorBidi"/>
          <w:sz w:val="20"/>
          <w:szCs w:val="20"/>
          <w:lang w:val="en-US" w:eastAsia="en-US"/>
        </w:rPr>
        <w:t xml:space="preserve"> 22</w:t>
      </w:r>
      <w:r w:rsidRPr="009D52FD">
        <w:rPr>
          <w:rFonts w:eastAsiaTheme="minorHAnsi" w:cstheme="minorBidi"/>
          <w:sz w:val="20"/>
          <w:szCs w:val="20"/>
          <w:lang w:val="en-US" w:eastAsia="en-US"/>
        </w:rPr>
        <w:t xml:space="preserve">, </w:t>
      </w:r>
      <w:r w:rsidR="00BB528A" w:rsidRPr="009D52FD">
        <w:rPr>
          <w:rFonts w:eastAsiaTheme="minorHAnsi" w:cstheme="minorBidi"/>
          <w:sz w:val="20"/>
          <w:szCs w:val="20"/>
          <w:lang w:val="en-US" w:eastAsia="en-US"/>
        </w:rPr>
        <w:t>2006</w:t>
      </w:r>
      <w:r w:rsidRPr="009D52FD">
        <w:rPr>
          <w:rFonts w:eastAsiaTheme="minorHAnsi" w:cstheme="minorBidi"/>
          <w:sz w:val="20"/>
          <w:szCs w:val="20"/>
          <w:lang w:val="en-US" w:eastAsia="en-US"/>
        </w:rPr>
        <w:t>, had been completed</w:t>
      </w:r>
      <w:r w:rsidR="00BB528A" w:rsidRPr="009D52FD">
        <w:rPr>
          <w:rFonts w:eastAsiaTheme="minorHAnsi" w:cstheme="minorBidi"/>
          <w:sz w:val="20"/>
          <w:szCs w:val="20"/>
          <w:lang w:val="en-US" w:eastAsia="en-US"/>
        </w:rPr>
        <w:t>. Ad</w:t>
      </w:r>
      <w:r w:rsidRPr="009D52FD">
        <w:rPr>
          <w:rFonts w:eastAsiaTheme="minorHAnsi" w:cstheme="minorBidi"/>
          <w:sz w:val="20"/>
          <w:szCs w:val="20"/>
          <w:lang w:val="en-US" w:eastAsia="en-US"/>
        </w:rPr>
        <w:t xml:space="preserve">ditionally, an accessory punishment of being “subject to monitoring by the </w:t>
      </w:r>
      <w:r w:rsidR="00002A76" w:rsidRPr="009D52FD">
        <w:rPr>
          <w:rFonts w:eastAsiaTheme="minorHAnsi" w:cstheme="minorBidi"/>
          <w:sz w:val="20"/>
          <w:szCs w:val="20"/>
          <w:lang w:val="en-US" w:eastAsia="en-US"/>
        </w:rPr>
        <w:t>authorities</w:t>
      </w:r>
      <w:r w:rsidRPr="009D52FD">
        <w:rPr>
          <w:rFonts w:eastAsiaTheme="minorHAnsi" w:cstheme="minorBidi"/>
          <w:sz w:val="20"/>
          <w:szCs w:val="20"/>
          <w:lang w:val="en-US" w:eastAsia="en-US"/>
        </w:rPr>
        <w:t>” until November 15, 2009, was imposed on him.</w:t>
      </w:r>
      <w:r w:rsidR="00BB528A" w:rsidRPr="009D52FD">
        <w:rPr>
          <w:rFonts w:eastAsiaTheme="minorHAnsi" w:cstheme="minorBidi"/>
          <w:sz w:val="20"/>
          <w:szCs w:val="20"/>
          <w:vertAlign w:val="superscript"/>
          <w:lang w:val="en-US" w:eastAsia="en-US"/>
        </w:rPr>
        <w:footnoteReference w:id="151"/>
      </w:r>
      <w:r w:rsidR="00F414D2"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On November 26,</w:t>
      </w:r>
      <w:r w:rsidR="00F414D2" w:rsidRPr="009D52FD">
        <w:rPr>
          <w:rFonts w:eastAsiaTheme="minorHAnsi" w:cstheme="minorBidi"/>
          <w:sz w:val="20"/>
          <w:szCs w:val="20"/>
          <w:lang w:val="en-US" w:eastAsia="en-US"/>
        </w:rPr>
        <w:t xml:space="preserve"> 2009</w:t>
      </w:r>
      <w:r w:rsidRPr="009D52FD">
        <w:rPr>
          <w:rFonts w:eastAsiaTheme="minorHAnsi" w:cstheme="minorBidi"/>
          <w:sz w:val="20"/>
          <w:szCs w:val="20"/>
          <w:lang w:val="en-US" w:eastAsia="en-US"/>
        </w:rPr>
        <w:t>,</w:t>
      </w:r>
      <w:r w:rsidR="00BB528A" w:rsidRPr="009D52FD">
        <w:rPr>
          <w:rFonts w:eastAsiaTheme="minorHAnsi" w:cstheme="minorBidi"/>
          <w:sz w:val="20"/>
          <w:szCs w:val="20"/>
          <w:lang w:val="en-US" w:eastAsia="en-US"/>
        </w:rPr>
        <w:t xml:space="preserve"> </w:t>
      </w:r>
      <w:r w:rsidR="003630BB" w:rsidRPr="009D52FD">
        <w:rPr>
          <w:rFonts w:eastAsiaTheme="minorHAnsi" w:cstheme="minorBidi"/>
          <w:sz w:val="20"/>
          <w:szCs w:val="20"/>
          <w:lang w:val="en-US" w:eastAsia="en-US"/>
        </w:rPr>
        <w:t xml:space="preserve">the </w:t>
      </w:r>
      <w:r w:rsidRPr="009D52FD">
        <w:rPr>
          <w:rFonts w:eastAsiaTheme="minorHAnsi" w:cstheme="minorBidi"/>
          <w:sz w:val="20"/>
          <w:szCs w:val="20"/>
          <w:lang w:val="en-US" w:eastAsia="en-US"/>
        </w:rPr>
        <w:t xml:space="preserve">Sixth Court </w:t>
      </w:r>
      <w:r w:rsidR="00BA37A6" w:rsidRPr="009D52FD">
        <w:rPr>
          <w:rFonts w:eastAsiaTheme="minorHAnsi" w:cstheme="minorBidi"/>
          <w:sz w:val="20"/>
          <w:szCs w:val="20"/>
          <w:lang w:val="en-US" w:eastAsia="en-US"/>
        </w:rPr>
        <w:t>for</w:t>
      </w:r>
      <w:r w:rsidRPr="009D52FD">
        <w:rPr>
          <w:rFonts w:eastAsiaTheme="minorHAnsi" w:cstheme="minorBidi"/>
          <w:sz w:val="20"/>
          <w:szCs w:val="20"/>
          <w:lang w:val="en-US" w:eastAsia="en-US"/>
        </w:rPr>
        <w:t xml:space="preserve"> Execution of Judgments</w:t>
      </w:r>
      <w:r w:rsidR="00BB528A" w:rsidRPr="009D52FD">
        <w:rPr>
          <w:rFonts w:eastAsiaTheme="minorHAnsi" w:cstheme="minorBidi"/>
          <w:sz w:val="20"/>
          <w:szCs w:val="20"/>
          <w:lang w:val="en-US" w:eastAsia="en-US"/>
        </w:rPr>
        <w:t xml:space="preserve"> declar</w:t>
      </w:r>
      <w:r w:rsidRPr="009D52FD">
        <w:rPr>
          <w:rFonts w:eastAsiaTheme="minorHAnsi" w:cstheme="minorBidi"/>
          <w:sz w:val="20"/>
          <w:szCs w:val="20"/>
          <w:lang w:val="en-US" w:eastAsia="en-US"/>
        </w:rPr>
        <w:t xml:space="preserve">ed that the accessory punishment had been completed and declared that the criminal responsibility of </w:t>
      </w:r>
      <w:r w:rsidR="00BB528A" w:rsidRPr="009D52FD">
        <w:rPr>
          <w:rFonts w:eastAsiaTheme="minorHAnsi" w:cstheme="minorBidi"/>
          <w:sz w:val="20"/>
          <w:szCs w:val="20"/>
          <w:lang w:val="en-US" w:eastAsia="en-US"/>
        </w:rPr>
        <w:t>Luis</w:t>
      </w:r>
      <w:r w:rsidR="006141EE" w:rsidRPr="009D52FD">
        <w:rPr>
          <w:rFonts w:eastAsiaTheme="minorHAnsi" w:cstheme="minorBidi"/>
          <w:sz w:val="20"/>
          <w:szCs w:val="20"/>
          <w:lang w:val="en-US" w:eastAsia="en-US"/>
        </w:rPr>
        <w:t xml:space="preserve"> Antonio </w:t>
      </w:r>
      <w:r w:rsidR="00BB528A" w:rsidRPr="009D52FD">
        <w:rPr>
          <w:rFonts w:eastAsiaTheme="minorHAnsi" w:cstheme="minorBidi"/>
          <w:sz w:val="20"/>
          <w:szCs w:val="20"/>
          <w:lang w:val="en-US" w:eastAsia="en-US"/>
        </w:rPr>
        <w:t>Carrera Almoina</w:t>
      </w:r>
      <w:r w:rsidRPr="009D52FD">
        <w:rPr>
          <w:rFonts w:eastAsiaTheme="minorHAnsi" w:cstheme="minorBidi"/>
          <w:sz w:val="20"/>
          <w:szCs w:val="20"/>
          <w:lang w:val="en-US" w:eastAsia="en-US"/>
        </w:rPr>
        <w:t xml:space="preserve"> had extinguished.</w:t>
      </w:r>
      <w:r w:rsidR="00BB528A" w:rsidRPr="009D52FD">
        <w:rPr>
          <w:rFonts w:eastAsiaTheme="minorHAnsi" w:cstheme="minorBidi"/>
          <w:sz w:val="20"/>
          <w:szCs w:val="20"/>
          <w:vertAlign w:val="superscript"/>
          <w:lang w:val="en-US" w:eastAsia="en-US"/>
        </w:rPr>
        <w:footnoteReference w:id="152"/>
      </w:r>
    </w:p>
    <w:p w14:paraId="58BE72B3" w14:textId="713C3C74" w:rsidR="00BB528A" w:rsidRPr="009D52FD" w:rsidRDefault="00635F70" w:rsidP="00BB528A">
      <w:pPr>
        <w:widowControl/>
        <w:adjustRightInd/>
        <w:spacing w:line="240" w:lineRule="auto"/>
        <w:textAlignment w:val="auto"/>
        <w:rPr>
          <w:rFonts w:eastAsiaTheme="minorHAnsi" w:cstheme="minorBidi"/>
          <w:sz w:val="20"/>
          <w:szCs w:val="20"/>
          <w:lang w:val="en-US" w:eastAsia="en-US"/>
        </w:rPr>
      </w:pPr>
      <w:r w:rsidRPr="009D52FD">
        <w:rPr>
          <w:rFonts w:eastAsiaTheme="minorHAnsi" w:cstheme="minorBidi"/>
          <w:sz w:val="20"/>
          <w:szCs w:val="20"/>
          <w:lang w:val="en-US" w:eastAsia="en-US"/>
        </w:rPr>
        <w:t xml:space="preserve"> </w:t>
      </w:r>
    </w:p>
    <w:p w14:paraId="1D4327F4" w14:textId="24AF6A66" w:rsidR="006F4D8F" w:rsidRPr="009D52FD" w:rsidRDefault="006F4D8F" w:rsidP="00050831">
      <w:pPr>
        <w:widowControl/>
        <w:tabs>
          <w:tab w:val="left" w:pos="1985"/>
        </w:tabs>
        <w:adjustRightInd/>
        <w:spacing w:line="240" w:lineRule="auto"/>
        <w:ind w:left="1275"/>
        <w:textAlignment w:val="auto"/>
        <w:rPr>
          <w:rFonts w:eastAsiaTheme="minorHAnsi" w:cstheme="minorBidi"/>
          <w:bCs/>
          <w:i/>
          <w:sz w:val="20"/>
          <w:szCs w:val="20"/>
          <w:lang w:val="en-US" w:eastAsia="en-US"/>
        </w:rPr>
      </w:pPr>
      <w:r w:rsidRPr="009D52FD">
        <w:rPr>
          <w:rFonts w:eastAsiaTheme="minorHAnsi" w:cstheme="minorBidi"/>
          <w:bCs/>
          <w:i/>
          <w:sz w:val="20"/>
          <w:szCs w:val="20"/>
          <w:lang w:val="en-US" w:eastAsia="en-US"/>
        </w:rPr>
        <w:t>E.</w:t>
      </w:r>
      <w:r w:rsidR="007C5159" w:rsidRPr="009D52FD">
        <w:rPr>
          <w:rFonts w:eastAsiaTheme="minorHAnsi" w:cstheme="minorBidi"/>
          <w:bCs/>
          <w:i/>
          <w:sz w:val="20"/>
          <w:szCs w:val="20"/>
          <w:lang w:val="en-US" w:eastAsia="en-US"/>
        </w:rPr>
        <w:t>7</w:t>
      </w:r>
      <w:r w:rsidRPr="009D52FD">
        <w:rPr>
          <w:rFonts w:eastAsiaTheme="minorHAnsi" w:cstheme="minorBidi"/>
          <w:bCs/>
          <w:i/>
          <w:sz w:val="20"/>
          <w:szCs w:val="20"/>
          <w:lang w:val="en-US" w:eastAsia="en-US"/>
        </w:rPr>
        <w:t xml:space="preserve"> </w:t>
      </w:r>
      <w:r w:rsidR="00050831" w:rsidRPr="009D52FD">
        <w:rPr>
          <w:rFonts w:eastAsiaTheme="minorHAnsi" w:cstheme="minorBidi"/>
          <w:bCs/>
          <w:i/>
          <w:sz w:val="20"/>
          <w:szCs w:val="20"/>
          <w:lang w:val="en-US" w:eastAsia="en-US"/>
        </w:rPr>
        <w:tab/>
      </w:r>
      <w:r w:rsidR="00635F70" w:rsidRPr="009D52FD">
        <w:rPr>
          <w:rFonts w:eastAsiaTheme="minorHAnsi" w:cstheme="minorBidi"/>
          <w:bCs/>
          <w:i/>
          <w:sz w:val="20"/>
          <w:szCs w:val="20"/>
          <w:lang w:val="en-US" w:eastAsia="en-US"/>
        </w:rPr>
        <w:t>Current status of the proceedings</w:t>
      </w:r>
    </w:p>
    <w:p w14:paraId="346076D6" w14:textId="77777777" w:rsidR="006F4D8F" w:rsidRPr="009D52FD" w:rsidRDefault="006F4D8F" w:rsidP="00BB528A">
      <w:pPr>
        <w:widowControl/>
        <w:adjustRightInd/>
        <w:spacing w:line="240" w:lineRule="auto"/>
        <w:textAlignment w:val="auto"/>
        <w:rPr>
          <w:rFonts w:eastAsiaTheme="minorHAnsi" w:cstheme="minorBidi"/>
          <w:sz w:val="20"/>
          <w:szCs w:val="20"/>
          <w:lang w:val="en-US" w:eastAsia="en-US"/>
        </w:rPr>
      </w:pPr>
    </w:p>
    <w:p w14:paraId="73BBB63F" w14:textId="04194091" w:rsidR="006F4D8F" w:rsidRPr="009D52FD" w:rsidRDefault="00635F70" w:rsidP="006F4D8F">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On December 21,</w:t>
      </w:r>
      <w:r w:rsidR="006F4D8F" w:rsidRPr="009D52FD">
        <w:rPr>
          <w:rFonts w:eastAsiaTheme="minorHAnsi" w:cstheme="minorBidi"/>
          <w:sz w:val="20"/>
          <w:szCs w:val="20"/>
          <w:lang w:val="en-US" w:eastAsia="en-US"/>
        </w:rPr>
        <w:t xml:space="preserve"> 2015</w:t>
      </w:r>
      <w:r w:rsidRPr="009D52FD">
        <w:rPr>
          <w:rFonts w:eastAsiaTheme="minorHAnsi" w:cstheme="minorBidi"/>
          <w:sz w:val="20"/>
          <w:szCs w:val="20"/>
          <w:lang w:val="en-US" w:eastAsia="en-US"/>
        </w:rPr>
        <w:t>,</w:t>
      </w:r>
      <w:r w:rsidR="006F4D8F"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the First Prosecutor</w:t>
      </w:r>
      <w:r w:rsidR="000C6475" w:rsidRPr="009D52FD">
        <w:rPr>
          <w:rFonts w:eastAsiaTheme="minorHAnsi" w:cstheme="minorBidi"/>
          <w:sz w:val="20"/>
          <w:szCs w:val="20"/>
          <w:lang w:val="en-US" w:eastAsia="en-US"/>
        </w:rPr>
        <w:t xml:space="preserve"> of the Public Prosecution Service</w:t>
      </w:r>
      <w:r w:rsidR="006F4D8F"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filed a special remedy of constitutional review against the decision of the Sixth Chamber</w:t>
      </w:r>
      <w:r w:rsidR="006F4D8F" w:rsidRPr="009D52FD">
        <w:rPr>
          <w:rFonts w:eastAsiaTheme="minorHAnsi" w:cstheme="minorBidi"/>
          <w:sz w:val="20"/>
          <w:szCs w:val="20"/>
          <w:lang w:val="en-US" w:eastAsia="en-US"/>
        </w:rPr>
        <w:t xml:space="preserve"> </w:t>
      </w:r>
      <w:r w:rsidR="003630BB" w:rsidRPr="009D52FD">
        <w:rPr>
          <w:rFonts w:eastAsiaTheme="minorHAnsi" w:cstheme="minorBidi"/>
          <w:sz w:val="20"/>
          <w:szCs w:val="20"/>
          <w:lang w:val="en-US" w:eastAsia="en-US"/>
        </w:rPr>
        <w:t xml:space="preserve">of </w:t>
      </w:r>
      <w:r w:rsidR="00CE476F" w:rsidRPr="009D52FD">
        <w:rPr>
          <w:rFonts w:eastAsiaTheme="minorHAnsi" w:cstheme="minorBidi"/>
          <w:sz w:val="20"/>
          <w:szCs w:val="20"/>
          <w:lang w:val="en-US" w:eastAsia="en-US"/>
        </w:rPr>
        <w:t>the Appellate Court</w:t>
      </w:r>
      <w:r w:rsidR="006F4D8F"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 xml:space="preserve">On December 13, </w:t>
      </w:r>
      <w:r w:rsidR="006F4D8F" w:rsidRPr="009D52FD">
        <w:rPr>
          <w:rFonts w:eastAsiaTheme="minorHAnsi" w:cstheme="minorBidi"/>
          <w:sz w:val="20"/>
          <w:szCs w:val="20"/>
          <w:lang w:val="en-US" w:eastAsia="en-US"/>
        </w:rPr>
        <w:t>2016</w:t>
      </w:r>
      <w:r w:rsidRPr="009D52FD">
        <w:rPr>
          <w:rFonts w:eastAsiaTheme="minorHAnsi" w:cstheme="minorBidi"/>
          <w:sz w:val="20"/>
          <w:szCs w:val="20"/>
          <w:lang w:val="en-US" w:eastAsia="en-US"/>
        </w:rPr>
        <w:t xml:space="preserve">, a justice excused herself from hearing this case; a substitute was appointed, and a </w:t>
      </w:r>
      <w:r w:rsidR="005A6F5D" w:rsidRPr="009D52FD">
        <w:rPr>
          <w:rFonts w:eastAsiaTheme="minorHAnsi" w:cstheme="minorBidi"/>
          <w:sz w:val="20"/>
          <w:szCs w:val="20"/>
          <w:lang w:val="en-US" w:eastAsia="en-US"/>
        </w:rPr>
        <w:t>Contingent</w:t>
      </w:r>
      <w:r w:rsidRPr="009D52FD">
        <w:rPr>
          <w:rFonts w:eastAsiaTheme="minorHAnsi" w:cstheme="minorBidi"/>
          <w:sz w:val="20"/>
          <w:szCs w:val="20"/>
          <w:lang w:val="en-US" w:eastAsia="en-US"/>
        </w:rPr>
        <w:t xml:space="preserve"> Chamber was constituted to hear the case.</w:t>
      </w:r>
    </w:p>
    <w:p w14:paraId="034B8C2C" w14:textId="77777777" w:rsidR="006F4D8F" w:rsidRPr="009D52FD" w:rsidRDefault="006F4D8F" w:rsidP="006F4D8F">
      <w:pPr>
        <w:tabs>
          <w:tab w:val="left" w:pos="567"/>
        </w:tabs>
        <w:spacing w:line="240" w:lineRule="auto"/>
        <w:rPr>
          <w:rFonts w:eastAsiaTheme="minorHAnsi" w:cstheme="minorBidi"/>
          <w:sz w:val="20"/>
          <w:szCs w:val="20"/>
          <w:lang w:val="en-US" w:eastAsia="en-US"/>
        </w:rPr>
      </w:pPr>
    </w:p>
    <w:p w14:paraId="044D1C13" w14:textId="1D2E7256" w:rsidR="006F4D8F" w:rsidRPr="009D52FD" w:rsidRDefault="005A6F5D" w:rsidP="005A6F5D">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 xml:space="preserve">On </w:t>
      </w:r>
      <w:r w:rsidR="00002A76" w:rsidRPr="009D52FD">
        <w:rPr>
          <w:rFonts w:eastAsiaTheme="minorHAnsi" w:cstheme="minorBidi"/>
          <w:sz w:val="20"/>
          <w:szCs w:val="20"/>
          <w:lang w:val="en-US" w:eastAsia="en-US"/>
        </w:rPr>
        <w:t>December</w:t>
      </w:r>
      <w:r w:rsidRPr="009D52FD">
        <w:rPr>
          <w:rFonts w:eastAsiaTheme="minorHAnsi" w:cstheme="minorBidi"/>
          <w:sz w:val="20"/>
          <w:szCs w:val="20"/>
          <w:lang w:val="en-US" w:eastAsia="en-US"/>
        </w:rPr>
        <w:t xml:space="preserve"> 15,</w:t>
      </w:r>
      <w:r w:rsidR="006F4D8F" w:rsidRPr="009D52FD">
        <w:rPr>
          <w:rFonts w:eastAsiaTheme="minorHAnsi" w:cstheme="minorBidi"/>
          <w:sz w:val="20"/>
          <w:szCs w:val="20"/>
          <w:lang w:val="en-US" w:eastAsia="en-US"/>
        </w:rPr>
        <w:t xml:space="preserve"> 2016</w:t>
      </w:r>
      <w:r w:rsidRPr="009D52FD">
        <w:rPr>
          <w:rFonts w:eastAsiaTheme="minorHAnsi" w:cstheme="minorBidi"/>
          <w:sz w:val="20"/>
          <w:szCs w:val="20"/>
          <w:lang w:val="en-US" w:eastAsia="en-US"/>
        </w:rPr>
        <w:t>,</w:t>
      </w:r>
      <w:r w:rsidR="006F4D8F" w:rsidRPr="009D52FD">
        <w:rPr>
          <w:rFonts w:eastAsiaTheme="minorHAnsi" w:cstheme="minorBidi"/>
          <w:sz w:val="20"/>
          <w:szCs w:val="20"/>
          <w:lang w:val="en-US" w:eastAsia="en-US"/>
        </w:rPr>
        <w:t xml:space="preserve"> </w:t>
      </w:r>
      <w:r w:rsidR="00D43515" w:rsidRPr="009D52FD">
        <w:rPr>
          <w:rFonts w:eastAsiaTheme="minorHAnsi" w:cstheme="minorBidi"/>
          <w:sz w:val="20"/>
          <w:szCs w:val="20"/>
          <w:lang w:val="en-US" w:eastAsia="en-US"/>
        </w:rPr>
        <w:t>the Constitutional Chamber</w:t>
      </w:r>
      <w:r w:rsidR="003630BB" w:rsidRPr="009D52FD">
        <w:rPr>
          <w:rFonts w:eastAsiaTheme="minorHAnsi" w:cstheme="minorBidi"/>
          <w:sz w:val="20"/>
          <w:szCs w:val="20"/>
          <w:lang w:val="en-US" w:eastAsia="en-US"/>
        </w:rPr>
        <w:t xml:space="preserve"> of the </w:t>
      </w:r>
      <w:r w:rsidR="00D43515" w:rsidRPr="009D52FD">
        <w:rPr>
          <w:rFonts w:eastAsiaTheme="minorHAnsi" w:cstheme="minorBidi"/>
          <w:sz w:val="20"/>
          <w:szCs w:val="20"/>
          <w:lang w:val="en-US" w:eastAsia="en-US"/>
        </w:rPr>
        <w:t>Supreme Court of Justice</w:t>
      </w:r>
      <w:r w:rsidR="006F4D8F" w:rsidRPr="009D52FD">
        <w:rPr>
          <w:rFonts w:eastAsiaTheme="minorHAnsi" w:cstheme="minorBidi"/>
          <w:sz w:val="20"/>
          <w:szCs w:val="20"/>
          <w:lang w:val="en-US" w:eastAsia="en-US"/>
        </w:rPr>
        <w:t xml:space="preserve"> </w:t>
      </w:r>
      <w:r w:rsidR="00E42442" w:rsidRPr="009D52FD">
        <w:rPr>
          <w:rFonts w:eastAsiaTheme="minorHAnsi" w:cstheme="minorBidi"/>
          <w:sz w:val="20"/>
          <w:szCs w:val="20"/>
          <w:lang w:val="en-US" w:eastAsia="en-US"/>
        </w:rPr>
        <w:t>declar</w:t>
      </w:r>
      <w:r w:rsidRPr="009D52FD">
        <w:rPr>
          <w:rFonts w:eastAsiaTheme="minorHAnsi" w:cstheme="minorBidi"/>
          <w:sz w:val="20"/>
          <w:szCs w:val="20"/>
          <w:lang w:val="en-US" w:eastAsia="en-US"/>
        </w:rPr>
        <w:t xml:space="preserve">ed admissible the request for constitutional review of the final judgment in the criminal proceedings against Carrera Almoina and ordered that another </w:t>
      </w:r>
      <w:r w:rsidR="000F4116" w:rsidRPr="009D52FD">
        <w:rPr>
          <w:rFonts w:eastAsiaTheme="minorHAnsi" w:cstheme="minorBidi"/>
          <w:sz w:val="20"/>
          <w:szCs w:val="20"/>
          <w:lang w:val="en-US" w:eastAsia="en-US"/>
        </w:rPr>
        <w:t>Chamber of the Appellate Court should again hear the appeals filed by the prosecution and by the victim against the judgment that acquitted the accused of the crime of rape, and this case is still being processed.</w:t>
      </w:r>
      <w:r w:rsidR="00E42442" w:rsidRPr="009D52FD">
        <w:rPr>
          <w:rStyle w:val="FootnoteReference"/>
          <w:rFonts w:eastAsiaTheme="minorHAnsi" w:cstheme="minorBidi"/>
          <w:sz w:val="20"/>
          <w:szCs w:val="20"/>
          <w:lang w:val="en-US" w:eastAsia="en-US"/>
        </w:rPr>
        <w:footnoteReference w:id="153"/>
      </w:r>
    </w:p>
    <w:p w14:paraId="1D3ABF34" w14:textId="77777777" w:rsidR="006F4D8F" w:rsidRPr="009D52FD" w:rsidRDefault="006F4D8F" w:rsidP="006F4D8F">
      <w:pPr>
        <w:widowControl/>
        <w:adjustRightInd/>
        <w:spacing w:line="240" w:lineRule="auto"/>
        <w:textAlignment w:val="auto"/>
        <w:rPr>
          <w:rFonts w:eastAsiaTheme="minorHAnsi" w:cstheme="minorBidi"/>
          <w:sz w:val="20"/>
          <w:szCs w:val="20"/>
          <w:lang w:val="en-US" w:eastAsia="en-US"/>
        </w:rPr>
      </w:pPr>
    </w:p>
    <w:p w14:paraId="71C5DE22" w14:textId="12E2B9A5" w:rsidR="00BB528A" w:rsidRPr="009D52FD" w:rsidRDefault="00876368" w:rsidP="00876368">
      <w:pPr>
        <w:widowControl/>
        <w:adjustRightInd/>
        <w:spacing w:line="240" w:lineRule="auto"/>
        <w:ind w:left="1275"/>
        <w:textAlignment w:val="auto"/>
        <w:rPr>
          <w:rFonts w:eastAsiaTheme="minorHAnsi" w:cstheme="minorBidi"/>
          <w:bCs/>
          <w:i/>
          <w:sz w:val="20"/>
          <w:szCs w:val="20"/>
          <w:lang w:val="en-US" w:eastAsia="en-US"/>
        </w:rPr>
      </w:pPr>
      <w:r w:rsidRPr="009D52FD">
        <w:rPr>
          <w:rFonts w:eastAsiaTheme="minorHAnsi" w:cstheme="minorBidi"/>
          <w:bCs/>
          <w:i/>
          <w:sz w:val="20"/>
          <w:szCs w:val="20"/>
          <w:lang w:val="en-US" w:eastAsia="en-US"/>
        </w:rPr>
        <w:t>E</w:t>
      </w:r>
      <w:r w:rsidR="00BB528A" w:rsidRPr="009D52FD">
        <w:rPr>
          <w:rFonts w:eastAsiaTheme="minorHAnsi" w:cstheme="minorBidi"/>
          <w:bCs/>
          <w:i/>
          <w:sz w:val="20"/>
          <w:szCs w:val="20"/>
          <w:lang w:val="en-US" w:eastAsia="en-US"/>
        </w:rPr>
        <w:t>.</w:t>
      </w:r>
      <w:r w:rsidR="007C5159" w:rsidRPr="009D52FD">
        <w:rPr>
          <w:rFonts w:eastAsiaTheme="minorHAnsi" w:cstheme="minorBidi"/>
          <w:bCs/>
          <w:i/>
          <w:sz w:val="20"/>
          <w:szCs w:val="20"/>
          <w:lang w:val="en-US" w:eastAsia="en-US"/>
        </w:rPr>
        <w:t>8</w:t>
      </w:r>
      <w:r w:rsidR="00BB528A" w:rsidRPr="009D52FD">
        <w:rPr>
          <w:rFonts w:eastAsiaTheme="minorHAnsi" w:cstheme="minorBidi"/>
          <w:bCs/>
          <w:i/>
          <w:sz w:val="20"/>
          <w:szCs w:val="20"/>
          <w:lang w:val="en-US" w:eastAsia="en-US"/>
        </w:rPr>
        <w:t xml:space="preserve"> </w:t>
      </w:r>
      <w:r w:rsidR="000F4116" w:rsidRPr="009D52FD">
        <w:rPr>
          <w:rFonts w:eastAsiaTheme="minorHAnsi" w:cstheme="minorBidi"/>
          <w:bCs/>
          <w:i/>
          <w:sz w:val="20"/>
          <w:szCs w:val="20"/>
          <w:lang w:val="en-US" w:eastAsia="en-US"/>
        </w:rPr>
        <w:t>Complaints of threats and harassment and measures of protection adopted</w:t>
      </w:r>
    </w:p>
    <w:p w14:paraId="4EE7AE68" w14:textId="77777777" w:rsidR="00BB528A" w:rsidRPr="009D52FD" w:rsidRDefault="00BB528A" w:rsidP="00BB528A">
      <w:pPr>
        <w:widowControl/>
        <w:adjustRightInd/>
        <w:spacing w:line="240" w:lineRule="auto"/>
        <w:textAlignment w:val="auto"/>
        <w:rPr>
          <w:rFonts w:eastAsiaTheme="minorHAnsi" w:cstheme="minorBidi"/>
          <w:b/>
          <w:bCs/>
          <w:sz w:val="20"/>
          <w:szCs w:val="20"/>
          <w:lang w:val="en-US" w:eastAsia="en-US"/>
        </w:rPr>
      </w:pPr>
    </w:p>
    <w:p w14:paraId="291AAB2B" w14:textId="13B7AAB8" w:rsidR="008E673A" w:rsidRPr="009D52FD" w:rsidRDefault="008E673A" w:rsidP="000F4116">
      <w:pPr>
        <w:numPr>
          <w:ilvl w:val="0"/>
          <w:numId w:val="1"/>
        </w:numPr>
        <w:tabs>
          <w:tab w:val="left" w:pos="0"/>
        </w:tabs>
        <w:spacing w:line="240" w:lineRule="auto"/>
        <w:ind w:left="0" w:firstLine="0"/>
        <w:rPr>
          <w:sz w:val="20"/>
          <w:szCs w:val="20"/>
          <w:lang w:val="en-US"/>
        </w:rPr>
      </w:pPr>
      <w:r w:rsidRPr="009D52FD">
        <w:rPr>
          <w:sz w:val="20"/>
          <w:szCs w:val="20"/>
          <w:lang w:val="en-US"/>
        </w:rPr>
        <w:t>Dur</w:t>
      </w:r>
      <w:r w:rsidR="000F4116" w:rsidRPr="009D52FD">
        <w:rPr>
          <w:sz w:val="20"/>
          <w:szCs w:val="20"/>
          <w:lang w:val="en-US"/>
        </w:rPr>
        <w:t xml:space="preserve">ing the two judicial proceedings, measures of protection were </w:t>
      </w:r>
      <w:r w:rsidR="00BA37A6" w:rsidRPr="009D52FD">
        <w:rPr>
          <w:sz w:val="20"/>
          <w:szCs w:val="20"/>
          <w:lang w:val="en-US"/>
        </w:rPr>
        <w:t>granted</w:t>
      </w:r>
      <w:r w:rsidR="000F4116" w:rsidRPr="009D52FD">
        <w:rPr>
          <w:sz w:val="20"/>
          <w:szCs w:val="20"/>
          <w:lang w:val="en-US"/>
        </w:rPr>
        <w:t xml:space="preserve"> </w:t>
      </w:r>
      <w:r w:rsidR="00BA37A6" w:rsidRPr="009D52FD">
        <w:rPr>
          <w:sz w:val="20"/>
          <w:szCs w:val="20"/>
          <w:lang w:val="en-US"/>
        </w:rPr>
        <w:t>for</w:t>
      </w:r>
      <w:r w:rsidR="000F4116" w:rsidRPr="009D52FD">
        <w:rPr>
          <w:sz w:val="20"/>
          <w:szCs w:val="20"/>
          <w:lang w:val="en-US"/>
        </w:rPr>
        <w:t xml:space="preserve"> </w:t>
      </w:r>
      <w:r w:rsidRPr="009D52FD">
        <w:rPr>
          <w:sz w:val="20"/>
          <w:szCs w:val="20"/>
          <w:lang w:val="en-US"/>
        </w:rPr>
        <w:t>Linda Loaiza</w:t>
      </w:r>
      <w:r w:rsidR="000A3602" w:rsidRPr="009D52FD">
        <w:rPr>
          <w:sz w:val="20"/>
          <w:szCs w:val="20"/>
          <w:lang w:val="en-US"/>
        </w:rPr>
        <w:t xml:space="preserve"> </w:t>
      </w:r>
      <w:r w:rsidRPr="009D52FD">
        <w:rPr>
          <w:sz w:val="20"/>
          <w:szCs w:val="20"/>
          <w:lang w:val="en-US"/>
        </w:rPr>
        <w:t xml:space="preserve">López </w:t>
      </w:r>
      <w:r w:rsidR="00CF0700" w:rsidRPr="009D52FD">
        <w:rPr>
          <w:sz w:val="20"/>
          <w:szCs w:val="20"/>
          <w:lang w:val="en-US"/>
        </w:rPr>
        <w:t>Soto</w:t>
      </w:r>
      <w:r w:rsidR="003630BB" w:rsidRPr="009D52FD">
        <w:rPr>
          <w:sz w:val="20"/>
          <w:szCs w:val="20"/>
          <w:lang w:val="en-US"/>
        </w:rPr>
        <w:t xml:space="preserve"> and </w:t>
      </w:r>
      <w:r w:rsidR="000F4116" w:rsidRPr="009D52FD">
        <w:rPr>
          <w:sz w:val="20"/>
          <w:szCs w:val="20"/>
          <w:lang w:val="en-US"/>
        </w:rPr>
        <w:t>several members of her family. Also, on October 30, 2003, the Forty-first Trial Court</w:t>
      </w:r>
      <w:r w:rsidRPr="009D52FD">
        <w:rPr>
          <w:sz w:val="20"/>
          <w:szCs w:val="20"/>
          <w:lang w:val="en-US"/>
        </w:rPr>
        <w:t xml:space="preserve"> </w:t>
      </w:r>
      <w:r w:rsidR="00565380" w:rsidRPr="009D52FD">
        <w:rPr>
          <w:sz w:val="20"/>
          <w:szCs w:val="20"/>
          <w:lang w:val="en-US"/>
        </w:rPr>
        <w:t>of the Caracas Metropolitan Area</w:t>
      </w:r>
      <w:r w:rsidRPr="009D52FD">
        <w:rPr>
          <w:sz w:val="20"/>
          <w:szCs w:val="20"/>
          <w:lang w:val="en-US"/>
        </w:rPr>
        <w:t xml:space="preserve"> </w:t>
      </w:r>
      <w:r w:rsidR="000F4116" w:rsidRPr="009D52FD">
        <w:rPr>
          <w:sz w:val="20"/>
          <w:szCs w:val="20"/>
          <w:lang w:val="en-US"/>
        </w:rPr>
        <w:t xml:space="preserve">granted measures of protection </w:t>
      </w:r>
      <w:r w:rsidR="0039519D" w:rsidRPr="009D52FD">
        <w:rPr>
          <w:sz w:val="20"/>
          <w:szCs w:val="20"/>
          <w:lang w:val="en-US"/>
        </w:rPr>
        <w:t>for</w:t>
      </w:r>
      <w:r w:rsidR="000F4116" w:rsidRPr="009D52FD">
        <w:rPr>
          <w:sz w:val="20"/>
          <w:szCs w:val="20"/>
          <w:lang w:val="en-US"/>
        </w:rPr>
        <w:t xml:space="preserve"> </w:t>
      </w:r>
      <w:r w:rsidRPr="009D52FD">
        <w:rPr>
          <w:sz w:val="20"/>
          <w:szCs w:val="20"/>
          <w:lang w:val="en-US"/>
        </w:rPr>
        <w:t xml:space="preserve">Linda Loaiza López Soto, </w:t>
      </w:r>
      <w:r w:rsidR="000F4116" w:rsidRPr="009D52FD">
        <w:rPr>
          <w:sz w:val="20"/>
          <w:szCs w:val="20"/>
          <w:lang w:val="en-US"/>
        </w:rPr>
        <w:t>and these came into effect on December 26,</w:t>
      </w:r>
      <w:r w:rsidRPr="009D52FD">
        <w:rPr>
          <w:sz w:val="20"/>
          <w:szCs w:val="20"/>
          <w:lang w:val="en-US"/>
        </w:rPr>
        <w:t xml:space="preserve"> 2003</w:t>
      </w:r>
      <w:r w:rsidR="000F4116" w:rsidRPr="009D52FD">
        <w:rPr>
          <w:sz w:val="20"/>
          <w:szCs w:val="20"/>
          <w:lang w:val="en-US"/>
        </w:rPr>
        <w:t>.</w:t>
      </w:r>
      <w:r w:rsidRPr="009D52FD">
        <w:rPr>
          <w:rStyle w:val="FootnoteReference"/>
          <w:sz w:val="20"/>
          <w:szCs w:val="20"/>
          <w:lang w:val="en-US"/>
        </w:rPr>
        <w:footnoteReference w:id="154"/>
      </w:r>
      <w:r w:rsidR="000F4116" w:rsidRPr="009D52FD">
        <w:rPr>
          <w:sz w:val="20"/>
          <w:szCs w:val="20"/>
          <w:lang w:val="en-US"/>
        </w:rPr>
        <w:t xml:space="preserve"> </w:t>
      </w:r>
      <w:r w:rsidR="0039519D" w:rsidRPr="009D52FD">
        <w:rPr>
          <w:sz w:val="20"/>
          <w:szCs w:val="20"/>
          <w:lang w:val="en-US"/>
        </w:rPr>
        <w:t>In view of the fact that</w:t>
      </w:r>
      <w:r w:rsidR="000F4116" w:rsidRPr="009D52FD">
        <w:rPr>
          <w:sz w:val="20"/>
          <w:szCs w:val="20"/>
          <w:lang w:val="en-US"/>
        </w:rPr>
        <w:t xml:space="preserve"> these measures were subsequently suspended, in May 2004, Linda Loaiza’s personal lawyer again requested that they be imposed and</w:t>
      </w:r>
      <w:r w:rsidR="0039519D" w:rsidRPr="009D52FD">
        <w:rPr>
          <w:sz w:val="20"/>
          <w:szCs w:val="20"/>
          <w:lang w:val="en-US"/>
        </w:rPr>
        <w:t>,</w:t>
      </w:r>
      <w:r w:rsidR="000F4116" w:rsidRPr="009D52FD">
        <w:rPr>
          <w:sz w:val="20"/>
          <w:szCs w:val="20"/>
          <w:lang w:val="en-US"/>
        </w:rPr>
        <w:t xml:space="preserve"> even though</w:t>
      </w:r>
      <w:r w:rsidR="0039519D" w:rsidRPr="009D52FD">
        <w:rPr>
          <w:sz w:val="20"/>
          <w:szCs w:val="20"/>
          <w:lang w:val="en-US"/>
        </w:rPr>
        <w:t xml:space="preserve"> the said court</w:t>
      </w:r>
      <w:r w:rsidR="000F4116" w:rsidRPr="009D52FD">
        <w:rPr>
          <w:sz w:val="20"/>
          <w:szCs w:val="20"/>
          <w:lang w:val="en-US"/>
        </w:rPr>
        <w:t xml:space="preserve"> granted</w:t>
      </w:r>
      <w:r w:rsidR="0039519D" w:rsidRPr="009D52FD">
        <w:rPr>
          <w:sz w:val="20"/>
          <w:szCs w:val="20"/>
          <w:lang w:val="en-US"/>
        </w:rPr>
        <w:t xml:space="preserve"> them</w:t>
      </w:r>
      <w:r w:rsidR="000F4116" w:rsidRPr="009D52FD">
        <w:rPr>
          <w:sz w:val="20"/>
          <w:szCs w:val="20"/>
          <w:lang w:val="en-US"/>
        </w:rPr>
        <w:t xml:space="preserve"> immediately, once again there were delays in their implementation.</w:t>
      </w:r>
      <w:r w:rsidRPr="009D52FD">
        <w:rPr>
          <w:rStyle w:val="FootnoteReference"/>
          <w:sz w:val="20"/>
          <w:szCs w:val="20"/>
          <w:lang w:val="en-US"/>
        </w:rPr>
        <w:footnoteReference w:id="155"/>
      </w:r>
      <w:r w:rsidR="000F4116" w:rsidRPr="009D52FD">
        <w:rPr>
          <w:sz w:val="20"/>
          <w:szCs w:val="20"/>
          <w:lang w:val="en-US"/>
        </w:rPr>
        <w:t xml:space="preserve"> In this context, on September 14, </w:t>
      </w:r>
      <w:r w:rsidRPr="009D52FD">
        <w:rPr>
          <w:sz w:val="20"/>
          <w:szCs w:val="20"/>
          <w:lang w:val="en-US"/>
        </w:rPr>
        <w:t>2004</w:t>
      </w:r>
      <w:r w:rsidR="000F4116" w:rsidRPr="009D52FD">
        <w:rPr>
          <w:sz w:val="20"/>
          <w:szCs w:val="20"/>
          <w:lang w:val="en-US"/>
        </w:rPr>
        <w:t>,</w:t>
      </w:r>
      <w:r w:rsidRPr="009D52FD">
        <w:rPr>
          <w:sz w:val="20"/>
          <w:szCs w:val="20"/>
          <w:lang w:val="en-US"/>
        </w:rPr>
        <w:t xml:space="preserve"> Linda Loaiza López </w:t>
      </w:r>
      <w:r w:rsidR="00DA1FDF" w:rsidRPr="009D52FD">
        <w:rPr>
          <w:sz w:val="20"/>
          <w:szCs w:val="20"/>
          <w:lang w:val="en-US"/>
        </w:rPr>
        <w:t xml:space="preserve">Soto </w:t>
      </w:r>
      <w:r w:rsidR="000F4116" w:rsidRPr="009D52FD">
        <w:rPr>
          <w:sz w:val="20"/>
          <w:szCs w:val="20"/>
          <w:lang w:val="en-US"/>
        </w:rPr>
        <w:t>reported to the</w:t>
      </w:r>
      <w:r w:rsidRPr="009D52FD">
        <w:rPr>
          <w:sz w:val="20"/>
          <w:szCs w:val="20"/>
          <w:lang w:val="en-US"/>
        </w:rPr>
        <w:t xml:space="preserve"> </w:t>
      </w:r>
      <w:r w:rsidR="0066603B" w:rsidRPr="009D52FD">
        <w:rPr>
          <w:sz w:val="20"/>
          <w:szCs w:val="20"/>
          <w:lang w:val="en-US"/>
        </w:rPr>
        <w:t>Scientific, Criminal and Criminalistic Investigations Unit</w:t>
      </w:r>
      <w:r w:rsidRPr="009D52FD">
        <w:rPr>
          <w:sz w:val="20"/>
          <w:szCs w:val="20"/>
          <w:lang w:val="en-US"/>
        </w:rPr>
        <w:t xml:space="preserve"> (CICPC) </w:t>
      </w:r>
      <w:r w:rsidR="000F4116" w:rsidRPr="009D52FD">
        <w:rPr>
          <w:sz w:val="20"/>
          <w:szCs w:val="20"/>
          <w:lang w:val="en-US"/>
        </w:rPr>
        <w:t>that</w:t>
      </w:r>
      <w:r w:rsidRPr="009D52FD">
        <w:rPr>
          <w:sz w:val="20"/>
          <w:szCs w:val="20"/>
          <w:lang w:val="en-US"/>
        </w:rPr>
        <w:t xml:space="preserve"> “</w:t>
      </w:r>
      <w:r w:rsidR="000F4116" w:rsidRPr="009D52FD">
        <w:rPr>
          <w:sz w:val="20"/>
          <w:szCs w:val="20"/>
          <w:lang w:val="en-US"/>
        </w:rPr>
        <w:t>on leaving the Twentieth Trial Court, several individuals on two motorcycles, who were carrying firearms, [</w:t>
      </w:r>
      <w:r w:rsidR="0039519D" w:rsidRPr="009D52FD">
        <w:rPr>
          <w:sz w:val="20"/>
          <w:szCs w:val="20"/>
          <w:lang w:val="en-US"/>
        </w:rPr>
        <w:t>caused injuries to</w:t>
      </w:r>
      <w:r w:rsidR="000F4116" w:rsidRPr="009D52FD">
        <w:rPr>
          <w:sz w:val="20"/>
          <w:szCs w:val="20"/>
          <w:lang w:val="en-US"/>
        </w:rPr>
        <w:t>] her father and two other people in different parts of their bodies.</w:t>
      </w:r>
      <w:r w:rsidRPr="009D52FD">
        <w:rPr>
          <w:sz w:val="20"/>
          <w:szCs w:val="20"/>
          <w:lang w:val="en-US"/>
        </w:rPr>
        <w:t>”</w:t>
      </w:r>
      <w:r w:rsidRPr="009D52FD">
        <w:rPr>
          <w:sz w:val="20"/>
          <w:szCs w:val="20"/>
          <w:vertAlign w:val="superscript"/>
          <w:lang w:val="en-US"/>
        </w:rPr>
        <w:footnoteReference w:id="156"/>
      </w:r>
      <w:r w:rsidRPr="009D52FD">
        <w:rPr>
          <w:sz w:val="20"/>
          <w:szCs w:val="20"/>
          <w:lang w:val="en-US"/>
        </w:rPr>
        <w:t xml:space="preserve"> </w:t>
      </w:r>
      <w:r w:rsidR="000F4116" w:rsidRPr="009D52FD">
        <w:rPr>
          <w:sz w:val="20"/>
          <w:szCs w:val="20"/>
          <w:lang w:val="en-US"/>
        </w:rPr>
        <w:t>The Inter-American Court has no information on the result of this report.</w:t>
      </w:r>
    </w:p>
    <w:p w14:paraId="7F254CDC" w14:textId="77777777" w:rsidR="008E673A" w:rsidRPr="009D52FD" w:rsidRDefault="008E673A" w:rsidP="008E673A">
      <w:pPr>
        <w:tabs>
          <w:tab w:val="left" w:pos="0"/>
        </w:tabs>
        <w:spacing w:line="240" w:lineRule="auto"/>
        <w:rPr>
          <w:sz w:val="20"/>
          <w:szCs w:val="20"/>
          <w:lang w:val="en-US"/>
        </w:rPr>
      </w:pPr>
    </w:p>
    <w:p w14:paraId="5502959F" w14:textId="5FEB277E" w:rsidR="00BB528A" w:rsidRPr="009D52FD" w:rsidRDefault="000F4116" w:rsidP="008E673A">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sz w:val="20"/>
          <w:szCs w:val="20"/>
          <w:lang w:val="en-US"/>
        </w:rPr>
        <w:t xml:space="preserve">As a result of this incident, on September 17, 2004, </w:t>
      </w:r>
      <w:r w:rsidR="003630BB" w:rsidRPr="009D52FD">
        <w:rPr>
          <w:sz w:val="20"/>
          <w:szCs w:val="20"/>
          <w:lang w:val="en-US"/>
        </w:rPr>
        <w:t xml:space="preserve">the </w:t>
      </w:r>
      <w:r w:rsidR="00AF7E45" w:rsidRPr="009D52FD">
        <w:rPr>
          <w:sz w:val="20"/>
          <w:szCs w:val="20"/>
          <w:lang w:val="en-US"/>
        </w:rPr>
        <w:t xml:space="preserve">Ninth First Instance Oversight </w:t>
      </w:r>
      <w:r w:rsidR="003630BB" w:rsidRPr="009D52FD">
        <w:rPr>
          <w:sz w:val="20"/>
          <w:szCs w:val="20"/>
          <w:lang w:val="en-US"/>
        </w:rPr>
        <w:t>Court</w:t>
      </w:r>
      <w:r w:rsidR="008E673A" w:rsidRPr="009D52FD">
        <w:rPr>
          <w:sz w:val="20"/>
          <w:szCs w:val="20"/>
          <w:lang w:val="en-US"/>
        </w:rPr>
        <w:t xml:space="preserve"> </w:t>
      </w:r>
      <w:r w:rsidR="00AF7E45" w:rsidRPr="009D52FD">
        <w:rPr>
          <w:sz w:val="20"/>
          <w:szCs w:val="20"/>
          <w:lang w:val="en-US"/>
        </w:rPr>
        <w:t>ratified the measures of protection that had been ordered previously,</w:t>
      </w:r>
      <w:r w:rsidR="008E673A" w:rsidRPr="009D52FD">
        <w:rPr>
          <w:rStyle w:val="FootnoteReference"/>
          <w:sz w:val="20"/>
          <w:szCs w:val="20"/>
          <w:lang w:val="en-US"/>
        </w:rPr>
        <w:footnoteReference w:id="157"/>
      </w:r>
      <w:r w:rsidR="003630BB" w:rsidRPr="009D52FD">
        <w:rPr>
          <w:sz w:val="20"/>
          <w:szCs w:val="20"/>
          <w:lang w:val="en-US"/>
        </w:rPr>
        <w:t xml:space="preserve"> and </w:t>
      </w:r>
      <w:r w:rsidR="00AF7E45" w:rsidRPr="009D52FD">
        <w:rPr>
          <w:sz w:val="20"/>
          <w:szCs w:val="20"/>
          <w:lang w:val="en-US"/>
        </w:rPr>
        <w:t>notified</w:t>
      </w:r>
      <w:r w:rsidR="008E673A" w:rsidRPr="009D52FD">
        <w:rPr>
          <w:sz w:val="20"/>
          <w:szCs w:val="20"/>
          <w:lang w:val="en-US"/>
        </w:rPr>
        <w:t xml:space="preserve"> </w:t>
      </w:r>
      <w:r w:rsidR="004233C5" w:rsidRPr="009D52FD">
        <w:rPr>
          <w:sz w:val="20"/>
          <w:szCs w:val="20"/>
          <w:lang w:val="en-US"/>
        </w:rPr>
        <w:t>the Ombudsman</w:t>
      </w:r>
      <w:r w:rsidR="008E673A" w:rsidRPr="009D52FD">
        <w:rPr>
          <w:sz w:val="20"/>
          <w:szCs w:val="20"/>
          <w:lang w:val="en-US"/>
        </w:rPr>
        <w:t xml:space="preserve"> </w:t>
      </w:r>
      <w:r w:rsidR="00AF7E45" w:rsidRPr="009D52FD">
        <w:rPr>
          <w:sz w:val="20"/>
          <w:szCs w:val="20"/>
          <w:lang w:val="en-US"/>
        </w:rPr>
        <w:t>so that he could verify their implementation</w:t>
      </w:r>
      <w:r w:rsidR="008E673A" w:rsidRPr="009D52FD">
        <w:rPr>
          <w:sz w:val="20"/>
          <w:szCs w:val="20"/>
          <w:lang w:val="en-US"/>
        </w:rPr>
        <w:t>.</w:t>
      </w:r>
    </w:p>
    <w:p w14:paraId="5F32DEC9" w14:textId="77777777" w:rsidR="00BB528A" w:rsidRPr="009D52FD" w:rsidRDefault="00BB528A" w:rsidP="00BB528A">
      <w:pPr>
        <w:widowControl/>
        <w:adjustRightInd/>
        <w:spacing w:line="240" w:lineRule="auto"/>
        <w:textAlignment w:val="auto"/>
        <w:rPr>
          <w:rFonts w:eastAsiaTheme="minorHAnsi" w:cstheme="minorBidi"/>
          <w:sz w:val="20"/>
          <w:szCs w:val="20"/>
          <w:lang w:val="en-US" w:eastAsia="en-US"/>
        </w:rPr>
      </w:pPr>
    </w:p>
    <w:p w14:paraId="3D999FAF" w14:textId="39B2672D" w:rsidR="00BB528A" w:rsidRPr="009D52FD" w:rsidRDefault="00AF7E45" w:rsidP="001D422B">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On February 4,</w:t>
      </w:r>
      <w:r w:rsidR="00BB528A" w:rsidRPr="009D52FD">
        <w:rPr>
          <w:rFonts w:eastAsiaTheme="minorHAnsi" w:cstheme="minorBidi"/>
          <w:sz w:val="20"/>
          <w:szCs w:val="20"/>
          <w:lang w:val="en-US" w:eastAsia="en-US"/>
        </w:rPr>
        <w:t xml:space="preserve"> 2005</w:t>
      </w:r>
      <w:r w:rsidRPr="009D52FD">
        <w:rPr>
          <w:rFonts w:eastAsiaTheme="minorHAnsi" w:cstheme="minorBidi"/>
          <w:sz w:val="20"/>
          <w:szCs w:val="20"/>
          <w:lang w:val="en-US" w:eastAsia="en-US"/>
        </w:rPr>
        <w:t>,</w:t>
      </w:r>
      <w:r w:rsidR="00BB528A" w:rsidRPr="009D52FD">
        <w:rPr>
          <w:rFonts w:eastAsiaTheme="minorHAnsi" w:cstheme="minorBidi"/>
          <w:sz w:val="20"/>
          <w:szCs w:val="20"/>
          <w:lang w:val="en-US" w:eastAsia="en-US"/>
        </w:rPr>
        <w:t xml:space="preserve"> Linda Loaiza López </w:t>
      </w:r>
      <w:r w:rsidR="00DA1FDF" w:rsidRPr="009D52FD">
        <w:rPr>
          <w:rFonts w:eastAsiaTheme="minorHAnsi" w:cstheme="minorBidi"/>
          <w:sz w:val="20"/>
          <w:szCs w:val="20"/>
          <w:lang w:val="en-US" w:eastAsia="en-US"/>
        </w:rPr>
        <w:t xml:space="preserve">Soto </w:t>
      </w:r>
      <w:r w:rsidRPr="009D52FD">
        <w:rPr>
          <w:rFonts w:eastAsiaTheme="minorHAnsi" w:cstheme="minorBidi"/>
          <w:sz w:val="20"/>
          <w:szCs w:val="20"/>
          <w:lang w:val="en-US" w:eastAsia="en-US"/>
        </w:rPr>
        <w:t>reported to</w:t>
      </w:r>
      <w:r w:rsidR="0039519D"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Regional Command</w:t>
      </w:r>
      <w:r w:rsidR="0039519D" w:rsidRPr="009D52FD">
        <w:rPr>
          <w:rFonts w:eastAsiaTheme="minorHAnsi" w:cstheme="minorBidi"/>
          <w:sz w:val="20"/>
          <w:szCs w:val="20"/>
          <w:lang w:val="en-US" w:eastAsia="en-US"/>
        </w:rPr>
        <w:t xml:space="preserve"> Office</w:t>
      </w:r>
      <w:r w:rsidR="00BB528A" w:rsidRPr="009D52FD">
        <w:rPr>
          <w:rFonts w:eastAsiaTheme="minorHAnsi" w:cstheme="minorBidi"/>
          <w:sz w:val="20"/>
          <w:szCs w:val="20"/>
          <w:lang w:val="en-US" w:eastAsia="en-US"/>
        </w:rPr>
        <w:t xml:space="preserve"> </w:t>
      </w:r>
      <w:r w:rsidR="0039519D" w:rsidRPr="009D52FD">
        <w:rPr>
          <w:rFonts w:eastAsiaTheme="minorHAnsi" w:cstheme="minorBidi"/>
          <w:sz w:val="20"/>
          <w:szCs w:val="20"/>
          <w:lang w:val="en-US" w:eastAsia="en-US"/>
        </w:rPr>
        <w:t xml:space="preserve">No. 5 </w:t>
      </w:r>
      <w:r w:rsidRPr="009D52FD">
        <w:rPr>
          <w:rFonts w:eastAsiaTheme="minorHAnsi" w:cstheme="minorBidi"/>
          <w:sz w:val="20"/>
          <w:szCs w:val="20"/>
          <w:lang w:val="en-US" w:eastAsia="en-US"/>
        </w:rPr>
        <w:t>of</w:t>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the National Guard</w:t>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that an unknown individual, wearing the uniform of the National Guard</w:t>
      </w:r>
      <w:r w:rsidR="00BB528A" w:rsidRPr="009D52FD">
        <w:rPr>
          <w:rFonts w:eastAsiaTheme="minorHAnsi" w:cstheme="minorBidi"/>
          <w:sz w:val="20"/>
          <w:szCs w:val="20"/>
          <w:lang w:val="en-US" w:eastAsia="en-US"/>
        </w:rPr>
        <w:t xml:space="preserve">, </w:t>
      </w:r>
      <w:r w:rsidR="0039519D" w:rsidRPr="009D52FD">
        <w:rPr>
          <w:rFonts w:eastAsiaTheme="minorHAnsi" w:cstheme="minorBidi"/>
          <w:sz w:val="20"/>
          <w:szCs w:val="20"/>
          <w:lang w:val="en-US" w:eastAsia="en-US"/>
        </w:rPr>
        <w:t xml:space="preserve">had </w:t>
      </w:r>
      <w:r w:rsidRPr="009D52FD">
        <w:rPr>
          <w:rFonts w:eastAsiaTheme="minorHAnsi" w:cstheme="minorBidi"/>
          <w:sz w:val="20"/>
          <w:szCs w:val="20"/>
          <w:lang w:val="en-US" w:eastAsia="en-US"/>
        </w:rPr>
        <w:t>passed himself off as one of the officials assigned to her escort and tried to enter her home. Consequently,</w:t>
      </w:r>
      <w:r w:rsidR="00BB528A" w:rsidRPr="009D52FD">
        <w:rPr>
          <w:rFonts w:eastAsiaTheme="minorHAnsi" w:cstheme="minorBidi"/>
          <w:sz w:val="20"/>
          <w:szCs w:val="20"/>
          <w:lang w:val="en-US" w:eastAsia="en-US"/>
        </w:rPr>
        <w:t xml:space="preserve"> </w:t>
      </w:r>
      <w:r w:rsidR="000C6475" w:rsidRPr="009D52FD">
        <w:rPr>
          <w:rFonts w:eastAsiaTheme="minorHAnsi" w:cstheme="minorBidi"/>
          <w:sz w:val="20"/>
          <w:szCs w:val="20"/>
          <w:lang w:val="en-US" w:eastAsia="en-US"/>
        </w:rPr>
        <w:t>the Public Prosecution Service</w:t>
      </w:r>
      <w:r w:rsidR="00BB528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opened an inquiry against an individual who was detained and identified as the person presumably concerned.</w:t>
      </w:r>
      <w:r w:rsidR="00BB528A" w:rsidRPr="009D52FD">
        <w:rPr>
          <w:rFonts w:eastAsiaTheme="minorHAnsi" w:cstheme="minorBidi"/>
          <w:sz w:val="20"/>
          <w:szCs w:val="20"/>
          <w:vertAlign w:val="superscript"/>
          <w:lang w:val="en-US" w:eastAsia="en-US"/>
        </w:rPr>
        <w:footnoteReference w:id="158"/>
      </w:r>
      <w:r w:rsidRPr="009D52FD">
        <w:rPr>
          <w:rFonts w:eastAsiaTheme="minorHAnsi" w:cstheme="minorBidi"/>
          <w:sz w:val="20"/>
          <w:szCs w:val="20"/>
          <w:lang w:val="en-US" w:eastAsia="en-US"/>
        </w:rPr>
        <w:t xml:space="preserve"> This Court has no information on the result of that inquiry.</w:t>
      </w:r>
    </w:p>
    <w:p w14:paraId="498FCE2C" w14:textId="67DFC545" w:rsidR="00BB528A" w:rsidRPr="009D52FD" w:rsidRDefault="00BB528A" w:rsidP="00BB528A">
      <w:pPr>
        <w:widowControl/>
        <w:adjustRightInd/>
        <w:spacing w:line="240" w:lineRule="auto"/>
        <w:textAlignment w:val="auto"/>
        <w:rPr>
          <w:rFonts w:eastAsiaTheme="minorHAnsi" w:cstheme="minorBidi"/>
          <w:sz w:val="20"/>
          <w:szCs w:val="20"/>
          <w:lang w:val="en-US" w:eastAsia="en-US"/>
        </w:rPr>
      </w:pPr>
    </w:p>
    <w:p w14:paraId="2CE54068" w14:textId="595C4585" w:rsidR="00BB528A" w:rsidRPr="009D52FD" w:rsidRDefault="00AF7E45" w:rsidP="00F33C69">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On Decemb</w:t>
      </w:r>
      <w:r w:rsidR="005F0D64" w:rsidRPr="009D52FD">
        <w:rPr>
          <w:rFonts w:eastAsiaTheme="minorHAnsi" w:cstheme="minorBidi"/>
          <w:sz w:val="20"/>
          <w:szCs w:val="20"/>
          <w:lang w:val="en-US" w:eastAsia="en-US"/>
        </w:rPr>
        <w:t>e</w:t>
      </w:r>
      <w:r w:rsidRPr="009D52FD">
        <w:rPr>
          <w:rFonts w:eastAsiaTheme="minorHAnsi" w:cstheme="minorBidi"/>
          <w:sz w:val="20"/>
          <w:szCs w:val="20"/>
          <w:lang w:val="en-US" w:eastAsia="en-US"/>
        </w:rPr>
        <w:t>r 29,</w:t>
      </w:r>
      <w:r w:rsidR="00CC22CE" w:rsidRPr="009D52FD">
        <w:rPr>
          <w:rFonts w:eastAsiaTheme="minorHAnsi" w:cstheme="minorBidi"/>
          <w:sz w:val="20"/>
          <w:szCs w:val="20"/>
          <w:lang w:val="en-US" w:eastAsia="en-US"/>
        </w:rPr>
        <w:t xml:space="preserve"> 2006</w:t>
      </w:r>
      <w:r w:rsidRPr="009D52FD">
        <w:rPr>
          <w:rFonts w:eastAsiaTheme="minorHAnsi" w:cstheme="minorBidi"/>
          <w:sz w:val="20"/>
          <w:szCs w:val="20"/>
          <w:lang w:val="en-US" w:eastAsia="en-US"/>
        </w:rPr>
        <w:t xml:space="preserve">, measures of protection were requested owing to threats to the life and integrity of </w:t>
      </w:r>
      <w:r w:rsidR="00736378" w:rsidRPr="009D52FD">
        <w:rPr>
          <w:rFonts w:eastAsiaTheme="minorHAnsi" w:cstheme="minorBidi"/>
          <w:sz w:val="20"/>
          <w:szCs w:val="20"/>
          <w:lang w:val="en-US" w:eastAsia="en-US"/>
        </w:rPr>
        <w:t>Linda Loaiza</w:t>
      </w:r>
      <w:r w:rsidR="003630BB" w:rsidRPr="009D52FD">
        <w:rPr>
          <w:rFonts w:eastAsiaTheme="minorHAnsi" w:cstheme="minorBidi"/>
          <w:sz w:val="20"/>
          <w:szCs w:val="20"/>
          <w:lang w:val="en-US" w:eastAsia="en-US"/>
        </w:rPr>
        <w:t xml:space="preserve"> and </w:t>
      </w:r>
      <w:r w:rsidR="00736378" w:rsidRPr="009D52FD">
        <w:rPr>
          <w:rFonts w:eastAsiaTheme="minorHAnsi" w:cstheme="minorBidi"/>
          <w:sz w:val="20"/>
          <w:szCs w:val="20"/>
          <w:lang w:val="en-US" w:eastAsia="en-US"/>
        </w:rPr>
        <w:t>Diana Carolina López Soto</w:t>
      </w:r>
      <w:r w:rsidR="00CC22CE" w:rsidRPr="009D52FD">
        <w:rPr>
          <w:rFonts w:eastAsiaTheme="minorHAnsi" w:cstheme="minorBidi"/>
          <w:sz w:val="20"/>
          <w:szCs w:val="20"/>
          <w:lang w:val="en-US" w:eastAsia="en-US"/>
        </w:rPr>
        <w:t xml:space="preserve">. </w:t>
      </w:r>
      <w:r w:rsidR="000C6475" w:rsidRPr="009D52FD">
        <w:rPr>
          <w:rFonts w:eastAsiaTheme="minorHAnsi" w:cstheme="minorBidi"/>
          <w:sz w:val="20"/>
          <w:szCs w:val="20"/>
          <w:lang w:val="en-US" w:eastAsia="en-US"/>
        </w:rPr>
        <w:t>The Public Prosecution Service</w:t>
      </w:r>
      <w:r w:rsidR="00CC22CE" w:rsidRPr="009D52FD">
        <w:rPr>
          <w:rFonts w:eastAsiaTheme="minorHAnsi" w:cstheme="minorBidi"/>
          <w:sz w:val="20"/>
          <w:szCs w:val="20"/>
          <w:lang w:val="en-US" w:eastAsia="en-US"/>
        </w:rPr>
        <w:t xml:space="preserve"> req</w:t>
      </w:r>
      <w:r w:rsidRPr="009D52FD">
        <w:rPr>
          <w:rFonts w:eastAsiaTheme="minorHAnsi" w:cstheme="minorBidi"/>
          <w:sz w:val="20"/>
          <w:szCs w:val="20"/>
          <w:lang w:val="en-US" w:eastAsia="en-US"/>
        </w:rPr>
        <w:t xml:space="preserve">uested the Twenty-sixth </w:t>
      </w:r>
      <w:r w:rsidR="00F33C69" w:rsidRPr="009D52FD">
        <w:rPr>
          <w:rFonts w:eastAsiaTheme="minorHAnsi" w:cstheme="minorBidi"/>
          <w:sz w:val="20"/>
          <w:szCs w:val="20"/>
          <w:lang w:val="en-US" w:eastAsia="en-US"/>
        </w:rPr>
        <w:t>First Instance Oversight Court to order measures consisting in “continuous patrolling and police presence at the victim’s place of residence.</w:t>
      </w:r>
      <w:r w:rsidR="00CC22CE" w:rsidRPr="009D52FD">
        <w:rPr>
          <w:rFonts w:eastAsiaTheme="minorHAnsi" w:cstheme="minorBidi"/>
          <w:sz w:val="20"/>
          <w:szCs w:val="20"/>
          <w:lang w:val="en-US" w:eastAsia="en-US"/>
        </w:rPr>
        <w:t>”</w:t>
      </w:r>
      <w:r w:rsidR="00CC22CE" w:rsidRPr="009D52FD">
        <w:rPr>
          <w:rFonts w:eastAsiaTheme="minorHAnsi" w:cstheme="minorBidi"/>
          <w:sz w:val="20"/>
          <w:szCs w:val="20"/>
          <w:vertAlign w:val="superscript"/>
          <w:lang w:val="en-US" w:eastAsia="en-US"/>
        </w:rPr>
        <w:footnoteReference w:id="159"/>
      </w:r>
      <w:r w:rsidR="00CC22CE" w:rsidRPr="009D52FD">
        <w:rPr>
          <w:rFonts w:eastAsiaTheme="minorHAnsi" w:cstheme="minorBidi"/>
          <w:sz w:val="20"/>
          <w:szCs w:val="20"/>
          <w:lang w:val="en-US" w:eastAsia="en-US"/>
        </w:rPr>
        <w:t xml:space="preserve"> </w:t>
      </w:r>
      <w:r w:rsidR="00F33C69" w:rsidRPr="009D52FD">
        <w:rPr>
          <w:rFonts w:eastAsiaTheme="minorHAnsi" w:cstheme="minorBidi"/>
          <w:sz w:val="20"/>
          <w:szCs w:val="20"/>
          <w:lang w:val="en-US" w:eastAsia="en-US"/>
        </w:rPr>
        <w:t xml:space="preserve">On June 20, </w:t>
      </w:r>
      <w:r w:rsidR="00736378" w:rsidRPr="009D52FD">
        <w:rPr>
          <w:rFonts w:eastAsiaTheme="minorHAnsi" w:cstheme="minorBidi"/>
          <w:sz w:val="20"/>
          <w:szCs w:val="20"/>
          <w:lang w:val="en-US" w:eastAsia="en-US"/>
        </w:rPr>
        <w:t>2007</w:t>
      </w:r>
      <w:r w:rsidR="00F33C69" w:rsidRPr="009D52FD">
        <w:rPr>
          <w:rFonts w:eastAsiaTheme="minorHAnsi" w:cstheme="minorBidi"/>
          <w:sz w:val="20"/>
          <w:szCs w:val="20"/>
          <w:lang w:val="en-US" w:eastAsia="en-US"/>
        </w:rPr>
        <w:t>,</w:t>
      </w:r>
      <w:r w:rsidR="00BB528A" w:rsidRPr="009D52FD">
        <w:rPr>
          <w:rFonts w:eastAsiaTheme="minorHAnsi" w:cstheme="minorBidi"/>
          <w:sz w:val="20"/>
          <w:szCs w:val="20"/>
          <w:lang w:val="en-US" w:eastAsia="en-US"/>
        </w:rPr>
        <w:t xml:space="preserve"> </w:t>
      </w:r>
      <w:r w:rsidR="00BB528A" w:rsidRPr="009D52FD">
        <w:rPr>
          <w:rFonts w:eastAsiaTheme="minorHAnsi" w:cstheme="minorBidi"/>
          <w:sz w:val="20"/>
          <w:szCs w:val="20"/>
          <w:lang w:val="en-US" w:eastAsia="en-US"/>
        </w:rPr>
        <w:lastRenderedPageBreak/>
        <w:t xml:space="preserve">Linda Loaiza López Soto </w:t>
      </w:r>
      <w:r w:rsidR="00F33C69" w:rsidRPr="009D52FD">
        <w:rPr>
          <w:rFonts w:eastAsiaTheme="minorHAnsi" w:cstheme="minorBidi"/>
          <w:sz w:val="20"/>
          <w:szCs w:val="20"/>
          <w:lang w:val="en-US" w:eastAsia="en-US"/>
        </w:rPr>
        <w:t xml:space="preserve">reported new acts of aggression following the measures of protection to the </w:t>
      </w:r>
      <w:r w:rsidR="00565380" w:rsidRPr="009D52FD">
        <w:rPr>
          <w:rFonts w:eastAsiaTheme="minorHAnsi" w:cstheme="minorBidi"/>
          <w:sz w:val="20"/>
          <w:szCs w:val="20"/>
          <w:lang w:val="en-US" w:eastAsia="en-US"/>
        </w:rPr>
        <w:t>Senior Public Prosecutor</w:t>
      </w:r>
      <w:r w:rsidR="000C6475" w:rsidRPr="009D52FD">
        <w:rPr>
          <w:rFonts w:eastAsiaTheme="minorHAnsi" w:cstheme="minorBidi"/>
          <w:sz w:val="20"/>
          <w:szCs w:val="20"/>
          <w:lang w:val="en-US" w:eastAsia="en-US"/>
        </w:rPr>
        <w:t xml:space="preserve"> of the Public Prosecution Service</w:t>
      </w:r>
      <w:r w:rsidR="0039519D" w:rsidRPr="009D52FD">
        <w:rPr>
          <w:rFonts w:eastAsiaTheme="minorHAnsi" w:cstheme="minorBidi"/>
          <w:sz w:val="20"/>
          <w:szCs w:val="20"/>
          <w:lang w:val="en-US" w:eastAsia="en-US"/>
        </w:rPr>
        <w:t>;</w:t>
      </w:r>
      <w:r w:rsidR="00F33C69" w:rsidRPr="009D52FD">
        <w:rPr>
          <w:rFonts w:eastAsiaTheme="minorHAnsi" w:cstheme="minorBidi"/>
          <w:sz w:val="20"/>
          <w:szCs w:val="20"/>
          <w:lang w:val="en-US" w:eastAsia="en-US"/>
        </w:rPr>
        <w:t xml:space="preserve"> </w:t>
      </w:r>
      <w:r w:rsidR="0039519D" w:rsidRPr="009D52FD">
        <w:rPr>
          <w:rFonts w:eastAsiaTheme="minorHAnsi" w:cstheme="minorBidi"/>
          <w:sz w:val="20"/>
          <w:szCs w:val="20"/>
          <w:lang w:val="en-US" w:eastAsia="en-US"/>
        </w:rPr>
        <w:t xml:space="preserve">among other incidents, </w:t>
      </w:r>
      <w:r w:rsidR="00F33C69" w:rsidRPr="009D52FD">
        <w:rPr>
          <w:rFonts w:eastAsiaTheme="minorHAnsi" w:cstheme="minorBidi"/>
          <w:sz w:val="20"/>
          <w:szCs w:val="20"/>
          <w:lang w:val="en-US" w:eastAsia="en-US"/>
        </w:rPr>
        <w:t>her sister, Diana, had been assaulted on the street by an unknown individual.</w:t>
      </w:r>
      <w:r w:rsidR="00BB528A" w:rsidRPr="009D52FD">
        <w:rPr>
          <w:rFonts w:eastAsiaTheme="minorHAnsi" w:cstheme="minorBidi"/>
          <w:sz w:val="20"/>
          <w:szCs w:val="20"/>
          <w:vertAlign w:val="superscript"/>
          <w:lang w:val="en-US" w:eastAsia="en-US"/>
        </w:rPr>
        <w:footnoteReference w:id="160"/>
      </w:r>
      <w:r w:rsidR="00F33C69" w:rsidRPr="009D52FD">
        <w:rPr>
          <w:rFonts w:eastAsiaTheme="minorHAnsi" w:cstheme="minorBidi"/>
          <w:sz w:val="20"/>
          <w:szCs w:val="20"/>
          <w:lang w:val="en-US" w:eastAsia="en-US"/>
        </w:rPr>
        <w:t xml:space="preserve"> A judicial procedure was opened to apprehend the person presumably responsible for these acts and, subsequently, he was subjected to an alternative precautionary measure of appearing before the </w:t>
      </w:r>
      <w:r w:rsidR="0039519D" w:rsidRPr="009D52FD">
        <w:rPr>
          <w:rFonts w:eastAsiaTheme="minorHAnsi" w:cstheme="minorBidi"/>
          <w:sz w:val="20"/>
          <w:szCs w:val="20"/>
          <w:lang w:val="en-US" w:eastAsia="en-US"/>
        </w:rPr>
        <w:t>c</w:t>
      </w:r>
      <w:r w:rsidR="00F33C69" w:rsidRPr="009D52FD">
        <w:rPr>
          <w:rFonts w:eastAsiaTheme="minorHAnsi" w:cstheme="minorBidi"/>
          <w:sz w:val="20"/>
          <w:szCs w:val="20"/>
          <w:lang w:val="en-US" w:eastAsia="en-US"/>
        </w:rPr>
        <w:t xml:space="preserve">ourt and the prohibition to approach </w:t>
      </w:r>
      <w:r w:rsidR="00BB528A" w:rsidRPr="009D52FD">
        <w:rPr>
          <w:rFonts w:eastAsiaTheme="minorHAnsi" w:cstheme="minorBidi"/>
          <w:sz w:val="20"/>
          <w:szCs w:val="20"/>
          <w:lang w:val="en-US" w:eastAsia="en-US"/>
        </w:rPr>
        <w:t>Diana López</w:t>
      </w:r>
      <w:r w:rsidR="00F33C69" w:rsidRPr="009D52FD">
        <w:rPr>
          <w:rFonts w:eastAsiaTheme="minorHAnsi" w:cstheme="minorBidi"/>
          <w:sz w:val="20"/>
          <w:szCs w:val="20"/>
          <w:lang w:val="en-US" w:eastAsia="en-US"/>
        </w:rPr>
        <w:t>.</w:t>
      </w:r>
      <w:r w:rsidR="00BB528A" w:rsidRPr="009D52FD">
        <w:rPr>
          <w:rFonts w:eastAsiaTheme="minorHAnsi" w:cstheme="minorBidi"/>
          <w:sz w:val="20"/>
          <w:szCs w:val="20"/>
          <w:vertAlign w:val="superscript"/>
          <w:lang w:val="en-US" w:eastAsia="en-US"/>
        </w:rPr>
        <w:footnoteReference w:id="161"/>
      </w:r>
      <w:r w:rsidR="00BB528A" w:rsidRPr="009D52FD">
        <w:rPr>
          <w:rFonts w:eastAsiaTheme="minorHAnsi" w:cstheme="minorBidi"/>
          <w:sz w:val="20"/>
          <w:szCs w:val="20"/>
          <w:lang w:val="en-US" w:eastAsia="en-US"/>
        </w:rPr>
        <w:t xml:space="preserve"> </w:t>
      </w:r>
      <w:r w:rsidR="00F33C69" w:rsidRPr="009D52FD">
        <w:rPr>
          <w:rFonts w:eastAsiaTheme="minorHAnsi" w:cstheme="minorBidi"/>
          <w:sz w:val="20"/>
          <w:szCs w:val="20"/>
          <w:lang w:val="en-US" w:eastAsia="en-US"/>
        </w:rPr>
        <w:t>During these proceedings</w:t>
      </w:r>
      <w:r w:rsidR="00BB528A" w:rsidRPr="009D52FD">
        <w:rPr>
          <w:rFonts w:eastAsiaTheme="minorHAnsi" w:cstheme="minorBidi"/>
          <w:sz w:val="20"/>
          <w:szCs w:val="20"/>
          <w:lang w:val="en-US" w:eastAsia="en-US"/>
        </w:rPr>
        <w:t xml:space="preserve">, </w:t>
      </w:r>
      <w:r w:rsidR="00F33C69" w:rsidRPr="009D52FD">
        <w:rPr>
          <w:rFonts w:eastAsiaTheme="minorHAnsi" w:cstheme="minorBidi"/>
          <w:sz w:val="20"/>
          <w:szCs w:val="20"/>
          <w:lang w:val="en-US" w:eastAsia="en-US"/>
        </w:rPr>
        <w:t>the judge</w:t>
      </w:r>
      <w:r w:rsidR="003630BB" w:rsidRPr="009D52FD">
        <w:rPr>
          <w:rFonts w:eastAsiaTheme="minorHAnsi" w:cstheme="minorBidi"/>
          <w:sz w:val="20"/>
          <w:szCs w:val="20"/>
          <w:lang w:val="en-US" w:eastAsia="en-US"/>
        </w:rPr>
        <w:t xml:space="preserve"> of the</w:t>
      </w:r>
      <w:r w:rsidR="00F33C69" w:rsidRPr="009D52FD">
        <w:rPr>
          <w:rFonts w:eastAsiaTheme="minorHAnsi" w:cstheme="minorBidi"/>
          <w:sz w:val="20"/>
          <w:szCs w:val="20"/>
          <w:lang w:val="en-US" w:eastAsia="en-US"/>
        </w:rPr>
        <w:t xml:space="preserve"> Fifteenth First Instance Oversight Court</w:t>
      </w:r>
      <w:r w:rsidR="002F3CED" w:rsidRPr="009D52FD">
        <w:rPr>
          <w:rFonts w:eastAsiaTheme="minorHAnsi" w:cstheme="minorBidi"/>
          <w:sz w:val="20"/>
          <w:szCs w:val="20"/>
          <w:lang w:val="en-US" w:eastAsia="en-US"/>
        </w:rPr>
        <w:t xml:space="preserve"> </w:t>
      </w:r>
      <w:r w:rsidR="00F33C69" w:rsidRPr="009D52FD">
        <w:rPr>
          <w:rFonts w:eastAsiaTheme="minorHAnsi" w:cstheme="minorBidi"/>
          <w:sz w:val="20"/>
          <w:szCs w:val="20"/>
          <w:lang w:val="en-US" w:eastAsia="en-US"/>
        </w:rPr>
        <w:t xml:space="preserve">of the Criminal Judicial </w:t>
      </w:r>
      <w:r w:rsidR="002F3CED" w:rsidRPr="009D52FD">
        <w:rPr>
          <w:rFonts w:eastAsiaTheme="minorHAnsi" w:cstheme="minorBidi"/>
          <w:sz w:val="20"/>
          <w:szCs w:val="20"/>
          <w:lang w:val="en-US" w:eastAsia="en-US"/>
        </w:rPr>
        <w:t>Circuit</w:t>
      </w:r>
      <w:r w:rsidR="00F33C69" w:rsidRPr="009D52FD">
        <w:rPr>
          <w:rFonts w:eastAsiaTheme="minorHAnsi" w:cstheme="minorBidi"/>
          <w:sz w:val="20"/>
          <w:szCs w:val="20"/>
          <w:lang w:val="en-US" w:eastAsia="en-US"/>
        </w:rPr>
        <w:t xml:space="preserve"> </w:t>
      </w:r>
      <w:r w:rsidR="00565380" w:rsidRPr="009D52FD">
        <w:rPr>
          <w:rFonts w:eastAsiaTheme="minorHAnsi" w:cstheme="minorBidi"/>
          <w:sz w:val="20"/>
          <w:szCs w:val="20"/>
          <w:lang w:val="en-US" w:eastAsia="en-US"/>
        </w:rPr>
        <w:t>of the Caracas Metropolitan Area</w:t>
      </w:r>
      <w:r w:rsidR="002F3CED" w:rsidRPr="009D52FD">
        <w:rPr>
          <w:rFonts w:eastAsiaTheme="minorHAnsi" w:cstheme="minorBidi"/>
          <w:sz w:val="20"/>
          <w:szCs w:val="20"/>
          <w:lang w:val="en-US" w:eastAsia="en-US"/>
        </w:rPr>
        <w:t xml:space="preserve"> </w:t>
      </w:r>
      <w:r w:rsidR="0039519D" w:rsidRPr="009D52FD">
        <w:rPr>
          <w:rFonts w:eastAsiaTheme="minorHAnsi" w:cstheme="minorBidi"/>
          <w:sz w:val="20"/>
          <w:szCs w:val="20"/>
          <w:lang w:val="en-US" w:eastAsia="en-US"/>
        </w:rPr>
        <w:t>re</w:t>
      </w:r>
      <w:r w:rsidR="00F33C69" w:rsidRPr="009D52FD">
        <w:rPr>
          <w:rFonts w:eastAsiaTheme="minorHAnsi" w:cstheme="minorBidi"/>
          <w:sz w:val="20"/>
          <w:szCs w:val="20"/>
          <w:lang w:val="en-US" w:eastAsia="en-US"/>
        </w:rPr>
        <w:t xml:space="preserve">cused herself on the grounds of the “repulsion” she felt towards both </w:t>
      </w:r>
      <w:r w:rsidR="00BB528A" w:rsidRPr="009D52FD">
        <w:rPr>
          <w:rFonts w:eastAsiaTheme="minorHAnsi" w:cstheme="minorBidi"/>
          <w:sz w:val="20"/>
          <w:szCs w:val="20"/>
          <w:lang w:val="en-US" w:eastAsia="en-US"/>
        </w:rPr>
        <w:t xml:space="preserve">Linda Loaiza López Soto </w:t>
      </w:r>
      <w:r w:rsidR="00F33C69" w:rsidRPr="009D52FD">
        <w:rPr>
          <w:rFonts w:eastAsiaTheme="minorHAnsi" w:cstheme="minorBidi"/>
          <w:sz w:val="20"/>
          <w:szCs w:val="20"/>
          <w:lang w:val="en-US" w:eastAsia="en-US"/>
        </w:rPr>
        <w:t>and her sister,</w:t>
      </w:r>
      <w:r w:rsidR="00BB528A" w:rsidRPr="009D52FD">
        <w:rPr>
          <w:rFonts w:eastAsiaTheme="minorHAnsi" w:cstheme="minorBidi"/>
          <w:sz w:val="20"/>
          <w:szCs w:val="20"/>
          <w:lang w:val="en-US" w:eastAsia="en-US"/>
        </w:rPr>
        <w:t xml:space="preserve"> Ana Secilia</w:t>
      </w:r>
      <w:r w:rsidR="00F33C69" w:rsidRPr="009D52FD">
        <w:rPr>
          <w:rFonts w:eastAsiaTheme="minorHAnsi" w:cstheme="minorBidi"/>
          <w:sz w:val="20"/>
          <w:szCs w:val="20"/>
          <w:lang w:val="en-US" w:eastAsia="en-US"/>
        </w:rPr>
        <w:t>,</w:t>
      </w:r>
      <w:r w:rsidR="00BB528A" w:rsidRPr="009D52FD">
        <w:rPr>
          <w:rFonts w:eastAsiaTheme="minorHAnsi" w:cstheme="minorBidi"/>
          <w:sz w:val="20"/>
          <w:szCs w:val="20"/>
          <w:lang w:val="en-US" w:eastAsia="en-US"/>
        </w:rPr>
        <w:t xml:space="preserve"> “</w:t>
      </w:r>
      <w:r w:rsidR="00F33C69" w:rsidRPr="009D52FD">
        <w:rPr>
          <w:rFonts w:eastAsiaTheme="minorHAnsi" w:cstheme="minorBidi"/>
          <w:sz w:val="20"/>
          <w:szCs w:val="20"/>
          <w:lang w:val="en-US" w:eastAsia="en-US"/>
        </w:rPr>
        <w:t>because they had repeatedly shown a lack of respect [for the judge and</w:t>
      </w:r>
      <w:r w:rsidR="005F0D64" w:rsidRPr="009D52FD">
        <w:rPr>
          <w:rFonts w:eastAsiaTheme="minorHAnsi" w:cstheme="minorBidi"/>
          <w:sz w:val="20"/>
          <w:szCs w:val="20"/>
          <w:lang w:val="en-US" w:eastAsia="en-US"/>
        </w:rPr>
        <w:t xml:space="preserve"> for</w:t>
      </w:r>
      <w:r w:rsidR="00F33C69" w:rsidRPr="009D52FD">
        <w:rPr>
          <w:rFonts w:eastAsiaTheme="minorHAnsi" w:cstheme="minorBidi"/>
          <w:sz w:val="20"/>
          <w:szCs w:val="20"/>
          <w:lang w:val="en-US" w:eastAsia="en-US"/>
        </w:rPr>
        <w:t xml:space="preserve">] Venezuelan justice </w:t>
      </w:r>
      <w:r w:rsidR="00DB6AF5" w:rsidRPr="009D52FD">
        <w:rPr>
          <w:rFonts w:eastAsiaTheme="minorHAnsi" w:cstheme="minorBidi"/>
          <w:sz w:val="20"/>
          <w:szCs w:val="20"/>
          <w:lang w:val="en-US" w:eastAsia="en-US"/>
        </w:rPr>
        <w:t>[…]</w:t>
      </w:r>
      <w:r w:rsidR="00F33C69" w:rsidRPr="009D52FD">
        <w:rPr>
          <w:rFonts w:eastAsiaTheme="minorHAnsi" w:cstheme="minorBidi"/>
          <w:sz w:val="20"/>
          <w:szCs w:val="20"/>
          <w:lang w:val="en-US" w:eastAsia="en-US"/>
        </w:rPr>
        <w:t>.</w:t>
      </w:r>
      <w:r w:rsidR="00BB528A" w:rsidRPr="009D52FD">
        <w:rPr>
          <w:rFonts w:eastAsiaTheme="minorHAnsi" w:cstheme="minorBidi"/>
          <w:sz w:val="20"/>
          <w:szCs w:val="20"/>
          <w:lang w:val="en-US" w:eastAsia="en-US"/>
        </w:rPr>
        <w:t>”</w:t>
      </w:r>
      <w:r w:rsidR="00BB528A" w:rsidRPr="009D52FD">
        <w:rPr>
          <w:rFonts w:eastAsiaTheme="minorHAnsi" w:cstheme="minorBidi"/>
          <w:sz w:val="20"/>
          <w:szCs w:val="20"/>
          <w:vertAlign w:val="superscript"/>
          <w:lang w:val="en-US" w:eastAsia="en-US"/>
        </w:rPr>
        <w:footnoteReference w:id="162"/>
      </w:r>
    </w:p>
    <w:p w14:paraId="71E4A820" w14:textId="77777777" w:rsidR="00BB528A" w:rsidRPr="009D52FD" w:rsidRDefault="00BB528A" w:rsidP="00BB528A">
      <w:pPr>
        <w:widowControl/>
        <w:adjustRightInd/>
        <w:spacing w:line="240" w:lineRule="auto"/>
        <w:textAlignment w:val="auto"/>
        <w:rPr>
          <w:rFonts w:eastAsiaTheme="minorHAnsi" w:cstheme="minorBidi"/>
          <w:sz w:val="20"/>
          <w:szCs w:val="20"/>
          <w:lang w:val="en-US" w:eastAsia="en-US"/>
        </w:rPr>
      </w:pPr>
    </w:p>
    <w:p w14:paraId="6C12C55D" w14:textId="01107AAB" w:rsidR="00BB528A" w:rsidRPr="009D52FD" w:rsidRDefault="00BB528A" w:rsidP="001D422B">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Linda Loaiza López</w:t>
      </w:r>
      <w:r w:rsidR="004A3AA0" w:rsidRPr="009D52FD">
        <w:rPr>
          <w:rFonts w:eastAsiaTheme="minorHAnsi" w:cstheme="minorBidi"/>
          <w:sz w:val="20"/>
          <w:szCs w:val="20"/>
          <w:lang w:val="en-US" w:eastAsia="en-US"/>
        </w:rPr>
        <w:t xml:space="preserve"> Soto</w:t>
      </w:r>
      <w:r w:rsidR="005F0D64" w:rsidRPr="009D52FD">
        <w:rPr>
          <w:rFonts w:eastAsiaTheme="minorHAnsi" w:cstheme="minorBidi"/>
          <w:sz w:val="20"/>
          <w:szCs w:val="20"/>
          <w:lang w:val="en-US" w:eastAsia="en-US"/>
        </w:rPr>
        <w:t>’s lawyer</w:t>
      </w:r>
      <w:r w:rsidRPr="009D52FD">
        <w:rPr>
          <w:rFonts w:eastAsiaTheme="minorHAnsi" w:cstheme="minorBidi"/>
          <w:sz w:val="20"/>
          <w:szCs w:val="20"/>
          <w:lang w:val="en-US" w:eastAsia="en-US"/>
        </w:rPr>
        <w:t xml:space="preserve"> </w:t>
      </w:r>
      <w:r w:rsidR="005F0D64" w:rsidRPr="009D52FD">
        <w:rPr>
          <w:rFonts w:eastAsiaTheme="minorHAnsi" w:cstheme="minorBidi"/>
          <w:sz w:val="20"/>
          <w:szCs w:val="20"/>
          <w:lang w:val="en-US" w:eastAsia="en-US"/>
        </w:rPr>
        <w:t xml:space="preserve">filed a complaint before the </w:t>
      </w:r>
      <w:r w:rsidR="004A3AA0" w:rsidRPr="009D52FD">
        <w:rPr>
          <w:rFonts w:eastAsiaTheme="minorHAnsi" w:cstheme="minorBidi"/>
          <w:sz w:val="20"/>
          <w:szCs w:val="20"/>
          <w:lang w:val="en-US" w:eastAsia="en-US"/>
        </w:rPr>
        <w:t xml:space="preserve">Director </w:t>
      </w:r>
      <w:r w:rsidR="005F0D64" w:rsidRPr="009D52FD">
        <w:rPr>
          <w:rFonts w:eastAsiaTheme="minorHAnsi" w:cstheme="minorBidi"/>
          <w:sz w:val="20"/>
          <w:szCs w:val="20"/>
          <w:lang w:val="en-US" w:eastAsia="en-US"/>
        </w:rPr>
        <w:t xml:space="preserve">for Ordinary Crimes of the Prosecutor General’s Office for </w:t>
      </w:r>
      <w:r w:rsidR="0039519D" w:rsidRPr="009D52FD">
        <w:rPr>
          <w:rFonts w:eastAsiaTheme="minorHAnsi" w:cstheme="minorBidi"/>
          <w:sz w:val="20"/>
          <w:szCs w:val="20"/>
          <w:lang w:val="en-US" w:eastAsia="en-US"/>
        </w:rPr>
        <w:t>incidents</w:t>
      </w:r>
      <w:r w:rsidR="005F0D64" w:rsidRPr="009D52FD">
        <w:rPr>
          <w:rFonts w:eastAsiaTheme="minorHAnsi" w:cstheme="minorBidi"/>
          <w:sz w:val="20"/>
          <w:szCs w:val="20"/>
          <w:lang w:val="en-US" w:eastAsia="en-US"/>
        </w:rPr>
        <w:t xml:space="preserve"> that took place in August 2006, when two men tried to a</w:t>
      </w:r>
      <w:r w:rsidR="0039519D" w:rsidRPr="009D52FD">
        <w:rPr>
          <w:rFonts w:eastAsiaTheme="minorHAnsi" w:cstheme="minorBidi"/>
          <w:sz w:val="20"/>
          <w:szCs w:val="20"/>
          <w:lang w:val="en-US" w:eastAsia="en-US"/>
        </w:rPr>
        <w:t>ssault</w:t>
      </w:r>
      <w:r w:rsidR="005F0D64"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Diana Carolina</w:t>
      </w:r>
      <w:r w:rsidR="003630BB" w:rsidRPr="009D52FD">
        <w:rPr>
          <w:rFonts w:eastAsiaTheme="minorHAnsi" w:cstheme="minorBidi"/>
          <w:sz w:val="20"/>
          <w:szCs w:val="20"/>
          <w:lang w:val="en-US" w:eastAsia="en-US"/>
        </w:rPr>
        <w:t xml:space="preserve"> and </w:t>
      </w:r>
      <w:r w:rsidRPr="009D52FD">
        <w:rPr>
          <w:rFonts w:eastAsiaTheme="minorHAnsi" w:cstheme="minorBidi"/>
          <w:sz w:val="20"/>
          <w:szCs w:val="20"/>
          <w:lang w:val="en-US" w:eastAsia="en-US"/>
        </w:rPr>
        <w:t>Elith Johana López Soto.</w:t>
      </w:r>
      <w:r w:rsidR="005F0D64" w:rsidRPr="009D52FD">
        <w:rPr>
          <w:rFonts w:eastAsiaTheme="minorHAnsi" w:cstheme="minorBidi"/>
          <w:sz w:val="20"/>
          <w:szCs w:val="20"/>
          <w:lang w:val="en-US" w:eastAsia="en-US"/>
        </w:rPr>
        <w:t xml:space="preserve"> It is on record that the Ordinary Crimes Directorate referred to the file to the </w:t>
      </w:r>
      <w:r w:rsidR="00565380" w:rsidRPr="009D52FD">
        <w:rPr>
          <w:rFonts w:eastAsiaTheme="minorHAnsi" w:cstheme="minorBidi"/>
          <w:sz w:val="20"/>
          <w:szCs w:val="20"/>
          <w:lang w:val="en-US" w:eastAsia="en-US"/>
        </w:rPr>
        <w:t>Senior Public Prosecutor</w:t>
      </w:r>
      <w:r w:rsidR="000C6475" w:rsidRPr="009D52FD">
        <w:rPr>
          <w:rFonts w:eastAsiaTheme="minorHAnsi" w:cstheme="minorBidi"/>
          <w:sz w:val="20"/>
          <w:szCs w:val="20"/>
          <w:lang w:val="en-US" w:eastAsia="en-US"/>
        </w:rPr>
        <w:t xml:space="preserve"> of the Public Prosecution Service</w:t>
      </w:r>
      <w:r w:rsidRPr="009D52FD">
        <w:rPr>
          <w:rFonts w:eastAsiaTheme="minorHAnsi" w:cstheme="minorBidi"/>
          <w:sz w:val="20"/>
          <w:szCs w:val="20"/>
          <w:lang w:val="en-US" w:eastAsia="en-US"/>
        </w:rPr>
        <w:t xml:space="preserve"> </w:t>
      </w:r>
      <w:r w:rsidR="00565380" w:rsidRPr="009D52FD">
        <w:rPr>
          <w:rFonts w:eastAsiaTheme="minorHAnsi" w:cstheme="minorBidi"/>
          <w:sz w:val="20"/>
          <w:szCs w:val="20"/>
          <w:lang w:val="en-US" w:eastAsia="en-US"/>
        </w:rPr>
        <w:t>of the Judicial District</w:t>
      </w:r>
      <w:r w:rsidRPr="009D52FD">
        <w:rPr>
          <w:rFonts w:eastAsiaTheme="minorHAnsi" w:cstheme="minorBidi"/>
          <w:sz w:val="20"/>
          <w:szCs w:val="20"/>
          <w:lang w:val="en-US" w:eastAsia="en-US"/>
        </w:rPr>
        <w:t xml:space="preserve"> </w:t>
      </w:r>
      <w:r w:rsidR="00565380" w:rsidRPr="009D52FD">
        <w:rPr>
          <w:rFonts w:eastAsiaTheme="minorHAnsi" w:cstheme="minorBidi"/>
          <w:sz w:val="20"/>
          <w:szCs w:val="20"/>
          <w:lang w:val="en-US" w:eastAsia="en-US"/>
        </w:rPr>
        <w:t>of the Caracas Metropolitan Area</w:t>
      </w:r>
      <w:r w:rsidR="005F0D64" w:rsidRPr="009D52FD">
        <w:rPr>
          <w:rFonts w:eastAsiaTheme="minorHAnsi" w:cstheme="minorBidi"/>
          <w:sz w:val="20"/>
          <w:szCs w:val="20"/>
          <w:lang w:val="en-US" w:eastAsia="en-US"/>
        </w:rPr>
        <w:t>.</w:t>
      </w:r>
      <w:r w:rsidRPr="009D52FD">
        <w:rPr>
          <w:rFonts w:eastAsiaTheme="minorHAnsi" w:cstheme="minorBidi"/>
          <w:sz w:val="20"/>
          <w:szCs w:val="20"/>
          <w:vertAlign w:val="superscript"/>
          <w:lang w:val="en-US" w:eastAsia="en-US"/>
        </w:rPr>
        <w:footnoteReference w:id="163"/>
      </w:r>
      <w:r w:rsidRPr="009D52FD">
        <w:rPr>
          <w:rFonts w:eastAsiaTheme="minorHAnsi" w:cstheme="minorBidi"/>
          <w:sz w:val="20"/>
          <w:szCs w:val="20"/>
          <w:lang w:val="en-US" w:eastAsia="en-US"/>
        </w:rPr>
        <w:t xml:space="preserve"> </w:t>
      </w:r>
      <w:r w:rsidR="005F0D64" w:rsidRPr="009D52FD">
        <w:rPr>
          <w:rFonts w:eastAsiaTheme="minorHAnsi" w:cstheme="minorBidi"/>
          <w:sz w:val="20"/>
          <w:szCs w:val="20"/>
          <w:lang w:val="en-US" w:eastAsia="en-US"/>
        </w:rPr>
        <w:t>This Court has no information on the result of that case.</w:t>
      </w:r>
    </w:p>
    <w:p w14:paraId="272A76CD" w14:textId="77777777" w:rsidR="00BB528A" w:rsidRPr="009D52FD" w:rsidRDefault="00BB528A" w:rsidP="00BB528A">
      <w:pPr>
        <w:widowControl/>
        <w:adjustRightInd/>
        <w:spacing w:line="240" w:lineRule="auto"/>
        <w:textAlignment w:val="auto"/>
        <w:rPr>
          <w:rFonts w:eastAsiaTheme="minorHAnsi" w:cstheme="minorBidi"/>
          <w:sz w:val="20"/>
          <w:szCs w:val="20"/>
          <w:lang w:val="en-US" w:eastAsia="en-US"/>
        </w:rPr>
      </w:pPr>
    </w:p>
    <w:p w14:paraId="231C4D3F" w14:textId="4974FC05" w:rsidR="00BB528A" w:rsidRPr="009D52FD" w:rsidRDefault="00BB528A" w:rsidP="001D422B">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Ad</w:t>
      </w:r>
      <w:r w:rsidR="005F0D64" w:rsidRPr="009D52FD">
        <w:rPr>
          <w:rFonts w:eastAsiaTheme="minorHAnsi" w:cstheme="minorBidi"/>
          <w:sz w:val="20"/>
          <w:szCs w:val="20"/>
          <w:lang w:val="en-US" w:eastAsia="en-US"/>
        </w:rPr>
        <w:t xml:space="preserve">ditionally, in October and November 2004, </w:t>
      </w:r>
      <w:r w:rsidR="00D65325" w:rsidRPr="009D52FD">
        <w:rPr>
          <w:rFonts w:eastAsiaTheme="minorHAnsi" w:cstheme="minorBidi"/>
          <w:sz w:val="20"/>
          <w:szCs w:val="20"/>
          <w:lang w:val="en-US" w:eastAsia="en-US"/>
        </w:rPr>
        <w:t>Juan Bernardo Delgado</w:t>
      </w:r>
      <w:r w:rsidR="00520D6C" w:rsidRPr="009D52FD">
        <w:rPr>
          <w:rFonts w:eastAsiaTheme="minorHAnsi" w:cstheme="minorBidi"/>
          <w:sz w:val="20"/>
          <w:szCs w:val="20"/>
          <w:lang w:val="en-US" w:eastAsia="en-US"/>
        </w:rPr>
        <w:t xml:space="preserve"> Linares</w:t>
      </w:r>
      <w:r w:rsidR="00D65325" w:rsidRPr="009D52FD">
        <w:rPr>
          <w:rFonts w:eastAsiaTheme="minorHAnsi" w:cstheme="minorBidi"/>
          <w:sz w:val="20"/>
          <w:szCs w:val="20"/>
          <w:lang w:val="en-US" w:eastAsia="en-US"/>
        </w:rPr>
        <w:t xml:space="preserve">, </w:t>
      </w:r>
      <w:r w:rsidR="005F0D64" w:rsidRPr="009D52FD">
        <w:rPr>
          <w:rFonts w:eastAsiaTheme="minorHAnsi" w:cstheme="minorBidi"/>
          <w:sz w:val="20"/>
          <w:szCs w:val="20"/>
          <w:lang w:val="en-US" w:eastAsia="en-US"/>
        </w:rPr>
        <w:t xml:space="preserve">who was </w:t>
      </w:r>
      <w:r w:rsidR="00D65325" w:rsidRPr="009D52FD">
        <w:rPr>
          <w:rFonts w:eastAsiaTheme="minorHAnsi" w:cstheme="minorBidi"/>
          <w:sz w:val="20"/>
          <w:szCs w:val="20"/>
          <w:lang w:val="en-US" w:eastAsia="en-US"/>
        </w:rPr>
        <w:t>Linda Loaiza</w:t>
      </w:r>
      <w:r w:rsidR="005F0D64" w:rsidRPr="009D52FD">
        <w:rPr>
          <w:rFonts w:eastAsiaTheme="minorHAnsi" w:cstheme="minorBidi"/>
          <w:sz w:val="20"/>
          <w:szCs w:val="20"/>
          <w:lang w:val="en-US" w:eastAsia="en-US"/>
        </w:rPr>
        <w:t>’s personal lawyer</w:t>
      </w:r>
      <w:r w:rsidR="00D65325" w:rsidRPr="009D52FD">
        <w:rPr>
          <w:rFonts w:eastAsiaTheme="minorHAnsi" w:cstheme="minorBidi"/>
          <w:sz w:val="20"/>
          <w:szCs w:val="20"/>
          <w:lang w:val="en-US" w:eastAsia="en-US"/>
        </w:rPr>
        <w:t xml:space="preserve">, </w:t>
      </w:r>
      <w:r w:rsidR="005F0D64" w:rsidRPr="009D52FD">
        <w:rPr>
          <w:rFonts w:eastAsiaTheme="minorHAnsi" w:cstheme="minorBidi"/>
          <w:sz w:val="20"/>
          <w:szCs w:val="20"/>
          <w:lang w:val="en-US" w:eastAsia="en-US"/>
        </w:rPr>
        <w:t>began to receive threats and therefore requested measures of protection.</w:t>
      </w:r>
      <w:r w:rsidR="0065333E" w:rsidRPr="009D52FD">
        <w:rPr>
          <w:rFonts w:eastAsiaTheme="minorHAnsi" w:cstheme="minorBidi"/>
          <w:sz w:val="20"/>
          <w:szCs w:val="20"/>
          <w:vertAlign w:val="superscript"/>
          <w:lang w:val="en-US" w:eastAsia="en-US"/>
        </w:rPr>
        <w:footnoteReference w:id="164"/>
      </w:r>
      <w:r w:rsidRPr="009D52FD">
        <w:rPr>
          <w:rFonts w:eastAsiaTheme="minorHAnsi" w:cstheme="minorBidi"/>
          <w:sz w:val="20"/>
          <w:szCs w:val="20"/>
          <w:lang w:val="en-US" w:eastAsia="en-US"/>
        </w:rPr>
        <w:t xml:space="preserve"> </w:t>
      </w:r>
      <w:r w:rsidR="005F0D64" w:rsidRPr="009D52FD">
        <w:rPr>
          <w:rFonts w:eastAsiaTheme="minorHAnsi" w:cstheme="minorBidi"/>
          <w:sz w:val="20"/>
          <w:szCs w:val="20"/>
          <w:lang w:val="en-US" w:eastAsia="en-US"/>
        </w:rPr>
        <w:t>On October 26,</w:t>
      </w:r>
      <w:r w:rsidR="00953525" w:rsidRPr="009D52FD">
        <w:rPr>
          <w:rFonts w:eastAsiaTheme="minorHAnsi" w:cstheme="minorBidi"/>
          <w:sz w:val="20"/>
          <w:szCs w:val="20"/>
          <w:lang w:val="en-US" w:eastAsia="en-US"/>
        </w:rPr>
        <w:t xml:space="preserve"> 2004</w:t>
      </w:r>
      <w:r w:rsidR="005F0D64" w:rsidRPr="009D52FD">
        <w:rPr>
          <w:rFonts w:eastAsiaTheme="minorHAnsi" w:cstheme="minorBidi"/>
          <w:sz w:val="20"/>
          <w:szCs w:val="20"/>
          <w:lang w:val="en-US" w:eastAsia="en-US"/>
        </w:rPr>
        <w:t>, the Assistant Prosecutor</w:t>
      </w:r>
      <w:r w:rsidR="00953525" w:rsidRPr="009D52FD">
        <w:rPr>
          <w:rFonts w:eastAsiaTheme="minorHAnsi" w:cstheme="minorBidi"/>
          <w:sz w:val="20"/>
          <w:szCs w:val="20"/>
          <w:lang w:val="en-US" w:eastAsia="en-US"/>
        </w:rPr>
        <w:t xml:space="preserve"> </w:t>
      </w:r>
      <w:r w:rsidR="000C6475" w:rsidRPr="009D52FD">
        <w:rPr>
          <w:rFonts w:eastAsiaTheme="minorHAnsi" w:cstheme="minorBidi"/>
          <w:sz w:val="20"/>
          <w:szCs w:val="20"/>
          <w:lang w:val="en-US" w:eastAsia="en-US"/>
        </w:rPr>
        <w:t>of the Public Prosecution Service</w:t>
      </w:r>
      <w:r w:rsidR="00953525" w:rsidRPr="009D52FD">
        <w:rPr>
          <w:rFonts w:eastAsiaTheme="minorHAnsi" w:cstheme="minorBidi"/>
          <w:sz w:val="20"/>
          <w:szCs w:val="20"/>
          <w:lang w:val="en-US" w:eastAsia="en-US"/>
        </w:rPr>
        <w:t xml:space="preserve"> </w:t>
      </w:r>
      <w:r w:rsidR="005F0D64" w:rsidRPr="009D52FD">
        <w:rPr>
          <w:rFonts w:eastAsiaTheme="minorHAnsi" w:cstheme="minorBidi"/>
          <w:sz w:val="20"/>
          <w:szCs w:val="20"/>
          <w:lang w:val="en-US" w:eastAsia="en-US"/>
        </w:rPr>
        <w:t>of the</w:t>
      </w:r>
      <w:r w:rsidR="00953525" w:rsidRPr="009D52FD">
        <w:rPr>
          <w:rFonts w:eastAsiaTheme="minorHAnsi" w:cstheme="minorBidi"/>
          <w:sz w:val="20"/>
          <w:szCs w:val="20"/>
          <w:lang w:val="en-US" w:eastAsia="en-US"/>
        </w:rPr>
        <w:t xml:space="preserve"> </w:t>
      </w:r>
      <w:r w:rsidR="005F0D64" w:rsidRPr="009D52FD">
        <w:rPr>
          <w:rFonts w:eastAsiaTheme="minorHAnsi" w:cstheme="minorBidi"/>
          <w:sz w:val="20"/>
          <w:szCs w:val="20"/>
          <w:lang w:val="en-US" w:eastAsia="en-US"/>
        </w:rPr>
        <w:t xml:space="preserve">Office of the </w:t>
      </w:r>
      <w:r w:rsidR="00565380" w:rsidRPr="009D52FD">
        <w:rPr>
          <w:rFonts w:eastAsiaTheme="minorHAnsi" w:cstheme="minorBidi"/>
          <w:sz w:val="20"/>
          <w:szCs w:val="20"/>
          <w:lang w:val="en-US" w:eastAsia="en-US"/>
        </w:rPr>
        <w:t>Senior Public Prosecutor</w:t>
      </w:r>
      <w:r w:rsidR="00953525" w:rsidRPr="009D52FD">
        <w:rPr>
          <w:rFonts w:eastAsiaTheme="minorHAnsi" w:cstheme="minorBidi"/>
          <w:sz w:val="20"/>
          <w:szCs w:val="20"/>
          <w:lang w:val="en-US" w:eastAsia="en-US"/>
        </w:rPr>
        <w:t xml:space="preserve"> </w:t>
      </w:r>
      <w:r w:rsidR="00565380" w:rsidRPr="009D52FD">
        <w:rPr>
          <w:rFonts w:eastAsiaTheme="minorHAnsi" w:cstheme="minorBidi"/>
          <w:sz w:val="20"/>
          <w:szCs w:val="20"/>
          <w:lang w:val="en-US" w:eastAsia="en-US"/>
        </w:rPr>
        <w:t>of the</w:t>
      </w:r>
      <w:r w:rsidR="005F0D64" w:rsidRPr="009D52FD">
        <w:rPr>
          <w:rFonts w:eastAsiaTheme="minorHAnsi" w:cstheme="minorBidi"/>
          <w:sz w:val="20"/>
          <w:szCs w:val="20"/>
          <w:lang w:val="en-US" w:eastAsia="en-US"/>
        </w:rPr>
        <w:t xml:space="preserve"> Criminal</w:t>
      </w:r>
      <w:r w:rsidR="00565380" w:rsidRPr="009D52FD">
        <w:rPr>
          <w:rFonts w:eastAsiaTheme="minorHAnsi" w:cstheme="minorBidi"/>
          <w:sz w:val="20"/>
          <w:szCs w:val="20"/>
          <w:lang w:val="en-US" w:eastAsia="en-US"/>
        </w:rPr>
        <w:t xml:space="preserve"> Judicial District</w:t>
      </w:r>
      <w:r w:rsidR="00953525" w:rsidRPr="009D52FD">
        <w:rPr>
          <w:rFonts w:eastAsiaTheme="minorHAnsi" w:cstheme="minorBidi"/>
          <w:sz w:val="20"/>
          <w:szCs w:val="20"/>
          <w:lang w:val="en-US" w:eastAsia="en-US"/>
        </w:rPr>
        <w:t xml:space="preserve"> </w:t>
      </w:r>
      <w:r w:rsidR="00565380" w:rsidRPr="009D52FD">
        <w:rPr>
          <w:rFonts w:eastAsiaTheme="minorHAnsi" w:cstheme="minorBidi"/>
          <w:sz w:val="20"/>
          <w:szCs w:val="20"/>
          <w:lang w:val="en-US" w:eastAsia="en-US"/>
        </w:rPr>
        <w:t>of the Caracas Metropolitan Area</w:t>
      </w:r>
      <w:r w:rsidR="00953525" w:rsidRPr="009D52FD">
        <w:rPr>
          <w:rFonts w:eastAsiaTheme="minorHAnsi" w:cstheme="minorBidi"/>
          <w:sz w:val="20"/>
          <w:szCs w:val="20"/>
          <w:lang w:val="en-US" w:eastAsia="en-US"/>
        </w:rPr>
        <w:t xml:space="preserve"> </w:t>
      </w:r>
      <w:r w:rsidR="005F0D64" w:rsidRPr="009D52FD">
        <w:rPr>
          <w:rFonts w:eastAsiaTheme="minorHAnsi" w:cstheme="minorBidi"/>
          <w:sz w:val="20"/>
          <w:szCs w:val="20"/>
          <w:lang w:val="en-US" w:eastAsia="en-US"/>
        </w:rPr>
        <w:t>asked the</w:t>
      </w:r>
      <w:r w:rsidR="00953525" w:rsidRPr="009D52FD">
        <w:rPr>
          <w:rFonts w:eastAsiaTheme="minorHAnsi" w:cstheme="minorBidi"/>
          <w:sz w:val="20"/>
          <w:szCs w:val="20"/>
          <w:lang w:val="en-US" w:eastAsia="en-US"/>
        </w:rPr>
        <w:t xml:space="preserve"> </w:t>
      </w:r>
      <w:r w:rsidR="005F0D64" w:rsidRPr="009D52FD">
        <w:rPr>
          <w:rFonts w:eastAsiaTheme="minorHAnsi" w:cstheme="minorBidi"/>
          <w:sz w:val="20"/>
          <w:szCs w:val="20"/>
          <w:lang w:val="en-US" w:eastAsia="en-US"/>
        </w:rPr>
        <w:t>Sixteenth First Instance Oversight Court</w:t>
      </w:r>
      <w:r w:rsidR="00953525" w:rsidRPr="009D52FD">
        <w:rPr>
          <w:rFonts w:eastAsiaTheme="minorHAnsi" w:cstheme="minorBidi"/>
          <w:sz w:val="20"/>
          <w:szCs w:val="20"/>
          <w:lang w:val="en-US" w:eastAsia="en-US"/>
        </w:rPr>
        <w:t xml:space="preserve"> </w:t>
      </w:r>
      <w:r w:rsidR="005F0D64" w:rsidRPr="009D52FD">
        <w:rPr>
          <w:rFonts w:eastAsiaTheme="minorHAnsi" w:cstheme="minorBidi"/>
          <w:sz w:val="20"/>
          <w:szCs w:val="20"/>
          <w:lang w:val="en-US" w:eastAsia="en-US"/>
        </w:rPr>
        <w:t>of the Criminal Judicial Circuit</w:t>
      </w:r>
      <w:r w:rsidR="00953525" w:rsidRPr="009D52FD">
        <w:rPr>
          <w:rFonts w:eastAsiaTheme="minorHAnsi" w:cstheme="minorBidi"/>
          <w:sz w:val="20"/>
          <w:szCs w:val="20"/>
          <w:lang w:val="en-US" w:eastAsia="en-US"/>
        </w:rPr>
        <w:t xml:space="preserve"> </w:t>
      </w:r>
      <w:r w:rsidR="00565380" w:rsidRPr="009D52FD">
        <w:rPr>
          <w:rFonts w:eastAsiaTheme="minorHAnsi" w:cstheme="minorBidi"/>
          <w:sz w:val="20"/>
          <w:szCs w:val="20"/>
          <w:lang w:val="en-US" w:eastAsia="en-US"/>
        </w:rPr>
        <w:t>of the Caracas Metropolitan Area</w:t>
      </w:r>
      <w:r w:rsidR="00953525" w:rsidRPr="009D52FD">
        <w:rPr>
          <w:rFonts w:eastAsiaTheme="minorHAnsi" w:cstheme="minorBidi"/>
          <w:sz w:val="20"/>
          <w:szCs w:val="20"/>
          <w:lang w:val="en-US" w:eastAsia="en-US"/>
        </w:rPr>
        <w:t xml:space="preserve"> </w:t>
      </w:r>
      <w:r w:rsidR="005F0D64" w:rsidRPr="009D52FD">
        <w:rPr>
          <w:rFonts w:eastAsiaTheme="minorHAnsi" w:cstheme="minorBidi"/>
          <w:sz w:val="20"/>
          <w:szCs w:val="20"/>
          <w:lang w:val="en-US" w:eastAsia="en-US"/>
        </w:rPr>
        <w:t xml:space="preserve">to order measures of protection in favor of </w:t>
      </w:r>
      <w:r w:rsidR="00953525" w:rsidRPr="009D52FD">
        <w:rPr>
          <w:rFonts w:eastAsiaTheme="minorHAnsi" w:cstheme="minorBidi"/>
          <w:sz w:val="20"/>
          <w:szCs w:val="20"/>
          <w:lang w:val="en-US" w:eastAsia="en-US"/>
        </w:rPr>
        <w:t>Juan Bernardo Delgado</w:t>
      </w:r>
      <w:r w:rsidR="004A3AA0" w:rsidRPr="009D52FD">
        <w:rPr>
          <w:rFonts w:eastAsiaTheme="minorHAnsi" w:cstheme="minorBidi"/>
          <w:sz w:val="20"/>
          <w:szCs w:val="20"/>
          <w:lang w:val="en-US" w:eastAsia="en-US"/>
        </w:rPr>
        <w:t xml:space="preserve"> Linares</w:t>
      </w:r>
      <w:r w:rsidR="00953525" w:rsidRPr="009D52FD">
        <w:rPr>
          <w:rFonts w:eastAsiaTheme="minorHAnsi" w:cstheme="minorBidi"/>
          <w:sz w:val="20"/>
          <w:szCs w:val="20"/>
          <w:lang w:val="en-US" w:eastAsia="en-US"/>
        </w:rPr>
        <w:t xml:space="preserve"> </w:t>
      </w:r>
      <w:r w:rsidR="005F0D64" w:rsidRPr="009D52FD">
        <w:rPr>
          <w:rFonts w:eastAsiaTheme="minorHAnsi" w:cstheme="minorBidi"/>
          <w:sz w:val="20"/>
          <w:szCs w:val="20"/>
          <w:lang w:val="en-US" w:eastAsia="en-US"/>
        </w:rPr>
        <w:t xml:space="preserve">until the conclusion of the first </w:t>
      </w:r>
      <w:r w:rsidR="00F925A8" w:rsidRPr="009D52FD">
        <w:rPr>
          <w:rFonts w:eastAsiaTheme="minorHAnsi" w:cstheme="minorBidi"/>
          <w:sz w:val="20"/>
          <w:szCs w:val="20"/>
          <w:lang w:val="en-US" w:eastAsia="en-US"/>
        </w:rPr>
        <w:t xml:space="preserve">domestic </w:t>
      </w:r>
      <w:r w:rsidR="005F0D64" w:rsidRPr="009D52FD">
        <w:rPr>
          <w:rFonts w:eastAsiaTheme="minorHAnsi" w:cstheme="minorBidi"/>
          <w:sz w:val="20"/>
          <w:szCs w:val="20"/>
          <w:lang w:val="en-US" w:eastAsia="en-US"/>
        </w:rPr>
        <w:t>criminal proceedings,</w:t>
      </w:r>
      <w:r w:rsidR="00C261DC" w:rsidRPr="009D52FD">
        <w:rPr>
          <w:rStyle w:val="FootnoteReference"/>
          <w:rFonts w:eastAsiaTheme="minorHAnsi" w:cstheme="minorBidi"/>
          <w:sz w:val="20"/>
          <w:szCs w:val="20"/>
          <w:lang w:val="en-US" w:eastAsia="en-US"/>
        </w:rPr>
        <w:footnoteReference w:id="165"/>
      </w:r>
      <w:r w:rsidR="005F0D64" w:rsidRPr="009D52FD">
        <w:rPr>
          <w:rFonts w:eastAsiaTheme="minorHAnsi" w:cstheme="minorBidi"/>
          <w:sz w:val="20"/>
          <w:szCs w:val="20"/>
          <w:lang w:val="en-US" w:eastAsia="en-US"/>
        </w:rPr>
        <w:t xml:space="preserve"> due to the </w:t>
      </w:r>
      <w:r w:rsidR="00F925A8" w:rsidRPr="009D52FD">
        <w:rPr>
          <w:rFonts w:eastAsiaTheme="minorHAnsi" w:cstheme="minorBidi"/>
          <w:sz w:val="20"/>
          <w:szCs w:val="20"/>
          <w:lang w:val="en-US" w:eastAsia="en-US"/>
        </w:rPr>
        <w:t>continuing</w:t>
      </w:r>
      <w:r w:rsidR="005F0D64" w:rsidRPr="009D52FD">
        <w:rPr>
          <w:rFonts w:eastAsiaTheme="minorHAnsi" w:cstheme="minorBidi"/>
          <w:sz w:val="20"/>
          <w:szCs w:val="20"/>
          <w:lang w:val="en-US" w:eastAsia="en-US"/>
        </w:rPr>
        <w:t xml:space="preserve"> death threats that this professional had received from both </w:t>
      </w:r>
      <w:r w:rsidR="00C261DC" w:rsidRPr="009D52FD">
        <w:rPr>
          <w:rFonts w:eastAsiaTheme="minorHAnsi" w:cstheme="minorBidi"/>
          <w:sz w:val="20"/>
          <w:szCs w:val="20"/>
          <w:lang w:val="en-US" w:eastAsia="en-US"/>
        </w:rPr>
        <w:t>Linda Loaiza López Soto</w:t>
      </w:r>
      <w:r w:rsidR="005F0D64" w:rsidRPr="009D52FD">
        <w:rPr>
          <w:rFonts w:eastAsiaTheme="minorHAnsi" w:cstheme="minorBidi"/>
          <w:sz w:val="20"/>
          <w:szCs w:val="20"/>
          <w:lang w:val="en-US" w:eastAsia="en-US"/>
        </w:rPr>
        <w:t xml:space="preserve">’s aggressor and </w:t>
      </w:r>
      <w:r w:rsidR="00F925A8" w:rsidRPr="009D52FD">
        <w:rPr>
          <w:rFonts w:eastAsiaTheme="minorHAnsi" w:cstheme="minorBidi"/>
          <w:sz w:val="20"/>
          <w:szCs w:val="20"/>
          <w:lang w:val="en-US" w:eastAsia="en-US"/>
        </w:rPr>
        <w:t>unknown</w:t>
      </w:r>
      <w:r w:rsidR="005F0D64" w:rsidRPr="009D52FD">
        <w:rPr>
          <w:rFonts w:eastAsiaTheme="minorHAnsi" w:cstheme="minorBidi"/>
          <w:sz w:val="20"/>
          <w:szCs w:val="20"/>
          <w:lang w:val="en-US" w:eastAsia="en-US"/>
        </w:rPr>
        <w:t xml:space="preserve"> individuals.</w:t>
      </w:r>
      <w:r w:rsidR="00C261DC" w:rsidRPr="009D52FD">
        <w:rPr>
          <w:rStyle w:val="FootnoteReference"/>
          <w:rFonts w:eastAsiaTheme="minorHAnsi" w:cstheme="minorBidi"/>
          <w:sz w:val="20"/>
          <w:szCs w:val="20"/>
          <w:lang w:val="en-US" w:eastAsia="en-US"/>
        </w:rPr>
        <w:footnoteReference w:id="166"/>
      </w:r>
      <w:r w:rsidR="005F0D64" w:rsidRPr="009D52FD">
        <w:rPr>
          <w:rFonts w:eastAsiaTheme="minorHAnsi" w:cstheme="minorBidi"/>
          <w:sz w:val="20"/>
          <w:szCs w:val="20"/>
          <w:lang w:val="en-US" w:eastAsia="en-US"/>
        </w:rPr>
        <w:t xml:space="preserve"> On the same date, the said court ordered measures of protection </w:t>
      </w:r>
      <w:r w:rsidR="00B61C7B" w:rsidRPr="009D52FD">
        <w:rPr>
          <w:rFonts w:eastAsiaTheme="minorHAnsi" w:cstheme="minorBidi"/>
          <w:sz w:val="20"/>
          <w:szCs w:val="20"/>
          <w:lang w:val="en-US" w:eastAsia="en-US"/>
        </w:rPr>
        <w:t>for</w:t>
      </w:r>
      <w:r w:rsidR="005F0D64" w:rsidRPr="009D52FD">
        <w:rPr>
          <w:rFonts w:eastAsiaTheme="minorHAnsi" w:cstheme="minorBidi"/>
          <w:sz w:val="20"/>
          <w:szCs w:val="20"/>
          <w:lang w:val="en-US" w:eastAsia="en-US"/>
        </w:rPr>
        <w:t xml:space="preserve"> </w:t>
      </w:r>
      <w:r w:rsidR="00C261DC" w:rsidRPr="009D52FD">
        <w:rPr>
          <w:rFonts w:eastAsiaTheme="minorHAnsi" w:cstheme="minorBidi"/>
          <w:sz w:val="20"/>
          <w:szCs w:val="20"/>
          <w:lang w:val="en-US" w:eastAsia="en-US"/>
        </w:rPr>
        <w:t>Linda Loaiza</w:t>
      </w:r>
      <w:r w:rsidR="005F0D64" w:rsidRPr="009D52FD">
        <w:rPr>
          <w:rFonts w:eastAsiaTheme="minorHAnsi" w:cstheme="minorBidi"/>
          <w:sz w:val="20"/>
          <w:szCs w:val="20"/>
          <w:lang w:val="en-US" w:eastAsia="en-US"/>
        </w:rPr>
        <w:t>’s lawyer,</w:t>
      </w:r>
      <w:r w:rsidR="00C261DC" w:rsidRPr="009D52FD">
        <w:rPr>
          <w:rStyle w:val="FootnoteReference"/>
          <w:rFonts w:eastAsiaTheme="minorHAnsi" w:cstheme="minorBidi"/>
          <w:sz w:val="20"/>
          <w:szCs w:val="20"/>
          <w:lang w:val="en-US" w:eastAsia="en-US"/>
        </w:rPr>
        <w:footnoteReference w:id="167"/>
      </w:r>
      <w:r w:rsidR="005F0D64" w:rsidRPr="009D52FD">
        <w:rPr>
          <w:rFonts w:eastAsiaTheme="minorHAnsi" w:cstheme="minorBidi"/>
          <w:sz w:val="20"/>
          <w:szCs w:val="20"/>
          <w:lang w:val="en-US" w:eastAsia="en-US"/>
        </w:rPr>
        <w:t xml:space="preserve"> instructing the Police of the Libertador municipality to implement them.</w:t>
      </w:r>
      <w:r w:rsidR="00C261DC" w:rsidRPr="009D52FD">
        <w:rPr>
          <w:rStyle w:val="FootnoteReference"/>
          <w:rFonts w:eastAsiaTheme="minorHAnsi" w:cstheme="minorBidi"/>
          <w:sz w:val="20"/>
          <w:szCs w:val="20"/>
          <w:lang w:val="en-US" w:eastAsia="en-US"/>
        </w:rPr>
        <w:footnoteReference w:id="168"/>
      </w:r>
    </w:p>
    <w:p w14:paraId="0FCC3B43" w14:textId="77777777" w:rsidR="00BB528A" w:rsidRPr="009D52FD" w:rsidRDefault="00BB528A" w:rsidP="00BB528A">
      <w:pPr>
        <w:widowControl/>
        <w:adjustRightInd/>
        <w:spacing w:line="240" w:lineRule="auto"/>
        <w:textAlignment w:val="auto"/>
        <w:rPr>
          <w:rFonts w:eastAsiaTheme="minorHAnsi" w:cstheme="minorBidi"/>
          <w:b/>
          <w:bCs/>
          <w:sz w:val="20"/>
          <w:szCs w:val="20"/>
          <w:lang w:val="en-US" w:eastAsia="en-US"/>
        </w:rPr>
      </w:pPr>
    </w:p>
    <w:p w14:paraId="290A36DC" w14:textId="2CF0307F" w:rsidR="00353775" w:rsidRPr="009D52FD" w:rsidRDefault="00353775" w:rsidP="00353775">
      <w:pPr>
        <w:keepNext/>
        <w:keepLines/>
        <w:tabs>
          <w:tab w:val="left" w:pos="1134"/>
        </w:tabs>
        <w:spacing w:line="240" w:lineRule="auto"/>
        <w:ind w:left="567" w:firstLine="1"/>
        <w:outlineLvl w:val="1"/>
        <w:rPr>
          <w:rFonts w:eastAsia="MS Mincho"/>
          <w:b/>
          <w:bCs/>
          <w:i/>
          <w:sz w:val="20"/>
          <w:szCs w:val="20"/>
          <w:lang w:val="en-US"/>
        </w:rPr>
      </w:pPr>
      <w:bookmarkStart w:id="68" w:name="_Toc51400087"/>
      <w:r w:rsidRPr="009D52FD">
        <w:rPr>
          <w:rFonts w:eastAsia="MS Mincho"/>
          <w:b/>
          <w:bCs/>
          <w:i/>
          <w:sz w:val="20"/>
          <w:szCs w:val="20"/>
          <w:lang w:val="en-US"/>
        </w:rPr>
        <w:lastRenderedPageBreak/>
        <w:t xml:space="preserve">F. </w:t>
      </w:r>
      <w:r w:rsidRPr="009D52FD">
        <w:rPr>
          <w:rFonts w:eastAsia="MS Mincho"/>
          <w:b/>
          <w:bCs/>
          <w:i/>
          <w:sz w:val="20"/>
          <w:szCs w:val="20"/>
          <w:lang w:val="en-US"/>
        </w:rPr>
        <w:tab/>
      </w:r>
      <w:r w:rsidR="006B506A" w:rsidRPr="009D52FD">
        <w:rPr>
          <w:rFonts w:eastAsia="MS Mincho"/>
          <w:b/>
          <w:bCs/>
          <w:i/>
          <w:sz w:val="20"/>
          <w:szCs w:val="20"/>
          <w:lang w:val="en-US"/>
        </w:rPr>
        <w:t>Venezuela’s legal framework</w:t>
      </w:r>
      <w:bookmarkEnd w:id="68"/>
    </w:p>
    <w:p w14:paraId="07E74E46" w14:textId="5F944A1B" w:rsidR="00353775" w:rsidRPr="009D52FD" w:rsidRDefault="005F0D64" w:rsidP="00BB528A">
      <w:pPr>
        <w:widowControl/>
        <w:adjustRightInd/>
        <w:spacing w:line="240" w:lineRule="auto"/>
        <w:textAlignment w:val="auto"/>
        <w:rPr>
          <w:rFonts w:eastAsiaTheme="minorHAnsi" w:cstheme="minorBidi"/>
          <w:b/>
          <w:bCs/>
          <w:sz w:val="20"/>
          <w:szCs w:val="20"/>
          <w:lang w:val="en-US" w:eastAsia="en-US"/>
        </w:rPr>
      </w:pPr>
      <w:r w:rsidRPr="009D52FD">
        <w:rPr>
          <w:rFonts w:eastAsiaTheme="minorHAnsi" w:cstheme="minorBidi"/>
          <w:b/>
          <w:bCs/>
          <w:sz w:val="20"/>
          <w:szCs w:val="20"/>
          <w:lang w:val="en-US" w:eastAsia="en-US"/>
        </w:rPr>
        <w:t xml:space="preserve"> </w:t>
      </w:r>
    </w:p>
    <w:p w14:paraId="4FB27752" w14:textId="5FEC3183" w:rsidR="00BB528A" w:rsidRPr="009D52FD" w:rsidRDefault="006B506A" w:rsidP="006B506A">
      <w:pPr>
        <w:numPr>
          <w:ilvl w:val="0"/>
          <w:numId w:val="1"/>
        </w:numPr>
        <w:tabs>
          <w:tab w:val="left" w:pos="567"/>
        </w:tabs>
        <w:spacing w:line="240" w:lineRule="auto"/>
        <w:ind w:left="0" w:firstLine="0"/>
        <w:rPr>
          <w:rFonts w:eastAsia="Calibri" w:cs="Arial"/>
          <w:bCs/>
          <w:sz w:val="20"/>
          <w:szCs w:val="22"/>
          <w:lang w:val="en-US" w:eastAsia="en-US"/>
        </w:rPr>
      </w:pPr>
      <w:r w:rsidRPr="009D52FD">
        <w:rPr>
          <w:sz w:val="20"/>
          <w:szCs w:val="20"/>
          <w:lang w:val="en-US"/>
        </w:rPr>
        <w:t>The</w:t>
      </w:r>
      <w:r w:rsidR="00353775" w:rsidRPr="009D52FD">
        <w:rPr>
          <w:sz w:val="20"/>
          <w:szCs w:val="20"/>
          <w:lang w:val="en-US"/>
        </w:rPr>
        <w:t xml:space="preserve"> </w:t>
      </w:r>
      <w:r w:rsidRPr="009D52FD">
        <w:rPr>
          <w:sz w:val="20"/>
          <w:szCs w:val="20"/>
          <w:lang w:val="en-US"/>
        </w:rPr>
        <w:t>Constitution</w:t>
      </w:r>
      <w:r w:rsidR="00483040" w:rsidRPr="009D52FD">
        <w:rPr>
          <w:sz w:val="20"/>
          <w:szCs w:val="20"/>
          <w:lang w:val="en-US"/>
        </w:rPr>
        <w:t xml:space="preserve"> of the </w:t>
      </w:r>
      <w:r w:rsidR="0050774C" w:rsidRPr="009D52FD">
        <w:rPr>
          <w:sz w:val="20"/>
          <w:szCs w:val="20"/>
          <w:lang w:val="en-US"/>
        </w:rPr>
        <w:t>Bolivarian Republic of</w:t>
      </w:r>
      <w:r w:rsidR="00353775" w:rsidRPr="009D52FD">
        <w:rPr>
          <w:sz w:val="20"/>
          <w:szCs w:val="20"/>
          <w:lang w:val="en-US"/>
        </w:rPr>
        <w:t xml:space="preserve"> Venezuela, </w:t>
      </w:r>
      <w:r w:rsidRPr="009D52FD">
        <w:rPr>
          <w:sz w:val="20"/>
          <w:szCs w:val="20"/>
          <w:lang w:val="en-US"/>
        </w:rPr>
        <w:t>adopted in</w:t>
      </w:r>
      <w:r w:rsidR="00353775" w:rsidRPr="009D52FD">
        <w:rPr>
          <w:sz w:val="20"/>
          <w:szCs w:val="20"/>
          <w:lang w:val="en-US"/>
        </w:rPr>
        <w:t xml:space="preserve"> 1999</w:t>
      </w:r>
      <w:r w:rsidR="003630BB" w:rsidRPr="009D52FD">
        <w:rPr>
          <w:sz w:val="20"/>
          <w:szCs w:val="20"/>
          <w:lang w:val="en-US"/>
        </w:rPr>
        <w:t xml:space="preserve"> and</w:t>
      </w:r>
      <w:r w:rsidRPr="009D52FD">
        <w:rPr>
          <w:sz w:val="20"/>
          <w:szCs w:val="20"/>
          <w:lang w:val="en-US"/>
        </w:rPr>
        <w:t xml:space="preserve"> in force at the time of the </w:t>
      </w:r>
      <w:r w:rsidR="008E38B0" w:rsidRPr="009D52FD">
        <w:rPr>
          <w:sz w:val="20"/>
          <w:szCs w:val="20"/>
          <w:lang w:val="en-US"/>
        </w:rPr>
        <w:t>fac</w:t>
      </w:r>
      <w:r w:rsidRPr="009D52FD">
        <w:rPr>
          <w:sz w:val="20"/>
          <w:szCs w:val="20"/>
          <w:lang w:val="en-US"/>
        </w:rPr>
        <w:t>ts, guaranteed full legal equality between women and men. It also established that the law would guarantee this equality</w:t>
      </w:r>
      <w:r w:rsidR="00B61C7B" w:rsidRPr="009D52FD">
        <w:rPr>
          <w:sz w:val="20"/>
          <w:szCs w:val="20"/>
          <w:lang w:val="en-US"/>
        </w:rPr>
        <w:t>,</w:t>
      </w:r>
      <w:r w:rsidRPr="009D52FD">
        <w:rPr>
          <w:sz w:val="20"/>
          <w:szCs w:val="20"/>
          <w:lang w:val="en-US"/>
        </w:rPr>
        <w:t xml:space="preserve"> truly and effectively</w:t>
      </w:r>
      <w:r w:rsidR="00B61C7B" w:rsidRPr="009D52FD">
        <w:rPr>
          <w:sz w:val="20"/>
          <w:szCs w:val="20"/>
          <w:lang w:val="en-US"/>
        </w:rPr>
        <w:t>,</w:t>
      </w:r>
      <w:r w:rsidRPr="009D52FD">
        <w:rPr>
          <w:sz w:val="20"/>
          <w:szCs w:val="20"/>
          <w:lang w:val="en-US"/>
        </w:rPr>
        <w:t xml:space="preserve"> </w:t>
      </w:r>
      <w:r w:rsidR="00B61C7B" w:rsidRPr="009D52FD">
        <w:rPr>
          <w:sz w:val="20"/>
          <w:szCs w:val="20"/>
          <w:lang w:val="en-US"/>
        </w:rPr>
        <w:t>for</w:t>
      </w:r>
      <w:r w:rsidRPr="009D52FD">
        <w:rPr>
          <w:sz w:val="20"/>
          <w:szCs w:val="20"/>
          <w:lang w:val="en-US"/>
        </w:rPr>
        <w:t xml:space="preserve"> groups that were vulnerable, marginal or susceptible </w:t>
      </w:r>
      <w:r w:rsidR="00B61C7B" w:rsidRPr="009D52FD">
        <w:rPr>
          <w:sz w:val="20"/>
          <w:szCs w:val="20"/>
          <w:lang w:val="en-US"/>
        </w:rPr>
        <w:t>to discrimination</w:t>
      </w:r>
      <w:r w:rsidRPr="009D52FD">
        <w:rPr>
          <w:sz w:val="20"/>
          <w:szCs w:val="20"/>
          <w:lang w:val="en-US"/>
        </w:rPr>
        <w:t>.</w:t>
      </w:r>
      <w:r w:rsidRPr="009D52FD">
        <w:rPr>
          <w:rStyle w:val="FootnoteReference"/>
          <w:sz w:val="20"/>
          <w:szCs w:val="20"/>
          <w:lang w:val="en-US"/>
        </w:rPr>
        <w:footnoteReference w:id="169"/>
      </w:r>
      <w:r w:rsidRPr="009D52FD">
        <w:rPr>
          <w:sz w:val="20"/>
          <w:szCs w:val="20"/>
          <w:lang w:val="en-US"/>
        </w:rPr>
        <w:t xml:space="preserve"> In addition, it prohibited slavery, servitude, and trafficking</w:t>
      </w:r>
      <w:r w:rsidR="008E38B0" w:rsidRPr="009D52FD">
        <w:rPr>
          <w:sz w:val="20"/>
          <w:szCs w:val="20"/>
          <w:lang w:val="en-US"/>
        </w:rPr>
        <w:t xml:space="preserve"> in persons</w:t>
      </w:r>
      <w:r w:rsidRPr="009D52FD">
        <w:rPr>
          <w:sz w:val="20"/>
          <w:szCs w:val="20"/>
          <w:lang w:val="en-US"/>
        </w:rPr>
        <w:t xml:space="preserve">, and </w:t>
      </w:r>
      <w:r w:rsidR="008E38B0" w:rsidRPr="009D52FD">
        <w:rPr>
          <w:sz w:val="20"/>
          <w:szCs w:val="20"/>
          <w:lang w:val="en-US"/>
        </w:rPr>
        <w:t>made special mention of</w:t>
      </w:r>
      <w:r w:rsidRPr="009D52FD">
        <w:rPr>
          <w:sz w:val="20"/>
          <w:szCs w:val="20"/>
          <w:lang w:val="en-US"/>
        </w:rPr>
        <w:t xml:space="preserve"> women, children and adolescents, as groups with greater exposure to th</w:t>
      </w:r>
      <w:r w:rsidR="008E38B0" w:rsidRPr="009D52FD">
        <w:rPr>
          <w:sz w:val="20"/>
          <w:szCs w:val="20"/>
          <w:lang w:val="en-US"/>
        </w:rPr>
        <w:t>o</w:t>
      </w:r>
      <w:r w:rsidRPr="009D52FD">
        <w:rPr>
          <w:sz w:val="20"/>
          <w:szCs w:val="20"/>
          <w:lang w:val="en-US"/>
        </w:rPr>
        <w:t>se evils.</w:t>
      </w:r>
      <w:r w:rsidRPr="009D52FD">
        <w:rPr>
          <w:rStyle w:val="FootnoteReference"/>
          <w:sz w:val="20"/>
          <w:szCs w:val="20"/>
          <w:lang w:val="en-US"/>
        </w:rPr>
        <w:footnoteReference w:id="170"/>
      </w:r>
      <w:r w:rsidRPr="009D52FD">
        <w:rPr>
          <w:sz w:val="20"/>
          <w:szCs w:val="20"/>
          <w:lang w:val="en-US"/>
        </w:rPr>
        <w:t xml:space="preserve"> It also established the right to physical, mental and moral integrity, specifically prohibiting torture </w:t>
      </w:r>
      <w:r w:rsidR="008E38B0" w:rsidRPr="009D52FD">
        <w:rPr>
          <w:sz w:val="20"/>
          <w:szCs w:val="20"/>
          <w:lang w:val="en-US"/>
        </w:rPr>
        <w:t>and</w:t>
      </w:r>
      <w:r w:rsidRPr="009D52FD">
        <w:rPr>
          <w:sz w:val="20"/>
          <w:szCs w:val="20"/>
          <w:lang w:val="en-US"/>
        </w:rPr>
        <w:t xml:space="preserve"> cruel, inhuman or degrading punishment or treatment, and ensured the “right to rehabilitation” </w:t>
      </w:r>
      <w:r w:rsidR="008E38B0" w:rsidRPr="009D52FD">
        <w:rPr>
          <w:sz w:val="20"/>
          <w:szCs w:val="20"/>
          <w:lang w:val="en-US"/>
        </w:rPr>
        <w:t>if</w:t>
      </w:r>
      <w:r w:rsidRPr="009D52FD">
        <w:rPr>
          <w:sz w:val="20"/>
          <w:szCs w:val="20"/>
          <w:lang w:val="en-US"/>
        </w:rPr>
        <w:t xml:space="preserve"> any of such practices was committed by state agents.</w:t>
      </w:r>
      <w:r w:rsidR="00353775" w:rsidRPr="009D52FD">
        <w:rPr>
          <w:rStyle w:val="FootnoteReference"/>
          <w:sz w:val="20"/>
          <w:szCs w:val="20"/>
          <w:lang w:val="en-US"/>
        </w:rPr>
        <w:footnoteReference w:id="171"/>
      </w:r>
      <w:r w:rsidRPr="009D52FD">
        <w:rPr>
          <w:sz w:val="20"/>
          <w:szCs w:val="20"/>
          <w:lang w:val="en-US"/>
        </w:rPr>
        <w:t xml:space="preserve"> Furthermore, a transitory provision included in the constitutional text established that, within the year following the entry into force of the Constitution, the corresponding law punishing torture</w:t>
      </w:r>
      <w:r w:rsidR="008E38B0" w:rsidRPr="009D52FD">
        <w:rPr>
          <w:sz w:val="20"/>
          <w:szCs w:val="20"/>
          <w:lang w:val="en-US"/>
        </w:rPr>
        <w:t xml:space="preserve"> would be enacted</w:t>
      </w:r>
      <w:r w:rsidRPr="009D52FD">
        <w:rPr>
          <w:sz w:val="20"/>
          <w:szCs w:val="20"/>
          <w:lang w:val="en-US"/>
        </w:rPr>
        <w:t>.</w:t>
      </w:r>
      <w:r w:rsidR="00353775" w:rsidRPr="009D52FD">
        <w:rPr>
          <w:rStyle w:val="FootnoteReference"/>
          <w:sz w:val="20"/>
          <w:szCs w:val="20"/>
          <w:lang w:val="en-US"/>
        </w:rPr>
        <w:footnoteReference w:id="172"/>
      </w:r>
    </w:p>
    <w:p w14:paraId="0C985EDB" w14:textId="77777777" w:rsidR="00353775" w:rsidRPr="009D52FD" w:rsidRDefault="00353775" w:rsidP="00353775">
      <w:pPr>
        <w:tabs>
          <w:tab w:val="left" w:pos="567"/>
        </w:tabs>
        <w:spacing w:line="240" w:lineRule="auto"/>
        <w:rPr>
          <w:rFonts w:eastAsia="Calibri" w:cs="Arial"/>
          <w:bCs/>
          <w:sz w:val="20"/>
          <w:szCs w:val="22"/>
          <w:lang w:val="en-US" w:eastAsia="en-US"/>
        </w:rPr>
      </w:pPr>
    </w:p>
    <w:p w14:paraId="4C7BB7C6" w14:textId="03AD7AA5" w:rsidR="00C96606" w:rsidRPr="009D52FD" w:rsidRDefault="006B506A" w:rsidP="006B506A">
      <w:pPr>
        <w:numPr>
          <w:ilvl w:val="0"/>
          <w:numId w:val="1"/>
        </w:numPr>
        <w:tabs>
          <w:tab w:val="left" w:pos="567"/>
        </w:tabs>
        <w:spacing w:line="240" w:lineRule="auto"/>
        <w:ind w:left="0" w:firstLine="0"/>
        <w:rPr>
          <w:rFonts w:eastAsia="Calibri" w:cs="Arial"/>
          <w:bCs/>
          <w:sz w:val="20"/>
          <w:szCs w:val="22"/>
          <w:lang w:val="en-US" w:eastAsia="en-US"/>
        </w:rPr>
      </w:pPr>
      <w:r w:rsidRPr="009D52FD">
        <w:rPr>
          <w:sz w:val="20"/>
          <w:szCs w:val="20"/>
          <w:lang w:val="en-US"/>
        </w:rPr>
        <w:t>The</w:t>
      </w:r>
      <w:r w:rsidR="00353775" w:rsidRPr="009D52FD">
        <w:rPr>
          <w:sz w:val="20"/>
          <w:szCs w:val="20"/>
          <w:lang w:val="en-US"/>
        </w:rPr>
        <w:t xml:space="preserve"> </w:t>
      </w:r>
      <w:r w:rsidRPr="009D52FD">
        <w:rPr>
          <w:sz w:val="20"/>
          <w:szCs w:val="20"/>
          <w:lang w:val="en-US"/>
        </w:rPr>
        <w:t>Criminal Code</w:t>
      </w:r>
      <w:r w:rsidR="00353775" w:rsidRPr="009D52FD">
        <w:rPr>
          <w:sz w:val="20"/>
          <w:szCs w:val="20"/>
          <w:lang w:val="en-US"/>
        </w:rPr>
        <w:t xml:space="preserve"> </w:t>
      </w:r>
      <w:r w:rsidRPr="009D52FD">
        <w:rPr>
          <w:sz w:val="20"/>
          <w:szCs w:val="20"/>
          <w:lang w:val="en-US"/>
        </w:rPr>
        <w:t>in force in</w:t>
      </w:r>
      <w:r w:rsidR="00353775" w:rsidRPr="009D52FD">
        <w:rPr>
          <w:sz w:val="20"/>
          <w:szCs w:val="20"/>
          <w:lang w:val="en-US"/>
        </w:rPr>
        <w:t xml:space="preserve"> Venezuela </w:t>
      </w:r>
      <w:r w:rsidRPr="009D52FD">
        <w:rPr>
          <w:sz w:val="20"/>
          <w:szCs w:val="20"/>
          <w:lang w:val="en-US"/>
        </w:rPr>
        <w:t xml:space="preserve">at the time of the </w:t>
      </w:r>
      <w:r w:rsidR="008E38B0" w:rsidRPr="009D52FD">
        <w:rPr>
          <w:sz w:val="20"/>
          <w:szCs w:val="20"/>
          <w:lang w:val="en-US"/>
        </w:rPr>
        <w:t>fac</w:t>
      </w:r>
      <w:r w:rsidRPr="009D52FD">
        <w:rPr>
          <w:sz w:val="20"/>
          <w:szCs w:val="20"/>
          <w:lang w:val="en-US"/>
        </w:rPr>
        <w:t>ts contained a chapter on “</w:t>
      </w:r>
      <w:r w:rsidRPr="009D52FD">
        <w:rPr>
          <w:i/>
          <w:iCs/>
          <w:sz w:val="20"/>
          <w:szCs w:val="20"/>
          <w:lang w:val="en-US"/>
        </w:rPr>
        <w:t>crimes against the morality and stability of the family</w:t>
      </w:r>
      <w:r w:rsidRPr="009D52FD">
        <w:rPr>
          <w:sz w:val="20"/>
          <w:szCs w:val="20"/>
          <w:lang w:val="en-US"/>
        </w:rPr>
        <w:t>,” which included the definition of the crime of “rape,” which was punished with five to ten years’ imprisonment for anyone who, by violence or threats, oblige</w:t>
      </w:r>
      <w:r w:rsidR="008E38B0" w:rsidRPr="009D52FD">
        <w:rPr>
          <w:sz w:val="20"/>
          <w:szCs w:val="20"/>
          <w:lang w:val="en-US"/>
        </w:rPr>
        <w:t>d</w:t>
      </w:r>
      <w:r w:rsidRPr="009D52FD">
        <w:rPr>
          <w:sz w:val="20"/>
          <w:szCs w:val="20"/>
          <w:lang w:val="en-US"/>
        </w:rPr>
        <w:t xml:space="preserve"> another to participate in a “carnal act.</w:t>
      </w:r>
      <w:r w:rsidR="00353775" w:rsidRPr="009D52FD">
        <w:rPr>
          <w:sz w:val="20"/>
          <w:szCs w:val="20"/>
          <w:lang w:val="en-US"/>
        </w:rPr>
        <w:t>”</w:t>
      </w:r>
      <w:r w:rsidR="00353775" w:rsidRPr="009D52FD">
        <w:rPr>
          <w:rStyle w:val="FootnoteReference"/>
          <w:sz w:val="20"/>
          <w:szCs w:val="20"/>
          <w:lang w:val="en-US"/>
        </w:rPr>
        <w:footnoteReference w:id="173"/>
      </w:r>
      <w:r w:rsidRPr="009D52FD">
        <w:rPr>
          <w:sz w:val="20"/>
          <w:szCs w:val="20"/>
          <w:lang w:val="en-US"/>
        </w:rPr>
        <w:t xml:space="preserve"> It also established a reduction in the prison sentence in cases in which the victim of the crimes of rape, seduction or </w:t>
      </w:r>
      <w:r w:rsidR="00A75EA2" w:rsidRPr="009D52FD">
        <w:rPr>
          <w:sz w:val="20"/>
          <w:szCs w:val="20"/>
          <w:lang w:val="en-US"/>
        </w:rPr>
        <w:t>kidnapping</w:t>
      </w:r>
      <w:r w:rsidRPr="009D52FD">
        <w:rPr>
          <w:sz w:val="20"/>
          <w:szCs w:val="20"/>
          <w:lang w:val="en-US"/>
        </w:rPr>
        <w:t xml:space="preserve"> was a women who engaged in prostitution.</w:t>
      </w:r>
      <w:r w:rsidR="00C96606" w:rsidRPr="009D52FD">
        <w:rPr>
          <w:rStyle w:val="FootnoteReference"/>
          <w:sz w:val="20"/>
          <w:szCs w:val="20"/>
          <w:lang w:val="en-US"/>
        </w:rPr>
        <w:footnoteReference w:id="174"/>
      </w:r>
      <w:r w:rsidRPr="009D52FD">
        <w:rPr>
          <w:sz w:val="20"/>
          <w:szCs w:val="20"/>
          <w:lang w:val="en-US"/>
        </w:rPr>
        <w:t xml:space="preserve"> If, following the perpetration of the crime, the victim and the perpetrator married, it established the cessation of any judicial proceedings that were underway </w:t>
      </w:r>
      <w:r w:rsidR="008E38B0" w:rsidRPr="009D52FD">
        <w:rPr>
          <w:sz w:val="20"/>
          <w:szCs w:val="20"/>
          <w:lang w:val="en-US"/>
        </w:rPr>
        <w:t>or</w:t>
      </w:r>
      <w:r w:rsidRPr="009D52FD">
        <w:rPr>
          <w:sz w:val="20"/>
          <w:szCs w:val="20"/>
          <w:lang w:val="en-US"/>
        </w:rPr>
        <w:t xml:space="preserve"> had been initiated owing to the criminal conduct of the perpetrator</w:t>
      </w:r>
      <w:r w:rsidR="008E38B0" w:rsidRPr="009D52FD">
        <w:rPr>
          <w:sz w:val="20"/>
          <w:szCs w:val="20"/>
          <w:lang w:val="en-US"/>
        </w:rPr>
        <w:t>,</w:t>
      </w:r>
      <w:r w:rsidRPr="009D52FD">
        <w:rPr>
          <w:sz w:val="20"/>
          <w:szCs w:val="20"/>
          <w:lang w:val="en-US"/>
        </w:rPr>
        <w:t xml:space="preserve"> and even the suspension of execution of sentence if this had been delivered prior to the marriage. If the perpetrator and the victim did not marry, the former had to “provide the </w:t>
      </w:r>
      <w:r w:rsidR="00AE4C9E" w:rsidRPr="009D52FD">
        <w:rPr>
          <w:sz w:val="20"/>
          <w:szCs w:val="20"/>
          <w:lang w:val="en-US"/>
        </w:rPr>
        <w:t>offended party with a dowry, if she was single or a widow and, in any case, an honest woman,” as civil</w:t>
      </w:r>
      <w:r w:rsidRPr="009D52FD">
        <w:rPr>
          <w:sz w:val="20"/>
          <w:szCs w:val="20"/>
          <w:lang w:val="en-US"/>
        </w:rPr>
        <w:t xml:space="preserve"> </w:t>
      </w:r>
      <w:r w:rsidR="00AE4C9E" w:rsidRPr="009D52FD">
        <w:rPr>
          <w:sz w:val="20"/>
          <w:szCs w:val="20"/>
          <w:lang w:val="en-US"/>
        </w:rPr>
        <w:t>compensation.</w:t>
      </w:r>
      <w:r w:rsidR="00C96606" w:rsidRPr="009D52FD">
        <w:rPr>
          <w:rStyle w:val="FootnoteReference"/>
          <w:sz w:val="20"/>
          <w:szCs w:val="20"/>
          <w:lang w:val="en-US"/>
        </w:rPr>
        <w:footnoteReference w:id="175"/>
      </w:r>
    </w:p>
    <w:p w14:paraId="4145F3F5" w14:textId="77777777" w:rsidR="00F60854" w:rsidRPr="009D52FD" w:rsidRDefault="00F60854" w:rsidP="00F60854">
      <w:pPr>
        <w:tabs>
          <w:tab w:val="left" w:pos="567"/>
        </w:tabs>
        <w:spacing w:line="240" w:lineRule="auto"/>
        <w:rPr>
          <w:rFonts w:eastAsia="Calibri" w:cs="Arial"/>
          <w:bCs/>
          <w:sz w:val="20"/>
          <w:szCs w:val="22"/>
          <w:lang w:val="en-US" w:eastAsia="en-US"/>
        </w:rPr>
      </w:pPr>
    </w:p>
    <w:p w14:paraId="33ACCD5B" w14:textId="64984670" w:rsidR="00C96606" w:rsidRPr="009D52FD" w:rsidRDefault="008E38B0" w:rsidP="00AE4C9E">
      <w:pPr>
        <w:numPr>
          <w:ilvl w:val="0"/>
          <w:numId w:val="1"/>
        </w:numPr>
        <w:tabs>
          <w:tab w:val="left" w:pos="567"/>
        </w:tabs>
        <w:spacing w:line="240" w:lineRule="auto"/>
        <w:ind w:left="0" w:firstLine="0"/>
        <w:rPr>
          <w:sz w:val="20"/>
          <w:szCs w:val="20"/>
          <w:lang w:val="en-US"/>
        </w:rPr>
      </w:pPr>
      <w:r w:rsidRPr="009D52FD">
        <w:rPr>
          <w:sz w:val="20"/>
          <w:szCs w:val="20"/>
          <w:lang w:val="en-US"/>
        </w:rPr>
        <w:t>Regarding</w:t>
      </w:r>
      <w:r w:rsidR="00AE4C9E" w:rsidRPr="009D52FD">
        <w:rPr>
          <w:sz w:val="20"/>
          <w:szCs w:val="20"/>
          <w:lang w:val="en-US"/>
        </w:rPr>
        <w:t xml:space="preserve"> the crime of torture, the</w:t>
      </w:r>
      <w:r w:rsidR="00C96606" w:rsidRPr="009D52FD">
        <w:rPr>
          <w:sz w:val="20"/>
          <w:szCs w:val="20"/>
          <w:lang w:val="en-US"/>
        </w:rPr>
        <w:t xml:space="preserve"> </w:t>
      </w:r>
      <w:r w:rsidR="006B506A" w:rsidRPr="009D52FD">
        <w:rPr>
          <w:sz w:val="20"/>
          <w:szCs w:val="20"/>
          <w:lang w:val="en-US"/>
        </w:rPr>
        <w:t>Criminal Code</w:t>
      </w:r>
      <w:r w:rsidR="00C96606" w:rsidRPr="009D52FD">
        <w:rPr>
          <w:sz w:val="20"/>
          <w:szCs w:val="20"/>
          <w:lang w:val="en-US"/>
        </w:rPr>
        <w:t xml:space="preserve"> </w:t>
      </w:r>
      <w:r w:rsidR="00AE4C9E" w:rsidRPr="009D52FD">
        <w:rPr>
          <w:sz w:val="20"/>
          <w:szCs w:val="20"/>
          <w:lang w:val="en-US"/>
        </w:rPr>
        <w:t xml:space="preserve">in force at the time of the </w:t>
      </w:r>
      <w:r w:rsidRPr="009D52FD">
        <w:rPr>
          <w:sz w:val="20"/>
          <w:szCs w:val="20"/>
          <w:lang w:val="en-US"/>
        </w:rPr>
        <w:t>fac</w:t>
      </w:r>
      <w:r w:rsidR="00AE4C9E" w:rsidRPr="009D52FD">
        <w:rPr>
          <w:sz w:val="20"/>
          <w:szCs w:val="20"/>
          <w:lang w:val="en-US"/>
        </w:rPr>
        <w:t xml:space="preserve">ts circumscribed the application of a criminal penalty to cases in which the victim of the “suffering, offenses to human dignity, abuse, torture or atrocities” was a person who was detained and the perpetrator was </w:t>
      </w:r>
      <w:r w:rsidRPr="009D52FD">
        <w:rPr>
          <w:sz w:val="20"/>
          <w:szCs w:val="20"/>
          <w:lang w:val="en-US"/>
        </w:rPr>
        <w:t xml:space="preserve">his or </w:t>
      </w:r>
      <w:r w:rsidR="00AE4C9E" w:rsidRPr="009D52FD">
        <w:rPr>
          <w:sz w:val="20"/>
          <w:szCs w:val="20"/>
          <w:lang w:val="en-US"/>
        </w:rPr>
        <w:t>her guardian, prison guard or any other person who gave the order to execute such acts.</w:t>
      </w:r>
      <w:r w:rsidR="00C96606" w:rsidRPr="009D52FD">
        <w:rPr>
          <w:rStyle w:val="FootnoteReference"/>
          <w:sz w:val="20"/>
          <w:szCs w:val="20"/>
          <w:lang w:val="en-US"/>
        </w:rPr>
        <w:footnoteReference w:id="176"/>
      </w:r>
      <w:r w:rsidR="00AE4C9E" w:rsidRPr="009D52FD">
        <w:rPr>
          <w:sz w:val="20"/>
          <w:szCs w:val="20"/>
          <w:lang w:val="en-US"/>
        </w:rPr>
        <w:t xml:space="preserve"> </w:t>
      </w:r>
      <w:r w:rsidRPr="009D52FD">
        <w:rPr>
          <w:sz w:val="20"/>
          <w:szCs w:val="20"/>
          <w:lang w:val="en-US"/>
        </w:rPr>
        <w:t>The C</w:t>
      </w:r>
      <w:r w:rsidR="00AE4C9E" w:rsidRPr="009D52FD">
        <w:rPr>
          <w:sz w:val="20"/>
          <w:szCs w:val="20"/>
          <w:lang w:val="en-US"/>
        </w:rPr>
        <w:t xml:space="preserve">ode also contained a provision that established a </w:t>
      </w:r>
      <w:r w:rsidRPr="009D52FD">
        <w:rPr>
          <w:sz w:val="20"/>
          <w:szCs w:val="20"/>
          <w:lang w:val="en-US"/>
        </w:rPr>
        <w:t>prison sentence</w:t>
      </w:r>
      <w:r w:rsidR="00AE4C9E" w:rsidRPr="009D52FD">
        <w:rPr>
          <w:sz w:val="20"/>
          <w:szCs w:val="20"/>
          <w:lang w:val="en-US"/>
        </w:rPr>
        <w:t xml:space="preserve"> for anyone who reduced another person to slavery.</w:t>
      </w:r>
      <w:r w:rsidR="00C96606" w:rsidRPr="009D52FD">
        <w:rPr>
          <w:rStyle w:val="FootnoteReference"/>
          <w:sz w:val="20"/>
          <w:szCs w:val="20"/>
          <w:lang w:val="en-US"/>
        </w:rPr>
        <w:footnoteReference w:id="177"/>
      </w:r>
    </w:p>
    <w:p w14:paraId="074EDD40" w14:textId="77777777" w:rsidR="00C96606" w:rsidRPr="009D52FD" w:rsidRDefault="00C96606" w:rsidP="00C96606">
      <w:pPr>
        <w:tabs>
          <w:tab w:val="left" w:pos="567"/>
        </w:tabs>
        <w:spacing w:line="240" w:lineRule="auto"/>
        <w:rPr>
          <w:rFonts w:eastAsia="Calibri" w:cs="Arial"/>
          <w:bCs/>
          <w:sz w:val="20"/>
          <w:szCs w:val="22"/>
          <w:lang w:val="en-US" w:eastAsia="en-US"/>
        </w:rPr>
      </w:pPr>
    </w:p>
    <w:p w14:paraId="778A94C6" w14:textId="01DC0C85" w:rsidR="004F526E" w:rsidRPr="009D52FD" w:rsidRDefault="00AE4C9E" w:rsidP="004F526E">
      <w:pPr>
        <w:numPr>
          <w:ilvl w:val="0"/>
          <w:numId w:val="1"/>
        </w:numPr>
        <w:tabs>
          <w:tab w:val="left" w:pos="567"/>
        </w:tabs>
        <w:spacing w:line="240" w:lineRule="auto"/>
        <w:ind w:left="0" w:firstLine="0"/>
        <w:rPr>
          <w:rFonts w:eastAsia="Calibri" w:cs="Arial"/>
          <w:bCs/>
          <w:sz w:val="20"/>
          <w:szCs w:val="22"/>
          <w:lang w:val="en-US" w:eastAsia="en-US"/>
        </w:rPr>
      </w:pPr>
      <w:r w:rsidRPr="009D52FD">
        <w:rPr>
          <w:sz w:val="20"/>
          <w:szCs w:val="20"/>
          <w:lang w:val="en-US"/>
        </w:rPr>
        <w:t>In</w:t>
      </w:r>
      <w:r w:rsidR="004F526E" w:rsidRPr="009D52FD">
        <w:rPr>
          <w:sz w:val="20"/>
          <w:szCs w:val="20"/>
          <w:lang w:val="en-US"/>
        </w:rPr>
        <w:t xml:space="preserve"> 2001, </w:t>
      </w:r>
      <w:r w:rsidRPr="009D52FD">
        <w:rPr>
          <w:sz w:val="20"/>
          <w:szCs w:val="20"/>
          <w:lang w:val="en-US"/>
        </w:rPr>
        <w:t xml:space="preserve">in addition to the provisions of the </w:t>
      </w:r>
      <w:r w:rsidR="006B506A" w:rsidRPr="009D52FD">
        <w:rPr>
          <w:sz w:val="20"/>
          <w:szCs w:val="20"/>
          <w:lang w:val="en-US"/>
        </w:rPr>
        <w:t>Constitution</w:t>
      </w:r>
      <w:r w:rsidR="004F526E" w:rsidRPr="009D52FD">
        <w:rPr>
          <w:sz w:val="20"/>
          <w:szCs w:val="20"/>
          <w:lang w:val="en-US"/>
        </w:rPr>
        <w:t xml:space="preserve">, </w:t>
      </w:r>
      <w:r w:rsidRPr="009D52FD">
        <w:rPr>
          <w:sz w:val="20"/>
          <w:szCs w:val="20"/>
          <w:lang w:val="en-US"/>
        </w:rPr>
        <w:t xml:space="preserve">the Law on </w:t>
      </w:r>
      <w:r w:rsidR="000874BC" w:rsidRPr="009D52FD">
        <w:rPr>
          <w:sz w:val="20"/>
          <w:szCs w:val="20"/>
          <w:lang w:val="en-US"/>
        </w:rPr>
        <w:t xml:space="preserve">Violence against Women </w:t>
      </w:r>
      <w:r w:rsidRPr="009D52FD">
        <w:rPr>
          <w:sz w:val="20"/>
          <w:szCs w:val="20"/>
          <w:lang w:val="en-US"/>
        </w:rPr>
        <w:t xml:space="preserve">and the </w:t>
      </w:r>
      <w:r w:rsidR="000874BC" w:rsidRPr="009D52FD">
        <w:rPr>
          <w:sz w:val="20"/>
          <w:szCs w:val="20"/>
          <w:lang w:val="en-US"/>
        </w:rPr>
        <w:t>F</w:t>
      </w:r>
      <w:r w:rsidRPr="009D52FD">
        <w:rPr>
          <w:sz w:val="20"/>
          <w:szCs w:val="20"/>
          <w:lang w:val="en-US"/>
        </w:rPr>
        <w:t>amily</w:t>
      </w:r>
      <w:r w:rsidRPr="009D52FD">
        <w:rPr>
          <w:rStyle w:val="FootnoteReference"/>
          <w:sz w:val="20"/>
          <w:szCs w:val="20"/>
          <w:lang w:val="en-US"/>
        </w:rPr>
        <w:footnoteReference w:id="178"/>
      </w:r>
      <w:r w:rsidRPr="009D52FD">
        <w:rPr>
          <w:sz w:val="20"/>
          <w:szCs w:val="20"/>
          <w:lang w:val="en-US"/>
        </w:rPr>
        <w:t xml:space="preserve"> and the Law on </w:t>
      </w:r>
      <w:r w:rsidR="000874BC" w:rsidRPr="009D52FD">
        <w:rPr>
          <w:sz w:val="20"/>
          <w:szCs w:val="20"/>
          <w:lang w:val="en-US"/>
        </w:rPr>
        <w:t>Equal Opportunities for Women</w:t>
      </w:r>
      <w:r w:rsidRPr="009D52FD">
        <w:rPr>
          <w:rStyle w:val="FootnoteReference"/>
          <w:sz w:val="20"/>
          <w:szCs w:val="20"/>
          <w:lang w:val="en-US"/>
        </w:rPr>
        <w:footnoteReference w:id="179"/>
      </w:r>
      <w:r w:rsidRPr="009D52FD">
        <w:rPr>
          <w:sz w:val="20"/>
          <w:szCs w:val="20"/>
          <w:lang w:val="en-US"/>
        </w:rPr>
        <w:t xml:space="preserve"> were in force i</w:t>
      </w:r>
      <w:r w:rsidR="004F526E" w:rsidRPr="009D52FD">
        <w:rPr>
          <w:sz w:val="20"/>
          <w:szCs w:val="20"/>
          <w:lang w:val="en-US"/>
        </w:rPr>
        <w:t>n Venezuela</w:t>
      </w:r>
      <w:r w:rsidRPr="009D52FD">
        <w:rPr>
          <w:sz w:val="20"/>
          <w:szCs w:val="20"/>
          <w:lang w:val="en-US"/>
        </w:rPr>
        <w:t>.</w:t>
      </w:r>
    </w:p>
    <w:p w14:paraId="1A7A566F" w14:textId="77777777" w:rsidR="004F526E" w:rsidRPr="009D52FD" w:rsidRDefault="004F526E" w:rsidP="004F526E">
      <w:pPr>
        <w:tabs>
          <w:tab w:val="left" w:pos="567"/>
        </w:tabs>
        <w:spacing w:line="240" w:lineRule="auto"/>
        <w:rPr>
          <w:rFonts w:eastAsia="Calibri" w:cs="Arial"/>
          <w:bCs/>
          <w:sz w:val="20"/>
          <w:szCs w:val="22"/>
          <w:lang w:val="en-US" w:eastAsia="en-US"/>
        </w:rPr>
      </w:pPr>
    </w:p>
    <w:p w14:paraId="6252A661" w14:textId="6E60451B" w:rsidR="004F526E" w:rsidRPr="009D52FD" w:rsidRDefault="00AE4C9E" w:rsidP="00AE4C9E">
      <w:pPr>
        <w:numPr>
          <w:ilvl w:val="0"/>
          <w:numId w:val="1"/>
        </w:numPr>
        <w:tabs>
          <w:tab w:val="left" w:pos="567"/>
        </w:tabs>
        <w:spacing w:line="240" w:lineRule="auto"/>
        <w:ind w:left="0" w:firstLine="0"/>
        <w:rPr>
          <w:sz w:val="20"/>
          <w:szCs w:val="20"/>
          <w:lang w:val="en-US"/>
        </w:rPr>
      </w:pPr>
      <w:r w:rsidRPr="009D52FD">
        <w:rPr>
          <w:sz w:val="20"/>
          <w:szCs w:val="20"/>
          <w:lang w:val="en-US"/>
        </w:rPr>
        <w:t xml:space="preserve">The purpose of the </w:t>
      </w:r>
      <w:r w:rsidR="000874BC" w:rsidRPr="009D52FD">
        <w:rPr>
          <w:sz w:val="20"/>
          <w:szCs w:val="20"/>
          <w:lang w:val="en-US"/>
        </w:rPr>
        <w:t>Law on Violence against Women and the Family</w:t>
      </w:r>
      <w:r w:rsidRPr="009D52FD">
        <w:rPr>
          <w:sz w:val="20"/>
          <w:szCs w:val="20"/>
          <w:lang w:val="en-US"/>
        </w:rPr>
        <w:t xml:space="preserve"> was to prevent, cont</w:t>
      </w:r>
      <w:r w:rsidR="00052D0F" w:rsidRPr="009D52FD">
        <w:rPr>
          <w:sz w:val="20"/>
          <w:szCs w:val="20"/>
          <w:lang w:val="en-US"/>
        </w:rPr>
        <w:t>ain</w:t>
      </w:r>
      <w:r w:rsidRPr="009D52FD">
        <w:rPr>
          <w:sz w:val="20"/>
          <w:szCs w:val="20"/>
          <w:lang w:val="en-US"/>
        </w:rPr>
        <w:t>, punish and eradicate violence against women and the family, as well as to assist victims of the acts of violence included therein, which related to cases of “a</w:t>
      </w:r>
      <w:r w:rsidR="00052D0F" w:rsidRPr="009D52FD">
        <w:rPr>
          <w:sz w:val="20"/>
          <w:szCs w:val="20"/>
          <w:lang w:val="en-US"/>
        </w:rPr>
        <w:t>buse</w:t>
      </w:r>
      <w:r w:rsidRPr="009D52FD">
        <w:rPr>
          <w:sz w:val="20"/>
          <w:szCs w:val="20"/>
          <w:lang w:val="en-US"/>
        </w:rPr>
        <w:t>, threat or offense exercised against women [or] other members of the family, by husbands, cohabitants, former husbands, former cohabitants, or person who haves cohabited, ascendants, descendants</w:t>
      </w:r>
      <w:r w:rsidR="00052D0F" w:rsidRPr="009D52FD">
        <w:rPr>
          <w:sz w:val="20"/>
          <w:szCs w:val="20"/>
          <w:lang w:val="en-US"/>
        </w:rPr>
        <w:t>,</w:t>
      </w:r>
      <w:r w:rsidRPr="009D52FD">
        <w:rPr>
          <w:sz w:val="20"/>
          <w:szCs w:val="20"/>
          <w:lang w:val="en-US"/>
        </w:rPr>
        <w:t xml:space="preserve"> and collateral relatives, blood relatives or similar.</w:t>
      </w:r>
      <w:r w:rsidR="008006AA" w:rsidRPr="009D52FD">
        <w:rPr>
          <w:sz w:val="20"/>
          <w:szCs w:val="20"/>
          <w:lang w:val="en-US"/>
        </w:rPr>
        <w:t>”</w:t>
      </w:r>
      <w:r w:rsidR="008006AA" w:rsidRPr="009D52FD">
        <w:rPr>
          <w:rStyle w:val="FootnoteReference"/>
          <w:sz w:val="20"/>
          <w:szCs w:val="20"/>
          <w:lang w:val="en-US"/>
        </w:rPr>
        <w:footnoteReference w:id="180"/>
      </w:r>
      <w:r w:rsidRPr="009D52FD">
        <w:rPr>
          <w:sz w:val="20"/>
          <w:szCs w:val="20"/>
          <w:lang w:val="en-US"/>
        </w:rPr>
        <w:t xml:space="preserve"> This law established special procedures for receiving and processing complaints for the conducts defined in its text as </w:t>
      </w:r>
      <w:r w:rsidR="00052D0F" w:rsidRPr="009D52FD">
        <w:rPr>
          <w:sz w:val="20"/>
          <w:szCs w:val="20"/>
          <w:lang w:val="en-US"/>
        </w:rPr>
        <w:t>crimes</w:t>
      </w:r>
      <w:r w:rsidR="001E11A2" w:rsidRPr="009D52FD">
        <w:rPr>
          <w:rStyle w:val="FootnoteReference"/>
          <w:sz w:val="20"/>
          <w:szCs w:val="20"/>
          <w:lang w:val="en-US"/>
        </w:rPr>
        <w:footnoteReference w:id="181"/>
      </w:r>
      <w:r w:rsidR="003630BB" w:rsidRPr="009D52FD">
        <w:rPr>
          <w:sz w:val="20"/>
          <w:szCs w:val="20"/>
          <w:lang w:val="en-US"/>
        </w:rPr>
        <w:t xml:space="preserve"> and </w:t>
      </w:r>
      <w:r w:rsidRPr="009D52FD">
        <w:rPr>
          <w:sz w:val="20"/>
          <w:szCs w:val="20"/>
          <w:lang w:val="en-US"/>
        </w:rPr>
        <w:t>misdemeanors.</w:t>
      </w:r>
      <w:r w:rsidR="004F526E" w:rsidRPr="009D52FD">
        <w:rPr>
          <w:rStyle w:val="FootnoteReference"/>
          <w:sz w:val="20"/>
          <w:szCs w:val="20"/>
          <w:lang w:val="en-US"/>
        </w:rPr>
        <w:footnoteReference w:id="182"/>
      </w:r>
      <w:r w:rsidRPr="009D52FD">
        <w:rPr>
          <w:sz w:val="20"/>
          <w:szCs w:val="20"/>
          <w:lang w:val="en-US"/>
        </w:rPr>
        <w:t xml:space="preserve"> One of the misdemeanors consisted in failing to respond to the complaint when the </w:t>
      </w:r>
      <w:r w:rsidR="00052D0F" w:rsidRPr="009D52FD">
        <w:rPr>
          <w:sz w:val="20"/>
          <w:szCs w:val="20"/>
          <w:lang w:val="en-US"/>
        </w:rPr>
        <w:t>agency</w:t>
      </w:r>
      <w:r w:rsidRPr="009D52FD">
        <w:rPr>
          <w:sz w:val="20"/>
          <w:szCs w:val="20"/>
          <w:lang w:val="en-US"/>
        </w:rPr>
        <w:t xml:space="preserve"> receiving it failed to process the complaint within 48 hours.</w:t>
      </w:r>
      <w:r w:rsidR="008006AA" w:rsidRPr="009D52FD">
        <w:rPr>
          <w:rStyle w:val="FootnoteReference"/>
          <w:sz w:val="20"/>
          <w:szCs w:val="20"/>
          <w:lang w:val="en-US"/>
        </w:rPr>
        <w:footnoteReference w:id="183"/>
      </w:r>
      <w:r w:rsidRPr="009D52FD">
        <w:rPr>
          <w:sz w:val="20"/>
          <w:szCs w:val="20"/>
          <w:lang w:val="en-US"/>
        </w:rPr>
        <w:t xml:space="preserve"> In this regard, the law established that celerity was a procedural principle and meant that “[t]he </w:t>
      </w:r>
      <w:r w:rsidR="00052D0F" w:rsidRPr="009D52FD">
        <w:rPr>
          <w:sz w:val="20"/>
          <w:szCs w:val="20"/>
          <w:lang w:val="en-US"/>
        </w:rPr>
        <w:t xml:space="preserve">agencies </w:t>
      </w:r>
      <w:r w:rsidRPr="009D52FD">
        <w:rPr>
          <w:sz w:val="20"/>
          <w:szCs w:val="20"/>
          <w:lang w:val="en-US"/>
        </w:rPr>
        <w:t xml:space="preserve">receiving complaints and the competent courts shall give preference to </w:t>
      </w:r>
      <w:r w:rsidR="00052D0F" w:rsidRPr="009D52FD">
        <w:rPr>
          <w:sz w:val="20"/>
          <w:szCs w:val="20"/>
          <w:lang w:val="en-US"/>
        </w:rPr>
        <w:t>investigating</w:t>
      </w:r>
      <w:r w:rsidRPr="009D52FD">
        <w:rPr>
          <w:sz w:val="20"/>
          <w:szCs w:val="20"/>
          <w:lang w:val="en-US"/>
        </w:rPr>
        <w:t xml:space="preserve"> the acts established in the law.</w:t>
      </w:r>
      <w:r w:rsidR="008006AA" w:rsidRPr="009D52FD">
        <w:rPr>
          <w:sz w:val="20"/>
          <w:szCs w:val="20"/>
          <w:lang w:val="en-US"/>
        </w:rPr>
        <w:t>”</w:t>
      </w:r>
      <w:r w:rsidR="008006AA" w:rsidRPr="009D52FD">
        <w:rPr>
          <w:rStyle w:val="FootnoteReference"/>
          <w:sz w:val="20"/>
          <w:szCs w:val="20"/>
          <w:lang w:val="en-US"/>
        </w:rPr>
        <w:footnoteReference w:id="184"/>
      </w:r>
      <w:r w:rsidRPr="009D52FD">
        <w:rPr>
          <w:sz w:val="20"/>
          <w:szCs w:val="20"/>
          <w:lang w:val="en-US"/>
        </w:rPr>
        <w:t xml:space="preserve"> The most relevant element of this aspect was the listing within the law of the </w:t>
      </w:r>
      <w:r w:rsidR="00052D0F" w:rsidRPr="009D52FD">
        <w:rPr>
          <w:sz w:val="20"/>
          <w:szCs w:val="20"/>
          <w:lang w:val="en-US"/>
        </w:rPr>
        <w:t>agencies</w:t>
      </w:r>
      <w:r w:rsidRPr="009D52FD">
        <w:rPr>
          <w:sz w:val="20"/>
          <w:szCs w:val="20"/>
          <w:lang w:val="en-US"/>
        </w:rPr>
        <w:t xml:space="preserve"> authorized to receive this type of complaint, which included </w:t>
      </w:r>
      <w:r w:rsidR="00793484" w:rsidRPr="009D52FD">
        <w:rPr>
          <w:sz w:val="20"/>
          <w:szCs w:val="20"/>
          <w:lang w:val="en-US"/>
        </w:rPr>
        <w:t xml:space="preserve">justices of the peace and the family, criminal trial courts, prefectures and civil </w:t>
      </w:r>
      <w:r w:rsidR="00075DEC" w:rsidRPr="009D52FD">
        <w:rPr>
          <w:sz w:val="20"/>
          <w:szCs w:val="20"/>
          <w:lang w:val="en-US"/>
        </w:rPr>
        <w:t xml:space="preserve">bureaus </w:t>
      </w:r>
      <w:r w:rsidR="00793484" w:rsidRPr="009D52FD">
        <w:rPr>
          <w:sz w:val="20"/>
          <w:szCs w:val="20"/>
          <w:lang w:val="en-US"/>
        </w:rPr>
        <w:t xml:space="preserve">– </w:t>
      </w:r>
      <w:r w:rsidR="00075DEC" w:rsidRPr="009D52FD">
        <w:rPr>
          <w:sz w:val="20"/>
          <w:szCs w:val="20"/>
          <w:lang w:val="en-US"/>
        </w:rPr>
        <w:t>envisaging</w:t>
      </w:r>
      <w:r w:rsidR="00793484" w:rsidRPr="009D52FD">
        <w:rPr>
          <w:sz w:val="20"/>
          <w:szCs w:val="20"/>
          <w:lang w:val="en-US"/>
        </w:rPr>
        <w:t xml:space="preserve"> the creation of special departments within them – police departments, the Public Prosecution Service, and also any other </w:t>
      </w:r>
      <w:r w:rsidR="00052D0F" w:rsidRPr="009D52FD">
        <w:rPr>
          <w:sz w:val="20"/>
          <w:szCs w:val="20"/>
          <w:lang w:val="en-US"/>
        </w:rPr>
        <w:t xml:space="preserve">agency </w:t>
      </w:r>
      <w:r w:rsidR="00793484" w:rsidRPr="009D52FD">
        <w:rPr>
          <w:sz w:val="20"/>
          <w:szCs w:val="20"/>
          <w:lang w:val="en-US"/>
        </w:rPr>
        <w:t>that, in future, would be attributed with such competence.</w:t>
      </w:r>
      <w:r w:rsidR="004F526E" w:rsidRPr="009D52FD">
        <w:rPr>
          <w:rStyle w:val="FootnoteReference"/>
          <w:sz w:val="20"/>
          <w:szCs w:val="20"/>
          <w:lang w:val="en-US"/>
        </w:rPr>
        <w:footnoteReference w:id="185"/>
      </w:r>
      <w:r w:rsidR="004F526E" w:rsidRPr="009D52FD">
        <w:rPr>
          <w:sz w:val="20"/>
          <w:szCs w:val="20"/>
          <w:lang w:val="en-US"/>
        </w:rPr>
        <w:t xml:space="preserve"> </w:t>
      </w:r>
      <w:r w:rsidR="00793484" w:rsidRPr="009D52FD">
        <w:rPr>
          <w:sz w:val="20"/>
          <w:szCs w:val="20"/>
          <w:lang w:val="en-US"/>
        </w:rPr>
        <w:t xml:space="preserve">The legislators also anticipated the training on the issue of violence against women and the family </w:t>
      </w:r>
      <w:r w:rsidR="00052D0F" w:rsidRPr="009D52FD">
        <w:rPr>
          <w:sz w:val="20"/>
          <w:szCs w:val="20"/>
          <w:lang w:val="en-US"/>
        </w:rPr>
        <w:t>that would be required by</w:t>
      </w:r>
      <w:r w:rsidR="00793484" w:rsidRPr="009D52FD">
        <w:rPr>
          <w:sz w:val="20"/>
          <w:szCs w:val="20"/>
          <w:lang w:val="en-US"/>
        </w:rPr>
        <w:t xml:space="preserve"> the agents responsible for processing complaints and conducting the resulting investigations.</w:t>
      </w:r>
      <w:r w:rsidR="004F526E" w:rsidRPr="009D52FD">
        <w:rPr>
          <w:rStyle w:val="FootnoteReference"/>
          <w:sz w:val="20"/>
          <w:szCs w:val="20"/>
          <w:lang w:val="en-US"/>
        </w:rPr>
        <w:footnoteReference w:id="186"/>
      </w:r>
    </w:p>
    <w:p w14:paraId="17C5D113" w14:textId="77777777" w:rsidR="004F526E" w:rsidRPr="009D52FD" w:rsidRDefault="004F526E" w:rsidP="004F526E">
      <w:pPr>
        <w:tabs>
          <w:tab w:val="left" w:pos="567"/>
        </w:tabs>
        <w:spacing w:line="240" w:lineRule="auto"/>
        <w:rPr>
          <w:sz w:val="20"/>
          <w:szCs w:val="20"/>
          <w:lang w:val="en-US"/>
        </w:rPr>
      </w:pPr>
    </w:p>
    <w:p w14:paraId="1AF286B8" w14:textId="510B9A67" w:rsidR="004F526E" w:rsidRPr="009D52FD" w:rsidRDefault="00052D0F" w:rsidP="000874BC">
      <w:pPr>
        <w:numPr>
          <w:ilvl w:val="0"/>
          <w:numId w:val="1"/>
        </w:numPr>
        <w:tabs>
          <w:tab w:val="left" w:pos="567"/>
        </w:tabs>
        <w:spacing w:line="240" w:lineRule="auto"/>
        <w:ind w:left="0" w:firstLine="0"/>
        <w:rPr>
          <w:rFonts w:eastAsia="Calibri" w:cs="Arial"/>
          <w:bCs/>
          <w:sz w:val="20"/>
          <w:szCs w:val="22"/>
          <w:lang w:val="en-US" w:eastAsia="en-US"/>
        </w:rPr>
      </w:pPr>
      <w:r w:rsidRPr="009D52FD">
        <w:rPr>
          <w:sz w:val="20"/>
          <w:szCs w:val="20"/>
          <w:lang w:val="en-US"/>
        </w:rPr>
        <w:t>According to</w:t>
      </w:r>
      <w:r w:rsidR="000874BC" w:rsidRPr="009D52FD">
        <w:rPr>
          <w:sz w:val="20"/>
          <w:szCs w:val="20"/>
          <w:lang w:val="en-US"/>
        </w:rPr>
        <w:t xml:space="preserve"> the law</w:t>
      </w:r>
      <w:r w:rsidRPr="009D52FD">
        <w:rPr>
          <w:sz w:val="20"/>
          <w:szCs w:val="20"/>
          <w:lang w:val="en-US"/>
        </w:rPr>
        <w:t xml:space="preserve">, once the complaint had been filed, the procedure required </w:t>
      </w:r>
      <w:r w:rsidR="000874BC" w:rsidRPr="009D52FD">
        <w:rPr>
          <w:sz w:val="20"/>
          <w:szCs w:val="20"/>
          <w:lang w:val="en-US"/>
        </w:rPr>
        <w:t xml:space="preserve">the authorities in charge of the </w:t>
      </w:r>
      <w:r w:rsidRPr="009D52FD">
        <w:rPr>
          <w:sz w:val="20"/>
          <w:szCs w:val="20"/>
          <w:lang w:val="en-US"/>
        </w:rPr>
        <w:t>agencies</w:t>
      </w:r>
      <w:r w:rsidR="000874BC" w:rsidRPr="009D52FD">
        <w:rPr>
          <w:sz w:val="20"/>
          <w:szCs w:val="20"/>
          <w:lang w:val="en-US"/>
        </w:rPr>
        <w:t xml:space="preserve"> that received complaints to order a medical examination of the victim. The possibility of ordering precautionary measures of protection was also considered by </w:t>
      </w:r>
      <w:r w:rsidR="000874BC" w:rsidRPr="009D52FD">
        <w:rPr>
          <w:sz w:val="20"/>
          <w:szCs w:val="20"/>
          <w:lang w:val="en-US"/>
        </w:rPr>
        <w:lastRenderedPageBreak/>
        <w:t xml:space="preserve">this law, and it established that these could be ordered by the agents who received complaints at the time the complaint was filed, or by the competent judge in the case, who also had exclusive powers to order specific measures </w:t>
      </w:r>
      <w:r w:rsidR="00FD0BFD" w:rsidRPr="009D52FD">
        <w:rPr>
          <w:sz w:val="20"/>
          <w:szCs w:val="20"/>
          <w:lang w:val="en-US"/>
        </w:rPr>
        <w:t>that differed from</w:t>
      </w:r>
      <w:r w:rsidR="000874BC" w:rsidRPr="009D52FD">
        <w:rPr>
          <w:sz w:val="20"/>
          <w:szCs w:val="20"/>
          <w:lang w:val="en-US"/>
        </w:rPr>
        <w:t xml:space="preserve"> those that could be adopted by the non-jurisdictional bodies at the time they received the complaint.</w:t>
      </w:r>
      <w:r w:rsidR="004F526E" w:rsidRPr="009D52FD">
        <w:rPr>
          <w:rStyle w:val="FootnoteReference"/>
          <w:sz w:val="20"/>
          <w:szCs w:val="20"/>
          <w:lang w:val="en-US"/>
        </w:rPr>
        <w:footnoteReference w:id="187"/>
      </w:r>
      <w:r w:rsidR="000874BC" w:rsidRPr="009D52FD">
        <w:rPr>
          <w:sz w:val="20"/>
          <w:szCs w:val="20"/>
          <w:lang w:val="en-US"/>
        </w:rPr>
        <w:t xml:space="preserve"> However, the authority to order measures of protection, attributed by the law to the officials responsible for receiving the complaints was subsequently eliminated owing to the 2006 ruling </w:t>
      </w:r>
      <w:r w:rsidR="003630BB" w:rsidRPr="009D52FD">
        <w:rPr>
          <w:sz w:val="20"/>
          <w:szCs w:val="20"/>
          <w:lang w:val="en-US"/>
        </w:rPr>
        <w:t xml:space="preserve">of the </w:t>
      </w:r>
      <w:r w:rsidR="00D43515" w:rsidRPr="009D52FD">
        <w:rPr>
          <w:sz w:val="20"/>
          <w:szCs w:val="20"/>
          <w:lang w:val="en-US"/>
        </w:rPr>
        <w:t>Supreme Court of Justice</w:t>
      </w:r>
      <w:r w:rsidR="000874BC" w:rsidRPr="009D52FD">
        <w:rPr>
          <w:sz w:val="20"/>
          <w:szCs w:val="20"/>
          <w:lang w:val="en-US"/>
        </w:rPr>
        <w:t>, which admitted a</w:t>
      </w:r>
      <w:r w:rsidR="005D04B8" w:rsidRPr="009D52FD">
        <w:rPr>
          <w:sz w:val="20"/>
          <w:szCs w:val="20"/>
          <w:lang w:val="en-US"/>
        </w:rPr>
        <w:t xml:space="preserve">n appeal for annulment </w:t>
      </w:r>
      <w:r w:rsidR="000874BC" w:rsidRPr="009D52FD">
        <w:rPr>
          <w:sz w:val="20"/>
          <w:szCs w:val="20"/>
          <w:lang w:val="en-US"/>
        </w:rPr>
        <w:t>filed by</w:t>
      </w:r>
      <w:r w:rsidR="004F526E" w:rsidRPr="009D52FD">
        <w:rPr>
          <w:sz w:val="20"/>
          <w:szCs w:val="20"/>
          <w:lang w:val="en-US"/>
        </w:rPr>
        <w:t xml:space="preserve"> </w:t>
      </w:r>
      <w:r w:rsidR="000874BC" w:rsidRPr="009D52FD">
        <w:rPr>
          <w:sz w:val="20"/>
          <w:szCs w:val="20"/>
          <w:lang w:val="en-US"/>
        </w:rPr>
        <w:t>the Prosecutor General</w:t>
      </w:r>
      <w:r w:rsidR="004F526E" w:rsidRPr="009D52FD">
        <w:rPr>
          <w:sz w:val="20"/>
          <w:szCs w:val="20"/>
          <w:lang w:val="en-US"/>
        </w:rPr>
        <w:t xml:space="preserve"> </w:t>
      </w:r>
      <w:r w:rsidR="000874BC" w:rsidRPr="009D52FD">
        <w:rPr>
          <w:sz w:val="20"/>
          <w:szCs w:val="20"/>
          <w:lang w:val="en-US"/>
        </w:rPr>
        <w:t>in</w:t>
      </w:r>
      <w:r w:rsidR="004F526E" w:rsidRPr="009D52FD">
        <w:rPr>
          <w:sz w:val="20"/>
          <w:szCs w:val="20"/>
          <w:lang w:val="en-US"/>
        </w:rPr>
        <w:t xml:space="preserve"> 2003</w:t>
      </w:r>
      <w:r w:rsidR="000874BC" w:rsidRPr="009D52FD">
        <w:rPr>
          <w:sz w:val="20"/>
          <w:szCs w:val="20"/>
          <w:lang w:val="en-US"/>
        </w:rPr>
        <w:t>.</w:t>
      </w:r>
      <w:r w:rsidR="004F526E" w:rsidRPr="009D52FD">
        <w:rPr>
          <w:rStyle w:val="FootnoteReference"/>
          <w:sz w:val="20"/>
          <w:szCs w:val="20"/>
          <w:lang w:val="en-US"/>
        </w:rPr>
        <w:footnoteReference w:id="188"/>
      </w:r>
    </w:p>
    <w:p w14:paraId="6526F8E3" w14:textId="00B8AAA5" w:rsidR="004F526E" w:rsidRPr="009D52FD" w:rsidRDefault="004F526E" w:rsidP="004F526E">
      <w:pPr>
        <w:tabs>
          <w:tab w:val="left" w:pos="567"/>
        </w:tabs>
        <w:spacing w:line="240" w:lineRule="auto"/>
        <w:rPr>
          <w:rFonts w:eastAsia="Calibri" w:cs="Arial"/>
          <w:bCs/>
          <w:sz w:val="20"/>
          <w:szCs w:val="22"/>
          <w:lang w:val="en-US" w:eastAsia="en-US"/>
        </w:rPr>
      </w:pPr>
    </w:p>
    <w:p w14:paraId="2DC02697" w14:textId="5520D8C2" w:rsidR="005A27C2" w:rsidRPr="009D52FD" w:rsidRDefault="000874BC" w:rsidP="00DB373F">
      <w:pPr>
        <w:numPr>
          <w:ilvl w:val="0"/>
          <w:numId w:val="1"/>
        </w:numPr>
        <w:tabs>
          <w:tab w:val="left" w:pos="567"/>
        </w:tabs>
        <w:spacing w:line="240" w:lineRule="auto"/>
        <w:ind w:left="0" w:firstLine="0"/>
        <w:rPr>
          <w:rFonts w:eastAsia="Calibri" w:cs="Arial"/>
          <w:bCs/>
          <w:sz w:val="20"/>
          <w:szCs w:val="22"/>
          <w:lang w:val="en-US" w:eastAsia="en-US"/>
        </w:rPr>
      </w:pPr>
      <w:r w:rsidRPr="009D52FD">
        <w:rPr>
          <w:sz w:val="20"/>
          <w:szCs w:val="20"/>
          <w:lang w:val="en-US"/>
        </w:rPr>
        <w:t>The</w:t>
      </w:r>
      <w:r w:rsidR="004F526E" w:rsidRPr="009D52FD">
        <w:rPr>
          <w:sz w:val="20"/>
          <w:szCs w:val="20"/>
          <w:lang w:val="en-US"/>
        </w:rPr>
        <w:t xml:space="preserve"> </w:t>
      </w:r>
      <w:r w:rsidRPr="009D52FD">
        <w:rPr>
          <w:sz w:val="20"/>
          <w:szCs w:val="20"/>
          <w:lang w:val="en-US"/>
        </w:rPr>
        <w:t>Law on Equal Opportunities for Women was adopted in order to guarantee women the full exercise of their rights, and the development of their personality, aptitudes and capabilities.</w:t>
      </w:r>
      <w:r w:rsidR="004F526E" w:rsidRPr="009D52FD">
        <w:rPr>
          <w:rStyle w:val="FootnoteReference"/>
          <w:sz w:val="20"/>
          <w:szCs w:val="20"/>
          <w:lang w:val="en-US"/>
        </w:rPr>
        <w:footnoteReference w:id="189"/>
      </w:r>
      <w:r w:rsidRPr="009D52FD">
        <w:rPr>
          <w:sz w:val="20"/>
          <w:szCs w:val="20"/>
          <w:lang w:val="en-US"/>
        </w:rPr>
        <w:t xml:space="preserve"> The law established provisions regarding the labor, political, trade uni</w:t>
      </w:r>
      <w:r w:rsidR="005D04B8" w:rsidRPr="009D52FD">
        <w:rPr>
          <w:sz w:val="20"/>
          <w:szCs w:val="20"/>
          <w:lang w:val="en-US"/>
        </w:rPr>
        <w:t>o</w:t>
      </w:r>
      <w:r w:rsidRPr="009D52FD">
        <w:rPr>
          <w:sz w:val="20"/>
          <w:szCs w:val="20"/>
          <w:lang w:val="en-US"/>
        </w:rPr>
        <w:t>n, economic and social rights of women</w:t>
      </w:r>
      <w:r w:rsidR="004F526E" w:rsidRPr="009D52FD">
        <w:rPr>
          <w:sz w:val="20"/>
          <w:szCs w:val="20"/>
          <w:lang w:val="en-US"/>
        </w:rPr>
        <w:t>.</w:t>
      </w:r>
      <w:r w:rsidRPr="009D52FD">
        <w:rPr>
          <w:sz w:val="20"/>
          <w:szCs w:val="20"/>
          <w:lang w:val="en-US"/>
        </w:rPr>
        <w:t xml:space="preserve"> It also established the creat</w:t>
      </w:r>
      <w:r w:rsidR="00FD0BFD" w:rsidRPr="009D52FD">
        <w:rPr>
          <w:sz w:val="20"/>
          <w:szCs w:val="20"/>
          <w:lang w:val="en-US"/>
        </w:rPr>
        <w:t>ion</w:t>
      </w:r>
      <w:r w:rsidRPr="009D52FD">
        <w:rPr>
          <w:sz w:val="20"/>
          <w:szCs w:val="20"/>
          <w:lang w:val="en-US"/>
        </w:rPr>
        <w:t xml:space="preserve"> of the National Institute for Women as a “permanent body</w:t>
      </w:r>
      <w:r w:rsidR="005D04B8" w:rsidRPr="009D52FD">
        <w:rPr>
          <w:sz w:val="20"/>
          <w:szCs w:val="20"/>
          <w:lang w:val="en-US"/>
        </w:rPr>
        <w:t xml:space="preserve"> for the de</w:t>
      </w:r>
      <w:r w:rsidR="00FD0BFD" w:rsidRPr="009D52FD">
        <w:rPr>
          <w:sz w:val="20"/>
          <w:szCs w:val="20"/>
          <w:lang w:val="en-US"/>
        </w:rPr>
        <w:t>sig</w:t>
      </w:r>
      <w:r w:rsidR="005D04B8" w:rsidRPr="009D52FD">
        <w:rPr>
          <w:sz w:val="20"/>
          <w:szCs w:val="20"/>
          <w:lang w:val="en-US"/>
        </w:rPr>
        <w:t xml:space="preserve">n, </w:t>
      </w:r>
      <w:r w:rsidR="00FD0BFD" w:rsidRPr="009D52FD">
        <w:rPr>
          <w:sz w:val="20"/>
          <w:szCs w:val="20"/>
          <w:lang w:val="en-US"/>
        </w:rPr>
        <w:t>implementation</w:t>
      </w:r>
      <w:r w:rsidR="005D04B8" w:rsidRPr="009D52FD">
        <w:rPr>
          <w:sz w:val="20"/>
          <w:szCs w:val="20"/>
          <w:lang w:val="en-US"/>
        </w:rPr>
        <w:t>, direction, coordination, supervision and evaluation of policies and matters related to the condition and situation of women.</w:t>
      </w:r>
      <w:r w:rsidR="004F526E" w:rsidRPr="009D52FD">
        <w:rPr>
          <w:sz w:val="20"/>
          <w:szCs w:val="20"/>
          <w:lang w:val="en-US"/>
        </w:rPr>
        <w:t>”</w:t>
      </w:r>
      <w:r w:rsidR="004F526E" w:rsidRPr="009D52FD">
        <w:rPr>
          <w:rStyle w:val="FootnoteReference"/>
          <w:sz w:val="20"/>
          <w:szCs w:val="20"/>
          <w:lang w:val="en-US"/>
        </w:rPr>
        <w:footnoteReference w:id="190"/>
      </w:r>
      <w:r w:rsidR="005D04B8" w:rsidRPr="009D52FD">
        <w:rPr>
          <w:sz w:val="20"/>
          <w:szCs w:val="20"/>
          <w:lang w:val="en-US"/>
        </w:rPr>
        <w:t xml:space="preserve"> In this regard, it also created the Office for the Defense of Women’s Rights</w:t>
      </w:r>
      <w:r w:rsidR="004F526E" w:rsidRPr="009D52FD">
        <w:rPr>
          <w:sz w:val="20"/>
          <w:szCs w:val="20"/>
          <w:lang w:val="en-US"/>
        </w:rPr>
        <w:t xml:space="preserve">, </w:t>
      </w:r>
      <w:r w:rsidR="005D04B8" w:rsidRPr="009D52FD">
        <w:rPr>
          <w:sz w:val="20"/>
          <w:szCs w:val="20"/>
          <w:lang w:val="en-US"/>
        </w:rPr>
        <w:t xml:space="preserve">the main functions of which were to ensure compliance with all the laws on women’s rights and, </w:t>
      </w:r>
      <w:r w:rsidR="00FD0BFD" w:rsidRPr="009D52FD">
        <w:rPr>
          <w:sz w:val="20"/>
          <w:szCs w:val="20"/>
          <w:lang w:val="en-US"/>
        </w:rPr>
        <w:t>especiall</w:t>
      </w:r>
      <w:r w:rsidR="005D04B8" w:rsidRPr="009D52FD">
        <w:rPr>
          <w:sz w:val="20"/>
          <w:szCs w:val="20"/>
          <w:lang w:val="en-US"/>
        </w:rPr>
        <w:t>y, to receive and process complaints relating to the violation of those laws.</w:t>
      </w:r>
      <w:r w:rsidR="004F526E" w:rsidRPr="009D52FD">
        <w:rPr>
          <w:rStyle w:val="FootnoteReference"/>
          <w:sz w:val="20"/>
          <w:szCs w:val="20"/>
          <w:lang w:val="en-US"/>
        </w:rPr>
        <w:footnoteReference w:id="191"/>
      </w:r>
      <w:r w:rsidR="005D04B8" w:rsidRPr="009D52FD">
        <w:rPr>
          <w:sz w:val="20"/>
          <w:szCs w:val="20"/>
          <w:lang w:val="en-US"/>
        </w:rPr>
        <w:t xml:space="preserve"> Another objective of this law was to guarantee the rights of women in the face of attacks on their physical, sexual, emotional and psychological integrity, obliging public officials who were </w:t>
      </w:r>
      <w:r w:rsidR="00FD0BFD" w:rsidRPr="009D52FD">
        <w:rPr>
          <w:sz w:val="20"/>
          <w:szCs w:val="20"/>
          <w:lang w:val="en-US"/>
        </w:rPr>
        <w:t>informed</w:t>
      </w:r>
      <w:r w:rsidR="005D04B8" w:rsidRPr="009D52FD">
        <w:rPr>
          <w:sz w:val="20"/>
          <w:szCs w:val="20"/>
          <w:lang w:val="en-US"/>
        </w:rPr>
        <w:t xml:space="preserve"> of this type of conduct “to take due precautions” to preserve the physical and moral integrity of victims during the </w:t>
      </w:r>
      <w:r w:rsidR="00FD0BFD" w:rsidRPr="009D52FD">
        <w:rPr>
          <w:sz w:val="20"/>
          <w:szCs w:val="20"/>
          <w:lang w:val="en-US"/>
        </w:rPr>
        <w:t>resulting</w:t>
      </w:r>
      <w:r w:rsidR="005D04B8" w:rsidRPr="009D52FD">
        <w:rPr>
          <w:sz w:val="20"/>
          <w:szCs w:val="20"/>
          <w:lang w:val="en-US"/>
        </w:rPr>
        <w:t xml:space="preserve"> procedures and investigations.</w:t>
      </w:r>
      <w:r w:rsidR="004F526E" w:rsidRPr="009D52FD">
        <w:rPr>
          <w:rStyle w:val="FootnoteReference"/>
          <w:sz w:val="20"/>
          <w:szCs w:val="20"/>
          <w:lang w:val="en-US"/>
        </w:rPr>
        <w:footnoteReference w:id="192"/>
      </w:r>
      <w:r w:rsidR="005D04B8" w:rsidRPr="009D52FD">
        <w:rPr>
          <w:sz w:val="20"/>
          <w:szCs w:val="20"/>
          <w:lang w:val="en-US"/>
        </w:rPr>
        <w:t xml:space="preserve"> This law did not define the concept of violence against women, or the different ways in which such violence may be expressed.</w:t>
      </w:r>
    </w:p>
    <w:p w14:paraId="3F952D92" w14:textId="51C30C63" w:rsidR="009E4F6C" w:rsidRPr="009D52FD" w:rsidRDefault="009E4F6C" w:rsidP="009E4F6C">
      <w:pPr>
        <w:keepNext/>
        <w:keepLines/>
        <w:tabs>
          <w:tab w:val="left" w:pos="851"/>
        </w:tabs>
        <w:spacing w:line="240" w:lineRule="auto"/>
        <w:jc w:val="center"/>
        <w:outlineLvl w:val="0"/>
        <w:rPr>
          <w:rFonts w:cs="Verdana"/>
          <w:b/>
          <w:bCs/>
          <w:caps/>
          <w:snapToGrid w:val="0"/>
          <w:sz w:val="20"/>
          <w:szCs w:val="20"/>
          <w:lang w:val="en-US"/>
        </w:rPr>
      </w:pPr>
      <w:bookmarkStart w:id="69" w:name="_Toc514172626"/>
      <w:bookmarkStart w:id="70" w:name="_Toc51400088"/>
      <w:r w:rsidRPr="009D52FD">
        <w:rPr>
          <w:rFonts w:cs="Verdana"/>
          <w:b/>
          <w:bCs/>
          <w:caps/>
          <w:snapToGrid w:val="0"/>
          <w:sz w:val="20"/>
          <w:szCs w:val="20"/>
          <w:lang w:val="en-US"/>
        </w:rPr>
        <w:lastRenderedPageBreak/>
        <w:t>vIii</w:t>
      </w:r>
      <w:r w:rsidRPr="009D52FD">
        <w:rPr>
          <w:rFonts w:cs="Verdana"/>
          <w:b/>
          <w:bCs/>
          <w:caps/>
          <w:snapToGrid w:val="0"/>
          <w:sz w:val="20"/>
          <w:szCs w:val="20"/>
          <w:lang w:val="en-US"/>
        </w:rPr>
        <w:br/>
      </w:r>
      <w:r w:rsidR="00315BAF" w:rsidRPr="009D52FD">
        <w:rPr>
          <w:rFonts w:cs="Verdana"/>
          <w:b/>
          <w:bCs/>
          <w:caps/>
          <w:snapToGrid w:val="0"/>
          <w:sz w:val="20"/>
          <w:szCs w:val="20"/>
          <w:lang w:val="en-US"/>
        </w:rPr>
        <w:t>MERITS</w:t>
      </w:r>
      <w:bookmarkEnd w:id="69"/>
      <w:bookmarkEnd w:id="70"/>
    </w:p>
    <w:p w14:paraId="59021527" w14:textId="77777777" w:rsidR="009E4F6C" w:rsidRPr="009D52FD" w:rsidRDefault="009E4F6C" w:rsidP="009E4F6C">
      <w:pPr>
        <w:spacing w:line="240" w:lineRule="auto"/>
        <w:rPr>
          <w:rFonts w:cs="Verdana"/>
          <w:bCs/>
          <w:caps/>
          <w:snapToGrid w:val="0"/>
          <w:sz w:val="20"/>
          <w:szCs w:val="20"/>
          <w:lang w:val="en-US"/>
        </w:rPr>
      </w:pPr>
    </w:p>
    <w:p w14:paraId="3FF24E36" w14:textId="4FEADB7A" w:rsidR="008E009C" w:rsidRPr="009D52FD" w:rsidRDefault="005D04B8" w:rsidP="00D214A0">
      <w:pPr>
        <w:numPr>
          <w:ilvl w:val="0"/>
          <w:numId w:val="1"/>
        </w:numPr>
        <w:tabs>
          <w:tab w:val="left" w:pos="567"/>
        </w:tabs>
        <w:spacing w:line="240" w:lineRule="auto"/>
        <w:ind w:left="0" w:firstLine="0"/>
        <w:rPr>
          <w:sz w:val="20"/>
          <w:szCs w:val="20"/>
          <w:lang w:val="en-US"/>
        </w:rPr>
      </w:pPr>
      <w:r w:rsidRPr="009D52FD">
        <w:rPr>
          <w:sz w:val="20"/>
          <w:szCs w:val="20"/>
          <w:lang w:val="en-US"/>
        </w:rPr>
        <w:t xml:space="preserve">The facts of this case relate to the deprivation of </w:t>
      </w:r>
      <w:r w:rsidR="00D214A0" w:rsidRPr="009D52FD">
        <w:rPr>
          <w:sz w:val="20"/>
          <w:szCs w:val="20"/>
          <w:lang w:val="en-US"/>
        </w:rPr>
        <w:t>l</w:t>
      </w:r>
      <w:r w:rsidRPr="009D52FD">
        <w:rPr>
          <w:sz w:val="20"/>
          <w:szCs w:val="20"/>
          <w:lang w:val="en-US"/>
        </w:rPr>
        <w:t xml:space="preserve">iberty of a woman, who was 18 years of age at the time of the events, by </w:t>
      </w:r>
      <w:r w:rsidR="00544F92" w:rsidRPr="009D52FD">
        <w:rPr>
          <w:sz w:val="20"/>
          <w:szCs w:val="20"/>
          <w:lang w:val="en-US"/>
        </w:rPr>
        <w:t>a</w:t>
      </w:r>
      <w:r w:rsidR="0001701A" w:rsidRPr="009D52FD">
        <w:rPr>
          <w:sz w:val="20"/>
          <w:szCs w:val="20"/>
          <w:lang w:val="en-US"/>
        </w:rPr>
        <w:t xml:space="preserve"> private</w:t>
      </w:r>
      <w:r w:rsidRPr="009D52FD">
        <w:rPr>
          <w:sz w:val="20"/>
          <w:szCs w:val="20"/>
          <w:lang w:val="en-US"/>
        </w:rPr>
        <w:t xml:space="preserve"> </w:t>
      </w:r>
      <w:r w:rsidR="00F75897" w:rsidRPr="009D52FD">
        <w:rPr>
          <w:sz w:val="20"/>
          <w:szCs w:val="20"/>
          <w:lang w:val="en-US"/>
        </w:rPr>
        <w:t>individual</w:t>
      </w:r>
      <w:r w:rsidR="0089472D" w:rsidRPr="009D52FD">
        <w:rPr>
          <w:sz w:val="20"/>
          <w:szCs w:val="20"/>
          <w:lang w:val="en-US"/>
        </w:rPr>
        <w:t xml:space="preserve">. </w:t>
      </w:r>
      <w:r w:rsidR="00D214A0" w:rsidRPr="009D52FD">
        <w:rPr>
          <w:sz w:val="20"/>
          <w:szCs w:val="20"/>
          <w:lang w:val="en-US"/>
        </w:rPr>
        <w:t xml:space="preserve">For almost four months, </w:t>
      </w:r>
      <w:r w:rsidR="0089472D" w:rsidRPr="009D52FD">
        <w:rPr>
          <w:sz w:val="20"/>
          <w:szCs w:val="20"/>
          <w:lang w:val="en-US"/>
        </w:rPr>
        <w:t xml:space="preserve">Linda Loaiza López Soto </w:t>
      </w:r>
      <w:r w:rsidR="00D214A0" w:rsidRPr="009D52FD">
        <w:rPr>
          <w:sz w:val="20"/>
          <w:szCs w:val="20"/>
          <w:lang w:val="en-US"/>
        </w:rPr>
        <w:t>was constantly subjected to different acts of physical, verbal, psychological and sexual violence, including</w:t>
      </w:r>
      <w:r w:rsidR="00E52270" w:rsidRPr="009D52FD">
        <w:rPr>
          <w:sz w:val="20"/>
          <w:szCs w:val="20"/>
          <w:lang w:val="en-US"/>
        </w:rPr>
        <w:t xml:space="preserve">, </w:t>
      </w:r>
      <w:r w:rsidR="00E52270" w:rsidRPr="009D52FD">
        <w:rPr>
          <w:i/>
          <w:iCs/>
          <w:sz w:val="20"/>
          <w:szCs w:val="20"/>
          <w:lang w:val="en-US"/>
        </w:rPr>
        <w:t>inter alia,</w:t>
      </w:r>
      <w:r w:rsidR="00D214A0" w:rsidRPr="009D52FD">
        <w:rPr>
          <w:sz w:val="20"/>
          <w:szCs w:val="20"/>
          <w:lang w:val="en-US"/>
        </w:rPr>
        <w:t xml:space="preserve"> the forced consumption of alcohol, narcotics and medication; she was beaten causing blunt traumas and bruising to her face, ears, thorax and abdomen, a fractured nose and jaw; had bites on her lips, breasts and nipples; cigarette burns on her face and body</w:t>
      </w:r>
      <w:r w:rsidR="00E52270" w:rsidRPr="009D52FD">
        <w:rPr>
          <w:sz w:val="20"/>
          <w:szCs w:val="20"/>
          <w:lang w:val="en-US"/>
        </w:rPr>
        <w:t xml:space="preserve">, and </w:t>
      </w:r>
      <w:r w:rsidR="00D214A0" w:rsidRPr="009D52FD">
        <w:rPr>
          <w:sz w:val="20"/>
          <w:szCs w:val="20"/>
          <w:lang w:val="en-US"/>
        </w:rPr>
        <w:t>was subjected to forced nudity, repeated vagina</w:t>
      </w:r>
      <w:r w:rsidR="00E52270" w:rsidRPr="009D52FD">
        <w:rPr>
          <w:sz w:val="20"/>
          <w:szCs w:val="20"/>
          <w:lang w:val="en-US"/>
        </w:rPr>
        <w:t xml:space="preserve">l and anal rape and penetration with objects, threatened and humiliated and deprived of food. She was rescued because she was able to call out for help and this resulted in the police and members of the fire department arriving where she was held and entering by climbing into the apartment in which she was deprived of liberty. </w:t>
      </w:r>
      <w:r w:rsidR="0001701A" w:rsidRPr="009D52FD">
        <w:rPr>
          <w:sz w:val="20"/>
          <w:szCs w:val="20"/>
          <w:lang w:val="en-US"/>
        </w:rPr>
        <w:t xml:space="preserve">Following her rescue, </w:t>
      </w:r>
      <w:r w:rsidR="0028162C" w:rsidRPr="009D52FD">
        <w:rPr>
          <w:sz w:val="20"/>
          <w:szCs w:val="20"/>
          <w:lang w:val="en-US"/>
        </w:rPr>
        <w:t>Linda Loaiza López Soto</w:t>
      </w:r>
      <w:r w:rsidR="008E009C" w:rsidRPr="009D52FD">
        <w:rPr>
          <w:sz w:val="20"/>
          <w:szCs w:val="20"/>
          <w:lang w:val="en-US"/>
        </w:rPr>
        <w:t xml:space="preserve"> </w:t>
      </w:r>
      <w:r w:rsidR="00E52270" w:rsidRPr="009D52FD">
        <w:rPr>
          <w:sz w:val="20"/>
          <w:szCs w:val="20"/>
          <w:lang w:val="en-US"/>
        </w:rPr>
        <w:t xml:space="preserve">had to spend almost one year in hospital </w:t>
      </w:r>
      <w:r w:rsidR="0001701A" w:rsidRPr="009D52FD">
        <w:rPr>
          <w:sz w:val="20"/>
          <w:szCs w:val="20"/>
          <w:lang w:val="en-US"/>
        </w:rPr>
        <w:t xml:space="preserve">due to her numerous injuries, </w:t>
      </w:r>
      <w:r w:rsidR="00E52270" w:rsidRPr="009D52FD">
        <w:rPr>
          <w:sz w:val="20"/>
          <w:szCs w:val="20"/>
          <w:lang w:val="en-US"/>
        </w:rPr>
        <w:t>and undergo 15 surgical procedures including reconstruction of her lips, nose, left auricle and vagina.</w:t>
      </w:r>
      <w:r w:rsidR="008E009C" w:rsidRPr="009D52FD">
        <w:rPr>
          <w:rStyle w:val="FootnoteReference"/>
          <w:sz w:val="20"/>
          <w:szCs w:val="20"/>
          <w:lang w:val="en-US"/>
        </w:rPr>
        <w:footnoteReference w:id="193"/>
      </w:r>
    </w:p>
    <w:p w14:paraId="4DAF4DAD" w14:textId="7A1B9F44" w:rsidR="009F5A94" w:rsidRPr="009D52FD" w:rsidRDefault="009F5A94" w:rsidP="009A2E3A">
      <w:pPr>
        <w:tabs>
          <w:tab w:val="left" w:pos="567"/>
        </w:tabs>
        <w:spacing w:line="240" w:lineRule="auto"/>
        <w:rPr>
          <w:sz w:val="20"/>
          <w:szCs w:val="20"/>
          <w:lang w:val="en-US"/>
        </w:rPr>
      </w:pPr>
    </w:p>
    <w:p w14:paraId="381BB831" w14:textId="1B9C8314" w:rsidR="00E52270" w:rsidRPr="009D52FD" w:rsidRDefault="00E52270" w:rsidP="008E009C">
      <w:pPr>
        <w:numPr>
          <w:ilvl w:val="0"/>
          <w:numId w:val="1"/>
        </w:numPr>
        <w:tabs>
          <w:tab w:val="left" w:pos="567"/>
        </w:tabs>
        <w:spacing w:line="240" w:lineRule="auto"/>
        <w:ind w:left="0" w:firstLine="0"/>
        <w:rPr>
          <w:sz w:val="20"/>
          <w:szCs w:val="20"/>
          <w:lang w:val="en-US"/>
        </w:rPr>
      </w:pPr>
      <w:r w:rsidRPr="009D52FD">
        <w:rPr>
          <w:sz w:val="20"/>
          <w:szCs w:val="20"/>
          <w:lang w:val="en-US"/>
        </w:rPr>
        <w:t>The facts were investigated in the criminal jurisdiction. Two oral trials were held because the first one was annulled. Owing to the second criminal proceedings,</w:t>
      </w:r>
      <w:r w:rsidR="00FE1D20" w:rsidRPr="009D52FD">
        <w:rPr>
          <w:sz w:val="20"/>
          <w:szCs w:val="20"/>
          <w:lang w:val="en-US"/>
        </w:rPr>
        <w:t xml:space="preserve"> Luis </w:t>
      </w:r>
      <w:r w:rsidR="005A27C2" w:rsidRPr="009D52FD">
        <w:rPr>
          <w:sz w:val="20"/>
          <w:szCs w:val="20"/>
          <w:lang w:val="en-US"/>
        </w:rPr>
        <w:t xml:space="preserve">Antonio </w:t>
      </w:r>
      <w:r w:rsidR="00FE1D20" w:rsidRPr="009D52FD">
        <w:rPr>
          <w:sz w:val="20"/>
          <w:szCs w:val="20"/>
          <w:lang w:val="en-US"/>
        </w:rPr>
        <w:t xml:space="preserve">Carrera Almoina </w:t>
      </w:r>
      <w:r w:rsidRPr="009D52FD">
        <w:rPr>
          <w:sz w:val="20"/>
          <w:szCs w:val="20"/>
          <w:lang w:val="en-US"/>
        </w:rPr>
        <w:t xml:space="preserve">was convicted of the crimes of deprivation of liberty and </w:t>
      </w:r>
      <w:r w:rsidR="0001701A" w:rsidRPr="009D52FD">
        <w:rPr>
          <w:sz w:val="20"/>
          <w:szCs w:val="20"/>
          <w:lang w:val="en-US"/>
        </w:rPr>
        <w:t xml:space="preserve">extremely </w:t>
      </w:r>
      <w:r w:rsidRPr="009D52FD">
        <w:rPr>
          <w:sz w:val="20"/>
          <w:szCs w:val="20"/>
          <w:lang w:val="en-US"/>
        </w:rPr>
        <w:t>severe injuries, but acquitted of the crime of rape. The two individuals who were accused of other concomitant acts (</w:t>
      </w:r>
      <w:r w:rsidR="007B6EB1" w:rsidRPr="009D52FD">
        <w:rPr>
          <w:sz w:val="20"/>
          <w:szCs w:val="20"/>
          <w:lang w:val="en-US"/>
        </w:rPr>
        <w:t>including</w:t>
      </w:r>
      <w:r w:rsidR="00982404" w:rsidRPr="009D52FD">
        <w:rPr>
          <w:sz w:val="20"/>
          <w:szCs w:val="20"/>
          <w:lang w:val="en-US"/>
        </w:rPr>
        <w:t xml:space="preserve"> misuse of public office and concealment</w:t>
      </w:r>
      <w:r w:rsidR="007B6EB1" w:rsidRPr="009D52FD">
        <w:rPr>
          <w:sz w:val="20"/>
          <w:szCs w:val="20"/>
          <w:lang w:val="en-US"/>
        </w:rPr>
        <w:t xml:space="preserve">) were acquitted of all the offenses. In 2008, it was declared that the sentence had been served. Currently, the review of the proceedings </w:t>
      </w:r>
      <w:r w:rsidR="0001701A" w:rsidRPr="009D52FD">
        <w:rPr>
          <w:sz w:val="20"/>
          <w:szCs w:val="20"/>
          <w:lang w:val="en-US"/>
        </w:rPr>
        <w:t>for</w:t>
      </w:r>
      <w:r w:rsidR="007B6EB1" w:rsidRPr="009D52FD">
        <w:rPr>
          <w:sz w:val="20"/>
          <w:szCs w:val="20"/>
          <w:lang w:val="en-US"/>
        </w:rPr>
        <w:t xml:space="preserve"> the crime of rape remain pending.</w:t>
      </w:r>
    </w:p>
    <w:p w14:paraId="16545DAA" w14:textId="77777777" w:rsidR="009A2E3A" w:rsidRPr="009D52FD" w:rsidRDefault="009A2E3A" w:rsidP="009E4F6C">
      <w:pPr>
        <w:spacing w:line="240" w:lineRule="auto"/>
        <w:rPr>
          <w:rFonts w:cs="Verdana"/>
          <w:bCs/>
          <w:caps/>
          <w:snapToGrid w:val="0"/>
          <w:sz w:val="20"/>
          <w:szCs w:val="20"/>
          <w:lang w:val="en-US"/>
        </w:rPr>
      </w:pPr>
    </w:p>
    <w:p w14:paraId="3D9A09B7" w14:textId="06BFDABB" w:rsidR="009E4F6C" w:rsidRPr="009D52FD" w:rsidRDefault="007B6EB1" w:rsidP="007B6EB1">
      <w:pPr>
        <w:numPr>
          <w:ilvl w:val="0"/>
          <w:numId w:val="1"/>
        </w:numPr>
        <w:tabs>
          <w:tab w:val="left" w:pos="567"/>
        </w:tabs>
        <w:spacing w:line="240" w:lineRule="auto"/>
        <w:ind w:left="0" w:firstLine="0"/>
        <w:rPr>
          <w:sz w:val="20"/>
          <w:szCs w:val="20"/>
          <w:lang w:val="en-US"/>
        </w:rPr>
      </w:pPr>
      <w:r w:rsidRPr="009D52FD">
        <w:rPr>
          <w:sz w:val="20"/>
          <w:szCs w:val="20"/>
          <w:lang w:val="en-US"/>
        </w:rPr>
        <w:t>In this</w:t>
      </w:r>
      <w:r w:rsidR="009E4F6C" w:rsidRPr="009D52FD">
        <w:rPr>
          <w:sz w:val="20"/>
          <w:szCs w:val="20"/>
          <w:lang w:val="en-US"/>
        </w:rPr>
        <w:t xml:space="preserve"> </w:t>
      </w:r>
      <w:r w:rsidRPr="009D52FD">
        <w:rPr>
          <w:sz w:val="20"/>
          <w:szCs w:val="20"/>
          <w:lang w:val="en-US"/>
        </w:rPr>
        <w:t>c</w:t>
      </w:r>
      <w:r w:rsidR="00EB0EB6" w:rsidRPr="009D52FD">
        <w:rPr>
          <w:sz w:val="20"/>
          <w:szCs w:val="20"/>
          <w:lang w:val="en-US"/>
        </w:rPr>
        <w:t>hapter</w:t>
      </w:r>
      <w:r w:rsidR="009E4F6C" w:rsidRPr="009D52FD">
        <w:rPr>
          <w:sz w:val="20"/>
          <w:szCs w:val="20"/>
          <w:lang w:val="en-US"/>
        </w:rPr>
        <w:t xml:space="preserve">, </w:t>
      </w:r>
      <w:r w:rsidR="003630BB" w:rsidRPr="009D52FD">
        <w:rPr>
          <w:sz w:val="20"/>
          <w:szCs w:val="20"/>
          <w:lang w:val="en-US"/>
        </w:rPr>
        <w:t>the Court</w:t>
      </w:r>
      <w:r w:rsidR="009E4F6C" w:rsidRPr="009D52FD">
        <w:rPr>
          <w:sz w:val="20"/>
          <w:szCs w:val="20"/>
          <w:lang w:val="en-US"/>
        </w:rPr>
        <w:t xml:space="preserve"> </w:t>
      </w:r>
      <w:r w:rsidRPr="009D52FD">
        <w:rPr>
          <w:sz w:val="20"/>
          <w:szCs w:val="20"/>
          <w:lang w:val="en-US"/>
        </w:rPr>
        <w:t xml:space="preserve">will examine the merits of the case. It recalls that the State made a </w:t>
      </w:r>
      <w:r w:rsidR="0064395F" w:rsidRPr="009D52FD">
        <w:rPr>
          <w:sz w:val="20"/>
          <w:szCs w:val="20"/>
          <w:lang w:val="en-US"/>
        </w:rPr>
        <w:t>partial acknowledgement of responsibility</w:t>
      </w:r>
      <w:r w:rsidR="003630BB" w:rsidRPr="009D52FD">
        <w:rPr>
          <w:sz w:val="20"/>
          <w:szCs w:val="20"/>
          <w:lang w:val="en-US"/>
        </w:rPr>
        <w:t xml:space="preserve"> and </w:t>
      </w:r>
      <w:r w:rsidRPr="009D52FD">
        <w:rPr>
          <w:sz w:val="20"/>
          <w:szCs w:val="20"/>
          <w:lang w:val="en-US"/>
        </w:rPr>
        <w:t>contested certain facts</w:t>
      </w:r>
      <w:r w:rsidR="00AB6AD6" w:rsidRPr="009D52FD">
        <w:rPr>
          <w:sz w:val="20"/>
          <w:szCs w:val="20"/>
          <w:lang w:val="en-US"/>
        </w:rPr>
        <w:t xml:space="preserve"> (</w:t>
      </w:r>
      <w:r w:rsidR="00AB6AD6" w:rsidRPr="009D52FD">
        <w:rPr>
          <w:i/>
          <w:sz w:val="20"/>
          <w:szCs w:val="20"/>
          <w:lang w:val="en-US"/>
        </w:rPr>
        <w:t>supra</w:t>
      </w:r>
      <w:r w:rsidR="00AB6AD6" w:rsidRPr="009D52FD">
        <w:rPr>
          <w:sz w:val="20"/>
          <w:szCs w:val="20"/>
          <w:lang w:val="en-US"/>
        </w:rPr>
        <w:t xml:space="preserve"> </w:t>
      </w:r>
      <w:r w:rsidR="00EB0EB6" w:rsidRPr="009D52FD">
        <w:rPr>
          <w:sz w:val="20"/>
          <w:szCs w:val="20"/>
          <w:lang w:val="en-US"/>
        </w:rPr>
        <w:t>Chapter</w:t>
      </w:r>
      <w:r w:rsidR="00AB6AD6" w:rsidRPr="009D52FD">
        <w:rPr>
          <w:sz w:val="20"/>
          <w:szCs w:val="20"/>
          <w:lang w:val="en-US"/>
        </w:rPr>
        <w:t xml:space="preserve"> IV)</w:t>
      </w:r>
      <w:r w:rsidRPr="009D52FD">
        <w:rPr>
          <w:sz w:val="20"/>
          <w:szCs w:val="20"/>
          <w:lang w:val="en-US"/>
        </w:rPr>
        <w:t>; therefore, the main subsisting dispute relates to the attribution to the State of responsibility for the acts of</w:t>
      </w:r>
      <w:r w:rsidR="0001701A" w:rsidRPr="009D52FD">
        <w:rPr>
          <w:sz w:val="20"/>
          <w:szCs w:val="20"/>
          <w:lang w:val="en-US"/>
        </w:rPr>
        <w:t xml:space="preserve"> private</w:t>
      </w:r>
      <w:r w:rsidRPr="009D52FD">
        <w:rPr>
          <w:sz w:val="20"/>
          <w:szCs w:val="20"/>
          <w:lang w:val="en-US"/>
        </w:rPr>
        <w:t xml:space="preserve"> </w:t>
      </w:r>
      <w:r w:rsidR="00F75897" w:rsidRPr="009D52FD">
        <w:rPr>
          <w:sz w:val="20"/>
          <w:szCs w:val="20"/>
          <w:lang w:val="en-US"/>
        </w:rPr>
        <w:t>individual</w:t>
      </w:r>
      <w:r w:rsidRPr="009D52FD">
        <w:rPr>
          <w:sz w:val="20"/>
          <w:szCs w:val="20"/>
          <w:lang w:val="en-US"/>
        </w:rPr>
        <w:t>s because, in general, the facts relating to the judicial investigation were acknowledged by the State. Consequently, in this first section, the Court will examine the alleged failure by the State to comply with its obligation of prevention, as well as the possible acquiescence</w:t>
      </w:r>
      <w:r w:rsidR="00783217" w:rsidRPr="009D52FD">
        <w:rPr>
          <w:sz w:val="20"/>
          <w:szCs w:val="20"/>
          <w:lang w:val="en-US"/>
        </w:rPr>
        <w:t xml:space="preserve"> to</w:t>
      </w:r>
      <w:r w:rsidRPr="009D52FD">
        <w:rPr>
          <w:sz w:val="20"/>
          <w:szCs w:val="20"/>
          <w:lang w:val="en-US"/>
        </w:rPr>
        <w:t>, complicity</w:t>
      </w:r>
      <w:r w:rsidR="00783217" w:rsidRPr="009D52FD">
        <w:rPr>
          <w:sz w:val="20"/>
          <w:szCs w:val="20"/>
          <w:lang w:val="en-US"/>
        </w:rPr>
        <w:t xml:space="preserve"> with</w:t>
      </w:r>
      <w:r w:rsidRPr="009D52FD">
        <w:rPr>
          <w:sz w:val="20"/>
          <w:szCs w:val="20"/>
          <w:lang w:val="en-US"/>
        </w:rPr>
        <w:t xml:space="preserve"> and/or tolerance of the acts committed by</w:t>
      </w:r>
      <w:r w:rsidR="0001701A" w:rsidRPr="009D52FD">
        <w:rPr>
          <w:sz w:val="20"/>
          <w:szCs w:val="20"/>
          <w:lang w:val="en-US"/>
        </w:rPr>
        <w:t xml:space="preserve"> private</w:t>
      </w:r>
      <w:r w:rsidRPr="009D52FD">
        <w:rPr>
          <w:sz w:val="20"/>
          <w:szCs w:val="20"/>
          <w:lang w:val="en-US"/>
        </w:rPr>
        <w:t xml:space="preserve"> </w:t>
      </w:r>
      <w:r w:rsidR="00F75897" w:rsidRPr="009D52FD">
        <w:rPr>
          <w:sz w:val="20"/>
          <w:szCs w:val="20"/>
          <w:lang w:val="en-US"/>
        </w:rPr>
        <w:t>individual</w:t>
      </w:r>
      <w:r w:rsidRPr="009D52FD">
        <w:rPr>
          <w:sz w:val="20"/>
          <w:szCs w:val="20"/>
          <w:lang w:val="en-US"/>
        </w:rPr>
        <w:t xml:space="preserve">s. In the following section, the Court will define the scope of the State’s responsibility for failing to comply with the obligation to investigate violence against a women within a reasonable time and with strict due diligence, also addressing the arguments relating to the obligation to investigate acts of torture established in </w:t>
      </w:r>
      <w:r w:rsidR="003630BB" w:rsidRPr="009D52FD">
        <w:rPr>
          <w:sz w:val="20"/>
          <w:szCs w:val="20"/>
          <w:lang w:val="en-US"/>
        </w:rPr>
        <w:t>Articles</w:t>
      </w:r>
      <w:r w:rsidR="009E4F6C" w:rsidRPr="009D52FD">
        <w:rPr>
          <w:sz w:val="20"/>
          <w:szCs w:val="20"/>
          <w:lang w:val="en-US"/>
        </w:rPr>
        <w:t xml:space="preserve"> 1, 6</w:t>
      </w:r>
      <w:r w:rsidR="003630BB" w:rsidRPr="009D52FD">
        <w:rPr>
          <w:sz w:val="20"/>
          <w:szCs w:val="20"/>
          <w:lang w:val="en-US"/>
        </w:rPr>
        <w:t xml:space="preserve"> and </w:t>
      </w:r>
      <w:r w:rsidR="009E4F6C" w:rsidRPr="009D52FD">
        <w:rPr>
          <w:sz w:val="20"/>
          <w:szCs w:val="20"/>
          <w:lang w:val="en-US"/>
        </w:rPr>
        <w:t xml:space="preserve">8 </w:t>
      </w:r>
      <w:r w:rsidR="00D32B3E" w:rsidRPr="009D52FD">
        <w:rPr>
          <w:sz w:val="20"/>
          <w:szCs w:val="20"/>
          <w:lang w:val="en-US"/>
        </w:rPr>
        <w:t>of the ICPPT</w:t>
      </w:r>
      <w:r w:rsidR="009E4F6C" w:rsidRPr="009D52FD">
        <w:rPr>
          <w:sz w:val="20"/>
          <w:szCs w:val="20"/>
          <w:lang w:val="en-US"/>
        </w:rPr>
        <w:t>.</w:t>
      </w:r>
    </w:p>
    <w:p w14:paraId="59738BD8" w14:textId="77777777" w:rsidR="009E4F6C" w:rsidRPr="009D52FD" w:rsidRDefault="009E4F6C" w:rsidP="009E4F6C">
      <w:pPr>
        <w:spacing w:line="240" w:lineRule="auto"/>
        <w:rPr>
          <w:rFonts w:cs="Verdana"/>
          <w:bCs/>
          <w:caps/>
          <w:snapToGrid w:val="0"/>
          <w:sz w:val="20"/>
          <w:szCs w:val="20"/>
          <w:lang w:val="en-US"/>
        </w:rPr>
      </w:pPr>
    </w:p>
    <w:p w14:paraId="40C8B98E" w14:textId="53C4F8FB" w:rsidR="009E4F6C" w:rsidRPr="009D52FD" w:rsidRDefault="009E4F6C" w:rsidP="009E4F6C">
      <w:pPr>
        <w:keepNext/>
        <w:keepLines/>
        <w:widowControl/>
        <w:tabs>
          <w:tab w:val="left" w:pos="851"/>
        </w:tabs>
        <w:autoSpaceDE w:val="0"/>
        <w:autoSpaceDN w:val="0"/>
        <w:adjustRightInd/>
        <w:spacing w:line="240" w:lineRule="auto"/>
        <w:jc w:val="center"/>
        <w:textAlignment w:val="auto"/>
        <w:outlineLvl w:val="0"/>
        <w:rPr>
          <w:rFonts w:cs="Arial"/>
          <w:b/>
          <w:bCs/>
          <w:caps/>
          <w:kern w:val="2"/>
          <w:sz w:val="20"/>
          <w:szCs w:val="20"/>
          <w:lang w:val="en-US" w:eastAsia="en-US"/>
        </w:rPr>
      </w:pPr>
      <w:bookmarkStart w:id="71" w:name="_Toc438113890"/>
      <w:bookmarkStart w:id="72" w:name="_Toc495658671"/>
      <w:bookmarkStart w:id="73" w:name="_Toc514172627"/>
      <w:bookmarkStart w:id="74" w:name="_Toc51400089"/>
      <w:r w:rsidRPr="009D52FD">
        <w:rPr>
          <w:rFonts w:cs="Arial"/>
          <w:b/>
          <w:bCs/>
          <w:caps/>
          <w:kern w:val="2"/>
          <w:sz w:val="20"/>
          <w:szCs w:val="20"/>
          <w:lang w:val="en-US" w:eastAsia="en-US"/>
        </w:rPr>
        <w:lastRenderedPageBreak/>
        <w:t>VIII-1</w:t>
      </w:r>
      <w:r w:rsidRPr="009D52FD">
        <w:rPr>
          <w:rFonts w:cs="Arial"/>
          <w:b/>
          <w:bCs/>
          <w:caps/>
          <w:kern w:val="2"/>
          <w:sz w:val="20"/>
          <w:szCs w:val="20"/>
          <w:lang w:val="en-US" w:eastAsia="en-US"/>
        </w:rPr>
        <w:br/>
      </w:r>
      <w:r w:rsidR="00997ADF" w:rsidRPr="009D52FD">
        <w:rPr>
          <w:rFonts w:cs="Arial"/>
          <w:b/>
          <w:bCs/>
          <w:caps/>
          <w:kern w:val="2"/>
          <w:sz w:val="20"/>
          <w:szCs w:val="20"/>
          <w:lang w:val="en-US" w:eastAsia="en-US"/>
        </w:rPr>
        <w:t>RIGHTS TO RECOGNITION OF JURIDICAL PERSONALITY</w:t>
      </w:r>
      <w:r w:rsidR="008A6211" w:rsidRPr="009D52FD">
        <w:rPr>
          <w:rFonts w:cs="Arial"/>
          <w:b/>
          <w:bCs/>
          <w:caps/>
          <w:kern w:val="2"/>
          <w:sz w:val="20"/>
          <w:szCs w:val="20"/>
          <w:lang w:val="en-US" w:eastAsia="en-US"/>
        </w:rPr>
        <w:t>,</w:t>
      </w:r>
      <w:r w:rsidR="007670FC" w:rsidRPr="009D52FD">
        <w:rPr>
          <w:rStyle w:val="FootnoteReference"/>
          <w:rFonts w:cs="Arial"/>
          <w:b/>
          <w:bCs/>
          <w:caps/>
          <w:kern w:val="2"/>
          <w:sz w:val="20"/>
          <w:szCs w:val="20"/>
          <w:lang w:val="en-US" w:eastAsia="en-US"/>
        </w:rPr>
        <w:footnoteReference w:id="194"/>
      </w:r>
      <w:r w:rsidR="008A6211" w:rsidRPr="009D52FD">
        <w:rPr>
          <w:rFonts w:cs="Arial"/>
          <w:b/>
          <w:bCs/>
          <w:caps/>
          <w:kern w:val="2"/>
          <w:sz w:val="20"/>
          <w:szCs w:val="20"/>
          <w:lang w:val="en-US" w:eastAsia="en-US"/>
        </w:rPr>
        <w:t xml:space="preserve"> </w:t>
      </w:r>
      <w:r w:rsidRPr="009D52FD">
        <w:rPr>
          <w:rFonts w:cs="Arial"/>
          <w:b/>
          <w:bCs/>
          <w:caps/>
          <w:kern w:val="2"/>
          <w:sz w:val="20"/>
          <w:szCs w:val="20"/>
          <w:lang w:val="en-US" w:eastAsia="en-US"/>
        </w:rPr>
        <w:t>personal</w:t>
      </w:r>
      <w:r w:rsidR="008A6211" w:rsidRPr="009D52FD">
        <w:rPr>
          <w:rFonts w:cs="Arial"/>
          <w:b/>
          <w:bCs/>
          <w:caps/>
          <w:kern w:val="2"/>
          <w:sz w:val="20"/>
          <w:szCs w:val="20"/>
          <w:lang w:val="en-US" w:eastAsia="en-US"/>
        </w:rPr>
        <w:t xml:space="preserve"> INTEGRITY,</w:t>
      </w:r>
      <w:r w:rsidRPr="009D52FD">
        <w:rPr>
          <w:rFonts w:cs="Arial"/>
          <w:b/>
          <w:bCs/>
          <w:caps/>
          <w:kern w:val="2"/>
          <w:sz w:val="20"/>
          <w:szCs w:val="20"/>
          <w:vertAlign w:val="superscript"/>
          <w:lang w:val="en-US" w:eastAsia="en-US"/>
        </w:rPr>
        <w:footnoteReference w:id="195"/>
      </w:r>
      <w:r w:rsidRPr="009D52FD">
        <w:rPr>
          <w:rFonts w:cs="Arial"/>
          <w:b/>
          <w:bCs/>
          <w:caps/>
          <w:kern w:val="2"/>
          <w:sz w:val="20"/>
          <w:szCs w:val="20"/>
          <w:lang w:val="en-US" w:eastAsia="en-US"/>
        </w:rPr>
        <w:t xml:space="preserve"> PROHIBI</w:t>
      </w:r>
      <w:r w:rsidR="008A6211" w:rsidRPr="009D52FD">
        <w:rPr>
          <w:rFonts w:cs="Arial"/>
          <w:b/>
          <w:bCs/>
          <w:caps/>
          <w:kern w:val="2"/>
          <w:sz w:val="20"/>
          <w:szCs w:val="20"/>
          <w:lang w:val="en-US" w:eastAsia="en-US"/>
        </w:rPr>
        <w:t xml:space="preserve">TION </w:t>
      </w:r>
      <w:r w:rsidR="007B6EB1" w:rsidRPr="009D52FD">
        <w:rPr>
          <w:rFonts w:cs="Arial"/>
          <w:b/>
          <w:bCs/>
          <w:caps/>
          <w:kern w:val="2"/>
          <w:sz w:val="20"/>
          <w:szCs w:val="20"/>
          <w:lang w:val="en-US" w:eastAsia="en-US"/>
        </w:rPr>
        <w:t>OF TORTURE</w:t>
      </w:r>
      <w:r w:rsidR="008A6211" w:rsidRPr="009D52FD">
        <w:rPr>
          <w:rFonts w:cs="Arial"/>
          <w:b/>
          <w:bCs/>
          <w:caps/>
          <w:kern w:val="2"/>
          <w:sz w:val="20"/>
          <w:szCs w:val="20"/>
          <w:lang w:val="en-US" w:eastAsia="en-US"/>
        </w:rPr>
        <w:t xml:space="preserve"> AND </w:t>
      </w:r>
      <w:r w:rsidR="007B6EB1" w:rsidRPr="009D52FD">
        <w:rPr>
          <w:rFonts w:cs="Arial"/>
          <w:b/>
          <w:bCs/>
          <w:caps/>
          <w:kern w:val="2"/>
          <w:sz w:val="20"/>
          <w:szCs w:val="20"/>
          <w:lang w:val="en-US" w:eastAsia="en-US"/>
        </w:rPr>
        <w:t>OTHER CRUEL</w:t>
      </w:r>
      <w:r w:rsidR="008A6211" w:rsidRPr="009D52FD">
        <w:rPr>
          <w:rFonts w:cs="Arial"/>
          <w:b/>
          <w:bCs/>
          <w:caps/>
          <w:kern w:val="2"/>
          <w:sz w:val="20"/>
          <w:szCs w:val="20"/>
          <w:lang w:val="en-US" w:eastAsia="en-US"/>
        </w:rPr>
        <w:t xml:space="preserve">, INHUMAN OR </w:t>
      </w:r>
      <w:r w:rsidR="007B6EB1" w:rsidRPr="009D52FD">
        <w:rPr>
          <w:rFonts w:cs="Arial"/>
          <w:b/>
          <w:bCs/>
          <w:caps/>
          <w:kern w:val="2"/>
          <w:sz w:val="20"/>
          <w:szCs w:val="20"/>
          <w:lang w:val="en-US" w:eastAsia="en-US"/>
        </w:rPr>
        <w:t>DEGRADING</w:t>
      </w:r>
      <w:r w:rsidR="008A6211" w:rsidRPr="009D52FD">
        <w:rPr>
          <w:rFonts w:cs="Arial"/>
          <w:b/>
          <w:bCs/>
          <w:caps/>
          <w:kern w:val="2"/>
          <w:sz w:val="20"/>
          <w:szCs w:val="20"/>
          <w:lang w:val="en-US" w:eastAsia="en-US"/>
        </w:rPr>
        <w:t xml:space="preserve"> TREATMEN</w:t>
      </w:r>
      <w:r w:rsidR="007B6EB1" w:rsidRPr="009D52FD">
        <w:rPr>
          <w:rFonts w:cs="Arial"/>
          <w:b/>
          <w:bCs/>
          <w:caps/>
          <w:kern w:val="2"/>
          <w:sz w:val="20"/>
          <w:szCs w:val="20"/>
          <w:lang w:val="en-US" w:eastAsia="en-US"/>
        </w:rPr>
        <w:t>t</w:t>
      </w:r>
      <w:r w:rsidR="008A6211" w:rsidRPr="009D52FD">
        <w:rPr>
          <w:rFonts w:cs="Arial"/>
          <w:b/>
          <w:bCs/>
          <w:caps/>
          <w:kern w:val="2"/>
          <w:sz w:val="20"/>
          <w:szCs w:val="20"/>
          <w:lang w:val="en-US" w:eastAsia="en-US"/>
        </w:rPr>
        <w:t>,</w:t>
      </w:r>
      <w:r w:rsidR="00BD60F8" w:rsidRPr="009D52FD">
        <w:rPr>
          <w:rFonts w:cs="Arial"/>
          <w:b/>
          <w:bCs/>
          <w:caps/>
          <w:kern w:val="2"/>
          <w:sz w:val="20"/>
          <w:szCs w:val="20"/>
          <w:vertAlign w:val="superscript"/>
          <w:lang w:val="en-US" w:eastAsia="en-US"/>
        </w:rPr>
        <w:footnoteReference w:id="196"/>
      </w:r>
      <w:r w:rsidRPr="009D52FD">
        <w:rPr>
          <w:rFonts w:cs="Arial"/>
          <w:b/>
          <w:bCs/>
          <w:caps/>
          <w:kern w:val="2"/>
          <w:sz w:val="20"/>
          <w:szCs w:val="20"/>
          <w:lang w:val="en-US" w:eastAsia="en-US"/>
        </w:rPr>
        <w:t xml:space="preserve"> </w:t>
      </w:r>
      <w:r w:rsidR="00996337" w:rsidRPr="009D52FD">
        <w:rPr>
          <w:rFonts w:cs="Arial"/>
          <w:b/>
          <w:bCs/>
          <w:caps/>
          <w:kern w:val="2"/>
          <w:sz w:val="20"/>
          <w:szCs w:val="20"/>
          <w:lang w:val="en-US" w:eastAsia="en-US"/>
        </w:rPr>
        <w:t>PROHIBITION OF SLAVERY</w:t>
      </w:r>
      <w:r w:rsidR="008A6211" w:rsidRPr="009D52FD">
        <w:rPr>
          <w:rFonts w:cs="Arial"/>
          <w:b/>
          <w:bCs/>
          <w:caps/>
          <w:kern w:val="2"/>
          <w:sz w:val="20"/>
          <w:szCs w:val="20"/>
          <w:lang w:val="en-US" w:eastAsia="en-US"/>
        </w:rPr>
        <w:t>,</w:t>
      </w:r>
      <w:r w:rsidR="007670FC" w:rsidRPr="009D52FD">
        <w:rPr>
          <w:rFonts w:cs="Verdana"/>
          <w:b/>
          <w:bCs/>
          <w:caps/>
          <w:snapToGrid w:val="0"/>
          <w:sz w:val="20"/>
          <w:szCs w:val="20"/>
          <w:vertAlign w:val="superscript"/>
          <w:lang w:val="en-US" w:eastAsia="es-ES"/>
        </w:rPr>
        <w:footnoteReference w:id="197"/>
      </w:r>
      <w:r w:rsidR="00DD1D45" w:rsidRPr="009D52FD">
        <w:rPr>
          <w:rFonts w:cs="Arial"/>
          <w:b/>
          <w:bCs/>
          <w:caps/>
          <w:kern w:val="2"/>
          <w:sz w:val="20"/>
          <w:szCs w:val="20"/>
          <w:lang w:val="en-US" w:eastAsia="en-US"/>
        </w:rPr>
        <w:t xml:space="preserve"> </w:t>
      </w:r>
      <w:r w:rsidR="00997ADF" w:rsidRPr="009D52FD">
        <w:rPr>
          <w:rFonts w:cs="Arial"/>
          <w:b/>
          <w:bCs/>
          <w:caps/>
          <w:kern w:val="2"/>
          <w:sz w:val="20"/>
          <w:szCs w:val="20"/>
          <w:lang w:val="en-US" w:eastAsia="en-US"/>
        </w:rPr>
        <w:t>PERSONAL LIBERTY</w:t>
      </w:r>
      <w:r w:rsidR="008A6211" w:rsidRPr="009D52FD">
        <w:rPr>
          <w:rFonts w:cs="Arial"/>
          <w:b/>
          <w:bCs/>
          <w:caps/>
          <w:kern w:val="2"/>
          <w:sz w:val="20"/>
          <w:szCs w:val="20"/>
          <w:lang w:val="en-US" w:eastAsia="en-US"/>
        </w:rPr>
        <w:t>,</w:t>
      </w:r>
      <w:r w:rsidR="00BD60F8" w:rsidRPr="009D52FD">
        <w:rPr>
          <w:rStyle w:val="FootnoteReference"/>
          <w:rFonts w:cs="Arial"/>
          <w:b/>
          <w:bCs/>
          <w:caps/>
          <w:kern w:val="2"/>
          <w:sz w:val="20"/>
          <w:szCs w:val="20"/>
          <w:lang w:val="en-US" w:eastAsia="en-US"/>
        </w:rPr>
        <w:footnoteReference w:id="198"/>
      </w:r>
      <w:r w:rsidR="008A6211" w:rsidRPr="009D52FD">
        <w:rPr>
          <w:rFonts w:cs="Arial"/>
          <w:b/>
          <w:bCs/>
          <w:caps/>
          <w:kern w:val="2"/>
          <w:sz w:val="20"/>
          <w:szCs w:val="20"/>
          <w:lang w:val="en-US" w:eastAsia="en-US"/>
        </w:rPr>
        <w:t xml:space="preserve"> </w:t>
      </w:r>
      <w:r w:rsidR="00996337" w:rsidRPr="009D52FD">
        <w:rPr>
          <w:rFonts w:cs="Arial"/>
          <w:b/>
          <w:bCs/>
          <w:caps/>
          <w:kern w:val="2"/>
          <w:sz w:val="20"/>
          <w:szCs w:val="20"/>
          <w:lang w:val="en-US" w:eastAsia="en-US"/>
        </w:rPr>
        <w:t>Dignity, autonomy and privacy</w:t>
      </w:r>
      <w:r w:rsidR="008A6211" w:rsidRPr="009D52FD">
        <w:rPr>
          <w:rFonts w:cs="Arial"/>
          <w:b/>
          <w:bCs/>
          <w:caps/>
          <w:kern w:val="2"/>
          <w:sz w:val="20"/>
          <w:szCs w:val="20"/>
          <w:lang w:val="en-US" w:eastAsia="en-US"/>
        </w:rPr>
        <w:t>,</w:t>
      </w:r>
      <w:r w:rsidRPr="009D52FD">
        <w:rPr>
          <w:rFonts w:cs="Arial"/>
          <w:b/>
          <w:bCs/>
          <w:caps/>
          <w:kern w:val="2"/>
          <w:sz w:val="20"/>
          <w:szCs w:val="20"/>
          <w:vertAlign w:val="superscript"/>
          <w:lang w:val="en-US" w:eastAsia="en-US"/>
        </w:rPr>
        <w:footnoteReference w:id="199"/>
      </w:r>
      <w:r w:rsidRPr="009D52FD">
        <w:rPr>
          <w:rFonts w:cs="Arial"/>
          <w:b/>
          <w:bCs/>
          <w:caps/>
          <w:kern w:val="2"/>
          <w:sz w:val="20"/>
          <w:szCs w:val="20"/>
          <w:lang w:val="en-US" w:eastAsia="en-US"/>
        </w:rPr>
        <w:t xml:space="preserve"> </w:t>
      </w:r>
      <w:r w:rsidR="00996337" w:rsidRPr="009D52FD">
        <w:rPr>
          <w:rFonts w:cs="Verdana"/>
          <w:b/>
          <w:bCs/>
          <w:caps/>
          <w:snapToGrid w:val="0"/>
          <w:sz w:val="20"/>
          <w:szCs w:val="20"/>
          <w:lang w:val="en-US"/>
        </w:rPr>
        <w:t>Movement and residence</w:t>
      </w:r>
      <w:r w:rsidR="005D6B82" w:rsidRPr="009D52FD">
        <w:rPr>
          <w:rStyle w:val="FootnoteReference"/>
          <w:rFonts w:cs="Verdana"/>
          <w:b/>
          <w:bCs/>
          <w:caps/>
          <w:snapToGrid w:val="0"/>
          <w:sz w:val="20"/>
          <w:szCs w:val="20"/>
          <w:lang w:val="en-US"/>
        </w:rPr>
        <w:footnoteReference w:id="200"/>
      </w:r>
      <w:r w:rsidR="008A6211" w:rsidRPr="009D52FD">
        <w:rPr>
          <w:rFonts w:cs="Verdana"/>
          <w:b/>
          <w:bCs/>
          <w:caps/>
          <w:snapToGrid w:val="0"/>
          <w:sz w:val="20"/>
          <w:szCs w:val="20"/>
          <w:lang w:val="en-US"/>
        </w:rPr>
        <w:t xml:space="preserve"> AND</w:t>
      </w:r>
      <w:r w:rsidR="008A6211" w:rsidRPr="009D52FD">
        <w:rPr>
          <w:rFonts w:cs="Arial"/>
          <w:b/>
          <w:bCs/>
          <w:caps/>
          <w:kern w:val="2"/>
          <w:sz w:val="20"/>
          <w:szCs w:val="20"/>
          <w:lang w:val="en-US" w:eastAsia="en-US"/>
        </w:rPr>
        <w:t xml:space="preserve"> </w:t>
      </w:r>
      <w:r w:rsidR="00996337" w:rsidRPr="009D52FD">
        <w:rPr>
          <w:rFonts w:cs="Arial"/>
          <w:b/>
          <w:bCs/>
          <w:caps/>
          <w:kern w:val="2"/>
          <w:sz w:val="20"/>
          <w:szCs w:val="20"/>
          <w:lang w:val="en-US" w:eastAsia="en-US"/>
        </w:rPr>
        <w:t>Equality before the law</w:t>
      </w:r>
      <w:r w:rsidR="008A6211" w:rsidRPr="009D52FD">
        <w:rPr>
          <w:rFonts w:cs="Arial"/>
          <w:b/>
          <w:bCs/>
          <w:caps/>
          <w:kern w:val="2"/>
          <w:sz w:val="20"/>
          <w:szCs w:val="20"/>
          <w:lang w:val="en-US" w:eastAsia="en-US"/>
        </w:rPr>
        <w:t>,</w:t>
      </w:r>
      <w:r w:rsidRPr="009D52FD">
        <w:rPr>
          <w:rFonts w:cs="Arial"/>
          <w:b/>
          <w:bCs/>
          <w:caps/>
          <w:kern w:val="2"/>
          <w:sz w:val="20"/>
          <w:szCs w:val="20"/>
          <w:vertAlign w:val="superscript"/>
          <w:lang w:val="en-US" w:eastAsia="en-US"/>
        </w:rPr>
        <w:footnoteReference w:id="201"/>
      </w:r>
      <w:r w:rsidR="007670FC" w:rsidRPr="009D52FD">
        <w:rPr>
          <w:rFonts w:cs="Arial"/>
          <w:b/>
          <w:bCs/>
          <w:caps/>
          <w:kern w:val="2"/>
          <w:sz w:val="20"/>
          <w:szCs w:val="20"/>
          <w:lang w:val="en-US" w:eastAsia="en-US"/>
        </w:rPr>
        <w:t xml:space="preserve"> </w:t>
      </w:r>
      <w:r w:rsidR="00997ADF" w:rsidRPr="009D52FD">
        <w:rPr>
          <w:rFonts w:cs="Verdana"/>
          <w:b/>
          <w:bCs/>
          <w:caps/>
          <w:snapToGrid w:val="0"/>
          <w:sz w:val="20"/>
          <w:szCs w:val="20"/>
          <w:lang w:val="en-US"/>
        </w:rPr>
        <w:t>IN RELATION TO</w:t>
      </w:r>
      <w:r w:rsidR="008A6211" w:rsidRPr="009D52FD">
        <w:rPr>
          <w:rFonts w:cs="Verdana"/>
          <w:b/>
          <w:bCs/>
          <w:caps/>
          <w:snapToGrid w:val="0"/>
          <w:sz w:val="20"/>
          <w:szCs w:val="20"/>
          <w:lang w:val="en-US"/>
        </w:rPr>
        <w:t xml:space="preserve"> the obligation to respe</w:t>
      </w:r>
      <w:r w:rsidR="006D56BE" w:rsidRPr="009D52FD">
        <w:rPr>
          <w:rFonts w:cs="Verdana"/>
          <w:b/>
          <w:bCs/>
          <w:caps/>
          <w:snapToGrid w:val="0"/>
          <w:sz w:val="20"/>
          <w:szCs w:val="20"/>
          <w:lang w:val="en-US"/>
        </w:rPr>
        <w:t>C</w:t>
      </w:r>
      <w:r w:rsidR="008A6211" w:rsidRPr="009D52FD">
        <w:rPr>
          <w:rFonts w:cs="Verdana"/>
          <w:b/>
          <w:bCs/>
          <w:caps/>
          <w:snapToGrid w:val="0"/>
          <w:sz w:val="20"/>
          <w:szCs w:val="20"/>
          <w:lang w:val="en-US"/>
        </w:rPr>
        <w:t xml:space="preserve">t and to ensure </w:t>
      </w:r>
      <w:r w:rsidR="00997ADF" w:rsidRPr="009D52FD">
        <w:rPr>
          <w:rFonts w:cs="Verdana"/>
          <w:b/>
          <w:bCs/>
          <w:caps/>
          <w:snapToGrid w:val="0"/>
          <w:sz w:val="20"/>
          <w:szCs w:val="20"/>
          <w:lang w:val="en-US"/>
        </w:rPr>
        <w:t>The</w:t>
      </w:r>
      <w:r w:rsidR="008A6211" w:rsidRPr="009D52FD">
        <w:rPr>
          <w:rFonts w:cs="Verdana"/>
          <w:b/>
          <w:bCs/>
          <w:caps/>
          <w:snapToGrid w:val="0"/>
          <w:sz w:val="20"/>
          <w:szCs w:val="20"/>
          <w:lang w:val="en-US"/>
        </w:rPr>
        <w:t>se</w:t>
      </w:r>
      <w:r w:rsidR="00997ADF" w:rsidRPr="009D52FD">
        <w:rPr>
          <w:rFonts w:cs="Verdana"/>
          <w:b/>
          <w:bCs/>
          <w:caps/>
          <w:snapToGrid w:val="0"/>
          <w:sz w:val="20"/>
          <w:szCs w:val="20"/>
          <w:lang w:val="en-US"/>
        </w:rPr>
        <w:t xml:space="preserve"> rights </w:t>
      </w:r>
      <w:r w:rsidR="00D55048" w:rsidRPr="009D52FD">
        <w:rPr>
          <w:rFonts w:cs="Verdana"/>
          <w:b/>
          <w:bCs/>
          <w:caps/>
          <w:snapToGrid w:val="0"/>
          <w:sz w:val="20"/>
          <w:szCs w:val="20"/>
          <w:lang w:val="en-US"/>
        </w:rPr>
        <w:t>WITHOUT DISCRIMINATION</w:t>
      </w:r>
      <w:r w:rsidR="007A24B8" w:rsidRPr="009D52FD">
        <w:rPr>
          <w:rFonts w:cs="Verdana"/>
          <w:b/>
          <w:bCs/>
          <w:caps/>
          <w:snapToGrid w:val="0"/>
          <w:sz w:val="20"/>
          <w:szCs w:val="20"/>
          <w:lang w:val="en-US"/>
        </w:rPr>
        <w:t>,</w:t>
      </w:r>
      <w:r w:rsidRPr="009D52FD">
        <w:rPr>
          <w:rFonts w:cs="Verdana"/>
          <w:b/>
          <w:bCs/>
          <w:caps/>
          <w:snapToGrid w:val="0"/>
          <w:sz w:val="20"/>
          <w:szCs w:val="20"/>
          <w:vertAlign w:val="superscript"/>
          <w:lang w:val="en-US"/>
        </w:rPr>
        <w:footnoteReference w:id="202"/>
      </w:r>
      <w:bookmarkEnd w:id="71"/>
      <w:bookmarkEnd w:id="72"/>
      <w:r w:rsidRPr="009D52FD">
        <w:rPr>
          <w:rFonts w:cs="Arial"/>
          <w:b/>
          <w:bCs/>
          <w:caps/>
          <w:kern w:val="2"/>
          <w:sz w:val="20"/>
          <w:szCs w:val="20"/>
          <w:lang w:val="en-US" w:eastAsia="en-US"/>
        </w:rPr>
        <w:t xml:space="preserve"> </w:t>
      </w:r>
      <w:r w:rsidR="006D56BE" w:rsidRPr="009D52FD">
        <w:rPr>
          <w:rFonts w:cs="Arial"/>
          <w:b/>
          <w:bCs/>
          <w:caps/>
          <w:kern w:val="2"/>
          <w:sz w:val="20"/>
          <w:szCs w:val="20"/>
          <w:lang w:val="en-US" w:eastAsia="en-US"/>
        </w:rPr>
        <w:t>AS WELL AS</w:t>
      </w:r>
      <w:r w:rsidR="00997ADF" w:rsidRPr="009D52FD">
        <w:rPr>
          <w:rFonts w:cs="Arial"/>
          <w:b/>
          <w:bCs/>
          <w:caps/>
          <w:kern w:val="2"/>
          <w:sz w:val="20"/>
          <w:szCs w:val="20"/>
          <w:lang w:val="en-US" w:eastAsia="en-US"/>
        </w:rPr>
        <w:t xml:space="preserve"> to</w:t>
      </w:r>
      <w:r w:rsidR="007A24B8" w:rsidRPr="009D52FD">
        <w:rPr>
          <w:rFonts w:cs="Arial"/>
          <w:b/>
          <w:bCs/>
          <w:caps/>
          <w:kern w:val="2"/>
          <w:sz w:val="20"/>
          <w:szCs w:val="20"/>
          <w:lang w:val="en-US" w:eastAsia="en-US"/>
        </w:rPr>
        <w:t xml:space="preserve"> </w:t>
      </w:r>
      <w:r w:rsidR="003630BB" w:rsidRPr="009D52FD">
        <w:rPr>
          <w:rFonts w:cs="Arial"/>
          <w:b/>
          <w:bCs/>
          <w:caps/>
          <w:kern w:val="2"/>
          <w:sz w:val="20"/>
          <w:szCs w:val="20"/>
          <w:lang w:val="en-US" w:eastAsia="en-US"/>
        </w:rPr>
        <w:t>Article</w:t>
      </w:r>
      <w:r w:rsidR="008966AE" w:rsidRPr="009D52FD">
        <w:rPr>
          <w:rFonts w:cs="Arial"/>
          <w:b/>
          <w:bCs/>
          <w:caps/>
          <w:kern w:val="2"/>
          <w:sz w:val="20"/>
          <w:szCs w:val="20"/>
          <w:lang w:val="en-US" w:eastAsia="en-US"/>
        </w:rPr>
        <w:t xml:space="preserve"> </w:t>
      </w:r>
      <w:r w:rsidR="00996337" w:rsidRPr="009D52FD">
        <w:rPr>
          <w:rFonts w:cs="Arial"/>
          <w:b/>
          <w:bCs/>
          <w:caps/>
          <w:kern w:val="2"/>
          <w:sz w:val="20"/>
          <w:szCs w:val="20"/>
          <w:lang w:val="en-US" w:eastAsia="en-US"/>
        </w:rPr>
        <w:t>7(a)</w:t>
      </w:r>
      <w:r w:rsidR="003630BB" w:rsidRPr="009D52FD">
        <w:rPr>
          <w:rFonts w:cs="Arial"/>
          <w:b/>
          <w:bCs/>
          <w:caps/>
          <w:kern w:val="2"/>
          <w:sz w:val="20"/>
          <w:szCs w:val="20"/>
          <w:lang w:val="en-US" w:eastAsia="en-US"/>
        </w:rPr>
        <w:t xml:space="preserve"> and </w:t>
      </w:r>
      <w:r w:rsidR="007A24B8" w:rsidRPr="009D52FD">
        <w:rPr>
          <w:rFonts w:cs="Arial"/>
          <w:b/>
          <w:bCs/>
          <w:caps/>
          <w:kern w:val="2"/>
          <w:sz w:val="20"/>
          <w:szCs w:val="20"/>
          <w:lang w:val="en-US" w:eastAsia="en-US"/>
        </w:rPr>
        <w:t>(</w:t>
      </w:r>
      <w:r w:rsidR="008966AE" w:rsidRPr="009D52FD">
        <w:rPr>
          <w:rFonts w:cs="Arial"/>
          <w:b/>
          <w:bCs/>
          <w:caps/>
          <w:kern w:val="2"/>
          <w:sz w:val="20"/>
          <w:szCs w:val="20"/>
          <w:lang w:val="en-US" w:eastAsia="en-US"/>
        </w:rPr>
        <w:t>B)</w:t>
      </w:r>
      <w:r w:rsidR="008966AE" w:rsidRPr="009D52FD">
        <w:rPr>
          <w:rFonts w:cs="Arial"/>
          <w:b/>
          <w:bCs/>
          <w:caps/>
          <w:kern w:val="2"/>
          <w:sz w:val="20"/>
          <w:szCs w:val="20"/>
          <w:vertAlign w:val="superscript"/>
          <w:lang w:val="en-US" w:eastAsia="en-US"/>
        </w:rPr>
        <w:footnoteReference w:id="203"/>
      </w:r>
      <w:r w:rsidR="003630BB" w:rsidRPr="009D52FD">
        <w:rPr>
          <w:rFonts w:cs="Arial"/>
          <w:b/>
          <w:bCs/>
          <w:caps/>
          <w:kern w:val="2"/>
          <w:sz w:val="20"/>
          <w:szCs w:val="20"/>
          <w:lang w:val="en-US" w:eastAsia="en-US"/>
        </w:rPr>
        <w:t xml:space="preserve"> of the Convention</w:t>
      </w:r>
      <w:r w:rsidR="008966AE" w:rsidRPr="009D52FD">
        <w:rPr>
          <w:rFonts w:cs="Arial"/>
          <w:b/>
          <w:bCs/>
          <w:caps/>
          <w:kern w:val="2"/>
          <w:sz w:val="20"/>
          <w:szCs w:val="20"/>
          <w:lang w:val="en-US" w:eastAsia="en-US"/>
        </w:rPr>
        <w:t xml:space="preserve"> </w:t>
      </w:r>
      <w:r w:rsidR="00483040" w:rsidRPr="009D52FD">
        <w:rPr>
          <w:rFonts w:cs="Arial"/>
          <w:b/>
          <w:bCs/>
          <w:caps/>
          <w:kern w:val="2"/>
          <w:sz w:val="20"/>
          <w:szCs w:val="20"/>
          <w:lang w:val="en-US" w:eastAsia="en-US"/>
        </w:rPr>
        <w:t>of Belém</w:t>
      </w:r>
      <w:r w:rsidR="008966AE" w:rsidRPr="009D52FD">
        <w:rPr>
          <w:rFonts w:cs="Arial"/>
          <w:b/>
          <w:bCs/>
          <w:caps/>
          <w:kern w:val="2"/>
          <w:sz w:val="20"/>
          <w:szCs w:val="20"/>
          <w:lang w:val="en-US" w:eastAsia="en-US"/>
        </w:rPr>
        <w:t xml:space="preserve"> do pará</w:t>
      </w:r>
      <w:r w:rsidR="008966AE" w:rsidRPr="009D52FD">
        <w:rPr>
          <w:rStyle w:val="FootnoteReference"/>
          <w:rFonts w:cs="Arial"/>
          <w:b/>
          <w:bCs/>
          <w:caps/>
          <w:kern w:val="2"/>
          <w:sz w:val="20"/>
          <w:szCs w:val="20"/>
          <w:lang w:val="en-US" w:eastAsia="en-US"/>
        </w:rPr>
        <w:footnoteReference w:id="204"/>
      </w:r>
      <w:r w:rsidR="008966AE" w:rsidRPr="009D52FD">
        <w:rPr>
          <w:rFonts w:cs="Arial"/>
          <w:b/>
          <w:bCs/>
          <w:caps/>
          <w:kern w:val="2"/>
          <w:sz w:val="20"/>
          <w:szCs w:val="20"/>
          <w:lang w:val="en-US" w:eastAsia="en-US"/>
        </w:rPr>
        <w:t xml:space="preserve"> </w:t>
      </w:r>
      <w:r w:rsidR="007A24B8" w:rsidRPr="009D52FD">
        <w:rPr>
          <w:rFonts w:cs="Arial"/>
          <w:b/>
          <w:bCs/>
          <w:caps/>
          <w:kern w:val="2"/>
          <w:sz w:val="20"/>
          <w:szCs w:val="20"/>
          <w:lang w:val="en-US" w:eastAsia="en-US"/>
        </w:rPr>
        <w:t xml:space="preserve">and </w:t>
      </w:r>
      <w:r w:rsidR="003630BB" w:rsidRPr="009D52FD">
        <w:rPr>
          <w:rFonts w:cs="Arial"/>
          <w:b/>
          <w:bCs/>
          <w:caps/>
          <w:kern w:val="2"/>
          <w:sz w:val="20"/>
          <w:szCs w:val="20"/>
          <w:lang w:val="en-US" w:eastAsia="en-US"/>
        </w:rPr>
        <w:t>ARTICLES</w:t>
      </w:r>
      <w:r w:rsidR="00B9593C" w:rsidRPr="009D52FD">
        <w:rPr>
          <w:rFonts w:cs="Arial"/>
          <w:b/>
          <w:bCs/>
          <w:caps/>
          <w:kern w:val="2"/>
          <w:sz w:val="20"/>
          <w:szCs w:val="20"/>
          <w:lang w:val="en-US" w:eastAsia="en-US"/>
        </w:rPr>
        <w:t xml:space="preserve"> </w:t>
      </w:r>
      <w:r w:rsidRPr="009D52FD">
        <w:rPr>
          <w:rFonts w:cs="Arial"/>
          <w:b/>
          <w:bCs/>
          <w:caps/>
          <w:kern w:val="2"/>
          <w:sz w:val="20"/>
          <w:szCs w:val="20"/>
          <w:lang w:val="en-US" w:eastAsia="en-US"/>
        </w:rPr>
        <w:t>1, 6</w:t>
      </w:r>
      <w:r w:rsidR="003630BB" w:rsidRPr="009D52FD">
        <w:rPr>
          <w:rFonts w:cs="Arial"/>
          <w:b/>
          <w:bCs/>
          <w:caps/>
          <w:kern w:val="2"/>
          <w:sz w:val="20"/>
          <w:szCs w:val="20"/>
          <w:lang w:val="en-US" w:eastAsia="en-US"/>
        </w:rPr>
        <w:t xml:space="preserve"> and </w:t>
      </w:r>
      <w:r w:rsidRPr="009D52FD">
        <w:rPr>
          <w:rFonts w:cs="Arial"/>
          <w:b/>
          <w:bCs/>
          <w:caps/>
          <w:kern w:val="2"/>
          <w:sz w:val="20"/>
          <w:szCs w:val="20"/>
          <w:lang w:val="en-US" w:eastAsia="en-US"/>
        </w:rPr>
        <w:t>8</w:t>
      </w:r>
      <w:r w:rsidR="00BD60F8" w:rsidRPr="009D52FD">
        <w:rPr>
          <w:rStyle w:val="FootnoteReference"/>
          <w:rFonts w:cs="Arial"/>
          <w:b/>
          <w:bCs/>
          <w:caps/>
          <w:kern w:val="2"/>
          <w:sz w:val="20"/>
          <w:szCs w:val="20"/>
          <w:lang w:val="en-US" w:eastAsia="en-US"/>
        </w:rPr>
        <w:footnoteReference w:id="205"/>
      </w:r>
      <w:r w:rsidRPr="009D52FD">
        <w:rPr>
          <w:rFonts w:cs="Arial"/>
          <w:b/>
          <w:bCs/>
          <w:caps/>
          <w:kern w:val="2"/>
          <w:sz w:val="20"/>
          <w:szCs w:val="20"/>
          <w:lang w:val="en-US" w:eastAsia="en-US"/>
        </w:rPr>
        <w:t xml:space="preserve"> </w:t>
      </w:r>
      <w:r w:rsidR="00D32B3E" w:rsidRPr="009D52FD">
        <w:rPr>
          <w:rFonts w:cs="Arial"/>
          <w:b/>
          <w:bCs/>
          <w:caps/>
          <w:kern w:val="2"/>
          <w:sz w:val="20"/>
          <w:szCs w:val="20"/>
          <w:lang w:val="en-US" w:eastAsia="en-US"/>
        </w:rPr>
        <w:t>OF THE ICPPT</w:t>
      </w:r>
      <w:bookmarkEnd w:id="73"/>
      <w:bookmarkEnd w:id="74"/>
    </w:p>
    <w:p w14:paraId="6F835F7D" w14:textId="7503055A" w:rsidR="009E4F6C" w:rsidRPr="009D52FD" w:rsidRDefault="009E4F6C" w:rsidP="009E4F6C">
      <w:pPr>
        <w:spacing w:line="240" w:lineRule="auto"/>
        <w:rPr>
          <w:sz w:val="20"/>
          <w:szCs w:val="20"/>
          <w:lang w:val="en-US"/>
        </w:rPr>
      </w:pPr>
    </w:p>
    <w:p w14:paraId="1DF335A0" w14:textId="4E17CD0B" w:rsidR="009E4F6C" w:rsidRPr="009D52FD" w:rsidRDefault="009E4F6C" w:rsidP="009E4F6C">
      <w:pPr>
        <w:keepNext/>
        <w:keepLines/>
        <w:widowControl/>
        <w:tabs>
          <w:tab w:val="left" w:pos="1134"/>
        </w:tabs>
        <w:autoSpaceDE w:val="0"/>
        <w:autoSpaceDN w:val="0"/>
        <w:spacing w:line="240" w:lineRule="auto"/>
        <w:ind w:left="567" w:firstLine="1"/>
        <w:textAlignment w:val="auto"/>
        <w:outlineLvl w:val="1"/>
        <w:rPr>
          <w:rFonts w:eastAsia="MS Mincho" w:cs="Arial"/>
          <w:b/>
          <w:bCs/>
          <w:i/>
          <w:sz w:val="20"/>
          <w:szCs w:val="20"/>
          <w:lang w:val="en-US" w:eastAsia="en-US"/>
        </w:rPr>
      </w:pPr>
      <w:bookmarkStart w:id="75" w:name="_Toc51400090"/>
      <w:r w:rsidRPr="009D52FD">
        <w:rPr>
          <w:rFonts w:eastAsia="MS Mincho" w:cs="Arial"/>
          <w:b/>
          <w:bCs/>
          <w:i/>
          <w:sz w:val="20"/>
          <w:szCs w:val="20"/>
          <w:lang w:val="en-US" w:eastAsia="en-US"/>
        </w:rPr>
        <w:t>A.</w:t>
      </w:r>
      <w:r w:rsidRPr="009D52FD">
        <w:rPr>
          <w:rFonts w:eastAsia="MS Mincho" w:cs="Arial"/>
          <w:b/>
          <w:bCs/>
          <w:i/>
          <w:sz w:val="20"/>
          <w:szCs w:val="20"/>
          <w:lang w:val="en-US" w:eastAsia="en-US"/>
        </w:rPr>
        <w:tab/>
      </w:r>
      <w:r w:rsidR="008A6211" w:rsidRPr="009D52FD">
        <w:rPr>
          <w:rFonts w:eastAsia="MS Mincho" w:cs="Arial"/>
          <w:b/>
          <w:bCs/>
          <w:i/>
          <w:sz w:val="20"/>
          <w:szCs w:val="20"/>
          <w:lang w:val="en-US" w:eastAsia="en-US"/>
        </w:rPr>
        <w:t>Arguments of the parties</w:t>
      </w:r>
      <w:r w:rsidR="003630BB" w:rsidRPr="009D52FD">
        <w:rPr>
          <w:rFonts w:eastAsia="MS Mincho" w:cs="Arial"/>
          <w:b/>
          <w:bCs/>
          <w:i/>
          <w:sz w:val="20"/>
          <w:szCs w:val="20"/>
          <w:lang w:val="en-US" w:eastAsia="en-US"/>
        </w:rPr>
        <w:t xml:space="preserve"> and of the Commission</w:t>
      </w:r>
      <w:bookmarkEnd w:id="75"/>
    </w:p>
    <w:p w14:paraId="165CEE4E" w14:textId="77777777" w:rsidR="009E4F6C" w:rsidRPr="009D52FD" w:rsidRDefault="009E4F6C" w:rsidP="009E4F6C">
      <w:pPr>
        <w:spacing w:line="240" w:lineRule="auto"/>
        <w:rPr>
          <w:sz w:val="20"/>
          <w:szCs w:val="20"/>
          <w:lang w:val="en-US"/>
        </w:rPr>
      </w:pPr>
    </w:p>
    <w:p w14:paraId="062EDC23" w14:textId="3ED96489" w:rsidR="009E4F6C" w:rsidRPr="009D52FD" w:rsidRDefault="003630BB" w:rsidP="003010C3">
      <w:pPr>
        <w:widowControl/>
        <w:numPr>
          <w:ilvl w:val="0"/>
          <w:numId w:val="1"/>
        </w:numPr>
        <w:tabs>
          <w:tab w:val="left" w:pos="567"/>
        </w:tabs>
        <w:autoSpaceDE w:val="0"/>
        <w:autoSpaceDN w:val="0"/>
        <w:spacing w:line="240" w:lineRule="auto"/>
        <w:ind w:left="0" w:firstLine="0"/>
        <w:textAlignment w:val="auto"/>
        <w:rPr>
          <w:sz w:val="20"/>
          <w:szCs w:val="20"/>
          <w:lang w:val="en-US"/>
        </w:rPr>
      </w:pPr>
      <w:r w:rsidRPr="009D52FD">
        <w:rPr>
          <w:sz w:val="20"/>
          <w:szCs w:val="20"/>
          <w:lang w:val="en-US"/>
        </w:rPr>
        <w:t xml:space="preserve">The </w:t>
      </w:r>
      <w:r w:rsidRPr="009D52FD">
        <w:rPr>
          <w:b/>
          <w:bCs/>
          <w:i/>
          <w:iCs/>
          <w:sz w:val="20"/>
          <w:szCs w:val="20"/>
          <w:lang w:val="en-US"/>
        </w:rPr>
        <w:t>Commission</w:t>
      </w:r>
      <w:r w:rsidR="009E4F6C" w:rsidRPr="009D52FD">
        <w:rPr>
          <w:b/>
          <w:bCs/>
          <w:i/>
          <w:iCs/>
          <w:sz w:val="20"/>
          <w:szCs w:val="20"/>
          <w:lang w:val="en-US"/>
        </w:rPr>
        <w:t xml:space="preserve"> </w:t>
      </w:r>
      <w:r w:rsidR="003D4195" w:rsidRPr="009D52FD">
        <w:rPr>
          <w:sz w:val="20"/>
          <w:szCs w:val="20"/>
          <w:lang w:val="en-US"/>
        </w:rPr>
        <w:t>stressed that</w:t>
      </w:r>
      <w:r w:rsidR="009E4F6C" w:rsidRPr="009D52FD">
        <w:rPr>
          <w:sz w:val="20"/>
          <w:szCs w:val="20"/>
          <w:lang w:val="en-US"/>
        </w:rPr>
        <w:t>,</w:t>
      </w:r>
      <w:r w:rsidR="003D4195" w:rsidRPr="009D52FD">
        <w:rPr>
          <w:sz w:val="20"/>
          <w:szCs w:val="20"/>
          <w:lang w:val="en-US"/>
        </w:rPr>
        <w:t xml:space="preserve"> in cases of violence against women, the duty to act with due diligence took on a special and strict connotation</w:t>
      </w:r>
      <w:r w:rsidR="00BD1C65" w:rsidRPr="009D52FD">
        <w:rPr>
          <w:sz w:val="20"/>
          <w:szCs w:val="20"/>
          <w:lang w:val="en-US"/>
        </w:rPr>
        <w:t xml:space="preserve"> that</w:t>
      </w:r>
      <w:r w:rsidR="003D4195" w:rsidRPr="009D52FD">
        <w:rPr>
          <w:sz w:val="20"/>
          <w:szCs w:val="20"/>
          <w:lang w:val="en-US"/>
        </w:rPr>
        <w:t xml:space="preserve"> </w:t>
      </w:r>
      <w:r w:rsidR="00BD1C65" w:rsidRPr="009D52FD">
        <w:rPr>
          <w:sz w:val="20"/>
          <w:szCs w:val="20"/>
          <w:lang w:val="en-US"/>
        </w:rPr>
        <w:t>required</w:t>
      </w:r>
      <w:r w:rsidR="003D4195" w:rsidRPr="009D52FD">
        <w:rPr>
          <w:sz w:val="20"/>
          <w:szCs w:val="20"/>
          <w:lang w:val="en-US"/>
        </w:rPr>
        <w:t xml:space="preserve"> an immediate and effective response by the State, especially </w:t>
      </w:r>
      <w:r w:rsidR="00BD1C65" w:rsidRPr="009D52FD">
        <w:rPr>
          <w:sz w:val="20"/>
          <w:szCs w:val="20"/>
          <w:lang w:val="en-US"/>
        </w:rPr>
        <w:t>as regards</w:t>
      </w:r>
      <w:r w:rsidR="003D4195" w:rsidRPr="009D52FD">
        <w:rPr>
          <w:sz w:val="20"/>
          <w:szCs w:val="20"/>
          <w:lang w:val="en-US"/>
        </w:rPr>
        <w:t xml:space="preserve"> the search conducted during the initial hours and days after </w:t>
      </w:r>
      <w:r w:rsidR="00BD1C65" w:rsidRPr="009D52FD">
        <w:rPr>
          <w:sz w:val="20"/>
          <w:szCs w:val="20"/>
          <w:lang w:val="en-US"/>
        </w:rPr>
        <w:t xml:space="preserve">reception of </w:t>
      </w:r>
      <w:r w:rsidR="003D4195" w:rsidRPr="009D52FD">
        <w:rPr>
          <w:sz w:val="20"/>
          <w:szCs w:val="20"/>
          <w:lang w:val="en-US"/>
        </w:rPr>
        <w:t>a report. This is for preventive purposes and to protect the woman. The Commission emphasized that</w:t>
      </w:r>
      <w:r w:rsidR="008B0D2A" w:rsidRPr="009D52FD">
        <w:rPr>
          <w:sz w:val="20"/>
          <w:szCs w:val="20"/>
          <w:lang w:val="en-US"/>
        </w:rPr>
        <w:t xml:space="preserve"> i</w:t>
      </w:r>
      <w:r w:rsidR="003D4195" w:rsidRPr="009D52FD">
        <w:rPr>
          <w:sz w:val="20"/>
          <w:szCs w:val="20"/>
          <w:lang w:val="en-US"/>
        </w:rPr>
        <w:t>f the acts that violate human rights are committed by</w:t>
      </w:r>
      <w:r w:rsidR="00BD1C65" w:rsidRPr="009D52FD">
        <w:rPr>
          <w:sz w:val="20"/>
          <w:szCs w:val="20"/>
          <w:lang w:val="en-US"/>
        </w:rPr>
        <w:t xml:space="preserve"> private</w:t>
      </w:r>
      <w:r w:rsidR="003D4195" w:rsidRPr="009D52FD">
        <w:rPr>
          <w:sz w:val="20"/>
          <w:szCs w:val="20"/>
          <w:lang w:val="en-US"/>
        </w:rPr>
        <w:t xml:space="preserve"> </w:t>
      </w:r>
      <w:r w:rsidR="00F75897" w:rsidRPr="009D52FD">
        <w:rPr>
          <w:sz w:val="20"/>
          <w:szCs w:val="20"/>
          <w:lang w:val="en-US"/>
        </w:rPr>
        <w:t>individual</w:t>
      </w:r>
      <w:r w:rsidR="003D4195" w:rsidRPr="009D52FD">
        <w:rPr>
          <w:sz w:val="20"/>
          <w:szCs w:val="20"/>
          <w:lang w:val="en-US"/>
        </w:rPr>
        <w:t xml:space="preserve">s, the State has the </w:t>
      </w:r>
      <w:r w:rsidR="008B0D2A" w:rsidRPr="009D52FD">
        <w:rPr>
          <w:sz w:val="20"/>
          <w:szCs w:val="20"/>
          <w:lang w:val="en-US"/>
        </w:rPr>
        <w:t xml:space="preserve">obligation of </w:t>
      </w:r>
      <w:r w:rsidR="003D4195" w:rsidRPr="009D52FD">
        <w:rPr>
          <w:sz w:val="20"/>
          <w:szCs w:val="20"/>
          <w:lang w:val="en-US"/>
        </w:rPr>
        <w:t>enhanced d</w:t>
      </w:r>
      <w:r w:rsidR="008B0D2A" w:rsidRPr="009D52FD">
        <w:rPr>
          <w:sz w:val="20"/>
          <w:szCs w:val="20"/>
          <w:lang w:val="en-US"/>
        </w:rPr>
        <w:t xml:space="preserve">iligence to act immediately, because if it </w:t>
      </w:r>
      <w:r w:rsidR="008B0D2A" w:rsidRPr="009D52FD">
        <w:rPr>
          <w:sz w:val="20"/>
          <w:szCs w:val="20"/>
          <w:lang w:val="en-US"/>
        </w:rPr>
        <w:lastRenderedPageBreak/>
        <w:t xml:space="preserve">does not do so, this may engage its international responsibility. </w:t>
      </w:r>
      <w:r w:rsidRPr="009D52FD">
        <w:rPr>
          <w:sz w:val="20"/>
          <w:szCs w:val="20"/>
          <w:lang w:val="en-US"/>
        </w:rPr>
        <w:t>The Commission</w:t>
      </w:r>
      <w:r w:rsidR="009E4F6C" w:rsidRPr="009D52FD">
        <w:rPr>
          <w:sz w:val="20"/>
          <w:szCs w:val="20"/>
          <w:lang w:val="en-US"/>
        </w:rPr>
        <w:t xml:space="preserve"> indic</w:t>
      </w:r>
      <w:r w:rsidR="008B0D2A" w:rsidRPr="009D52FD">
        <w:rPr>
          <w:sz w:val="20"/>
          <w:szCs w:val="20"/>
          <w:lang w:val="en-US"/>
        </w:rPr>
        <w:t>ated that</w:t>
      </w:r>
      <w:r w:rsidR="009E4F6C" w:rsidRPr="009D52FD">
        <w:rPr>
          <w:sz w:val="20"/>
          <w:szCs w:val="20"/>
          <w:lang w:val="en-US"/>
        </w:rPr>
        <w:t xml:space="preserve"> </w:t>
      </w:r>
      <w:r w:rsidR="0050774C" w:rsidRPr="009D52FD">
        <w:rPr>
          <w:sz w:val="20"/>
          <w:szCs w:val="20"/>
          <w:lang w:val="en-US"/>
        </w:rPr>
        <w:t>the Venezuelan State</w:t>
      </w:r>
      <w:r w:rsidR="009E4F6C" w:rsidRPr="009D52FD">
        <w:rPr>
          <w:sz w:val="20"/>
          <w:szCs w:val="20"/>
          <w:lang w:val="en-US"/>
        </w:rPr>
        <w:t xml:space="preserve"> </w:t>
      </w:r>
      <w:r w:rsidR="008B0D2A" w:rsidRPr="009D52FD">
        <w:rPr>
          <w:sz w:val="20"/>
          <w:szCs w:val="20"/>
          <w:lang w:val="en-US"/>
        </w:rPr>
        <w:t xml:space="preserve">was or should have been aware that Linda Loaiza López Soto faced a situation of real and imminent danger following the complaint that her sister filed or tried to file on six occasions, and taking into account the context </w:t>
      </w:r>
      <w:r w:rsidR="00BD1C65" w:rsidRPr="009D52FD">
        <w:rPr>
          <w:sz w:val="20"/>
          <w:szCs w:val="20"/>
          <w:lang w:val="en-US"/>
        </w:rPr>
        <w:t>as regards</w:t>
      </w:r>
      <w:r w:rsidR="008B0D2A" w:rsidRPr="009D52FD">
        <w:rPr>
          <w:sz w:val="20"/>
          <w:szCs w:val="20"/>
          <w:lang w:val="en-US"/>
        </w:rPr>
        <w:t xml:space="preserve"> the State’s response in cases </w:t>
      </w:r>
      <w:r w:rsidR="00544F92" w:rsidRPr="009D52FD">
        <w:rPr>
          <w:sz w:val="20"/>
          <w:szCs w:val="20"/>
          <w:lang w:val="en-US"/>
        </w:rPr>
        <w:t>of</w:t>
      </w:r>
      <w:r w:rsidR="008B0D2A" w:rsidRPr="009D52FD">
        <w:rPr>
          <w:sz w:val="20"/>
          <w:szCs w:val="20"/>
          <w:lang w:val="en-US"/>
        </w:rPr>
        <w:t xml:space="preserve"> violence against women in Venezuela.</w:t>
      </w:r>
      <w:r w:rsidR="009E4F6C" w:rsidRPr="009D52FD">
        <w:rPr>
          <w:sz w:val="20"/>
          <w:szCs w:val="20"/>
          <w:vertAlign w:val="superscript"/>
          <w:lang w:val="en-US"/>
        </w:rPr>
        <w:footnoteReference w:id="206"/>
      </w:r>
      <w:r w:rsidR="009E4F6C" w:rsidRPr="009D52FD">
        <w:rPr>
          <w:sz w:val="20"/>
          <w:szCs w:val="20"/>
          <w:lang w:val="en-US"/>
        </w:rPr>
        <w:t xml:space="preserve"> </w:t>
      </w:r>
      <w:r w:rsidR="00BD1C65" w:rsidRPr="009D52FD">
        <w:rPr>
          <w:sz w:val="20"/>
          <w:szCs w:val="20"/>
          <w:lang w:val="en-US"/>
        </w:rPr>
        <w:t>The Commission</w:t>
      </w:r>
      <w:r w:rsidR="008B0D2A" w:rsidRPr="009D52FD">
        <w:rPr>
          <w:sz w:val="20"/>
          <w:szCs w:val="20"/>
          <w:lang w:val="en-US"/>
        </w:rPr>
        <w:t xml:space="preserve"> added that</w:t>
      </w:r>
      <w:r w:rsidR="00BC33C6" w:rsidRPr="009D52FD">
        <w:rPr>
          <w:sz w:val="20"/>
          <w:szCs w:val="20"/>
          <w:lang w:val="en-US"/>
        </w:rPr>
        <w:t xml:space="preserve"> </w:t>
      </w:r>
      <w:r w:rsidRPr="009D52FD">
        <w:rPr>
          <w:sz w:val="20"/>
          <w:szCs w:val="20"/>
          <w:lang w:val="en-US"/>
        </w:rPr>
        <w:t>the</w:t>
      </w:r>
      <w:r w:rsidR="008B0D2A" w:rsidRPr="009D52FD">
        <w:rPr>
          <w:sz w:val="20"/>
          <w:szCs w:val="20"/>
          <w:lang w:val="en-US"/>
        </w:rPr>
        <w:t xml:space="preserve">, from moment it became aware of the danger and until the moment of her rescue, </w:t>
      </w:r>
      <w:r w:rsidR="00BD1C65" w:rsidRPr="009D52FD">
        <w:rPr>
          <w:sz w:val="20"/>
          <w:szCs w:val="20"/>
          <w:lang w:val="en-US"/>
        </w:rPr>
        <w:t xml:space="preserve">the </w:t>
      </w:r>
      <w:r w:rsidR="008B0D2A" w:rsidRPr="009D52FD">
        <w:rPr>
          <w:sz w:val="20"/>
          <w:szCs w:val="20"/>
          <w:lang w:val="en-US"/>
        </w:rPr>
        <w:t xml:space="preserve">State failed to take any measure to determine her whereabouts and to prevent the continuation of the violence against her. </w:t>
      </w:r>
      <w:r w:rsidR="00BD1C65" w:rsidRPr="009D52FD">
        <w:rPr>
          <w:sz w:val="20"/>
          <w:szCs w:val="20"/>
          <w:lang w:val="en-US"/>
        </w:rPr>
        <w:t>The Commission</w:t>
      </w:r>
      <w:r w:rsidR="008B0D2A" w:rsidRPr="009D52FD">
        <w:rPr>
          <w:sz w:val="20"/>
          <w:szCs w:val="20"/>
          <w:lang w:val="en-US"/>
        </w:rPr>
        <w:t xml:space="preserve"> </w:t>
      </w:r>
      <w:r w:rsidR="00333D15" w:rsidRPr="009D52FD">
        <w:rPr>
          <w:sz w:val="20"/>
          <w:szCs w:val="20"/>
          <w:lang w:val="en-US"/>
        </w:rPr>
        <w:t>clarified</w:t>
      </w:r>
      <w:r w:rsidR="008B0D2A" w:rsidRPr="009D52FD">
        <w:rPr>
          <w:sz w:val="20"/>
          <w:szCs w:val="20"/>
          <w:lang w:val="en-US"/>
        </w:rPr>
        <w:t xml:space="preserve"> that,</w:t>
      </w:r>
      <w:r w:rsidR="00333D15" w:rsidRPr="009D52FD">
        <w:rPr>
          <w:sz w:val="20"/>
          <w:szCs w:val="20"/>
          <w:lang w:val="en-US"/>
        </w:rPr>
        <w:t xml:space="preserve"> although the document provided as evidence indicated that the complaint had been recorded at least two months after </w:t>
      </w:r>
      <w:r w:rsidR="00333D15" w:rsidRPr="009D52FD">
        <w:rPr>
          <w:bCs/>
          <w:sz w:val="20"/>
          <w:szCs w:val="20"/>
          <w:lang w:val="en-US"/>
        </w:rPr>
        <w:t>Linda López had been abducted, the different elements analyzed allowed probative vale</w:t>
      </w:r>
      <w:r w:rsidR="00BD1C65" w:rsidRPr="009D52FD">
        <w:rPr>
          <w:bCs/>
          <w:sz w:val="20"/>
          <w:szCs w:val="20"/>
          <w:lang w:val="en-US"/>
        </w:rPr>
        <w:t xml:space="preserve"> to be accorded</w:t>
      </w:r>
      <w:r w:rsidR="00333D15" w:rsidRPr="009D52FD">
        <w:rPr>
          <w:bCs/>
          <w:sz w:val="20"/>
          <w:szCs w:val="20"/>
          <w:lang w:val="en-US"/>
        </w:rPr>
        <w:t xml:space="preserve"> to the testimony of both victims and established that the Venezuelan State was or should have been aware that Linda Loaiza López Soto faced real and imminent danger at least from the day following her </w:t>
      </w:r>
      <w:r w:rsidR="00A75EA2" w:rsidRPr="009D52FD">
        <w:rPr>
          <w:bCs/>
          <w:sz w:val="20"/>
          <w:szCs w:val="20"/>
          <w:lang w:val="en-US"/>
        </w:rPr>
        <w:t>kidnapping</w:t>
      </w:r>
      <w:r w:rsidR="00333D15" w:rsidRPr="009D52FD">
        <w:rPr>
          <w:bCs/>
          <w:sz w:val="20"/>
          <w:szCs w:val="20"/>
          <w:lang w:val="en-US"/>
        </w:rPr>
        <w:t xml:space="preserve"> on March 27, 2001. It argued that the absolute </w:t>
      </w:r>
      <w:r w:rsidR="00BD1C65" w:rsidRPr="009D52FD">
        <w:rPr>
          <w:bCs/>
          <w:sz w:val="20"/>
          <w:szCs w:val="20"/>
          <w:lang w:val="en-US"/>
        </w:rPr>
        <w:t>failure</w:t>
      </w:r>
      <w:r w:rsidR="00333D15" w:rsidRPr="009D52FD">
        <w:rPr>
          <w:bCs/>
          <w:sz w:val="20"/>
          <w:szCs w:val="20"/>
          <w:lang w:val="en-US"/>
        </w:rPr>
        <w:t xml:space="preserve"> of the Venezuelan authorities to discover the whereabout of </w:t>
      </w:r>
      <w:r w:rsidR="00333D15" w:rsidRPr="009D52FD">
        <w:rPr>
          <w:sz w:val="20"/>
          <w:szCs w:val="20"/>
          <w:lang w:val="en-US"/>
        </w:rPr>
        <w:t>Linda López while she was deprived of liberty, exposed her to be</w:t>
      </w:r>
      <w:r w:rsidR="00DF4F94" w:rsidRPr="009D52FD">
        <w:rPr>
          <w:sz w:val="20"/>
          <w:szCs w:val="20"/>
          <w:lang w:val="en-US"/>
        </w:rPr>
        <w:t>coming</w:t>
      </w:r>
      <w:r w:rsidR="00333D15" w:rsidRPr="009D52FD">
        <w:rPr>
          <w:sz w:val="20"/>
          <w:szCs w:val="20"/>
          <w:lang w:val="en-US"/>
        </w:rPr>
        <w:t xml:space="preserve"> the victim of grave violations of her </w:t>
      </w:r>
      <w:r w:rsidR="00997ADF" w:rsidRPr="009D52FD">
        <w:rPr>
          <w:sz w:val="20"/>
          <w:szCs w:val="20"/>
          <w:lang w:val="en-US"/>
        </w:rPr>
        <w:t>personal integrity</w:t>
      </w:r>
      <w:r w:rsidR="009E4F6C" w:rsidRPr="009D52FD">
        <w:rPr>
          <w:sz w:val="20"/>
          <w:szCs w:val="20"/>
          <w:lang w:val="en-US"/>
        </w:rPr>
        <w:t>,</w:t>
      </w:r>
      <w:r w:rsidR="00333D15" w:rsidRPr="009D52FD">
        <w:rPr>
          <w:sz w:val="20"/>
          <w:szCs w:val="20"/>
          <w:lang w:val="en-US"/>
        </w:rPr>
        <w:t xml:space="preserve"> </w:t>
      </w:r>
      <w:r w:rsidR="00997ADF" w:rsidRPr="009D52FD">
        <w:rPr>
          <w:sz w:val="20"/>
          <w:szCs w:val="20"/>
          <w:lang w:val="en-US"/>
        </w:rPr>
        <w:t>personal liberty</w:t>
      </w:r>
      <w:r w:rsidR="009E4F6C" w:rsidRPr="009D52FD">
        <w:rPr>
          <w:sz w:val="20"/>
          <w:szCs w:val="20"/>
          <w:lang w:val="en-US"/>
        </w:rPr>
        <w:t xml:space="preserve">, </w:t>
      </w:r>
      <w:r w:rsidR="00701F24" w:rsidRPr="009D52FD">
        <w:rPr>
          <w:sz w:val="20"/>
          <w:szCs w:val="20"/>
          <w:lang w:val="en-US"/>
        </w:rPr>
        <w:t>privacy</w:t>
      </w:r>
      <w:r w:rsidR="009E4F6C" w:rsidRPr="009D52FD">
        <w:rPr>
          <w:sz w:val="20"/>
          <w:szCs w:val="20"/>
          <w:lang w:val="en-US"/>
        </w:rPr>
        <w:t xml:space="preserve">, </w:t>
      </w:r>
      <w:r w:rsidR="00AE580F" w:rsidRPr="009D52FD">
        <w:rPr>
          <w:sz w:val="20"/>
          <w:szCs w:val="20"/>
          <w:lang w:val="en-US"/>
        </w:rPr>
        <w:t>dignity</w:t>
      </w:r>
      <w:r w:rsidRPr="009D52FD">
        <w:rPr>
          <w:sz w:val="20"/>
          <w:szCs w:val="20"/>
          <w:lang w:val="en-US"/>
        </w:rPr>
        <w:t xml:space="preserve"> and </w:t>
      </w:r>
      <w:r w:rsidR="00AE580F" w:rsidRPr="009D52FD">
        <w:rPr>
          <w:sz w:val="20"/>
          <w:szCs w:val="20"/>
          <w:lang w:val="en-US"/>
        </w:rPr>
        <w:t>autonomy</w:t>
      </w:r>
      <w:r w:rsidR="006C102D" w:rsidRPr="009D52FD">
        <w:rPr>
          <w:sz w:val="20"/>
          <w:szCs w:val="20"/>
          <w:lang w:val="en-US"/>
        </w:rPr>
        <w:t xml:space="preserve">, </w:t>
      </w:r>
      <w:r w:rsidR="00333D15" w:rsidRPr="009D52FD">
        <w:rPr>
          <w:sz w:val="20"/>
          <w:szCs w:val="20"/>
          <w:lang w:val="en-US"/>
        </w:rPr>
        <w:t xml:space="preserve">and her right to a life </w:t>
      </w:r>
      <w:r w:rsidR="00AE580F" w:rsidRPr="009D52FD">
        <w:rPr>
          <w:sz w:val="20"/>
          <w:szCs w:val="20"/>
          <w:lang w:val="en-US"/>
        </w:rPr>
        <w:t>free of violence</w:t>
      </w:r>
      <w:r w:rsidRPr="009D52FD">
        <w:rPr>
          <w:sz w:val="20"/>
          <w:szCs w:val="20"/>
          <w:lang w:val="en-US"/>
        </w:rPr>
        <w:t xml:space="preserve"> and </w:t>
      </w:r>
      <w:r w:rsidR="00AE580F" w:rsidRPr="009D52FD">
        <w:rPr>
          <w:sz w:val="20"/>
          <w:szCs w:val="20"/>
          <w:lang w:val="en-US"/>
        </w:rPr>
        <w:t>discrimination</w:t>
      </w:r>
      <w:r w:rsidR="009E4F6C" w:rsidRPr="009D52FD">
        <w:rPr>
          <w:sz w:val="20"/>
          <w:szCs w:val="20"/>
          <w:lang w:val="en-US"/>
        </w:rPr>
        <w:t xml:space="preserve">, </w:t>
      </w:r>
      <w:r w:rsidR="00DF4F94" w:rsidRPr="009D52FD">
        <w:rPr>
          <w:sz w:val="20"/>
          <w:szCs w:val="20"/>
          <w:lang w:val="en-US"/>
        </w:rPr>
        <w:t>and this</w:t>
      </w:r>
      <w:r w:rsidR="00333D15" w:rsidRPr="009D52FD">
        <w:rPr>
          <w:sz w:val="20"/>
          <w:szCs w:val="20"/>
          <w:lang w:val="en-US"/>
        </w:rPr>
        <w:t xml:space="preserve"> </w:t>
      </w:r>
      <w:r w:rsidR="00DF4F94" w:rsidRPr="009D52FD">
        <w:rPr>
          <w:sz w:val="20"/>
          <w:szCs w:val="20"/>
          <w:lang w:val="en-US"/>
        </w:rPr>
        <w:t>related</w:t>
      </w:r>
      <w:r w:rsidR="00333D15" w:rsidRPr="009D52FD">
        <w:rPr>
          <w:sz w:val="20"/>
          <w:szCs w:val="20"/>
          <w:lang w:val="en-US"/>
        </w:rPr>
        <w:t xml:space="preserve"> directly to the attribution of responsibility to the State in this case. </w:t>
      </w:r>
      <w:r w:rsidR="00333D15" w:rsidRPr="009D52FD">
        <w:rPr>
          <w:bCs/>
          <w:sz w:val="20"/>
          <w:szCs w:val="20"/>
          <w:lang w:val="en-US"/>
        </w:rPr>
        <w:t>According to</w:t>
      </w:r>
      <w:r w:rsidR="009E4F6C" w:rsidRPr="009D52FD">
        <w:rPr>
          <w:bCs/>
          <w:sz w:val="20"/>
          <w:szCs w:val="20"/>
          <w:lang w:val="en-US"/>
        </w:rPr>
        <w:t xml:space="preserve"> </w:t>
      </w:r>
      <w:r w:rsidRPr="009D52FD">
        <w:rPr>
          <w:bCs/>
          <w:sz w:val="20"/>
          <w:szCs w:val="20"/>
          <w:lang w:val="en-US"/>
        </w:rPr>
        <w:t>the Commission</w:t>
      </w:r>
      <w:r w:rsidR="009E4F6C" w:rsidRPr="009D52FD">
        <w:rPr>
          <w:bCs/>
          <w:sz w:val="20"/>
          <w:szCs w:val="20"/>
          <w:lang w:val="en-US"/>
        </w:rPr>
        <w:t xml:space="preserve">, </w:t>
      </w:r>
      <w:r w:rsidR="00333D15" w:rsidRPr="009D52FD">
        <w:rPr>
          <w:bCs/>
          <w:sz w:val="20"/>
          <w:szCs w:val="20"/>
          <w:lang w:val="en-US"/>
        </w:rPr>
        <w:t>th</w:t>
      </w:r>
      <w:r w:rsidR="00DF4F94" w:rsidRPr="009D52FD">
        <w:rPr>
          <w:bCs/>
          <w:sz w:val="20"/>
          <w:szCs w:val="20"/>
          <w:lang w:val="en-US"/>
        </w:rPr>
        <w:t>e said failure</w:t>
      </w:r>
      <w:r w:rsidR="00333D15" w:rsidRPr="009D52FD">
        <w:rPr>
          <w:bCs/>
          <w:sz w:val="20"/>
          <w:szCs w:val="20"/>
          <w:lang w:val="en-US"/>
        </w:rPr>
        <w:t xml:space="preserve"> “</w:t>
      </w:r>
      <w:r w:rsidR="003010C3" w:rsidRPr="009D52FD">
        <w:rPr>
          <w:bCs/>
          <w:sz w:val="20"/>
          <w:szCs w:val="20"/>
          <w:lang w:val="en-US"/>
        </w:rPr>
        <w:t xml:space="preserve">constituted a clear form of tolerance </w:t>
      </w:r>
      <w:r w:rsidR="00DF4F94" w:rsidRPr="009D52FD">
        <w:rPr>
          <w:bCs/>
          <w:sz w:val="20"/>
          <w:szCs w:val="20"/>
          <w:lang w:val="en-US"/>
        </w:rPr>
        <w:t xml:space="preserve">of, </w:t>
      </w:r>
      <w:r w:rsidR="003010C3" w:rsidRPr="009D52FD">
        <w:rPr>
          <w:bCs/>
          <w:sz w:val="20"/>
          <w:szCs w:val="20"/>
          <w:lang w:val="en-US"/>
        </w:rPr>
        <w:t xml:space="preserve">or acquiescence </w:t>
      </w:r>
      <w:r w:rsidR="00DF4F94" w:rsidRPr="009D52FD">
        <w:rPr>
          <w:bCs/>
          <w:sz w:val="20"/>
          <w:szCs w:val="20"/>
          <w:lang w:val="en-US"/>
        </w:rPr>
        <w:t>to,</w:t>
      </w:r>
      <w:r w:rsidR="003010C3" w:rsidRPr="009D52FD">
        <w:rPr>
          <w:bCs/>
          <w:sz w:val="20"/>
          <w:szCs w:val="20"/>
          <w:lang w:val="en-US"/>
        </w:rPr>
        <w:t xml:space="preserve"> the </w:t>
      </w:r>
      <w:r w:rsidR="00DF4F94" w:rsidRPr="009D52FD">
        <w:rPr>
          <w:bCs/>
          <w:sz w:val="20"/>
          <w:szCs w:val="20"/>
          <w:lang w:val="en-US"/>
        </w:rPr>
        <w:t xml:space="preserve">egregious </w:t>
      </w:r>
      <w:r w:rsidR="003010C3" w:rsidRPr="009D52FD">
        <w:rPr>
          <w:bCs/>
          <w:sz w:val="20"/>
          <w:szCs w:val="20"/>
          <w:lang w:val="en-US"/>
        </w:rPr>
        <w:t xml:space="preserve">situation that </w:t>
      </w:r>
      <w:r w:rsidR="009E4F6C" w:rsidRPr="009D52FD">
        <w:rPr>
          <w:bCs/>
          <w:sz w:val="20"/>
          <w:szCs w:val="20"/>
          <w:lang w:val="en-US"/>
        </w:rPr>
        <w:t xml:space="preserve">Linda López </w:t>
      </w:r>
      <w:r w:rsidR="003010C3" w:rsidRPr="009D52FD">
        <w:rPr>
          <w:bCs/>
          <w:sz w:val="20"/>
          <w:szCs w:val="20"/>
          <w:lang w:val="en-US"/>
        </w:rPr>
        <w:t>was experiencing while she remained abducted.</w:t>
      </w:r>
      <w:r w:rsidR="009E4F6C" w:rsidRPr="009D52FD">
        <w:rPr>
          <w:bCs/>
          <w:sz w:val="20"/>
          <w:szCs w:val="20"/>
          <w:lang w:val="en-US"/>
        </w:rPr>
        <w:t xml:space="preserve">” </w:t>
      </w:r>
      <w:r w:rsidRPr="009D52FD">
        <w:rPr>
          <w:sz w:val="20"/>
          <w:szCs w:val="20"/>
          <w:lang w:val="en-US"/>
        </w:rPr>
        <w:t>The Commission</w:t>
      </w:r>
      <w:r w:rsidR="009E4F6C" w:rsidRPr="009D52FD">
        <w:rPr>
          <w:sz w:val="20"/>
          <w:szCs w:val="20"/>
          <w:lang w:val="en-US"/>
        </w:rPr>
        <w:t xml:space="preserve"> </w:t>
      </w:r>
      <w:r w:rsidR="003010C3" w:rsidRPr="009D52FD">
        <w:rPr>
          <w:sz w:val="20"/>
          <w:szCs w:val="20"/>
          <w:lang w:val="en-US"/>
        </w:rPr>
        <w:t xml:space="preserve">argued that </w:t>
      </w:r>
      <w:r w:rsidR="00002A76" w:rsidRPr="009D52FD">
        <w:rPr>
          <w:sz w:val="20"/>
          <w:szCs w:val="20"/>
          <w:lang w:val="en-US"/>
        </w:rPr>
        <w:t>certain</w:t>
      </w:r>
      <w:r w:rsidR="003010C3" w:rsidRPr="009D52FD">
        <w:rPr>
          <w:sz w:val="20"/>
          <w:szCs w:val="20"/>
          <w:lang w:val="en-US"/>
        </w:rPr>
        <w:t xml:space="preserve"> acts of violence against women, including sexual violence and rape, may be categorized as torture or other conducts prohibited under</w:t>
      </w:r>
      <w:r w:rsidR="009E4F6C" w:rsidRPr="009D52FD">
        <w:rPr>
          <w:sz w:val="20"/>
          <w:szCs w:val="20"/>
          <w:lang w:val="en-US"/>
        </w:rPr>
        <w:t xml:space="preserve"> </w:t>
      </w:r>
      <w:r w:rsidRPr="009D52FD">
        <w:rPr>
          <w:sz w:val="20"/>
          <w:szCs w:val="20"/>
          <w:lang w:val="en-US"/>
        </w:rPr>
        <w:t>Article</w:t>
      </w:r>
      <w:r w:rsidR="00483040" w:rsidRPr="009D52FD">
        <w:rPr>
          <w:sz w:val="20"/>
          <w:szCs w:val="20"/>
          <w:lang w:val="en-US"/>
        </w:rPr>
        <w:t xml:space="preserve"> 5(2)</w:t>
      </w:r>
      <w:r w:rsidRPr="009D52FD">
        <w:rPr>
          <w:sz w:val="20"/>
          <w:szCs w:val="20"/>
          <w:lang w:val="en-US"/>
        </w:rPr>
        <w:t xml:space="preserve"> of the Convention</w:t>
      </w:r>
      <w:r w:rsidR="009E4F6C" w:rsidRPr="009D52FD">
        <w:rPr>
          <w:sz w:val="20"/>
          <w:szCs w:val="20"/>
          <w:lang w:val="en-US"/>
        </w:rPr>
        <w:t>,</w:t>
      </w:r>
      <w:r w:rsidR="003010C3" w:rsidRPr="009D52FD">
        <w:rPr>
          <w:sz w:val="20"/>
          <w:szCs w:val="20"/>
          <w:lang w:val="en-US"/>
        </w:rPr>
        <w:t xml:space="preserve"> as </w:t>
      </w:r>
      <w:r w:rsidR="00DF4F94" w:rsidRPr="009D52FD">
        <w:rPr>
          <w:sz w:val="20"/>
          <w:szCs w:val="20"/>
          <w:lang w:val="en-US"/>
        </w:rPr>
        <w:t>they include</w:t>
      </w:r>
      <w:r w:rsidR="003010C3" w:rsidRPr="009D52FD">
        <w:rPr>
          <w:sz w:val="20"/>
          <w:szCs w:val="20"/>
          <w:lang w:val="en-US"/>
        </w:rPr>
        <w:t xml:space="preserve"> elements of that gross human rights violation. This includes acts committed by non-State actors in the private sphere when it has been established that the State failed to comply with its obligation to protect, a failure that can take the form of acquiescence or tolerance. Consequently, the Commission considered that the State was responsible for the physical, psychological and sexual violence experienced by </w:t>
      </w:r>
      <w:r w:rsidR="009E4F6C" w:rsidRPr="009D52FD">
        <w:rPr>
          <w:sz w:val="20"/>
          <w:szCs w:val="20"/>
          <w:lang w:val="en-US"/>
        </w:rPr>
        <w:t xml:space="preserve">Linda Loaiza López </w:t>
      </w:r>
      <w:r w:rsidR="00BC33C6" w:rsidRPr="009D52FD">
        <w:rPr>
          <w:sz w:val="20"/>
          <w:szCs w:val="20"/>
          <w:lang w:val="en-US"/>
        </w:rPr>
        <w:t xml:space="preserve">Soto </w:t>
      </w:r>
      <w:r w:rsidR="003010C3" w:rsidRPr="009D52FD">
        <w:rPr>
          <w:sz w:val="20"/>
          <w:szCs w:val="20"/>
          <w:lang w:val="en-US"/>
        </w:rPr>
        <w:t xml:space="preserve">in light of the prohibition of torture established in </w:t>
      </w:r>
      <w:r w:rsidRPr="009D52FD">
        <w:rPr>
          <w:sz w:val="20"/>
          <w:szCs w:val="20"/>
          <w:lang w:val="en-US"/>
        </w:rPr>
        <w:t>Articles</w:t>
      </w:r>
      <w:r w:rsidR="00483040" w:rsidRPr="009D52FD">
        <w:rPr>
          <w:sz w:val="20"/>
          <w:szCs w:val="20"/>
          <w:lang w:val="en-US"/>
        </w:rPr>
        <w:t xml:space="preserve"> 5(1)</w:t>
      </w:r>
      <w:r w:rsidR="009E4F6C" w:rsidRPr="009D52FD">
        <w:rPr>
          <w:sz w:val="20"/>
          <w:szCs w:val="20"/>
          <w:lang w:val="en-US"/>
        </w:rPr>
        <w:t>,</w:t>
      </w:r>
      <w:r w:rsidR="00483040" w:rsidRPr="009D52FD">
        <w:rPr>
          <w:sz w:val="20"/>
          <w:szCs w:val="20"/>
          <w:lang w:val="en-US"/>
        </w:rPr>
        <w:t xml:space="preserve"> 5(2)</w:t>
      </w:r>
      <w:r w:rsidR="009E4F6C" w:rsidRPr="009D52FD">
        <w:rPr>
          <w:sz w:val="20"/>
          <w:szCs w:val="20"/>
          <w:lang w:val="en-US"/>
        </w:rPr>
        <w:t>,</w:t>
      </w:r>
      <w:r w:rsidR="00D32B3E" w:rsidRPr="009D52FD">
        <w:rPr>
          <w:sz w:val="20"/>
          <w:szCs w:val="20"/>
          <w:lang w:val="en-US"/>
        </w:rPr>
        <w:t xml:space="preserve"> 7(1)</w:t>
      </w:r>
      <w:r w:rsidR="009E4F6C" w:rsidRPr="009D52FD">
        <w:rPr>
          <w:sz w:val="20"/>
          <w:szCs w:val="20"/>
          <w:lang w:val="en-US"/>
        </w:rPr>
        <w:t>,</w:t>
      </w:r>
      <w:r w:rsidR="00483040" w:rsidRPr="009D52FD">
        <w:rPr>
          <w:sz w:val="20"/>
          <w:szCs w:val="20"/>
          <w:lang w:val="en-US"/>
        </w:rPr>
        <w:t xml:space="preserve"> 11(1)</w:t>
      </w:r>
      <w:r w:rsidR="009E4F6C" w:rsidRPr="009D52FD">
        <w:rPr>
          <w:sz w:val="20"/>
          <w:szCs w:val="20"/>
          <w:lang w:val="en-US"/>
        </w:rPr>
        <w:t>,</w:t>
      </w:r>
      <w:r w:rsidR="00D32B3E" w:rsidRPr="009D52FD">
        <w:rPr>
          <w:sz w:val="20"/>
          <w:szCs w:val="20"/>
          <w:lang w:val="en-US"/>
        </w:rPr>
        <w:t xml:space="preserve"> 11(2)</w:t>
      </w:r>
      <w:r w:rsidRPr="009D52FD">
        <w:rPr>
          <w:sz w:val="20"/>
          <w:szCs w:val="20"/>
          <w:lang w:val="en-US"/>
        </w:rPr>
        <w:t xml:space="preserve"> and </w:t>
      </w:r>
      <w:r w:rsidR="009E4F6C" w:rsidRPr="009D52FD">
        <w:rPr>
          <w:sz w:val="20"/>
          <w:szCs w:val="20"/>
          <w:lang w:val="en-US"/>
        </w:rPr>
        <w:t>24</w:t>
      </w:r>
      <w:r w:rsidRPr="009D52FD">
        <w:rPr>
          <w:sz w:val="20"/>
          <w:szCs w:val="20"/>
          <w:lang w:val="en-US"/>
        </w:rPr>
        <w:t xml:space="preserve"> of the American Convention</w:t>
      </w:r>
      <w:r w:rsidR="009E4F6C" w:rsidRPr="009D52FD">
        <w:rPr>
          <w:sz w:val="20"/>
          <w:szCs w:val="20"/>
          <w:lang w:val="en-US"/>
        </w:rPr>
        <w:t xml:space="preserve">, </w:t>
      </w:r>
      <w:r w:rsidR="00997ADF" w:rsidRPr="009D52FD">
        <w:rPr>
          <w:sz w:val="20"/>
          <w:szCs w:val="20"/>
          <w:lang w:val="en-US"/>
        </w:rPr>
        <w:t>in relation to</w:t>
      </w:r>
      <w:r w:rsidR="009E4F6C" w:rsidRPr="009D52FD">
        <w:rPr>
          <w:sz w:val="20"/>
          <w:szCs w:val="20"/>
          <w:lang w:val="en-US"/>
        </w:rPr>
        <w:t xml:space="preserve"> </w:t>
      </w:r>
      <w:r w:rsidR="00483040" w:rsidRPr="009D52FD">
        <w:rPr>
          <w:sz w:val="20"/>
          <w:szCs w:val="20"/>
          <w:lang w:val="en-US"/>
        </w:rPr>
        <w:t>Article 1(1)</w:t>
      </w:r>
      <w:r w:rsidR="009E4F6C" w:rsidRPr="009D52FD">
        <w:rPr>
          <w:sz w:val="20"/>
          <w:szCs w:val="20"/>
          <w:lang w:val="en-US"/>
        </w:rPr>
        <w:t xml:space="preserve"> </w:t>
      </w:r>
      <w:r w:rsidR="00996337" w:rsidRPr="009D52FD">
        <w:rPr>
          <w:sz w:val="20"/>
          <w:szCs w:val="20"/>
          <w:lang w:val="en-US"/>
        </w:rPr>
        <w:t>of this instrument</w:t>
      </w:r>
      <w:r w:rsidR="009E4F6C" w:rsidRPr="009D52FD">
        <w:rPr>
          <w:sz w:val="20"/>
          <w:szCs w:val="20"/>
          <w:lang w:val="en-US"/>
        </w:rPr>
        <w:t xml:space="preserve">, </w:t>
      </w:r>
      <w:r w:rsidRPr="009D52FD">
        <w:rPr>
          <w:sz w:val="20"/>
          <w:szCs w:val="20"/>
          <w:lang w:val="en-US"/>
        </w:rPr>
        <w:t>Articles</w:t>
      </w:r>
      <w:r w:rsidR="009E4F6C" w:rsidRPr="009D52FD">
        <w:rPr>
          <w:sz w:val="20"/>
          <w:szCs w:val="20"/>
          <w:lang w:val="en-US"/>
        </w:rPr>
        <w:t xml:space="preserve"> 1</w:t>
      </w:r>
      <w:r w:rsidRPr="009D52FD">
        <w:rPr>
          <w:sz w:val="20"/>
          <w:szCs w:val="20"/>
          <w:lang w:val="en-US"/>
        </w:rPr>
        <w:t xml:space="preserve"> and </w:t>
      </w:r>
      <w:r w:rsidR="009E4F6C" w:rsidRPr="009D52FD">
        <w:rPr>
          <w:sz w:val="20"/>
          <w:szCs w:val="20"/>
          <w:lang w:val="en-US"/>
        </w:rPr>
        <w:t xml:space="preserve">6 </w:t>
      </w:r>
      <w:r w:rsidR="00D32B3E" w:rsidRPr="009D52FD">
        <w:rPr>
          <w:sz w:val="20"/>
          <w:szCs w:val="20"/>
          <w:lang w:val="en-US"/>
        </w:rPr>
        <w:t>of the ICPPT</w:t>
      </w:r>
      <w:r w:rsidRPr="009D52FD">
        <w:rPr>
          <w:sz w:val="20"/>
          <w:szCs w:val="20"/>
          <w:lang w:val="en-US"/>
        </w:rPr>
        <w:t xml:space="preserve"> and Article</w:t>
      </w:r>
      <w:r w:rsidR="009E4F6C" w:rsidRPr="009D52FD">
        <w:rPr>
          <w:sz w:val="20"/>
          <w:szCs w:val="20"/>
          <w:lang w:val="en-US"/>
        </w:rPr>
        <w:t xml:space="preserve"> 7</w:t>
      </w:r>
      <w:r w:rsidR="003010C3" w:rsidRPr="009D52FD">
        <w:rPr>
          <w:sz w:val="20"/>
          <w:szCs w:val="20"/>
          <w:lang w:val="en-US"/>
        </w:rPr>
        <w:t>(</w:t>
      </w:r>
      <w:r w:rsidR="009E4F6C" w:rsidRPr="009D52FD">
        <w:rPr>
          <w:sz w:val="20"/>
          <w:szCs w:val="20"/>
          <w:lang w:val="en-US"/>
        </w:rPr>
        <w:t>a)</w:t>
      </w:r>
      <w:r w:rsidRPr="009D52FD">
        <w:rPr>
          <w:sz w:val="20"/>
          <w:szCs w:val="20"/>
          <w:lang w:val="en-US"/>
        </w:rPr>
        <w:t xml:space="preserve"> and </w:t>
      </w:r>
      <w:r w:rsidR="003010C3" w:rsidRPr="009D52FD">
        <w:rPr>
          <w:sz w:val="20"/>
          <w:szCs w:val="20"/>
          <w:lang w:val="en-US"/>
        </w:rPr>
        <w:t>(</w:t>
      </w:r>
      <w:r w:rsidR="009E4F6C" w:rsidRPr="009D52FD">
        <w:rPr>
          <w:sz w:val="20"/>
          <w:szCs w:val="20"/>
          <w:lang w:val="en-US"/>
        </w:rPr>
        <w:t>b)</w:t>
      </w:r>
      <w:r w:rsidRPr="009D52FD">
        <w:rPr>
          <w:sz w:val="20"/>
          <w:szCs w:val="20"/>
          <w:lang w:val="en-US"/>
        </w:rPr>
        <w:t xml:space="preserve"> of the Convention</w:t>
      </w:r>
      <w:r w:rsidR="009E4F6C" w:rsidRPr="009D52FD">
        <w:rPr>
          <w:sz w:val="20"/>
          <w:szCs w:val="20"/>
          <w:lang w:val="en-US"/>
        </w:rPr>
        <w:t xml:space="preserve"> </w:t>
      </w:r>
      <w:r w:rsidR="00483040" w:rsidRPr="009D52FD">
        <w:rPr>
          <w:sz w:val="20"/>
          <w:szCs w:val="20"/>
          <w:lang w:val="en-US"/>
        </w:rPr>
        <w:t>of Belém</w:t>
      </w:r>
      <w:r w:rsidR="009E4F6C" w:rsidRPr="009D52FD">
        <w:rPr>
          <w:sz w:val="20"/>
          <w:szCs w:val="20"/>
          <w:lang w:val="en-US"/>
        </w:rPr>
        <w:t xml:space="preserve"> do Pará.</w:t>
      </w:r>
    </w:p>
    <w:p w14:paraId="4EBFEE3A" w14:textId="77777777" w:rsidR="009E4F6C" w:rsidRPr="009D52FD" w:rsidRDefault="009E4F6C" w:rsidP="009E4F6C">
      <w:pPr>
        <w:spacing w:line="240" w:lineRule="auto"/>
        <w:rPr>
          <w:sz w:val="20"/>
          <w:szCs w:val="20"/>
          <w:lang w:val="en-US"/>
        </w:rPr>
      </w:pPr>
    </w:p>
    <w:p w14:paraId="351AF74A" w14:textId="7FDD5EE4" w:rsidR="009B038E" w:rsidRPr="009D52FD" w:rsidRDefault="003630BB" w:rsidP="008D1A69">
      <w:pPr>
        <w:numPr>
          <w:ilvl w:val="0"/>
          <w:numId w:val="1"/>
        </w:numPr>
        <w:tabs>
          <w:tab w:val="left" w:pos="567"/>
        </w:tabs>
        <w:spacing w:line="240" w:lineRule="auto"/>
        <w:ind w:left="0" w:firstLine="0"/>
        <w:rPr>
          <w:sz w:val="16"/>
          <w:szCs w:val="16"/>
          <w:lang w:val="en-US"/>
        </w:rPr>
      </w:pPr>
      <w:r w:rsidRPr="009D52FD">
        <w:rPr>
          <w:sz w:val="20"/>
          <w:szCs w:val="20"/>
          <w:lang w:val="en-US"/>
        </w:rPr>
        <w:t xml:space="preserve">The </w:t>
      </w:r>
      <w:r w:rsidRPr="009D52FD">
        <w:rPr>
          <w:b/>
          <w:bCs/>
          <w:i/>
          <w:iCs/>
          <w:sz w:val="20"/>
          <w:szCs w:val="20"/>
          <w:lang w:val="en-US"/>
        </w:rPr>
        <w:t>representatives</w:t>
      </w:r>
      <w:r w:rsidR="009E4F6C" w:rsidRPr="009D52FD">
        <w:rPr>
          <w:b/>
          <w:bCs/>
          <w:i/>
          <w:iCs/>
          <w:sz w:val="20"/>
          <w:szCs w:val="20"/>
          <w:lang w:val="en-US"/>
        </w:rPr>
        <w:t xml:space="preserve"> </w:t>
      </w:r>
      <w:r w:rsidR="009B038E" w:rsidRPr="009D52FD">
        <w:rPr>
          <w:sz w:val="20"/>
          <w:szCs w:val="20"/>
          <w:lang w:val="en-US"/>
        </w:rPr>
        <w:t xml:space="preserve">indicated that Venezuela had not complied with its obligation of general due diligence in this case because it had failed to adopt effective measures of prevention and investigation that would have reduced the risk factors for violence against women. They argued that the State had acknowledged an omission in the general obligation of prevention and that, at the time of the events, Venezuela did not have a special framework for gender-based violence outside the family. They also indicated that the criminal </w:t>
      </w:r>
      <w:r w:rsidR="00D4551F" w:rsidRPr="009D52FD">
        <w:rPr>
          <w:sz w:val="20"/>
          <w:szCs w:val="20"/>
          <w:lang w:val="en-US"/>
        </w:rPr>
        <w:t>legislation</w:t>
      </w:r>
      <w:r w:rsidR="009B038E" w:rsidRPr="009D52FD">
        <w:rPr>
          <w:sz w:val="20"/>
          <w:szCs w:val="20"/>
          <w:lang w:val="en-US"/>
        </w:rPr>
        <w:t xml:space="preserve"> included numerous provisions that explicitly discriminated against women</w:t>
      </w:r>
      <w:r w:rsidR="00D4551F" w:rsidRPr="009D52FD">
        <w:rPr>
          <w:sz w:val="20"/>
          <w:szCs w:val="20"/>
          <w:lang w:val="en-US"/>
        </w:rPr>
        <w:t>,</w:t>
      </w:r>
      <w:r w:rsidR="009B038E" w:rsidRPr="009D52FD">
        <w:rPr>
          <w:sz w:val="20"/>
          <w:szCs w:val="20"/>
          <w:lang w:val="en-US"/>
        </w:rPr>
        <w:t xml:space="preserve"> and that there was a lack of protection and access to justice for women victims of sexual violence at the time of the facts, accompanied by an absence of accessible and disaggregated public statistics on the dynamics and scope of the problem.</w:t>
      </w:r>
    </w:p>
    <w:p w14:paraId="3BEFB2F3" w14:textId="77777777" w:rsidR="009E4F6C" w:rsidRPr="009D52FD" w:rsidRDefault="009E4F6C" w:rsidP="009E4F6C">
      <w:pPr>
        <w:tabs>
          <w:tab w:val="left" w:pos="567"/>
        </w:tabs>
        <w:spacing w:line="240" w:lineRule="auto"/>
        <w:rPr>
          <w:sz w:val="20"/>
          <w:szCs w:val="20"/>
          <w:lang w:val="en-US"/>
        </w:rPr>
      </w:pPr>
    </w:p>
    <w:p w14:paraId="41F24CEB" w14:textId="700FBB41" w:rsidR="009B038E" w:rsidRPr="009D52FD" w:rsidRDefault="009E4F6C" w:rsidP="00F01A46">
      <w:pPr>
        <w:numPr>
          <w:ilvl w:val="0"/>
          <w:numId w:val="1"/>
        </w:numPr>
        <w:tabs>
          <w:tab w:val="left" w:pos="567"/>
        </w:tabs>
        <w:spacing w:line="240" w:lineRule="auto"/>
        <w:ind w:left="0" w:firstLine="0"/>
        <w:rPr>
          <w:sz w:val="16"/>
          <w:szCs w:val="16"/>
          <w:lang w:val="en-US"/>
        </w:rPr>
      </w:pPr>
      <w:r w:rsidRPr="009D52FD">
        <w:rPr>
          <w:sz w:val="20"/>
          <w:szCs w:val="20"/>
          <w:lang w:val="en-US"/>
        </w:rPr>
        <w:t>Re</w:t>
      </w:r>
      <w:r w:rsidR="009B038E" w:rsidRPr="009D52FD">
        <w:rPr>
          <w:sz w:val="20"/>
          <w:szCs w:val="20"/>
          <w:lang w:val="en-US"/>
        </w:rPr>
        <w:t xml:space="preserve">garding the specific obligation of prevention and due diligence, </w:t>
      </w:r>
      <w:r w:rsidR="003630BB" w:rsidRPr="009D52FD">
        <w:rPr>
          <w:sz w:val="20"/>
          <w:szCs w:val="20"/>
          <w:lang w:val="en-US"/>
        </w:rPr>
        <w:t>the representatives</w:t>
      </w:r>
      <w:r w:rsidRPr="009D52FD">
        <w:rPr>
          <w:sz w:val="20"/>
          <w:szCs w:val="20"/>
          <w:lang w:val="en-US"/>
        </w:rPr>
        <w:t xml:space="preserve"> </w:t>
      </w:r>
      <w:r w:rsidR="009B038E" w:rsidRPr="009D52FD">
        <w:rPr>
          <w:sz w:val="20"/>
          <w:szCs w:val="20"/>
          <w:lang w:val="en-US"/>
        </w:rPr>
        <w:t xml:space="preserve">argued that “a </w:t>
      </w:r>
      <w:r w:rsidR="00A75EA2" w:rsidRPr="009D52FD">
        <w:rPr>
          <w:sz w:val="20"/>
          <w:szCs w:val="20"/>
          <w:lang w:val="en-US"/>
        </w:rPr>
        <w:t>kidnapping</w:t>
      </w:r>
      <w:r w:rsidR="009B038E" w:rsidRPr="009D52FD">
        <w:rPr>
          <w:sz w:val="20"/>
          <w:szCs w:val="20"/>
          <w:lang w:val="en-US"/>
        </w:rPr>
        <w:t xml:space="preserve"> or a disappearance is, in itself, an act of gender-based violence that also </w:t>
      </w:r>
      <w:r w:rsidR="00D4551F" w:rsidRPr="009D52FD">
        <w:rPr>
          <w:sz w:val="20"/>
          <w:szCs w:val="20"/>
          <w:lang w:val="en-US"/>
        </w:rPr>
        <w:t>involves</w:t>
      </w:r>
      <w:r w:rsidR="009B038E" w:rsidRPr="009D52FD">
        <w:rPr>
          <w:sz w:val="20"/>
          <w:szCs w:val="20"/>
          <w:lang w:val="en-US"/>
        </w:rPr>
        <w:t xml:space="preserve"> the imminent risk of acts of sexual violence against a woman</w:t>
      </w:r>
      <w:r w:rsidR="00D4551F" w:rsidRPr="009D52FD">
        <w:rPr>
          <w:sz w:val="20"/>
          <w:szCs w:val="20"/>
          <w:lang w:val="en-US"/>
        </w:rPr>
        <w:t>.</w:t>
      </w:r>
      <w:r w:rsidR="009B038E" w:rsidRPr="009D52FD">
        <w:rPr>
          <w:sz w:val="20"/>
          <w:szCs w:val="20"/>
          <w:lang w:val="en-US"/>
        </w:rPr>
        <w:t xml:space="preserve">” </w:t>
      </w:r>
      <w:r w:rsidR="00D4551F" w:rsidRPr="009D52FD">
        <w:rPr>
          <w:sz w:val="20"/>
          <w:szCs w:val="20"/>
          <w:lang w:val="en-US"/>
        </w:rPr>
        <w:t>T</w:t>
      </w:r>
      <w:r w:rsidR="009B038E" w:rsidRPr="009D52FD">
        <w:rPr>
          <w:sz w:val="20"/>
          <w:szCs w:val="20"/>
          <w:lang w:val="en-US"/>
        </w:rPr>
        <w:t xml:space="preserve">herefore, when the </w:t>
      </w:r>
      <w:r w:rsidR="00A75EA2" w:rsidRPr="009D52FD">
        <w:rPr>
          <w:sz w:val="20"/>
          <w:szCs w:val="20"/>
          <w:lang w:val="en-US"/>
        </w:rPr>
        <w:t>kidnapping</w:t>
      </w:r>
      <w:r w:rsidR="009B038E" w:rsidRPr="009D52FD">
        <w:rPr>
          <w:sz w:val="20"/>
          <w:szCs w:val="20"/>
          <w:lang w:val="en-US"/>
        </w:rPr>
        <w:t xml:space="preserve"> or disappearance of a woman is reported, the obligations of strict due diligence are activated, regardless of a context of violence against women. They indicated that the State was aware of a real and imm</w:t>
      </w:r>
      <w:r w:rsidR="00D4551F" w:rsidRPr="009D52FD">
        <w:rPr>
          <w:sz w:val="20"/>
          <w:szCs w:val="20"/>
          <w:lang w:val="en-US"/>
        </w:rPr>
        <w:t>inent</w:t>
      </w:r>
      <w:r w:rsidR="009B038E" w:rsidRPr="009D52FD">
        <w:rPr>
          <w:sz w:val="20"/>
          <w:szCs w:val="20"/>
          <w:lang w:val="en-US"/>
        </w:rPr>
        <w:t xml:space="preserve"> risk to the life and integrity of </w:t>
      </w:r>
      <w:r w:rsidRPr="009D52FD">
        <w:rPr>
          <w:sz w:val="20"/>
          <w:szCs w:val="20"/>
          <w:lang w:val="en-US"/>
        </w:rPr>
        <w:t xml:space="preserve">Linda Loaiza </w:t>
      </w:r>
      <w:r w:rsidR="009B038E" w:rsidRPr="009D52FD">
        <w:rPr>
          <w:sz w:val="20"/>
          <w:szCs w:val="20"/>
          <w:lang w:val="en-US"/>
        </w:rPr>
        <w:t>from the moment</w:t>
      </w:r>
      <w:r w:rsidR="00D4551F" w:rsidRPr="009D52FD">
        <w:rPr>
          <w:sz w:val="20"/>
          <w:szCs w:val="20"/>
          <w:lang w:val="en-US"/>
        </w:rPr>
        <w:t xml:space="preserve"> of the report filed by</w:t>
      </w:r>
      <w:r w:rsidR="009B038E" w:rsidRPr="009D52FD">
        <w:rPr>
          <w:sz w:val="20"/>
          <w:szCs w:val="20"/>
          <w:lang w:val="en-US"/>
        </w:rPr>
        <w:t xml:space="preserve"> her sister</w:t>
      </w:r>
      <w:r w:rsidRPr="009D52FD">
        <w:rPr>
          <w:sz w:val="20"/>
          <w:szCs w:val="20"/>
          <w:lang w:val="en-US"/>
        </w:rPr>
        <w:t xml:space="preserve">, Ana Secilia, </w:t>
      </w:r>
      <w:r w:rsidR="009B038E" w:rsidRPr="009D52FD">
        <w:rPr>
          <w:sz w:val="20"/>
          <w:szCs w:val="20"/>
          <w:lang w:val="en-US"/>
        </w:rPr>
        <w:t xml:space="preserve">the following day, when she </w:t>
      </w:r>
      <w:r w:rsidR="00D4551F" w:rsidRPr="009D52FD">
        <w:rPr>
          <w:sz w:val="20"/>
          <w:szCs w:val="20"/>
          <w:lang w:val="en-US"/>
        </w:rPr>
        <w:t>provided</w:t>
      </w:r>
      <w:r w:rsidR="009B038E" w:rsidRPr="009D52FD">
        <w:rPr>
          <w:sz w:val="20"/>
          <w:szCs w:val="20"/>
          <w:lang w:val="en-US"/>
        </w:rPr>
        <w:t xml:space="preserve"> the name and </w:t>
      </w:r>
      <w:r w:rsidR="009B038E" w:rsidRPr="009D52FD">
        <w:rPr>
          <w:sz w:val="20"/>
          <w:szCs w:val="20"/>
          <w:lang w:val="en-US"/>
        </w:rPr>
        <w:lastRenderedPageBreak/>
        <w:t xml:space="preserve">telephone number of the presumed </w:t>
      </w:r>
      <w:r w:rsidR="00D4551F" w:rsidRPr="009D52FD">
        <w:rPr>
          <w:sz w:val="20"/>
          <w:szCs w:val="20"/>
          <w:lang w:val="en-US"/>
        </w:rPr>
        <w:t>kidnapper;</w:t>
      </w:r>
      <w:r w:rsidR="009B038E" w:rsidRPr="009D52FD">
        <w:rPr>
          <w:sz w:val="20"/>
          <w:szCs w:val="20"/>
          <w:lang w:val="en-US"/>
        </w:rPr>
        <w:t xml:space="preserve"> but the police refused to receive the report. </w:t>
      </w:r>
      <w:r w:rsidR="003630BB" w:rsidRPr="009D52FD">
        <w:rPr>
          <w:sz w:val="20"/>
          <w:szCs w:val="20"/>
          <w:lang w:val="en-US"/>
        </w:rPr>
        <w:t>The representatives</w:t>
      </w:r>
      <w:r w:rsidRPr="009D52FD">
        <w:rPr>
          <w:sz w:val="20"/>
          <w:szCs w:val="20"/>
          <w:lang w:val="en-US"/>
        </w:rPr>
        <w:t xml:space="preserve"> argu</w:t>
      </w:r>
      <w:r w:rsidR="009B038E" w:rsidRPr="009D52FD">
        <w:rPr>
          <w:sz w:val="20"/>
          <w:szCs w:val="20"/>
          <w:lang w:val="en-US"/>
        </w:rPr>
        <w:t xml:space="preserve">ed that the State </w:t>
      </w:r>
      <w:r w:rsidR="00FB3B5F" w:rsidRPr="009D52FD">
        <w:rPr>
          <w:sz w:val="20"/>
          <w:szCs w:val="20"/>
          <w:lang w:val="en-US"/>
        </w:rPr>
        <w:t xml:space="preserve">grossly neglected its obligation of prevention in this specific case, by disregarding the report and failing to take any reasonable measure, such as initiating a search or collecting more specific information on </w:t>
      </w:r>
      <w:r w:rsidR="00783217" w:rsidRPr="009D52FD">
        <w:rPr>
          <w:sz w:val="20"/>
          <w:szCs w:val="20"/>
          <w:lang w:val="en-US"/>
        </w:rPr>
        <w:t>Linda Loaiza’s</w:t>
      </w:r>
      <w:r w:rsidR="00FB3B5F" w:rsidRPr="009D52FD">
        <w:rPr>
          <w:sz w:val="20"/>
          <w:szCs w:val="20"/>
          <w:lang w:val="en-US"/>
        </w:rPr>
        <w:t xml:space="preserve"> possible whereabouts, in order to </w:t>
      </w:r>
      <w:r w:rsidR="00783217" w:rsidRPr="009D52FD">
        <w:rPr>
          <w:sz w:val="20"/>
          <w:szCs w:val="20"/>
          <w:lang w:val="en-US"/>
        </w:rPr>
        <w:t>save</w:t>
      </w:r>
      <w:r w:rsidR="00FB3B5F" w:rsidRPr="009D52FD">
        <w:rPr>
          <w:sz w:val="20"/>
          <w:szCs w:val="20"/>
          <w:lang w:val="en-US"/>
        </w:rPr>
        <w:t xml:space="preserve"> </w:t>
      </w:r>
      <w:r w:rsidR="00783217" w:rsidRPr="009D52FD">
        <w:rPr>
          <w:sz w:val="20"/>
          <w:szCs w:val="20"/>
          <w:lang w:val="en-US"/>
        </w:rPr>
        <w:t>her</w:t>
      </w:r>
      <w:r w:rsidR="00FB3B5F" w:rsidRPr="009D52FD">
        <w:rPr>
          <w:sz w:val="20"/>
          <w:szCs w:val="20"/>
          <w:lang w:val="en-US"/>
        </w:rPr>
        <w:t xml:space="preserve"> from the risk of violence that she faced. It was possible to anticipate this risk, based not only on the victim’s situation as a woman who had been </w:t>
      </w:r>
      <w:r w:rsidR="00783217" w:rsidRPr="009D52FD">
        <w:rPr>
          <w:sz w:val="20"/>
          <w:szCs w:val="20"/>
          <w:lang w:val="en-US"/>
        </w:rPr>
        <w:t>kidnapped</w:t>
      </w:r>
      <w:r w:rsidR="00FB3B5F" w:rsidRPr="009D52FD">
        <w:rPr>
          <w:sz w:val="20"/>
          <w:szCs w:val="20"/>
          <w:lang w:val="en-US"/>
        </w:rPr>
        <w:t xml:space="preserve">, but also, in this specific case, because there were clear indications that she was being subjected to physical violence. The representatives indicated that the State’s inaction following the repeated reports signified not only the violation of the obligation of prevention, but also a situation of acquiescence and complicity, which presumably involved an omission of the obligation </w:t>
      </w:r>
      <w:r w:rsidR="00783217" w:rsidRPr="009D52FD">
        <w:rPr>
          <w:sz w:val="20"/>
          <w:szCs w:val="20"/>
          <w:lang w:val="en-US"/>
        </w:rPr>
        <w:t>to</w:t>
      </w:r>
      <w:r w:rsidR="00FB3B5F" w:rsidRPr="009D52FD">
        <w:rPr>
          <w:sz w:val="20"/>
          <w:szCs w:val="20"/>
          <w:lang w:val="en-US"/>
        </w:rPr>
        <w:t xml:space="preserve"> respect</w:t>
      </w:r>
      <w:r w:rsidR="00783217" w:rsidRPr="009D52FD">
        <w:rPr>
          <w:sz w:val="20"/>
          <w:szCs w:val="20"/>
          <w:lang w:val="en-US"/>
        </w:rPr>
        <w:t xml:space="preserve"> rights</w:t>
      </w:r>
      <w:r w:rsidR="00FB3B5F" w:rsidRPr="009D52FD">
        <w:rPr>
          <w:sz w:val="20"/>
          <w:szCs w:val="20"/>
          <w:lang w:val="en-US"/>
        </w:rPr>
        <w:t xml:space="preserve">. They argued that, contrary to other precedents, in this case the </w:t>
      </w:r>
      <w:r w:rsidR="00783217" w:rsidRPr="009D52FD">
        <w:rPr>
          <w:sz w:val="20"/>
          <w:szCs w:val="20"/>
          <w:lang w:val="en-US"/>
        </w:rPr>
        <w:t xml:space="preserve">State’s </w:t>
      </w:r>
      <w:r w:rsidR="00FB3B5F" w:rsidRPr="009D52FD">
        <w:rPr>
          <w:sz w:val="20"/>
          <w:szCs w:val="20"/>
          <w:lang w:val="en-US"/>
        </w:rPr>
        <w:t xml:space="preserve">attitude resulted in the victim being exposed to an even greater situation of risk because, in addition to refusing to receive the report and to </w:t>
      </w:r>
      <w:r w:rsidR="00783217" w:rsidRPr="009D52FD">
        <w:rPr>
          <w:sz w:val="20"/>
          <w:szCs w:val="20"/>
          <w:lang w:val="en-US"/>
        </w:rPr>
        <w:t>act promptly</w:t>
      </w:r>
      <w:r w:rsidR="00FB3B5F" w:rsidRPr="009D52FD">
        <w:rPr>
          <w:sz w:val="20"/>
          <w:szCs w:val="20"/>
          <w:lang w:val="en-US"/>
        </w:rPr>
        <w:t>, the police agents telephoned the aggressor, alerting him to the report that had been filed. In addition, the</w:t>
      </w:r>
      <w:r w:rsidR="00783217" w:rsidRPr="009D52FD">
        <w:rPr>
          <w:sz w:val="20"/>
          <w:szCs w:val="20"/>
          <w:lang w:val="en-US"/>
        </w:rPr>
        <w:t xml:space="preserve"> representatives</w:t>
      </w:r>
      <w:r w:rsidR="00FB3B5F" w:rsidRPr="009D52FD">
        <w:rPr>
          <w:sz w:val="20"/>
          <w:szCs w:val="20"/>
          <w:lang w:val="en-US"/>
        </w:rPr>
        <w:t xml:space="preserve"> argued that, since the authorities knew the name of the perpetrator, the State’s </w:t>
      </w:r>
      <w:r w:rsidR="00783217" w:rsidRPr="009D52FD">
        <w:rPr>
          <w:sz w:val="20"/>
          <w:szCs w:val="20"/>
          <w:lang w:val="en-US"/>
        </w:rPr>
        <w:t>in</w:t>
      </w:r>
      <w:r w:rsidR="00FB3B5F" w:rsidRPr="009D52FD">
        <w:rPr>
          <w:sz w:val="20"/>
          <w:szCs w:val="20"/>
          <w:lang w:val="en-US"/>
        </w:rPr>
        <w:t>action prove</w:t>
      </w:r>
      <w:r w:rsidR="00783217" w:rsidRPr="009D52FD">
        <w:rPr>
          <w:sz w:val="20"/>
          <w:szCs w:val="20"/>
          <w:lang w:val="en-US"/>
        </w:rPr>
        <w:t>d</w:t>
      </w:r>
      <w:r w:rsidR="00FB3B5F" w:rsidRPr="009D52FD">
        <w:rPr>
          <w:sz w:val="20"/>
          <w:szCs w:val="20"/>
          <w:lang w:val="en-US"/>
        </w:rPr>
        <w:t xml:space="preserve"> acquiescence </w:t>
      </w:r>
      <w:r w:rsidR="00783217" w:rsidRPr="009D52FD">
        <w:rPr>
          <w:sz w:val="20"/>
          <w:szCs w:val="20"/>
          <w:lang w:val="en-US"/>
        </w:rPr>
        <w:t>to</w:t>
      </w:r>
      <w:r w:rsidR="00FB3B5F" w:rsidRPr="009D52FD">
        <w:rPr>
          <w:sz w:val="20"/>
          <w:szCs w:val="20"/>
          <w:lang w:val="en-US"/>
        </w:rPr>
        <w:t xml:space="preserve"> the conduct of th</w:t>
      </w:r>
      <w:r w:rsidR="00717F1A" w:rsidRPr="009D52FD">
        <w:rPr>
          <w:sz w:val="20"/>
          <w:szCs w:val="20"/>
          <w:lang w:val="en-US"/>
        </w:rPr>
        <w:t>is</w:t>
      </w:r>
      <w:r w:rsidR="00FB3B5F" w:rsidRPr="009D52FD">
        <w:rPr>
          <w:sz w:val="20"/>
          <w:szCs w:val="20"/>
          <w:lang w:val="en-US"/>
        </w:rPr>
        <w:t xml:space="preserve"> </w:t>
      </w:r>
      <w:r w:rsidR="00F75897" w:rsidRPr="009D52FD">
        <w:rPr>
          <w:sz w:val="20"/>
          <w:szCs w:val="20"/>
          <w:lang w:val="en-US"/>
        </w:rPr>
        <w:t>individual</w:t>
      </w:r>
      <w:r w:rsidR="00FB3B5F" w:rsidRPr="009D52FD">
        <w:rPr>
          <w:sz w:val="20"/>
          <w:szCs w:val="20"/>
          <w:lang w:val="en-US"/>
        </w:rPr>
        <w:t>.</w:t>
      </w:r>
    </w:p>
    <w:p w14:paraId="1E7274AB" w14:textId="77777777" w:rsidR="009E4F6C" w:rsidRPr="009D52FD" w:rsidRDefault="009E4F6C" w:rsidP="009E4F6C">
      <w:pPr>
        <w:widowControl/>
        <w:autoSpaceDE w:val="0"/>
        <w:autoSpaceDN w:val="0"/>
        <w:spacing w:line="240" w:lineRule="auto"/>
        <w:jc w:val="left"/>
        <w:textAlignment w:val="auto"/>
        <w:rPr>
          <w:rFonts w:eastAsiaTheme="minorHAnsi" w:cs="Verdana"/>
          <w:color w:val="000000"/>
          <w:sz w:val="20"/>
          <w:szCs w:val="20"/>
          <w:lang w:val="en-US" w:eastAsia="en-US"/>
        </w:rPr>
      </w:pPr>
    </w:p>
    <w:p w14:paraId="27F2926C" w14:textId="33432BC0" w:rsidR="00F01A46" w:rsidRPr="009D52FD" w:rsidRDefault="003630BB" w:rsidP="00E6362D">
      <w:pPr>
        <w:numPr>
          <w:ilvl w:val="0"/>
          <w:numId w:val="1"/>
        </w:numPr>
        <w:tabs>
          <w:tab w:val="left" w:pos="567"/>
        </w:tabs>
        <w:spacing w:line="240" w:lineRule="auto"/>
        <w:ind w:left="0" w:firstLine="0"/>
        <w:rPr>
          <w:sz w:val="20"/>
          <w:szCs w:val="20"/>
          <w:lang w:val="en-US"/>
        </w:rPr>
      </w:pPr>
      <w:r w:rsidRPr="009D52FD">
        <w:rPr>
          <w:sz w:val="20"/>
          <w:szCs w:val="20"/>
          <w:lang w:val="en-US"/>
        </w:rPr>
        <w:t>The representatives</w:t>
      </w:r>
      <w:r w:rsidR="009E4F6C" w:rsidRPr="009D52FD">
        <w:rPr>
          <w:bCs/>
          <w:iCs/>
          <w:sz w:val="20"/>
          <w:szCs w:val="20"/>
          <w:lang w:val="en-US"/>
        </w:rPr>
        <w:t xml:space="preserve"> </w:t>
      </w:r>
      <w:r w:rsidR="009E4F6C" w:rsidRPr="009D52FD">
        <w:rPr>
          <w:sz w:val="20"/>
          <w:szCs w:val="20"/>
          <w:lang w:val="en-US"/>
        </w:rPr>
        <w:t>conclu</w:t>
      </w:r>
      <w:r w:rsidR="00E6362D" w:rsidRPr="009D52FD">
        <w:rPr>
          <w:sz w:val="20"/>
          <w:szCs w:val="20"/>
          <w:lang w:val="en-US"/>
        </w:rPr>
        <w:t xml:space="preserve">ded that the violence </w:t>
      </w:r>
      <w:r w:rsidR="00717F1A" w:rsidRPr="009D52FD">
        <w:rPr>
          <w:sz w:val="20"/>
          <w:szCs w:val="20"/>
          <w:lang w:val="en-US"/>
        </w:rPr>
        <w:t>employ</w:t>
      </w:r>
      <w:r w:rsidR="00E6362D" w:rsidRPr="009D52FD">
        <w:rPr>
          <w:sz w:val="20"/>
          <w:szCs w:val="20"/>
          <w:lang w:val="en-US"/>
        </w:rPr>
        <w:t xml:space="preserve">ed against Linda Loaiza was of a sexual nature </w:t>
      </w:r>
      <w:r w:rsidR="00717F1A" w:rsidRPr="009D52FD">
        <w:rPr>
          <w:sz w:val="20"/>
          <w:szCs w:val="20"/>
          <w:lang w:val="en-US"/>
        </w:rPr>
        <w:t>and</w:t>
      </w:r>
      <w:r w:rsidR="00E6362D" w:rsidRPr="009D52FD">
        <w:rPr>
          <w:sz w:val="20"/>
          <w:szCs w:val="20"/>
          <w:lang w:val="en-US"/>
        </w:rPr>
        <w:t xml:space="preserve"> </w:t>
      </w:r>
      <w:r w:rsidR="00717F1A" w:rsidRPr="009D52FD">
        <w:rPr>
          <w:sz w:val="20"/>
          <w:szCs w:val="20"/>
          <w:lang w:val="en-US"/>
        </w:rPr>
        <w:t>involved</w:t>
      </w:r>
      <w:r w:rsidR="00E6362D" w:rsidRPr="009D52FD">
        <w:rPr>
          <w:sz w:val="20"/>
          <w:szCs w:val="20"/>
          <w:lang w:val="en-US"/>
        </w:rPr>
        <w:t xml:space="preserve"> </w:t>
      </w:r>
      <w:r w:rsidR="00A75EA2" w:rsidRPr="009D52FD">
        <w:rPr>
          <w:sz w:val="20"/>
          <w:szCs w:val="20"/>
          <w:lang w:val="en-US"/>
        </w:rPr>
        <w:t>kidnapping</w:t>
      </w:r>
      <w:r w:rsidR="00E6362D" w:rsidRPr="009D52FD">
        <w:rPr>
          <w:sz w:val="20"/>
          <w:szCs w:val="20"/>
          <w:lang w:val="en-US"/>
        </w:rPr>
        <w:t xml:space="preserve"> and repeated subjection to rape and different forms of sexual, physical and psychological violence, which resulted in the violation of </w:t>
      </w:r>
      <w:r w:rsidRPr="009D52FD">
        <w:rPr>
          <w:sz w:val="20"/>
          <w:szCs w:val="20"/>
          <w:lang w:val="en-US"/>
        </w:rPr>
        <w:t>Articles</w:t>
      </w:r>
      <w:r w:rsidR="009E4F6C" w:rsidRPr="009D52FD">
        <w:rPr>
          <w:sz w:val="20"/>
          <w:szCs w:val="20"/>
          <w:lang w:val="en-US"/>
        </w:rPr>
        <w:t xml:space="preserve"> 5</w:t>
      </w:r>
      <w:r w:rsidRPr="009D52FD">
        <w:rPr>
          <w:sz w:val="20"/>
          <w:szCs w:val="20"/>
          <w:lang w:val="en-US"/>
        </w:rPr>
        <w:t xml:space="preserve"> and </w:t>
      </w:r>
      <w:r w:rsidR="009E4F6C" w:rsidRPr="009D52FD">
        <w:rPr>
          <w:sz w:val="20"/>
          <w:szCs w:val="20"/>
          <w:lang w:val="en-US"/>
        </w:rPr>
        <w:t xml:space="preserve">11, </w:t>
      </w:r>
      <w:r w:rsidR="00997ADF" w:rsidRPr="009D52FD">
        <w:rPr>
          <w:sz w:val="20"/>
          <w:szCs w:val="20"/>
          <w:lang w:val="en-US"/>
        </w:rPr>
        <w:t>in relation to</w:t>
      </w:r>
      <w:r w:rsidR="009E4F6C" w:rsidRPr="009D52FD">
        <w:rPr>
          <w:sz w:val="20"/>
          <w:szCs w:val="20"/>
          <w:lang w:val="en-US"/>
        </w:rPr>
        <w:t xml:space="preserve"> </w:t>
      </w:r>
      <w:r w:rsidR="00483040" w:rsidRPr="009D52FD">
        <w:rPr>
          <w:sz w:val="20"/>
          <w:szCs w:val="20"/>
          <w:lang w:val="en-US"/>
        </w:rPr>
        <w:t>Article 1(1)</w:t>
      </w:r>
      <w:r w:rsidRPr="009D52FD">
        <w:rPr>
          <w:sz w:val="20"/>
          <w:szCs w:val="20"/>
          <w:lang w:val="en-US"/>
        </w:rPr>
        <w:t xml:space="preserve"> of the Convention and Article</w:t>
      </w:r>
      <w:r w:rsidR="009E4F6C" w:rsidRPr="009D52FD">
        <w:rPr>
          <w:sz w:val="20"/>
          <w:szCs w:val="20"/>
          <w:lang w:val="en-US"/>
        </w:rPr>
        <w:t xml:space="preserve"> 7</w:t>
      </w:r>
      <w:r w:rsidRPr="009D52FD">
        <w:rPr>
          <w:sz w:val="20"/>
          <w:szCs w:val="20"/>
          <w:lang w:val="en-US"/>
        </w:rPr>
        <w:t xml:space="preserve"> of the Convention</w:t>
      </w:r>
      <w:r w:rsidR="009E4F6C" w:rsidRPr="009D52FD">
        <w:rPr>
          <w:sz w:val="20"/>
          <w:szCs w:val="20"/>
          <w:lang w:val="en-US"/>
        </w:rPr>
        <w:t xml:space="preserve"> </w:t>
      </w:r>
      <w:r w:rsidR="00483040" w:rsidRPr="009D52FD">
        <w:rPr>
          <w:sz w:val="20"/>
          <w:szCs w:val="20"/>
          <w:lang w:val="en-US"/>
        </w:rPr>
        <w:t>of Belém</w:t>
      </w:r>
      <w:r w:rsidR="009E4F6C" w:rsidRPr="009D52FD">
        <w:rPr>
          <w:sz w:val="20"/>
          <w:szCs w:val="20"/>
          <w:lang w:val="en-US"/>
        </w:rPr>
        <w:t xml:space="preserve"> do Pará, </w:t>
      </w:r>
      <w:r w:rsidR="00E6362D" w:rsidRPr="009D52FD">
        <w:rPr>
          <w:sz w:val="20"/>
          <w:szCs w:val="20"/>
          <w:lang w:val="en-US"/>
        </w:rPr>
        <w:t>that could be attributed to the State. Similarly,</w:t>
      </w:r>
      <w:r w:rsidR="009E4F6C" w:rsidRPr="009D52FD">
        <w:rPr>
          <w:sz w:val="20"/>
          <w:szCs w:val="20"/>
          <w:lang w:val="en-US"/>
        </w:rPr>
        <w:t xml:space="preserve"> </w:t>
      </w:r>
      <w:r w:rsidRPr="009D52FD">
        <w:rPr>
          <w:sz w:val="20"/>
          <w:szCs w:val="20"/>
          <w:lang w:val="en-US"/>
        </w:rPr>
        <w:t>the representatives</w:t>
      </w:r>
      <w:r w:rsidR="009E4F6C" w:rsidRPr="009D52FD">
        <w:rPr>
          <w:sz w:val="20"/>
          <w:szCs w:val="20"/>
          <w:lang w:val="en-US"/>
        </w:rPr>
        <w:t xml:space="preserve"> </w:t>
      </w:r>
      <w:r w:rsidR="00E6362D" w:rsidRPr="009D52FD">
        <w:rPr>
          <w:sz w:val="20"/>
          <w:szCs w:val="20"/>
          <w:lang w:val="en-US"/>
        </w:rPr>
        <w:t xml:space="preserve">categorized the acts </w:t>
      </w:r>
      <w:r w:rsidR="00002A76" w:rsidRPr="009D52FD">
        <w:rPr>
          <w:sz w:val="20"/>
          <w:szCs w:val="20"/>
          <w:lang w:val="en-US"/>
        </w:rPr>
        <w:t>perpetrated</w:t>
      </w:r>
      <w:r w:rsidR="00E6362D" w:rsidRPr="009D52FD">
        <w:rPr>
          <w:sz w:val="20"/>
          <w:szCs w:val="20"/>
          <w:lang w:val="en-US"/>
        </w:rPr>
        <w:t xml:space="preserve"> against </w:t>
      </w:r>
      <w:r w:rsidR="009E4F6C" w:rsidRPr="009D52FD">
        <w:rPr>
          <w:sz w:val="20"/>
          <w:szCs w:val="20"/>
          <w:lang w:val="en-US"/>
        </w:rPr>
        <w:t>Linda Loaiza, inclu</w:t>
      </w:r>
      <w:r w:rsidR="00E6362D" w:rsidRPr="009D52FD">
        <w:rPr>
          <w:sz w:val="20"/>
          <w:szCs w:val="20"/>
          <w:lang w:val="en-US"/>
        </w:rPr>
        <w:t xml:space="preserve">ding her retention, the physical violence, the sexual violence, and the humiliating and degrading acts as torture, owing to the degree of severity and the acquiescence of the </w:t>
      </w:r>
      <w:r w:rsidRPr="009D52FD">
        <w:rPr>
          <w:sz w:val="20"/>
          <w:szCs w:val="20"/>
          <w:lang w:val="en-US"/>
        </w:rPr>
        <w:t>State</w:t>
      </w:r>
      <w:r w:rsidR="009E4F6C" w:rsidRPr="009D52FD">
        <w:rPr>
          <w:sz w:val="20"/>
          <w:szCs w:val="20"/>
          <w:lang w:val="en-US"/>
        </w:rPr>
        <w:t xml:space="preserve">, </w:t>
      </w:r>
      <w:r w:rsidR="00E6362D" w:rsidRPr="009D52FD">
        <w:rPr>
          <w:sz w:val="20"/>
          <w:szCs w:val="20"/>
          <w:lang w:val="en-US"/>
        </w:rPr>
        <w:t>in violation</w:t>
      </w:r>
      <w:r w:rsidR="009E4F6C" w:rsidRPr="009D52FD">
        <w:rPr>
          <w:sz w:val="20"/>
          <w:szCs w:val="20"/>
          <w:lang w:val="en-US"/>
        </w:rPr>
        <w:t xml:space="preserve"> </w:t>
      </w:r>
      <w:r w:rsidR="00D32B3E" w:rsidRPr="009D52FD">
        <w:rPr>
          <w:sz w:val="20"/>
          <w:szCs w:val="20"/>
          <w:lang w:val="en-US"/>
        </w:rPr>
        <w:t>of Article</w:t>
      </w:r>
      <w:r w:rsidR="00483040" w:rsidRPr="009D52FD">
        <w:rPr>
          <w:sz w:val="20"/>
          <w:szCs w:val="20"/>
          <w:lang w:val="en-US"/>
        </w:rPr>
        <w:t xml:space="preserve"> 5(2)</w:t>
      </w:r>
      <w:r w:rsidR="00CB5BF2" w:rsidRPr="009D52FD">
        <w:rPr>
          <w:sz w:val="20"/>
          <w:szCs w:val="20"/>
          <w:lang w:val="en-US"/>
        </w:rPr>
        <w:t>,</w:t>
      </w:r>
      <w:r w:rsidR="009E4F6C" w:rsidRPr="009D52FD">
        <w:rPr>
          <w:sz w:val="20"/>
          <w:szCs w:val="20"/>
          <w:lang w:val="en-US"/>
        </w:rPr>
        <w:t xml:space="preserve"> </w:t>
      </w:r>
      <w:r w:rsidR="00997ADF" w:rsidRPr="009D52FD">
        <w:rPr>
          <w:sz w:val="20"/>
          <w:szCs w:val="20"/>
          <w:lang w:val="en-US"/>
        </w:rPr>
        <w:t>in relation to</w:t>
      </w:r>
      <w:r w:rsidR="009E4F6C" w:rsidRPr="009D52FD">
        <w:rPr>
          <w:sz w:val="20"/>
          <w:szCs w:val="20"/>
          <w:lang w:val="en-US"/>
        </w:rPr>
        <w:t xml:space="preserve"> </w:t>
      </w:r>
      <w:r w:rsidR="00483040" w:rsidRPr="009D52FD">
        <w:rPr>
          <w:sz w:val="20"/>
          <w:szCs w:val="20"/>
          <w:lang w:val="en-US"/>
        </w:rPr>
        <w:t>Article 1(1)</w:t>
      </w:r>
      <w:r w:rsidRPr="009D52FD">
        <w:rPr>
          <w:sz w:val="20"/>
          <w:szCs w:val="20"/>
          <w:lang w:val="en-US"/>
        </w:rPr>
        <w:t xml:space="preserve"> of the Convention and Articles</w:t>
      </w:r>
      <w:r w:rsidR="004452EE" w:rsidRPr="009D52FD">
        <w:rPr>
          <w:sz w:val="20"/>
          <w:szCs w:val="20"/>
          <w:lang w:val="en-US"/>
        </w:rPr>
        <w:t xml:space="preserve"> 1, 6</w:t>
      </w:r>
      <w:r w:rsidRPr="009D52FD">
        <w:rPr>
          <w:sz w:val="20"/>
          <w:szCs w:val="20"/>
          <w:lang w:val="en-US"/>
        </w:rPr>
        <w:t xml:space="preserve"> and </w:t>
      </w:r>
      <w:r w:rsidR="004452EE" w:rsidRPr="009D52FD">
        <w:rPr>
          <w:sz w:val="20"/>
          <w:szCs w:val="20"/>
          <w:lang w:val="en-US"/>
        </w:rPr>
        <w:t xml:space="preserve">8 </w:t>
      </w:r>
      <w:r w:rsidR="00D32B3E" w:rsidRPr="009D52FD">
        <w:rPr>
          <w:sz w:val="20"/>
          <w:szCs w:val="20"/>
          <w:lang w:val="en-US"/>
        </w:rPr>
        <w:t>of the ICPPT</w:t>
      </w:r>
      <w:r w:rsidR="009E4F6C" w:rsidRPr="009D52FD">
        <w:rPr>
          <w:sz w:val="20"/>
          <w:szCs w:val="20"/>
          <w:lang w:val="en-US"/>
        </w:rPr>
        <w:t>.</w:t>
      </w:r>
    </w:p>
    <w:p w14:paraId="1FE80BF5" w14:textId="77777777" w:rsidR="00F01A46" w:rsidRPr="009D52FD" w:rsidRDefault="00F01A46" w:rsidP="00F01A46">
      <w:pPr>
        <w:tabs>
          <w:tab w:val="left" w:pos="567"/>
        </w:tabs>
        <w:spacing w:line="240" w:lineRule="auto"/>
        <w:rPr>
          <w:sz w:val="20"/>
          <w:szCs w:val="20"/>
          <w:lang w:val="en-US"/>
        </w:rPr>
      </w:pPr>
    </w:p>
    <w:p w14:paraId="6C73952D" w14:textId="5F08552D" w:rsidR="00875E21" w:rsidRPr="009D52FD" w:rsidRDefault="009E4F6C" w:rsidP="00E6362D">
      <w:pPr>
        <w:numPr>
          <w:ilvl w:val="0"/>
          <w:numId w:val="1"/>
        </w:numPr>
        <w:tabs>
          <w:tab w:val="left" w:pos="567"/>
        </w:tabs>
        <w:spacing w:line="240" w:lineRule="auto"/>
        <w:ind w:left="0" w:firstLine="0"/>
        <w:rPr>
          <w:sz w:val="20"/>
          <w:szCs w:val="20"/>
          <w:lang w:val="en-US"/>
        </w:rPr>
      </w:pPr>
      <w:r w:rsidRPr="009D52FD">
        <w:rPr>
          <w:sz w:val="20"/>
          <w:szCs w:val="20"/>
          <w:lang w:val="en-US"/>
        </w:rPr>
        <w:t>Ad</w:t>
      </w:r>
      <w:r w:rsidR="00E6362D" w:rsidRPr="009D52FD">
        <w:rPr>
          <w:sz w:val="20"/>
          <w:szCs w:val="20"/>
          <w:lang w:val="en-US"/>
        </w:rPr>
        <w:t>ditionally</w:t>
      </w:r>
      <w:r w:rsidRPr="009D52FD">
        <w:rPr>
          <w:sz w:val="20"/>
          <w:szCs w:val="20"/>
          <w:lang w:val="en-US"/>
        </w:rPr>
        <w:t xml:space="preserve">, </w:t>
      </w:r>
      <w:r w:rsidR="003630BB" w:rsidRPr="009D52FD">
        <w:rPr>
          <w:sz w:val="20"/>
          <w:szCs w:val="20"/>
          <w:lang w:val="en-US"/>
        </w:rPr>
        <w:t>the representatives</w:t>
      </w:r>
      <w:r w:rsidRPr="009D52FD">
        <w:rPr>
          <w:sz w:val="20"/>
          <w:szCs w:val="20"/>
          <w:lang w:val="en-US"/>
        </w:rPr>
        <w:t xml:space="preserve"> argu</w:t>
      </w:r>
      <w:r w:rsidR="00E6362D" w:rsidRPr="009D52FD">
        <w:rPr>
          <w:sz w:val="20"/>
          <w:szCs w:val="20"/>
          <w:lang w:val="en-US"/>
        </w:rPr>
        <w:t xml:space="preserve">ed that the acts of </w:t>
      </w:r>
      <w:r w:rsidR="0081578D" w:rsidRPr="009D52FD">
        <w:rPr>
          <w:sz w:val="20"/>
          <w:szCs w:val="20"/>
          <w:lang w:val="en-US"/>
        </w:rPr>
        <w:t>sexual violence</w:t>
      </w:r>
      <w:r w:rsidRPr="009D52FD">
        <w:rPr>
          <w:sz w:val="20"/>
          <w:szCs w:val="20"/>
          <w:lang w:val="en-US"/>
        </w:rPr>
        <w:t xml:space="preserve"> </w:t>
      </w:r>
      <w:r w:rsidR="00E6362D" w:rsidRPr="009D52FD">
        <w:rPr>
          <w:sz w:val="20"/>
          <w:szCs w:val="20"/>
          <w:lang w:val="en-US"/>
        </w:rPr>
        <w:t>against</w:t>
      </w:r>
      <w:r w:rsidRPr="009D52FD">
        <w:rPr>
          <w:sz w:val="20"/>
          <w:szCs w:val="20"/>
          <w:lang w:val="en-US"/>
        </w:rPr>
        <w:t xml:space="preserve"> Linda Loaiza constitu</w:t>
      </w:r>
      <w:r w:rsidR="00E6362D" w:rsidRPr="009D52FD">
        <w:rPr>
          <w:sz w:val="20"/>
          <w:szCs w:val="20"/>
          <w:lang w:val="en-US"/>
        </w:rPr>
        <w:t xml:space="preserve">ted sexual slavery and that this could also be attributed to the State owing to its failure to comply with the obligation of prevention, as well as to its acquiescence. They argued in this regard that </w:t>
      </w:r>
      <w:r w:rsidR="0050774C" w:rsidRPr="009D52FD">
        <w:rPr>
          <w:sz w:val="20"/>
          <w:szCs w:val="20"/>
          <w:lang w:val="en-US"/>
        </w:rPr>
        <w:t>the Venezuelan State</w:t>
      </w:r>
      <w:r w:rsidRPr="009D52FD">
        <w:rPr>
          <w:sz w:val="20"/>
          <w:szCs w:val="20"/>
          <w:lang w:val="en-US"/>
        </w:rPr>
        <w:t xml:space="preserve"> </w:t>
      </w:r>
      <w:r w:rsidR="00E6362D" w:rsidRPr="009D52FD">
        <w:rPr>
          <w:sz w:val="20"/>
          <w:szCs w:val="20"/>
          <w:lang w:val="en-US"/>
        </w:rPr>
        <w:t>wa</w:t>
      </w:r>
      <w:r w:rsidR="00996337" w:rsidRPr="009D52FD">
        <w:rPr>
          <w:sz w:val="20"/>
          <w:szCs w:val="20"/>
          <w:lang w:val="en-US"/>
        </w:rPr>
        <w:t>s responsible for</w:t>
      </w:r>
      <w:r w:rsidRPr="009D52FD">
        <w:rPr>
          <w:sz w:val="20"/>
          <w:szCs w:val="20"/>
          <w:lang w:val="en-US"/>
        </w:rPr>
        <w:t xml:space="preserve"> </w:t>
      </w:r>
      <w:r w:rsidR="00E6362D" w:rsidRPr="009D52FD">
        <w:rPr>
          <w:sz w:val="20"/>
          <w:szCs w:val="20"/>
          <w:lang w:val="en-US"/>
        </w:rPr>
        <w:t>the violation</w:t>
      </w:r>
      <w:r w:rsidRPr="009D52FD">
        <w:rPr>
          <w:sz w:val="20"/>
          <w:szCs w:val="20"/>
          <w:lang w:val="en-US"/>
        </w:rPr>
        <w:t xml:space="preserve"> </w:t>
      </w:r>
      <w:r w:rsidR="00D32B3E" w:rsidRPr="009D52FD">
        <w:rPr>
          <w:sz w:val="20"/>
          <w:szCs w:val="20"/>
          <w:lang w:val="en-US"/>
        </w:rPr>
        <w:t>of Article</w:t>
      </w:r>
      <w:r w:rsidRPr="009D52FD">
        <w:rPr>
          <w:sz w:val="20"/>
          <w:szCs w:val="20"/>
          <w:lang w:val="en-US"/>
        </w:rPr>
        <w:t xml:space="preserve"> 6</w:t>
      </w:r>
      <w:r w:rsidR="003630BB" w:rsidRPr="009D52FD">
        <w:rPr>
          <w:sz w:val="20"/>
          <w:szCs w:val="20"/>
          <w:lang w:val="en-US"/>
        </w:rPr>
        <w:t xml:space="preserve"> of the Convention</w:t>
      </w:r>
      <w:r w:rsidRPr="009D52FD">
        <w:rPr>
          <w:sz w:val="20"/>
          <w:szCs w:val="20"/>
          <w:lang w:val="en-US"/>
        </w:rPr>
        <w:t xml:space="preserve">, </w:t>
      </w:r>
      <w:r w:rsidR="00997ADF" w:rsidRPr="009D52FD">
        <w:rPr>
          <w:sz w:val="20"/>
          <w:szCs w:val="20"/>
          <w:lang w:val="en-US"/>
        </w:rPr>
        <w:t>in relation to</w:t>
      </w:r>
      <w:r w:rsidRPr="009D52FD">
        <w:rPr>
          <w:sz w:val="20"/>
          <w:szCs w:val="20"/>
          <w:lang w:val="en-US"/>
        </w:rPr>
        <w:t xml:space="preserve"> </w:t>
      </w:r>
      <w:r w:rsidR="00483040" w:rsidRPr="009D52FD">
        <w:rPr>
          <w:sz w:val="20"/>
          <w:szCs w:val="20"/>
          <w:lang w:val="en-US"/>
        </w:rPr>
        <w:t>Articles 1(1)</w:t>
      </w:r>
      <w:r w:rsidRPr="009D52FD">
        <w:rPr>
          <w:sz w:val="20"/>
          <w:szCs w:val="20"/>
          <w:lang w:val="en-US"/>
        </w:rPr>
        <w:t>, 3, 5, 7, 11</w:t>
      </w:r>
      <w:r w:rsidR="003630BB" w:rsidRPr="009D52FD">
        <w:rPr>
          <w:sz w:val="20"/>
          <w:szCs w:val="20"/>
          <w:lang w:val="en-US"/>
        </w:rPr>
        <w:t xml:space="preserve"> and </w:t>
      </w:r>
      <w:r w:rsidRPr="009D52FD">
        <w:rPr>
          <w:sz w:val="20"/>
          <w:szCs w:val="20"/>
          <w:lang w:val="en-US"/>
        </w:rPr>
        <w:t>22</w:t>
      </w:r>
      <w:r w:rsidR="00CB5BF2" w:rsidRPr="009D52FD">
        <w:rPr>
          <w:sz w:val="20"/>
          <w:szCs w:val="20"/>
          <w:lang w:val="en-US"/>
        </w:rPr>
        <w:t xml:space="preserve"> </w:t>
      </w:r>
      <w:r w:rsidR="00996337" w:rsidRPr="009D52FD">
        <w:rPr>
          <w:sz w:val="20"/>
          <w:szCs w:val="20"/>
          <w:lang w:val="en-US"/>
        </w:rPr>
        <w:t>of this instrument</w:t>
      </w:r>
      <w:r w:rsidRPr="009D52FD">
        <w:rPr>
          <w:sz w:val="20"/>
          <w:szCs w:val="20"/>
          <w:lang w:val="en-US"/>
        </w:rPr>
        <w:t xml:space="preserve">, </w:t>
      </w:r>
      <w:r w:rsidR="00483040" w:rsidRPr="009D52FD">
        <w:rPr>
          <w:sz w:val="20"/>
          <w:szCs w:val="20"/>
          <w:lang w:val="en-US"/>
        </w:rPr>
        <w:t>to the detriment of</w:t>
      </w:r>
      <w:r w:rsidRPr="009D52FD">
        <w:rPr>
          <w:sz w:val="20"/>
          <w:szCs w:val="20"/>
          <w:lang w:val="en-US"/>
        </w:rPr>
        <w:t xml:space="preserve"> Linda Loaiza López Soto.</w:t>
      </w:r>
      <w:r w:rsidR="00F01A46" w:rsidRPr="009D52FD">
        <w:rPr>
          <w:sz w:val="20"/>
          <w:szCs w:val="20"/>
          <w:lang w:val="en-US"/>
        </w:rPr>
        <w:t xml:space="preserve"> </w:t>
      </w:r>
      <w:r w:rsidR="003630BB" w:rsidRPr="009D52FD">
        <w:rPr>
          <w:sz w:val="20"/>
          <w:szCs w:val="20"/>
          <w:lang w:val="en-US"/>
        </w:rPr>
        <w:t>The representatives</w:t>
      </w:r>
      <w:r w:rsidRPr="009D52FD">
        <w:rPr>
          <w:sz w:val="20"/>
          <w:szCs w:val="20"/>
          <w:lang w:val="en-US"/>
        </w:rPr>
        <w:t xml:space="preserve"> </w:t>
      </w:r>
      <w:r w:rsidR="00E6362D" w:rsidRPr="009D52FD">
        <w:rPr>
          <w:sz w:val="20"/>
          <w:szCs w:val="20"/>
          <w:lang w:val="en-US"/>
        </w:rPr>
        <w:t xml:space="preserve">specified that, from March 27 to </w:t>
      </w:r>
      <w:r w:rsidR="00DB6AF5" w:rsidRPr="009D52FD">
        <w:rPr>
          <w:sz w:val="20"/>
          <w:szCs w:val="20"/>
          <w:lang w:val="en-US"/>
        </w:rPr>
        <w:t>July 19,</w:t>
      </w:r>
      <w:r w:rsidRPr="009D52FD">
        <w:rPr>
          <w:sz w:val="20"/>
          <w:szCs w:val="20"/>
          <w:lang w:val="en-US"/>
        </w:rPr>
        <w:t xml:space="preserve"> 2001, Linda Loaiza </w:t>
      </w:r>
      <w:r w:rsidR="00E6362D" w:rsidRPr="009D52FD">
        <w:rPr>
          <w:sz w:val="20"/>
          <w:szCs w:val="20"/>
          <w:lang w:val="en-US"/>
        </w:rPr>
        <w:t xml:space="preserve">was in a situation of </w:t>
      </w:r>
      <w:r w:rsidR="00E6362D" w:rsidRPr="009D52FD">
        <w:rPr>
          <w:i/>
          <w:iCs/>
          <w:sz w:val="20"/>
          <w:szCs w:val="20"/>
          <w:lang w:val="en-US"/>
        </w:rPr>
        <w:t>de facto</w:t>
      </w:r>
      <w:r w:rsidR="00E6362D" w:rsidRPr="009D52FD">
        <w:rPr>
          <w:sz w:val="20"/>
          <w:szCs w:val="20"/>
          <w:lang w:val="en-US"/>
        </w:rPr>
        <w:t xml:space="preserve"> slavery and that the facts of this case should be categorized as sexual slavery</w:t>
      </w:r>
      <w:r w:rsidR="00717F1A" w:rsidRPr="009D52FD">
        <w:rPr>
          <w:sz w:val="20"/>
          <w:szCs w:val="20"/>
          <w:lang w:val="en-US"/>
        </w:rPr>
        <w:t>,</w:t>
      </w:r>
      <w:r w:rsidR="00E6362D" w:rsidRPr="009D52FD">
        <w:rPr>
          <w:sz w:val="20"/>
          <w:szCs w:val="20"/>
          <w:lang w:val="en-US"/>
        </w:rPr>
        <w:t xml:space="preserve"> and slavery, in any of its forms, was expressly prohibited by Article 6 of the Convention. They argued that a situation of slavery also entail</w:t>
      </w:r>
      <w:r w:rsidR="00717F1A" w:rsidRPr="009D52FD">
        <w:rPr>
          <w:sz w:val="20"/>
          <w:szCs w:val="20"/>
          <w:lang w:val="en-US"/>
        </w:rPr>
        <w:t>ed</w:t>
      </w:r>
      <w:r w:rsidR="00E6362D" w:rsidRPr="009D52FD">
        <w:rPr>
          <w:sz w:val="20"/>
          <w:szCs w:val="20"/>
          <w:lang w:val="en-US"/>
        </w:rPr>
        <w:t xml:space="preserve"> the violation of other rights of the Convention such as recognition of juridical personality, </w:t>
      </w:r>
      <w:r w:rsidR="00997ADF" w:rsidRPr="009D52FD">
        <w:rPr>
          <w:sz w:val="20"/>
          <w:szCs w:val="20"/>
          <w:lang w:val="en-US"/>
        </w:rPr>
        <w:t>personal integrity</w:t>
      </w:r>
      <w:r w:rsidRPr="009D52FD">
        <w:rPr>
          <w:sz w:val="20"/>
          <w:szCs w:val="20"/>
          <w:lang w:val="en-US"/>
        </w:rPr>
        <w:t xml:space="preserve">, </w:t>
      </w:r>
      <w:r w:rsidR="00997ADF" w:rsidRPr="009D52FD">
        <w:rPr>
          <w:sz w:val="20"/>
          <w:szCs w:val="20"/>
          <w:lang w:val="en-US"/>
        </w:rPr>
        <w:t>personal liberty</w:t>
      </w:r>
      <w:r w:rsidRPr="009D52FD">
        <w:rPr>
          <w:sz w:val="20"/>
          <w:szCs w:val="20"/>
          <w:lang w:val="en-US"/>
        </w:rPr>
        <w:t xml:space="preserve">, </w:t>
      </w:r>
      <w:r w:rsidR="00875E21" w:rsidRPr="009D52FD">
        <w:rPr>
          <w:sz w:val="20"/>
          <w:szCs w:val="20"/>
          <w:lang w:val="en-US"/>
        </w:rPr>
        <w:t>honor and</w:t>
      </w:r>
      <w:r w:rsidRPr="009D52FD">
        <w:rPr>
          <w:sz w:val="20"/>
          <w:szCs w:val="20"/>
          <w:lang w:val="en-US"/>
        </w:rPr>
        <w:t xml:space="preserve"> </w:t>
      </w:r>
      <w:r w:rsidR="00AE580F" w:rsidRPr="009D52FD">
        <w:rPr>
          <w:sz w:val="20"/>
          <w:szCs w:val="20"/>
          <w:lang w:val="en-US"/>
        </w:rPr>
        <w:t>dignity</w:t>
      </w:r>
      <w:r w:rsidRPr="009D52FD">
        <w:rPr>
          <w:sz w:val="20"/>
          <w:szCs w:val="20"/>
          <w:lang w:val="en-US"/>
        </w:rPr>
        <w:t>, as</w:t>
      </w:r>
      <w:r w:rsidR="00875E21" w:rsidRPr="009D52FD">
        <w:rPr>
          <w:sz w:val="20"/>
          <w:szCs w:val="20"/>
          <w:lang w:val="en-US"/>
        </w:rPr>
        <w:t xml:space="preserve"> well as the right to freedom of movement and residence. Regarding the restriction of the victim’s movement, they indicated that, during her captivity, </w:t>
      </w:r>
      <w:r w:rsidRPr="009D52FD">
        <w:rPr>
          <w:sz w:val="20"/>
          <w:szCs w:val="20"/>
          <w:lang w:val="en-US"/>
        </w:rPr>
        <w:t>Linda Loaiza López Soto</w:t>
      </w:r>
      <w:r w:rsidR="00875E21" w:rsidRPr="009D52FD">
        <w:rPr>
          <w:sz w:val="20"/>
          <w:szCs w:val="20"/>
          <w:lang w:val="en-US"/>
        </w:rPr>
        <w:t xml:space="preserve"> never enjoyed freedom of movement even inside the rooms in which she was locked, because the victim was always tied up or handcuffed either in the bathroom, or sometimes to the bed, and even to her captor. In addition, Linda Loaiza López Soto was subjected to constant and extreme physical, sexual and psychological violence. The purpose of this violence was </w:t>
      </w:r>
      <w:r w:rsidR="00717F1A" w:rsidRPr="009D52FD">
        <w:rPr>
          <w:sz w:val="20"/>
          <w:szCs w:val="20"/>
          <w:lang w:val="en-US"/>
        </w:rPr>
        <w:t xml:space="preserve">not only </w:t>
      </w:r>
      <w:r w:rsidR="00875E21" w:rsidRPr="009D52FD">
        <w:rPr>
          <w:sz w:val="20"/>
          <w:szCs w:val="20"/>
          <w:lang w:val="en-US"/>
        </w:rPr>
        <w:t xml:space="preserve">to control her movements, but also to destroy her autonomy and dignity because it was used to control every aspect of her life, including her sexuality, over which the aggressor exercised exclusivity. They also argued that she was subjected to repeated death threats with a firearm, as well as threats </w:t>
      </w:r>
      <w:r w:rsidR="00717F1A" w:rsidRPr="009D52FD">
        <w:rPr>
          <w:sz w:val="20"/>
          <w:szCs w:val="20"/>
          <w:lang w:val="en-US"/>
        </w:rPr>
        <w:t xml:space="preserve">to kill </w:t>
      </w:r>
      <w:r w:rsidR="00875E21" w:rsidRPr="009D52FD">
        <w:rPr>
          <w:sz w:val="20"/>
          <w:szCs w:val="20"/>
          <w:lang w:val="en-US"/>
        </w:rPr>
        <w:t>her family.</w:t>
      </w:r>
    </w:p>
    <w:p w14:paraId="672C422D" w14:textId="77777777" w:rsidR="009E4F6C" w:rsidRPr="009D52FD" w:rsidRDefault="009E4F6C" w:rsidP="009E4F6C">
      <w:pPr>
        <w:tabs>
          <w:tab w:val="left" w:pos="567"/>
        </w:tabs>
        <w:spacing w:line="240" w:lineRule="auto"/>
        <w:rPr>
          <w:sz w:val="20"/>
          <w:szCs w:val="20"/>
          <w:lang w:val="en-US"/>
        </w:rPr>
      </w:pPr>
    </w:p>
    <w:p w14:paraId="11CAA418" w14:textId="7E30EA44" w:rsidR="00875E21" w:rsidRPr="009D52FD" w:rsidRDefault="003630BB" w:rsidP="005D6C40">
      <w:pPr>
        <w:numPr>
          <w:ilvl w:val="0"/>
          <w:numId w:val="1"/>
        </w:numPr>
        <w:tabs>
          <w:tab w:val="left" w:pos="567"/>
        </w:tabs>
        <w:spacing w:line="240" w:lineRule="auto"/>
        <w:ind w:left="0" w:firstLine="0"/>
        <w:rPr>
          <w:sz w:val="20"/>
          <w:szCs w:val="20"/>
          <w:lang w:val="en-US"/>
        </w:rPr>
      </w:pPr>
      <w:r w:rsidRPr="009D52FD">
        <w:rPr>
          <w:sz w:val="20"/>
          <w:szCs w:val="20"/>
          <w:lang w:val="en-US"/>
        </w:rPr>
        <w:t xml:space="preserve">The </w:t>
      </w:r>
      <w:r w:rsidRPr="009D52FD">
        <w:rPr>
          <w:b/>
          <w:bCs/>
          <w:i/>
          <w:iCs/>
          <w:sz w:val="20"/>
          <w:szCs w:val="20"/>
          <w:lang w:val="en-US"/>
        </w:rPr>
        <w:t>State</w:t>
      </w:r>
      <w:r w:rsidR="009E4F6C" w:rsidRPr="009D52FD">
        <w:rPr>
          <w:sz w:val="20"/>
          <w:szCs w:val="20"/>
          <w:lang w:val="en-US"/>
        </w:rPr>
        <w:t xml:space="preserve"> </w:t>
      </w:r>
      <w:r w:rsidR="00875E21" w:rsidRPr="009D52FD">
        <w:rPr>
          <w:sz w:val="20"/>
          <w:szCs w:val="20"/>
          <w:lang w:val="en-US"/>
        </w:rPr>
        <w:t xml:space="preserve">asked the Court to reject the </w:t>
      </w:r>
      <w:r w:rsidR="00584DF8" w:rsidRPr="009D52FD">
        <w:rPr>
          <w:sz w:val="20"/>
          <w:szCs w:val="20"/>
          <w:lang w:val="en-US"/>
        </w:rPr>
        <w:t>arguments</w:t>
      </w:r>
      <w:r w:rsidRPr="009D52FD">
        <w:rPr>
          <w:sz w:val="20"/>
          <w:szCs w:val="20"/>
          <w:lang w:val="en-US"/>
        </w:rPr>
        <w:t xml:space="preserve"> of the Commission and the representatives</w:t>
      </w:r>
      <w:r w:rsidR="009E4F6C" w:rsidRPr="009D52FD">
        <w:rPr>
          <w:sz w:val="20"/>
          <w:szCs w:val="20"/>
          <w:lang w:val="en-US"/>
        </w:rPr>
        <w:t xml:space="preserve"> </w:t>
      </w:r>
      <w:r w:rsidR="00875E21" w:rsidRPr="009D52FD">
        <w:rPr>
          <w:sz w:val="20"/>
          <w:szCs w:val="20"/>
          <w:lang w:val="en-US"/>
        </w:rPr>
        <w:t xml:space="preserve">because the alleged violations were committed by </w:t>
      </w:r>
      <w:r w:rsidR="00544F92" w:rsidRPr="009D52FD">
        <w:rPr>
          <w:sz w:val="20"/>
          <w:szCs w:val="20"/>
          <w:lang w:val="en-US"/>
        </w:rPr>
        <w:t>a</w:t>
      </w:r>
      <w:r w:rsidR="00717F1A" w:rsidRPr="009D52FD">
        <w:rPr>
          <w:sz w:val="20"/>
          <w:szCs w:val="20"/>
          <w:lang w:val="en-US"/>
        </w:rPr>
        <w:t xml:space="preserve"> private</w:t>
      </w:r>
      <w:r w:rsidR="00875E21" w:rsidRPr="009D52FD">
        <w:rPr>
          <w:sz w:val="20"/>
          <w:szCs w:val="20"/>
          <w:lang w:val="en-US"/>
        </w:rPr>
        <w:t xml:space="preserve"> </w:t>
      </w:r>
      <w:r w:rsidR="00F75897" w:rsidRPr="009D52FD">
        <w:rPr>
          <w:sz w:val="20"/>
          <w:szCs w:val="20"/>
          <w:lang w:val="en-US"/>
        </w:rPr>
        <w:t>individual</w:t>
      </w:r>
      <w:r w:rsidR="00875E21" w:rsidRPr="009D52FD">
        <w:rPr>
          <w:sz w:val="20"/>
          <w:szCs w:val="20"/>
          <w:lang w:val="en-US"/>
        </w:rPr>
        <w:t>, without any connection to the State. In other words, it denied responsibility for any act committed by a non-</w:t>
      </w:r>
      <w:r w:rsidR="00717F1A" w:rsidRPr="009D52FD">
        <w:rPr>
          <w:sz w:val="20"/>
          <w:szCs w:val="20"/>
          <w:lang w:val="en-US"/>
        </w:rPr>
        <w:t>s</w:t>
      </w:r>
      <w:r w:rsidR="00875E21" w:rsidRPr="009D52FD">
        <w:rPr>
          <w:sz w:val="20"/>
          <w:szCs w:val="20"/>
          <w:lang w:val="en-US"/>
        </w:rPr>
        <w:t>tate agent. I</w:t>
      </w:r>
      <w:r w:rsidR="009E4F6C" w:rsidRPr="009D52FD">
        <w:rPr>
          <w:sz w:val="20"/>
          <w:szCs w:val="20"/>
          <w:lang w:val="en-US"/>
        </w:rPr>
        <w:t xml:space="preserve">n particular, </w:t>
      </w:r>
      <w:r w:rsidRPr="009D52FD">
        <w:rPr>
          <w:sz w:val="20"/>
          <w:szCs w:val="20"/>
          <w:lang w:val="en-US"/>
        </w:rPr>
        <w:t>the State</w:t>
      </w:r>
      <w:r w:rsidR="009E4F6C" w:rsidRPr="009D52FD">
        <w:rPr>
          <w:sz w:val="20"/>
          <w:szCs w:val="20"/>
          <w:lang w:val="en-US"/>
        </w:rPr>
        <w:t xml:space="preserve"> a</w:t>
      </w:r>
      <w:r w:rsidR="00875E21" w:rsidRPr="009D52FD">
        <w:rPr>
          <w:sz w:val="20"/>
          <w:szCs w:val="20"/>
          <w:lang w:val="en-US"/>
        </w:rPr>
        <w:t>rgued that it was unaware of the dangerous situation faced by</w:t>
      </w:r>
      <w:r w:rsidR="009E4F6C" w:rsidRPr="009D52FD">
        <w:rPr>
          <w:sz w:val="20"/>
          <w:szCs w:val="20"/>
          <w:lang w:val="en-US"/>
        </w:rPr>
        <w:t xml:space="preserve"> Linda Loaiza, </w:t>
      </w:r>
      <w:r w:rsidR="00875E21" w:rsidRPr="009D52FD">
        <w:rPr>
          <w:sz w:val="20"/>
          <w:szCs w:val="20"/>
          <w:lang w:val="en-US"/>
        </w:rPr>
        <w:t>and should not have been aware of this because there was no record that any report was filed o</w:t>
      </w:r>
      <w:r w:rsidR="00717F1A" w:rsidRPr="009D52FD">
        <w:rPr>
          <w:sz w:val="20"/>
          <w:szCs w:val="20"/>
          <w:lang w:val="en-US"/>
        </w:rPr>
        <w:t>n</w:t>
      </w:r>
      <w:r w:rsidR="00875E21" w:rsidRPr="009D52FD">
        <w:rPr>
          <w:sz w:val="20"/>
          <w:szCs w:val="20"/>
          <w:lang w:val="en-US"/>
        </w:rPr>
        <w:t xml:space="preserve"> the situation of</w:t>
      </w:r>
      <w:r w:rsidR="009E4F6C" w:rsidRPr="009D52FD">
        <w:rPr>
          <w:sz w:val="20"/>
          <w:szCs w:val="20"/>
          <w:lang w:val="en-US"/>
        </w:rPr>
        <w:t xml:space="preserve"> Linda Loaiza López </w:t>
      </w:r>
      <w:r w:rsidR="000248ED" w:rsidRPr="009D52FD">
        <w:rPr>
          <w:sz w:val="20"/>
          <w:szCs w:val="20"/>
          <w:lang w:val="en-US"/>
        </w:rPr>
        <w:t xml:space="preserve">Soto </w:t>
      </w:r>
      <w:r w:rsidR="00875E21" w:rsidRPr="009D52FD">
        <w:rPr>
          <w:sz w:val="20"/>
          <w:szCs w:val="20"/>
          <w:lang w:val="en-US"/>
        </w:rPr>
        <w:t>between</w:t>
      </w:r>
      <w:r w:rsidR="009E4F6C" w:rsidRPr="009D52FD">
        <w:rPr>
          <w:sz w:val="20"/>
          <w:szCs w:val="20"/>
          <w:lang w:val="en-US"/>
        </w:rPr>
        <w:t xml:space="preserve"> </w:t>
      </w:r>
      <w:r w:rsidR="00DB6AF5" w:rsidRPr="009D52FD">
        <w:rPr>
          <w:sz w:val="20"/>
          <w:szCs w:val="20"/>
          <w:lang w:val="en-US"/>
        </w:rPr>
        <w:t>March 28,</w:t>
      </w:r>
      <w:r w:rsidRPr="009D52FD">
        <w:rPr>
          <w:sz w:val="20"/>
          <w:szCs w:val="20"/>
          <w:lang w:val="en-US"/>
        </w:rPr>
        <w:t xml:space="preserve"> and</w:t>
      </w:r>
      <w:r w:rsidR="009E4F6C" w:rsidRPr="009D52FD">
        <w:rPr>
          <w:sz w:val="20"/>
          <w:szCs w:val="20"/>
          <w:lang w:val="en-US"/>
        </w:rPr>
        <w:t xml:space="preserve"> </w:t>
      </w:r>
      <w:r w:rsidR="00DB6AF5" w:rsidRPr="009D52FD">
        <w:rPr>
          <w:sz w:val="20"/>
          <w:szCs w:val="20"/>
          <w:lang w:val="en-US"/>
        </w:rPr>
        <w:t>July 19,</w:t>
      </w:r>
      <w:r w:rsidR="009E4F6C" w:rsidRPr="009D52FD">
        <w:rPr>
          <w:sz w:val="20"/>
          <w:szCs w:val="20"/>
          <w:lang w:val="en-US"/>
        </w:rPr>
        <w:t xml:space="preserve"> 2001. </w:t>
      </w:r>
      <w:r w:rsidR="00875E21" w:rsidRPr="009D52FD">
        <w:rPr>
          <w:sz w:val="20"/>
          <w:szCs w:val="20"/>
          <w:lang w:val="en-US"/>
        </w:rPr>
        <w:t xml:space="preserve">It </w:t>
      </w:r>
      <w:r w:rsidR="00875E21" w:rsidRPr="009D52FD">
        <w:rPr>
          <w:sz w:val="20"/>
          <w:szCs w:val="20"/>
          <w:lang w:val="en-US"/>
        </w:rPr>
        <w:lastRenderedPageBreak/>
        <w:t xml:space="preserve">added that the existence of the report by Linda Loaiza’s sister was in dispute, and it considered that the State </w:t>
      </w:r>
      <w:r w:rsidR="00717F1A" w:rsidRPr="009D52FD">
        <w:rPr>
          <w:sz w:val="20"/>
          <w:szCs w:val="20"/>
          <w:lang w:val="en-US"/>
        </w:rPr>
        <w:t>did not have the burden of</w:t>
      </w:r>
      <w:r w:rsidR="00875E21" w:rsidRPr="009D52FD">
        <w:rPr>
          <w:sz w:val="20"/>
          <w:szCs w:val="20"/>
          <w:lang w:val="en-US"/>
        </w:rPr>
        <w:t xml:space="preserve"> prov</w:t>
      </w:r>
      <w:r w:rsidR="00717F1A" w:rsidRPr="009D52FD">
        <w:rPr>
          <w:sz w:val="20"/>
          <w:szCs w:val="20"/>
          <w:lang w:val="en-US"/>
        </w:rPr>
        <w:t>ing</w:t>
      </w:r>
      <w:r w:rsidR="00875E21" w:rsidRPr="009D52FD">
        <w:rPr>
          <w:sz w:val="20"/>
          <w:szCs w:val="20"/>
          <w:lang w:val="en-US"/>
        </w:rPr>
        <w:t xml:space="preserve"> that the </w:t>
      </w:r>
      <w:r w:rsidR="007B6ED9" w:rsidRPr="009D52FD">
        <w:rPr>
          <w:sz w:val="20"/>
          <w:szCs w:val="20"/>
          <w:lang w:val="en-US"/>
        </w:rPr>
        <w:t>report</w:t>
      </w:r>
      <w:r w:rsidR="00875E21" w:rsidRPr="009D52FD">
        <w:rPr>
          <w:sz w:val="20"/>
          <w:szCs w:val="20"/>
          <w:lang w:val="en-US"/>
        </w:rPr>
        <w:t xml:space="preserve"> </w:t>
      </w:r>
      <w:r w:rsidR="00D13A77" w:rsidRPr="009D52FD">
        <w:rPr>
          <w:sz w:val="20"/>
          <w:szCs w:val="20"/>
          <w:lang w:val="en-US"/>
        </w:rPr>
        <w:t>had not been</w:t>
      </w:r>
      <w:r w:rsidR="00875E21" w:rsidRPr="009D52FD">
        <w:rPr>
          <w:sz w:val="20"/>
          <w:szCs w:val="20"/>
          <w:lang w:val="en-US"/>
        </w:rPr>
        <w:t xml:space="preserve"> filed on March 28, 2001, because this </w:t>
      </w:r>
      <w:r w:rsidR="00D13A77" w:rsidRPr="009D52FD">
        <w:rPr>
          <w:sz w:val="20"/>
          <w:szCs w:val="20"/>
          <w:lang w:val="en-US"/>
        </w:rPr>
        <w:t>violated the basic principles concerning the distribution of the burden of proof in any proceedings. The State indicated that the burden of proof corresponded to the person who needed to prove the existence of something or to prove guilt. It considered that the interpretation that the Commission was trying to make was erroneous because it required the Court to grant probative value</w:t>
      </w:r>
      <w:r w:rsidR="007B6ED9" w:rsidRPr="009D52FD">
        <w:rPr>
          <w:sz w:val="20"/>
          <w:szCs w:val="20"/>
          <w:lang w:val="en-US"/>
        </w:rPr>
        <w:t>,</w:t>
      </w:r>
      <w:r w:rsidR="00D13A77" w:rsidRPr="009D52FD">
        <w:rPr>
          <w:sz w:val="20"/>
          <w:szCs w:val="20"/>
          <w:lang w:val="en-US"/>
        </w:rPr>
        <w:t xml:space="preserve"> or consider that the existence of a report was proved</w:t>
      </w:r>
      <w:r w:rsidR="007B6ED9" w:rsidRPr="009D52FD">
        <w:rPr>
          <w:sz w:val="20"/>
          <w:szCs w:val="20"/>
          <w:lang w:val="en-US"/>
        </w:rPr>
        <w:t>,</w:t>
      </w:r>
      <w:r w:rsidR="00D13A77" w:rsidRPr="009D52FD">
        <w:rPr>
          <w:sz w:val="20"/>
          <w:szCs w:val="20"/>
          <w:lang w:val="en-US"/>
        </w:rPr>
        <w:t xml:space="preserve"> based on statements made by the family, when the latter had no available means of proving the State’s failure to receive the </w:t>
      </w:r>
      <w:r w:rsidR="007B6ED9" w:rsidRPr="009D52FD">
        <w:rPr>
          <w:sz w:val="20"/>
          <w:szCs w:val="20"/>
          <w:lang w:val="en-US"/>
        </w:rPr>
        <w:t>report</w:t>
      </w:r>
      <w:r w:rsidR="00D13A77" w:rsidRPr="009D52FD">
        <w:rPr>
          <w:sz w:val="20"/>
          <w:szCs w:val="20"/>
          <w:lang w:val="en-US"/>
        </w:rPr>
        <w:t xml:space="preserve"> and in light of the inexistence of evidence to the contrary from the State.</w:t>
      </w:r>
    </w:p>
    <w:p w14:paraId="4AA89A28" w14:textId="77777777" w:rsidR="009E4F6C" w:rsidRPr="009D52FD" w:rsidRDefault="009E4F6C" w:rsidP="009E4F6C">
      <w:pPr>
        <w:spacing w:line="240" w:lineRule="auto"/>
        <w:rPr>
          <w:sz w:val="20"/>
          <w:szCs w:val="20"/>
          <w:lang w:val="en-US"/>
        </w:rPr>
      </w:pPr>
    </w:p>
    <w:p w14:paraId="31C44907" w14:textId="7C317DCD" w:rsidR="00D13A77" w:rsidRPr="009D52FD" w:rsidRDefault="00D13A77" w:rsidP="008D1A69">
      <w:pPr>
        <w:numPr>
          <w:ilvl w:val="0"/>
          <w:numId w:val="1"/>
        </w:numPr>
        <w:tabs>
          <w:tab w:val="left" w:pos="567"/>
        </w:tabs>
        <w:spacing w:line="240" w:lineRule="auto"/>
        <w:ind w:left="0" w:firstLine="0"/>
        <w:rPr>
          <w:b/>
          <w:bCs/>
          <w:sz w:val="16"/>
          <w:szCs w:val="16"/>
          <w:lang w:val="en-US"/>
        </w:rPr>
      </w:pPr>
      <w:r w:rsidRPr="009D52FD">
        <w:rPr>
          <w:sz w:val="20"/>
          <w:szCs w:val="20"/>
          <w:lang w:val="en-US"/>
        </w:rPr>
        <w:t>In this regard, it argued that: (i) no report had been filed that advised the competent authorities of the disappearance of Linda Loaiza; (ii) the only report that existed was one concerning a death threat (and not for the disappearance of Linda Loaiza López Soto) filed before the Judicial Technical Police Unit by Ana Secilia López Soto; (iii)</w:t>
      </w:r>
      <w:r w:rsidR="005E05C6" w:rsidRPr="009D52FD">
        <w:rPr>
          <w:sz w:val="20"/>
          <w:szCs w:val="20"/>
          <w:lang w:val="en-US"/>
        </w:rPr>
        <w:t xml:space="preserve"> inconsistencies and contradictions </w:t>
      </w:r>
      <w:r w:rsidR="007B6ED9" w:rsidRPr="009D52FD">
        <w:rPr>
          <w:sz w:val="20"/>
          <w:szCs w:val="20"/>
          <w:lang w:val="en-US"/>
        </w:rPr>
        <w:t>could be verified in the statements</w:t>
      </w:r>
      <w:r w:rsidR="005E05C6" w:rsidRPr="009D52FD">
        <w:rPr>
          <w:sz w:val="20"/>
          <w:szCs w:val="20"/>
          <w:lang w:val="en-US"/>
        </w:rPr>
        <w:t xml:space="preserve"> </w:t>
      </w:r>
      <w:r w:rsidR="007B6ED9" w:rsidRPr="009D52FD">
        <w:rPr>
          <w:sz w:val="20"/>
          <w:szCs w:val="20"/>
          <w:lang w:val="en-US"/>
        </w:rPr>
        <w:t>on</w:t>
      </w:r>
      <w:r w:rsidR="005E05C6" w:rsidRPr="009D52FD">
        <w:rPr>
          <w:sz w:val="20"/>
          <w:szCs w:val="20"/>
          <w:lang w:val="en-US"/>
        </w:rPr>
        <w:t xml:space="preserve"> the supposed attempts to report the disappearance of Linda Loaiza, </w:t>
      </w:r>
      <w:r w:rsidR="007B6ED9" w:rsidRPr="009D52FD">
        <w:rPr>
          <w:sz w:val="20"/>
          <w:szCs w:val="20"/>
          <w:lang w:val="en-US"/>
        </w:rPr>
        <w:t>as regards</w:t>
      </w:r>
      <w:r w:rsidR="005E05C6" w:rsidRPr="009D52FD">
        <w:rPr>
          <w:sz w:val="20"/>
          <w:szCs w:val="20"/>
          <w:lang w:val="en-US"/>
        </w:rPr>
        <w:t xml:space="preserve"> the dates, place and number of reports, and (iv) it  was not true that, at the </w:t>
      </w:r>
      <w:r w:rsidR="007B6ED9" w:rsidRPr="009D52FD">
        <w:rPr>
          <w:sz w:val="20"/>
          <w:szCs w:val="20"/>
          <w:lang w:val="en-US"/>
        </w:rPr>
        <w:t xml:space="preserve">time </w:t>
      </w:r>
      <w:r w:rsidR="005E05C6" w:rsidRPr="009D52FD">
        <w:rPr>
          <w:sz w:val="20"/>
          <w:szCs w:val="20"/>
          <w:lang w:val="en-US"/>
        </w:rPr>
        <w:t xml:space="preserve">of the </w:t>
      </w:r>
      <w:r w:rsidR="007B6ED9" w:rsidRPr="009D52FD">
        <w:rPr>
          <w:sz w:val="20"/>
          <w:szCs w:val="20"/>
          <w:lang w:val="en-US"/>
        </w:rPr>
        <w:t>fac</w:t>
      </w:r>
      <w:r w:rsidR="005E05C6" w:rsidRPr="009D52FD">
        <w:rPr>
          <w:sz w:val="20"/>
          <w:szCs w:val="20"/>
          <w:lang w:val="en-US"/>
        </w:rPr>
        <w:t xml:space="preserve">ts of this case, there was a supposed context of not receiving reports relating to violence against women in Venezuela. </w:t>
      </w:r>
    </w:p>
    <w:p w14:paraId="3928066E" w14:textId="77777777" w:rsidR="009E4F6C" w:rsidRPr="009D52FD" w:rsidRDefault="009E4F6C" w:rsidP="009E4F6C">
      <w:pPr>
        <w:spacing w:line="240" w:lineRule="auto"/>
        <w:rPr>
          <w:sz w:val="20"/>
          <w:szCs w:val="20"/>
          <w:lang w:val="en-US"/>
        </w:rPr>
      </w:pPr>
    </w:p>
    <w:p w14:paraId="4F8B6F45" w14:textId="1858980F" w:rsidR="009E4F6C" w:rsidRPr="009D52FD" w:rsidRDefault="009E4F6C" w:rsidP="009E4F6C">
      <w:pPr>
        <w:keepNext/>
        <w:keepLines/>
        <w:widowControl/>
        <w:tabs>
          <w:tab w:val="left" w:pos="1134"/>
        </w:tabs>
        <w:autoSpaceDE w:val="0"/>
        <w:autoSpaceDN w:val="0"/>
        <w:spacing w:line="240" w:lineRule="auto"/>
        <w:ind w:left="567" w:firstLine="1"/>
        <w:textAlignment w:val="auto"/>
        <w:outlineLvl w:val="1"/>
        <w:rPr>
          <w:rFonts w:eastAsia="MS Mincho" w:cs="Arial"/>
          <w:b/>
          <w:bCs/>
          <w:i/>
          <w:sz w:val="20"/>
          <w:szCs w:val="20"/>
          <w:lang w:val="en-US" w:eastAsia="en-US"/>
        </w:rPr>
      </w:pPr>
      <w:bookmarkStart w:id="76" w:name="_Toc51400091"/>
      <w:r w:rsidRPr="009D52FD">
        <w:rPr>
          <w:rFonts w:eastAsia="MS Mincho" w:cs="Arial"/>
          <w:b/>
          <w:bCs/>
          <w:i/>
          <w:sz w:val="20"/>
          <w:szCs w:val="20"/>
          <w:lang w:val="en-US" w:eastAsia="en-US"/>
        </w:rPr>
        <w:t>B.</w:t>
      </w:r>
      <w:r w:rsidRPr="009D52FD">
        <w:rPr>
          <w:rFonts w:eastAsia="MS Mincho" w:cs="Arial"/>
          <w:b/>
          <w:bCs/>
          <w:i/>
          <w:sz w:val="20"/>
          <w:szCs w:val="20"/>
          <w:lang w:val="en-US" w:eastAsia="en-US"/>
        </w:rPr>
        <w:tab/>
      </w:r>
      <w:r w:rsidR="00997ADF" w:rsidRPr="009D52FD">
        <w:rPr>
          <w:rFonts w:eastAsia="MS Mincho" w:cs="Arial"/>
          <w:b/>
          <w:bCs/>
          <w:i/>
          <w:sz w:val="20"/>
          <w:szCs w:val="20"/>
          <w:lang w:val="en-US" w:eastAsia="en-US"/>
        </w:rPr>
        <w:t>Considerations</w:t>
      </w:r>
      <w:r w:rsidR="003630BB" w:rsidRPr="009D52FD">
        <w:rPr>
          <w:rFonts w:eastAsia="MS Mincho" w:cs="Arial"/>
          <w:b/>
          <w:bCs/>
          <w:i/>
          <w:sz w:val="20"/>
          <w:szCs w:val="20"/>
          <w:lang w:val="en-US" w:eastAsia="en-US"/>
        </w:rPr>
        <w:t xml:space="preserve"> of the Court</w:t>
      </w:r>
      <w:bookmarkEnd w:id="76"/>
    </w:p>
    <w:p w14:paraId="33388495" w14:textId="77777777" w:rsidR="009E4F6C" w:rsidRPr="009D52FD" w:rsidRDefault="009E4F6C" w:rsidP="009E4F6C">
      <w:pPr>
        <w:spacing w:line="240" w:lineRule="auto"/>
        <w:rPr>
          <w:sz w:val="20"/>
          <w:szCs w:val="20"/>
          <w:lang w:val="en-US"/>
        </w:rPr>
      </w:pPr>
    </w:p>
    <w:p w14:paraId="1A430BCB" w14:textId="0B7206F8" w:rsidR="009E4F6C" w:rsidRPr="009D52FD" w:rsidRDefault="005E05C6" w:rsidP="00D94C61">
      <w:pPr>
        <w:numPr>
          <w:ilvl w:val="0"/>
          <w:numId w:val="1"/>
        </w:numPr>
        <w:tabs>
          <w:tab w:val="left" w:pos="567"/>
        </w:tabs>
        <w:spacing w:line="240" w:lineRule="auto"/>
        <w:ind w:left="0" w:firstLine="0"/>
        <w:rPr>
          <w:color w:val="000000"/>
          <w:sz w:val="20"/>
          <w:szCs w:val="20"/>
          <w:lang w:val="en-US" w:eastAsia="en-US"/>
        </w:rPr>
      </w:pPr>
      <w:r w:rsidRPr="009D52FD">
        <w:rPr>
          <w:color w:val="000000"/>
          <w:sz w:val="20"/>
          <w:szCs w:val="20"/>
          <w:lang w:val="en-US" w:eastAsia="en-US"/>
        </w:rPr>
        <w:t xml:space="preserve">The depraved and egregious acts of physical, verbal, psychological and sexual violence suffered by </w:t>
      </w:r>
      <w:r w:rsidR="009E4F6C" w:rsidRPr="009D52FD">
        <w:rPr>
          <w:color w:val="000000"/>
          <w:sz w:val="20"/>
          <w:szCs w:val="20"/>
          <w:lang w:val="en-US" w:eastAsia="en-US"/>
        </w:rPr>
        <w:t>Linda Loaiza López Soto,</w:t>
      </w:r>
      <w:r w:rsidR="00D94C61" w:rsidRPr="009D52FD">
        <w:rPr>
          <w:color w:val="000000"/>
          <w:sz w:val="20"/>
          <w:szCs w:val="20"/>
          <w:lang w:val="en-US" w:eastAsia="en-US"/>
        </w:rPr>
        <w:t xml:space="preserve"> which violated her rights to </w:t>
      </w:r>
      <w:r w:rsidR="00997ADF" w:rsidRPr="009D52FD">
        <w:rPr>
          <w:sz w:val="20"/>
          <w:szCs w:val="20"/>
          <w:lang w:val="en-US"/>
        </w:rPr>
        <w:t>personal integrity</w:t>
      </w:r>
      <w:r w:rsidR="009E4F6C" w:rsidRPr="009D52FD">
        <w:rPr>
          <w:sz w:val="20"/>
          <w:szCs w:val="20"/>
          <w:lang w:val="en-US"/>
        </w:rPr>
        <w:t xml:space="preserve">, </w:t>
      </w:r>
      <w:r w:rsidR="00997ADF" w:rsidRPr="009D52FD">
        <w:rPr>
          <w:sz w:val="20"/>
          <w:szCs w:val="20"/>
          <w:lang w:val="en-US"/>
        </w:rPr>
        <w:t>personal liberty</w:t>
      </w:r>
      <w:r w:rsidR="009E4F6C" w:rsidRPr="009D52FD">
        <w:rPr>
          <w:sz w:val="20"/>
          <w:szCs w:val="20"/>
          <w:lang w:val="en-US"/>
        </w:rPr>
        <w:t xml:space="preserve">, </w:t>
      </w:r>
      <w:r w:rsidR="00996337" w:rsidRPr="009D52FD">
        <w:rPr>
          <w:sz w:val="20"/>
          <w:szCs w:val="20"/>
          <w:lang w:val="en-US"/>
        </w:rPr>
        <w:t>dignity, autonomy and privacy</w:t>
      </w:r>
      <w:r w:rsidR="00D94C61" w:rsidRPr="009D52FD">
        <w:rPr>
          <w:sz w:val="20"/>
          <w:szCs w:val="20"/>
          <w:lang w:val="en-US"/>
        </w:rPr>
        <w:t>,</w:t>
      </w:r>
      <w:r w:rsidR="009E4F6C" w:rsidRPr="009D52FD">
        <w:rPr>
          <w:sz w:val="20"/>
          <w:szCs w:val="20"/>
          <w:vertAlign w:val="superscript"/>
          <w:lang w:val="en-US"/>
        </w:rPr>
        <w:footnoteReference w:id="207"/>
      </w:r>
      <w:r w:rsidR="00D94C61" w:rsidRPr="009D52FD">
        <w:rPr>
          <w:sz w:val="20"/>
          <w:szCs w:val="20"/>
          <w:lang w:val="en-US"/>
        </w:rPr>
        <w:t xml:space="preserve"> and to </w:t>
      </w:r>
      <w:r w:rsidR="00AE0C17" w:rsidRPr="009D52FD">
        <w:rPr>
          <w:sz w:val="20"/>
          <w:szCs w:val="20"/>
          <w:lang w:val="en-US"/>
        </w:rPr>
        <w:t>a life</w:t>
      </w:r>
      <w:r w:rsidR="00D94C61" w:rsidRPr="009D52FD">
        <w:rPr>
          <w:sz w:val="20"/>
          <w:szCs w:val="20"/>
          <w:lang w:val="en-US"/>
        </w:rPr>
        <w:t xml:space="preserve"> free of violence, were not contested in these proceedings. Also, it was not called into question that these facts constituted acts of violence against women, as well as an expression of the historically unequal power relationship between women and men in the terms of </w:t>
      </w:r>
      <w:r w:rsidR="003630BB" w:rsidRPr="009D52FD">
        <w:rPr>
          <w:color w:val="000000"/>
          <w:sz w:val="20"/>
          <w:szCs w:val="20"/>
          <w:lang w:val="en-US" w:eastAsia="en-US"/>
        </w:rPr>
        <w:t>the Convention</w:t>
      </w:r>
      <w:r w:rsidR="009E4F6C" w:rsidRPr="009D52FD">
        <w:rPr>
          <w:color w:val="000000"/>
          <w:sz w:val="20"/>
          <w:szCs w:val="20"/>
          <w:lang w:val="en-US" w:eastAsia="en-US"/>
        </w:rPr>
        <w:t xml:space="preserve"> </w:t>
      </w:r>
      <w:r w:rsidR="00483040" w:rsidRPr="009D52FD">
        <w:rPr>
          <w:color w:val="000000"/>
          <w:sz w:val="20"/>
          <w:szCs w:val="20"/>
          <w:lang w:val="en-US" w:eastAsia="en-US"/>
        </w:rPr>
        <w:t>of Belém</w:t>
      </w:r>
      <w:r w:rsidR="009E4F6C" w:rsidRPr="009D52FD">
        <w:rPr>
          <w:color w:val="000000"/>
          <w:sz w:val="20"/>
          <w:szCs w:val="20"/>
          <w:lang w:val="en-US" w:eastAsia="en-US"/>
        </w:rPr>
        <w:t xml:space="preserve"> do Pará</w:t>
      </w:r>
      <w:r w:rsidR="00D94C61" w:rsidRPr="009D52FD">
        <w:rPr>
          <w:color w:val="000000"/>
          <w:sz w:val="20"/>
          <w:szCs w:val="20"/>
          <w:lang w:val="en-US" w:eastAsia="en-US"/>
        </w:rPr>
        <w:t>.</w:t>
      </w:r>
      <w:r w:rsidR="009E4F6C" w:rsidRPr="009D52FD">
        <w:rPr>
          <w:color w:val="000000"/>
          <w:sz w:val="20"/>
          <w:szCs w:val="20"/>
          <w:vertAlign w:val="superscript"/>
          <w:lang w:val="en-US" w:eastAsia="en-US"/>
        </w:rPr>
        <w:footnoteReference w:id="208"/>
      </w:r>
      <w:r w:rsidR="009E4F6C" w:rsidRPr="009D52FD">
        <w:rPr>
          <w:color w:val="000000"/>
          <w:sz w:val="20"/>
          <w:szCs w:val="20"/>
          <w:lang w:val="en-US" w:eastAsia="en-US"/>
        </w:rPr>
        <w:t xml:space="preserve"> </w:t>
      </w:r>
      <w:r w:rsidR="00145634" w:rsidRPr="009D52FD">
        <w:rPr>
          <w:color w:val="000000"/>
          <w:sz w:val="20"/>
          <w:szCs w:val="20"/>
          <w:lang w:val="en-US" w:eastAsia="en-US"/>
        </w:rPr>
        <w:t>Indeed</w:t>
      </w:r>
      <w:r w:rsidR="009E4F6C" w:rsidRPr="009D52FD">
        <w:rPr>
          <w:color w:val="000000"/>
          <w:sz w:val="20"/>
          <w:szCs w:val="20"/>
          <w:lang w:val="en-US" w:eastAsia="en-US"/>
        </w:rPr>
        <w:t>,</w:t>
      </w:r>
      <w:r w:rsidR="00145634" w:rsidRPr="009D52FD">
        <w:rPr>
          <w:color w:val="000000"/>
          <w:sz w:val="20"/>
          <w:szCs w:val="20"/>
          <w:lang w:val="en-US" w:eastAsia="en-US"/>
        </w:rPr>
        <w:t xml:space="preserve"> during the public hearing,</w:t>
      </w:r>
      <w:r w:rsidR="009E4F6C" w:rsidRPr="009D52FD">
        <w:rPr>
          <w:color w:val="000000"/>
          <w:sz w:val="20"/>
          <w:szCs w:val="20"/>
          <w:lang w:val="en-US" w:eastAsia="en-US"/>
        </w:rPr>
        <w:t xml:space="preserve"> </w:t>
      </w:r>
      <w:r w:rsidR="003630BB" w:rsidRPr="009D52FD">
        <w:rPr>
          <w:color w:val="000000"/>
          <w:sz w:val="20"/>
          <w:szCs w:val="20"/>
          <w:lang w:val="en-US" w:eastAsia="en-US"/>
        </w:rPr>
        <w:t>the State</w:t>
      </w:r>
      <w:r w:rsidR="009E4F6C" w:rsidRPr="009D52FD">
        <w:rPr>
          <w:color w:val="000000"/>
          <w:sz w:val="20"/>
          <w:szCs w:val="20"/>
          <w:lang w:val="en-US" w:eastAsia="en-US"/>
        </w:rPr>
        <w:t xml:space="preserve"> exp</w:t>
      </w:r>
      <w:r w:rsidR="00145634" w:rsidRPr="009D52FD">
        <w:rPr>
          <w:color w:val="000000"/>
          <w:sz w:val="20"/>
          <w:szCs w:val="20"/>
          <w:lang w:val="en-US" w:eastAsia="en-US"/>
        </w:rPr>
        <w:t xml:space="preserve">licitly </w:t>
      </w:r>
      <w:r w:rsidR="009E4F6C" w:rsidRPr="009D52FD">
        <w:rPr>
          <w:color w:val="000000"/>
          <w:sz w:val="20"/>
          <w:szCs w:val="20"/>
          <w:lang w:val="en-US" w:eastAsia="en-US"/>
        </w:rPr>
        <w:t>re</w:t>
      </w:r>
      <w:r w:rsidR="00145634" w:rsidRPr="009D52FD">
        <w:rPr>
          <w:color w:val="000000"/>
          <w:sz w:val="20"/>
          <w:szCs w:val="20"/>
          <w:lang w:val="en-US" w:eastAsia="en-US"/>
        </w:rPr>
        <w:t xml:space="preserve">ferred to “the terrible acts of violence against women of which </w:t>
      </w:r>
      <w:r w:rsidR="009E4F6C" w:rsidRPr="009D52FD">
        <w:rPr>
          <w:color w:val="000000"/>
          <w:sz w:val="20"/>
          <w:szCs w:val="20"/>
          <w:lang w:val="en-US" w:eastAsia="en-US"/>
        </w:rPr>
        <w:t xml:space="preserve">[Linda Loaiza] </w:t>
      </w:r>
      <w:r w:rsidR="00145634" w:rsidRPr="009D52FD">
        <w:rPr>
          <w:color w:val="000000"/>
          <w:sz w:val="20"/>
          <w:szCs w:val="20"/>
          <w:lang w:val="en-US" w:eastAsia="en-US"/>
        </w:rPr>
        <w:t>was a victim</w:t>
      </w:r>
      <w:r w:rsidR="009E4F6C" w:rsidRPr="009D52FD">
        <w:rPr>
          <w:color w:val="000000"/>
          <w:sz w:val="20"/>
          <w:szCs w:val="20"/>
          <w:lang w:val="en-US" w:eastAsia="en-US"/>
        </w:rPr>
        <w:t>” (</w:t>
      </w:r>
      <w:r w:rsidR="009E4F6C" w:rsidRPr="009D52FD">
        <w:rPr>
          <w:i/>
          <w:color w:val="000000"/>
          <w:sz w:val="20"/>
          <w:szCs w:val="20"/>
          <w:lang w:val="en-US" w:eastAsia="en-US"/>
        </w:rPr>
        <w:t>supra</w:t>
      </w:r>
      <w:r w:rsidR="009E4F6C" w:rsidRPr="009D52FD">
        <w:rPr>
          <w:color w:val="000000"/>
          <w:sz w:val="20"/>
          <w:szCs w:val="20"/>
          <w:lang w:val="en-US" w:eastAsia="en-US"/>
        </w:rPr>
        <w:t xml:space="preserve"> </w:t>
      </w:r>
      <w:r w:rsidR="009459E7" w:rsidRPr="009D52FD">
        <w:rPr>
          <w:color w:val="000000"/>
          <w:sz w:val="20"/>
          <w:szCs w:val="20"/>
          <w:lang w:val="en-US" w:eastAsia="en-US"/>
        </w:rPr>
        <w:t>para.</w:t>
      </w:r>
      <w:r w:rsidR="009E4F6C" w:rsidRPr="009D52FD">
        <w:rPr>
          <w:color w:val="000000"/>
          <w:sz w:val="20"/>
          <w:szCs w:val="20"/>
          <w:lang w:val="en-US" w:eastAsia="en-US"/>
        </w:rPr>
        <w:t xml:space="preserve"> </w:t>
      </w:r>
      <w:r w:rsidR="001930E0" w:rsidRPr="009D52FD">
        <w:rPr>
          <w:color w:val="000000"/>
          <w:sz w:val="20"/>
          <w:szCs w:val="20"/>
          <w:lang w:val="en-US" w:eastAsia="en-US"/>
        </w:rPr>
        <w:t>22</w:t>
      </w:r>
      <w:r w:rsidR="009E4F6C" w:rsidRPr="009D52FD">
        <w:rPr>
          <w:color w:val="000000"/>
          <w:sz w:val="20"/>
          <w:szCs w:val="20"/>
          <w:lang w:val="en-US" w:eastAsia="en-US"/>
        </w:rPr>
        <w:t xml:space="preserve">). </w:t>
      </w:r>
      <w:r w:rsidR="00145634" w:rsidRPr="009D52FD">
        <w:rPr>
          <w:color w:val="000000"/>
          <w:sz w:val="20"/>
          <w:szCs w:val="20"/>
          <w:lang w:val="en-US" w:eastAsia="en-US"/>
        </w:rPr>
        <w:t>The right of women to live free of violence is closely related to the right to non-</w:t>
      </w:r>
      <w:r w:rsidR="00AE580F" w:rsidRPr="009D52FD">
        <w:rPr>
          <w:bCs/>
          <w:sz w:val="20"/>
          <w:szCs w:val="20"/>
          <w:lang w:val="en-US"/>
        </w:rPr>
        <w:t>discrimination</w:t>
      </w:r>
      <w:r w:rsidR="009F59D9" w:rsidRPr="009D52FD">
        <w:rPr>
          <w:bCs/>
          <w:sz w:val="20"/>
          <w:szCs w:val="20"/>
          <w:lang w:val="en-US"/>
        </w:rPr>
        <w:t>.</w:t>
      </w:r>
      <w:r w:rsidR="000D02F4" w:rsidRPr="009D52FD">
        <w:rPr>
          <w:rStyle w:val="FootnoteReference"/>
          <w:bCs/>
          <w:sz w:val="20"/>
          <w:szCs w:val="20"/>
          <w:lang w:val="en-US"/>
        </w:rPr>
        <w:footnoteReference w:id="209"/>
      </w:r>
    </w:p>
    <w:p w14:paraId="19281F0C" w14:textId="77777777" w:rsidR="009E4F6C" w:rsidRPr="009D52FD" w:rsidRDefault="009E4F6C" w:rsidP="009E4F6C">
      <w:pPr>
        <w:tabs>
          <w:tab w:val="left" w:pos="567"/>
        </w:tabs>
        <w:spacing w:line="240" w:lineRule="auto"/>
        <w:rPr>
          <w:color w:val="000000"/>
          <w:sz w:val="20"/>
          <w:szCs w:val="20"/>
          <w:lang w:val="en-US" w:eastAsia="en-US"/>
        </w:rPr>
      </w:pPr>
    </w:p>
    <w:p w14:paraId="333BE0F5" w14:textId="46D6D73A" w:rsidR="009E4F6C" w:rsidRPr="009D52FD" w:rsidRDefault="00145634" w:rsidP="00742B12">
      <w:pPr>
        <w:numPr>
          <w:ilvl w:val="0"/>
          <w:numId w:val="1"/>
        </w:numPr>
        <w:tabs>
          <w:tab w:val="left" w:pos="567"/>
        </w:tabs>
        <w:spacing w:line="240" w:lineRule="auto"/>
        <w:ind w:left="0" w:firstLine="0"/>
        <w:rPr>
          <w:sz w:val="20"/>
          <w:szCs w:val="20"/>
          <w:lang w:val="en-US" w:eastAsia="en-US"/>
        </w:rPr>
      </w:pPr>
      <w:r w:rsidRPr="009D52FD">
        <w:rPr>
          <w:color w:val="000000"/>
          <w:sz w:val="20"/>
          <w:szCs w:val="20"/>
          <w:lang w:val="en-US" w:eastAsia="en-US"/>
        </w:rPr>
        <w:t xml:space="preserve">The dispute is centered on the fact that </w:t>
      </w:r>
      <w:r w:rsidR="00742B12" w:rsidRPr="009D52FD">
        <w:rPr>
          <w:color w:val="000000"/>
          <w:sz w:val="20"/>
          <w:szCs w:val="20"/>
          <w:lang w:val="en-US" w:eastAsia="en-US"/>
        </w:rPr>
        <w:t>the acts were committed by</w:t>
      </w:r>
      <w:r w:rsidR="007C7344" w:rsidRPr="009D52FD">
        <w:rPr>
          <w:color w:val="000000"/>
          <w:sz w:val="20"/>
          <w:szCs w:val="20"/>
          <w:lang w:val="en-US" w:eastAsia="en-US"/>
        </w:rPr>
        <w:t xml:space="preserve"> private</w:t>
      </w:r>
      <w:r w:rsidR="00742B12" w:rsidRPr="009D52FD">
        <w:rPr>
          <w:color w:val="000000"/>
          <w:sz w:val="20"/>
          <w:szCs w:val="20"/>
          <w:lang w:val="en-US" w:eastAsia="en-US"/>
        </w:rPr>
        <w:t xml:space="preserve"> </w:t>
      </w:r>
      <w:r w:rsidR="00F75897" w:rsidRPr="009D52FD">
        <w:rPr>
          <w:color w:val="000000"/>
          <w:sz w:val="20"/>
          <w:szCs w:val="20"/>
          <w:lang w:val="en-US" w:eastAsia="en-US"/>
        </w:rPr>
        <w:t>individual</w:t>
      </w:r>
      <w:r w:rsidR="00742B12" w:rsidRPr="009D52FD">
        <w:rPr>
          <w:color w:val="000000"/>
          <w:sz w:val="20"/>
          <w:szCs w:val="20"/>
          <w:lang w:val="en-US" w:eastAsia="en-US"/>
        </w:rPr>
        <w:t xml:space="preserve">s. Therefore, in addition to questioning their categorization as torture </w:t>
      </w:r>
      <w:r w:rsidR="007C7344" w:rsidRPr="009D52FD">
        <w:rPr>
          <w:color w:val="000000"/>
          <w:sz w:val="20"/>
          <w:szCs w:val="20"/>
          <w:lang w:val="en-US" w:eastAsia="en-US"/>
        </w:rPr>
        <w:t>– because</w:t>
      </w:r>
      <w:r w:rsidR="00742B12" w:rsidRPr="009D52FD">
        <w:rPr>
          <w:color w:val="000000"/>
          <w:sz w:val="20"/>
          <w:szCs w:val="20"/>
          <w:lang w:val="en-US" w:eastAsia="en-US"/>
        </w:rPr>
        <w:t xml:space="preserve"> no public official </w:t>
      </w:r>
      <w:r w:rsidR="00742B12" w:rsidRPr="009D52FD">
        <w:rPr>
          <w:color w:val="000000"/>
          <w:sz w:val="20"/>
          <w:szCs w:val="20"/>
          <w:lang w:val="en-US" w:eastAsia="en-US"/>
        </w:rPr>
        <w:lastRenderedPageBreak/>
        <w:t>intervened in their perpetration</w:t>
      </w:r>
      <w:r w:rsidR="007C7344" w:rsidRPr="009D52FD">
        <w:rPr>
          <w:color w:val="000000"/>
          <w:sz w:val="20"/>
          <w:szCs w:val="20"/>
          <w:lang w:val="en-US" w:eastAsia="en-US"/>
        </w:rPr>
        <w:t xml:space="preserve"> – the</w:t>
      </w:r>
      <w:r w:rsidR="00742B12" w:rsidRPr="009D52FD">
        <w:rPr>
          <w:color w:val="000000"/>
          <w:sz w:val="20"/>
          <w:szCs w:val="20"/>
          <w:lang w:val="en-US" w:eastAsia="en-US"/>
        </w:rPr>
        <w:t xml:space="preserve"> State has denied that they could be attributed to it and engage its international responsibility. Consequently, in this case, the Court is called on to determine the possible attribution of international responsibility to the State for the acts committed by </w:t>
      </w:r>
      <w:r w:rsidR="007C7344" w:rsidRPr="009D52FD">
        <w:rPr>
          <w:color w:val="000000"/>
          <w:sz w:val="20"/>
          <w:szCs w:val="20"/>
          <w:lang w:val="en-US" w:eastAsia="en-US"/>
        </w:rPr>
        <w:t xml:space="preserve">private </w:t>
      </w:r>
      <w:r w:rsidR="00F75897" w:rsidRPr="009D52FD">
        <w:rPr>
          <w:color w:val="000000"/>
          <w:sz w:val="20"/>
          <w:szCs w:val="20"/>
          <w:lang w:val="en-US" w:eastAsia="en-US"/>
        </w:rPr>
        <w:t>individual</w:t>
      </w:r>
      <w:r w:rsidR="00742B12" w:rsidRPr="009D52FD">
        <w:rPr>
          <w:color w:val="000000"/>
          <w:sz w:val="20"/>
          <w:szCs w:val="20"/>
          <w:lang w:val="en-US" w:eastAsia="en-US"/>
        </w:rPr>
        <w:t xml:space="preserve">s. The main points that must be elucidated are: (i) the knowledge that the State had or should have had of the situation of real and imminent danger faced by </w:t>
      </w:r>
      <w:r w:rsidR="00742B12" w:rsidRPr="009D52FD">
        <w:rPr>
          <w:sz w:val="20"/>
          <w:szCs w:val="20"/>
          <w:lang w:val="en-US" w:eastAsia="en-US"/>
        </w:rPr>
        <w:t>Linda Loaiza; (ii) the State’s supposed acquiescence, complicity and/or tolerance with regard to the acts of physical, verbal, psychological and sexual violence</w:t>
      </w:r>
      <w:r w:rsidR="009E4F6C" w:rsidRPr="009D52FD">
        <w:rPr>
          <w:sz w:val="20"/>
          <w:szCs w:val="20"/>
          <w:lang w:val="en-US" w:eastAsia="en-US"/>
        </w:rPr>
        <w:t xml:space="preserve"> s</w:t>
      </w:r>
      <w:r w:rsidR="00742B12" w:rsidRPr="009D52FD">
        <w:rPr>
          <w:sz w:val="20"/>
          <w:szCs w:val="20"/>
          <w:lang w:val="en-US" w:eastAsia="en-US"/>
        </w:rPr>
        <w:t>uffered by</w:t>
      </w:r>
      <w:r w:rsidR="009E4F6C" w:rsidRPr="009D52FD">
        <w:rPr>
          <w:sz w:val="20"/>
          <w:szCs w:val="20"/>
          <w:lang w:val="en-US" w:eastAsia="en-US"/>
        </w:rPr>
        <w:t xml:space="preserve"> Linda Loaiza,</w:t>
      </w:r>
      <w:r w:rsidR="003630BB" w:rsidRPr="009D52FD">
        <w:rPr>
          <w:sz w:val="20"/>
          <w:szCs w:val="20"/>
          <w:lang w:val="en-US" w:eastAsia="en-US"/>
        </w:rPr>
        <w:t xml:space="preserve"> and </w:t>
      </w:r>
      <w:r w:rsidR="00742B12" w:rsidRPr="009D52FD">
        <w:rPr>
          <w:sz w:val="20"/>
          <w:szCs w:val="20"/>
          <w:lang w:val="en-US" w:eastAsia="en-US"/>
        </w:rPr>
        <w:t>(</w:t>
      </w:r>
      <w:r w:rsidR="009E4F6C" w:rsidRPr="009D52FD">
        <w:rPr>
          <w:sz w:val="20"/>
          <w:szCs w:val="20"/>
          <w:lang w:val="en-US" w:eastAsia="en-US"/>
        </w:rPr>
        <w:t xml:space="preserve">iii) </w:t>
      </w:r>
      <w:r w:rsidR="00742B12" w:rsidRPr="009D52FD">
        <w:rPr>
          <w:sz w:val="20"/>
          <w:szCs w:val="20"/>
          <w:lang w:val="en-US" w:eastAsia="en-US"/>
        </w:rPr>
        <w:t>the categorization of those acts as torture and also, according to the autonomous arguments of the representatives, as sexual slavery and its attribution to the State</w:t>
      </w:r>
      <w:r w:rsidR="009E4F6C" w:rsidRPr="009D52FD">
        <w:rPr>
          <w:sz w:val="20"/>
          <w:szCs w:val="20"/>
          <w:lang w:val="en-US" w:eastAsia="en-US"/>
        </w:rPr>
        <w:t>.</w:t>
      </w:r>
    </w:p>
    <w:p w14:paraId="1B31E96D" w14:textId="104FBE1F" w:rsidR="009E4F6C" w:rsidRPr="009D52FD" w:rsidRDefault="009E4F6C" w:rsidP="009E4F6C">
      <w:pPr>
        <w:widowControl/>
        <w:adjustRightInd/>
        <w:spacing w:line="240" w:lineRule="auto"/>
        <w:jc w:val="left"/>
        <w:textAlignment w:val="auto"/>
        <w:rPr>
          <w:color w:val="000000"/>
          <w:sz w:val="20"/>
          <w:szCs w:val="20"/>
          <w:lang w:val="en-US" w:eastAsia="en-US"/>
        </w:rPr>
      </w:pPr>
    </w:p>
    <w:p w14:paraId="64D4CCF1" w14:textId="2BCCBCA7" w:rsidR="009E4F6C" w:rsidRPr="009D52FD" w:rsidRDefault="00742B12" w:rsidP="008D1A69">
      <w:pPr>
        <w:numPr>
          <w:ilvl w:val="0"/>
          <w:numId w:val="1"/>
        </w:numPr>
        <w:tabs>
          <w:tab w:val="left" w:pos="567"/>
        </w:tabs>
        <w:spacing w:line="240" w:lineRule="auto"/>
        <w:ind w:left="0" w:firstLine="0"/>
        <w:rPr>
          <w:color w:val="000000"/>
          <w:sz w:val="20"/>
          <w:szCs w:val="20"/>
          <w:lang w:val="en-US" w:eastAsia="en-US"/>
        </w:rPr>
      </w:pPr>
      <w:r w:rsidRPr="009D52FD">
        <w:rPr>
          <w:sz w:val="20"/>
          <w:szCs w:val="20"/>
          <w:lang w:val="en-US"/>
        </w:rPr>
        <w:t xml:space="preserve">Based on above and in order to determine whether the </w:t>
      </w:r>
      <w:r w:rsidR="0098665D" w:rsidRPr="009D52FD">
        <w:rPr>
          <w:sz w:val="20"/>
          <w:szCs w:val="20"/>
          <w:lang w:val="en-US"/>
        </w:rPr>
        <w:t>international responsibility</w:t>
      </w:r>
      <w:r w:rsidR="003630BB" w:rsidRPr="009D52FD">
        <w:rPr>
          <w:sz w:val="20"/>
          <w:szCs w:val="20"/>
          <w:lang w:val="en-US"/>
        </w:rPr>
        <w:t xml:space="preserve"> of the State</w:t>
      </w:r>
      <w:r w:rsidRPr="009D52FD">
        <w:rPr>
          <w:color w:val="000000"/>
          <w:sz w:val="20"/>
          <w:szCs w:val="20"/>
          <w:lang w:val="en-US" w:eastAsia="en-US"/>
        </w:rPr>
        <w:t xml:space="preserve"> has been engaged by</w:t>
      </w:r>
      <w:r w:rsidR="009E4F6C" w:rsidRPr="009D52FD">
        <w:rPr>
          <w:color w:val="000000"/>
          <w:sz w:val="20"/>
          <w:szCs w:val="20"/>
          <w:lang w:val="en-US" w:eastAsia="en-US"/>
        </w:rPr>
        <w:t xml:space="preserve"> </w:t>
      </w:r>
      <w:r w:rsidR="0064755C" w:rsidRPr="009D52FD">
        <w:rPr>
          <w:color w:val="000000"/>
          <w:sz w:val="20"/>
          <w:szCs w:val="20"/>
          <w:lang w:val="en-US" w:eastAsia="en-US"/>
        </w:rPr>
        <w:t>the violation of</w:t>
      </w:r>
      <w:r w:rsidR="009E4F6C" w:rsidRPr="009D52FD">
        <w:rPr>
          <w:color w:val="000000"/>
          <w:sz w:val="20"/>
          <w:szCs w:val="20"/>
          <w:lang w:val="en-US" w:eastAsia="en-US"/>
        </w:rPr>
        <w:t xml:space="preserve"> </w:t>
      </w:r>
      <w:r w:rsidR="00483040" w:rsidRPr="009D52FD">
        <w:rPr>
          <w:color w:val="000000"/>
          <w:sz w:val="20"/>
          <w:szCs w:val="20"/>
          <w:lang w:val="en-US" w:eastAsia="en-US"/>
        </w:rPr>
        <w:t>Articles 1(1)</w:t>
      </w:r>
      <w:r w:rsidR="009E4F6C" w:rsidRPr="009D52FD">
        <w:rPr>
          <w:sz w:val="20"/>
          <w:szCs w:val="20"/>
          <w:lang w:val="en-US"/>
        </w:rPr>
        <w:t>, 3,</w:t>
      </w:r>
      <w:r w:rsidR="00483040" w:rsidRPr="009D52FD">
        <w:rPr>
          <w:sz w:val="20"/>
          <w:szCs w:val="20"/>
          <w:lang w:val="en-US"/>
        </w:rPr>
        <w:t xml:space="preserve"> 5(1)</w:t>
      </w:r>
      <w:r w:rsidR="009E4F6C" w:rsidRPr="009D52FD">
        <w:rPr>
          <w:sz w:val="20"/>
          <w:szCs w:val="20"/>
          <w:lang w:val="en-US"/>
        </w:rPr>
        <w:t>,</w:t>
      </w:r>
      <w:r w:rsidR="00483040" w:rsidRPr="009D52FD">
        <w:rPr>
          <w:sz w:val="20"/>
          <w:szCs w:val="20"/>
          <w:lang w:val="en-US"/>
        </w:rPr>
        <w:t xml:space="preserve"> 5(2)</w:t>
      </w:r>
      <w:r w:rsidR="009E4F6C" w:rsidRPr="009D52FD">
        <w:rPr>
          <w:sz w:val="20"/>
          <w:szCs w:val="20"/>
          <w:lang w:val="en-US"/>
        </w:rPr>
        <w:t>, 6, 7,</w:t>
      </w:r>
      <w:r w:rsidR="00483040" w:rsidRPr="009D52FD">
        <w:rPr>
          <w:sz w:val="20"/>
          <w:szCs w:val="20"/>
          <w:lang w:val="en-US"/>
        </w:rPr>
        <w:t xml:space="preserve"> 11(1)</w:t>
      </w:r>
      <w:r w:rsidR="009E4F6C" w:rsidRPr="009D52FD">
        <w:rPr>
          <w:sz w:val="20"/>
          <w:szCs w:val="20"/>
          <w:lang w:val="en-US"/>
        </w:rPr>
        <w:t>,</w:t>
      </w:r>
      <w:r w:rsidR="00D32B3E" w:rsidRPr="009D52FD">
        <w:rPr>
          <w:sz w:val="20"/>
          <w:szCs w:val="20"/>
          <w:lang w:val="en-US"/>
        </w:rPr>
        <w:t xml:space="preserve"> 11(2)</w:t>
      </w:r>
      <w:r w:rsidR="009E4F6C" w:rsidRPr="009D52FD">
        <w:rPr>
          <w:sz w:val="20"/>
          <w:szCs w:val="20"/>
          <w:lang w:val="en-US"/>
        </w:rPr>
        <w:t>, 22</w:t>
      </w:r>
      <w:r w:rsidR="003630BB" w:rsidRPr="009D52FD">
        <w:rPr>
          <w:sz w:val="20"/>
          <w:szCs w:val="20"/>
          <w:lang w:val="en-US"/>
        </w:rPr>
        <w:t xml:space="preserve"> and </w:t>
      </w:r>
      <w:r w:rsidR="009E4F6C" w:rsidRPr="009D52FD">
        <w:rPr>
          <w:sz w:val="20"/>
          <w:szCs w:val="20"/>
          <w:lang w:val="en-US"/>
        </w:rPr>
        <w:t>24</w:t>
      </w:r>
      <w:r w:rsidR="003630BB" w:rsidRPr="009D52FD">
        <w:rPr>
          <w:color w:val="000000"/>
          <w:sz w:val="20"/>
          <w:szCs w:val="20"/>
          <w:lang w:val="en-US" w:eastAsia="en-US"/>
        </w:rPr>
        <w:t xml:space="preserve"> of the American Convention and </w:t>
      </w:r>
      <w:r w:rsidR="009E4F6C" w:rsidRPr="009D52FD">
        <w:rPr>
          <w:color w:val="000000"/>
          <w:sz w:val="20"/>
          <w:szCs w:val="20"/>
          <w:lang w:val="en-US" w:eastAsia="en-US"/>
        </w:rPr>
        <w:t>7</w:t>
      </w:r>
      <w:r w:rsidR="003630BB" w:rsidRPr="009D52FD">
        <w:rPr>
          <w:color w:val="000000"/>
          <w:sz w:val="20"/>
          <w:szCs w:val="20"/>
          <w:lang w:val="en-US" w:eastAsia="en-US"/>
        </w:rPr>
        <w:t xml:space="preserve"> of the Convention</w:t>
      </w:r>
      <w:r w:rsidR="009E4F6C" w:rsidRPr="009D52FD">
        <w:rPr>
          <w:color w:val="000000"/>
          <w:sz w:val="20"/>
          <w:szCs w:val="20"/>
          <w:lang w:val="en-US" w:eastAsia="en-US"/>
        </w:rPr>
        <w:t xml:space="preserve"> </w:t>
      </w:r>
      <w:r w:rsidR="00483040" w:rsidRPr="009D52FD">
        <w:rPr>
          <w:color w:val="000000"/>
          <w:sz w:val="20"/>
          <w:szCs w:val="20"/>
          <w:lang w:val="en-US" w:eastAsia="en-US"/>
        </w:rPr>
        <w:t>of Belém</w:t>
      </w:r>
      <w:r w:rsidR="009E4F6C" w:rsidRPr="009D52FD">
        <w:rPr>
          <w:color w:val="000000"/>
          <w:sz w:val="20"/>
          <w:szCs w:val="20"/>
          <w:lang w:val="en-US" w:eastAsia="en-US"/>
        </w:rPr>
        <w:t xml:space="preserve"> do Pará </w:t>
      </w:r>
      <w:r w:rsidRPr="009D52FD">
        <w:rPr>
          <w:color w:val="000000"/>
          <w:sz w:val="20"/>
          <w:szCs w:val="20"/>
          <w:lang w:val="en-US" w:eastAsia="en-US"/>
        </w:rPr>
        <w:t>owing to the facts described</w:t>
      </w:r>
      <w:r w:rsidR="009E4F6C" w:rsidRPr="009D52FD">
        <w:rPr>
          <w:sz w:val="20"/>
          <w:szCs w:val="20"/>
          <w:lang w:val="en-US"/>
        </w:rPr>
        <w:t xml:space="preserve">, </w:t>
      </w:r>
      <w:r w:rsidR="003630BB" w:rsidRPr="009D52FD">
        <w:rPr>
          <w:sz w:val="20"/>
          <w:szCs w:val="20"/>
          <w:lang w:val="en-US"/>
        </w:rPr>
        <w:t>the Court</w:t>
      </w:r>
      <w:r w:rsidR="004C1C0E" w:rsidRPr="009D52FD">
        <w:rPr>
          <w:sz w:val="20"/>
          <w:szCs w:val="20"/>
          <w:lang w:val="en-US"/>
        </w:rPr>
        <w:t xml:space="preserve"> </w:t>
      </w:r>
      <w:r w:rsidRPr="009D52FD">
        <w:rPr>
          <w:sz w:val="20"/>
          <w:szCs w:val="20"/>
          <w:lang w:val="en-US"/>
        </w:rPr>
        <w:t xml:space="preserve">finds it pertinent to </w:t>
      </w:r>
      <w:r w:rsidR="00EB5881" w:rsidRPr="009D52FD">
        <w:rPr>
          <w:sz w:val="20"/>
          <w:szCs w:val="20"/>
          <w:lang w:val="en-US"/>
        </w:rPr>
        <w:t>examine</w:t>
      </w:r>
      <w:r w:rsidRPr="009D52FD">
        <w:rPr>
          <w:sz w:val="20"/>
          <w:szCs w:val="20"/>
          <w:lang w:val="en-US"/>
        </w:rPr>
        <w:t xml:space="preserve"> the case as follows: (1) </w:t>
      </w:r>
      <w:r w:rsidRPr="009D52FD">
        <w:rPr>
          <w:bCs/>
          <w:color w:val="000000"/>
          <w:sz w:val="20"/>
          <w:szCs w:val="20"/>
          <w:lang w:val="en-US" w:eastAsia="en-US"/>
        </w:rPr>
        <w:t>State obligations in light of</w:t>
      </w:r>
      <w:r w:rsidR="003630BB" w:rsidRPr="009D52FD">
        <w:rPr>
          <w:bCs/>
          <w:color w:val="000000"/>
          <w:sz w:val="20"/>
          <w:szCs w:val="20"/>
          <w:lang w:val="en-US" w:eastAsia="en-US"/>
        </w:rPr>
        <w:t xml:space="preserve"> the American Convention and </w:t>
      </w:r>
      <w:r w:rsidRPr="009D52FD">
        <w:rPr>
          <w:bCs/>
          <w:color w:val="000000"/>
          <w:sz w:val="20"/>
          <w:szCs w:val="20"/>
          <w:lang w:val="en-US" w:eastAsia="en-US"/>
        </w:rPr>
        <w:t>Article 7</w:t>
      </w:r>
      <w:r w:rsidR="003630BB" w:rsidRPr="009D52FD">
        <w:rPr>
          <w:bCs/>
          <w:color w:val="000000"/>
          <w:sz w:val="20"/>
          <w:szCs w:val="20"/>
          <w:lang w:val="en-US" w:eastAsia="en-US"/>
        </w:rPr>
        <w:t xml:space="preserve"> of the Convention</w:t>
      </w:r>
      <w:r w:rsidR="001738E3" w:rsidRPr="009D52FD">
        <w:rPr>
          <w:bCs/>
          <w:color w:val="000000"/>
          <w:sz w:val="20"/>
          <w:szCs w:val="20"/>
          <w:lang w:val="en-US" w:eastAsia="en-US"/>
        </w:rPr>
        <w:t xml:space="preserve"> </w:t>
      </w:r>
      <w:r w:rsidR="00483040" w:rsidRPr="009D52FD">
        <w:rPr>
          <w:bCs/>
          <w:color w:val="000000"/>
          <w:sz w:val="20"/>
          <w:szCs w:val="20"/>
          <w:lang w:val="en-US" w:eastAsia="en-US"/>
        </w:rPr>
        <w:t>of Belém</w:t>
      </w:r>
      <w:r w:rsidR="001738E3" w:rsidRPr="009D52FD">
        <w:rPr>
          <w:bCs/>
          <w:color w:val="000000"/>
          <w:sz w:val="20"/>
          <w:szCs w:val="20"/>
          <w:lang w:val="en-US" w:eastAsia="en-US"/>
        </w:rPr>
        <w:t xml:space="preserve"> do Pará </w:t>
      </w:r>
      <w:r w:rsidRPr="009D52FD">
        <w:rPr>
          <w:bCs/>
          <w:color w:val="000000"/>
          <w:sz w:val="20"/>
          <w:szCs w:val="20"/>
          <w:lang w:val="en-US" w:eastAsia="en-US"/>
        </w:rPr>
        <w:t>in cases of violence against women</w:t>
      </w:r>
      <w:r w:rsidR="004C1C0E" w:rsidRPr="009D52FD">
        <w:rPr>
          <w:color w:val="000000"/>
          <w:sz w:val="20"/>
          <w:szCs w:val="20"/>
          <w:lang w:val="en-US" w:eastAsia="en-US"/>
        </w:rPr>
        <w:t xml:space="preserve">; </w:t>
      </w:r>
      <w:r w:rsidRPr="009D52FD">
        <w:rPr>
          <w:color w:val="000000"/>
          <w:sz w:val="20"/>
          <w:szCs w:val="20"/>
          <w:lang w:val="en-US" w:eastAsia="en-US"/>
        </w:rPr>
        <w:t>(</w:t>
      </w:r>
      <w:r w:rsidR="004C1C0E" w:rsidRPr="009D52FD">
        <w:rPr>
          <w:color w:val="000000"/>
          <w:sz w:val="20"/>
          <w:szCs w:val="20"/>
          <w:lang w:val="en-US" w:eastAsia="en-US"/>
        </w:rPr>
        <w:t xml:space="preserve">2) </w:t>
      </w:r>
      <w:r w:rsidR="00256D45" w:rsidRPr="009D52FD">
        <w:rPr>
          <w:color w:val="000000"/>
          <w:sz w:val="20"/>
          <w:szCs w:val="20"/>
          <w:lang w:val="en-US" w:eastAsia="en-US"/>
        </w:rPr>
        <w:t>A</w:t>
      </w:r>
      <w:r w:rsidRPr="009D52FD">
        <w:rPr>
          <w:color w:val="000000"/>
          <w:sz w:val="20"/>
          <w:szCs w:val="20"/>
          <w:lang w:val="en-US" w:eastAsia="en-US"/>
        </w:rPr>
        <w:t xml:space="preserve">ttribution to the State of responsibility for acts of </w:t>
      </w:r>
      <w:r w:rsidR="00F75897" w:rsidRPr="009D52FD">
        <w:rPr>
          <w:color w:val="000000"/>
          <w:sz w:val="20"/>
          <w:szCs w:val="20"/>
          <w:lang w:val="en-US" w:eastAsia="en-US"/>
        </w:rPr>
        <w:t>individual</w:t>
      </w:r>
      <w:r w:rsidRPr="009D52FD">
        <w:rPr>
          <w:color w:val="000000"/>
          <w:sz w:val="20"/>
          <w:szCs w:val="20"/>
          <w:lang w:val="en-US" w:eastAsia="en-US"/>
        </w:rPr>
        <w:t>s</w:t>
      </w:r>
      <w:r w:rsidR="00FA60A1" w:rsidRPr="009D52FD">
        <w:rPr>
          <w:color w:val="000000"/>
          <w:sz w:val="20"/>
          <w:szCs w:val="20"/>
          <w:lang w:val="en-US" w:eastAsia="en-US"/>
        </w:rPr>
        <w:t xml:space="preserve">; </w:t>
      </w:r>
      <w:r w:rsidRPr="009D52FD">
        <w:rPr>
          <w:color w:val="000000"/>
          <w:sz w:val="20"/>
          <w:szCs w:val="20"/>
          <w:lang w:val="en-US" w:eastAsia="en-US"/>
        </w:rPr>
        <w:t>(</w:t>
      </w:r>
      <w:r w:rsidR="00FA60A1" w:rsidRPr="009D52FD">
        <w:rPr>
          <w:color w:val="000000"/>
          <w:sz w:val="20"/>
          <w:szCs w:val="20"/>
          <w:lang w:val="en-US" w:eastAsia="en-US"/>
        </w:rPr>
        <w:t xml:space="preserve">3) </w:t>
      </w:r>
      <w:r w:rsidR="00256D45" w:rsidRPr="009D52FD">
        <w:rPr>
          <w:color w:val="000000"/>
          <w:sz w:val="20"/>
          <w:szCs w:val="20"/>
          <w:lang w:val="en-US" w:eastAsia="en-US"/>
        </w:rPr>
        <w:t>A</w:t>
      </w:r>
      <w:r w:rsidRPr="009D52FD">
        <w:rPr>
          <w:color w:val="000000"/>
          <w:sz w:val="20"/>
          <w:szCs w:val="20"/>
          <w:lang w:val="en-US" w:eastAsia="en-US"/>
        </w:rPr>
        <w:t>nalysis of attribution of responsibility in this specific case</w:t>
      </w:r>
      <w:r w:rsidR="00FA60A1" w:rsidRPr="009D52FD">
        <w:rPr>
          <w:color w:val="000000"/>
          <w:sz w:val="20"/>
          <w:szCs w:val="20"/>
          <w:lang w:val="en-US" w:eastAsia="en-US"/>
        </w:rPr>
        <w:t xml:space="preserve">; </w:t>
      </w:r>
      <w:r w:rsidRPr="009D52FD">
        <w:rPr>
          <w:color w:val="000000"/>
          <w:sz w:val="20"/>
          <w:szCs w:val="20"/>
          <w:lang w:val="en-US" w:eastAsia="en-US"/>
        </w:rPr>
        <w:t>(</w:t>
      </w:r>
      <w:r w:rsidR="00FA60A1" w:rsidRPr="009D52FD">
        <w:rPr>
          <w:color w:val="000000"/>
          <w:sz w:val="20"/>
          <w:szCs w:val="20"/>
          <w:lang w:val="en-US" w:eastAsia="en-US"/>
        </w:rPr>
        <w:t xml:space="preserve">4) </w:t>
      </w:r>
      <w:r w:rsidR="00256D45" w:rsidRPr="009D52FD">
        <w:rPr>
          <w:color w:val="000000"/>
          <w:sz w:val="20"/>
          <w:szCs w:val="20"/>
          <w:lang w:val="en-US" w:eastAsia="en-US"/>
        </w:rPr>
        <w:t>S</w:t>
      </w:r>
      <w:r w:rsidRPr="009D52FD">
        <w:rPr>
          <w:color w:val="000000"/>
          <w:sz w:val="20"/>
          <w:szCs w:val="20"/>
          <w:lang w:val="en-US" w:eastAsia="en-US"/>
        </w:rPr>
        <w:t>tate responsibility for sexual slavery</w:t>
      </w:r>
      <w:r w:rsidR="00FA60A1" w:rsidRPr="009D52FD">
        <w:rPr>
          <w:color w:val="000000"/>
          <w:sz w:val="20"/>
          <w:szCs w:val="20"/>
          <w:lang w:val="en-US" w:eastAsia="en-US"/>
        </w:rPr>
        <w:t xml:space="preserve">; </w:t>
      </w:r>
      <w:r w:rsidRPr="009D52FD">
        <w:rPr>
          <w:color w:val="000000"/>
          <w:sz w:val="20"/>
          <w:szCs w:val="20"/>
          <w:lang w:val="en-US" w:eastAsia="en-US"/>
        </w:rPr>
        <w:t>(</w:t>
      </w:r>
      <w:r w:rsidR="00FA60A1" w:rsidRPr="009D52FD">
        <w:rPr>
          <w:color w:val="000000"/>
          <w:sz w:val="20"/>
          <w:szCs w:val="20"/>
          <w:lang w:val="en-US" w:eastAsia="en-US"/>
        </w:rPr>
        <w:t xml:space="preserve">5) </w:t>
      </w:r>
      <w:r w:rsidRPr="009D52FD">
        <w:rPr>
          <w:color w:val="000000"/>
          <w:sz w:val="20"/>
          <w:szCs w:val="20"/>
          <w:lang w:val="en-US" w:eastAsia="en-US"/>
        </w:rPr>
        <w:t>State responsibility for</w:t>
      </w:r>
      <w:r w:rsidR="00256D45" w:rsidRPr="009D52FD">
        <w:rPr>
          <w:color w:val="000000"/>
          <w:sz w:val="20"/>
          <w:szCs w:val="20"/>
          <w:lang w:val="en-US" w:eastAsia="en-US"/>
        </w:rPr>
        <w:t xml:space="preserve"> acts of</w:t>
      </w:r>
      <w:r w:rsidRPr="009D52FD">
        <w:rPr>
          <w:color w:val="000000"/>
          <w:sz w:val="20"/>
          <w:szCs w:val="20"/>
          <w:lang w:val="en-US" w:eastAsia="en-US"/>
        </w:rPr>
        <w:t xml:space="preserve"> torture</w:t>
      </w:r>
      <w:r w:rsidR="001821FB" w:rsidRPr="009D52FD">
        <w:rPr>
          <w:color w:val="000000"/>
          <w:sz w:val="20"/>
          <w:szCs w:val="20"/>
          <w:lang w:val="en-US" w:eastAsia="en-US"/>
        </w:rPr>
        <w:t>,</w:t>
      </w:r>
      <w:r w:rsidR="003630BB" w:rsidRPr="009D52FD">
        <w:rPr>
          <w:color w:val="000000"/>
          <w:sz w:val="20"/>
          <w:szCs w:val="20"/>
          <w:lang w:val="en-US" w:eastAsia="en-US"/>
        </w:rPr>
        <w:t xml:space="preserve"> and </w:t>
      </w:r>
      <w:r w:rsidRPr="009D52FD">
        <w:rPr>
          <w:color w:val="000000"/>
          <w:sz w:val="20"/>
          <w:szCs w:val="20"/>
          <w:lang w:val="en-US" w:eastAsia="en-US"/>
        </w:rPr>
        <w:t>(</w:t>
      </w:r>
      <w:r w:rsidR="001821FB" w:rsidRPr="009D52FD">
        <w:rPr>
          <w:color w:val="000000"/>
          <w:sz w:val="20"/>
          <w:szCs w:val="20"/>
          <w:lang w:val="en-US" w:eastAsia="en-US"/>
        </w:rPr>
        <w:t>6</w:t>
      </w:r>
      <w:r w:rsidR="00FA60A1" w:rsidRPr="009D52FD">
        <w:rPr>
          <w:color w:val="000000"/>
          <w:sz w:val="20"/>
          <w:szCs w:val="20"/>
          <w:lang w:val="en-US" w:eastAsia="en-US"/>
        </w:rPr>
        <w:t xml:space="preserve">) </w:t>
      </w:r>
      <w:r w:rsidR="00256D45" w:rsidRPr="009D52FD">
        <w:rPr>
          <w:color w:val="000000"/>
          <w:sz w:val="20"/>
          <w:szCs w:val="20"/>
          <w:lang w:val="en-US" w:eastAsia="en-US"/>
        </w:rPr>
        <w:t>C</w:t>
      </w:r>
      <w:r w:rsidRPr="009D52FD">
        <w:rPr>
          <w:color w:val="000000"/>
          <w:sz w:val="20"/>
          <w:szCs w:val="20"/>
          <w:lang w:val="en-US" w:eastAsia="en-US"/>
        </w:rPr>
        <w:t>onclusion on the attribution of responsibility in this specific case</w:t>
      </w:r>
      <w:r w:rsidR="00FA60A1" w:rsidRPr="009D52FD">
        <w:rPr>
          <w:color w:val="000000"/>
          <w:sz w:val="20"/>
          <w:szCs w:val="20"/>
          <w:lang w:val="en-US" w:eastAsia="en-US"/>
        </w:rPr>
        <w:t>.</w:t>
      </w:r>
    </w:p>
    <w:p w14:paraId="52C72B4B" w14:textId="77777777" w:rsidR="009E4F6C" w:rsidRPr="009D52FD" w:rsidRDefault="009E4F6C" w:rsidP="009E4F6C">
      <w:pPr>
        <w:widowControl/>
        <w:adjustRightInd/>
        <w:spacing w:line="240" w:lineRule="auto"/>
        <w:jc w:val="left"/>
        <w:textAlignment w:val="auto"/>
        <w:rPr>
          <w:color w:val="000000"/>
          <w:sz w:val="20"/>
          <w:szCs w:val="20"/>
          <w:lang w:val="en-US" w:eastAsia="en-US"/>
        </w:rPr>
      </w:pPr>
    </w:p>
    <w:p w14:paraId="3DD4ABBF" w14:textId="27A7B3AF" w:rsidR="009E4F6C" w:rsidRPr="009D52FD" w:rsidRDefault="009E4F6C" w:rsidP="005B3DD7">
      <w:pPr>
        <w:keepNext/>
        <w:keepLines/>
        <w:widowControl/>
        <w:tabs>
          <w:tab w:val="left" w:pos="1418"/>
        </w:tabs>
        <w:autoSpaceDE w:val="0"/>
        <w:autoSpaceDN w:val="0"/>
        <w:spacing w:line="240" w:lineRule="auto"/>
        <w:ind w:left="708" w:firstLine="1"/>
        <w:textAlignment w:val="auto"/>
        <w:outlineLvl w:val="1"/>
        <w:rPr>
          <w:rFonts w:eastAsia="MS Mincho" w:cs="Arial"/>
          <w:bCs/>
          <w:i/>
          <w:sz w:val="20"/>
          <w:szCs w:val="20"/>
          <w:lang w:val="en-US" w:eastAsia="en-US"/>
        </w:rPr>
      </w:pPr>
      <w:bookmarkStart w:id="77" w:name="_Toc51400092"/>
      <w:r w:rsidRPr="009D52FD">
        <w:rPr>
          <w:rFonts w:eastAsia="MS Mincho" w:cs="Arial"/>
          <w:bCs/>
          <w:i/>
          <w:sz w:val="20"/>
          <w:szCs w:val="20"/>
          <w:lang w:val="en-US" w:eastAsia="en-US"/>
        </w:rPr>
        <w:t xml:space="preserve">B.1 </w:t>
      </w:r>
      <w:r w:rsidRPr="009D52FD">
        <w:rPr>
          <w:rFonts w:eastAsia="MS Mincho" w:cs="Arial"/>
          <w:bCs/>
          <w:i/>
          <w:sz w:val="20"/>
          <w:szCs w:val="20"/>
          <w:lang w:val="en-US" w:eastAsia="en-US"/>
        </w:rPr>
        <w:tab/>
      </w:r>
      <w:r w:rsidR="00256D45" w:rsidRPr="009D52FD">
        <w:rPr>
          <w:rFonts w:eastAsia="MS Mincho" w:cs="Arial"/>
          <w:bCs/>
          <w:i/>
          <w:sz w:val="20"/>
          <w:szCs w:val="20"/>
          <w:lang w:val="en-US" w:eastAsia="en-US"/>
        </w:rPr>
        <w:t>S</w:t>
      </w:r>
      <w:r w:rsidR="00742B12" w:rsidRPr="009D52FD">
        <w:rPr>
          <w:rFonts w:eastAsia="MS Mincho" w:cs="Arial"/>
          <w:bCs/>
          <w:i/>
          <w:sz w:val="20"/>
          <w:szCs w:val="20"/>
          <w:lang w:val="en-US" w:eastAsia="en-US"/>
        </w:rPr>
        <w:t>tate obligations in light of</w:t>
      </w:r>
      <w:r w:rsidR="003630BB" w:rsidRPr="009D52FD">
        <w:rPr>
          <w:rFonts w:eastAsia="MS Mincho" w:cs="Arial"/>
          <w:bCs/>
          <w:i/>
          <w:sz w:val="20"/>
          <w:szCs w:val="20"/>
          <w:lang w:val="en-US" w:eastAsia="en-US"/>
        </w:rPr>
        <w:t xml:space="preserve"> the American Convention and </w:t>
      </w:r>
      <w:r w:rsidR="00742B12" w:rsidRPr="009D52FD">
        <w:rPr>
          <w:rFonts w:eastAsia="MS Mincho" w:cs="Arial"/>
          <w:bCs/>
          <w:i/>
          <w:sz w:val="20"/>
          <w:szCs w:val="20"/>
          <w:lang w:val="en-US" w:eastAsia="en-US"/>
        </w:rPr>
        <w:t>Article 7</w:t>
      </w:r>
      <w:r w:rsidR="003630BB" w:rsidRPr="009D52FD">
        <w:rPr>
          <w:rFonts w:eastAsia="MS Mincho" w:cs="Arial"/>
          <w:bCs/>
          <w:i/>
          <w:sz w:val="20"/>
          <w:szCs w:val="20"/>
          <w:lang w:val="en-US" w:eastAsia="en-US"/>
        </w:rPr>
        <w:t xml:space="preserve"> of the Convention</w:t>
      </w:r>
      <w:r w:rsidR="00FF30EA" w:rsidRPr="009D52FD">
        <w:rPr>
          <w:rFonts w:eastAsia="MS Mincho" w:cs="Arial"/>
          <w:bCs/>
          <w:i/>
          <w:sz w:val="20"/>
          <w:szCs w:val="20"/>
          <w:lang w:val="en-US" w:eastAsia="en-US"/>
        </w:rPr>
        <w:t xml:space="preserve"> </w:t>
      </w:r>
      <w:r w:rsidR="00483040" w:rsidRPr="009D52FD">
        <w:rPr>
          <w:rFonts w:eastAsia="MS Mincho" w:cs="Arial"/>
          <w:bCs/>
          <w:i/>
          <w:sz w:val="20"/>
          <w:szCs w:val="20"/>
          <w:lang w:val="en-US" w:eastAsia="en-US"/>
        </w:rPr>
        <w:t>of Belém</w:t>
      </w:r>
      <w:r w:rsidR="00FF30EA" w:rsidRPr="009D52FD">
        <w:rPr>
          <w:rFonts w:eastAsia="MS Mincho" w:cs="Arial"/>
          <w:bCs/>
          <w:i/>
          <w:sz w:val="20"/>
          <w:szCs w:val="20"/>
          <w:lang w:val="en-US" w:eastAsia="en-US"/>
        </w:rPr>
        <w:t xml:space="preserve"> do Pará</w:t>
      </w:r>
      <w:r w:rsidRPr="009D52FD">
        <w:rPr>
          <w:rFonts w:eastAsia="MS Mincho" w:cs="Arial"/>
          <w:bCs/>
          <w:i/>
          <w:sz w:val="20"/>
          <w:szCs w:val="20"/>
          <w:lang w:val="en-US" w:eastAsia="en-US"/>
        </w:rPr>
        <w:t xml:space="preserve"> </w:t>
      </w:r>
      <w:r w:rsidR="00742B12" w:rsidRPr="009D52FD">
        <w:rPr>
          <w:rFonts w:eastAsia="MS Mincho" w:cs="Arial"/>
          <w:bCs/>
          <w:i/>
          <w:sz w:val="20"/>
          <w:szCs w:val="20"/>
          <w:lang w:val="en-US" w:eastAsia="en-US"/>
        </w:rPr>
        <w:t>in cases of violence against women</w:t>
      </w:r>
      <w:bookmarkEnd w:id="77"/>
    </w:p>
    <w:p w14:paraId="22CD8D83" w14:textId="77777777" w:rsidR="009E4F6C" w:rsidRPr="009D52FD" w:rsidRDefault="009E4F6C" w:rsidP="009E4F6C">
      <w:pPr>
        <w:widowControl/>
        <w:adjustRightInd/>
        <w:spacing w:line="240" w:lineRule="auto"/>
        <w:jc w:val="left"/>
        <w:textAlignment w:val="auto"/>
        <w:rPr>
          <w:color w:val="000000"/>
          <w:sz w:val="20"/>
          <w:szCs w:val="20"/>
          <w:lang w:val="en-US" w:eastAsia="en-US"/>
        </w:rPr>
      </w:pPr>
    </w:p>
    <w:p w14:paraId="42BAAD3C" w14:textId="018E1ECA" w:rsidR="009E4F6C" w:rsidRPr="009D52FD" w:rsidRDefault="00742B12" w:rsidP="003C5989">
      <w:pPr>
        <w:numPr>
          <w:ilvl w:val="0"/>
          <w:numId w:val="1"/>
        </w:numPr>
        <w:tabs>
          <w:tab w:val="left" w:pos="567"/>
        </w:tabs>
        <w:spacing w:line="240" w:lineRule="auto"/>
        <w:ind w:left="0" w:firstLine="0"/>
        <w:rPr>
          <w:color w:val="000000"/>
          <w:sz w:val="20"/>
          <w:szCs w:val="20"/>
          <w:lang w:val="en-US" w:eastAsia="en-US"/>
        </w:rPr>
      </w:pPr>
      <w:r w:rsidRPr="009D52FD">
        <w:rPr>
          <w:color w:val="000000"/>
          <w:sz w:val="20"/>
          <w:szCs w:val="20"/>
          <w:lang w:val="en-US" w:eastAsia="en-US"/>
        </w:rPr>
        <w:t>According to</w:t>
      </w:r>
      <w:r w:rsidR="009E4F6C" w:rsidRPr="009D52FD">
        <w:rPr>
          <w:color w:val="000000"/>
          <w:sz w:val="20"/>
          <w:szCs w:val="20"/>
          <w:lang w:val="en-US" w:eastAsia="en-US"/>
        </w:rPr>
        <w:t xml:space="preserve"> </w:t>
      </w:r>
      <w:r w:rsidR="00483040" w:rsidRPr="009D52FD">
        <w:rPr>
          <w:color w:val="000000"/>
          <w:sz w:val="20"/>
          <w:szCs w:val="20"/>
          <w:lang w:val="en-US" w:eastAsia="en-US"/>
        </w:rPr>
        <w:t>Article 1(1)</w:t>
      </w:r>
      <w:r w:rsidR="003630BB" w:rsidRPr="009D52FD">
        <w:rPr>
          <w:color w:val="000000"/>
          <w:sz w:val="20"/>
          <w:szCs w:val="20"/>
          <w:lang w:val="en-US" w:eastAsia="en-US"/>
        </w:rPr>
        <w:t xml:space="preserve"> of the Convention</w:t>
      </w:r>
      <w:r w:rsidR="009E4F6C" w:rsidRPr="009D52FD">
        <w:rPr>
          <w:color w:val="000000"/>
          <w:sz w:val="20"/>
          <w:szCs w:val="20"/>
          <w:lang w:val="en-US" w:eastAsia="en-US"/>
        </w:rPr>
        <w:t>,</w:t>
      </w:r>
      <w:r w:rsidRPr="009D52FD">
        <w:rPr>
          <w:color w:val="000000"/>
          <w:sz w:val="20"/>
          <w:szCs w:val="20"/>
          <w:lang w:val="en-US" w:eastAsia="en-US"/>
        </w:rPr>
        <w:t xml:space="preserve"> States are obliged to respect and to ensure the human rights recognized therein. The </w:t>
      </w:r>
      <w:r w:rsidR="0098665D" w:rsidRPr="009D52FD">
        <w:rPr>
          <w:color w:val="000000"/>
          <w:sz w:val="20"/>
          <w:szCs w:val="20"/>
          <w:lang w:val="en-US" w:eastAsia="en-US"/>
        </w:rPr>
        <w:t>international responsibility</w:t>
      </w:r>
      <w:r w:rsidR="003630BB" w:rsidRPr="009D52FD">
        <w:rPr>
          <w:color w:val="000000"/>
          <w:sz w:val="20"/>
          <w:szCs w:val="20"/>
          <w:lang w:val="en-US" w:eastAsia="en-US"/>
        </w:rPr>
        <w:t xml:space="preserve"> o</w:t>
      </w:r>
      <w:r w:rsidR="00256D45" w:rsidRPr="009D52FD">
        <w:rPr>
          <w:color w:val="000000"/>
          <w:sz w:val="20"/>
          <w:szCs w:val="20"/>
          <w:lang w:val="en-US" w:eastAsia="en-US"/>
        </w:rPr>
        <w:t>f</w:t>
      </w:r>
      <w:r w:rsidR="003630BB" w:rsidRPr="009D52FD">
        <w:rPr>
          <w:color w:val="000000"/>
          <w:sz w:val="20"/>
          <w:szCs w:val="20"/>
          <w:lang w:val="en-US" w:eastAsia="en-US"/>
        </w:rPr>
        <w:t xml:space="preserve"> the State</w:t>
      </w:r>
      <w:r w:rsidR="009E4F6C" w:rsidRPr="009D52FD">
        <w:rPr>
          <w:color w:val="000000"/>
          <w:sz w:val="20"/>
          <w:szCs w:val="20"/>
          <w:lang w:val="en-US" w:eastAsia="en-US"/>
        </w:rPr>
        <w:t xml:space="preserve"> </w:t>
      </w:r>
      <w:r w:rsidRPr="009D52FD">
        <w:rPr>
          <w:color w:val="000000"/>
          <w:sz w:val="20"/>
          <w:szCs w:val="20"/>
          <w:lang w:val="en-US" w:eastAsia="en-US"/>
        </w:rPr>
        <w:t>is based on acts or omissions of any power or organ of the State, regardless of its rank, that violate</w:t>
      </w:r>
      <w:r w:rsidR="009E4F6C" w:rsidRPr="009D52FD">
        <w:rPr>
          <w:color w:val="000000"/>
          <w:sz w:val="20"/>
          <w:szCs w:val="20"/>
          <w:lang w:val="en-US" w:eastAsia="en-US"/>
        </w:rPr>
        <w:t xml:space="preserve"> </w:t>
      </w:r>
      <w:r w:rsidR="003630BB" w:rsidRPr="009D52FD">
        <w:rPr>
          <w:color w:val="000000"/>
          <w:sz w:val="20"/>
          <w:szCs w:val="20"/>
          <w:lang w:val="en-US" w:eastAsia="en-US"/>
        </w:rPr>
        <w:t>the American Convention</w:t>
      </w:r>
      <w:r w:rsidRPr="009D52FD">
        <w:rPr>
          <w:color w:val="000000"/>
          <w:sz w:val="20"/>
          <w:szCs w:val="20"/>
          <w:lang w:val="en-US" w:eastAsia="en-US"/>
        </w:rPr>
        <w:t>.</w:t>
      </w:r>
      <w:r w:rsidR="009E4F6C" w:rsidRPr="009D52FD">
        <w:rPr>
          <w:color w:val="000000"/>
          <w:sz w:val="20"/>
          <w:szCs w:val="20"/>
          <w:vertAlign w:val="superscript"/>
          <w:lang w:val="en-US" w:eastAsia="en-US"/>
        </w:rPr>
        <w:footnoteReference w:id="210"/>
      </w:r>
      <w:bookmarkStart w:id="78" w:name="_Ref117392527"/>
    </w:p>
    <w:p w14:paraId="0E94BE0D" w14:textId="77777777" w:rsidR="009E4F6C" w:rsidRPr="009D52FD" w:rsidRDefault="009E4F6C" w:rsidP="009E4F6C">
      <w:pPr>
        <w:tabs>
          <w:tab w:val="left" w:pos="567"/>
        </w:tabs>
        <w:spacing w:line="240" w:lineRule="auto"/>
        <w:rPr>
          <w:color w:val="000000"/>
          <w:sz w:val="20"/>
          <w:szCs w:val="20"/>
          <w:lang w:val="en-US" w:eastAsia="en-US"/>
        </w:rPr>
      </w:pPr>
    </w:p>
    <w:p w14:paraId="7B4BB7BC" w14:textId="3D5BD2B7" w:rsidR="009E4F6C" w:rsidRPr="009D52FD" w:rsidRDefault="00742B12" w:rsidP="003C5989">
      <w:pPr>
        <w:numPr>
          <w:ilvl w:val="0"/>
          <w:numId w:val="1"/>
        </w:numPr>
        <w:tabs>
          <w:tab w:val="left" w:pos="567"/>
        </w:tabs>
        <w:spacing w:line="240" w:lineRule="auto"/>
        <w:ind w:left="0" w:firstLine="0"/>
        <w:rPr>
          <w:color w:val="000000"/>
          <w:sz w:val="20"/>
          <w:szCs w:val="20"/>
          <w:lang w:val="en-US" w:eastAsia="en-US"/>
        </w:rPr>
      </w:pPr>
      <w:r w:rsidRPr="009D52FD">
        <w:rPr>
          <w:color w:val="000000"/>
          <w:sz w:val="20"/>
          <w:szCs w:val="20"/>
          <w:lang w:val="en-US" w:eastAsia="en-US"/>
        </w:rPr>
        <w:t>Regarding the obligation of respect, the Court has maintained that the first obligation assumed by the States Parties, pursuant to this article, is “to respect the rights and freedoms” recognized in</w:t>
      </w:r>
      <w:bookmarkEnd w:id="78"/>
      <w:r w:rsidRPr="009D52FD">
        <w:rPr>
          <w:color w:val="000000"/>
          <w:sz w:val="20"/>
          <w:szCs w:val="20"/>
          <w:lang w:val="en-US" w:eastAsia="en-US"/>
        </w:rPr>
        <w:t xml:space="preserve"> </w:t>
      </w:r>
      <w:r w:rsidR="003630BB" w:rsidRPr="009D52FD">
        <w:rPr>
          <w:color w:val="000000"/>
          <w:sz w:val="20"/>
          <w:szCs w:val="20"/>
          <w:lang w:val="en-US" w:eastAsia="en-US"/>
        </w:rPr>
        <w:t>the Convention</w:t>
      </w:r>
      <w:r w:rsidR="009E4F6C" w:rsidRPr="009D52FD">
        <w:rPr>
          <w:color w:val="000000"/>
          <w:sz w:val="20"/>
          <w:szCs w:val="20"/>
          <w:lang w:val="en-US" w:eastAsia="en-US"/>
        </w:rPr>
        <w:t xml:space="preserve">. </w:t>
      </w:r>
      <w:r w:rsidRPr="009D52FD">
        <w:rPr>
          <w:color w:val="000000"/>
          <w:sz w:val="20"/>
          <w:szCs w:val="20"/>
          <w:lang w:val="en-US" w:eastAsia="en-US"/>
        </w:rPr>
        <w:t>Thus, the notion of the restriction of the exercise of the State’s power is necessarily included in the protection of human rights.</w:t>
      </w:r>
      <w:r w:rsidR="009E4F6C" w:rsidRPr="009D52FD">
        <w:rPr>
          <w:color w:val="000000"/>
          <w:sz w:val="20"/>
          <w:szCs w:val="20"/>
          <w:vertAlign w:val="superscript"/>
          <w:lang w:val="en-US" w:eastAsia="en-US"/>
        </w:rPr>
        <w:footnoteReference w:id="211"/>
      </w:r>
    </w:p>
    <w:p w14:paraId="22D49E49" w14:textId="77777777" w:rsidR="009E4F6C" w:rsidRPr="009D52FD" w:rsidRDefault="009E4F6C" w:rsidP="009E4F6C">
      <w:pPr>
        <w:tabs>
          <w:tab w:val="left" w:pos="567"/>
        </w:tabs>
        <w:spacing w:line="240" w:lineRule="auto"/>
        <w:rPr>
          <w:color w:val="000000"/>
          <w:sz w:val="20"/>
          <w:szCs w:val="20"/>
          <w:lang w:val="en-US" w:eastAsia="en-US"/>
        </w:rPr>
      </w:pPr>
    </w:p>
    <w:p w14:paraId="37E96676" w14:textId="5B5B6FA1" w:rsidR="007F51FE" w:rsidRPr="009D52FD" w:rsidRDefault="00C07AD7" w:rsidP="007F51FE">
      <w:pPr>
        <w:numPr>
          <w:ilvl w:val="0"/>
          <w:numId w:val="1"/>
        </w:numPr>
        <w:tabs>
          <w:tab w:val="left" w:pos="567"/>
        </w:tabs>
        <w:spacing w:line="240" w:lineRule="auto"/>
        <w:ind w:left="0" w:firstLine="0"/>
        <w:rPr>
          <w:color w:val="000000"/>
          <w:sz w:val="20"/>
          <w:szCs w:val="20"/>
          <w:lang w:val="en-US" w:eastAsia="en-US"/>
        </w:rPr>
      </w:pPr>
      <w:r w:rsidRPr="009D52FD">
        <w:rPr>
          <w:color w:val="000000"/>
          <w:sz w:val="20"/>
          <w:szCs w:val="20"/>
          <w:lang w:val="en-US" w:eastAsia="en-US"/>
        </w:rPr>
        <w:t>However</w:t>
      </w:r>
      <w:r w:rsidR="009E4F6C" w:rsidRPr="009D52FD">
        <w:rPr>
          <w:color w:val="000000"/>
          <w:sz w:val="20"/>
          <w:szCs w:val="20"/>
          <w:lang w:val="en-US" w:eastAsia="en-US"/>
        </w:rPr>
        <w:t xml:space="preserve">, </w:t>
      </w:r>
      <w:r w:rsidR="00483040" w:rsidRPr="009D52FD">
        <w:rPr>
          <w:color w:val="000000"/>
          <w:sz w:val="20"/>
          <w:szCs w:val="20"/>
          <w:lang w:val="en-US" w:eastAsia="en-US"/>
        </w:rPr>
        <w:t>the rights recognized in</w:t>
      </w:r>
      <w:r w:rsidR="009E4F6C" w:rsidRPr="009D52FD">
        <w:rPr>
          <w:color w:val="000000"/>
          <w:sz w:val="20"/>
          <w:szCs w:val="20"/>
          <w:lang w:val="en-US" w:eastAsia="en-US"/>
        </w:rPr>
        <w:t xml:space="preserve"> </w:t>
      </w:r>
      <w:r w:rsidR="003630BB" w:rsidRPr="009D52FD">
        <w:rPr>
          <w:color w:val="000000"/>
          <w:sz w:val="20"/>
          <w:szCs w:val="20"/>
          <w:lang w:val="en-US" w:eastAsia="en-US"/>
        </w:rPr>
        <w:t>the American Convention</w:t>
      </w:r>
      <w:r w:rsidR="009E4F6C" w:rsidRPr="009D52FD">
        <w:rPr>
          <w:color w:val="000000"/>
          <w:sz w:val="20"/>
          <w:szCs w:val="20"/>
          <w:lang w:val="en-US" w:eastAsia="en-US"/>
        </w:rPr>
        <w:t xml:space="preserve"> </w:t>
      </w:r>
      <w:r w:rsidR="007F51FE" w:rsidRPr="009D52FD">
        <w:rPr>
          <w:color w:val="000000"/>
          <w:sz w:val="20"/>
          <w:szCs w:val="20"/>
          <w:lang w:val="en-US" w:eastAsia="en-US"/>
        </w:rPr>
        <w:t>include not only negative obligations such as refraining from violating the</w:t>
      </w:r>
      <w:r w:rsidR="00EB5881" w:rsidRPr="009D52FD">
        <w:rPr>
          <w:color w:val="000000"/>
          <w:sz w:val="20"/>
          <w:szCs w:val="20"/>
          <w:lang w:val="en-US" w:eastAsia="en-US"/>
        </w:rPr>
        <w:t>m</w:t>
      </w:r>
      <w:r w:rsidR="007F51FE" w:rsidRPr="009D52FD">
        <w:rPr>
          <w:color w:val="000000"/>
          <w:sz w:val="20"/>
          <w:szCs w:val="20"/>
          <w:lang w:val="en-US" w:eastAsia="en-US"/>
        </w:rPr>
        <w:t xml:space="preserve"> owing to the actions of state agents, but also require States to adopt all appropriate measures to ensure them (positive obligation).</w:t>
      </w:r>
      <w:r w:rsidR="009E4F6C" w:rsidRPr="009D52FD">
        <w:rPr>
          <w:color w:val="000000"/>
          <w:sz w:val="20"/>
          <w:szCs w:val="20"/>
          <w:vertAlign w:val="superscript"/>
          <w:lang w:val="en-US" w:eastAsia="en-US"/>
        </w:rPr>
        <w:footnoteReference w:id="212"/>
      </w:r>
      <w:r w:rsidR="007F51FE" w:rsidRPr="009D52FD">
        <w:rPr>
          <w:color w:val="000000"/>
          <w:sz w:val="20"/>
          <w:szCs w:val="20"/>
          <w:lang w:val="en-US" w:eastAsia="en-US"/>
        </w:rPr>
        <w:t xml:space="preserve"> This obligation encompasses all those measures of a legal, political, administrative and cultural nature that promote the safeguard of human rights and that ensure that eventual violations of those rights are effectively considered and dealt with as a wrongful act that, as such, is subject to </w:t>
      </w:r>
      <w:r w:rsidR="00EB5881" w:rsidRPr="009D52FD">
        <w:rPr>
          <w:color w:val="000000"/>
          <w:sz w:val="20"/>
          <w:szCs w:val="20"/>
          <w:lang w:val="en-US" w:eastAsia="en-US"/>
        </w:rPr>
        <w:t>the punishment of</w:t>
      </w:r>
      <w:r w:rsidR="007F51FE" w:rsidRPr="009D52FD">
        <w:rPr>
          <w:color w:val="000000"/>
          <w:sz w:val="20"/>
          <w:szCs w:val="20"/>
          <w:lang w:val="en-US" w:eastAsia="en-US"/>
        </w:rPr>
        <w:t xml:space="preserve"> the person who commits it, </w:t>
      </w:r>
      <w:r w:rsidR="00EB5881" w:rsidRPr="009D52FD">
        <w:rPr>
          <w:color w:val="000000"/>
          <w:sz w:val="20"/>
          <w:szCs w:val="20"/>
          <w:lang w:val="en-US" w:eastAsia="en-US"/>
        </w:rPr>
        <w:t>and also</w:t>
      </w:r>
      <w:r w:rsidR="007F51FE" w:rsidRPr="009D52FD">
        <w:rPr>
          <w:color w:val="000000"/>
          <w:sz w:val="20"/>
          <w:szCs w:val="20"/>
          <w:lang w:val="en-US" w:eastAsia="en-US"/>
        </w:rPr>
        <w:t xml:space="preserve"> the obligation to make full </w:t>
      </w:r>
      <w:r w:rsidR="00EB5881" w:rsidRPr="009D52FD">
        <w:rPr>
          <w:color w:val="000000"/>
          <w:sz w:val="20"/>
          <w:szCs w:val="20"/>
          <w:lang w:val="en-US" w:eastAsia="en-US"/>
        </w:rPr>
        <w:t>reparation</w:t>
      </w:r>
      <w:r w:rsidR="007F51FE" w:rsidRPr="009D52FD">
        <w:rPr>
          <w:color w:val="000000"/>
          <w:sz w:val="20"/>
          <w:szCs w:val="20"/>
          <w:lang w:val="en-US" w:eastAsia="en-US"/>
        </w:rPr>
        <w:t xml:space="preserve"> to the victims for the harmful consequences.</w:t>
      </w:r>
    </w:p>
    <w:p w14:paraId="2B20AFD3" w14:textId="77777777" w:rsidR="009E4F6C" w:rsidRPr="009D52FD" w:rsidRDefault="009E4F6C" w:rsidP="009E4F6C">
      <w:pPr>
        <w:tabs>
          <w:tab w:val="left" w:pos="567"/>
        </w:tabs>
        <w:spacing w:line="240" w:lineRule="auto"/>
        <w:rPr>
          <w:color w:val="000000"/>
          <w:sz w:val="20"/>
          <w:szCs w:val="20"/>
          <w:lang w:val="en-US" w:eastAsia="en-US"/>
        </w:rPr>
      </w:pPr>
    </w:p>
    <w:p w14:paraId="2005F82A" w14:textId="2DDFB21B" w:rsidR="009E4F6C" w:rsidRPr="009D52FD" w:rsidRDefault="007F51FE" w:rsidP="003C5989">
      <w:pPr>
        <w:numPr>
          <w:ilvl w:val="0"/>
          <w:numId w:val="1"/>
        </w:numPr>
        <w:tabs>
          <w:tab w:val="left" w:pos="567"/>
        </w:tabs>
        <w:spacing w:line="240" w:lineRule="auto"/>
        <w:ind w:left="0" w:firstLine="0"/>
        <w:rPr>
          <w:color w:val="000000"/>
          <w:sz w:val="20"/>
          <w:szCs w:val="20"/>
          <w:lang w:val="en-US" w:eastAsia="en-US"/>
        </w:rPr>
      </w:pPr>
      <w:r w:rsidRPr="009D52FD">
        <w:rPr>
          <w:color w:val="000000"/>
          <w:sz w:val="20"/>
          <w:szCs w:val="20"/>
          <w:lang w:val="en-US" w:eastAsia="en-US"/>
        </w:rPr>
        <w:t>I</w:t>
      </w:r>
      <w:r w:rsidR="009E4F6C" w:rsidRPr="009D52FD">
        <w:rPr>
          <w:color w:val="000000"/>
          <w:sz w:val="20"/>
          <w:szCs w:val="20"/>
          <w:lang w:val="en-US" w:eastAsia="en-US"/>
        </w:rPr>
        <w:t xml:space="preserve">n particular, </w:t>
      </w:r>
      <w:r w:rsidRPr="009D52FD">
        <w:rPr>
          <w:color w:val="000000"/>
          <w:sz w:val="20"/>
          <w:szCs w:val="20"/>
          <w:lang w:val="en-US" w:eastAsia="en-US"/>
        </w:rPr>
        <w:t xml:space="preserve">this Court has established that the obligation to ensure rights supposes the obligation of States to prevent human rights violations, even those committed by private third parties. </w:t>
      </w:r>
      <w:r w:rsidR="00EB5881" w:rsidRPr="009D52FD">
        <w:rPr>
          <w:color w:val="000000"/>
          <w:sz w:val="20"/>
          <w:szCs w:val="20"/>
          <w:lang w:val="en-US" w:eastAsia="en-US"/>
        </w:rPr>
        <w:t>Nevertheless</w:t>
      </w:r>
      <w:r w:rsidRPr="009D52FD">
        <w:rPr>
          <w:color w:val="000000"/>
          <w:sz w:val="20"/>
          <w:szCs w:val="20"/>
          <w:lang w:val="en-US" w:eastAsia="en-US"/>
        </w:rPr>
        <w:t xml:space="preserve">, a State </w:t>
      </w:r>
      <w:r w:rsidR="00525314" w:rsidRPr="009D52FD">
        <w:rPr>
          <w:color w:val="000000"/>
          <w:sz w:val="20"/>
          <w:szCs w:val="20"/>
          <w:lang w:val="en-US" w:eastAsia="en-US"/>
        </w:rPr>
        <w:t>cannot be held responsible for every human rights violation committed between</w:t>
      </w:r>
      <w:r w:rsidR="00EB5881" w:rsidRPr="009D52FD">
        <w:rPr>
          <w:color w:val="000000"/>
          <w:sz w:val="20"/>
          <w:szCs w:val="20"/>
          <w:lang w:val="en-US" w:eastAsia="en-US"/>
        </w:rPr>
        <w:t xml:space="preserve"> private</w:t>
      </w:r>
      <w:r w:rsidR="00525314" w:rsidRPr="009D52FD">
        <w:rPr>
          <w:color w:val="000000"/>
          <w:sz w:val="20"/>
          <w:szCs w:val="20"/>
          <w:lang w:val="en-US" w:eastAsia="en-US"/>
        </w:rPr>
        <w:t xml:space="preserve"> </w:t>
      </w:r>
      <w:r w:rsidR="00F75897" w:rsidRPr="009D52FD">
        <w:rPr>
          <w:color w:val="000000"/>
          <w:sz w:val="20"/>
          <w:szCs w:val="20"/>
          <w:lang w:val="en-US" w:eastAsia="en-US"/>
        </w:rPr>
        <w:t>individual</w:t>
      </w:r>
      <w:r w:rsidR="00525314" w:rsidRPr="009D52FD">
        <w:rPr>
          <w:color w:val="000000"/>
          <w:sz w:val="20"/>
          <w:szCs w:val="20"/>
          <w:lang w:val="en-US" w:eastAsia="en-US"/>
        </w:rPr>
        <w:t xml:space="preserve">s under its jurisdiction, as the Court will refer to below </w:t>
      </w:r>
      <w:r w:rsidR="009E4F6C" w:rsidRPr="009D52FD">
        <w:rPr>
          <w:sz w:val="20"/>
          <w:szCs w:val="20"/>
          <w:lang w:val="en-US"/>
        </w:rPr>
        <w:t>(</w:t>
      </w:r>
      <w:r w:rsidR="009E4F6C" w:rsidRPr="009D52FD">
        <w:rPr>
          <w:i/>
          <w:sz w:val="20"/>
          <w:szCs w:val="20"/>
          <w:lang w:val="en-US"/>
        </w:rPr>
        <w:t>infra</w:t>
      </w:r>
      <w:r w:rsidR="009E4F6C" w:rsidRPr="009D52FD">
        <w:rPr>
          <w:sz w:val="20"/>
          <w:szCs w:val="20"/>
          <w:lang w:val="en-US"/>
        </w:rPr>
        <w:t xml:space="preserve"> </w:t>
      </w:r>
      <w:r w:rsidR="009459E7" w:rsidRPr="009D52FD">
        <w:rPr>
          <w:sz w:val="20"/>
          <w:szCs w:val="20"/>
          <w:lang w:val="en-US"/>
        </w:rPr>
        <w:lastRenderedPageBreak/>
        <w:t>paras.</w:t>
      </w:r>
      <w:r w:rsidR="009E4F6C" w:rsidRPr="009D52FD">
        <w:rPr>
          <w:sz w:val="20"/>
          <w:szCs w:val="20"/>
          <w:lang w:val="en-US"/>
        </w:rPr>
        <w:t xml:space="preserve"> </w:t>
      </w:r>
      <w:r w:rsidR="009B444D" w:rsidRPr="009D52FD">
        <w:rPr>
          <w:sz w:val="20"/>
          <w:szCs w:val="20"/>
          <w:lang w:val="en-US"/>
        </w:rPr>
        <w:t xml:space="preserve">137 </w:t>
      </w:r>
      <w:r w:rsidR="00525314" w:rsidRPr="009D52FD">
        <w:rPr>
          <w:sz w:val="20"/>
          <w:szCs w:val="20"/>
          <w:lang w:val="en-US"/>
        </w:rPr>
        <w:t>to</w:t>
      </w:r>
      <w:r w:rsidR="009B444D" w:rsidRPr="009D52FD">
        <w:rPr>
          <w:sz w:val="20"/>
          <w:szCs w:val="20"/>
          <w:lang w:val="en-US"/>
        </w:rPr>
        <w:t xml:space="preserve"> 150</w:t>
      </w:r>
      <w:r w:rsidR="009E4F6C" w:rsidRPr="009D52FD">
        <w:rPr>
          <w:sz w:val="20"/>
          <w:szCs w:val="20"/>
          <w:lang w:val="en-US"/>
        </w:rPr>
        <w:t xml:space="preserve">). </w:t>
      </w:r>
      <w:r w:rsidR="00525314" w:rsidRPr="009D52FD">
        <w:rPr>
          <w:sz w:val="20"/>
          <w:szCs w:val="20"/>
          <w:lang w:val="en-US"/>
        </w:rPr>
        <w:t>It is also eviden</w:t>
      </w:r>
      <w:r w:rsidR="00EB5881" w:rsidRPr="009D52FD">
        <w:rPr>
          <w:sz w:val="20"/>
          <w:szCs w:val="20"/>
          <w:lang w:val="en-US"/>
        </w:rPr>
        <w:t>t</w:t>
      </w:r>
      <w:r w:rsidR="00525314" w:rsidRPr="009D52FD">
        <w:rPr>
          <w:sz w:val="20"/>
          <w:szCs w:val="20"/>
          <w:lang w:val="en-US"/>
        </w:rPr>
        <w:t xml:space="preserve"> that the obligation of prevention is one of means or conduct and </w:t>
      </w:r>
      <w:r w:rsidR="00EB5881" w:rsidRPr="009D52FD">
        <w:rPr>
          <w:sz w:val="20"/>
          <w:szCs w:val="20"/>
          <w:lang w:val="en-US"/>
        </w:rPr>
        <w:t>n</w:t>
      </w:r>
      <w:r w:rsidR="00525314" w:rsidRPr="009D52FD">
        <w:rPr>
          <w:sz w:val="20"/>
          <w:szCs w:val="20"/>
          <w:lang w:val="en-US"/>
        </w:rPr>
        <w:t>on-compliance is not proved by the mere fact that a right has been violated.</w:t>
      </w:r>
      <w:r w:rsidR="009E4F6C" w:rsidRPr="009D52FD">
        <w:rPr>
          <w:color w:val="000000"/>
          <w:sz w:val="20"/>
          <w:szCs w:val="20"/>
          <w:vertAlign w:val="superscript"/>
          <w:lang w:val="en-US" w:eastAsia="en-US"/>
        </w:rPr>
        <w:footnoteReference w:id="213"/>
      </w:r>
    </w:p>
    <w:p w14:paraId="200E13D0" w14:textId="77777777" w:rsidR="009E4F6C" w:rsidRPr="009D52FD" w:rsidRDefault="009E4F6C" w:rsidP="009E4F6C">
      <w:pPr>
        <w:widowControl/>
        <w:adjustRightInd/>
        <w:spacing w:line="240" w:lineRule="auto"/>
        <w:jc w:val="left"/>
        <w:textAlignment w:val="auto"/>
        <w:rPr>
          <w:color w:val="000000"/>
          <w:sz w:val="20"/>
          <w:szCs w:val="20"/>
          <w:lang w:val="en-US" w:eastAsia="en-US"/>
        </w:rPr>
      </w:pPr>
    </w:p>
    <w:p w14:paraId="571AE103" w14:textId="56662497" w:rsidR="009E4F6C" w:rsidRPr="009D52FD" w:rsidRDefault="003630BB" w:rsidP="00525314">
      <w:pPr>
        <w:numPr>
          <w:ilvl w:val="0"/>
          <w:numId w:val="1"/>
        </w:numPr>
        <w:tabs>
          <w:tab w:val="left" w:pos="567"/>
        </w:tabs>
        <w:spacing w:line="240" w:lineRule="auto"/>
        <w:ind w:left="0" w:firstLine="0"/>
        <w:rPr>
          <w:color w:val="000000"/>
          <w:sz w:val="20"/>
          <w:szCs w:val="20"/>
          <w:lang w:val="en-US" w:eastAsia="en-US"/>
        </w:rPr>
      </w:pPr>
      <w:r w:rsidRPr="009D52FD">
        <w:rPr>
          <w:color w:val="000000"/>
          <w:sz w:val="20"/>
          <w:szCs w:val="20"/>
          <w:lang w:val="en-US" w:eastAsia="en-US"/>
        </w:rPr>
        <w:t>The Convention</w:t>
      </w:r>
      <w:r w:rsidR="009E4F6C" w:rsidRPr="009D52FD">
        <w:rPr>
          <w:color w:val="000000"/>
          <w:sz w:val="20"/>
          <w:szCs w:val="20"/>
          <w:lang w:val="en-US" w:eastAsia="en-US"/>
        </w:rPr>
        <w:t xml:space="preserve"> </w:t>
      </w:r>
      <w:r w:rsidR="00483040" w:rsidRPr="009D52FD">
        <w:rPr>
          <w:color w:val="000000"/>
          <w:sz w:val="20"/>
          <w:szCs w:val="20"/>
          <w:lang w:val="en-US" w:eastAsia="en-US"/>
        </w:rPr>
        <w:t>of Belém</w:t>
      </w:r>
      <w:r w:rsidR="009E4F6C" w:rsidRPr="009D52FD">
        <w:rPr>
          <w:color w:val="000000"/>
          <w:sz w:val="20"/>
          <w:szCs w:val="20"/>
          <w:lang w:val="en-US" w:eastAsia="en-US"/>
        </w:rPr>
        <w:t xml:space="preserve"> do Pará </w:t>
      </w:r>
      <w:r w:rsidR="00525314" w:rsidRPr="009D52FD">
        <w:rPr>
          <w:color w:val="000000"/>
          <w:sz w:val="20"/>
          <w:szCs w:val="20"/>
          <w:lang w:val="en-US" w:eastAsia="en-US"/>
        </w:rPr>
        <w:t>defines violence against women</w:t>
      </w:r>
      <w:r w:rsidR="009E4F6C" w:rsidRPr="009D52FD">
        <w:rPr>
          <w:color w:val="000000"/>
          <w:sz w:val="20"/>
          <w:szCs w:val="20"/>
          <w:vertAlign w:val="superscript"/>
          <w:lang w:val="en-US" w:eastAsia="en-US"/>
        </w:rPr>
        <w:footnoteReference w:id="214"/>
      </w:r>
      <w:r w:rsidRPr="009D52FD">
        <w:rPr>
          <w:color w:val="000000"/>
          <w:sz w:val="20"/>
          <w:szCs w:val="20"/>
          <w:lang w:val="en-US" w:eastAsia="en-US"/>
        </w:rPr>
        <w:t xml:space="preserve"> and </w:t>
      </w:r>
      <w:r w:rsidR="00525314" w:rsidRPr="009D52FD">
        <w:rPr>
          <w:color w:val="000000"/>
          <w:sz w:val="20"/>
          <w:szCs w:val="20"/>
          <w:lang w:val="en-US" w:eastAsia="en-US"/>
        </w:rPr>
        <w:t>in its</w:t>
      </w:r>
      <w:r w:rsidR="009E4F6C" w:rsidRPr="009D52FD">
        <w:rPr>
          <w:color w:val="000000"/>
          <w:sz w:val="20"/>
          <w:szCs w:val="20"/>
          <w:lang w:val="en-US" w:eastAsia="en-US"/>
        </w:rPr>
        <w:t xml:space="preserve"> </w:t>
      </w:r>
      <w:r w:rsidRPr="009D52FD">
        <w:rPr>
          <w:color w:val="000000"/>
          <w:sz w:val="20"/>
          <w:szCs w:val="20"/>
          <w:lang w:val="en-US" w:eastAsia="en-US"/>
        </w:rPr>
        <w:t>Article</w:t>
      </w:r>
      <w:r w:rsidR="009E4F6C" w:rsidRPr="009D52FD">
        <w:rPr>
          <w:color w:val="000000"/>
          <w:sz w:val="20"/>
          <w:szCs w:val="20"/>
          <w:lang w:val="en-US" w:eastAsia="en-US"/>
        </w:rPr>
        <w:t xml:space="preserve"> 7 </w:t>
      </w:r>
      <w:r w:rsidR="00525314" w:rsidRPr="009D52FD">
        <w:rPr>
          <w:color w:val="000000"/>
          <w:sz w:val="20"/>
          <w:szCs w:val="20"/>
          <w:lang w:val="en-US" w:eastAsia="en-US"/>
        </w:rPr>
        <w:t>establishes State obligations to prevent, punish and eradicate violence against women, which specif</w:t>
      </w:r>
      <w:r w:rsidR="00EB5881" w:rsidRPr="009D52FD">
        <w:rPr>
          <w:color w:val="000000"/>
          <w:sz w:val="20"/>
          <w:szCs w:val="20"/>
          <w:lang w:val="en-US" w:eastAsia="en-US"/>
        </w:rPr>
        <w:t>y</w:t>
      </w:r>
      <w:r w:rsidR="00525314" w:rsidRPr="009D52FD">
        <w:rPr>
          <w:color w:val="000000"/>
          <w:sz w:val="20"/>
          <w:szCs w:val="20"/>
          <w:lang w:val="en-US" w:eastAsia="en-US"/>
        </w:rPr>
        <w:t xml:space="preserve"> and supplement the obligations that the State has in relation to compliance with the rights recognized in the American Convention, such as those established in </w:t>
      </w:r>
      <w:r w:rsidRPr="009D52FD">
        <w:rPr>
          <w:color w:val="000000"/>
          <w:sz w:val="20"/>
          <w:szCs w:val="20"/>
          <w:lang w:val="en-US" w:eastAsia="en-US"/>
        </w:rPr>
        <w:t>Articles</w:t>
      </w:r>
      <w:r w:rsidR="009E4F6C" w:rsidRPr="009D52FD">
        <w:rPr>
          <w:color w:val="000000"/>
          <w:sz w:val="20"/>
          <w:szCs w:val="20"/>
          <w:lang w:val="en-US" w:eastAsia="en-US"/>
        </w:rPr>
        <w:t xml:space="preserve"> 4</w:t>
      </w:r>
      <w:r w:rsidRPr="009D52FD">
        <w:rPr>
          <w:color w:val="000000"/>
          <w:sz w:val="20"/>
          <w:szCs w:val="20"/>
          <w:lang w:val="en-US" w:eastAsia="en-US"/>
        </w:rPr>
        <w:t xml:space="preserve"> and </w:t>
      </w:r>
      <w:r w:rsidR="009E4F6C" w:rsidRPr="009D52FD">
        <w:rPr>
          <w:color w:val="000000"/>
          <w:sz w:val="20"/>
          <w:szCs w:val="20"/>
          <w:lang w:val="en-US" w:eastAsia="en-US"/>
        </w:rPr>
        <w:t>5</w:t>
      </w:r>
      <w:r w:rsidR="00525314" w:rsidRPr="009D52FD">
        <w:rPr>
          <w:color w:val="000000"/>
          <w:sz w:val="20"/>
          <w:szCs w:val="20"/>
          <w:lang w:val="en-US" w:eastAsia="en-US"/>
        </w:rPr>
        <w:t>.</w:t>
      </w:r>
      <w:r w:rsidR="009E4F6C" w:rsidRPr="009D52FD">
        <w:rPr>
          <w:color w:val="000000"/>
          <w:sz w:val="20"/>
          <w:szCs w:val="20"/>
          <w:vertAlign w:val="superscript"/>
          <w:lang w:val="en-US" w:eastAsia="en-US"/>
        </w:rPr>
        <w:footnoteReference w:id="215"/>
      </w:r>
      <w:r w:rsidR="00525314" w:rsidRPr="009D52FD">
        <w:rPr>
          <w:color w:val="000000"/>
          <w:sz w:val="20"/>
          <w:szCs w:val="20"/>
          <w:lang w:val="en-US" w:eastAsia="en-US"/>
        </w:rPr>
        <w:t xml:space="preserve"> In this regard, the Court has established that States must adopt comprehensive measures to comply with due diligence in cases of violence against women. In particular, </w:t>
      </w:r>
      <w:r w:rsidR="00EB5881" w:rsidRPr="009D52FD">
        <w:rPr>
          <w:color w:val="000000"/>
          <w:sz w:val="20"/>
          <w:szCs w:val="20"/>
          <w:lang w:val="en-US" w:eastAsia="en-US"/>
        </w:rPr>
        <w:t>States must have</w:t>
      </w:r>
      <w:r w:rsidR="00525314" w:rsidRPr="009D52FD">
        <w:rPr>
          <w:color w:val="000000"/>
          <w:sz w:val="20"/>
          <w:szCs w:val="20"/>
          <w:lang w:val="en-US" w:eastAsia="en-US"/>
        </w:rPr>
        <w:t xml:space="preserve"> an adequate legal </w:t>
      </w:r>
      <w:r w:rsidR="00EB5881" w:rsidRPr="009D52FD">
        <w:rPr>
          <w:color w:val="000000"/>
          <w:sz w:val="20"/>
          <w:szCs w:val="20"/>
          <w:lang w:val="en-US" w:eastAsia="en-US"/>
        </w:rPr>
        <w:t xml:space="preserve">protection </w:t>
      </w:r>
      <w:r w:rsidR="00525314" w:rsidRPr="009D52FD">
        <w:rPr>
          <w:color w:val="000000"/>
          <w:sz w:val="20"/>
          <w:szCs w:val="20"/>
          <w:lang w:val="en-US" w:eastAsia="en-US"/>
        </w:rPr>
        <w:t>framework</w:t>
      </w:r>
      <w:r w:rsidR="00EB5881" w:rsidRPr="009D52FD">
        <w:rPr>
          <w:color w:val="000000"/>
          <w:sz w:val="20"/>
          <w:szCs w:val="20"/>
          <w:lang w:val="en-US" w:eastAsia="en-US"/>
        </w:rPr>
        <w:t xml:space="preserve"> that</w:t>
      </w:r>
      <w:r w:rsidR="00525314" w:rsidRPr="009D52FD">
        <w:rPr>
          <w:color w:val="000000"/>
          <w:sz w:val="20"/>
          <w:szCs w:val="20"/>
          <w:lang w:val="en-US" w:eastAsia="en-US"/>
        </w:rPr>
        <w:t xml:space="preserve"> is enforced effectively, and prevention policies and practices that allow it to act effectively when reports are received.</w:t>
      </w:r>
      <w:r w:rsidR="009E4F6C" w:rsidRPr="009D52FD">
        <w:rPr>
          <w:color w:val="000000"/>
          <w:sz w:val="20"/>
          <w:szCs w:val="20"/>
          <w:vertAlign w:val="superscript"/>
          <w:lang w:val="en-US" w:eastAsia="en-US"/>
        </w:rPr>
        <w:footnoteReference w:id="216"/>
      </w:r>
      <w:r w:rsidR="00525314" w:rsidRPr="009D52FD">
        <w:rPr>
          <w:color w:val="000000"/>
          <w:sz w:val="20"/>
          <w:szCs w:val="20"/>
          <w:lang w:val="en-US" w:eastAsia="en-US"/>
        </w:rPr>
        <w:t xml:space="preserve"> The prevention strategy must be comprehensive; that is, it must prevent the risk factors and, also, reinforce the </w:t>
      </w:r>
      <w:r w:rsidR="00EB5881" w:rsidRPr="009D52FD">
        <w:rPr>
          <w:color w:val="000000"/>
          <w:sz w:val="20"/>
          <w:szCs w:val="20"/>
          <w:lang w:val="en-US" w:eastAsia="en-US"/>
        </w:rPr>
        <w:t xml:space="preserve">relevant </w:t>
      </w:r>
      <w:r w:rsidR="00525314" w:rsidRPr="009D52FD">
        <w:rPr>
          <w:color w:val="000000"/>
          <w:sz w:val="20"/>
          <w:szCs w:val="20"/>
          <w:lang w:val="en-US" w:eastAsia="en-US"/>
        </w:rPr>
        <w:t>institutions so that they can provide an effective response to cases of violence against women. In addition, States must adopt preventive measures in specific cases in which it is evident that certain women and girls may be victims of violence.</w:t>
      </w:r>
      <w:r w:rsidR="009E4F6C" w:rsidRPr="009D52FD">
        <w:rPr>
          <w:color w:val="000000"/>
          <w:sz w:val="20"/>
          <w:szCs w:val="20"/>
          <w:vertAlign w:val="superscript"/>
          <w:lang w:val="en-US" w:eastAsia="en-US"/>
        </w:rPr>
        <w:footnoteReference w:id="217"/>
      </w:r>
      <w:r w:rsidR="00525314" w:rsidRPr="009D52FD">
        <w:rPr>
          <w:color w:val="000000"/>
          <w:sz w:val="20"/>
          <w:szCs w:val="20"/>
          <w:lang w:val="en-US" w:eastAsia="en-US"/>
        </w:rPr>
        <w:t xml:space="preserve"> The Court has also indicated that States have the obligation to enact laws or implement the necessary measures, pursuant to </w:t>
      </w:r>
      <w:r w:rsidRPr="009D52FD">
        <w:rPr>
          <w:rFonts w:eastAsia="Batang"/>
          <w:sz w:val="20"/>
          <w:szCs w:val="20"/>
          <w:lang w:val="en-US" w:eastAsia="es-MX"/>
        </w:rPr>
        <w:t>Article</w:t>
      </w:r>
      <w:r w:rsidR="005E7446" w:rsidRPr="009D52FD">
        <w:rPr>
          <w:rFonts w:eastAsia="Batang"/>
          <w:sz w:val="20"/>
          <w:szCs w:val="20"/>
          <w:lang w:val="en-US" w:eastAsia="es-MX"/>
        </w:rPr>
        <w:t xml:space="preserve"> 2</w:t>
      </w:r>
      <w:r w:rsidRPr="009D52FD">
        <w:rPr>
          <w:rFonts w:eastAsia="Batang"/>
          <w:sz w:val="20"/>
          <w:szCs w:val="20"/>
          <w:lang w:val="en-US" w:eastAsia="es-MX"/>
        </w:rPr>
        <w:t xml:space="preserve"> of the American Convention and Article</w:t>
      </w:r>
      <w:r w:rsidR="005E7446" w:rsidRPr="009D52FD">
        <w:rPr>
          <w:rFonts w:eastAsia="Batang"/>
          <w:sz w:val="20"/>
          <w:szCs w:val="20"/>
          <w:lang w:val="en-US" w:eastAsia="es-MX"/>
        </w:rPr>
        <w:t xml:space="preserve"> 7</w:t>
      </w:r>
      <w:r w:rsidR="005935CA" w:rsidRPr="009D52FD">
        <w:rPr>
          <w:rFonts w:eastAsia="Batang"/>
          <w:sz w:val="20"/>
          <w:szCs w:val="20"/>
          <w:lang w:val="en-US" w:eastAsia="es-MX"/>
        </w:rPr>
        <w:t>(</w:t>
      </w:r>
      <w:r w:rsidR="005E7446" w:rsidRPr="009D52FD">
        <w:rPr>
          <w:rFonts w:eastAsia="Batang"/>
          <w:sz w:val="20"/>
          <w:szCs w:val="20"/>
          <w:lang w:val="en-US" w:eastAsia="es-MX"/>
        </w:rPr>
        <w:t>c</w:t>
      </w:r>
      <w:r w:rsidR="007616A5" w:rsidRPr="009D52FD">
        <w:rPr>
          <w:rFonts w:eastAsia="Batang"/>
          <w:sz w:val="20"/>
          <w:szCs w:val="20"/>
          <w:lang w:val="en-US" w:eastAsia="es-MX"/>
        </w:rPr>
        <w:t>)</w:t>
      </w:r>
      <w:r w:rsidRPr="009D52FD">
        <w:rPr>
          <w:rFonts w:eastAsia="Batang"/>
          <w:sz w:val="20"/>
          <w:szCs w:val="20"/>
          <w:lang w:val="en-US" w:eastAsia="es-MX"/>
        </w:rPr>
        <w:t xml:space="preserve"> of the Convention</w:t>
      </w:r>
      <w:r w:rsidR="005E7446" w:rsidRPr="009D52FD">
        <w:rPr>
          <w:rFonts w:eastAsia="Batang"/>
          <w:sz w:val="20"/>
          <w:szCs w:val="20"/>
          <w:lang w:val="en-US" w:eastAsia="es-MX"/>
        </w:rPr>
        <w:t xml:space="preserve"> </w:t>
      </w:r>
      <w:r w:rsidR="00483040" w:rsidRPr="009D52FD">
        <w:rPr>
          <w:rFonts w:eastAsia="Batang"/>
          <w:sz w:val="20"/>
          <w:szCs w:val="20"/>
          <w:lang w:val="en-US" w:eastAsia="es-MX"/>
        </w:rPr>
        <w:t>of Belém</w:t>
      </w:r>
      <w:r w:rsidR="005E7446" w:rsidRPr="009D52FD">
        <w:rPr>
          <w:rFonts w:eastAsia="Batang"/>
          <w:sz w:val="20"/>
          <w:szCs w:val="20"/>
          <w:lang w:val="en-US" w:eastAsia="es-MX"/>
        </w:rPr>
        <w:t xml:space="preserve"> do Pará, </w:t>
      </w:r>
      <w:r w:rsidR="005935CA" w:rsidRPr="009D52FD">
        <w:rPr>
          <w:rFonts w:eastAsia="Batang"/>
          <w:sz w:val="20"/>
          <w:szCs w:val="20"/>
          <w:lang w:val="en-US" w:eastAsia="es-MX"/>
        </w:rPr>
        <w:t>that allow the authorities to conduct an investigation with due diligence in cases of violence against women.</w:t>
      </w:r>
      <w:r w:rsidR="005E7446" w:rsidRPr="009D52FD">
        <w:rPr>
          <w:rFonts w:eastAsia="Batang"/>
          <w:sz w:val="20"/>
          <w:szCs w:val="20"/>
          <w:vertAlign w:val="superscript"/>
          <w:lang w:val="en-US" w:eastAsia="es-MX"/>
        </w:rPr>
        <w:footnoteReference w:id="218"/>
      </w:r>
      <w:r w:rsidR="005935CA" w:rsidRPr="009D52FD">
        <w:rPr>
          <w:rFonts w:eastAsia="Batang"/>
          <w:sz w:val="20"/>
          <w:szCs w:val="20"/>
          <w:lang w:val="en-US" w:eastAsia="es-MX"/>
        </w:rPr>
        <w:t xml:space="preserve"> All this should take into account that, in cases of </w:t>
      </w:r>
      <w:r w:rsidR="005935CA" w:rsidRPr="009D52FD">
        <w:rPr>
          <w:color w:val="000000"/>
          <w:sz w:val="20"/>
          <w:szCs w:val="20"/>
          <w:lang w:val="en-US" w:eastAsia="en-US"/>
        </w:rPr>
        <w:t>violence against women</w:t>
      </w:r>
      <w:r w:rsidR="009E4F6C" w:rsidRPr="009D52FD">
        <w:rPr>
          <w:color w:val="000000"/>
          <w:sz w:val="20"/>
          <w:szCs w:val="20"/>
          <w:lang w:val="en-US" w:eastAsia="en-US"/>
        </w:rPr>
        <w:t xml:space="preserve">, </w:t>
      </w:r>
      <w:r w:rsidR="005935CA" w:rsidRPr="009D52FD">
        <w:rPr>
          <w:color w:val="000000"/>
          <w:sz w:val="20"/>
          <w:szCs w:val="20"/>
          <w:lang w:val="en-US" w:eastAsia="en-US"/>
        </w:rPr>
        <w:t>States also have the general obligations contained in</w:t>
      </w:r>
      <w:r w:rsidR="009E4F6C" w:rsidRPr="009D52FD">
        <w:rPr>
          <w:color w:val="000000"/>
          <w:sz w:val="20"/>
          <w:szCs w:val="20"/>
          <w:lang w:val="en-US" w:eastAsia="en-US"/>
        </w:rPr>
        <w:t xml:space="preserve"> </w:t>
      </w:r>
      <w:r w:rsidRPr="009D52FD">
        <w:rPr>
          <w:color w:val="000000"/>
          <w:sz w:val="20"/>
          <w:szCs w:val="20"/>
          <w:lang w:val="en-US" w:eastAsia="en-US"/>
        </w:rPr>
        <w:t>the American Convention</w:t>
      </w:r>
      <w:r w:rsidR="005935CA" w:rsidRPr="009D52FD">
        <w:rPr>
          <w:color w:val="000000"/>
          <w:sz w:val="20"/>
          <w:szCs w:val="20"/>
          <w:lang w:val="en-US" w:eastAsia="en-US"/>
        </w:rPr>
        <w:t xml:space="preserve"> and specific obligations based on</w:t>
      </w:r>
      <w:r w:rsidRPr="009D52FD">
        <w:rPr>
          <w:color w:val="000000"/>
          <w:sz w:val="20"/>
          <w:szCs w:val="20"/>
          <w:lang w:val="en-US" w:eastAsia="en-US"/>
        </w:rPr>
        <w:t xml:space="preserve"> the Convention</w:t>
      </w:r>
      <w:r w:rsidR="009E4F6C" w:rsidRPr="009D52FD">
        <w:rPr>
          <w:color w:val="000000"/>
          <w:sz w:val="20"/>
          <w:szCs w:val="20"/>
          <w:lang w:val="en-US" w:eastAsia="en-US"/>
        </w:rPr>
        <w:t xml:space="preserve"> </w:t>
      </w:r>
      <w:r w:rsidR="00483040" w:rsidRPr="009D52FD">
        <w:rPr>
          <w:color w:val="000000"/>
          <w:sz w:val="20"/>
          <w:szCs w:val="20"/>
          <w:lang w:val="en-US" w:eastAsia="en-US"/>
        </w:rPr>
        <w:t>of Belém</w:t>
      </w:r>
      <w:r w:rsidR="009E4F6C" w:rsidRPr="009D52FD">
        <w:rPr>
          <w:color w:val="000000"/>
          <w:sz w:val="20"/>
          <w:szCs w:val="20"/>
          <w:lang w:val="en-US" w:eastAsia="en-US"/>
        </w:rPr>
        <w:t xml:space="preserve"> do Pará,</w:t>
      </w:r>
      <w:r w:rsidR="005935CA" w:rsidRPr="009D52FD">
        <w:rPr>
          <w:color w:val="000000"/>
          <w:sz w:val="20"/>
          <w:szCs w:val="20"/>
          <w:lang w:val="en-US" w:eastAsia="en-US"/>
        </w:rPr>
        <w:t xml:space="preserve"> which extend to all the spheres traditionally considered private or in which the State does not intervene.</w:t>
      </w:r>
      <w:r w:rsidR="009E4F6C" w:rsidRPr="009D52FD">
        <w:rPr>
          <w:color w:val="000000"/>
          <w:sz w:val="20"/>
          <w:szCs w:val="20"/>
          <w:vertAlign w:val="superscript"/>
          <w:lang w:val="en-US" w:eastAsia="en-US"/>
        </w:rPr>
        <w:footnoteReference w:id="219"/>
      </w:r>
      <w:r w:rsidR="005E7446" w:rsidRPr="009D52FD">
        <w:rPr>
          <w:color w:val="000000"/>
          <w:sz w:val="20"/>
          <w:szCs w:val="20"/>
          <w:lang w:val="en-US" w:eastAsia="en-US"/>
        </w:rPr>
        <w:t xml:space="preserve"> </w:t>
      </w:r>
      <w:r w:rsidR="005935CA" w:rsidRPr="009D52FD">
        <w:rPr>
          <w:color w:val="000000"/>
          <w:sz w:val="20"/>
          <w:szCs w:val="20"/>
          <w:lang w:val="en-US" w:eastAsia="en-US"/>
        </w:rPr>
        <w:t>In this regard, the</w:t>
      </w:r>
      <w:r w:rsidRPr="009D52FD">
        <w:rPr>
          <w:color w:val="000000"/>
          <w:sz w:val="20"/>
          <w:szCs w:val="20"/>
          <w:lang w:val="en-US" w:eastAsia="en-US"/>
        </w:rPr>
        <w:t xml:space="preserve"> Court</w:t>
      </w:r>
      <w:r w:rsidR="005E7446" w:rsidRPr="009D52FD">
        <w:rPr>
          <w:color w:val="000000"/>
          <w:sz w:val="20"/>
          <w:szCs w:val="20"/>
          <w:lang w:val="en-US" w:eastAsia="en-US"/>
        </w:rPr>
        <w:t xml:space="preserve"> not</w:t>
      </w:r>
      <w:r w:rsidR="005935CA" w:rsidRPr="009D52FD">
        <w:rPr>
          <w:color w:val="000000"/>
          <w:sz w:val="20"/>
          <w:szCs w:val="20"/>
          <w:lang w:val="en-US" w:eastAsia="en-US"/>
        </w:rPr>
        <w:t xml:space="preserve">es that, at the time of the facts, </w:t>
      </w:r>
      <w:r w:rsidR="005E7446" w:rsidRPr="009D52FD">
        <w:rPr>
          <w:color w:val="000000"/>
          <w:sz w:val="20"/>
          <w:szCs w:val="20"/>
          <w:lang w:val="en-US" w:eastAsia="en-US"/>
        </w:rPr>
        <w:t xml:space="preserve">Venezuela </w:t>
      </w:r>
      <w:r w:rsidR="005935CA" w:rsidRPr="009D52FD">
        <w:rPr>
          <w:color w:val="000000"/>
          <w:sz w:val="20"/>
          <w:szCs w:val="20"/>
          <w:lang w:val="en-US" w:eastAsia="en-US"/>
        </w:rPr>
        <w:t xml:space="preserve">was a party to </w:t>
      </w:r>
      <w:r w:rsidRPr="009D52FD">
        <w:rPr>
          <w:color w:val="000000"/>
          <w:sz w:val="20"/>
          <w:szCs w:val="20"/>
          <w:lang w:val="en-US" w:eastAsia="en-US"/>
        </w:rPr>
        <w:t>the Convention</w:t>
      </w:r>
      <w:r w:rsidR="005E7446" w:rsidRPr="009D52FD">
        <w:rPr>
          <w:color w:val="000000"/>
          <w:sz w:val="20"/>
          <w:szCs w:val="20"/>
          <w:lang w:val="en-US" w:eastAsia="en-US"/>
        </w:rPr>
        <w:t xml:space="preserve"> </w:t>
      </w:r>
      <w:r w:rsidR="00483040" w:rsidRPr="009D52FD">
        <w:rPr>
          <w:color w:val="000000"/>
          <w:sz w:val="20"/>
          <w:szCs w:val="20"/>
          <w:lang w:val="en-US" w:eastAsia="en-US"/>
        </w:rPr>
        <w:t>of Belém</w:t>
      </w:r>
      <w:r w:rsidR="005E7446" w:rsidRPr="009D52FD">
        <w:rPr>
          <w:color w:val="000000"/>
          <w:sz w:val="20"/>
          <w:szCs w:val="20"/>
          <w:lang w:val="en-US" w:eastAsia="en-US"/>
        </w:rPr>
        <w:t xml:space="preserve"> do Pará</w:t>
      </w:r>
      <w:r w:rsidRPr="009D52FD">
        <w:rPr>
          <w:color w:val="000000"/>
          <w:sz w:val="20"/>
          <w:szCs w:val="20"/>
          <w:lang w:val="en-US" w:eastAsia="en-US"/>
        </w:rPr>
        <w:t xml:space="preserve"> and </w:t>
      </w:r>
      <w:r w:rsidR="005935CA" w:rsidRPr="009D52FD">
        <w:rPr>
          <w:color w:val="000000"/>
          <w:sz w:val="20"/>
          <w:szCs w:val="20"/>
          <w:lang w:val="en-US" w:eastAsia="en-US"/>
        </w:rPr>
        <w:t>that</w:t>
      </w:r>
      <w:r w:rsidR="005E7446" w:rsidRPr="009D52FD">
        <w:rPr>
          <w:color w:val="000000"/>
          <w:sz w:val="20"/>
          <w:szCs w:val="20"/>
          <w:lang w:val="en-US" w:eastAsia="en-US"/>
        </w:rPr>
        <w:t xml:space="preserve"> </w:t>
      </w:r>
      <w:r w:rsidR="00AE4C9E" w:rsidRPr="009D52FD">
        <w:rPr>
          <w:color w:val="000000"/>
          <w:sz w:val="20"/>
          <w:szCs w:val="20"/>
          <w:lang w:val="en-US" w:eastAsia="en-US"/>
        </w:rPr>
        <w:t xml:space="preserve">the </w:t>
      </w:r>
      <w:r w:rsidR="000874BC" w:rsidRPr="009D52FD">
        <w:rPr>
          <w:color w:val="000000"/>
          <w:sz w:val="20"/>
          <w:szCs w:val="20"/>
          <w:lang w:val="en-US" w:eastAsia="en-US"/>
        </w:rPr>
        <w:t>Law on Violence against Women and the Family</w:t>
      </w:r>
      <w:r w:rsidR="005E7446" w:rsidRPr="009D52FD">
        <w:rPr>
          <w:color w:val="000000"/>
          <w:sz w:val="20"/>
          <w:szCs w:val="20"/>
          <w:lang w:val="en-US" w:eastAsia="en-US"/>
        </w:rPr>
        <w:t xml:space="preserve"> </w:t>
      </w:r>
      <w:r w:rsidR="005935CA" w:rsidRPr="009D52FD">
        <w:rPr>
          <w:color w:val="000000"/>
          <w:sz w:val="20"/>
          <w:szCs w:val="20"/>
          <w:lang w:val="en-US" w:eastAsia="en-US"/>
        </w:rPr>
        <w:t>was a first effort to incorporate the rights recognized in that international instrument at the domestic level, even though the law was more restrictive because it only covered conducts of intrafamily violence.</w:t>
      </w:r>
    </w:p>
    <w:p w14:paraId="3D3710BF" w14:textId="45386449" w:rsidR="009E4F6C" w:rsidRPr="009D52FD" w:rsidRDefault="009E4F6C" w:rsidP="009E4F6C">
      <w:pPr>
        <w:widowControl/>
        <w:adjustRightInd/>
        <w:spacing w:line="240" w:lineRule="auto"/>
        <w:jc w:val="left"/>
        <w:textAlignment w:val="auto"/>
        <w:rPr>
          <w:color w:val="000000"/>
          <w:sz w:val="20"/>
          <w:szCs w:val="20"/>
          <w:lang w:val="en-US" w:eastAsia="en-US"/>
        </w:rPr>
      </w:pPr>
    </w:p>
    <w:p w14:paraId="048A555E" w14:textId="64D5EE92" w:rsidR="009E4F6C" w:rsidRPr="009D52FD" w:rsidRDefault="005935CA" w:rsidP="00672A0A">
      <w:pPr>
        <w:numPr>
          <w:ilvl w:val="0"/>
          <w:numId w:val="1"/>
        </w:numPr>
        <w:tabs>
          <w:tab w:val="left" w:pos="567"/>
        </w:tabs>
        <w:spacing w:line="240" w:lineRule="auto"/>
        <w:ind w:left="0" w:firstLine="0"/>
        <w:rPr>
          <w:b/>
          <w:sz w:val="20"/>
          <w:szCs w:val="20"/>
          <w:lang w:val="en-US"/>
        </w:rPr>
      </w:pPr>
      <w:r w:rsidRPr="009D52FD">
        <w:rPr>
          <w:bCs/>
          <w:sz w:val="20"/>
          <w:szCs w:val="20"/>
          <w:lang w:val="en-US"/>
        </w:rPr>
        <w:t xml:space="preserve">The obligation of due diligence to prevent cases of violence against women has been developed in instruments other than </w:t>
      </w:r>
      <w:r w:rsidR="003630BB" w:rsidRPr="009D52FD">
        <w:rPr>
          <w:bCs/>
          <w:sz w:val="20"/>
          <w:szCs w:val="20"/>
          <w:lang w:val="en-US"/>
        </w:rPr>
        <w:t>the Convention</w:t>
      </w:r>
      <w:r w:rsidR="009E4F6C" w:rsidRPr="009D52FD">
        <w:rPr>
          <w:bCs/>
          <w:sz w:val="20"/>
          <w:szCs w:val="20"/>
          <w:lang w:val="en-US"/>
        </w:rPr>
        <w:t xml:space="preserve"> </w:t>
      </w:r>
      <w:r w:rsidR="00483040" w:rsidRPr="009D52FD">
        <w:rPr>
          <w:bCs/>
          <w:sz w:val="20"/>
          <w:szCs w:val="20"/>
          <w:lang w:val="en-US"/>
        </w:rPr>
        <w:t>of Belém</w:t>
      </w:r>
      <w:r w:rsidR="009E4F6C" w:rsidRPr="009D52FD">
        <w:rPr>
          <w:bCs/>
          <w:sz w:val="20"/>
          <w:szCs w:val="20"/>
          <w:lang w:val="en-US"/>
        </w:rPr>
        <w:t xml:space="preserve"> do Pará </w:t>
      </w:r>
      <w:r w:rsidRPr="009D52FD">
        <w:rPr>
          <w:bCs/>
          <w:sz w:val="20"/>
          <w:szCs w:val="20"/>
          <w:lang w:val="en-US"/>
        </w:rPr>
        <w:t>since before</w:t>
      </w:r>
      <w:r w:rsidR="009E4F6C" w:rsidRPr="009D52FD">
        <w:rPr>
          <w:bCs/>
          <w:sz w:val="20"/>
          <w:szCs w:val="20"/>
          <w:lang w:val="en-US"/>
        </w:rPr>
        <w:t xml:space="preserve"> 2001</w:t>
      </w:r>
      <w:r w:rsidRPr="009D52FD">
        <w:rPr>
          <w:bCs/>
          <w:sz w:val="20"/>
          <w:szCs w:val="20"/>
          <w:lang w:val="en-US"/>
        </w:rPr>
        <w:t>.</w:t>
      </w:r>
      <w:r w:rsidR="009E4F6C" w:rsidRPr="009D52FD">
        <w:rPr>
          <w:sz w:val="20"/>
          <w:vertAlign w:val="superscript"/>
          <w:lang w:val="en-US"/>
        </w:rPr>
        <w:footnoteReference w:id="220"/>
      </w:r>
      <w:bookmarkStart w:id="79" w:name="_Ref117395863"/>
      <w:r w:rsidR="009E4F6C" w:rsidRPr="009D52FD">
        <w:rPr>
          <w:bCs/>
          <w:sz w:val="20"/>
          <w:szCs w:val="20"/>
          <w:lang w:val="en-US"/>
        </w:rPr>
        <w:t xml:space="preserve"> </w:t>
      </w:r>
      <w:r w:rsidR="0014603B" w:rsidRPr="009D52FD">
        <w:rPr>
          <w:bCs/>
          <w:sz w:val="20"/>
          <w:szCs w:val="20"/>
          <w:lang w:val="en-US"/>
        </w:rPr>
        <w:t xml:space="preserve">The </w:t>
      </w:r>
      <w:r w:rsidR="0014603B" w:rsidRPr="009D52FD">
        <w:rPr>
          <w:bCs/>
          <w:sz w:val="20"/>
          <w:szCs w:val="20"/>
          <w:lang w:val="en-US"/>
        </w:rPr>
        <w:lastRenderedPageBreak/>
        <w:t xml:space="preserve">Court has also referred to the guidelines developed by the United Nations Special Rapporteur </w:t>
      </w:r>
      <w:r w:rsidR="00672A0A" w:rsidRPr="009D52FD">
        <w:rPr>
          <w:bCs/>
          <w:sz w:val="20"/>
          <w:szCs w:val="20"/>
          <w:lang w:val="en-US"/>
        </w:rPr>
        <w:t xml:space="preserve">on </w:t>
      </w:r>
      <w:r w:rsidRPr="009D52FD">
        <w:rPr>
          <w:rFonts w:cs="TTE16D1F90t00"/>
          <w:sz w:val="20"/>
          <w:szCs w:val="20"/>
          <w:lang w:val="en-US" w:bidi="en-US"/>
        </w:rPr>
        <w:t>violence against women</w:t>
      </w:r>
      <w:r w:rsidR="009E4F6C" w:rsidRPr="009D52FD">
        <w:rPr>
          <w:rFonts w:cs="TTE16D1F90t00"/>
          <w:sz w:val="20"/>
          <w:szCs w:val="20"/>
          <w:lang w:val="en-US" w:bidi="en-US"/>
        </w:rPr>
        <w:t xml:space="preserve"> </w:t>
      </w:r>
      <w:r w:rsidR="00672A0A" w:rsidRPr="009D52FD">
        <w:rPr>
          <w:rFonts w:cs="TTE16D1F90t00"/>
          <w:sz w:val="20"/>
          <w:szCs w:val="20"/>
          <w:lang w:val="en-US" w:bidi="en-US"/>
        </w:rPr>
        <w:t xml:space="preserve">which list a series of measures </w:t>
      </w:r>
      <w:r w:rsidR="00087A8C" w:rsidRPr="009D52FD">
        <w:rPr>
          <w:rFonts w:cs="TTE16D1F90t00"/>
          <w:sz w:val="20"/>
          <w:szCs w:val="20"/>
          <w:lang w:val="en-US" w:bidi="en-US"/>
        </w:rPr>
        <w:t>to be taken by States</w:t>
      </w:r>
      <w:r w:rsidR="00672A0A" w:rsidRPr="009D52FD">
        <w:rPr>
          <w:rFonts w:cs="TTE16D1F90t00"/>
          <w:sz w:val="20"/>
          <w:szCs w:val="20"/>
          <w:lang w:val="en-US" w:bidi="en-US"/>
        </w:rPr>
        <w:t xml:space="preserve"> to comply with the</w:t>
      </w:r>
      <w:r w:rsidR="00087A8C" w:rsidRPr="009D52FD">
        <w:rPr>
          <w:rFonts w:cs="TTE16D1F90t00"/>
          <w:sz w:val="20"/>
          <w:szCs w:val="20"/>
          <w:lang w:val="en-US" w:bidi="en-US"/>
        </w:rPr>
        <w:t>ir</w:t>
      </w:r>
      <w:r w:rsidR="00672A0A" w:rsidRPr="009D52FD">
        <w:rPr>
          <w:rFonts w:cs="TTE16D1F90t00"/>
          <w:sz w:val="20"/>
          <w:szCs w:val="20"/>
          <w:lang w:val="en-US" w:bidi="en-US"/>
        </w:rPr>
        <w:t xml:space="preserve"> international obligations of due diligence in relation to prevention, namely: ratification of the international human rights instruments; constitutional guarantees of equality for women; national legislation and/or administrative sanctions providing adequate redress for women victims of violence; executive policies or plans of action that attempt to deal with the question of </w:t>
      </w:r>
      <w:r w:rsidR="00672A0A" w:rsidRPr="009D52FD">
        <w:rPr>
          <w:rFonts w:cs="TimesNewRoman"/>
          <w:sz w:val="20"/>
          <w:szCs w:val="20"/>
          <w:lang w:val="en-US"/>
        </w:rPr>
        <w:t>violence against women; sensitivity of the criminal justice system and of the police to gender-related matters; accessibility and availability of support services; existence of measures to raise awareness and modify practices that discriminate against women in the field of education and the media, and collection of data and statistics on</w:t>
      </w:r>
      <w:r w:rsidR="00672A0A" w:rsidRPr="009D52FD">
        <w:rPr>
          <w:b/>
          <w:sz w:val="20"/>
          <w:szCs w:val="20"/>
          <w:lang w:val="en-US"/>
        </w:rPr>
        <w:t xml:space="preserve"> </w:t>
      </w:r>
      <w:r w:rsidRPr="009D52FD">
        <w:rPr>
          <w:rFonts w:cs="TimesNewRoman"/>
          <w:sz w:val="20"/>
          <w:szCs w:val="20"/>
          <w:lang w:val="en-US"/>
        </w:rPr>
        <w:t>violence against women</w:t>
      </w:r>
      <w:r w:rsidR="00672A0A" w:rsidRPr="009D52FD">
        <w:rPr>
          <w:rFonts w:cs="TimesNewRoman"/>
          <w:sz w:val="20"/>
          <w:szCs w:val="20"/>
          <w:lang w:val="en-US"/>
        </w:rPr>
        <w:t>.</w:t>
      </w:r>
      <w:r w:rsidR="009E4F6C" w:rsidRPr="009D52FD">
        <w:rPr>
          <w:rFonts w:cs="TimesNewRoman"/>
          <w:sz w:val="20"/>
          <w:szCs w:val="20"/>
          <w:vertAlign w:val="superscript"/>
          <w:lang w:val="en-US"/>
        </w:rPr>
        <w:footnoteReference w:id="221"/>
      </w:r>
      <w:bookmarkEnd w:id="79"/>
    </w:p>
    <w:p w14:paraId="49F9B2CB" w14:textId="77777777" w:rsidR="009E4F6C" w:rsidRPr="009D52FD" w:rsidRDefault="009E4F6C" w:rsidP="009E4F6C">
      <w:pPr>
        <w:widowControl/>
        <w:adjustRightInd/>
        <w:spacing w:line="240" w:lineRule="auto"/>
        <w:jc w:val="left"/>
        <w:textAlignment w:val="auto"/>
        <w:rPr>
          <w:color w:val="000000"/>
          <w:sz w:val="20"/>
          <w:szCs w:val="20"/>
          <w:lang w:val="en-US" w:eastAsia="en-US"/>
        </w:rPr>
      </w:pPr>
    </w:p>
    <w:p w14:paraId="0B4CDFB4" w14:textId="2C4B1B7E" w:rsidR="006F52E5" w:rsidRPr="009D52FD" w:rsidRDefault="00672A0A" w:rsidP="00672A0A">
      <w:pPr>
        <w:numPr>
          <w:ilvl w:val="0"/>
          <w:numId w:val="1"/>
        </w:numPr>
        <w:tabs>
          <w:tab w:val="left" w:pos="567"/>
        </w:tabs>
        <w:spacing w:line="240" w:lineRule="auto"/>
        <w:ind w:left="0" w:firstLine="0"/>
        <w:rPr>
          <w:color w:val="000000"/>
          <w:sz w:val="20"/>
          <w:szCs w:val="20"/>
          <w:lang w:val="en-US" w:eastAsia="en-US"/>
        </w:rPr>
      </w:pPr>
      <w:r w:rsidRPr="009D52FD">
        <w:rPr>
          <w:rFonts w:cs="TTE16D1F90t00"/>
          <w:sz w:val="20"/>
          <w:szCs w:val="20"/>
          <w:lang w:val="en-US" w:bidi="en-US"/>
        </w:rPr>
        <w:t>In this case,</w:t>
      </w:r>
      <w:r w:rsidR="006F52E5" w:rsidRPr="009D52FD">
        <w:rPr>
          <w:color w:val="000000"/>
          <w:sz w:val="20"/>
          <w:szCs w:val="20"/>
          <w:lang w:val="en-US" w:eastAsia="en-US"/>
        </w:rPr>
        <w:t xml:space="preserve"> Venezuela </w:t>
      </w:r>
      <w:r w:rsidRPr="009D52FD">
        <w:rPr>
          <w:color w:val="000000"/>
          <w:sz w:val="20"/>
          <w:szCs w:val="20"/>
          <w:lang w:val="en-US" w:eastAsia="en-US"/>
        </w:rPr>
        <w:t xml:space="preserve">had domestic laws that imposed on </w:t>
      </w:r>
      <w:r w:rsidR="00087A8C" w:rsidRPr="009D52FD">
        <w:rPr>
          <w:color w:val="000000"/>
          <w:sz w:val="20"/>
          <w:szCs w:val="20"/>
          <w:lang w:val="en-US" w:eastAsia="en-US"/>
        </w:rPr>
        <w:t xml:space="preserve">the </w:t>
      </w:r>
      <w:r w:rsidRPr="009D52FD">
        <w:rPr>
          <w:color w:val="000000"/>
          <w:sz w:val="20"/>
          <w:szCs w:val="20"/>
          <w:lang w:val="en-US" w:eastAsia="en-US"/>
        </w:rPr>
        <w:t xml:space="preserve">public officials who </w:t>
      </w:r>
      <w:r w:rsidR="00087A8C" w:rsidRPr="009D52FD">
        <w:rPr>
          <w:color w:val="000000"/>
          <w:sz w:val="20"/>
          <w:szCs w:val="20"/>
          <w:lang w:val="en-US" w:eastAsia="en-US"/>
        </w:rPr>
        <w:t>usually</w:t>
      </w:r>
      <w:r w:rsidRPr="009D52FD">
        <w:rPr>
          <w:color w:val="000000"/>
          <w:sz w:val="20"/>
          <w:szCs w:val="20"/>
          <w:lang w:val="en-US" w:eastAsia="en-US"/>
        </w:rPr>
        <w:t xml:space="preserve"> became aware of acts that harmed the dignity of women</w:t>
      </w:r>
      <w:r w:rsidR="00087A8C" w:rsidRPr="009D52FD">
        <w:rPr>
          <w:color w:val="000000"/>
          <w:sz w:val="20"/>
          <w:szCs w:val="20"/>
          <w:lang w:val="en-US" w:eastAsia="en-US"/>
        </w:rPr>
        <w:t xml:space="preserve"> – and</w:t>
      </w:r>
      <w:r w:rsidRPr="009D52FD">
        <w:rPr>
          <w:color w:val="000000"/>
          <w:sz w:val="20"/>
          <w:szCs w:val="20"/>
          <w:lang w:val="en-US" w:eastAsia="en-US"/>
        </w:rPr>
        <w:t xml:space="preserve"> specifically </w:t>
      </w:r>
      <w:r w:rsidR="00087A8C" w:rsidRPr="009D52FD">
        <w:rPr>
          <w:color w:val="000000"/>
          <w:sz w:val="20"/>
          <w:szCs w:val="20"/>
          <w:lang w:val="en-US" w:eastAsia="en-US"/>
        </w:rPr>
        <w:t xml:space="preserve">on </w:t>
      </w:r>
      <w:r w:rsidRPr="009D52FD">
        <w:rPr>
          <w:color w:val="000000"/>
          <w:sz w:val="20"/>
          <w:szCs w:val="20"/>
          <w:lang w:val="en-US" w:eastAsia="en-US"/>
        </w:rPr>
        <w:t>those responsible for receiving reports</w:t>
      </w:r>
      <w:r w:rsidR="00087A8C" w:rsidRPr="009D52FD">
        <w:rPr>
          <w:color w:val="000000"/>
          <w:sz w:val="20"/>
          <w:szCs w:val="20"/>
          <w:lang w:val="en-US" w:eastAsia="en-US"/>
        </w:rPr>
        <w:t xml:space="preserve"> – the</w:t>
      </w:r>
      <w:r w:rsidRPr="009D52FD">
        <w:rPr>
          <w:color w:val="000000"/>
          <w:sz w:val="20"/>
          <w:szCs w:val="20"/>
          <w:lang w:val="en-US" w:eastAsia="en-US"/>
        </w:rPr>
        <w:t xml:space="preserve"> obligation of due diligence to process such reports </w:t>
      </w:r>
      <w:r w:rsidR="00A159D5" w:rsidRPr="009D52FD">
        <w:rPr>
          <w:color w:val="000000"/>
          <w:sz w:val="20"/>
          <w:szCs w:val="20"/>
          <w:lang w:val="en-US" w:eastAsia="en-US"/>
        </w:rPr>
        <w:t>promptly</w:t>
      </w:r>
      <w:r w:rsidRPr="009D52FD">
        <w:rPr>
          <w:color w:val="000000"/>
          <w:sz w:val="20"/>
          <w:szCs w:val="20"/>
          <w:lang w:val="en-US" w:eastAsia="en-US"/>
        </w:rPr>
        <w:t xml:space="preserve"> and that investigations should ensure the integrity of women</w:t>
      </w:r>
      <w:r w:rsidR="004E20EE" w:rsidRPr="009D52FD">
        <w:rPr>
          <w:color w:val="000000"/>
          <w:sz w:val="20"/>
          <w:szCs w:val="20"/>
          <w:lang w:val="en-US" w:eastAsia="en-US"/>
        </w:rPr>
        <w:t xml:space="preserve"> (</w:t>
      </w:r>
      <w:r w:rsidR="004E20EE" w:rsidRPr="009D52FD">
        <w:rPr>
          <w:i/>
          <w:color w:val="000000"/>
          <w:sz w:val="20"/>
          <w:szCs w:val="20"/>
          <w:lang w:val="en-US" w:eastAsia="en-US"/>
        </w:rPr>
        <w:t>supra</w:t>
      </w:r>
      <w:r w:rsidR="004E20EE" w:rsidRPr="009D52FD">
        <w:rPr>
          <w:color w:val="000000"/>
          <w:sz w:val="20"/>
          <w:szCs w:val="20"/>
          <w:lang w:val="en-US" w:eastAsia="en-US"/>
        </w:rPr>
        <w:t xml:space="preserve"> </w:t>
      </w:r>
      <w:r w:rsidR="009459E7" w:rsidRPr="009D52FD">
        <w:rPr>
          <w:color w:val="000000"/>
          <w:sz w:val="20"/>
          <w:szCs w:val="20"/>
          <w:lang w:val="en-US" w:eastAsia="en-US"/>
        </w:rPr>
        <w:t>para.</w:t>
      </w:r>
      <w:r w:rsidR="004E20EE" w:rsidRPr="009D52FD">
        <w:rPr>
          <w:color w:val="000000"/>
          <w:sz w:val="20"/>
          <w:szCs w:val="20"/>
          <w:lang w:val="en-US" w:eastAsia="en-US"/>
        </w:rPr>
        <w:t xml:space="preserve"> </w:t>
      </w:r>
      <w:r w:rsidR="0094457E" w:rsidRPr="009D52FD">
        <w:rPr>
          <w:color w:val="000000"/>
          <w:sz w:val="20"/>
          <w:szCs w:val="20"/>
          <w:lang w:val="en-US" w:eastAsia="en-US"/>
        </w:rPr>
        <w:t>111</w:t>
      </w:r>
      <w:r w:rsidR="004E20EE" w:rsidRPr="009D52FD">
        <w:rPr>
          <w:color w:val="000000"/>
          <w:sz w:val="20"/>
          <w:szCs w:val="20"/>
          <w:lang w:val="en-US" w:eastAsia="en-US"/>
        </w:rPr>
        <w:t>).</w:t>
      </w:r>
    </w:p>
    <w:p w14:paraId="1F2EBA95" w14:textId="77777777" w:rsidR="006F52E5" w:rsidRPr="009D52FD" w:rsidRDefault="006F52E5" w:rsidP="009E4F6C">
      <w:pPr>
        <w:widowControl/>
        <w:adjustRightInd/>
        <w:spacing w:line="240" w:lineRule="auto"/>
        <w:jc w:val="left"/>
        <w:textAlignment w:val="auto"/>
        <w:rPr>
          <w:color w:val="000000"/>
          <w:sz w:val="20"/>
          <w:szCs w:val="20"/>
          <w:lang w:val="en-US" w:eastAsia="en-US"/>
        </w:rPr>
      </w:pPr>
    </w:p>
    <w:p w14:paraId="5EB8B6D3" w14:textId="0CE820CA" w:rsidR="009E4F6C" w:rsidRPr="009D52FD" w:rsidRDefault="00E874E3" w:rsidP="00E874E3">
      <w:pPr>
        <w:numPr>
          <w:ilvl w:val="0"/>
          <w:numId w:val="1"/>
        </w:numPr>
        <w:tabs>
          <w:tab w:val="left" w:pos="567"/>
        </w:tabs>
        <w:spacing w:line="240" w:lineRule="auto"/>
        <w:ind w:left="0" w:firstLine="0"/>
        <w:rPr>
          <w:rFonts w:cs="TimesNewRoman"/>
          <w:sz w:val="20"/>
          <w:szCs w:val="20"/>
          <w:lang w:val="en-US"/>
        </w:rPr>
      </w:pPr>
      <w:r w:rsidRPr="009D52FD">
        <w:rPr>
          <w:rFonts w:cs="TimesNewRoman"/>
          <w:sz w:val="20"/>
          <w:szCs w:val="20"/>
          <w:lang w:val="en-US"/>
        </w:rPr>
        <w:t>Also,</w:t>
      </w:r>
      <w:r w:rsidR="009E4F6C" w:rsidRPr="009D52FD">
        <w:rPr>
          <w:rFonts w:cs="TimesNewRoman"/>
          <w:sz w:val="20"/>
          <w:szCs w:val="20"/>
          <w:lang w:val="en-US"/>
        </w:rPr>
        <w:t xml:space="preserve"> </w:t>
      </w:r>
      <w:r w:rsidRPr="009D52FD">
        <w:rPr>
          <w:rFonts w:cs="TimesNewRoman"/>
          <w:sz w:val="20"/>
          <w:szCs w:val="20"/>
          <w:lang w:val="en-US"/>
        </w:rPr>
        <w:t>expert witness</w:t>
      </w:r>
      <w:r w:rsidR="009E4F6C" w:rsidRPr="009D52FD">
        <w:rPr>
          <w:rFonts w:cs="TimesNewRoman"/>
          <w:sz w:val="20"/>
          <w:szCs w:val="20"/>
          <w:lang w:val="en-US"/>
        </w:rPr>
        <w:t xml:space="preserve"> Kravetz </w:t>
      </w:r>
      <w:r w:rsidRPr="009D52FD">
        <w:rPr>
          <w:rFonts w:cs="TimesNewRoman"/>
          <w:sz w:val="20"/>
          <w:szCs w:val="20"/>
          <w:lang w:val="en-US"/>
        </w:rPr>
        <w:t>indicated that the</w:t>
      </w:r>
      <w:r w:rsidR="009E4F6C" w:rsidRPr="009D52FD">
        <w:rPr>
          <w:rFonts w:cs="TimesNewRoman"/>
          <w:sz w:val="20"/>
          <w:szCs w:val="20"/>
          <w:lang w:val="en-US"/>
        </w:rPr>
        <w:t xml:space="preserve"> “obliga</w:t>
      </w:r>
      <w:r w:rsidRPr="009D52FD">
        <w:rPr>
          <w:rFonts w:cs="TimesNewRoman"/>
          <w:sz w:val="20"/>
          <w:szCs w:val="20"/>
          <w:lang w:val="en-US"/>
        </w:rPr>
        <w:t>tion of prevention relate</w:t>
      </w:r>
      <w:r w:rsidR="00A159D5" w:rsidRPr="009D52FD">
        <w:rPr>
          <w:rFonts w:cs="TimesNewRoman"/>
          <w:sz w:val="20"/>
          <w:szCs w:val="20"/>
          <w:lang w:val="en-US"/>
        </w:rPr>
        <w:t>s not only</w:t>
      </w:r>
      <w:r w:rsidRPr="009D52FD">
        <w:rPr>
          <w:rFonts w:cs="TimesNewRoman"/>
          <w:sz w:val="20"/>
          <w:szCs w:val="20"/>
          <w:lang w:val="en-US"/>
        </w:rPr>
        <w:t xml:space="preserve"> to preventing </w:t>
      </w:r>
      <w:r w:rsidR="00A159D5" w:rsidRPr="009D52FD">
        <w:rPr>
          <w:rFonts w:cs="TimesNewRoman"/>
          <w:sz w:val="20"/>
          <w:szCs w:val="20"/>
          <w:lang w:val="en-US"/>
        </w:rPr>
        <w:t>specific</w:t>
      </w:r>
      <w:r w:rsidRPr="009D52FD">
        <w:rPr>
          <w:rFonts w:cs="TimesNewRoman"/>
          <w:sz w:val="20"/>
          <w:szCs w:val="20"/>
          <w:lang w:val="en-US"/>
        </w:rPr>
        <w:t xml:space="preserve"> acts of </w:t>
      </w:r>
      <w:r w:rsidR="0081578D" w:rsidRPr="009D52FD">
        <w:rPr>
          <w:rFonts w:cs="TimesNewRoman"/>
          <w:sz w:val="20"/>
          <w:szCs w:val="20"/>
          <w:lang w:val="en-US"/>
        </w:rPr>
        <w:t>sexual violence</w:t>
      </w:r>
      <w:r w:rsidR="009E4F6C" w:rsidRPr="009D52FD">
        <w:rPr>
          <w:rFonts w:cs="TimesNewRoman"/>
          <w:sz w:val="20"/>
          <w:szCs w:val="20"/>
          <w:lang w:val="en-US"/>
        </w:rPr>
        <w:t>,</w:t>
      </w:r>
      <w:r w:rsidRPr="009D52FD">
        <w:rPr>
          <w:rFonts w:cs="TimesNewRoman"/>
          <w:sz w:val="20"/>
          <w:szCs w:val="20"/>
          <w:lang w:val="en-US"/>
        </w:rPr>
        <w:t xml:space="preserve"> but </w:t>
      </w:r>
      <w:r w:rsidR="00A159D5" w:rsidRPr="009D52FD">
        <w:rPr>
          <w:rFonts w:cs="TimesNewRoman"/>
          <w:sz w:val="20"/>
          <w:szCs w:val="20"/>
          <w:lang w:val="en-US"/>
        </w:rPr>
        <w:t>i</w:t>
      </w:r>
      <w:r w:rsidRPr="009D52FD">
        <w:rPr>
          <w:rFonts w:cs="TimesNewRoman"/>
          <w:sz w:val="20"/>
          <w:szCs w:val="20"/>
          <w:lang w:val="en-US"/>
        </w:rPr>
        <w:t>s also an obligation of the State to identify and eradicate the underlying causes of such violence and the agents who contribute to its prevalence. This mean</w:t>
      </w:r>
      <w:r w:rsidR="00A159D5" w:rsidRPr="009D52FD">
        <w:rPr>
          <w:rFonts w:cs="TimesNewRoman"/>
          <w:sz w:val="20"/>
          <w:szCs w:val="20"/>
          <w:lang w:val="en-US"/>
        </w:rPr>
        <w:t>s</w:t>
      </w:r>
      <w:r w:rsidRPr="009D52FD">
        <w:rPr>
          <w:rFonts w:cs="TimesNewRoman"/>
          <w:sz w:val="20"/>
          <w:szCs w:val="20"/>
          <w:lang w:val="en-US"/>
        </w:rPr>
        <w:t xml:space="preserve"> combatting the persistence of complacen</w:t>
      </w:r>
      <w:r w:rsidR="00A159D5" w:rsidRPr="009D52FD">
        <w:rPr>
          <w:rFonts w:cs="TimesNewRoman"/>
          <w:sz w:val="20"/>
          <w:szCs w:val="20"/>
          <w:lang w:val="en-US"/>
        </w:rPr>
        <w:t>t</w:t>
      </w:r>
      <w:r w:rsidRPr="009D52FD">
        <w:rPr>
          <w:rFonts w:cs="TimesNewRoman"/>
          <w:sz w:val="20"/>
          <w:szCs w:val="20"/>
          <w:lang w:val="en-US"/>
        </w:rPr>
        <w:t xml:space="preserve"> attitudes and discouragement of filing reports that exists in</w:t>
      </w:r>
      <w:r w:rsidR="00F2434C" w:rsidRPr="009D52FD">
        <w:rPr>
          <w:rFonts w:cs="TimesNewRoman"/>
          <w:sz w:val="20"/>
          <w:szCs w:val="20"/>
          <w:lang w:val="en-US"/>
        </w:rPr>
        <w:t xml:space="preserve"> a</w:t>
      </w:r>
      <w:r w:rsidRPr="009D52FD">
        <w:rPr>
          <w:rFonts w:cs="TimesNewRoman"/>
          <w:sz w:val="20"/>
          <w:szCs w:val="20"/>
          <w:lang w:val="en-US"/>
        </w:rPr>
        <w:t xml:space="preserve"> society</w:t>
      </w:r>
      <w:r w:rsidR="00F2434C" w:rsidRPr="009D52FD">
        <w:rPr>
          <w:rFonts w:cs="TimesNewRoman"/>
          <w:sz w:val="20"/>
          <w:szCs w:val="20"/>
          <w:lang w:val="en-US"/>
        </w:rPr>
        <w:t>;</w:t>
      </w:r>
      <w:r w:rsidRPr="009D52FD">
        <w:rPr>
          <w:rFonts w:cs="TimesNewRoman"/>
          <w:sz w:val="20"/>
          <w:szCs w:val="20"/>
          <w:lang w:val="en-US"/>
        </w:rPr>
        <w:t xml:space="preserve"> that may exist among the state institutions, and that contributes to impunity.</w:t>
      </w:r>
      <w:r w:rsidR="009E4F6C" w:rsidRPr="009D52FD">
        <w:rPr>
          <w:rFonts w:cs="TimesNewRoman"/>
          <w:sz w:val="20"/>
          <w:szCs w:val="20"/>
          <w:lang w:val="en-US"/>
        </w:rPr>
        <w:t>”</w:t>
      </w:r>
      <w:r w:rsidR="009E4F6C" w:rsidRPr="009D52FD">
        <w:rPr>
          <w:rFonts w:cs="TimesNewRoman"/>
          <w:sz w:val="20"/>
          <w:szCs w:val="20"/>
          <w:vertAlign w:val="superscript"/>
          <w:lang w:val="en-US"/>
        </w:rPr>
        <w:footnoteReference w:id="222"/>
      </w:r>
    </w:p>
    <w:p w14:paraId="6F4AAE8A" w14:textId="77777777" w:rsidR="009E4F6C" w:rsidRPr="009D52FD" w:rsidRDefault="009E4F6C" w:rsidP="009E4F6C">
      <w:pPr>
        <w:widowControl/>
        <w:adjustRightInd/>
        <w:spacing w:line="240" w:lineRule="auto"/>
        <w:jc w:val="left"/>
        <w:textAlignment w:val="auto"/>
        <w:rPr>
          <w:color w:val="000000"/>
          <w:sz w:val="20"/>
          <w:szCs w:val="20"/>
          <w:lang w:val="en-US" w:eastAsia="en-US"/>
        </w:rPr>
      </w:pPr>
    </w:p>
    <w:p w14:paraId="1F16E7EF" w14:textId="18BB13FA" w:rsidR="00A66625" w:rsidRPr="009D52FD" w:rsidRDefault="00E874E3" w:rsidP="00B11543">
      <w:pPr>
        <w:numPr>
          <w:ilvl w:val="0"/>
          <w:numId w:val="1"/>
        </w:numPr>
        <w:tabs>
          <w:tab w:val="left" w:pos="567"/>
        </w:tabs>
        <w:spacing w:line="240" w:lineRule="auto"/>
        <w:ind w:left="0" w:firstLine="0"/>
        <w:rPr>
          <w:color w:val="000000"/>
          <w:sz w:val="20"/>
          <w:szCs w:val="20"/>
          <w:lang w:val="en-US" w:eastAsia="en-US"/>
        </w:rPr>
      </w:pPr>
      <w:r w:rsidRPr="009D52FD">
        <w:rPr>
          <w:color w:val="000000"/>
          <w:sz w:val="20"/>
          <w:szCs w:val="20"/>
          <w:lang w:val="en-US" w:eastAsia="en-US"/>
        </w:rPr>
        <w:t xml:space="preserve">Moreover, since some acts of </w:t>
      </w:r>
      <w:r w:rsidR="005935CA" w:rsidRPr="009D52FD">
        <w:rPr>
          <w:rFonts w:eastAsia="Batang"/>
          <w:spacing w:val="-2"/>
          <w:sz w:val="20"/>
          <w:szCs w:val="20"/>
          <w:lang w:val="en-US"/>
        </w:rPr>
        <w:t>violence against women</w:t>
      </w:r>
      <w:r w:rsidR="00A66625" w:rsidRPr="009D52FD">
        <w:rPr>
          <w:rFonts w:eastAsia="Batang"/>
          <w:spacing w:val="-2"/>
          <w:sz w:val="20"/>
          <w:szCs w:val="20"/>
          <w:lang w:val="en-US"/>
        </w:rPr>
        <w:t xml:space="preserve"> </w:t>
      </w:r>
      <w:r w:rsidRPr="009D52FD">
        <w:rPr>
          <w:rFonts w:eastAsia="Batang"/>
          <w:spacing w:val="-2"/>
          <w:sz w:val="20"/>
          <w:szCs w:val="20"/>
          <w:lang w:val="en-US"/>
        </w:rPr>
        <w:t xml:space="preserve">may constitute acts of torture or other cruel, inhuman or degrading treatment, the Court recalls that the </w:t>
      </w:r>
      <w:r w:rsidR="00C72369" w:rsidRPr="009D52FD">
        <w:rPr>
          <w:rFonts w:eastAsiaTheme="minorHAnsi" w:cstheme="minorBidi"/>
          <w:sz w:val="20"/>
          <w:szCs w:val="20"/>
          <w:lang w:val="en-US" w:eastAsia="en-US"/>
        </w:rPr>
        <w:t>ICPPT</w:t>
      </w:r>
      <w:r w:rsidR="00A66625" w:rsidRPr="009D52FD">
        <w:rPr>
          <w:rFonts w:eastAsiaTheme="minorHAnsi" w:cstheme="minorBidi"/>
          <w:sz w:val="20"/>
          <w:szCs w:val="20"/>
          <w:lang w:val="en-US" w:eastAsia="en-US"/>
        </w:rPr>
        <w:t xml:space="preserve"> </w:t>
      </w:r>
      <w:r w:rsidR="007A24B8" w:rsidRPr="009D52FD">
        <w:rPr>
          <w:rFonts w:eastAsiaTheme="minorHAnsi" w:cstheme="minorBidi"/>
          <w:sz w:val="20"/>
          <w:szCs w:val="20"/>
          <w:lang w:val="en-US" w:eastAsia="en-US"/>
        </w:rPr>
        <w:t>establishes</w:t>
      </w:r>
      <w:r w:rsidR="00A66625" w:rsidRPr="009D52FD">
        <w:rPr>
          <w:rFonts w:eastAsiaTheme="minorHAnsi" w:cstheme="minorBidi"/>
          <w:sz w:val="20"/>
          <w:szCs w:val="20"/>
          <w:lang w:val="en-US" w:eastAsia="en-US"/>
        </w:rPr>
        <w:t xml:space="preserve"> obliga</w:t>
      </w:r>
      <w:r w:rsidRPr="009D52FD">
        <w:rPr>
          <w:rFonts w:eastAsiaTheme="minorHAnsi" w:cstheme="minorBidi"/>
          <w:sz w:val="20"/>
          <w:szCs w:val="20"/>
          <w:lang w:val="en-US" w:eastAsia="en-US"/>
        </w:rPr>
        <w:t>tions to prevent and punish torture and States must adopt “within their jurisdiction” the effective measures required to this end.</w:t>
      </w:r>
    </w:p>
    <w:p w14:paraId="4CCC82C8" w14:textId="77777777" w:rsidR="00A66625" w:rsidRPr="009D52FD" w:rsidRDefault="00A66625" w:rsidP="009E4F6C">
      <w:pPr>
        <w:widowControl/>
        <w:adjustRightInd/>
        <w:spacing w:line="240" w:lineRule="auto"/>
        <w:jc w:val="left"/>
        <w:textAlignment w:val="auto"/>
        <w:rPr>
          <w:color w:val="000000"/>
          <w:sz w:val="20"/>
          <w:szCs w:val="20"/>
          <w:lang w:val="en-US" w:eastAsia="en-US"/>
        </w:rPr>
      </w:pPr>
    </w:p>
    <w:p w14:paraId="1B7A54E8" w14:textId="1D4CDC36" w:rsidR="009E4F6C" w:rsidRPr="009D52FD" w:rsidRDefault="00E874E3" w:rsidP="00385625">
      <w:pPr>
        <w:numPr>
          <w:ilvl w:val="0"/>
          <w:numId w:val="1"/>
        </w:numPr>
        <w:tabs>
          <w:tab w:val="left" w:pos="567"/>
        </w:tabs>
        <w:spacing w:line="240" w:lineRule="auto"/>
        <w:ind w:left="0" w:firstLine="0"/>
        <w:rPr>
          <w:color w:val="000000"/>
          <w:sz w:val="20"/>
          <w:szCs w:val="20"/>
          <w:lang w:val="en-US" w:eastAsia="en-US"/>
        </w:rPr>
      </w:pPr>
      <w:r w:rsidRPr="009D52FD">
        <w:rPr>
          <w:color w:val="000000"/>
          <w:sz w:val="20"/>
          <w:szCs w:val="20"/>
          <w:lang w:val="en-US" w:eastAsia="en-US"/>
        </w:rPr>
        <w:t xml:space="preserve">In sum, when evaluating compliance with the state obligation of due diligence for prevention, the Court will take into account that the facts refer to a </w:t>
      </w:r>
      <w:r w:rsidR="00793917" w:rsidRPr="009D52FD">
        <w:rPr>
          <w:color w:val="000000"/>
          <w:sz w:val="20"/>
          <w:szCs w:val="20"/>
          <w:lang w:val="en-US" w:eastAsia="en-US"/>
        </w:rPr>
        <w:t xml:space="preserve">situation of </w:t>
      </w:r>
      <w:r w:rsidR="005935CA" w:rsidRPr="009D52FD">
        <w:rPr>
          <w:color w:val="000000"/>
          <w:sz w:val="20"/>
          <w:szCs w:val="20"/>
          <w:lang w:val="en-US" w:eastAsia="en-US"/>
        </w:rPr>
        <w:t>violence against women</w:t>
      </w:r>
      <w:r w:rsidR="009E4F6C" w:rsidRPr="009D52FD">
        <w:rPr>
          <w:color w:val="000000"/>
          <w:sz w:val="20"/>
          <w:szCs w:val="20"/>
          <w:lang w:val="en-US" w:eastAsia="en-US"/>
        </w:rPr>
        <w:t xml:space="preserve">, </w:t>
      </w:r>
      <w:r w:rsidR="00793917" w:rsidRPr="009D52FD">
        <w:rPr>
          <w:color w:val="000000"/>
          <w:sz w:val="20"/>
          <w:szCs w:val="20"/>
          <w:lang w:val="en-US" w:eastAsia="en-US"/>
        </w:rPr>
        <w:t>a circumstance that required an enhanced due diligence that transcend</w:t>
      </w:r>
      <w:r w:rsidR="00385625" w:rsidRPr="009D52FD">
        <w:rPr>
          <w:color w:val="000000"/>
          <w:sz w:val="20"/>
          <w:szCs w:val="20"/>
          <w:lang w:val="en-US" w:eastAsia="en-US"/>
        </w:rPr>
        <w:t>ed</w:t>
      </w:r>
      <w:r w:rsidR="00793917" w:rsidRPr="009D52FD">
        <w:rPr>
          <w:color w:val="000000"/>
          <w:sz w:val="20"/>
          <w:szCs w:val="20"/>
          <w:lang w:val="en-US" w:eastAsia="en-US"/>
        </w:rPr>
        <w:t xml:space="preserve"> the particular context of this case</w:t>
      </w:r>
      <w:r w:rsidR="00385625" w:rsidRPr="009D52FD">
        <w:rPr>
          <w:color w:val="000000"/>
          <w:sz w:val="20"/>
          <w:szCs w:val="20"/>
          <w:lang w:val="en-US" w:eastAsia="en-US"/>
        </w:rPr>
        <w:t xml:space="preserve"> and </w:t>
      </w:r>
      <w:r w:rsidR="00793917" w:rsidRPr="009D52FD">
        <w:rPr>
          <w:color w:val="000000"/>
          <w:sz w:val="20"/>
          <w:szCs w:val="20"/>
          <w:lang w:val="en-US" w:eastAsia="en-US"/>
        </w:rPr>
        <w:t>resulted in the need to adopt a range of different measures intended, in addition to preventing specific acts of violence, to eradicate any act of gender-based violence</w:t>
      </w:r>
      <w:r w:rsidR="00385625" w:rsidRPr="009D52FD">
        <w:rPr>
          <w:color w:val="000000"/>
          <w:sz w:val="20"/>
          <w:szCs w:val="20"/>
          <w:lang w:val="en-US" w:eastAsia="en-US"/>
        </w:rPr>
        <w:t xml:space="preserve"> in future</w:t>
      </w:r>
      <w:r w:rsidR="009E4F6C" w:rsidRPr="009D52FD">
        <w:rPr>
          <w:color w:val="000000"/>
          <w:sz w:val="20"/>
          <w:szCs w:val="20"/>
          <w:lang w:val="en-US" w:eastAsia="en-US"/>
        </w:rPr>
        <w:t>.</w:t>
      </w:r>
      <w:r w:rsidR="00793917" w:rsidRPr="009D52FD">
        <w:rPr>
          <w:color w:val="000000"/>
          <w:sz w:val="20"/>
          <w:szCs w:val="20"/>
          <w:lang w:val="en-US" w:eastAsia="en-US"/>
        </w:rPr>
        <w:t xml:space="preserve"> </w:t>
      </w:r>
      <w:r w:rsidR="00385625" w:rsidRPr="009D52FD">
        <w:rPr>
          <w:color w:val="000000"/>
          <w:sz w:val="20"/>
          <w:szCs w:val="20"/>
          <w:lang w:val="en-US" w:eastAsia="en-US"/>
        </w:rPr>
        <w:t>In this regard,</w:t>
      </w:r>
      <w:r w:rsidR="00793917" w:rsidRPr="009D52FD">
        <w:rPr>
          <w:color w:val="000000"/>
          <w:sz w:val="20"/>
          <w:szCs w:val="20"/>
          <w:lang w:val="en-US" w:eastAsia="en-US"/>
        </w:rPr>
        <w:t xml:space="preserve"> the Court has already stressed the importance of recognizing, making visible and rejecting negative gender stereotypes, which are one of the causes and consequences of gender-based violence against women, in order to modify the socio-cultural conditions that permit and perpetuate the subordination of women.</w:t>
      </w:r>
      <w:r w:rsidR="009E4F6C" w:rsidRPr="009D52FD">
        <w:rPr>
          <w:rFonts w:eastAsia="Batang"/>
          <w:sz w:val="20"/>
          <w:szCs w:val="20"/>
          <w:vertAlign w:val="superscript"/>
          <w:lang w:val="en-US" w:eastAsia="es-MX"/>
        </w:rPr>
        <w:footnoteReference w:id="223"/>
      </w:r>
    </w:p>
    <w:p w14:paraId="3F1804D3" w14:textId="133BEA5C" w:rsidR="009E4F6C" w:rsidRPr="009D52FD" w:rsidRDefault="009E4F6C" w:rsidP="00FF62E0">
      <w:pPr>
        <w:keepNext/>
        <w:keepLines/>
        <w:widowControl/>
        <w:tabs>
          <w:tab w:val="left" w:pos="1134"/>
        </w:tabs>
        <w:autoSpaceDE w:val="0"/>
        <w:autoSpaceDN w:val="0"/>
        <w:spacing w:line="240" w:lineRule="auto"/>
        <w:ind w:left="708" w:hanging="140"/>
        <w:textAlignment w:val="auto"/>
        <w:outlineLvl w:val="1"/>
        <w:rPr>
          <w:rFonts w:eastAsia="MS Mincho" w:cs="Arial"/>
          <w:bCs/>
          <w:i/>
          <w:sz w:val="20"/>
          <w:szCs w:val="20"/>
          <w:lang w:val="en-US" w:eastAsia="en-US"/>
        </w:rPr>
      </w:pPr>
      <w:bookmarkStart w:id="80" w:name="_Toc51400093"/>
      <w:r w:rsidRPr="009D52FD">
        <w:rPr>
          <w:rFonts w:eastAsia="MS Mincho" w:cs="Arial"/>
          <w:bCs/>
          <w:i/>
          <w:sz w:val="20"/>
          <w:szCs w:val="20"/>
          <w:lang w:val="en-US" w:eastAsia="en-US"/>
        </w:rPr>
        <w:lastRenderedPageBreak/>
        <w:t>B.2</w:t>
      </w:r>
      <w:r w:rsidRPr="009D52FD">
        <w:rPr>
          <w:rFonts w:eastAsia="MS Mincho" w:cs="Arial"/>
          <w:bCs/>
          <w:i/>
          <w:sz w:val="20"/>
          <w:szCs w:val="20"/>
          <w:lang w:val="en-US" w:eastAsia="en-US"/>
        </w:rPr>
        <w:tab/>
      </w:r>
      <w:r w:rsidR="00793917" w:rsidRPr="009D52FD">
        <w:rPr>
          <w:rFonts w:eastAsia="MS Mincho" w:cs="Arial"/>
          <w:bCs/>
          <w:i/>
          <w:sz w:val="20"/>
          <w:szCs w:val="20"/>
          <w:lang w:val="en-US" w:eastAsia="en-US"/>
        </w:rPr>
        <w:t>A</w:t>
      </w:r>
      <w:r w:rsidR="00742B12" w:rsidRPr="009D52FD">
        <w:rPr>
          <w:rFonts w:eastAsia="MS Mincho" w:cs="Arial"/>
          <w:bCs/>
          <w:i/>
          <w:sz w:val="20"/>
          <w:szCs w:val="20"/>
          <w:lang w:val="en-US" w:eastAsia="en-US"/>
        </w:rPr>
        <w:t xml:space="preserve">ttribution to the State of responsibility for acts of </w:t>
      </w:r>
      <w:r w:rsidR="00385625" w:rsidRPr="009D52FD">
        <w:rPr>
          <w:rFonts w:eastAsia="MS Mincho" w:cs="Arial"/>
          <w:bCs/>
          <w:i/>
          <w:sz w:val="20"/>
          <w:szCs w:val="20"/>
          <w:lang w:val="en-US" w:eastAsia="en-US"/>
        </w:rPr>
        <w:t xml:space="preserve">private </w:t>
      </w:r>
      <w:r w:rsidR="00F75897" w:rsidRPr="009D52FD">
        <w:rPr>
          <w:rFonts w:eastAsia="MS Mincho" w:cs="Arial"/>
          <w:bCs/>
          <w:i/>
          <w:sz w:val="20"/>
          <w:szCs w:val="20"/>
          <w:lang w:val="en-US" w:eastAsia="en-US"/>
        </w:rPr>
        <w:t>individual</w:t>
      </w:r>
      <w:r w:rsidR="00742B12" w:rsidRPr="009D52FD">
        <w:rPr>
          <w:rFonts w:eastAsia="MS Mincho" w:cs="Arial"/>
          <w:bCs/>
          <w:i/>
          <w:sz w:val="20"/>
          <w:szCs w:val="20"/>
          <w:lang w:val="en-US" w:eastAsia="en-US"/>
        </w:rPr>
        <w:t>s</w:t>
      </w:r>
      <w:bookmarkEnd w:id="80"/>
    </w:p>
    <w:p w14:paraId="177DE381" w14:textId="77777777" w:rsidR="009E4F6C" w:rsidRPr="009D52FD" w:rsidRDefault="009E4F6C" w:rsidP="009E4F6C">
      <w:pPr>
        <w:widowControl/>
        <w:adjustRightInd/>
        <w:spacing w:line="240" w:lineRule="auto"/>
        <w:textAlignment w:val="auto"/>
        <w:rPr>
          <w:b/>
          <w:color w:val="000000"/>
          <w:sz w:val="20"/>
          <w:szCs w:val="20"/>
          <w:lang w:val="en-US" w:eastAsia="en-US"/>
        </w:rPr>
      </w:pPr>
    </w:p>
    <w:p w14:paraId="24561170" w14:textId="5FB98B03" w:rsidR="00120E35" w:rsidRPr="009D52FD" w:rsidRDefault="003630BB" w:rsidP="003C5989">
      <w:pPr>
        <w:numPr>
          <w:ilvl w:val="0"/>
          <w:numId w:val="1"/>
        </w:numPr>
        <w:tabs>
          <w:tab w:val="left" w:pos="567"/>
        </w:tabs>
        <w:spacing w:line="240" w:lineRule="auto"/>
        <w:ind w:left="0" w:firstLine="0"/>
        <w:rPr>
          <w:color w:val="000000"/>
          <w:sz w:val="20"/>
          <w:szCs w:val="20"/>
          <w:lang w:val="en-US" w:eastAsia="en-US"/>
        </w:rPr>
      </w:pPr>
      <w:r w:rsidRPr="009D52FD">
        <w:rPr>
          <w:color w:val="000000"/>
          <w:sz w:val="20"/>
          <w:szCs w:val="20"/>
          <w:lang w:val="en-US" w:eastAsia="en-US"/>
        </w:rPr>
        <w:t xml:space="preserve">The </w:t>
      </w:r>
      <w:r w:rsidRPr="009D52FD">
        <w:rPr>
          <w:b/>
          <w:bCs/>
          <w:i/>
          <w:iCs/>
          <w:color w:val="000000"/>
          <w:sz w:val="20"/>
          <w:szCs w:val="20"/>
          <w:lang w:val="en-US" w:eastAsia="en-US"/>
        </w:rPr>
        <w:t>Commission</w:t>
      </w:r>
      <w:r w:rsidRPr="009D52FD">
        <w:rPr>
          <w:color w:val="000000"/>
          <w:sz w:val="20"/>
          <w:szCs w:val="20"/>
          <w:lang w:val="en-US" w:eastAsia="en-US"/>
        </w:rPr>
        <w:t xml:space="preserve"> and </w:t>
      </w:r>
      <w:r w:rsidRPr="009D52FD">
        <w:rPr>
          <w:sz w:val="20"/>
          <w:szCs w:val="20"/>
          <w:lang w:val="en-US"/>
        </w:rPr>
        <w:t xml:space="preserve">the </w:t>
      </w:r>
      <w:r w:rsidRPr="009D52FD">
        <w:rPr>
          <w:b/>
          <w:bCs/>
          <w:i/>
          <w:iCs/>
          <w:sz w:val="20"/>
          <w:szCs w:val="20"/>
          <w:lang w:val="en-US"/>
        </w:rPr>
        <w:t>representatives</w:t>
      </w:r>
      <w:r w:rsidR="009E4F6C" w:rsidRPr="009D52FD">
        <w:rPr>
          <w:color w:val="000000"/>
          <w:sz w:val="20"/>
          <w:szCs w:val="20"/>
          <w:lang w:val="en-US" w:eastAsia="en-US"/>
        </w:rPr>
        <w:t xml:space="preserve"> </w:t>
      </w:r>
      <w:r w:rsidR="00120E35" w:rsidRPr="009D52FD">
        <w:rPr>
          <w:color w:val="000000"/>
          <w:sz w:val="20"/>
          <w:szCs w:val="20"/>
          <w:lang w:val="en-US" w:eastAsia="en-US"/>
        </w:rPr>
        <w:t xml:space="preserve">both referred to two criteria to establish the State’s responsibility for </w:t>
      </w:r>
      <w:r w:rsidR="0064755C" w:rsidRPr="009D52FD">
        <w:rPr>
          <w:color w:val="000000"/>
          <w:sz w:val="20"/>
          <w:szCs w:val="20"/>
          <w:lang w:val="en-US" w:eastAsia="en-US"/>
        </w:rPr>
        <w:t>the violation of</w:t>
      </w:r>
      <w:r w:rsidR="009E4F6C" w:rsidRPr="009D52FD">
        <w:rPr>
          <w:color w:val="000000"/>
          <w:sz w:val="20"/>
          <w:szCs w:val="20"/>
          <w:lang w:val="en-US" w:eastAsia="en-US"/>
        </w:rPr>
        <w:t xml:space="preserve"> </w:t>
      </w:r>
      <w:r w:rsidRPr="009D52FD">
        <w:rPr>
          <w:color w:val="000000"/>
          <w:sz w:val="20"/>
          <w:szCs w:val="20"/>
          <w:lang w:val="en-US" w:eastAsia="en-US"/>
        </w:rPr>
        <w:t>Articles</w:t>
      </w:r>
      <w:r w:rsidR="009E4F6C" w:rsidRPr="009D52FD">
        <w:rPr>
          <w:color w:val="000000"/>
          <w:sz w:val="20"/>
          <w:szCs w:val="20"/>
          <w:lang w:val="en-US" w:eastAsia="en-US"/>
        </w:rPr>
        <w:t xml:space="preserve"> 5, 7</w:t>
      </w:r>
      <w:r w:rsidRPr="009D52FD">
        <w:rPr>
          <w:color w:val="000000"/>
          <w:sz w:val="20"/>
          <w:szCs w:val="20"/>
          <w:lang w:val="en-US" w:eastAsia="en-US"/>
        </w:rPr>
        <w:t xml:space="preserve"> and </w:t>
      </w:r>
      <w:r w:rsidR="009E4F6C" w:rsidRPr="009D52FD">
        <w:rPr>
          <w:color w:val="000000"/>
          <w:sz w:val="20"/>
          <w:szCs w:val="20"/>
          <w:lang w:val="en-US" w:eastAsia="en-US"/>
        </w:rPr>
        <w:t>11</w:t>
      </w:r>
      <w:r w:rsidRPr="009D52FD">
        <w:rPr>
          <w:color w:val="000000"/>
          <w:sz w:val="20"/>
          <w:szCs w:val="20"/>
          <w:lang w:val="en-US" w:eastAsia="en-US"/>
        </w:rPr>
        <w:t xml:space="preserve"> of the American Convention and </w:t>
      </w:r>
      <w:r w:rsidR="009E4F6C" w:rsidRPr="009D52FD">
        <w:rPr>
          <w:color w:val="000000"/>
          <w:sz w:val="20"/>
          <w:szCs w:val="20"/>
          <w:lang w:val="en-US" w:eastAsia="en-US"/>
        </w:rPr>
        <w:t>7</w:t>
      </w:r>
      <w:r w:rsidRPr="009D52FD">
        <w:rPr>
          <w:color w:val="000000"/>
          <w:sz w:val="20"/>
          <w:szCs w:val="20"/>
          <w:lang w:val="en-US" w:eastAsia="en-US"/>
        </w:rPr>
        <w:t xml:space="preserve"> of the Convention</w:t>
      </w:r>
      <w:r w:rsidR="009E4F6C" w:rsidRPr="009D52FD">
        <w:rPr>
          <w:color w:val="000000"/>
          <w:sz w:val="20"/>
          <w:szCs w:val="20"/>
          <w:lang w:val="en-US" w:eastAsia="en-US"/>
        </w:rPr>
        <w:t xml:space="preserve"> </w:t>
      </w:r>
      <w:r w:rsidR="00483040" w:rsidRPr="009D52FD">
        <w:rPr>
          <w:color w:val="000000"/>
          <w:sz w:val="20"/>
          <w:szCs w:val="20"/>
          <w:lang w:val="en-US" w:eastAsia="en-US"/>
        </w:rPr>
        <w:t>of Belém</w:t>
      </w:r>
      <w:r w:rsidR="009E4F6C" w:rsidRPr="009D52FD">
        <w:rPr>
          <w:color w:val="000000"/>
          <w:sz w:val="20"/>
          <w:szCs w:val="20"/>
          <w:lang w:val="en-US" w:eastAsia="en-US"/>
        </w:rPr>
        <w:t xml:space="preserve"> do Pará. </w:t>
      </w:r>
      <w:r w:rsidR="00120E35" w:rsidRPr="009D52FD">
        <w:rPr>
          <w:color w:val="000000"/>
          <w:sz w:val="20"/>
          <w:szCs w:val="20"/>
          <w:lang w:val="en-US" w:eastAsia="en-US"/>
        </w:rPr>
        <w:t xml:space="preserve">On the one hand, they used a risk analysis to determine the scope of the obligation of due diligence </w:t>
      </w:r>
      <w:r w:rsidR="007D4B55" w:rsidRPr="009D52FD">
        <w:rPr>
          <w:color w:val="000000"/>
          <w:sz w:val="20"/>
          <w:szCs w:val="20"/>
          <w:lang w:val="en-US" w:eastAsia="en-US"/>
        </w:rPr>
        <w:t>for</w:t>
      </w:r>
      <w:r w:rsidR="00120E35" w:rsidRPr="009D52FD">
        <w:rPr>
          <w:color w:val="000000"/>
          <w:sz w:val="20"/>
          <w:szCs w:val="20"/>
          <w:lang w:val="en-US" w:eastAsia="en-US"/>
        </w:rPr>
        <w:t xml:space="preserve"> prevention and protection and, on the other, they argued that a situation of acquiescence and complicity had been constituted in this case. Meanwhile, the </w:t>
      </w:r>
      <w:r w:rsidR="00120E35" w:rsidRPr="009D52FD">
        <w:rPr>
          <w:b/>
          <w:bCs/>
          <w:i/>
          <w:iCs/>
          <w:color w:val="000000"/>
          <w:sz w:val="20"/>
          <w:szCs w:val="20"/>
          <w:lang w:val="en-US" w:eastAsia="en-US"/>
        </w:rPr>
        <w:t xml:space="preserve">State </w:t>
      </w:r>
      <w:r w:rsidR="00120E35" w:rsidRPr="009D52FD">
        <w:rPr>
          <w:color w:val="000000"/>
          <w:sz w:val="20"/>
          <w:szCs w:val="20"/>
          <w:lang w:val="en-US" w:eastAsia="en-US"/>
        </w:rPr>
        <w:t>argued that it could not be held responsible for the acts of</w:t>
      </w:r>
      <w:r w:rsidR="007D4B55" w:rsidRPr="009D52FD">
        <w:rPr>
          <w:color w:val="000000"/>
          <w:sz w:val="20"/>
          <w:szCs w:val="20"/>
          <w:lang w:val="en-US" w:eastAsia="en-US"/>
        </w:rPr>
        <w:t xml:space="preserve"> private</w:t>
      </w:r>
      <w:r w:rsidR="00120E35" w:rsidRPr="009D52FD">
        <w:rPr>
          <w:color w:val="000000"/>
          <w:sz w:val="20"/>
          <w:szCs w:val="20"/>
          <w:lang w:val="en-US" w:eastAsia="en-US"/>
        </w:rPr>
        <w:t xml:space="preserve"> </w:t>
      </w:r>
      <w:r w:rsidR="00F75897" w:rsidRPr="009D52FD">
        <w:rPr>
          <w:color w:val="000000"/>
          <w:sz w:val="20"/>
          <w:szCs w:val="20"/>
          <w:lang w:val="en-US" w:eastAsia="en-US"/>
        </w:rPr>
        <w:t>individual</w:t>
      </w:r>
      <w:r w:rsidR="00120E35" w:rsidRPr="009D52FD">
        <w:rPr>
          <w:color w:val="000000"/>
          <w:sz w:val="20"/>
          <w:szCs w:val="20"/>
          <w:lang w:val="en-US" w:eastAsia="en-US"/>
        </w:rPr>
        <w:t>s because Venezuela “was not and should not have been aware of what was happening to Linda Loaiza López Soto before she was rescued by police authorities.”</w:t>
      </w:r>
    </w:p>
    <w:p w14:paraId="764C9EEC" w14:textId="77777777" w:rsidR="009E4F6C" w:rsidRPr="009D52FD" w:rsidRDefault="009E4F6C" w:rsidP="009E4F6C">
      <w:pPr>
        <w:widowControl/>
        <w:adjustRightInd/>
        <w:spacing w:line="240" w:lineRule="auto"/>
        <w:textAlignment w:val="auto"/>
        <w:rPr>
          <w:color w:val="000000"/>
          <w:sz w:val="20"/>
          <w:szCs w:val="20"/>
          <w:lang w:val="en-US" w:eastAsia="en-US"/>
        </w:rPr>
      </w:pPr>
    </w:p>
    <w:p w14:paraId="7479B1BA" w14:textId="7142F5AF" w:rsidR="009E4F6C" w:rsidRPr="009D52FD" w:rsidRDefault="00120E35" w:rsidP="00FD52D4">
      <w:pPr>
        <w:numPr>
          <w:ilvl w:val="0"/>
          <w:numId w:val="1"/>
        </w:numPr>
        <w:tabs>
          <w:tab w:val="left" w:pos="567"/>
        </w:tabs>
        <w:spacing w:line="240" w:lineRule="auto"/>
        <w:ind w:left="0" w:firstLine="0"/>
        <w:rPr>
          <w:sz w:val="20"/>
          <w:szCs w:val="20"/>
          <w:lang w:val="en-US" w:eastAsia="en-US"/>
        </w:rPr>
      </w:pPr>
      <w:r w:rsidRPr="009D52FD">
        <w:rPr>
          <w:color w:val="000000"/>
          <w:sz w:val="20"/>
          <w:szCs w:val="20"/>
          <w:lang w:val="en-US" w:eastAsia="en-US"/>
        </w:rPr>
        <w:t>Although,</w:t>
      </w:r>
      <w:r w:rsidR="009E4F6C" w:rsidRPr="009D52FD">
        <w:rPr>
          <w:color w:val="000000"/>
          <w:sz w:val="20"/>
          <w:szCs w:val="20"/>
          <w:lang w:val="en-US" w:eastAsia="en-US"/>
        </w:rPr>
        <w:t xml:space="preserve"> </w:t>
      </w:r>
      <w:r w:rsidRPr="009D52FD">
        <w:rPr>
          <w:color w:val="000000"/>
          <w:sz w:val="20"/>
          <w:szCs w:val="20"/>
          <w:lang w:val="en-US" w:eastAsia="en-US"/>
        </w:rPr>
        <w:t xml:space="preserve">in its case law, </w:t>
      </w:r>
      <w:r w:rsidR="003630BB" w:rsidRPr="009D52FD">
        <w:rPr>
          <w:color w:val="000000"/>
          <w:sz w:val="20"/>
          <w:szCs w:val="20"/>
          <w:lang w:val="en-US" w:eastAsia="en-US"/>
        </w:rPr>
        <w:t>the Court</w:t>
      </w:r>
      <w:r w:rsidR="009E4F6C" w:rsidRPr="009D52FD">
        <w:rPr>
          <w:color w:val="000000"/>
          <w:sz w:val="20"/>
          <w:szCs w:val="20"/>
          <w:lang w:val="en-US" w:eastAsia="en-US"/>
        </w:rPr>
        <w:t xml:space="preserve"> ha</w:t>
      </w:r>
      <w:r w:rsidRPr="009D52FD">
        <w:rPr>
          <w:color w:val="000000"/>
          <w:sz w:val="20"/>
          <w:szCs w:val="20"/>
          <w:lang w:val="en-US" w:eastAsia="en-US"/>
        </w:rPr>
        <w:t>s</w:t>
      </w:r>
      <w:r w:rsidR="009E4F6C" w:rsidRPr="009D52FD">
        <w:rPr>
          <w:color w:val="000000"/>
          <w:sz w:val="20"/>
          <w:szCs w:val="20"/>
          <w:lang w:val="en-US" w:eastAsia="en-US"/>
        </w:rPr>
        <w:t xml:space="preserve"> </w:t>
      </w:r>
      <w:r w:rsidR="007D3D4F" w:rsidRPr="009D52FD">
        <w:rPr>
          <w:color w:val="000000"/>
          <w:sz w:val="20"/>
          <w:szCs w:val="20"/>
          <w:lang w:val="en-US" w:eastAsia="en-US"/>
        </w:rPr>
        <w:t xml:space="preserve">recognized </w:t>
      </w:r>
      <w:r w:rsidRPr="009D52FD">
        <w:rPr>
          <w:color w:val="000000"/>
          <w:sz w:val="20"/>
          <w:szCs w:val="20"/>
          <w:lang w:val="en-US" w:eastAsia="en-US"/>
        </w:rPr>
        <w:t>that “international responsibility may also arise from acts of</w:t>
      </w:r>
      <w:r w:rsidR="007D4B55" w:rsidRPr="009D52FD">
        <w:rPr>
          <w:color w:val="000000"/>
          <w:sz w:val="20"/>
          <w:szCs w:val="20"/>
          <w:lang w:val="en-US" w:eastAsia="en-US"/>
        </w:rPr>
        <w:t xml:space="preserve"> private</w:t>
      </w:r>
      <w:r w:rsidRPr="009D52FD">
        <w:rPr>
          <w:color w:val="000000"/>
          <w:sz w:val="20"/>
          <w:szCs w:val="20"/>
          <w:lang w:val="en-US" w:eastAsia="en-US"/>
        </w:rPr>
        <w:t xml:space="preserve"> </w:t>
      </w:r>
      <w:r w:rsidR="00F75897" w:rsidRPr="009D52FD">
        <w:rPr>
          <w:color w:val="000000"/>
          <w:sz w:val="20"/>
          <w:szCs w:val="20"/>
          <w:lang w:val="en-US" w:eastAsia="en-US"/>
        </w:rPr>
        <w:t>individual</w:t>
      </w:r>
      <w:r w:rsidRPr="009D52FD">
        <w:rPr>
          <w:color w:val="000000"/>
          <w:sz w:val="20"/>
          <w:szCs w:val="20"/>
          <w:lang w:val="en-US" w:eastAsia="en-US"/>
        </w:rPr>
        <w:t>s that cannot, in principle, be attributed to the State,</w:t>
      </w:r>
      <w:r w:rsidR="009E4F6C" w:rsidRPr="009D52FD">
        <w:rPr>
          <w:sz w:val="20"/>
          <w:szCs w:val="20"/>
          <w:lang w:val="en-US" w:eastAsia="en-US"/>
        </w:rPr>
        <w:t>”</w:t>
      </w:r>
      <w:r w:rsidR="009E4F6C" w:rsidRPr="009D52FD">
        <w:rPr>
          <w:sz w:val="20"/>
          <w:szCs w:val="20"/>
          <w:vertAlign w:val="superscript"/>
          <w:lang w:val="en-US" w:eastAsia="en-US"/>
        </w:rPr>
        <w:footnoteReference w:id="224"/>
      </w:r>
      <w:r w:rsidRPr="009D52FD">
        <w:rPr>
          <w:sz w:val="20"/>
          <w:szCs w:val="20"/>
          <w:lang w:val="en-US" w:eastAsia="en-US"/>
        </w:rPr>
        <w:t xml:space="preserve"> </w:t>
      </w:r>
      <w:r w:rsidR="00FD52D4" w:rsidRPr="009D52FD">
        <w:rPr>
          <w:sz w:val="20"/>
          <w:szCs w:val="20"/>
          <w:lang w:val="en-US" w:eastAsia="en-US"/>
        </w:rPr>
        <w:t xml:space="preserve">it is also true that a State cannot be held responsible for </w:t>
      </w:r>
      <w:r w:rsidR="00F75897" w:rsidRPr="009D52FD">
        <w:rPr>
          <w:sz w:val="20"/>
          <w:szCs w:val="20"/>
          <w:lang w:val="en-US" w:eastAsia="en-US"/>
        </w:rPr>
        <w:t>all the</w:t>
      </w:r>
      <w:r w:rsidR="00FD52D4" w:rsidRPr="009D52FD">
        <w:rPr>
          <w:sz w:val="20"/>
          <w:szCs w:val="20"/>
          <w:lang w:val="en-US" w:eastAsia="en-US"/>
        </w:rPr>
        <w:t xml:space="preserve"> human rights violation</w:t>
      </w:r>
      <w:r w:rsidR="00F75897" w:rsidRPr="009D52FD">
        <w:rPr>
          <w:sz w:val="20"/>
          <w:szCs w:val="20"/>
          <w:lang w:val="en-US" w:eastAsia="en-US"/>
        </w:rPr>
        <w:t>s</w:t>
      </w:r>
      <w:r w:rsidR="00FD52D4" w:rsidRPr="009D52FD">
        <w:rPr>
          <w:sz w:val="20"/>
          <w:szCs w:val="20"/>
          <w:lang w:val="en-US" w:eastAsia="en-US"/>
        </w:rPr>
        <w:t xml:space="preserve"> committed between </w:t>
      </w:r>
      <w:r w:rsidR="007D4B55" w:rsidRPr="009D52FD">
        <w:rPr>
          <w:sz w:val="20"/>
          <w:szCs w:val="20"/>
          <w:lang w:val="en-US" w:eastAsia="en-US"/>
        </w:rPr>
        <w:t xml:space="preserve">private </w:t>
      </w:r>
      <w:r w:rsidR="00FD52D4" w:rsidRPr="009D52FD">
        <w:rPr>
          <w:sz w:val="20"/>
          <w:szCs w:val="20"/>
          <w:lang w:val="en-US" w:eastAsia="en-US"/>
        </w:rPr>
        <w:t>individuals within its jurisdiction. Indeed, the</w:t>
      </w:r>
      <w:r w:rsidR="00F75897" w:rsidRPr="009D52FD">
        <w:rPr>
          <w:sz w:val="20"/>
          <w:szCs w:val="20"/>
          <w:lang w:val="en-US" w:eastAsia="en-US"/>
        </w:rPr>
        <w:t xml:space="preserve"> nature</w:t>
      </w:r>
      <w:r w:rsidR="00FD52D4" w:rsidRPr="009D52FD">
        <w:rPr>
          <w:sz w:val="20"/>
          <w:szCs w:val="20"/>
          <w:lang w:val="en-US" w:eastAsia="en-US"/>
        </w:rPr>
        <w:t xml:space="preserve"> </w:t>
      </w:r>
      <w:r w:rsidR="00FD52D4" w:rsidRPr="009D52FD">
        <w:rPr>
          <w:i/>
          <w:sz w:val="20"/>
          <w:szCs w:val="20"/>
          <w:lang w:val="en-US" w:eastAsia="en-US"/>
        </w:rPr>
        <w:t>erga omnes</w:t>
      </w:r>
      <w:r w:rsidR="00FD52D4" w:rsidRPr="009D52FD">
        <w:rPr>
          <w:sz w:val="20"/>
          <w:szCs w:val="20"/>
          <w:lang w:val="en-US" w:eastAsia="en-US"/>
        </w:rPr>
        <w:t xml:space="preserve"> of the </w:t>
      </w:r>
      <w:r w:rsidR="00F75897" w:rsidRPr="009D52FD">
        <w:rPr>
          <w:sz w:val="20"/>
          <w:szCs w:val="20"/>
          <w:lang w:val="en-US" w:eastAsia="en-US"/>
        </w:rPr>
        <w:t>treaty-based guarantee obligations of the States does not</w:t>
      </w:r>
      <w:r w:rsidR="00FD52D4" w:rsidRPr="009D52FD">
        <w:rPr>
          <w:sz w:val="20"/>
          <w:szCs w:val="20"/>
          <w:lang w:val="en-US" w:eastAsia="en-US"/>
        </w:rPr>
        <w:t xml:space="preserve"> entail </w:t>
      </w:r>
      <w:r w:rsidR="00F75897" w:rsidRPr="009D52FD">
        <w:rPr>
          <w:sz w:val="20"/>
          <w:szCs w:val="20"/>
          <w:lang w:val="en-US" w:eastAsia="en-US"/>
        </w:rPr>
        <w:t>their</w:t>
      </w:r>
      <w:r w:rsidR="00FD52D4" w:rsidRPr="009D52FD">
        <w:rPr>
          <w:sz w:val="20"/>
          <w:szCs w:val="20"/>
          <w:lang w:val="en-US" w:eastAsia="en-US"/>
        </w:rPr>
        <w:t xml:space="preserve"> unlimited responsibility </w:t>
      </w:r>
      <w:r w:rsidR="00F75897" w:rsidRPr="009D52FD">
        <w:rPr>
          <w:sz w:val="20"/>
          <w:szCs w:val="20"/>
          <w:lang w:val="en-US" w:eastAsia="en-US"/>
        </w:rPr>
        <w:t xml:space="preserve">for all acts or deeds of </w:t>
      </w:r>
      <w:r w:rsidR="00FD52D4" w:rsidRPr="009D52FD">
        <w:rPr>
          <w:sz w:val="20"/>
          <w:szCs w:val="20"/>
          <w:lang w:val="en-US" w:eastAsia="en-US"/>
        </w:rPr>
        <w:t>individuals.</w:t>
      </w:r>
      <w:r w:rsidR="009E4F6C" w:rsidRPr="009D52FD">
        <w:rPr>
          <w:sz w:val="20"/>
          <w:szCs w:val="20"/>
          <w:vertAlign w:val="superscript"/>
          <w:lang w:val="en-US" w:eastAsia="en-US"/>
        </w:rPr>
        <w:footnoteReference w:id="225"/>
      </w:r>
      <w:r w:rsidR="00FD52D4" w:rsidRPr="009D52FD">
        <w:rPr>
          <w:sz w:val="20"/>
          <w:szCs w:val="20"/>
          <w:lang w:val="en-US" w:eastAsia="en-US"/>
        </w:rPr>
        <w:t xml:space="preserve"> In other words, even though an act</w:t>
      </w:r>
      <w:r w:rsidR="00F75897" w:rsidRPr="009D52FD">
        <w:rPr>
          <w:sz w:val="20"/>
          <w:szCs w:val="20"/>
          <w:lang w:val="en-US" w:eastAsia="en-US"/>
        </w:rPr>
        <w:t xml:space="preserve">, </w:t>
      </w:r>
      <w:r w:rsidR="00FD52D4" w:rsidRPr="009D52FD">
        <w:rPr>
          <w:sz w:val="20"/>
          <w:szCs w:val="20"/>
          <w:lang w:val="en-US" w:eastAsia="en-US"/>
        </w:rPr>
        <w:t xml:space="preserve">omission </w:t>
      </w:r>
      <w:r w:rsidR="00F75897" w:rsidRPr="009D52FD">
        <w:rPr>
          <w:sz w:val="20"/>
          <w:szCs w:val="20"/>
          <w:lang w:val="en-US" w:eastAsia="en-US"/>
        </w:rPr>
        <w:t xml:space="preserve">or deed </w:t>
      </w:r>
      <w:r w:rsidR="00FD52D4" w:rsidRPr="009D52FD">
        <w:rPr>
          <w:sz w:val="20"/>
          <w:szCs w:val="20"/>
          <w:lang w:val="en-US" w:eastAsia="en-US"/>
        </w:rPr>
        <w:t>of a</w:t>
      </w:r>
      <w:r w:rsidR="00F75897" w:rsidRPr="009D52FD">
        <w:rPr>
          <w:sz w:val="20"/>
          <w:szCs w:val="20"/>
          <w:lang w:val="en-US" w:eastAsia="en-US"/>
        </w:rPr>
        <w:t>n</w:t>
      </w:r>
      <w:r w:rsidR="00FD52D4" w:rsidRPr="009D52FD">
        <w:rPr>
          <w:sz w:val="20"/>
          <w:szCs w:val="20"/>
          <w:lang w:val="en-US" w:eastAsia="en-US"/>
        </w:rPr>
        <w:t xml:space="preserve"> individual has the legal consequence of the violation of certain rights of another individual, this cannot automatically be attributed to the State, because it is necessary to take into account the particular circumstances of the case and the implementation of the said obligation of guarantee.</w:t>
      </w:r>
      <w:r w:rsidR="009E4F6C" w:rsidRPr="009D52FD">
        <w:rPr>
          <w:sz w:val="20"/>
          <w:szCs w:val="20"/>
          <w:vertAlign w:val="superscript"/>
          <w:lang w:val="en-US" w:eastAsia="en-US"/>
        </w:rPr>
        <w:footnoteReference w:id="226"/>
      </w:r>
    </w:p>
    <w:p w14:paraId="7BA41F48" w14:textId="77777777" w:rsidR="009E4F6C" w:rsidRPr="009D52FD" w:rsidRDefault="009E4F6C" w:rsidP="009E4F6C">
      <w:pPr>
        <w:widowControl/>
        <w:adjustRightInd/>
        <w:spacing w:line="240" w:lineRule="auto"/>
        <w:textAlignment w:val="auto"/>
        <w:rPr>
          <w:sz w:val="20"/>
          <w:szCs w:val="20"/>
          <w:lang w:val="en-US" w:eastAsia="en-US"/>
        </w:rPr>
      </w:pPr>
    </w:p>
    <w:p w14:paraId="625110F4" w14:textId="77E21CF0" w:rsidR="009E4F6C" w:rsidRPr="009D52FD" w:rsidRDefault="00FD52D4" w:rsidP="00F75897">
      <w:pPr>
        <w:numPr>
          <w:ilvl w:val="0"/>
          <w:numId w:val="1"/>
        </w:numPr>
        <w:tabs>
          <w:tab w:val="left" w:pos="567"/>
        </w:tabs>
        <w:spacing w:line="240" w:lineRule="auto"/>
        <w:ind w:left="0" w:firstLine="0"/>
        <w:rPr>
          <w:sz w:val="20"/>
          <w:szCs w:val="20"/>
          <w:lang w:val="en-US" w:eastAsia="en-US"/>
        </w:rPr>
      </w:pPr>
      <w:r w:rsidRPr="009D52FD">
        <w:rPr>
          <w:sz w:val="20"/>
          <w:szCs w:val="20"/>
          <w:lang w:val="en-US" w:eastAsia="en-US"/>
        </w:rPr>
        <w:t>The formula used by the Inter-American Court to determine the scope of those obligations and to attribute responsibility to the State for failing in its duty of due diligence to prevent and protect</w:t>
      </w:r>
      <w:r w:rsidR="007D4B55" w:rsidRPr="009D52FD">
        <w:rPr>
          <w:sz w:val="20"/>
          <w:szCs w:val="20"/>
          <w:lang w:val="en-US" w:eastAsia="en-US"/>
        </w:rPr>
        <w:t xml:space="preserve"> private</w:t>
      </w:r>
      <w:r w:rsidRPr="009D52FD">
        <w:rPr>
          <w:sz w:val="20"/>
          <w:szCs w:val="20"/>
          <w:lang w:val="en-US" w:eastAsia="en-US"/>
        </w:rPr>
        <w:t xml:space="preserve"> individuals or a group of individuals from the acts of </w:t>
      </w:r>
      <w:r w:rsidR="007D4B55" w:rsidRPr="009D52FD">
        <w:rPr>
          <w:sz w:val="20"/>
          <w:szCs w:val="20"/>
          <w:lang w:val="en-US" w:eastAsia="en-US"/>
        </w:rPr>
        <w:t xml:space="preserve">other </w:t>
      </w:r>
      <w:r w:rsidR="00F75897" w:rsidRPr="009D52FD">
        <w:rPr>
          <w:sz w:val="20"/>
          <w:szCs w:val="20"/>
          <w:lang w:val="en-US" w:eastAsia="en-US"/>
        </w:rPr>
        <w:t>individual</w:t>
      </w:r>
      <w:r w:rsidRPr="009D52FD">
        <w:rPr>
          <w:sz w:val="20"/>
          <w:szCs w:val="20"/>
          <w:lang w:val="en-US" w:eastAsia="en-US"/>
        </w:rPr>
        <w:t xml:space="preserve">s was developed </w:t>
      </w:r>
      <w:r w:rsidR="00F75897" w:rsidRPr="009D52FD">
        <w:rPr>
          <w:sz w:val="20"/>
          <w:szCs w:val="20"/>
          <w:lang w:val="en-US" w:eastAsia="en-US"/>
        </w:rPr>
        <w:t xml:space="preserve">starting with the </w:t>
      </w:r>
      <w:r w:rsidR="00F75897" w:rsidRPr="009D52FD">
        <w:rPr>
          <w:i/>
          <w:sz w:val="20"/>
          <w:szCs w:val="20"/>
          <w:lang w:val="en-US" w:eastAsia="en-US"/>
        </w:rPr>
        <w:t xml:space="preserve">Case of the Pueblo Bello Massacre v. Colombia. </w:t>
      </w:r>
      <w:r w:rsidR="00F75897" w:rsidRPr="009D52FD">
        <w:rPr>
          <w:iCs/>
          <w:sz w:val="20"/>
          <w:szCs w:val="20"/>
          <w:lang w:val="en-US" w:eastAsia="en-US"/>
        </w:rPr>
        <w:t xml:space="preserve">In that case, it asserted that the “obligations </w:t>
      </w:r>
      <w:r w:rsidR="00F75897" w:rsidRPr="009D52FD">
        <w:rPr>
          <w:rFonts w:cs="Arial"/>
          <w:sz w:val="20"/>
          <w:szCs w:val="20"/>
          <w:lang w:val="en-US"/>
        </w:rPr>
        <w:t xml:space="preserve">to adopt prevention and protection measures for </w:t>
      </w:r>
      <w:r w:rsidR="007D4B55" w:rsidRPr="009D52FD">
        <w:rPr>
          <w:rFonts w:cs="Arial"/>
          <w:sz w:val="20"/>
          <w:szCs w:val="20"/>
          <w:lang w:val="en-US"/>
        </w:rPr>
        <w:t xml:space="preserve">private </w:t>
      </w:r>
      <w:r w:rsidR="00F75897" w:rsidRPr="009D52FD">
        <w:rPr>
          <w:rFonts w:cs="Arial"/>
          <w:sz w:val="20"/>
          <w:szCs w:val="20"/>
          <w:lang w:val="en-US"/>
        </w:rPr>
        <w:t>individuals in their relationships with each other are conditioned by the awareness of a situation of real and imminent danger for a specific individual or group of individuals and to the reasonable possibilities of preventing or avoiding that danger.</w:t>
      </w:r>
      <w:r w:rsidR="009E4F6C" w:rsidRPr="009D52FD">
        <w:rPr>
          <w:sz w:val="20"/>
          <w:szCs w:val="20"/>
          <w:lang w:val="en-US" w:eastAsia="en-US"/>
        </w:rPr>
        <w:t>”</w:t>
      </w:r>
      <w:r w:rsidR="009E4F6C" w:rsidRPr="009D52FD">
        <w:rPr>
          <w:sz w:val="20"/>
          <w:szCs w:val="20"/>
          <w:vertAlign w:val="superscript"/>
          <w:lang w:val="en-US" w:eastAsia="en-US"/>
        </w:rPr>
        <w:footnoteReference w:id="227"/>
      </w:r>
      <w:r w:rsidR="00F75897" w:rsidRPr="009D52FD">
        <w:rPr>
          <w:sz w:val="20"/>
          <w:szCs w:val="20"/>
          <w:lang w:val="en-US" w:eastAsia="en-US"/>
        </w:rPr>
        <w:t xml:space="preserve"> </w:t>
      </w:r>
    </w:p>
    <w:p w14:paraId="5B044DF6" w14:textId="77777777" w:rsidR="009E4F6C" w:rsidRPr="009D52FD" w:rsidRDefault="009E4F6C" w:rsidP="009E4F6C">
      <w:pPr>
        <w:widowControl/>
        <w:adjustRightInd/>
        <w:spacing w:line="240" w:lineRule="auto"/>
        <w:textAlignment w:val="auto"/>
        <w:rPr>
          <w:sz w:val="20"/>
          <w:szCs w:val="20"/>
          <w:lang w:val="en-US" w:eastAsia="en-US"/>
        </w:rPr>
      </w:pPr>
    </w:p>
    <w:p w14:paraId="65119C71" w14:textId="26BD9DA5" w:rsidR="00ED6AB3" w:rsidRPr="009D52FD" w:rsidRDefault="00793917" w:rsidP="003C5989">
      <w:pPr>
        <w:numPr>
          <w:ilvl w:val="0"/>
          <w:numId w:val="1"/>
        </w:numPr>
        <w:tabs>
          <w:tab w:val="left" w:pos="567"/>
        </w:tabs>
        <w:spacing w:line="240" w:lineRule="auto"/>
        <w:ind w:left="0" w:firstLine="0"/>
        <w:rPr>
          <w:sz w:val="20"/>
          <w:szCs w:val="20"/>
          <w:lang w:val="en-US" w:eastAsia="en-US"/>
        </w:rPr>
      </w:pPr>
      <w:r w:rsidRPr="009D52FD">
        <w:rPr>
          <w:sz w:val="20"/>
          <w:szCs w:val="20"/>
          <w:lang w:val="en-US" w:eastAsia="en-US"/>
        </w:rPr>
        <w:t>Consequently, based on its consistent case law</w:t>
      </w:r>
      <w:r w:rsidR="009E4F6C" w:rsidRPr="009D52FD">
        <w:rPr>
          <w:sz w:val="20"/>
          <w:szCs w:val="20"/>
          <w:lang w:val="en-US" w:eastAsia="en-US"/>
        </w:rPr>
        <w:t>,</w:t>
      </w:r>
      <w:r w:rsidR="009E4F6C" w:rsidRPr="009D52FD">
        <w:rPr>
          <w:sz w:val="20"/>
          <w:szCs w:val="20"/>
          <w:vertAlign w:val="superscript"/>
          <w:lang w:val="en-US" w:eastAsia="en-US"/>
        </w:rPr>
        <w:footnoteReference w:id="228"/>
      </w:r>
      <w:r w:rsidR="003630BB" w:rsidRPr="009D52FD">
        <w:rPr>
          <w:color w:val="000000"/>
          <w:sz w:val="20"/>
          <w:szCs w:val="20"/>
          <w:lang w:val="en-US" w:eastAsia="en-US"/>
        </w:rPr>
        <w:t xml:space="preserve"> and </w:t>
      </w:r>
      <w:r w:rsidRPr="009D52FD">
        <w:rPr>
          <w:sz w:val="20"/>
          <w:szCs w:val="20"/>
          <w:lang w:val="en-US" w:eastAsia="en-US"/>
        </w:rPr>
        <w:t>in order to</w:t>
      </w:r>
      <w:r w:rsidR="009E4F6C" w:rsidRPr="009D52FD">
        <w:rPr>
          <w:sz w:val="20"/>
          <w:szCs w:val="20"/>
          <w:lang w:val="en-US" w:eastAsia="en-US"/>
        </w:rPr>
        <w:t xml:space="preserve"> </w:t>
      </w:r>
      <w:r w:rsidR="007A24B8" w:rsidRPr="009D52FD">
        <w:rPr>
          <w:sz w:val="20"/>
          <w:szCs w:val="20"/>
          <w:lang w:val="en-US" w:eastAsia="en-US"/>
        </w:rPr>
        <w:t>establish</w:t>
      </w:r>
      <w:r w:rsidR="009E4F6C" w:rsidRPr="009D52FD">
        <w:rPr>
          <w:sz w:val="20"/>
          <w:szCs w:val="20"/>
          <w:lang w:val="en-US" w:eastAsia="en-US"/>
        </w:rPr>
        <w:t xml:space="preserve"> </w:t>
      </w:r>
      <w:r w:rsidR="00F75897" w:rsidRPr="009D52FD">
        <w:rPr>
          <w:sz w:val="20"/>
          <w:szCs w:val="20"/>
          <w:lang w:val="en-US" w:eastAsia="en-US"/>
        </w:rPr>
        <w:t xml:space="preserve">non-compliance with the obligation to prevent violations of </w:t>
      </w:r>
      <w:r w:rsidR="00997ADF" w:rsidRPr="009D52FD">
        <w:rPr>
          <w:sz w:val="20"/>
          <w:szCs w:val="20"/>
          <w:lang w:val="en-US" w:eastAsia="en-US"/>
        </w:rPr>
        <w:t>the rights to</w:t>
      </w:r>
      <w:r w:rsidR="009E4F6C" w:rsidRPr="009D52FD">
        <w:rPr>
          <w:sz w:val="20"/>
          <w:szCs w:val="20"/>
          <w:lang w:val="en-US" w:eastAsia="en-US"/>
        </w:rPr>
        <w:t xml:space="preserve"> </w:t>
      </w:r>
      <w:r w:rsidR="00F75897" w:rsidRPr="009D52FD">
        <w:rPr>
          <w:sz w:val="20"/>
          <w:szCs w:val="20"/>
          <w:lang w:val="en-US" w:eastAsia="en-US"/>
        </w:rPr>
        <w:t>life and</w:t>
      </w:r>
      <w:r w:rsidR="009E4F6C" w:rsidRPr="009D52FD">
        <w:rPr>
          <w:sz w:val="20"/>
          <w:szCs w:val="20"/>
          <w:lang w:val="en-US" w:eastAsia="en-US"/>
        </w:rPr>
        <w:t xml:space="preserve"> </w:t>
      </w:r>
      <w:r w:rsidR="00997ADF" w:rsidRPr="009D52FD">
        <w:rPr>
          <w:sz w:val="20"/>
          <w:szCs w:val="20"/>
          <w:lang w:val="en-US" w:eastAsia="en-US"/>
        </w:rPr>
        <w:t>personal integrity</w:t>
      </w:r>
      <w:r w:rsidR="009E4F6C" w:rsidRPr="009D52FD">
        <w:rPr>
          <w:sz w:val="20"/>
          <w:szCs w:val="20"/>
          <w:lang w:val="en-US" w:eastAsia="en-US"/>
        </w:rPr>
        <w:t xml:space="preserve">, </w:t>
      </w:r>
      <w:r w:rsidR="003630BB" w:rsidRPr="009D52FD">
        <w:rPr>
          <w:sz w:val="20"/>
          <w:szCs w:val="20"/>
          <w:lang w:val="en-US" w:eastAsia="en-US"/>
        </w:rPr>
        <w:t>the Court</w:t>
      </w:r>
      <w:r w:rsidR="009E4F6C" w:rsidRPr="009D52FD">
        <w:rPr>
          <w:sz w:val="20"/>
          <w:szCs w:val="20"/>
          <w:lang w:val="en-US" w:eastAsia="en-US"/>
        </w:rPr>
        <w:t xml:space="preserve"> </w:t>
      </w:r>
      <w:r w:rsidR="00ED6AB3" w:rsidRPr="009D52FD">
        <w:rPr>
          <w:sz w:val="20"/>
          <w:szCs w:val="20"/>
          <w:lang w:val="en-US" w:eastAsia="en-US"/>
        </w:rPr>
        <w:t>must verify that:</w:t>
      </w:r>
      <w:r w:rsidR="009E4F6C" w:rsidRPr="009D52FD">
        <w:rPr>
          <w:sz w:val="20"/>
          <w:szCs w:val="20"/>
          <w:lang w:val="en-US" w:eastAsia="en-US"/>
        </w:rPr>
        <w:t xml:space="preserve"> </w:t>
      </w:r>
      <w:r w:rsidR="00ED6AB3" w:rsidRPr="009D52FD">
        <w:rPr>
          <w:sz w:val="20"/>
          <w:szCs w:val="20"/>
          <w:lang w:val="en-US" w:eastAsia="en-US"/>
        </w:rPr>
        <w:t>(</w:t>
      </w:r>
      <w:r w:rsidR="009E4F6C" w:rsidRPr="009D52FD">
        <w:rPr>
          <w:sz w:val="20"/>
          <w:szCs w:val="20"/>
          <w:lang w:val="en-US" w:eastAsia="en-US"/>
        </w:rPr>
        <w:t xml:space="preserve">i) </w:t>
      </w:r>
      <w:r w:rsidR="00ED6AB3" w:rsidRPr="009D52FD">
        <w:rPr>
          <w:sz w:val="20"/>
          <w:szCs w:val="20"/>
          <w:lang w:val="en-US" w:eastAsia="en-US"/>
        </w:rPr>
        <w:t>the state authorities knew or should have known of the existence of a real and imm</w:t>
      </w:r>
      <w:r w:rsidR="007D4B55" w:rsidRPr="009D52FD">
        <w:rPr>
          <w:sz w:val="20"/>
          <w:szCs w:val="20"/>
          <w:lang w:val="en-US" w:eastAsia="en-US"/>
        </w:rPr>
        <w:t>inent</w:t>
      </w:r>
      <w:r w:rsidR="00ED6AB3" w:rsidRPr="009D52FD">
        <w:rPr>
          <w:sz w:val="20"/>
          <w:szCs w:val="20"/>
          <w:lang w:val="en-US" w:eastAsia="en-US"/>
        </w:rPr>
        <w:t xml:space="preserve"> risk </w:t>
      </w:r>
      <w:r w:rsidR="007D4B55" w:rsidRPr="009D52FD">
        <w:rPr>
          <w:sz w:val="20"/>
          <w:szCs w:val="20"/>
          <w:lang w:val="en-US" w:eastAsia="en-US"/>
        </w:rPr>
        <w:t>to</w:t>
      </w:r>
      <w:r w:rsidR="00ED6AB3" w:rsidRPr="009D52FD">
        <w:rPr>
          <w:sz w:val="20"/>
          <w:szCs w:val="20"/>
          <w:lang w:val="en-US" w:eastAsia="en-US"/>
        </w:rPr>
        <w:t xml:space="preserve"> the life and/or personal integrity of a specific individual or group of individuals, </w:t>
      </w:r>
      <w:r w:rsidR="00ED6AB3" w:rsidRPr="009D52FD">
        <w:rPr>
          <w:sz w:val="20"/>
          <w:szCs w:val="20"/>
          <w:lang w:val="en-US" w:eastAsia="en-US"/>
        </w:rPr>
        <w:lastRenderedPageBreak/>
        <w:t>and (ii) those authorities failed to adopt the necessary measures, within their terms of reference, that reasonably considered, could be expected to prevent or avoid that risk.</w:t>
      </w:r>
    </w:p>
    <w:p w14:paraId="739BD205" w14:textId="77777777" w:rsidR="009E4F6C" w:rsidRPr="009D52FD" w:rsidRDefault="009E4F6C" w:rsidP="009E4F6C">
      <w:pPr>
        <w:tabs>
          <w:tab w:val="left" w:pos="567"/>
        </w:tabs>
        <w:spacing w:line="240" w:lineRule="auto"/>
        <w:rPr>
          <w:sz w:val="20"/>
          <w:szCs w:val="20"/>
          <w:lang w:val="en-US" w:eastAsia="en-US"/>
        </w:rPr>
      </w:pPr>
    </w:p>
    <w:p w14:paraId="0D917FD1" w14:textId="3C54BC05" w:rsidR="00ED6AB3" w:rsidRPr="009D52FD" w:rsidRDefault="00ED6AB3" w:rsidP="003C5989">
      <w:pPr>
        <w:numPr>
          <w:ilvl w:val="0"/>
          <w:numId w:val="1"/>
        </w:numPr>
        <w:tabs>
          <w:tab w:val="left" w:pos="567"/>
        </w:tabs>
        <w:spacing w:line="240" w:lineRule="auto"/>
        <w:ind w:left="0" w:firstLine="0"/>
        <w:rPr>
          <w:sz w:val="20"/>
          <w:szCs w:val="20"/>
          <w:lang w:val="en-US" w:eastAsia="en-US"/>
        </w:rPr>
      </w:pPr>
      <w:r w:rsidRPr="009D52FD">
        <w:rPr>
          <w:sz w:val="20"/>
          <w:szCs w:val="20"/>
          <w:lang w:val="en-US" w:eastAsia="en-US"/>
        </w:rPr>
        <w:t>I</w:t>
      </w:r>
      <w:r w:rsidR="009E4F6C" w:rsidRPr="009D52FD">
        <w:rPr>
          <w:sz w:val="20"/>
          <w:szCs w:val="20"/>
          <w:lang w:val="en-US" w:eastAsia="en-US"/>
        </w:rPr>
        <w:t>n s</w:t>
      </w:r>
      <w:r w:rsidR="007D4B55" w:rsidRPr="009D52FD">
        <w:rPr>
          <w:sz w:val="20"/>
          <w:szCs w:val="20"/>
          <w:lang w:val="en-US" w:eastAsia="en-US"/>
        </w:rPr>
        <w:t>hort</w:t>
      </w:r>
      <w:r w:rsidR="009E4F6C" w:rsidRPr="009D52FD">
        <w:rPr>
          <w:sz w:val="20"/>
          <w:szCs w:val="20"/>
          <w:lang w:val="en-US" w:eastAsia="en-US"/>
        </w:rPr>
        <w:t xml:space="preserve">, </w:t>
      </w:r>
      <w:r w:rsidRPr="009D52FD">
        <w:rPr>
          <w:sz w:val="20"/>
          <w:szCs w:val="20"/>
          <w:lang w:val="en-US" w:eastAsia="en-US"/>
        </w:rPr>
        <w:t xml:space="preserve">for the State to be held responsible for failure to comply with an obligation of due diligence </w:t>
      </w:r>
      <w:r w:rsidR="007D4B55" w:rsidRPr="009D52FD">
        <w:rPr>
          <w:sz w:val="20"/>
          <w:szCs w:val="20"/>
          <w:lang w:val="en-US" w:eastAsia="en-US"/>
        </w:rPr>
        <w:t>to</w:t>
      </w:r>
      <w:r w:rsidRPr="009D52FD">
        <w:rPr>
          <w:sz w:val="20"/>
          <w:szCs w:val="20"/>
          <w:lang w:val="en-US" w:eastAsia="en-US"/>
        </w:rPr>
        <w:t xml:space="preserve"> prevent</w:t>
      </w:r>
      <w:r w:rsidR="007D4B55" w:rsidRPr="009D52FD">
        <w:rPr>
          <w:sz w:val="20"/>
          <w:szCs w:val="20"/>
          <w:lang w:val="en-US" w:eastAsia="en-US"/>
        </w:rPr>
        <w:t xml:space="preserve"> violations</w:t>
      </w:r>
      <w:r w:rsidRPr="009D52FD">
        <w:rPr>
          <w:sz w:val="20"/>
          <w:szCs w:val="20"/>
          <w:lang w:val="en-US" w:eastAsia="en-US"/>
        </w:rPr>
        <w:t xml:space="preserve"> and to protect the rights of a specific individual or group of individuals in relation to acts of other individuals, it is necessary, first, to establish that the State was aware of a real and imm</w:t>
      </w:r>
      <w:r w:rsidR="007D4B55" w:rsidRPr="009D52FD">
        <w:rPr>
          <w:sz w:val="20"/>
          <w:szCs w:val="20"/>
          <w:lang w:val="en-US" w:eastAsia="en-US"/>
        </w:rPr>
        <w:t>inent</w:t>
      </w:r>
      <w:r w:rsidRPr="009D52FD">
        <w:rPr>
          <w:sz w:val="20"/>
          <w:szCs w:val="20"/>
          <w:lang w:val="en-US" w:eastAsia="en-US"/>
        </w:rPr>
        <w:t xml:space="preserve"> danger and, second, to evaluate whether reasonable measures were adopted to prevent or to avoid the danger in question. When examining the reasonableness of the actions implemented by the State, the Court assesses, on the one hand, those that address the problem of violence against women in general and, on the other, those adopted in the specific case once </w:t>
      </w:r>
      <w:r w:rsidR="007D4B55" w:rsidRPr="009D52FD">
        <w:rPr>
          <w:sz w:val="20"/>
          <w:szCs w:val="20"/>
          <w:lang w:val="en-US" w:eastAsia="en-US"/>
        </w:rPr>
        <w:t>the State</w:t>
      </w:r>
      <w:r w:rsidRPr="009D52FD">
        <w:rPr>
          <w:sz w:val="20"/>
          <w:szCs w:val="20"/>
          <w:lang w:val="en-US" w:eastAsia="en-US"/>
        </w:rPr>
        <w:t xml:space="preserve"> bec</w:t>
      </w:r>
      <w:r w:rsidR="007D4B55" w:rsidRPr="009D52FD">
        <w:rPr>
          <w:sz w:val="20"/>
          <w:szCs w:val="20"/>
          <w:lang w:val="en-US" w:eastAsia="en-US"/>
        </w:rPr>
        <w:t>ame</w:t>
      </w:r>
      <w:r w:rsidRPr="009D52FD">
        <w:rPr>
          <w:sz w:val="20"/>
          <w:szCs w:val="20"/>
          <w:lang w:val="en-US" w:eastAsia="en-US"/>
        </w:rPr>
        <w:t xml:space="preserve"> aware of the risk of serious harm to the physical, sexual and/or psychological integrity of the woman, and even to her life, which activates the duty of </w:t>
      </w:r>
      <w:r w:rsidR="007D4B55" w:rsidRPr="009D52FD">
        <w:rPr>
          <w:sz w:val="20"/>
          <w:szCs w:val="20"/>
          <w:lang w:val="en-US" w:eastAsia="en-US"/>
        </w:rPr>
        <w:t xml:space="preserve">strict or </w:t>
      </w:r>
      <w:r w:rsidRPr="009D52FD">
        <w:rPr>
          <w:sz w:val="20"/>
          <w:szCs w:val="20"/>
          <w:lang w:val="en-US" w:eastAsia="en-US"/>
        </w:rPr>
        <w:t>enhanced due diligence.</w:t>
      </w:r>
    </w:p>
    <w:p w14:paraId="728A460D" w14:textId="77777777" w:rsidR="009E4F6C" w:rsidRPr="009D52FD" w:rsidRDefault="009E4F6C" w:rsidP="009E4F6C">
      <w:pPr>
        <w:widowControl/>
        <w:adjustRightInd/>
        <w:spacing w:line="240" w:lineRule="auto"/>
        <w:textAlignment w:val="auto"/>
        <w:rPr>
          <w:sz w:val="20"/>
          <w:szCs w:val="20"/>
          <w:lang w:val="en-US" w:eastAsia="en-US"/>
        </w:rPr>
      </w:pPr>
    </w:p>
    <w:p w14:paraId="3DAE608D" w14:textId="12308E09" w:rsidR="009E4F6C" w:rsidRPr="009D52FD" w:rsidRDefault="00ED6AB3" w:rsidP="00ED6AB3">
      <w:pPr>
        <w:numPr>
          <w:ilvl w:val="0"/>
          <w:numId w:val="1"/>
        </w:numPr>
        <w:tabs>
          <w:tab w:val="left" w:pos="567"/>
        </w:tabs>
        <w:spacing w:line="240" w:lineRule="auto"/>
        <w:ind w:left="0" w:firstLine="0"/>
        <w:rPr>
          <w:sz w:val="20"/>
          <w:szCs w:val="20"/>
          <w:lang w:val="en-US" w:eastAsia="en-US"/>
        </w:rPr>
      </w:pPr>
      <w:r w:rsidRPr="009D52FD">
        <w:rPr>
          <w:bCs/>
          <w:sz w:val="20"/>
          <w:szCs w:val="20"/>
          <w:lang w:val="en-US"/>
        </w:rPr>
        <w:t>Thus,</w:t>
      </w:r>
      <w:r w:rsidR="009E4F6C" w:rsidRPr="009D52FD">
        <w:rPr>
          <w:bCs/>
          <w:sz w:val="20"/>
          <w:szCs w:val="20"/>
          <w:lang w:val="en-US"/>
        </w:rPr>
        <w:t xml:space="preserve"> </w:t>
      </w:r>
      <w:r w:rsidR="003630BB" w:rsidRPr="009D52FD">
        <w:rPr>
          <w:bCs/>
          <w:sz w:val="20"/>
          <w:szCs w:val="20"/>
          <w:lang w:val="en-US"/>
        </w:rPr>
        <w:t>the Court</w:t>
      </w:r>
      <w:r w:rsidR="009E4F6C" w:rsidRPr="009D52FD">
        <w:rPr>
          <w:bCs/>
          <w:sz w:val="20"/>
          <w:szCs w:val="20"/>
          <w:lang w:val="en-US"/>
        </w:rPr>
        <w:t xml:space="preserve"> ha</w:t>
      </w:r>
      <w:r w:rsidRPr="009D52FD">
        <w:rPr>
          <w:bCs/>
          <w:sz w:val="20"/>
          <w:szCs w:val="20"/>
          <w:lang w:val="en-US"/>
        </w:rPr>
        <w:t xml:space="preserve">s established that the obligation of strict due diligence in cases of the disappearance of women requires conducting exhaustive search activities. In particular, </w:t>
      </w:r>
      <w:r w:rsidR="003D1431" w:rsidRPr="009D52FD">
        <w:rPr>
          <w:bCs/>
          <w:sz w:val="20"/>
          <w:szCs w:val="20"/>
          <w:lang w:val="en-US"/>
        </w:rPr>
        <w:t xml:space="preserve">the prompt and immediate actions of the police, </w:t>
      </w:r>
      <w:r w:rsidR="007D4B55" w:rsidRPr="009D52FD">
        <w:rPr>
          <w:bCs/>
          <w:sz w:val="20"/>
          <w:szCs w:val="20"/>
          <w:lang w:val="en-US"/>
        </w:rPr>
        <w:t xml:space="preserve">and </w:t>
      </w:r>
      <w:r w:rsidR="003D1431" w:rsidRPr="009D52FD">
        <w:rPr>
          <w:bCs/>
          <w:sz w:val="20"/>
          <w:szCs w:val="20"/>
          <w:lang w:val="en-US"/>
        </w:rPr>
        <w:t>prosecution and judicial authorities are</w:t>
      </w:r>
      <w:r w:rsidRPr="009D52FD">
        <w:rPr>
          <w:bCs/>
          <w:sz w:val="20"/>
          <w:szCs w:val="20"/>
          <w:lang w:val="en-US"/>
        </w:rPr>
        <w:t xml:space="preserve"> essential</w:t>
      </w:r>
      <w:r w:rsidR="003D1431" w:rsidRPr="009D52FD">
        <w:rPr>
          <w:bCs/>
          <w:sz w:val="20"/>
          <w:szCs w:val="20"/>
          <w:lang w:val="en-US"/>
        </w:rPr>
        <w:t xml:space="preserve">, ordering the opportune and necessary measures to determine the victim’s whereabouts. Appropriate reporting procedures must exist that result in immediate effective investigations. The authorities must presume that the disappeared person </w:t>
      </w:r>
      <w:r w:rsidR="007D4B55" w:rsidRPr="009D52FD">
        <w:rPr>
          <w:bCs/>
          <w:sz w:val="20"/>
          <w:szCs w:val="20"/>
          <w:lang w:val="en-US"/>
        </w:rPr>
        <w:t>is</w:t>
      </w:r>
      <w:r w:rsidR="003D1431" w:rsidRPr="009D52FD">
        <w:rPr>
          <w:bCs/>
          <w:sz w:val="20"/>
          <w:szCs w:val="20"/>
          <w:lang w:val="en-US"/>
        </w:rPr>
        <w:t xml:space="preserve"> alive until the uncertainty about their fate</w:t>
      </w:r>
      <w:r w:rsidR="007D4B55" w:rsidRPr="009D52FD">
        <w:rPr>
          <w:bCs/>
          <w:sz w:val="20"/>
          <w:szCs w:val="20"/>
          <w:lang w:val="en-US"/>
        </w:rPr>
        <w:t xml:space="preserve"> ends</w:t>
      </w:r>
      <w:r w:rsidR="003D1431" w:rsidRPr="009D52FD">
        <w:rPr>
          <w:bCs/>
          <w:sz w:val="20"/>
          <w:szCs w:val="20"/>
          <w:lang w:val="en-US"/>
        </w:rPr>
        <w:t>.</w:t>
      </w:r>
      <w:r w:rsidR="009E4F6C" w:rsidRPr="009D52FD">
        <w:rPr>
          <w:bCs/>
          <w:sz w:val="20"/>
          <w:szCs w:val="20"/>
          <w:vertAlign w:val="superscript"/>
          <w:lang w:val="en-US"/>
        </w:rPr>
        <w:footnoteReference w:id="229"/>
      </w:r>
    </w:p>
    <w:p w14:paraId="65BAD690" w14:textId="77777777" w:rsidR="009E4F6C" w:rsidRPr="009D52FD" w:rsidRDefault="009E4F6C" w:rsidP="009E4F6C">
      <w:pPr>
        <w:widowControl/>
        <w:adjustRightInd/>
        <w:spacing w:line="240" w:lineRule="auto"/>
        <w:textAlignment w:val="auto"/>
        <w:rPr>
          <w:sz w:val="20"/>
          <w:szCs w:val="20"/>
          <w:lang w:val="en-US" w:eastAsia="en-US"/>
        </w:rPr>
      </w:pPr>
    </w:p>
    <w:p w14:paraId="4BC64E3E" w14:textId="234D5599" w:rsidR="009E4F6C" w:rsidRPr="009D52FD" w:rsidRDefault="003D1431" w:rsidP="00F0635B">
      <w:pPr>
        <w:widowControl/>
        <w:numPr>
          <w:ilvl w:val="0"/>
          <w:numId w:val="1"/>
        </w:numPr>
        <w:tabs>
          <w:tab w:val="left" w:pos="567"/>
        </w:tabs>
        <w:adjustRightInd/>
        <w:spacing w:line="240" w:lineRule="auto"/>
        <w:ind w:left="0" w:firstLine="0"/>
        <w:textAlignment w:val="auto"/>
        <w:rPr>
          <w:color w:val="000000"/>
          <w:sz w:val="20"/>
          <w:szCs w:val="20"/>
          <w:lang w:val="en-US" w:eastAsia="en-US"/>
        </w:rPr>
      </w:pPr>
      <w:r w:rsidRPr="009D52FD">
        <w:rPr>
          <w:color w:val="000000"/>
          <w:sz w:val="20"/>
          <w:szCs w:val="20"/>
          <w:lang w:val="en-US" w:eastAsia="en-US"/>
        </w:rPr>
        <w:t>To determine whether</w:t>
      </w:r>
      <w:r w:rsidR="009E4F6C" w:rsidRPr="009D52FD">
        <w:rPr>
          <w:color w:val="000000"/>
          <w:sz w:val="20"/>
          <w:szCs w:val="20"/>
          <w:lang w:val="en-US" w:eastAsia="en-US"/>
        </w:rPr>
        <w:t xml:space="preserve"> </w:t>
      </w:r>
      <w:r w:rsidR="003630BB" w:rsidRPr="009D52FD">
        <w:rPr>
          <w:color w:val="000000"/>
          <w:sz w:val="20"/>
          <w:szCs w:val="20"/>
          <w:lang w:val="en-US" w:eastAsia="en-US"/>
        </w:rPr>
        <w:t>the State</w:t>
      </w:r>
      <w:r w:rsidRPr="009D52FD">
        <w:rPr>
          <w:color w:val="000000"/>
          <w:sz w:val="20"/>
          <w:szCs w:val="20"/>
          <w:lang w:val="en-US" w:eastAsia="en-US"/>
        </w:rPr>
        <w:t xml:space="preserve"> was or should have been aware of the danger for a</w:t>
      </w:r>
      <w:r w:rsidR="009E4F6C" w:rsidRPr="009D52FD">
        <w:rPr>
          <w:color w:val="000000"/>
          <w:sz w:val="20"/>
          <w:szCs w:val="20"/>
          <w:lang w:val="en-US" w:eastAsia="en-US"/>
        </w:rPr>
        <w:t xml:space="preserve"> </w:t>
      </w:r>
      <w:r w:rsidRPr="009D52FD">
        <w:rPr>
          <w:sz w:val="20"/>
          <w:szCs w:val="20"/>
          <w:lang w:val="en-US" w:eastAsia="en-US"/>
        </w:rPr>
        <w:t xml:space="preserve">specific individual or group of individuals, the Court has taken different elements and indications into account, based on the circumstances of the case and the context in which it occurred. In cases of </w:t>
      </w:r>
      <w:r w:rsidRPr="009D52FD">
        <w:rPr>
          <w:color w:val="000000"/>
          <w:sz w:val="20"/>
          <w:szCs w:val="20"/>
          <w:lang w:val="en-US" w:eastAsia="en-US"/>
        </w:rPr>
        <w:t xml:space="preserve">violence against women, the Court has analyzed the particular circumstances of each </w:t>
      </w:r>
      <w:r w:rsidR="00C278E5" w:rsidRPr="009D52FD">
        <w:rPr>
          <w:color w:val="000000"/>
          <w:sz w:val="20"/>
          <w:szCs w:val="20"/>
          <w:lang w:val="en-US" w:eastAsia="en-US"/>
        </w:rPr>
        <w:t>case</w:t>
      </w:r>
      <w:r w:rsidRPr="009D52FD">
        <w:rPr>
          <w:color w:val="000000"/>
          <w:sz w:val="20"/>
          <w:szCs w:val="20"/>
          <w:lang w:val="en-US" w:eastAsia="en-US"/>
        </w:rPr>
        <w:t>, as regards how the State was informed of the facts, including the relevant context</w:t>
      </w:r>
      <w:r w:rsidR="00C278E5" w:rsidRPr="009D52FD">
        <w:rPr>
          <w:color w:val="000000"/>
          <w:sz w:val="20"/>
          <w:szCs w:val="20"/>
          <w:lang w:val="en-US" w:eastAsia="en-US"/>
        </w:rPr>
        <w:t xml:space="preserve">, </w:t>
      </w:r>
      <w:r w:rsidRPr="009D52FD">
        <w:rPr>
          <w:color w:val="000000"/>
          <w:sz w:val="20"/>
          <w:szCs w:val="20"/>
          <w:lang w:val="en-US" w:eastAsia="en-US"/>
        </w:rPr>
        <w:t xml:space="preserve">and focusing on the reports filed or on the possibility of </w:t>
      </w:r>
      <w:r w:rsidR="00C278E5" w:rsidRPr="009D52FD">
        <w:rPr>
          <w:color w:val="000000"/>
          <w:sz w:val="20"/>
          <w:szCs w:val="20"/>
          <w:lang w:val="en-US" w:eastAsia="en-US"/>
        </w:rPr>
        <w:t>persons</w:t>
      </w:r>
      <w:r w:rsidRPr="009D52FD">
        <w:rPr>
          <w:color w:val="000000"/>
          <w:sz w:val="20"/>
          <w:szCs w:val="20"/>
          <w:lang w:val="en-US" w:eastAsia="en-US"/>
        </w:rPr>
        <w:t xml:space="preserve"> connected to the victims filing reports. In the </w:t>
      </w:r>
      <w:r w:rsidRPr="009D52FD">
        <w:rPr>
          <w:i/>
          <w:color w:val="000000"/>
          <w:sz w:val="20"/>
          <w:szCs w:val="20"/>
          <w:lang w:val="en-US" w:eastAsia="en-US"/>
        </w:rPr>
        <w:t>Case of</w:t>
      </w:r>
      <w:r w:rsidRPr="009D52FD">
        <w:rPr>
          <w:color w:val="000000"/>
          <w:sz w:val="20"/>
          <w:szCs w:val="20"/>
          <w:lang w:val="en-US" w:eastAsia="en-US"/>
        </w:rPr>
        <w:t xml:space="preserve"> </w:t>
      </w:r>
      <w:r w:rsidRPr="009D52FD">
        <w:rPr>
          <w:i/>
          <w:color w:val="000000"/>
          <w:sz w:val="20"/>
          <w:szCs w:val="20"/>
          <w:lang w:val="en-US" w:eastAsia="en-US"/>
        </w:rPr>
        <w:t>González et al. (“Cotton Field”),</w:t>
      </w:r>
      <w:r w:rsidRPr="009D52FD">
        <w:rPr>
          <w:iCs/>
          <w:color w:val="000000"/>
          <w:sz w:val="20"/>
          <w:szCs w:val="20"/>
          <w:lang w:val="en-US" w:eastAsia="en-US"/>
        </w:rPr>
        <w:t xml:space="preserve"> the Court understood that the State had been aware of the specific risk for the victims based on the reports of their disappearance filed before the state authorities, added to the context of violence and discrimination against women of which the State was aware.</w:t>
      </w:r>
      <w:r w:rsidR="009E4F6C" w:rsidRPr="009D52FD">
        <w:rPr>
          <w:iCs/>
          <w:color w:val="000000"/>
          <w:sz w:val="20"/>
          <w:szCs w:val="20"/>
          <w:vertAlign w:val="superscript"/>
          <w:lang w:val="en-US" w:eastAsia="en-US"/>
        </w:rPr>
        <w:footnoteReference w:id="230"/>
      </w:r>
      <w:r w:rsidR="009E4F6C" w:rsidRPr="009D52FD">
        <w:rPr>
          <w:iCs/>
          <w:color w:val="000000"/>
          <w:sz w:val="20"/>
          <w:szCs w:val="20"/>
          <w:lang w:val="en-US" w:eastAsia="en-US"/>
        </w:rPr>
        <w:t xml:space="preserve"> </w:t>
      </w:r>
      <w:r w:rsidRPr="009D52FD">
        <w:rPr>
          <w:color w:val="000000"/>
          <w:sz w:val="20"/>
          <w:szCs w:val="20"/>
          <w:lang w:val="en-US" w:eastAsia="en-US"/>
        </w:rPr>
        <w:t>In the</w:t>
      </w:r>
      <w:r w:rsidR="009E4F6C" w:rsidRPr="009D52FD">
        <w:rPr>
          <w:color w:val="000000"/>
          <w:sz w:val="20"/>
          <w:szCs w:val="20"/>
          <w:lang w:val="en-US" w:eastAsia="en-US"/>
        </w:rPr>
        <w:t xml:space="preserve"> </w:t>
      </w:r>
      <w:r w:rsidR="00A51A16" w:rsidRPr="009D52FD">
        <w:rPr>
          <w:i/>
          <w:color w:val="000000"/>
          <w:sz w:val="20"/>
          <w:szCs w:val="20"/>
          <w:lang w:val="en-US" w:eastAsia="en-US"/>
        </w:rPr>
        <w:t>C</w:t>
      </w:r>
      <w:r w:rsidR="009E4F6C" w:rsidRPr="009D52FD">
        <w:rPr>
          <w:i/>
          <w:color w:val="000000"/>
          <w:sz w:val="20"/>
          <w:szCs w:val="20"/>
          <w:lang w:val="en-US" w:eastAsia="en-US"/>
        </w:rPr>
        <w:t>as</w:t>
      </w:r>
      <w:r w:rsidRPr="009D52FD">
        <w:rPr>
          <w:i/>
          <w:color w:val="000000"/>
          <w:sz w:val="20"/>
          <w:szCs w:val="20"/>
          <w:lang w:val="en-US" w:eastAsia="en-US"/>
        </w:rPr>
        <w:t>e of</w:t>
      </w:r>
      <w:r w:rsidR="009E4F6C" w:rsidRPr="009D52FD">
        <w:rPr>
          <w:color w:val="000000"/>
          <w:sz w:val="20"/>
          <w:szCs w:val="20"/>
          <w:lang w:val="en-US" w:eastAsia="en-US"/>
        </w:rPr>
        <w:t xml:space="preserve"> </w:t>
      </w:r>
      <w:r w:rsidR="009E4F6C" w:rsidRPr="009D52FD">
        <w:rPr>
          <w:i/>
          <w:color w:val="000000"/>
          <w:sz w:val="20"/>
          <w:szCs w:val="20"/>
          <w:lang w:val="en-US" w:eastAsia="en-US"/>
        </w:rPr>
        <w:t>Véliz Franco,</w:t>
      </w:r>
      <w:r w:rsidR="009E4F6C" w:rsidRPr="009D52FD">
        <w:rPr>
          <w:bCs/>
          <w:color w:val="000000"/>
          <w:sz w:val="20"/>
          <w:szCs w:val="20"/>
          <w:lang w:val="en-US" w:eastAsia="en-US"/>
        </w:rPr>
        <w:t xml:space="preserve"> </w:t>
      </w:r>
      <w:r w:rsidR="003630BB" w:rsidRPr="009D52FD">
        <w:rPr>
          <w:bCs/>
          <w:color w:val="000000"/>
          <w:sz w:val="20"/>
          <w:szCs w:val="20"/>
          <w:lang w:val="en-US" w:eastAsia="en-US"/>
        </w:rPr>
        <w:t>the Court</w:t>
      </w:r>
      <w:r w:rsidR="009E4F6C" w:rsidRPr="009D52FD">
        <w:rPr>
          <w:bCs/>
          <w:color w:val="000000"/>
          <w:sz w:val="20"/>
          <w:szCs w:val="20"/>
          <w:lang w:val="en-US" w:eastAsia="en-US"/>
        </w:rPr>
        <w:t xml:space="preserve"> establ</w:t>
      </w:r>
      <w:r w:rsidRPr="009D52FD">
        <w:rPr>
          <w:bCs/>
          <w:color w:val="000000"/>
          <w:sz w:val="20"/>
          <w:szCs w:val="20"/>
          <w:lang w:val="en-US" w:eastAsia="en-US"/>
        </w:rPr>
        <w:t>ished the State’s awareness following the filing of a report by the victim’s mother in which, although she did not indicate explicitly that</w:t>
      </w:r>
      <w:r w:rsidR="00F0635B" w:rsidRPr="009D52FD">
        <w:rPr>
          <w:bCs/>
          <w:color w:val="000000"/>
          <w:sz w:val="20"/>
          <w:szCs w:val="20"/>
          <w:lang w:val="en-US" w:eastAsia="en-US"/>
        </w:rPr>
        <w:t xml:space="preserve"> María Isabel had been the victim of a wrongful act, it was reasonable to understand that she was in danger. The Court indicated that an additional factor that reinforced the State’s awareness was constituted by the generalized impunity that existed in the country.</w:t>
      </w:r>
      <w:r w:rsidR="009E4F6C" w:rsidRPr="009D52FD">
        <w:rPr>
          <w:color w:val="000000"/>
          <w:sz w:val="20"/>
          <w:szCs w:val="20"/>
          <w:vertAlign w:val="superscript"/>
          <w:lang w:val="en-US" w:eastAsia="en-US"/>
        </w:rPr>
        <w:footnoteReference w:id="231"/>
      </w:r>
      <w:r w:rsidR="009E4F6C" w:rsidRPr="009D52FD">
        <w:rPr>
          <w:color w:val="000000"/>
          <w:sz w:val="20"/>
          <w:szCs w:val="20"/>
          <w:lang w:val="en-US" w:eastAsia="en-US"/>
        </w:rPr>
        <w:t xml:space="preserve"> </w:t>
      </w:r>
      <w:r w:rsidR="00F0635B" w:rsidRPr="009D52FD">
        <w:rPr>
          <w:color w:val="000000"/>
          <w:sz w:val="20"/>
          <w:szCs w:val="20"/>
          <w:lang w:val="en-US" w:eastAsia="en-US"/>
        </w:rPr>
        <w:t>Lastly, in the</w:t>
      </w:r>
      <w:r w:rsidR="009E4F6C" w:rsidRPr="009D52FD">
        <w:rPr>
          <w:color w:val="000000"/>
          <w:sz w:val="20"/>
          <w:szCs w:val="20"/>
          <w:lang w:val="en-US" w:eastAsia="en-US"/>
        </w:rPr>
        <w:t xml:space="preserve"> </w:t>
      </w:r>
      <w:r w:rsidR="00A51A16" w:rsidRPr="009D52FD">
        <w:rPr>
          <w:i/>
          <w:color w:val="000000"/>
          <w:sz w:val="20"/>
          <w:szCs w:val="20"/>
          <w:lang w:val="en-US" w:eastAsia="en-US"/>
        </w:rPr>
        <w:t>C</w:t>
      </w:r>
      <w:r w:rsidR="009E4F6C" w:rsidRPr="009D52FD">
        <w:rPr>
          <w:i/>
          <w:color w:val="000000"/>
          <w:sz w:val="20"/>
          <w:szCs w:val="20"/>
          <w:lang w:val="en-US" w:eastAsia="en-US"/>
        </w:rPr>
        <w:t>as</w:t>
      </w:r>
      <w:r w:rsidR="00F0635B" w:rsidRPr="009D52FD">
        <w:rPr>
          <w:i/>
          <w:color w:val="000000"/>
          <w:sz w:val="20"/>
          <w:szCs w:val="20"/>
          <w:lang w:val="en-US" w:eastAsia="en-US"/>
        </w:rPr>
        <w:t>e of</w:t>
      </w:r>
      <w:r w:rsidR="009E4F6C" w:rsidRPr="009D52FD">
        <w:rPr>
          <w:color w:val="000000"/>
          <w:sz w:val="20"/>
          <w:szCs w:val="20"/>
          <w:lang w:val="en-US" w:eastAsia="en-US"/>
        </w:rPr>
        <w:t xml:space="preserve"> </w:t>
      </w:r>
      <w:r w:rsidR="009E4F6C" w:rsidRPr="009D52FD">
        <w:rPr>
          <w:i/>
          <w:color w:val="000000"/>
          <w:sz w:val="20"/>
          <w:szCs w:val="20"/>
          <w:lang w:val="en-US" w:eastAsia="en-US"/>
        </w:rPr>
        <w:t>Velázquez Paiz</w:t>
      </w:r>
      <w:r w:rsidR="009E4F6C" w:rsidRPr="009D52FD">
        <w:rPr>
          <w:color w:val="000000"/>
          <w:sz w:val="20"/>
          <w:szCs w:val="20"/>
          <w:lang w:val="en-US" w:eastAsia="en-US"/>
        </w:rPr>
        <w:t xml:space="preserve">, </w:t>
      </w:r>
      <w:r w:rsidR="003630BB" w:rsidRPr="009D52FD">
        <w:rPr>
          <w:color w:val="000000"/>
          <w:sz w:val="20"/>
          <w:szCs w:val="20"/>
          <w:lang w:val="en-US" w:eastAsia="en-US"/>
        </w:rPr>
        <w:t>the Court</w:t>
      </w:r>
      <w:r w:rsidR="009E4F6C" w:rsidRPr="009D52FD">
        <w:rPr>
          <w:color w:val="000000"/>
          <w:sz w:val="20"/>
          <w:szCs w:val="20"/>
          <w:lang w:val="en-US" w:eastAsia="en-US"/>
        </w:rPr>
        <w:t xml:space="preserve"> consider</w:t>
      </w:r>
      <w:r w:rsidR="00F0635B" w:rsidRPr="009D52FD">
        <w:rPr>
          <w:color w:val="000000"/>
          <w:sz w:val="20"/>
          <w:szCs w:val="20"/>
          <w:lang w:val="en-US" w:eastAsia="en-US"/>
        </w:rPr>
        <w:t xml:space="preserve">ed that the telephone call that Claudina’s parents made to the National Civil Police and the information provided to the patrol that arrived in response was sufficient proof. Added to this, the Court took into account the context of increased homicidal violence against women in Guatemala </w:t>
      </w:r>
      <w:r w:rsidR="003630BB" w:rsidRPr="009D52FD">
        <w:rPr>
          <w:color w:val="000000"/>
          <w:sz w:val="20"/>
          <w:szCs w:val="20"/>
          <w:lang w:val="en-US" w:eastAsia="en-US"/>
        </w:rPr>
        <w:t xml:space="preserve">and </w:t>
      </w:r>
      <w:r w:rsidR="00F0635B" w:rsidRPr="009D52FD">
        <w:rPr>
          <w:color w:val="000000"/>
          <w:sz w:val="20"/>
          <w:szCs w:val="20"/>
          <w:lang w:val="en-US" w:eastAsia="en-US"/>
        </w:rPr>
        <w:t>the exacerbat</w:t>
      </w:r>
      <w:r w:rsidR="00C278E5" w:rsidRPr="009D52FD">
        <w:rPr>
          <w:color w:val="000000"/>
          <w:sz w:val="20"/>
          <w:szCs w:val="20"/>
          <w:lang w:val="en-US" w:eastAsia="en-US"/>
        </w:rPr>
        <w:t>ed</w:t>
      </w:r>
      <w:r w:rsidR="00F0635B" w:rsidRPr="009D52FD">
        <w:rPr>
          <w:color w:val="000000"/>
          <w:sz w:val="20"/>
          <w:szCs w:val="20"/>
          <w:lang w:val="en-US" w:eastAsia="en-US"/>
        </w:rPr>
        <w:t xml:space="preserve"> acts of violence and cruelty </w:t>
      </w:r>
      <w:r w:rsidR="00C278E5" w:rsidRPr="009D52FD">
        <w:rPr>
          <w:color w:val="000000"/>
          <w:sz w:val="20"/>
          <w:szCs w:val="20"/>
          <w:lang w:val="en-US" w:eastAsia="en-US"/>
        </w:rPr>
        <w:t>carried out on</w:t>
      </w:r>
      <w:r w:rsidR="00F0635B" w:rsidRPr="009D52FD">
        <w:rPr>
          <w:color w:val="000000"/>
          <w:sz w:val="20"/>
          <w:szCs w:val="20"/>
          <w:lang w:val="en-US" w:eastAsia="en-US"/>
        </w:rPr>
        <w:t xml:space="preserve"> the bodies of many of the victims.</w:t>
      </w:r>
      <w:r w:rsidR="009E4F6C" w:rsidRPr="009D52FD">
        <w:rPr>
          <w:color w:val="000000"/>
          <w:sz w:val="20"/>
          <w:szCs w:val="20"/>
          <w:vertAlign w:val="superscript"/>
          <w:lang w:val="en-US" w:eastAsia="en-US"/>
        </w:rPr>
        <w:footnoteReference w:id="232"/>
      </w:r>
    </w:p>
    <w:p w14:paraId="11B48B00" w14:textId="38D46F68" w:rsidR="009E4F6C" w:rsidRPr="009D52FD" w:rsidRDefault="00F0635B" w:rsidP="009E4F6C">
      <w:pPr>
        <w:widowControl/>
        <w:adjustRightInd/>
        <w:spacing w:line="240" w:lineRule="auto"/>
        <w:textAlignment w:val="auto"/>
        <w:rPr>
          <w:color w:val="000000"/>
          <w:sz w:val="20"/>
          <w:szCs w:val="20"/>
          <w:lang w:val="en-US" w:eastAsia="en-US"/>
        </w:rPr>
      </w:pPr>
      <w:r w:rsidRPr="009D52FD">
        <w:rPr>
          <w:color w:val="000000"/>
          <w:sz w:val="20"/>
          <w:szCs w:val="20"/>
          <w:lang w:val="en-US" w:eastAsia="en-US"/>
        </w:rPr>
        <w:t xml:space="preserve"> </w:t>
      </w:r>
    </w:p>
    <w:p w14:paraId="564536BF" w14:textId="327E9173" w:rsidR="009E4F6C" w:rsidRPr="009D52FD" w:rsidRDefault="00F0635B" w:rsidP="003C5989">
      <w:pPr>
        <w:numPr>
          <w:ilvl w:val="0"/>
          <w:numId w:val="1"/>
        </w:numPr>
        <w:tabs>
          <w:tab w:val="left" w:pos="567"/>
        </w:tabs>
        <w:spacing w:line="240" w:lineRule="auto"/>
        <w:ind w:left="0" w:firstLine="0"/>
        <w:rPr>
          <w:color w:val="000000"/>
          <w:sz w:val="20"/>
          <w:szCs w:val="20"/>
          <w:lang w:val="en-US" w:eastAsia="en-US"/>
        </w:rPr>
      </w:pPr>
      <w:r w:rsidRPr="009D52FD">
        <w:rPr>
          <w:color w:val="000000"/>
          <w:sz w:val="20"/>
          <w:szCs w:val="20"/>
          <w:lang w:val="en-US" w:eastAsia="en-US"/>
        </w:rPr>
        <w:t>In addition, expert witness</w:t>
      </w:r>
      <w:r w:rsidR="009E4F6C" w:rsidRPr="009D52FD">
        <w:rPr>
          <w:color w:val="000000"/>
          <w:sz w:val="20"/>
          <w:szCs w:val="20"/>
          <w:lang w:val="en-US" w:eastAsia="en-US"/>
        </w:rPr>
        <w:t xml:space="preserve"> </w:t>
      </w:r>
      <w:r w:rsidR="009E4F6C" w:rsidRPr="009D52FD">
        <w:rPr>
          <w:bCs/>
          <w:color w:val="000000"/>
          <w:sz w:val="20"/>
          <w:szCs w:val="20"/>
          <w:lang w:val="en-US" w:eastAsia="en-US"/>
        </w:rPr>
        <w:t>Daniela</w:t>
      </w:r>
      <w:r w:rsidR="009E4F6C" w:rsidRPr="009D52FD">
        <w:rPr>
          <w:color w:val="000000"/>
          <w:sz w:val="20"/>
          <w:szCs w:val="20"/>
          <w:lang w:val="en-US" w:eastAsia="en-US"/>
        </w:rPr>
        <w:t xml:space="preserve"> Kravetz </w:t>
      </w:r>
      <w:r w:rsidRPr="009D52FD">
        <w:rPr>
          <w:color w:val="000000"/>
          <w:sz w:val="20"/>
          <w:szCs w:val="20"/>
          <w:lang w:val="en-US" w:eastAsia="en-US"/>
        </w:rPr>
        <w:t>indicated in the proceedings before</w:t>
      </w:r>
      <w:r w:rsidR="009E4F6C" w:rsidRPr="009D52FD">
        <w:rPr>
          <w:color w:val="000000"/>
          <w:sz w:val="20"/>
          <w:szCs w:val="20"/>
          <w:lang w:val="en-US" w:eastAsia="en-US"/>
        </w:rPr>
        <w:t xml:space="preserve"> </w:t>
      </w:r>
      <w:r w:rsidR="0002239A" w:rsidRPr="009D52FD">
        <w:rPr>
          <w:color w:val="000000"/>
          <w:sz w:val="20"/>
          <w:szCs w:val="20"/>
          <w:lang w:val="en-US" w:eastAsia="en-US"/>
        </w:rPr>
        <w:t>this Court</w:t>
      </w:r>
      <w:r w:rsidR="009E4F6C" w:rsidRPr="009D52FD">
        <w:rPr>
          <w:color w:val="000000"/>
          <w:sz w:val="20"/>
          <w:szCs w:val="20"/>
          <w:lang w:val="en-US" w:eastAsia="en-US"/>
        </w:rPr>
        <w:t xml:space="preserve"> </w:t>
      </w:r>
      <w:r w:rsidRPr="009D52FD">
        <w:rPr>
          <w:color w:val="000000"/>
          <w:sz w:val="20"/>
          <w:szCs w:val="20"/>
          <w:lang w:val="en-US" w:eastAsia="en-US"/>
        </w:rPr>
        <w:t>that</w:t>
      </w:r>
      <w:r w:rsidR="009E4F6C" w:rsidRPr="009D52FD">
        <w:rPr>
          <w:color w:val="000000"/>
          <w:sz w:val="20"/>
          <w:szCs w:val="20"/>
          <w:lang w:val="en-US" w:eastAsia="en-US"/>
        </w:rPr>
        <w:t>:</w:t>
      </w:r>
    </w:p>
    <w:p w14:paraId="38521C9F" w14:textId="77777777" w:rsidR="009E4F6C" w:rsidRPr="009D52FD" w:rsidRDefault="009E4F6C" w:rsidP="009E4F6C">
      <w:pPr>
        <w:widowControl/>
        <w:adjustRightInd/>
        <w:spacing w:line="240" w:lineRule="auto"/>
        <w:textAlignment w:val="auto"/>
        <w:rPr>
          <w:color w:val="000000"/>
          <w:sz w:val="20"/>
          <w:szCs w:val="20"/>
          <w:lang w:val="en-US" w:eastAsia="en-US"/>
        </w:rPr>
      </w:pPr>
    </w:p>
    <w:p w14:paraId="4120D46E" w14:textId="5EC9CD09" w:rsidR="009E4F6C" w:rsidRPr="009D52FD" w:rsidRDefault="009E4F6C" w:rsidP="00F0635B">
      <w:pPr>
        <w:widowControl/>
        <w:adjustRightInd/>
        <w:spacing w:line="240" w:lineRule="auto"/>
        <w:ind w:left="567" w:right="582"/>
        <w:textAlignment w:val="auto"/>
        <w:rPr>
          <w:sz w:val="16"/>
          <w:szCs w:val="16"/>
          <w:lang w:val="en-US"/>
        </w:rPr>
      </w:pPr>
      <w:r w:rsidRPr="009D52FD">
        <w:rPr>
          <w:sz w:val="16"/>
          <w:szCs w:val="16"/>
          <w:lang w:val="en-US"/>
        </w:rPr>
        <w:lastRenderedPageBreak/>
        <w:t xml:space="preserve">[…] </w:t>
      </w:r>
      <w:r w:rsidR="00F0635B" w:rsidRPr="009D52FD">
        <w:rPr>
          <w:sz w:val="16"/>
          <w:szCs w:val="16"/>
          <w:lang w:val="en-US"/>
        </w:rPr>
        <w:t xml:space="preserve">there are certain indicators of predictability that can alert the authorities to the existence of a real and imminent risk for the victim and the source of these indicators of predictability may differ. It will depend on the circumstances of each case. The </w:t>
      </w:r>
      <w:r w:rsidR="00C278E5" w:rsidRPr="009D52FD">
        <w:rPr>
          <w:sz w:val="16"/>
          <w:szCs w:val="16"/>
          <w:lang w:val="en-US"/>
        </w:rPr>
        <w:t xml:space="preserve">situation of the </w:t>
      </w:r>
      <w:r w:rsidR="00A75EA2" w:rsidRPr="009D52FD">
        <w:rPr>
          <w:sz w:val="16"/>
          <w:szCs w:val="16"/>
          <w:lang w:val="en-US"/>
        </w:rPr>
        <w:t>kidnapping</w:t>
      </w:r>
      <w:r w:rsidR="00F0635B" w:rsidRPr="009D52FD">
        <w:rPr>
          <w:sz w:val="16"/>
          <w:szCs w:val="16"/>
          <w:lang w:val="en-US"/>
        </w:rPr>
        <w:t xml:space="preserve"> or disappearance of a woman is one of the indicators of predictability, […] bearing in mind that the definition of violence against women [in the Convention of Belém do Pará] lists kidnapping as one of the forms of violence against women and this situation of the kidnapping or disappearance of a woman is a factor that, when it occurs, may point to a greater risk, a greater probability that the victim will be harmed; in particular, by attacks on her physical integrity and her sexual integrity. This is because these situations constitute scenarios in which women are particularly vulnerable or exposed to this type of violence. Therefore, when the disappearance or kidnapping of a woman is reported, the State has a duty of strict due diligence in the sense that it </w:t>
      </w:r>
      <w:r w:rsidR="00C278E5" w:rsidRPr="009D52FD">
        <w:rPr>
          <w:sz w:val="16"/>
          <w:szCs w:val="16"/>
          <w:lang w:val="en-US"/>
        </w:rPr>
        <w:t>should</w:t>
      </w:r>
      <w:r w:rsidR="00F0635B" w:rsidRPr="009D52FD">
        <w:rPr>
          <w:sz w:val="16"/>
          <w:szCs w:val="16"/>
          <w:lang w:val="en-US"/>
        </w:rPr>
        <w:t xml:space="preserve"> react immediately, taking all appropriate and effective measures to respond promptly to the report, to identify the whereabouts of the victim, and to avoid harm to her.</w:t>
      </w:r>
      <w:r w:rsidRPr="009D52FD">
        <w:rPr>
          <w:rFonts w:cs="TimesNewRoman"/>
          <w:sz w:val="16"/>
          <w:szCs w:val="16"/>
          <w:vertAlign w:val="superscript"/>
          <w:lang w:val="en-US"/>
        </w:rPr>
        <w:footnoteReference w:id="233"/>
      </w:r>
    </w:p>
    <w:p w14:paraId="2382638B" w14:textId="77777777" w:rsidR="009E4F6C" w:rsidRPr="009D52FD" w:rsidRDefault="009E4F6C" w:rsidP="009E4F6C">
      <w:pPr>
        <w:widowControl/>
        <w:adjustRightInd/>
        <w:spacing w:line="240" w:lineRule="auto"/>
        <w:textAlignment w:val="auto"/>
        <w:rPr>
          <w:color w:val="000000"/>
          <w:sz w:val="20"/>
          <w:szCs w:val="20"/>
          <w:lang w:val="en-US" w:eastAsia="en-US"/>
        </w:rPr>
      </w:pPr>
    </w:p>
    <w:p w14:paraId="5C318E55" w14:textId="73C40C0A" w:rsidR="00B917E8" w:rsidRPr="009D52FD" w:rsidRDefault="003630BB" w:rsidP="00F0635B">
      <w:pPr>
        <w:numPr>
          <w:ilvl w:val="0"/>
          <w:numId w:val="1"/>
        </w:numPr>
        <w:tabs>
          <w:tab w:val="left" w:pos="567"/>
        </w:tabs>
        <w:spacing w:line="240" w:lineRule="auto"/>
        <w:ind w:left="0" w:firstLine="0"/>
        <w:rPr>
          <w:color w:val="000000"/>
          <w:sz w:val="20"/>
          <w:szCs w:val="20"/>
          <w:lang w:val="en-US" w:eastAsia="en-US"/>
        </w:rPr>
      </w:pPr>
      <w:r w:rsidRPr="009D52FD">
        <w:rPr>
          <w:color w:val="000000"/>
          <w:sz w:val="20"/>
          <w:szCs w:val="20"/>
          <w:lang w:val="en-US" w:eastAsia="en-US"/>
        </w:rPr>
        <w:t>The Court</w:t>
      </w:r>
      <w:r w:rsidR="00B917E8" w:rsidRPr="009D52FD">
        <w:rPr>
          <w:color w:val="000000"/>
          <w:sz w:val="20"/>
          <w:szCs w:val="20"/>
          <w:lang w:val="en-US" w:eastAsia="en-US"/>
        </w:rPr>
        <w:t xml:space="preserve"> consider</w:t>
      </w:r>
      <w:r w:rsidR="00F0635B" w:rsidRPr="009D52FD">
        <w:rPr>
          <w:color w:val="000000"/>
          <w:sz w:val="20"/>
          <w:szCs w:val="20"/>
          <w:lang w:val="en-US" w:eastAsia="en-US"/>
        </w:rPr>
        <w:t xml:space="preserve">s that, indeed, the report of </w:t>
      </w:r>
      <w:r w:rsidR="00C278E5" w:rsidRPr="009D52FD">
        <w:rPr>
          <w:color w:val="000000"/>
          <w:sz w:val="20"/>
          <w:szCs w:val="20"/>
          <w:lang w:val="en-US" w:eastAsia="en-US"/>
        </w:rPr>
        <w:t>the</w:t>
      </w:r>
      <w:r w:rsidR="00F0635B" w:rsidRPr="009D52FD">
        <w:rPr>
          <w:color w:val="000000"/>
          <w:sz w:val="20"/>
          <w:szCs w:val="20"/>
          <w:lang w:val="en-US" w:eastAsia="en-US"/>
        </w:rPr>
        <w:t xml:space="preserve"> kidnapping or disappearance of a women should activate the State’s duty of enhanced due diligence, because th</w:t>
      </w:r>
      <w:r w:rsidR="00C278E5" w:rsidRPr="009D52FD">
        <w:rPr>
          <w:color w:val="000000"/>
          <w:sz w:val="20"/>
          <w:szCs w:val="20"/>
          <w:lang w:val="en-US" w:eastAsia="en-US"/>
        </w:rPr>
        <w:t xml:space="preserve">is </w:t>
      </w:r>
      <w:r w:rsidR="00F0635B" w:rsidRPr="009D52FD">
        <w:rPr>
          <w:color w:val="000000"/>
          <w:sz w:val="20"/>
          <w:szCs w:val="20"/>
          <w:lang w:val="en-US" w:eastAsia="en-US"/>
        </w:rPr>
        <w:t xml:space="preserve">circumstance give rise to a scenario </w:t>
      </w:r>
      <w:r w:rsidR="00A75EA2" w:rsidRPr="009D52FD">
        <w:rPr>
          <w:color w:val="000000"/>
          <w:sz w:val="20"/>
          <w:szCs w:val="20"/>
          <w:lang w:val="en-US" w:eastAsia="en-US"/>
        </w:rPr>
        <w:t>conducive to the perpetration of acts of violence against women, and entail</w:t>
      </w:r>
      <w:r w:rsidR="00C278E5" w:rsidRPr="009D52FD">
        <w:rPr>
          <w:color w:val="000000"/>
          <w:sz w:val="20"/>
          <w:szCs w:val="20"/>
          <w:lang w:val="en-US" w:eastAsia="en-US"/>
        </w:rPr>
        <w:t>s</w:t>
      </w:r>
      <w:r w:rsidR="00A75EA2" w:rsidRPr="009D52FD">
        <w:rPr>
          <w:color w:val="000000"/>
          <w:sz w:val="20"/>
          <w:szCs w:val="20"/>
          <w:lang w:val="en-US" w:eastAsia="en-US"/>
        </w:rPr>
        <w:t xml:space="preserve"> a particular vulnerability to suffer</w:t>
      </w:r>
      <w:r w:rsidR="00C278E5" w:rsidRPr="009D52FD">
        <w:rPr>
          <w:color w:val="000000"/>
          <w:sz w:val="20"/>
          <w:szCs w:val="20"/>
          <w:lang w:val="en-US" w:eastAsia="en-US"/>
        </w:rPr>
        <w:t>ing</w:t>
      </w:r>
      <w:r w:rsidR="00A75EA2" w:rsidRPr="009D52FD">
        <w:rPr>
          <w:color w:val="000000"/>
          <w:sz w:val="20"/>
          <w:szCs w:val="20"/>
          <w:lang w:val="en-US" w:eastAsia="en-US"/>
        </w:rPr>
        <w:t xml:space="preserve"> acts of sexual violence that, </w:t>
      </w:r>
      <w:r w:rsidR="00C278E5" w:rsidRPr="009D52FD">
        <w:rPr>
          <w:i/>
          <w:iCs/>
          <w:color w:val="000000"/>
          <w:sz w:val="20"/>
          <w:szCs w:val="20"/>
          <w:lang w:val="en-US" w:eastAsia="en-US"/>
        </w:rPr>
        <w:t>per se</w:t>
      </w:r>
      <w:r w:rsidR="00A75EA2" w:rsidRPr="009D52FD">
        <w:rPr>
          <w:i/>
          <w:iCs/>
          <w:color w:val="000000"/>
          <w:sz w:val="20"/>
          <w:szCs w:val="20"/>
          <w:lang w:val="en-US" w:eastAsia="en-US"/>
        </w:rPr>
        <w:t>,</w:t>
      </w:r>
      <w:r w:rsidR="00A75EA2" w:rsidRPr="009D52FD">
        <w:rPr>
          <w:color w:val="000000"/>
          <w:sz w:val="20"/>
          <w:szCs w:val="20"/>
          <w:lang w:val="en-US" w:eastAsia="en-US"/>
        </w:rPr>
        <w:t xml:space="preserve"> entail a risk to the life and the integrity of the woman, regardless of a specific context. This is recognized by the Convention of Belém do Pará in its Article 2, which lists kidnapping as one of the conducts included in the concept of </w:t>
      </w:r>
      <w:r w:rsidR="005935CA" w:rsidRPr="009D52FD">
        <w:rPr>
          <w:color w:val="000000"/>
          <w:sz w:val="20"/>
          <w:szCs w:val="20"/>
          <w:lang w:val="en-US" w:eastAsia="en-US"/>
        </w:rPr>
        <w:t>violence against women</w:t>
      </w:r>
      <w:r w:rsidR="00EB6321" w:rsidRPr="009D52FD">
        <w:rPr>
          <w:color w:val="000000"/>
          <w:sz w:val="20"/>
          <w:szCs w:val="20"/>
          <w:lang w:val="en-US" w:eastAsia="en-US"/>
        </w:rPr>
        <w:t>.</w:t>
      </w:r>
      <w:r w:rsidR="00A75EA2" w:rsidRPr="009D52FD">
        <w:rPr>
          <w:color w:val="000000"/>
          <w:sz w:val="20"/>
          <w:szCs w:val="20"/>
          <w:lang w:val="en-US" w:eastAsia="en-US"/>
        </w:rPr>
        <w:t xml:space="preserve"> </w:t>
      </w:r>
    </w:p>
    <w:p w14:paraId="742E2D9D" w14:textId="77777777" w:rsidR="00B917E8" w:rsidRPr="009D52FD" w:rsidRDefault="00B917E8" w:rsidP="009E4F6C">
      <w:pPr>
        <w:widowControl/>
        <w:adjustRightInd/>
        <w:spacing w:line="240" w:lineRule="auto"/>
        <w:textAlignment w:val="auto"/>
        <w:rPr>
          <w:color w:val="000000"/>
          <w:sz w:val="20"/>
          <w:szCs w:val="20"/>
          <w:lang w:val="en-US" w:eastAsia="en-US"/>
        </w:rPr>
      </w:pPr>
    </w:p>
    <w:p w14:paraId="2A98DEF7" w14:textId="65A73FE0" w:rsidR="009E4F6C" w:rsidRPr="009D52FD" w:rsidRDefault="00A75EA2" w:rsidP="00A75EA2">
      <w:pPr>
        <w:numPr>
          <w:ilvl w:val="0"/>
          <w:numId w:val="1"/>
        </w:numPr>
        <w:tabs>
          <w:tab w:val="left" w:pos="567"/>
        </w:tabs>
        <w:spacing w:line="240" w:lineRule="auto"/>
        <w:ind w:left="0" w:firstLine="0"/>
        <w:rPr>
          <w:b/>
          <w:color w:val="000000"/>
          <w:sz w:val="20"/>
          <w:szCs w:val="20"/>
          <w:lang w:val="en-US" w:eastAsia="en-US"/>
        </w:rPr>
      </w:pPr>
      <w:r w:rsidRPr="009D52FD">
        <w:rPr>
          <w:color w:val="000000"/>
          <w:sz w:val="20"/>
          <w:szCs w:val="20"/>
          <w:lang w:val="en-US" w:eastAsia="en-US"/>
        </w:rPr>
        <w:t xml:space="preserve">That said, acquiescence would result in a more direct degree of responsibility than </w:t>
      </w:r>
      <w:r w:rsidR="00C278E5" w:rsidRPr="009D52FD">
        <w:rPr>
          <w:color w:val="000000"/>
          <w:sz w:val="20"/>
          <w:szCs w:val="20"/>
          <w:lang w:val="en-US" w:eastAsia="en-US"/>
        </w:rPr>
        <w:t xml:space="preserve">that </w:t>
      </w:r>
      <w:r w:rsidRPr="009D52FD">
        <w:rPr>
          <w:color w:val="000000"/>
          <w:sz w:val="20"/>
          <w:szCs w:val="20"/>
          <w:lang w:val="en-US" w:eastAsia="en-US"/>
        </w:rPr>
        <w:t>derived from the</w:t>
      </w:r>
      <w:r w:rsidR="00C278E5" w:rsidRPr="009D52FD">
        <w:rPr>
          <w:color w:val="000000"/>
          <w:sz w:val="20"/>
          <w:szCs w:val="20"/>
          <w:lang w:val="en-US" w:eastAsia="en-US"/>
        </w:rPr>
        <w:t xml:space="preserve"> risk</w:t>
      </w:r>
      <w:r w:rsidRPr="009D52FD">
        <w:rPr>
          <w:color w:val="000000"/>
          <w:sz w:val="20"/>
          <w:szCs w:val="20"/>
          <w:lang w:val="en-US" w:eastAsia="en-US"/>
        </w:rPr>
        <w:t xml:space="preserve"> analysi</w:t>
      </w:r>
      <w:r w:rsidR="00C278E5" w:rsidRPr="009D52FD">
        <w:rPr>
          <w:color w:val="000000"/>
          <w:sz w:val="20"/>
          <w:szCs w:val="20"/>
          <w:lang w:val="en-US" w:eastAsia="en-US"/>
        </w:rPr>
        <w:t>s</w:t>
      </w:r>
      <w:r w:rsidRPr="009D52FD">
        <w:rPr>
          <w:color w:val="000000"/>
          <w:sz w:val="20"/>
          <w:szCs w:val="20"/>
          <w:lang w:val="en-US" w:eastAsia="en-US"/>
        </w:rPr>
        <w:t xml:space="preserve">, because it </w:t>
      </w:r>
      <w:r w:rsidR="00C278E5" w:rsidRPr="009D52FD">
        <w:rPr>
          <w:color w:val="000000"/>
          <w:sz w:val="20"/>
          <w:szCs w:val="20"/>
          <w:lang w:val="en-US" w:eastAsia="en-US"/>
        </w:rPr>
        <w:t xml:space="preserve">signifies </w:t>
      </w:r>
      <w:r w:rsidRPr="009D52FD">
        <w:rPr>
          <w:color w:val="000000"/>
          <w:sz w:val="20"/>
          <w:szCs w:val="20"/>
          <w:lang w:val="en-US" w:eastAsia="en-US"/>
        </w:rPr>
        <w:t>the State’s consent to the action of a</w:t>
      </w:r>
      <w:r w:rsidR="00C278E5" w:rsidRPr="009D52FD">
        <w:rPr>
          <w:color w:val="000000"/>
          <w:sz w:val="20"/>
          <w:szCs w:val="20"/>
          <w:lang w:val="en-US" w:eastAsia="en-US"/>
        </w:rPr>
        <w:t xml:space="preserve"> private</w:t>
      </w:r>
      <w:r w:rsidRPr="009D52FD">
        <w:rPr>
          <w:color w:val="000000"/>
          <w:sz w:val="20"/>
          <w:szCs w:val="20"/>
          <w:lang w:val="en-US" w:eastAsia="en-US"/>
        </w:rPr>
        <w:t xml:space="preserve"> individual, either by deliberate inaction or by its own actions that have </w:t>
      </w:r>
      <w:r w:rsidR="00053769" w:rsidRPr="009D52FD">
        <w:rPr>
          <w:color w:val="000000"/>
          <w:sz w:val="20"/>
          <w:szCs w:val="20"/>
          <w:lang w:val="en-US" w:eastAsia="en-US"/>
        </w:rPr>
        <w:t>created</w:t>
      </w:r>
      <w:r w:rsidRPr="009D52FD">
        <w:rPr>
          <w:color w:val="000000"/>
          <w:sz w:val="20"/>
          <w:szCs w:val="20"/>
          <w:lang w:val="en-US" w:eastAsia="en-US"/>
        </w:rPr>
        <w:t xml:space="preserve"> conditions that allow</w:t>
      </w:r>
      <w:r w:rsidR="00053769" w:rsidRPr="009D52FD">
        <w:rPr>
          <w:color w:val="000000"/>
          <w:sz w:val="20"/>
          <w:szCs w:val="20"/>
          <w:lang w:val="en-US" w:eastAsia="en-US"/>
        </w:rPr>
        <w:t>ed</w:t>
      </w:r>
      <w:r w:rsidRPr="009D52FD">
        <w:rPr>
          <w:color w:val="000000"/>
          <w:sz w:val="20"/>
          <w:szCs w:val="20"/>
          <w:lang w:val="en-US" w:eastAsia="en-US"/>
        </w:rPr>
        <w:t xml:space="preserve"> the act to be executed by individuals.</w:t>
      </w:r>
      <w:r w:rsidR="009E4F6C" w:rsidRPr="009D52FD">
        <w:rPr>
          <w:color w:val="000000"/>
          <w:sz w:val="20"/>
          <w:szCs w:val="20"/>
          <w:vertAlign w:val="superscript"/>
          <w:lang w:val="en-US" w:eastAsia="en-US"/>
        </w:rPr>
        <w:footnoteReference w:id="234"/>
      </w:r>
      <w:r w:rsidRPr="009D52FD">
        <w:rPr>
          <w:color w:val="000000"/>
          <w:sz w:val="20"/>
          <w:szCs w:val="20"/>
          <w:lang w:val="en-US" w:eastAsia="en-US"/>
        </w:rPr>
        <w:t xml:space="preserve"> The Court has indicated that the decisive factor is to elucidate “whether a specific violation </w:t>
      </w:r>
      <w:r w:rsidR="00DB6AF5" w:rsidRPr="009D52FD">
        <w:rPr>
          <w:color w:val="000000"/>
          <w:sz w:val="20"/>
          <w:szCs w:val="20"/>
          <w:lang w:val="en-US" w:eastAsia="en-US"/>
        </w:rPr>
        <w:t>[…]</w:t>
      </w:r>
      <w:r w:rsidR="009E4F6C" w:rsidRPr="009D52FD">
        <w:rPr>
          <w:color w:val="000000"/>
          <w:sz w:val="20"/>
          <w:szCs w:val="20"/>
          <w:lang w:val="en-US" w:eastAsia="en-US"/>
        </w:rPr>
        <w:t xml:space="preserve"> ha</w:t>
      </w:r>
      <w:r w:rsidRPr="009D52FD">
        <w:rPr>
          <w:color w:val="000000"/>
          <w:sz w:val="20"/>
          <w:szCs w:val="20"/>
          <w:lang w:val="en-US" w:eastAsia="en-US"/>
        </w:rPr>
        <w:t>s taken place with the support or the tolerance of the public authorities or whether they have acted in such a way that the offense has been committed without any prevention, or with impunity.</w:t>
      </w:r>
      <w:r w:rsidR="009E4F6C" w:rsidRPr="009D52FD">
        <w:rPr>
          <w:color w:val="000000"/>
          <w:sz w:val="20"/>
          <w:szCs w:val="20"/>
          <w:lang w:val="en-US" w:eastAsia="en-US"/>
        </w:rPr>
        <w:t>”</w:t>
      </w:r>
      <w:r w:rsidR="009E4F6C" w:rsidRPr="009D52FD">
        <w:rPr>
          <w:color w:val="000000"/>
          <w:sz w:val="20"/>
          <w:szCs w:val="20"/>
          <w:vertAlign w:val="superscript"/>
          <w:lang w:val="en-US" w:eastAsia="en-US"/>
        </w:rPr>
        <w:footnoteReference w:id="235"/>
      </w:r>
    </w:p>
    <w:p w14:paraId="45AE782E" w14:textId="77777777" w:rsidR="0080340E" w:rsidRPr="009D52FD" w:rsidRDefault="0080340E" w:rsidP="0080340E">
      <w:pPr>
        <w:spacing w:line="240" w:lineRule="auto"/>
        <w:rPr>
          <w:sz w:val="20"/>
          <w:szCs w:val="20"/>
          <w:lang w:val="en-US"/>
        </w:rPr>
      </w:pPr>
    </w:p>
    <w:p w14:paraId="05F1A771" w14:textId="76A24990" w:rsidR="00FC1314" w:rsidRPr="009D52FD" w:rsidRDefault="008217C1" w:rsidP="00053769">
      <w:pPr>
        <w:numPr>
          <w:ilvl w:val="0"/>
          <w:numId w:val="1"/>
        </w:numPr>
        <w:tabs>
          <w:tab w:val="left" w:pos="567"/>
        </w:tabs>
        <w:spacing w:line="240" w:lineRule="auto"/>
        <w:ind w:left="0" w:firstLine="0"/>
        <w:rPr>
          <w:sz w:val="20"/>
          <w:szCs w:val="20"/>
          <w:lang w:val="en-US"/>
        </w:rPr>
      </w:pPr>
      <w:r w:rsidRPr="009D52FD">
        <w:rPr>
          <w:sz w:val="20"/>
          <w:szCs w:val="20"/>
          <w:lang w:val="en-US"/>
        </w:rPr>
        <w:t>Indeed, since its first judgment on merits, the Court has asserted that:</w:t>
      </w:r>
    </w:p>
    <w:p w14:paraId="4AED1398" w14:textId="77777777" w:rsidR="00053769" w:rsidRPr="009D52FD" w:rsidRDefault="00053769" w:rsidP="00053769">
      <w:pPr>
        <w:tabs>
          <w:tab w:val="left" w:pos="567"/>
        </w:tabs>
        <w:spacing w:line="240" w:lineRule="auto"/>
        <w:rPr>
          <w:sz w:val="16"/>
          <w:szCs w:val="16"/>
          <w:lang w:val="en-US"/>
        </w:rPr>
      </w:pPr>
    </w:p>
    <w:p w14:paraId="5D663EA1" w14:textId="1B41B145" w:rsidR="0080340E" w:rsidRPr="009D52FD" w:rsidRDefault="00FC1314" w:rsidP="00FC1314">
      <w:pPr>
        <w:tabs>
          <w:tab w:val="center" w:pos="5400"/>
        </w:tabs>
        <w:suppressAutoHyphens/>
        <w:spacing w:line="240" w:lineRule="auto"/>
        <w:ind w:left="540" w:right="540"/>
        <w:rPr>
          <w:sz w:val="16"/>
          <w:szCs w:val="16"/>
          <w:lang w:val="en-US"/>
        </w:rPr>
      </w:pPr>
      <w:r w:rsidRPr="009D52FD">
        <w:rPr>
          <w:sz w:val="16"/>
          <w:szCs w:val="16"/>
          <w:lang w:val="en-US"/>
        </w:rPr>
        <w:t xml:space="preserve">[…] in principle, </w:t>
      </w:r>
      <w:r w:rsidRPr="009D52FD">
        <w:rPr>
          <w:rFonts w:cs="Arial"/>
          <w:sz w:val="16"/>
          <w:szCs w:val="16"/>
          <w:lang w:val="en-US"/>
        </w:rPr>
        <w:t>any violation of the rights recognized by the Convention committed by an act of the public authorities or by persons who act using their official powers, can be attributed to the State. However, this does not define all the situations in which a State is obliged to prevent, investigate and punish human rights violations, or all the cases in which its responsibility may be engaged owing to a violation of those rights. An unlawful act that violates human rights and that, initially, cannot be attributed to a State (for example, because it is the act of an individual or because the person responsible for the violation has not been identified) may engage the international responsibility of the State, not for the act itself, but for the lack of due diligence to prevent the violation or the failure to respond to it as required by the Convention.</w:t>
      </w:r>
      <w:r w:rsidR="0080340E" w:rsidRPr="009D52FD">
        <w:rPr>
          <w:sz w:val="16"/>
          <w:szCs w:val="16"/>
          <w:vertAlign w:val="superscript"/>
          <w:lang w:val="en-US"/>
        </w:rPr>
        <w:footnoteReference w:id="236"/>
      </w:r>
    </w:p>
    <w:p w14:paraId="367D96CF" w14:textId="77777777" w:rsidR="0080340E" w:rsidRPr="009D52FD" w:rsidRDefault="0080340E" w:rsidP="0080340E">
      <w:pPr>
        <w:spacing w:line="240" w:lineRule="auto"/>
        <w:rPr>
          <w:sz w:val="20"/>
          <w:szCs w:val="20"/>
          <w:lang w:val="en-US"/>
        </w:rPr>
      </w:pPr>
    </w:p>
    <w:p w14:paraId="0B0F4165" w14:textId="2A9E9134" w:rsidR="0080340E" w:rsidRPr="009D52FD" w:rsidRDefault="008735F0" w:rsidP="008735F0">
      <w:pPr>
        <w:numPr>
          <w:ilvl w:val="0"/>
          <w:numId w:val="1"/>
        </w:numPr>
        <w:tabs>
          <w:tab w:val="left" w:pos="567"/>
        </w:tabs>
        <w:spacing w:line="240" w:lineRule="auto"/>
        <w:ind w:left="0" w:firstLine="0"/>
        <w:rPr>
          <w:sz w:val="20"/>
          <w:szCs w:val="20"/>
          <w:lang w:val="en-US"/>
        </w:rPr>
      </w:pPr>
      <w:r w:rsidRPr="009D52FD">
        <w:rPr>
          <w:sz w:val="20"/>
          <w:szCs w:val="20"/>
          <w:lang w:val="en-US"/>
        </w:rPr>
        <w:t xml:space="preserve">The Court has also established in its case law that “to establish state responsibility for violating the obligation to respect rights in relation to the actions of third parties, a general context of collaboration and acquiescence is not sufficient; rather it is necessary that, in the specific case, the State’s collaboration or acquiescence </w:t>
      </w:r>
      <w:r w:rsidR="0028295C" w:rsidRPr="009D52FD">
        <w:rPr>
          <w:sz w:val="20"/>
          <w:szCs w:val="20"/>
          <w:lang w:val="en-US"/>
        </w:rPr>
        <w:t>is revealed by the circumstances of the case.</w:t>
      </w:r>
      <w:r w:rsidR="0080340E" w:rsidRPr="009D52FD">
        <w:rPr>
          <w:sz w:val="20"/>
          <w:szCs w:val="20"/>
          <w:lang w:val="en-US"/>
        </w:rPr>
        <w:t>”</w:t>
      </w:r>
      <w:r w:rsidR="0080340E" w:rsidRPr="009D52FD">
        <w:rPr>
          <w:sz w:val="20"/>
          <w:szCs w:val="20"/>
          <w:vertAlign w:val="superscript"/>
          <w:lang w:val="en-US"/>
        </w:rPr>
        <w:footnoteReference w:id="237"/>
      </w:r>
    </w:p>
    <w:p w14:paraId="634C6A06" w14:textId="77777777" w:rsidR="0080340E" w:rsidRPr="009D52FD" w:rsidRDefault="0080340E" w:rsidP="0080340E">
      <w:pPr>
        <w:spacing w:line="240" w:lineRule="auto"/>
        <w:rPr>
          <w:sz w:val="20"/>
          <w:szCs w:val="20"/>
          <w:lang w:val="en-US"/>
        </w:rPr>
      </w:pPr>
    </w:p>
    <w:p w14:paraId="058C5A13" w14:textId="1735D4BF" w:rsidR="007B7EEF" w:rsidRPr="009D52FD" w:rsidRDefault="0028295C" w:rsidP="007B7EEF">
      <w:pPr>
        <w:numPr>
          <w:ilvl w:val="0"/>
          <w:numId w:val="1"/>
        </w:numPr>
        <w:tabs>
          <w:tab w:val="left" w:pos="567"/>
        </w:tabs>
        <w:spacing w:line="240" w:lineRule="auto"/>
        <w:ind w:left="0" w:firstLine="0"/>
        <w:rPr>
          <w:sz w:val="20"/>
          <w:szCs w:val="20"/>
          <w:lang w:val="en-US"/>
        </w:rPr>
      </w:pPr>
      <w:r w:rsidRPr="009D52FD">
        <w:rPr>
          <w:sz w:val="20"/>
          <w:szCs w:val="20"/>
          <w:lang w:val="en-US"/>
        </w:rPr>
        <w:t xml:space="preserve">In this regard, and specifically </w:t>
      </w:r>
      <w:r w:rsidR="00997ADF" w:rsidRPr="009D52FD">
        <w:rPr>
          <w:sz w:val="20"/>
          <w:szCs w:val="20"/>
          <w:lang w:val="en-US"/>
        </w:rPr>
        <w:t>in relation to</w:t>
      </w:r>
      <w:r w:rsidR="007B7EEF" w:rsidRPr="009D52FD">
        <w:rPr>
          <w:sz w:val="20"/>
          <w:szCs w:val="20"/>
          <w:lang w:val="en-US"/>
        </w:rPr>
        <w:t xml:space="preserve"> tortur</w:t>
      </w:r>
      <w:r w:rsidRPr="009D52FD">
        <w:rPr>
          <w:sz w:val="20"/>
          <w:szCs w:val="20"/>
          <w:lang w:val="en-US"/>
        </w:rPr>
        <w:t>e, expert witness</w:t>
      </w:r>
      <w:r w:rsidR="007B7EEF" w:rsidRPr="009D52FD">
        <w:rPr>
          <w:sz w:val="20"/>
          <w:szCs w:val="20"/>
          <w:lang w:val="en-US"/>
        </w:rPr>
        <w:t xml:space="preserve"> Juan</w:t>
      </w:r>
      <w:r w:rsidR="008D2C85" w:rsidRPr="009D52FD">
        <w:rPr>
          <w:sz w:val="20"/>
          <w:szCs w:val="20"/>
          <w:lang w:val="en-US"/>
        </w:rPr>
        <w:t xml:space="preserve"> E.</w:t>
      </w:r>
      <w:r w:rsidR="007B7EEF" w:rsidRPr="009D52FD">
        <w:rPr>
          <w:sz w:val="20"/>
          <w:szCs w:val="20"/>
          <w:lang w:val="en-US"/>
        </w:rPr>
        <w:t xml:space="preserve"> Méndez</w:t>
      </w:r>
      <w:r w:rsidRPr="009D52FD">
        <w:rPr>
          <w:sz w:val="20"/>
          <w:szCs w:val="20"/>
          <w:lang w:val="en-US"/>
        </w:rPr>
        <w:t xml:space="preserve"> indicated that</w:t>
      </w:r>
      <w:r w:rsidR="007B7EEF" w:rsidRPr="009D52FD">
        <w:rPr>
          <w:sz w:val="20"/>
          <w:szCs w:val="20"/>
          <w:lang w:val="en-US"/>
        </w:rPr>
        <w:t>:</w:t>
      </w:r>
      <w:r w:rsidRPr="009D52FD">
        <w:rPr>
          <w:sz w:val="20"/>
          <w:szCs w:val="20"/>
          <w:lang w:val="en-US"/>
        </w:rPr>
        <w:t xml:space="preserve"> </w:t>
      </w:r>
    </w:p>
    <w:p w14:paraId="746841F9" w14:textId="77777777" w:rsidR="007B7EEF" w:rsidRPr="009D52FD" w:rsidRDefault="007B7EEF" w:rsidP="007B7EEF">
      <w:pPr>
        <w:spacing w:line="240" w:lineRule="auto"/>
        <w:rPr>
          <w:sz w:val="20"/>
          <w:szCs w:val="20"/>
          <w:lang w:val="en-US"/>
        </w:rPr>
      </w:pPr>
    </w:p>
    <w:p w14:paraId="5EB7DAB3" w14:textId="00C7D38B" w:rsidR="007B7EEF" w:rsidRPr="009D52FD" w:rsidRDefault="007974D3" w:rsidP="0028295C">
      <w:pPr>
        <w:spacing w:line="240" w:lineRule="auto"/>
        <w:ind w:left="567" w:right="540"/>
        <w:rPr>
          <w:iCs/>
          <w:sz w:val="16"/>
          <w:szCs w:val="16"/>
          <w:lang w:val="en-US"/>
        </w:rPr>
      </w:pPr>
      <w:r w:rsidRPr="009D52FD">
        <w:rPr>
          <w:sz w:val="16"/>
          <w:szCs w:val="16"/>
          <w:lang w:val="en-US"/>
        </w:rPr>
        <w:t>[</w:t>
      </w:r>
      <w:r w:rsidR="0028295C" w:rsidRPr="009D52FD">
        <w:rPr>
          <w:sz w:val="16"/>
          <w:szCs w:val="16"/>
          <w:lang w:val="en-US"/>
        </w:rPr>
        <w:t xml:space="preserve">t]he State’s indifference or inaction constitutes a form of acquiescence or </w:t>
      </w:r>
      <w:r w:rsidR="0028295C" w:rsidRPr="009D52FD">
        <w:rPr>
          <w:i/>
          <w:sz w:val="16"/>
          <w:szCs w:val="16"/>
          <w:lang w:val="en-US"/>
        </w:rPr>
        <w:t>de facto</w:t>
      </w:r>
      <w:r w:rsidR="0028295C" w:rsidRPr="009D52FD">
        <w:rPr>
          <w:iCs/>
          <w:sz w:val="16"/>
          <w:szCs w:val="16"/>
          <w:lang w:val="en-US"/>
        </w:rPr>
        <w:t xml:space="preserve"> authorization of torture. This principle applies, in particular, when the State fails to protect victims of domestic violence or makes no effort to prevent gender-based violence. The lack of protection appears when the State fails to protect victims from prohibited conducts; when it fails to act to end torture when it is reasonably aware that it may be perpetrated, and when the State does not proceed to investigate and prosecute the violations committed. This is so because its indifferences to such facts indicates its consent, acquiescence and, at times, justification of the violence.</w:t>
      </w:r>
      <w:r w:rsidR="007B7EEF" w:rsidRPr="009D52FD">
        <w:rPr>
          <w:sz w:val="16"/>
          <w:szCs w:val="16"/>
          <w:vertAlign w:val="superscript"/>
          <w:lang w:val="en-US"/>
        </w:rPr>
        <w:footnoteReference w:id="238"/>
      </w:r>
    </w:p>
    <w:p w14:paraId="4E4DFEEF" w14:textId="77777777" w:rsidR="007B7EEF" w:rsidRPr="009D52FD" w:rsidRDefault="007B7EEF" w:rsidP="007B7EEF">
      <w:pPr>
        <w:spacing w:line="240" w:lineRule="auto"/>
        <w:rPr>
          <w:sz w:val="20"/>
          <w:szCs w:val="20"/>
          <w:lang w:val="en-US"/>
        </w:rPr>
      </w:pPr>
    </w:p>
    <w:p w14:paraId="213A04F9" w14:textId="10DA7A46" w:rsidR="00384244" w:rsidRPr="009D52FD" w:rsidRDefault="0028295C" w:rsidP="0028295C">
      <w:pPr>
        <w:numPr>
          <w:ilvl w:val="0"/>
          <w:numId w:val="1"/>
        </w:numPr>
        <w:tabs>
          <w:tab w:val="left" w:pos="567"/>
        </w:tabs>
        <w:spacing w:line="240" w:lineRule="auto"/>
        <w:ind w:left="0" w:firstLine="0"/>
        <w:rPr>
          <w:sz w:val="20"/>
          <w:szCs w:val="20"/>
          <w:lang w:val="en-US" w:eastAsia="en-US"/>
        </w:rPr>
      </w:pPr>
      <w:r w:rsidRPr="009D52FD">
        <w:rPr>
          <w:sz w:val="20"/>
          <w:szCs w:val="20"/>
          <w:lang w:val="en-US" w:eastAsia="en-US"/>
        </w:rPr>
        <w:t xml:space="preserve">Consequently, pursuant to the allegations made in this case, the Court will now proceed to examine the arguments submitted and to determine, based on the particular circumstances of this specific case and taking into account the foregoing criteria, the State’s awareness of the danger, and the reasonableness of the measures adopted, and will also evaluate, based on the arguments </w:t>
      </w:r>
      <w:r w:rsidR="003630BB" w:rsidRPr="009D52FD">
        <w:rPr>
          <w:sz w:val="20"/>
          <w:szCs w:val="20"/>
          <w:lang w:val="en-US" w:eastAsia="en-US"/>
        </w:rPr>
        <w:t>of the Commission and the representatives</w:t>
      </w:r>
      <w:r w:rsidR="009637C9" w:rsidRPr="009D52FD">
        <w:rPr>
          <w:sz w:val="20"/>
          <w:szCs w:val="20"/>
          <w:lang w:val="en-US" w:eastAsia="en-US"/>
        </w:rPr>
        <w:t xml:space="preserve">, </w:t>
      </w:r>
      <w:r w:rsidRPr="009D52FD">
        <w:rPr>
          <w:sz w:val="20"/>
          <w:szCs w:val="20"/>
          <w:lang w:val="en-US" w:eastAsia="en-US"/>
        </w:rPr>
        <w:t>the State’s supposed acquiescence, complicity and/or tolerance of the perpetration of acts by</w:t>
      </w:r>
      <w:r w:rsidR="00053769" w:rsidRPr="009D52FD">
        <w:rPr>
          <w:sz w:val="20"/>
          <w:szCs w:val="20"/>
          <w:lang w:val="en-US" w:eastAsia="en-US"/>
        </w:rPr>
        <w:t xml:space="preserve"> private</w:t>
      </w:r>
      <w:r w:rsidRPr="009D52FD">
        <w:rPr>
          <w:sz w:val="20"/>
          <w:szCs w:val="20"/>
          <w:lang w:val="en-US" w:eastAsia="en-US"/>
        </w:rPr>
        <w:t xml:space="preserve"> individuals.</w:t>
      </w:r>
    </w:p>
    <w:p w14:paraId="49DD7862" w14:textId="77777777" w:rsidR="009E4F6C" w:rsidRPr="009D52FD" w:rsidRDefault="009E4F6C" w:rsidP="009E4F6C">
      <w:pPr>
        <w:widowControl/>
        <w:adjustRightInd/>
        <w:spacing w:line="240" w:lineRule="auto"/>
        <w:textAlignment w:val="auto"/>
        <w:rPr>
          <w:sz w:val="20"/>
          <w:szCs w:val="20"/>
          <w:lang w:val="en-US" w:eastAsia="en-US"/>
        </w:rPr>
      </w:pPr>
    </w:p>
    <w:p w14:paraId="50601CB8" w14:textId="192C88C9" w:rsidR="009E4F6C" w:rsidRPr="009D52FD" w:rsidRDefault="009E4F6C" w:rsidP="00FF62E0">
      <w:pPr>
        <w:keepNext/>
        <w:keepLines/>
        <w:widowControl/>
        <w:tabs>
          <w:tab w:val="left" w:pos="1134"/>
        </w:tabs>
        <w:autoSpaceDE w:val="0"/>
        <w:autoSpaceDN w:val="0"/>
        <w:spacing w:line="240" w:lineRule="auto"/>
        <w:ind w:left="708" w:hanging="140"/>
        <w:textAlignment w:val="auto"/>
        <w:outlineLvl w:val="1"/>
        <w:rPr>
          <w:rFonts w:eastAsia="MS Mincho" w:cs="Arial"/>
          <w:bCs/>
          <w:i/>
          <w:sz w:val="20"/>
          <w:szCs w:val="20"/>
          <w:lang w:val="en-US" w:eastAsia="en-US"/>
        </w:rPr>
      </w:pPr>
      <w:bookmarkStart w:id="81" w:name="_Toc51400094"/>
      <w:r w:rsidRPr="009D52FD">
        <w:rPr>
          <w:rFonts w:eastAsia="MS Mincho" w:cs="Arial"/>
          <w:bCs/>
          <w:i/>
          <w:sz w:val="20"/>
          <w:szCs w:val="20"/>
          <w:lang w:val="en-US" w:eastAsia="en-US"/>
        </w:rPr>
        <w:t xml:space="preserve">B.3 </w:t>
      </w:r>
      <w:r w:rsidRPr="009D52FD">
        <w:rPr>
          <w:rFonts w:eastAsia="MS Mincho" w:cs="Arial"/>
          <w:bCs/>
          <w:i/>
          <w:sz w:val="20"/>
          <w:szCs w:val="20"/>
          <w:lang w:val="en-US" w:eastAsia="en-US"/>
        </w:rPr>
        <w:tab/>
      </w:r>
      <w:r w:rsidR="00256D45" w:rsidRPr="009D52FD">
        <w:rPr>
          <w:rFonts w:eastAsia="MS Mincho" w:cs="Arial"/>
          <w:bCs/>
          <w:i/>
          <w:sz w:val="20"/>
          <w:szCs w:val="20"/>
          <w:lang w:val="en-US" w:eastAsia="en-US"/>
        </w:rPr>
        <w:t>A</w:t>
      </w:r>
      <w:r w:rsidR="00742B12" w:rsidRPr="009D52FD">
        <w:rPr>
          <w:rFonts w:eastAsia="MS Mincho" w:cs="Arial"/>
          <w:bCs/>
          <w:i/>
          <w:sz w:val="20"/>
          <w:szCs w:val="20"/>
          <w:lang w:val="en-US" w:eastAsia="en-US"/>
        </w:rPr>
        <w:t>nalysis of attribution of responsibility in this specific case</w:t>
      </w:r>
      <w:bookmarkEnd w:id="81"/>
    </w:p>
    <w:p w14:paraId="123AA5E0" w14:textId="77777777" w:rsidR="009E4F6C" w:rsidRPr="009D52FD" w:rsidRDefault="009E4F6C" w:rsidP="009E4F6C">
      <w:pPr>
        <w:widowControl/>
        <w:adjustRightInd/>
        <w:spacing w:line="240" w:lineRule="auto"/>
        <w:jc w:val="left"/>
        <w:textAlignment w:val="auto"/>
        <w:rPr>
          <w:color w:val="000000"/>
          <w:sz w:val="20"/>
          <w:szCs w:val="20"/>
          <w:lang w:val="en-US" w:eastAsia="en-US"/>
        </w:rPr>
      </w:pPr>
    </w:p>
    <w:p w14:paraId="33A4C7EB" w14:textId="26AEC1AD" w:rsidR="00730B19" w:rsidRPr="009D52FD" w:rsidRDefault="0028295C" w:rsidP="000C40D9">
      <w:pPr>
        <w:numPr>
          <w:ilvl w:val="0"/>
          <w:numId w:val="1"/>
        </w:numPr>
        <w:tabs>
          <w:tab w:val="left" w:pos="567"/>
        </w:tabs>
        <w:spacing w:line="240" w:lineRule="auto"/>
        <w:ind w:left="0" w:firstLine="0"/>
        <w:rPr>
          <w:color w:val="000000"/>
          <w:sz w:val="20"/>
          <w:szCs w:val="20"/>
          <w:lang w:val="en-US" w:eastAsia="en-US"/>
        </w:rPr>
      </w:pPr>
      <w:r w:rsidRPr="009D52FD">
        <w:rPr>
          <w:color w:val="000000"/>
          <w:sz w:val="20"/>
          <w:szCs w:val="20"/>
          <w:lang w:val="en-US" w:eastAsia="en-US"/>
        </w:rPr>
        <w:t>As previously established</w:t>
      </w:r>
      <w:r w:rsidR="00E66D21" w:rsidRPr="009D52FD">
        <w:rPr>
          <w:color w:val="000000"/>
          <w:sz w:val="20"/>
          <w:szCs w:val="20"/>
          <w:lang w:val="en-US" w:eastAsia="en-US"/>
        </w:rPr>
        <w:t>,</w:t>
      </w:r>
      <w:r w:rsidR="00730B19" w:rsidRPr="009D52FD">
        <w:rPr>
          <w:color w:val="000000"/>
          <w:sz w:val="20"/>
          <w:szCs w:val="20"/>
          <w:lang w:val="en-US" w:eastAsia="en-US"/>
        </w:rPr>
        <w:t xml:space="preserve"> international human rights law imposes an obligation of strict due diligence </w:t>
      </w:r>
      <w:r w:rsidR="00053769" w:rsidRPr="009D52FD">
        <w:rPr>
          <w:color w:val="000000"/>
          <w:sz w:val="20"/>
          <w:szCs w:val="20"/>
          <w:lang w:val="en-US" w:eastAsia="en-US"/>
        </w:rPr>
        <w:t xml:space="preserve">to prevent violence </w:t>
      </w:r>
      <w:r w:rsidR="00730B19" w:rsidRPr="009D52FD">
        <w:rPr>
          <w:color w:val="000000"/>
          <w:sz w:val="20"/>
          <w:szCs w:val="20"/>
          <w:lang w:val="en-US" w:eastAsia="en-US"/>
        </w:rPr>
        <w:t>against women. This obligation entails, on the one hand, the adoption of general institutional and legislative measures and, on the other, due diligence in the state response to the report of the disappearance or kidnapping of a woman. The Court notes that, in this case, it has been verified that the State failed to comply with either of these aspects.</w:t>
      </w:r>
    </w:p>
    <w:p w14:paraId="0E896E09" w14:textId="77777777" w:rsidR="00E66D21" w:rsidRPr="009D52FD" w:rsidRDefault="00E66D21" w:rsidP="009E4F6C">
      <w:pPr>
        <w:widowControl/>
        <w:adjustRightInd/>
        <w:spacing w:line="240" w:lineRule="auto"/>
        <w:jc w:val="left"/>
        <w:textAlignment w:val="auto"/>
        <w:rPr>
          <w:color w:val="000000"/>
          <w:sz w:val="20"/>
          <w:szCs w:val="20"/>
          <w:lang w:val="en-US" w:eastAsia="en-US"/>
        </w:rPr>
      </w:pPr>
    </w:p>
    <w:p w14:paraId="505AA104" w14:textId="496C0AFC" w:rsidR="00730B19" w:rsidRPr="009D52FD" w:rsidRDefault="00730B19" w:rsidP="000C40D9">
      <w:pPr>
        <w:numPr>
          <w:ilvl w:val="0"/>
          <w:numId w:val="1"/>
        </w:numPr>
        <w:tabs>
          <w:tab w:val="left" w:pos="567"/>
        </w:tabs>
        <w:spacing w:line="240" w:lineRule="auto"/>
        <w:ind w:left="0" w:firstLine="0"/>
        <w:rPr>
          <w:color w:val="000000"/>
          <w:sz w:val="20"/>
          <w:szCs w:val="20"/>
          <w:lang w:val="en-US" w:eastAsia="en-US"/>
        </w:rPr>
      </w:pPr>
      <w:r w:rsidRPr="009D52FD">
        <w:rPr>
          <w:color w:val="000000"/>
          <w:sz w:val="20"/>
          <w:szCs w:val="20"/>
          <w:lang w:val="en-US" w:eastAsia="en-US"/>
        </w:rPr>
        <w:t>T</w:t>
      </w:r>
      <w:r w:rsidR="003630BB" w:rsidRPr="009D52FD">
        <w:rPr>
          <w:color w:val="000000"/>
          <w:sz w:val="20"/>
          <w:szCs w:val="20"/>
          <w:lang w:val="en-US" w:eastAsia="en-US"/>
        </w:rPr>
        <w:t>he Court</w:t>
      </w:r>
      <w:r w:rsidR="003238E4" w:rsidRPr="009D52FD">
        <w:rPr>
          <w:color w:val="000000"/>
          <w:sz w:val="20"/>
          <w:szCs w:val="20"/>
          <w:lang w:val="en-US" w:eastAsia="en-US"/>
        </w:rPr>
        <w:t xml:space="preserve"> not</w:t>
      </w:r>
      <w:r w:rsidRPr="009D52FD">
        <w:rPr>
          <w:color w:val="000000"/>
          <w:sz w:val="20"/>
          <w:szCs w:val="20"/>
          <w:lang w:val="en-US" w:eastAsia="en-US"/>
        </w:rPr>
        <w:t xml:space="preserve">es that in Venezuela, at the time of the </w:t>
      </w:r>
      <w:r w:rsidR="00053769" w:rsidRPr="009D52FD">
        <w:rPr>
          <w:color w:val="000000"/>
          <w:sz w:val="20"/>
          <w:szCs w:val="20"/>
          <w:lang w:val="en-US" w:eastAsia="en-US"/>
        </w:rPr>
        <w:t>facts</w:t>
      </w:r>
      <w:r w:rsidRPr="009D52FD">
        <w:rPr>
          <w:color w:val="000000"/>
          <w:sz w:val="20"/>
          <w:szCs w:val="20"/>
          <w:lang w:val="en-US" w:eastAsia="en-US"/>
        </w:rPr>
        <w:t xml:space="preserve">, the institutional and legislative framework for the prevention, investigation and punishment of </w:t>
      </w:r>
      <w:r w:rsidR="005935CA" w:rsidRPr="009D52FD">
        <w:rPr>
          <w:color w:val="000000"/>
          <w:sz w:val="20"/>
          <w:szCs w:val="20"/>
          <w:lang w:val="en-US" w:eastAsia="en-US"/>
        </w:rPr>
        <w:t>violence against women</w:t>
      </w:r>
      <w:r w:rsidRPr="009D52FD">
        <w:rPr>
          <w:color w:val="000000"/>
          <w:sz w:val="20"/>
          <w:szCs w:val="20"/>
          <w:lang w:val="en-US" w:eastAsia="en-US"/>
        </w:rPr>
        <w:t xml:space="preserve"> was deficient. First, response to cases of </w:t>
      </w:r>
      <w:r w:rsidR="005935CA" w:rsidRPr="009D52FD">
        <w:rPr>
          <w:color w:val="000000"/>
          <w:sz w:val="20"/>
          <w:szCs w:val="20"/>
          <w:lang w:val="en-US" w:eastAsia="en-US"/>
        </w:rPr>
        <w:t>violence against women</w:t>
      </w:r>
      <w:r w:rsidR="003238E4" w:rsidRPr="009D52FD">
        <w:rPr>
          <w:color w:val="000000"/>
          <w:sz w:val="20"/>
          <w:szCs w:val="20"/>
          <w:lang w:val="en-US" w:eastAsia="en-US"/>
        </w:rPr>
        <w:t xml:space="preserve"> </w:t>
      </w:r>
      <w:r w:rsidRPr="009D52FD">
        <w:rPr>
          <w:color w:val="000000"/>
          <w:sz w:val="20"/>
          <w:szCs w:val="20"/>
          <w:lang w:val="en-US" w:eastAsia="en-US"/>
        </w:rPr>
        <w:t xml:space="preserve">was circumscribed to acts that took place within the family. But, even in this situation, the public officials </w:t>
      </w:r>
      <w:r w:rsidR="00002A76" w:rsidRPr="009D52FD">
        <w:rPr>
          <w:color w:val="000000"/>
          <w:sz w:val="20"/>
          <w:szCs w:val="20"/>
          <w:lang w:val="en-US" w:eastAsia="en-US"/>
        </w:rPr>
        <w:t>responsible</w:t>
      </w:r>
      <w:r w:rsidRPr="009D52FD">
        <w:rPr>
          <w:color w:val="000000"/>
          <w:sz w:val="20"/>
          <w:szCs w:val="20"/>
          <w:lang w:val="en-US" w:eastAsia="en-US"/>
        </w:rPr>
        <w:t xml:space="preserve"> for receiving reports lacked the technical training to collaborate with due diligence in the State’s response to the report of the disappearance of a woman, taking into account the risk that this circumstance entailed for her life and integrity and even the possibility that she could be forced </w:t>
      </w:r>
      <w:r w:rsidR="002C3EFD" w:rsidRPr="009D52FD">
        <w:rPr>
          <w:color w:val="000000"/>
          <w:sz w:val="20"/>
          <w:szCs w:val="20"/>
          <w:lang w:val="en-US" w:eastAsia="en-US"/>
        </w:rPr>
        <w:t>into</w:t>
      </w:r>
      <w:r w:rsidRPr="009D52FD">
        <w:rPr>
          <w:color w:val="000000"/>
          <w:sz w:val="20"/>
          <w:szCs w:val="20"/>
          <w:lang w:val="en-US" w:eastAsia="en-US"/>
        </w:rPr>
        <w:t xml:space="preserve"> prostitution </w:t>
      </w:r>
      <w:r w:rsidRPr="009D52FD">
        <w:rPr>
          <w:color w:val="000000"/>
          <w:sz w:val="20"/>
          <w:szCs w:val="20"/>
          <w:lang w:val="en-US" w:eastAsia="en-US"/>
        </w:rPr>
        <w:lastRenderedPageBreak/>
        <w:t xml:space="preserve">in slave-like conditions. The Court also notes that the Criminal Code in force was extremely discriminatory against women, especially </w:t>
      </w:r>
      <w:r w:rsidR="002C3EFD" w:rsidRPr="009D52FD">
        <w:rPr>
          <w:color w:val="000000"/>
          <w:sz w:val="20"/>
          <w:szCs w:val="20"/>
          <w:lang w:val="en-US" w:eastAsia="en-US"/>
        </w:rPr>
        <w:t>in relation to the definition of sexual offenses. For example, it established differentiated and more severe punishments for adultery if a woman incurred in this conduct; it attenuated the penalties when sexual offenses were committed against a woman involved in prostitution, and established the extinction of the punishment if the perpetrator of the crime of rape married his victim. In addition, the legal right protected in sexual offenses was not sexual liberty and a woman’s integrity, but “morality and decency.” Furthermore, and as will be examined below (</w:t>
      </w:r>
      <w:r w:rsidR="002C3EFD" w:rsidRPr="009D52FD">
        <w:rPr>
          <w:i/>
          <w:color w:val="000000"/>
          <w:sz w:val="20"/>
          <w:szCs w:val="20"/>
          <w:lang w:val="en-US" w:eastAsia="en-US"/>
        </w:rPr>
        <w:t>infra</w:t>
      </w:r>
      <w:r w:rsidR="002C3EFD" w:rsidRPr="009D52FD">
        <w:rPr>
          <w:color w:val="000000"/>
          <w:sz w:val="20"/>
          <w:szCs w:val="20"/>
          <w:lang w:val="en-US" w:eastAsia="en-US"/>
        </w:rPr>
        <w:t xml:space="preserve"> para. 253), the legal definition of torture was insufficient because it was circumscribed to individuals in custody. Consequently, the State had not adapted its laws and practice to the international instruments that it had ratified.</w:t>
      </w:r>
    </w:p>
    <w:p w14:paraId="79904F61" w14:textId="77777777" w:rsidR="003238E4" w:rsidRPr="009D52FD" w:rsidRDefault="003238E4" w:rsidP="009E4F6C">
      <w:pPr>
        <w:widowControl/>
        <w:adjustRightInd/>
        <w:spacing w:line="240" w:lineRule="auto"/>
        <w:jc w:val="left"/>
        <w:textAlignment w:val="auto"/>
        <w:rPr>
          <w:color w:val="000000"/>
          <w:sz w:val="20"/>
          <w:szCs w:val="20"/>
          <w:lang w:val="en-US" w:eastAsia="en-US"/>
        </w:rPr>
      </w:pPr>
    </w:p>
    <w:p w14:paraId="30423C71" w14:textId="362A231C" w:rsidR="009E4F6C" w:rsidRPr="009D52FD" w:rsidRDefault="002C3EFD" w:rsidP="002C3EFD">
      <w:pPr>
        <w:numPr>
          <w:ilvl w:val="0"/>
          <w:numId w:val="1"/>
        </w:numPr>
        <w:tabs>
          <w:tab w:val="left" w:pos="567"/>
        </w:tabs>
        <w:spacing w:line="240" w:lineRule="auto"/>
        <w:ind w:left="0" w:firstLine="0"/>
        <w:rPr>
          <w:color w:val="000000"/>
          <w:sz w:val="20"/>
          <w:szCs w:val="20"/>
          <w:lang w:val="en-US" w:eastAsia="en-US"/>
        </w:rPr>
      </w:pPr>
      <w:r w:rsidRPr="009D52FD">
        <w:rPr>
          <w:color w:val="000000"/>
          <w:sz w:val="20"/>
          <w:szCs w:val="20"/>
          <w:lang w:val="en-US" w:eastAsia="en-US"/>
        </w:rPr>
        <w:t>Regarding the obligation to act with due diligence to comply with the duty of prevention in this specific case, as previously described, the factual dispute is centered on determining whether the state authorities knew or should have known of the existence of a real and immediate risk to the integrity</w:t>
      </w:r>
      <w:r w:rsidR="009E4F6C" w:rsidRPr="009D52FD">
        <w:rPr>
          <w:color w:val="000000"/>
          <w:sz w:val="20"/>
          <w:szCs w:val="20"/>
          <w:lang w:val="en-US" w:eastAsia="en-US"/>
        </w:rPr>
        <w:t>, libert</w:t>
      </w:r>
      <w:r w:rsidRPr="009D52FD">
        <w:rPr>
          <w:color w:val="000000"/>
          <w:sz w:val="20"/>
          <w:szCs w:val="20"/>
          <w:lang w:val="en-US" w:eastAsia="en-US"/>
        </w:rPr>
        <w:t>y</w:t>
      </w:r>
      <w:r w:rsidR="009E4F6C" w:rsidRPr="009D52FD">
        <w:rPr>
          <w:color w:val="000000"/>
          <w:sz w:val="20"/>
          <w:szCs w:val="20"/>
          <w:lang w:val="en-US" w:eastAsia="en-US"/>
        </w:rPr>
        <w:t xml:space="preserve">, </w:t>
      </w:r>
      <w:r w:rsidR="00996337" w:rsidRPr="009D52FD">
        <w:rPr>
          <w:color w:val="000000"/>
          <w:sz w:val="20"/>
          <w:szCs w:val="20"/>
          <w:lang w:val="en-US" w:eastAsia="en-US"/>
        </w:rPr>
        <w:t>dignity, autonomy and privacy</w:t>
      </w:r>
      <w:r w:rsidR="009E4F6C" w:rsidRPr="009D52FD">
        <w:rPr>
          <w:color w:val="000000"/>
          <w:sz w:val="20"/>
          <w:szCs w:val="20"/>
          <w:lang w:val="en-US" w:eastAsia="en-US"/>
        </w:rPr>
        <w:t xml:space="preserve"> </w:t>
      </w:r>
      <w:r w:rsidRPr="009D52FD">
        <w:rPr>
          <w:color w:val="000000"/>
          <w:sz w:val="20"/>
          <w:szCs w:val="20"/>
          <w:lang w:val="en-US" w:eastAsia="en-US"/>
        </w:rPr>
        <w:t>of</w:t>
      </w:r>
      <w:r w:rsidR="009E4F6C" w:rsidRPr="009D52FD">
        <w:rPr>
          <w:color w:val="000000"/>
          <w:sz w:val="20"/>
          <w:szCs w:val="20"/>
          <w:lang w:val="en-US" w:eastAsia="en-US"/>
        </w:rPr>
        <w:t xml:space="preserve"> Linda Loaiza</w:t>
      </w:r>
      <w:r w:rsidR="00BB7ACA" w:rsidRPr="009D52FD">
        <w:rPr>
          <w:color w:val="000000"/>
          <w:sz w:val="20"/>
          <w:szCs w:val="20"/>
          <w:lang w:val="en-US" w:eastAsia="en-US"/>
        </w:rPr>
        <w:t xml:space="preserve"> López Soto</w:t>
      </w:r>
      <w:r w:rsidR="009E4F6C" w:rsidRPr="009D52FD">
        <w:rPr>
          <w:color w:val="000000"/>
          <w:sz w:val="20"/>
          <w:szCs w:val="20"/>
          <w:lang w:val="en-US" w:eastAsia="en-US"/>
        </w:rPr>
        <w:t>.</w:t>
      </w:r>
    </w:p>
    <w:p w14:paraId="78158CCB" w14:textId="77777777" w:rsidR="009E4F6C" w:rsidRPr="009D52FD" w:rsidRDefault="009E4F6C" w:rsidP="009E4F6C">
      <w:pPr>
        <w:widowControl/>
        <w:adjustRightInd/>
        <w:spacing w:line="240" w:lineRule="auto"/>
        <w:jc w:val="left"/>
        <w:textAlignment w:val="auto"/>
        <w:rPr>
          <w:color w:val="000000"/>
          <w:sz w:val="20"/>
          <w:szCs w:val="20"/>
          <w:lang w:val="en-US" w:eastAsia="en-US"/>
        </w:rPr>
      </w:pPr>
    </w:p>
    <w:p w14:paraId="6DC74E77" w14:textId="16768951" w:rsidR="009E4F6C" w:rsidRPr="009D52FD" w:rsidRDefault="002C3EFD" w:rsidP="00306965">
      <w:pPr>
        <w:numPr>
          <w:ilvl w:val="0"/>
          <w:numId w:val="1"/>
        </w:numPr>
        <w:tabs>
          <w:tab w:val="left" w:pos="567"/>
        </w:tabs>
        <w:spacing w:line="240" w:lineRule="auto"/>
        <w:ind w:left="0" w:firstLine="0"/>
        <w:rPr>
          <w:color w:val="000000"/>
          <w:sz w:val="20"/>
          <w:szCs w:val="20"/>
          <w:lang w:val="en-US" w:eastAsia="en-US"/>
        </w:rPr>
      </w:pPr>
      <w:r w:rsidRPr="009D52FD">
        <w:rPr>
          <w:color w:val="000000"/>
          <w:sz w:val="20"/>
          <w:szCs w:val="20"/>
          <w:lang w:val="en-US" w:eastAsia="en-US"/>
        </w:rPr>
        <w:t>Indeed</w:t>
      </w:r>
      <w:r w:rsidR="00CC5CD2" w:rsidRPr="009D52FD">
        <w:rPr>
          <w:color w:val="000000"/>
          <w:sz w:val="20"/>
          <w:szCs w:val="20"/>
          <w:lang w:val="en-US" w:eastAsia="en-US"/>
        </w:rPr>
        <w:t xml:space="preserve">, </w:t>
      </w:r>
      <w:r w:rsidRPr="009D52FD">
        <w:rPr>
          <w:color w:val="000000"/>
          <w:sz w:val="20"/>
          <w:szCs w:val="20"/>
          <w:lang w:val="en-US" w:eastAsia="en-US"/>
        </w:rPr>
        <w:t>both</w:t>
      </w:r>
      <w:r w:rsidR="009E4F6C" w:rsidRPr="009D52FD">
        <w:rPr>
          <w:color w:val="000000"/>
          <w:sz w:val="20"/>
          <w:szCs w:val="20"/>
          <w:lang w:val="en-US" w:eastAsia="en-US"/>
        </w:rPr>
        <w:t xml:space="preserve"> </w:t>
      </w:r>
      <w:r w:rsidR="003630BB" w:rsidRPr="009D52FD">
        <w:rPr>
          <w:color w:val="000000"/>
          <w:sz w:val="20"/>
          <w:szCs w:val="20"/>
          <w:lang w:val="en-US" w:eastAsia="en-US"/>
        </w:rPr>
        <w:t>the Commission</w:t>
      </w:r>
      <w:r w:rsidR="009E4F6C" w:rsidRPr="009D52FD">
        <w:rPr>
          <w:color w:val="000000"/>
          <w:sz w:val="20"/>
          <w:szCs w:val="20"/>
          <w:lang w:val="en-US" w:eastAsia="en-US"/>
        </w:rPr>
        <w:t xml:space="preserve"> </w:t>
      </w:r>
      <w:r w:rsidRPr="009D52FD">
        <w:rPr>
          <w:color w:val="000000"/>
          <w:sz w:val="20"/>
          <w:szCs w:val="20"/>
          <w:lang w:val="en-US" w:eastAsia="en-US"/>
        </w:rPr>
        <w:t>and</w:t>
      </w:r>
      <w:r w:rsidR="009E4F6C" w:rsidRPr="009D52FD">
        <w:rPr>
          <w:color w:val="000000"/>
          <w:sz w:val="20"/>
          <w:szCs w:val="20"/>
          <w:lang w:val="en-US" w:eastAsia="en-US"/>
        </w:rPr>
        <w:t xml:space="preserve"> </w:t>
      </w:r>
      <w:r w:rsidR="003630BB" w:rsidRPr="009D52FD">
        <w:rPr>
          <w:color w:val="000000"/>
          <w:sz w:val="20"/>
          <w:szCs w:val="20"/>
          <w:lang w:val="en-US" w:eastAsia="en-US"/>
        </w:rPr>
        <w:t>the representatives</w:t>
      </w:r>
      <w:r w:rsidR="009E4F6C" w:rsidRPr="009D52FD">
        <w:rPr>
          <w:color w:val="000000"/>
          <w:sz w:val="20"/>
          <w:szCs w:val="20"/>
          <w:lang w:val="en-US" w:eastAsia="en-US"/>
        </w:rPr>
        <w:t xml:space="preserve"> </w:t>
      </w:r>
      <w:r w:rsidRPr="009D52FD">
        <w:rPr>
          <w:color w:val="000000"/>
          <w:sz w:val="20"/>
          <w:szCs w:val="20"/>
          <w:lang w:val="en-US" w:eastAsia="en-US"/>
        </w:rPr>
        <w:t xml:space="preserve">argued that, on the day following the disappearance or kidnapping </w:t>
      </w:r>
      <w:r w:rsidR="00306965" w:rsidRPr="009D52FD">
        <w:rPr>
          <w:color w:val="000000"/>
          <w:sz w:val="20"/>
          <w:szCs w:val="20"/>
          <w:lang w:val="en-US" w:eastAsia="en-US"/>
        </w:rPr>
        <w:t>–</w:t>
      </w:r>
      <w:r w:rsidRPr="009D52FD">
        <w:rPr>
          <w:color w:val="000000"/>
          <w:sz w:val="20"/>
          <w:szCs w:val="20"/>
          <w:lang w:val="en-US" w:eastAsia="en-US"/>
        </w:rPr>
        <w:t xml:space="preserve"> </w:t>
      </w:r>
      <w:r w:rsidR="00306965" w:rsidRPr="009D52FD">
        <w:rPr>
          <w:color w:val="000000"/>
          <w:sz w:val="20"/>
          <w:szCs w:val="20"/>
          <w:lang w:val="en-US" w:eastAsia="en-US"/>
        </w:rPr>
        <w:t xml:space="preserve">March 28, 2001 – and on at least six further occasions, Ana Secilia López Soto, Linda Loaiza’s sister had tried to file a report with the former </w:t>
      </w:r>
      <w:r w:rsidR="00D6018A" w:rsidRPr="009D52FD">
        <w:rPr>
          <w:sz w:val="20"/>
          <w:szCs w:val="20"/>
          <w:lang w:val="en-US" w:eastAsia="en-US"/>
        </w:rPr>
        <w:t>Judicial Technical Police</w:t>
      </w:r>
      <w:r w:rsidR="00306965" w:rsidRPr="009D52FD">
        <w:rPr>
          <w:sz w:val="20"/>
          <w:szCs w:val="20"/>
          <w:lang w:val="en-US" w:eastAsia="en-US"/>
        </w:rPr>
        <w:t xml:space="preserve"> located in </w:t>
      </w:r>
      <w:r w:rsidR="009E4F6C" w:rsidRPr="009D52FD">
        <w:rPr>
          <w:sz w:val="20"/>
          <w:szCs w:val="20"/>
          <w:lang w:val="en-US" w:eastAsia="en-US"/>
        </w:rPr>
        <w:t>Urdaneta</w:t>
      </w:r>
      <w:r w:rsidR="00306965" w:rsidRPr="009D52FD">
        <w:rPr>
          <w:sz w:val="20"/>
          <w:szCs w:val="20"/>
          <w:lang w:val="en-US" w:eastAsia="en-US"/>
        </w:rPr>
        <w:t xml:space="preserve"> Avenue in</w:t>
      </w:r>
      <w:r w:rsidR="009E4F6C" w:rsidRPr="009D52FD">
        <w:rPr>
          <w:sz w:val="20"/>
          <w:szCs w:val="20"/>
          <w:lang w:val="en-US" w:eastAsia="en-US"/>
        </w:rPr>
        <w:t xml:space="preserve"> Caracas</w:t>
      </w:r>
      <w:r w:rsidR="009E4F6C" w:rsidRPr="009D52FD">
        <w:rPr>
          <w:color w:val="000000"/>
          <w:sz w:val="20"/>
          <w:szCs w:val="20"/>
          <w:lang w:val="en-US" w:eastAsia="en-US"/>
        </w:rPr>
        <w:t xml:space="preserve">, </w:t>
      </w:r>
      <w:r w:rsidR="00306965" w:rsidRPr="009D52FD">
        <w:rPr>
          <w:color w:val="000000"/>
          <w:sz w:val="20"/>
          <w:szCs w:val="20"/>
          <w:lang w:val="en-US" w:eastAsia="en-US"/>
        </w:rPr>
        <w:t xml:space="preserve">without this being received. The report was </w:t>
      </w:r>
      <w:r w:rsidR="00680DD5" w:rsidRPr="009D52FD">
        <w:rPr>
          <w:color w:val="000000"/>
          <w:sz w:val="20"/>
          <w:szCs w:val="20"/>
          <w:lang w:val="en-US" w:eastAsia="en-US"/>
        </w:rPr>
        <w:t>formalized</w:t>
      </w:r>
      <w:r w:rsidR="00306965" w:rsidRPr="009D52FD">
        <w:rPr>
          <w:color w:val="000000"/>
          <w:sz w:val="20"/>
          <w:szCs w:val="20"/>
          <w:lang w:val="en-US" w:eastAsia="en-US"/>
        </w:rPr>
        <w:t xml:space="preserve"> two and a half months after the disappearance, owing to the death threats against </w:t>
      </w:r>
      <w:r w:rsidR="00306965" w:rsidRPr="009D52FD">
        <w:rPr>
          <w:sz w:val="20"/>
          <w:lang w:val="en-US" w:eastAsia="en-US"/>
        </w:rPr>
        <w:t xml:space="preserve">Ana Secilia López Soto. The evidence substantiating the attempts to file the reports corresponds, above all, to the statements of Ana Secilia herself and other members of the family during the criminal proceedings. The State argued that it was not and did not have to be aware, because there was no record that any attempt had been made to file a report on the situation of </w:t>
      </w:r>
      <w:r w:rsidR="00042AEA" w:rsidRPr="009D52FD">
        <w:rPr>
          <w:color w:val="000000"/>
          <w:sz w:val="20"/>
          <w:szCs w:val="20"/>
          <w:lang w:val="en-US" w:eastAsia="en-US"/>
        </w:rPr>
        <w:t>Linda Loaiza Ló</w:t>
      </w:r>
      <w:r w:rsidR="009E4F6C" w:rsidRPr="009D52FD">
        <w:rPr>
          <w:color w:val="000000"/>
          <w:sz w:val="20"/>
          <w:szCs w:val="20"/>
          <w:lang w:val="en-US" w:eastAsia="en-US"/>
        </w:rPr>
        <w:t>pez</w:t>
      </w:r>
      <w:r w:rsidR="00BF6816" w:rsidRPr="009D52FD">
        <w:rPr>
          <w:color w:val="000000"/>
          <w:sz w:val="20"/>
          <w:szCs w:val="20"/>
          <w:lang w:val="en-US" w:eastAsia="en-US"/>
        </w:rPr>
        <w:t xml:space="preserve"> Soto </w:t>
      </w:r>
      <w:r w:rsidR="00306965" w:rsidRPr="009D52FD">
        <w:rPr>
          <w:color w:val="000000"/>
          <w:sz w:val="20"/>
          <w:szCs w:val="20"/>
          <w:lang w:val="en-US" w:eastAsia="en-US"/>
        </w:rPr>
        <w:t>between</w:t>
      </w:r>
      <w:r w:rsidR="009E4F6C" w:rsidRPr="009D52FD">
        <w:rPr>
          <w:color w:val="000000"/>
          <w:sz w:val="20"/>
          <w:szCs w:val="20"/>
          <w:lang w:val="en-US" w:eastAsia="en-US"/>
        </w:rPr>
        <w:t xml:space="preserve"> </w:t>
      </w:r>
      <w:r w:rsidR="00DB6AF5" w:rsidRPr="009D52FD">
        <w:rPr>
          <w:color w:val="000000"/>
          <w:sz w:val="20"/>
          <w:szCs w:val="20"/>
          <w:lang w:val="en-US" w:eastAsia="en-US"/>
        </w:rPr>
        <w:t>March 28,</w:t>
      </w:r>
      <w:r w:rsidR="003630BB" w:rsidRPr="009D52FD">
        <w:rPr>
          <w:color w:val="000000"/>
          <w:sz w:val="20"/>
          <w:szCs w:val="20"/>
          <w:lang w:val="en-US" w:eastAsia="en-US"/>
        </w:rPr>
        <w:t xml:space="preserve"> and </w:t>
      </w:r>
      <w:r w:rsidR="00DB6AF5" w:rsidRPr="009D52FD">
        <w:rPr>
          <w:color w:val="000000"/>
          <w:sz w:val="20"/>
          <w:szCs w:val="20"/>
          <w:lang w:val="en-US" w:eastAsia="en-US"/>
        </w:rPr>
        <w:t>July 19,</w:t>
      </w:r>
      <w:r w:rsidR="009E4F6C" w:rsidRPr="009D52FD">
        <w:rPr>
          <w:color w:val="000000"/>
          <w:sz w:val="20"/>
          <w:szCs w:val="20"/>
          <w:lang w:val="en-US" w:eastAsia="en-US"/>
        </w:rPr>
        <w:t xml:space="preserve"> 2001, </w:t>
      </w:r>
      <w:r w:rsidR="00306965" w:rsidRPr="009D52FD">
        <w:rPr>
          <w:color w:val="000000"/>
          <w:sz w:val="20"/>
          <w:szCs w:val="20"/>
          <w:lang w:val="en-US" w:eastAsia="en-US"/>
        </w:rPr>
        <w:t xml:space="preserve">the date on which she was rescued. It also indicated that it was not incumbent on the State to prove that “the report was not filed on </w:t>
      </w:r>
      <w:r w:rsidR="00DB6AF5" w:rsidRPr="009D52FD">
        <w:rPr>
          <w:color w:val="000000"/>
          <w:sz w:val="20"/>
          <w:szCs w:val="20"/>
          <w:lang w:val="en-US" w:eastAsia="en-US"/>
        </w:rPr>
        <w:t>March 28,</w:t>
      </w:r>
      <w:r w:rsidR="009E4F6C" w:rsidRPr="009D52FD">
        <w:rPr>
          <w:color w:val="000000"/>
          <w:sz w:val="20"/>
          <w:szCs w:val="20"/>
          <w:lang w:val="en-US" w:eastAsia="en-US"/>
        </w:rPr>
        <w:t xml:space="preserve"> 2001</w:t>
      </w:r>
      <w:r w:rsidR="00306965" w:rsidRPr="009D52FD">
        <w:rPr>
          <w:color w:val="000000"/>
          <w:sz w:val="20"/>
          <w:szCs w:val="20"/>
          <w:lang w:val="en-US" w:eastAsia="en-US"/>
        </w:rPr>
        <w:t>.</w:t>
      </w:r>
      <w:r w:rsidR="009E4F6C" w:rsidRPr="009D52FD">
        <w:rPr>
          <w:color w:val="000000"/>
          <w:sz w:val="20"/>
          <w:szCs w:val="20"/>
          <w:lang w:val="en-US" w:eastAsia="en-US"/>
        </w:rPr>
        <w:t>”</w:t>
      </w:r>
    </w:p>
    <w:p w14:paraId="121A1BDA" w14:textId="77777777" w:rsidR="009E4F6C" w:rsidRPr="009D52FD" w:rsidRDefault="009E4F6C" w:rsidP="009E4F6C">
      <w:pPr>
        <w:widowControl/>
        <w:adjustRightInd/>
        <w:spacing w:line="240" w:lineRule="auto"/>
        <w:textAlignment w:val="auto"/>
        <w:rPr>
          <w:color w:val="000000"/>
          <w:sz w:val="20"/>
          <w:szCs w:val="20"/>
          <w:lang w:val="en-US" w:eastAsia="en-US"/>
        </w:rPr>
      </w:pPr>
    </w:p>
    <w:p w14:paraId="23E0B697" w14:textId="43636CD2" w:rsidR="00306965" w:rsidRPr="009D52FD" w:rsidRDefault="00306965" w:rsidP="00306965">
      <w:pPr>
        <w:numPr>
          <w:ilvl w:val="0"/>
          <w:numId w:val="1"/>
        </w:numPr>
        <w:tabs>
          <w:tab w:val="left" w:pos="567"/>
        </w:tabs>
        <w:spacing w:line="240" w:lineRule="auto"/>
        <w:ind w:left="0" w:firstLine="0"/>
        <w:rPr>
          <w:color w:val="000000"/>
          <w:sz w:val="20"/>
          <w:szCs w:val="20"/>
          <w:lang w:val="en-US" w:eastAsia="en-US"/>
        </w:rPr>
      </w:pPr>
      <w:r w:rsidRPr="009D52FD">
        <w:rPr>
          <w:color w:val="000000"/>
          <w:sz w:val="20"/>
          <w:szCs w:val="20"/>
          <w:lang w:val="en-US" w:eastAsia="en-US"/>
        </w:rPr>
        <w:t>As previously described</w:t>
      </w:r>
      <w:r w:rsidR="00080917" w:rsidRPr="009D52FD">
        <w:rPr>
          <w:color w:val="000000"/>
          <w:sz w:val="20"/>
          <w:szCs w:val="20"/>
          <w:lang w:val="en-US" w:eastAsia="en-US"/>
        </w:rPr>
        <w:t xml:space="preserve"> (</w:t>
      </w:r>
      <w:r w:rsidR="00080917" w:rsidRPr="009D52FD">
        <w:rPr>
          <w:i/>
          <w:color w:val="000000"/>
          <w:sz w:val="20"/>
          <w:szCs w:val="20"/>
          <w:lang w:val="en-US" w:eastAsia="en-US"/>
        </w:rPr>
        <w:t xml:space="preserve">supra </w:t>
      </w:r>
      <w:r w:rsidR="009459E7" w:rsidRPr="009D52FD">
        <w:rPr>
          <w:color w:val="000000"/>
          <w:sz w:val="20"/>
          <w:szCs w:val="20"/>
          <w:lang w:val="en-US" w:eastAsia="en-US"/>
        </w:rPr>
        <w:t>para.</w:t>
      </w:r>
      <w:r w:rsidR="00080917" w:rsidRPr="009D52FD">
        <w:rPr>
          <w:color w:val="000000"/>
          <w:sz w:val="20"/>
          <w:szCs w:val="20"/>
          <w:lang w:val="en-US" w:eastAsia="en-US"/>
        </w:rPr>
        <w:t xml:space="preserve"> </w:t>
      </w:r>
      <w:r w:rsidR="0094457E" w:rsidRPr="009D52FD">
        <w:rPr>
          <w:color w:val="000000"/>
          <w:sz w:val="20"/>
          <w:szCs w:val="20"/>
          <w:lang w:val="en-US" w:eastAsia="en-US"/>
        </w:rPr>
        <w:t>143</w:t>
      </w:r>
      <w:r w:rsidR="00080917" w:rsidRPr="009D52FD">
        <w:rPr>
          <w:color w:val="000000"/>
          <w:sz w:val="20"/>
          <w:szCs w:val="20"/>
          <w:lang w:val="en-US" w:eastAsia="en-US"/>
        </w:rPr>
        <w:t>),</w:t>
      </w:r>
      <w:r w:rsidRPr="009D52FD">
        <w:rPr>
          <w:color w:val="000000"/>
          <w:sz w:val="20"/>
          <w:szCs w:val="20"/>
          <w:lang w:val="en-US" w:eastAsia="en-US"/>
        </w:rPr>
        <w:t xml:space="preserve"> a written record of the filing of a </w:t>
      </w:r>
      <w:r w:rsidR="00680DD5" w:rsidRPr="009D52FD">
        <w:rPr>
          <w:color w:val="000000"/>
          <w:sz w:val="20"/>
          <w:szCs w:val="20"/>
          <w:lang w:val="en-US" w:eastAsia="en-US"/>
        </w:rPr>
        <w:t>report</w:t>
      </w:r>
      <w:r w:rsidRPr="009D52FD">
        <w:rPr>
          <w:color w:val="000000"/>
          <w:sz w:val="20"/>
          <w:szCs w:val="20"/>
          <w:lang w:val="en-US" w:eastAsia="en-US"/>
        </w:rPr>
        <w:t xml:space="preserve"> is not the only way of proving awareness of the risk; rather, the statements of those who assert that they have filed such reports may be sufficient, provided that such statements are consistent as regards fundamental aspects. In addition, the Court underscores that, according to its case law,</w:t>
      </w:r>
      <w:r w:rsidR="00080917" w:rsidRPr="009D52FD">
        <w:rPr>
          <w:rFonts w:cs="Verdana"/>
          <w:sz w:val="20"/>
          <w:szCs w:val="20"/>
          <w:vertAlign w:val="superscript"/>
          <w:lang w:val="en-US" w:eastAsia="es-MX"/>
        </w:rPr>
        <w:footnoteReference w:id="239"/>
      </w:r>
      <w:r w:rsidRPr="009D52FD">
        <w:rPr>
          <w:rFonts w:cs="Verdana"/>
          <w:sz w:val="20"/>
          <w:szCs w:val="20"/>
          <w:lang w:val="en-US" w:eastAsia="es-MX"/>
        </w:rPr>
        <w:t xml:space="preserve"> the statements </w:t>
      </w:r>
      <w:r w:rsidR="00325A95" w:rsidRPr="009D52FD">
        <w:rPr>
          <w:rFonts w:cs="Verdana"/>
          <w:sz w:val="20"/>
          <w:szCs w:val="20"/>
          <w:lang w:val="en-US" w:eastAsia="es-MX"/>
        </w:rPr>
        <w:t xml:space="preserve">of the </w:t>
      </w:r>
      <w:r w:rsidR="00EB0EB6" w:rsidRPr="009D52FD">
        <w:rPr>
          <w:rFonts w:cs="Verdana"/>
          <w:sz w:val="20"/>
          <w:szCs w:val="20"/>
          <w:lang w:val="en-US" w:eastAsia="es-MX"/>
        </w:rPr>
        <w:t>presumed victims</w:t>
      </w:r>
      <w:r w:rsidR="00080917" w:rsidRPr="009D52FD">
        <w:rPr>
          <w:rFonts w:cs="Verdana"/>
          <w:sz w:val="20"/>
          <w:szCs w:val="20"/>
          <w:lang w:val="en-US" w:eastAsia="es-MX"/>
        </w:rPr>
        <w:t xml:space="preserve"> </w:t>
      </w:r>
      <w:r w:rsidRPr="009D52FD">
        <w:rPr>
          <w:rFonts w:cs="Verdana"/>
          <w:sz w:val="20"/>
          <w:szCs w:val="20"/>
          <w:lang w:val="en-US" w:eastAsia="es-MX"/>
        </w:rPr>
        <w:t xml:space="preserve">cannot be rejected merely because they have </w:t>
      </w:r>
      <w:r w:rsidR="00680DD5" w:rsidRPr="009D52FD">
        <w:rPr>
          <w:rFonts w:cs="Verdana"/>
          <w:sz w:val="20"/>
          <w:szCs w:val="20"/>
          <w:lang w:val="en-US" w:eastAsia="es-MX"/>
        </w:rPr>
        <w:t xml:space="preserve">an </w:t>
      </w:r>
      <w:r w:rsidRPr="009D52FD">
        <w:rPr>
          <w:rFonts w:cs="Verdana"/>
          <w:sz w:val="20"/>
          <w:szCs w:val="20"/>
          <w:lang w:val="en-US" w:eastAsia="es-MX"/>
        </w:rPr>
        <w:t xml:space="preserve">interest in the result of the proceedings, but must be assessed together with the other probative elements. This standard is consonant with the system </w:t>
      </w:r>
      <w:r w:rsidR="00EE4A8F" w:rsidRPr="009D52FD">
        <w:rPr>
          <w:rFonts w:cs="Verdana"/>
          <w:sz w:val="20"/>
          <w:szCs w:val="20"/>
          <w:lang w:val="en-US" w:eastAsia="es-MX"/>
        </w:rPr>
        <w:t>for assessment of the evidence adopted by the Court, which is sound judicial discretion, under which the judge freely examines the evidence incorporated into the case file in accordance with the rules of logic and based on experience, without the probative weight of each of them being predetermined.</w:t>
      </w:r>
    </w:p>
    <w:p w14:paraId="580F70A3" w14:textId="77777777" w:rsidR="009E4F6C" w:rsidRPr="009D52FD" w:rsidRDefault="009E4F6C" w:rsidP="009E4F6C">
      <w:pPr>
        <w:widowControl/>
        <w:adjustRightInd/>
        <w:spacing w:line="240" w:lineRule="auto"/>
        <w:jc w:val="left"/>
        <w:textAlignment w:val="auto"/>
        <w:rPr>
          <w:color w:val="000000"/>
          <w:sz w:val="20"/>
          <w:szCs w:val="20"/>
          <w:lang w:val="en-US" w:eastAsia="en-US"/>
        </w:rPr>
      </w:pPr>
    </w:p>
    <w:p w14:paraId="63610C7B" w14:textId="513D37D2" w:rsidR="009E4F6C" w:rsidRPr="009D52FD" w:rsidRDefault="00EE4A8F" w:rsidP="003C5989">
      <w:pPr>
        <w:numPr>
          <w:ilvl w:val="0"/>
          <w:numId w:val="1"/>
        </w:numPr>
        <w:tabs>
          <w:tab w:val="left" w:pos="567"/>
        </w:tabs>
        <w:spacing w:line="240" w:lineRule="auto"/>
        <w:ind w:left="0" w:firstLine="0"/>
        <w:rPr>
          <w:color w:val="000000"/>
          <w:sz w:val="20"/>
          <w:szCs w:val="20"/>
          <w:lang w:val="en-US" w:eastAsia="en-US"/>
        </w:rPr>
      </w:pPr>
      <w:r w:rsidRPr="009D52FD">
        <w:rPr>
          <w:color w:val="000000"/>
          <w:sz w:val="20"/>
          <w:szCs w:val="20"/>
          <w:lang w:val="en-US" w:eastAsia="en-US"/>
        </w:rPr>
        <w:t xml:space="preserve">That said, in this case, it is argued that </w:t>
      </w:r>
      <w:r w:rsidR="009E4F6C" w:rsidRPr="009D52FD">
        <w:rPr>
          <w:color w:val="000000"/>
          <w:sz w:val="20"/>
          <w:szCs w:val="20"/>
          <w:lang w:val="en-US" w:eastAsia="en-US"/>
        </w:rPr>
        <w:t xml:space="preserve">Ana Secilia López Soto </w:t>
      </w:r>
      <w:r w:rsidRPr="009D52FD">
        <w:rPr>
          <w:color w:val="000000"/>
          <w:sz w:val="20"/>
          <w:szCs w:val="20"/>
          <w:lang w:val="en-US" w:eastAsia="en-US"/>
        </w:rPr>
        <w:t xml:space="preserve">went to the offices of the </w:t>
      </w:r>
      <w:r w:rsidR="00D6018A" w:rsidRPr="009D52FD">
        <w:rPr>
          <w:sz w:val="20"/>
          <w:szCs w:val="20"/>
          <w:lang w:val="en-US" w:eastAsia="en-US"/>
        </w:rPr>
        <w:t>Judicial Technical Police</w:t>
      </w:r>
      <w:r w:rsidRPr="009D52FD">
        <w:rPr>
          <w:sz w:val="20"/>
          <w:szCs w:val="20"/>
          <w:lang w:val="en-US" w:eastAsia="en-US"/>
        </w:rPr>
        <w:t xml:space="preserve"> located on Urdaneta Avenue in Caracas to inform the </w:t>
      </w:r>
      <w:r w:rsidR="00002A76" w:rsidRPr="009D52FD">
        <w:rPr>
          <w:sz w:val="20"/>
          <w:szCs w:val="20"/>
          <w:lang w:val="en-US" w:eastAsia="en-US"/>
        </w:rPr>
        <w:t>police</w:t>
      </w:r>
      <w:r w:rsidRPr="009D52FD">
        <w:rPr>
          <w:sz w:val="20"/>
          <w:szCs w:val="20"/>
          <w:lang w:val="en-US" w:eastAsia="en-US"/>
        </w:rPr>
        <w:t xml:space="preserve"> authorities of her sister’s situation. However, there is no documentary record of this</w:t>
      </w:r>
      <w:r w:rsidR="009E4F6C" w:rsidRPr="009D52FD">
        <w:rPr>
          <w:sz w:val="20"/>
          <w:szCs w:val="20"/>
          <w:lang w:val="en-US" w:eastAsia="en-US"/>
        </w:rPr>
        <w:t>.</w:t>
      </w:r>
      <w:r w:rsidRPr="009D52FD">
        <w:rPr>
          <w:sz w:val="20"/>
          <w:szCs w:val="20"/>
          <w:lang w:val="en-US" w:eastAsia="en-US"/>
        </w:rPr>
        <w:t xml:space="preserve"> Moreover, in addition to denying that a </w:t>
      </w:r>
      <w:r w:rsidR="00680DD5" w:rsidRPr="009D52FD">
        <w:rPr>
          <w:sz w:val="20"/>
          <w:szCs w:val="20"/>
          <w:lang w:val="en-US" w:eastAsia="en-US"/>
        </w:rPr>
        <w:t>report</w:t>
      </w:r>
      <w:r w:rsidRPr="009D52FD">
        <w:rPr>
          <w:sz w:val="20"/>
          <w:szCs w:val="20"/>
          <w:lang w:val="en-US" w:eastAsia="en-US"/>
        </w:rPr>
        <w:t xml:space="preserve"> had been filed, </w:t>
      </w:r>
      <w:r w:rsidR="003630BB" w:rsidRPr="009D52FD">
        <w:rPr>
          <w:color w:val="000000"/>
          <w:sz w:val="20"/>
          <w:szCs w:val="20"/>
          <w:lang w:val="en-US" w:eastAsia="en-US"/>
        </w:rPr>
        <w:t>the State</w:t>
      </w:r>
      <w:r w:rsidR="009E4F6C" w:rsidRPr="009D52FD">
        <w:rPr>
          <w:color w:val="000000"/>
          <w:sz w:val="20"/>
          <w:szCs w:val="20"/>
          <w:lang w:val="en-US" w:eastAsia="en-US"/>
        </w:rPr>
        <w:t xml:space="preserve"> indic</w:t>
      </w:r>
      <w:r w:rsidRPr="009D52FD">
        <w:rPr>
          <w:color w:val="000000"/>
          <w:sz w:val="20"/>
          <w:szCs w:val="20"/>
          <w:lang w:val="en-US" w:eastAsia="en-US"/>
        </w:rPr>
        <w:t xml:space="preserve">ated that there were certain contradictions and inconsistencies </w:t>
      </w:r>
      <w:r w:rsidR="00680DD5" w:rsidRPr="009D52FD">
        <w:rPr>
          <w:color w:val="000000"/>
          <w:sz w:val="20"/>
          <w:szCs w:val="20"/>
          <w:lang w:val="en-US" w:eastAsia="en-US"/>
        </w:rPr>
        <w:t>in</w:t>
      </w:r>
      <w:r w:rsidRPr="009D52FD">
        <w:rPr>
          <w:color w:val="000000"/>
          <w:sz w:val="20"/>
          <w:szCs w:val="20"/>
          <w:lang w:val="en-US" w:eastAsia="en-US"/>
        </w:rPr>
        <w:t xml:space="preserve"> the different statements made by</w:t>
      </w:r>
      <w:r w:rsidR="009E4F6C" w:rsidRPr="009D52FD">
        <w:rPr>
          <w:color w:val="000000"/>
          <w:sz w:val="20"/>
          <w:szCs w:val="20"/>
          <w:lang w:val="en-US" w:eastAsia="en-US"/>
        </w:rPr>
        <w:t xml:space="preserve"> Ana Secilia, </w:t>
      </w:r>
      <w:r w:rsidR="00680DD5" w:rsidRPr="009D52FD">
        <w:rPr>
          <w:color w:val="000000"/>
          <w:sz w:val="20"/>
          <w:szCs w:val="20"/>
          <w:lang w:val="en-US" w:eastAsia="en-US"/>
        </w:rPr>
        <w:t>which</w:t>
      </w:r>
      <w:r w:rsidRPr="009D52FD">
        <w:rPr>
          <w:color w:val="000000"/>
          <w:sz w:val="20"/>
          <w:szCs w:val="20"/>
          <w:lang w:val="en-US" w:eastAsia="en-US"/>
        </w:rPr>
        <w:t xml:space="preserve"> did not allow the circumstances of time and place </w:t>
      </w:r>
      <w:r w:rsidR="00680DD5" w:rsidRPr="009D52FD">
        <w:rPr>
          <w:color w:val="000000"/>
          <w:sz w:val="20"/>
          <w:szCs w:val="20"/>
          <w:lang w:val="en-US" w:eastAsia="en-US"/>
        </w:rPr>
        <w:t>at</w:t>
      </w:r>
      <w:r w:rsidRPr="009D52FD">
        <w:rPr>
          <w:color w:val="000000"/>
          <w:sz w:val="20"/>
          <w:szCs w:val="20"/>
          <w:lang w:val="en-US" w:eastAsia="en-US"/>
        </w:rPr>
        <w:t xml:space="preserve"> which this </w:t>
      </w:r>
      <w:r w:rsidR="00680DD5" w:rsidRPr="009D52FD">
        <w:rPr>
          <w:color w:val="000000"/>
          <w:sz w:val="20"/>
          <w:szCs w:val="20"/>
          <w:lang w:val="en-US" w:eastAsia="en-US"/>
        </w:rPr>
        <w:t>report</w:t>
      </w:r>
      <w:r w:rsidRPr="009D52FD">
        <w:rPr>
          <w:color w:val="000000"/>
          <w:sz w:val="20"/>
          <w:szCs w:val="20"/>
          <w:lang w:val="en-US" w:eastAsia="en-US"/>
        </w:rPr>
        <w:t xml:space="preserve"> had been filed to be ascertained. However, the representatives submitted to these proceedings, copy of a </w:t>
      </w:r>
      <w:r w:rsidR="00680DD5" w:rsidRPr="009D52FD">
        <w:rPr>
          <w:color w:val="000000"/>
          <w:sz w:val="20"/>
          <w:szCs w:val="20"/>
          <w:lang w:val="en-US" w:eastAsia="en-US"/>
        </w:rPr>
        <w:t>report</w:t>
      </w:r>
      <w:r w:rsidRPr="009D52FD">
        <w:rPr>
          <w:color w:val="000000"/>
          <w:sz w:val="20"/>
          <w:szCs w:val="20"/>
          <w:lang w:val="en-US" w:eastAsia="en-US"/>
        </w:rPr>
        <w:t xml:space="preserve"> filed before </w:t>
      </w:r>
      <w:r w:rsidR="000C6475" w:rsidRPr="009D52FD">
        <w:rPr>
          <w:color w:val="000000"/>
          <w:sz w:val="20"/>
          <w:szCs w:val="20"/>
          <w:lang w:val="en-US" w:eastAsia="en-US"/>
        </w:rPr>
        <w:t>the Judicial Technical Police</w:t>
      </w:r>
      <w:r w:rsidR="009E4F6C" w:rsidRPr="009D52FD">
        <w:rPr>
          <w:color w:val="000000"/>
          <w:sz w:val="20"/>
          <w:szCs w:val="20"/>
          <w:lang w:val="en-US" w:eastAsia="en-US"/>
        </w:rPr>
        <w:t xml:space="preserve"> </w:t>
      </w:r>
      <w:r w:rsidRPr="009D52FD">
        <w:rPr>
          <w:color w:val="000000"/>
          <w:sz w:val="20"/>
          <w:szCs w:val="20"/>
          <w:lang w:val="en-US" w:eastAsia="en-US"/>
        </w:rPr>
        <w:t>on May 26,</w:t>
      </w:r>
      <w:r w:rsidR="009E4F6C" w:rsidRPr="009D52FD">
        <w:rPr>
          <w:color w:val="000000"/>
          <w:sz w:val="20"/>
          <w:szCs w:val="20"/>
          <w:lang w:val="en-US" w:eastAsia="en-US"/>
        </w:rPr>
        <w:t xml:space="preserve"> 2001</w:t>
      </w:r>
      <w:r w:rsidRPr="009D52FD">
        <w:rPr>
          <w:color w:val="000000"/>
          <w:sz w:val="20"/>
          <w:szCs w:val="20"/>
          <w:lang w:val="en-US" w:eastAsia="en-US"/>
        </w:rPr>
        <w:t>, by</w:t>
      </w:r>
      <w:r w:rsidR="009E4F6C" w:rsidRPr="009D52FD">
        <w:rPr>
          <w:color w:val="000000"/>
          <w:sz w:val="20"/>
          <w:szCs w:val="20"/>
          <w:lang w:val="en-US" w:eastAsia="en-US"/>
        </w:rPr>
        <w:t xml:space="preserve"> Ana Secilia </w:t>
      </w:r>
      <w:r w:rsidRPr="009D52FD">
        <w:rPr>
          <w:color w:val="000000"/>
          <w:sz w:val="20"/>
          <w:szCs w:val="20"/>
          <w:lang w:val="en-US" w:eastAsia="en-US"/>
        </w:rPr>
        <w:t>against the aggressor, which was processed as a death threat.</w:t>
      </w:r>
      <w:r w:rsidR="009E4F6C" w:rsidRPr="009D52FD">
        <w:rPr>
          <w:color w:val="000000"/>
          <w:sz w:val="20"/>
          <w:szCs w:val="20"/>
          <w:vertAlign w:val="superscript"/>
          <w:lang w:val="en-US" w:eastAsia="en-US"/>
        </w:rPr>
        <w:footnoteReference w:id="240"/>
      </w:r>
      <w:r w:rsidR="009E4F6C" w:rsidRPr="009D52FD">
        <w:rPr>
          <w:color w:val="000000"/>
          <w:sz w:val="20"/>
          <w:szCs w:val="20"/>
          <w:lang w:val="en-US" w:eastAsia="en-US"/>
        </w:rPr>
        <w:t xml:space="preserve"> </w:t>
      </w:r>
      <w:r w:rsidRPr="009D52FD">
        <w:rPr>
          <w:color w:val="000000"/>
          <w:sz w:val="20"/>
          <w:szCs w:val="20"/>
          <w:lang w:val="en-US" w:eastAsia="en-US"/>
        </w:rPr>
        <w:t>Despite this being requested, t</w:t>
      </w:r>
      <w:r w:rsidR="003630BB" w:rsidRPr="009D52FD">
        <w:rPr>
          <w:color w:val="000000"/>
          <w:sz w:val="20"/>
          <w:szCs w:val="20"/>
          <w:lang w:val="en-US" w:eastAsia="en-US"/>
        </w:rPr>
        <w:t>he State</w:t>
      </w:r>
      <w:r w:rsidRPr="009D52FD">
        <w:rPr>
          <w:color w:val="000000"/>
          <w:sz w:val="20"/>
          <w:szCs w:val="20"/>
          <w:lang w:val="en-US" w:eastAsia="en-US"/>
        </w:rPr>
        <w:t xml:space="preserve"> failed to submit a complete copy of this document </w:t>
      </w:r>
      <w:r w:rsidRPr="009D52FD">
        <w:rPr>
          <w:color w:val="000000"/>
          <w:sz w:val="20"/>
          <w:szCs w:val="20"/>
          <w:lang w:val="en-US" w:eastAsia="en-US"/>
        </w:rPr>
        <w:lastRenderedPageBreak/>
        <w:t xml:space="preserve">or of any other </w:t>
      </w:r>
      <w:r w:rsidR="00680DD5" w:rsidRPr="009D52FD">
        <w:rPr>
          <w:color w:val="000000"/>
          <w:sz w:val="20"/>
          <w:szCs w:val="20"/>
          <w:lang w:val="en-US" w:eastAsia="en-US"/>
        </w:rPr>
        <w:t>report</w:t>
      </w:r>
      <w:r w:rsidRPr="009D52FD">
        <w:rPr>
          <w:color w:val="000000"/>
          <w:sz w:val="20"/>
          <w:szCs w:val="20"/>
          <w:lang w:val="en-US" w:eastAsia="en-US"/>
        </w:rPr>
        <w:t xml:space="preserve"> that might have been filed</w:t>
      </w:r>
      <w:r w:rsidR="009E4F6C" w:rsidRPr="009D52FD">
        <w:rPr>
          <w:color w:val="000000"/>
          <w:sz w:val="20"/>
          <w:szCs w:val="20"/>
          <w:lang w:val="en-US" w:eastAsia="en-US"/>
        </w:rPr>
        <w:t>.</w:t>
      </w:r>
    </w:p>
    <w:p w14:paraId="1D28C0C6" w14:textId="77777777" w:rsidR="009E4F6C" w:rsidRPr="009D52FD" w:rsidRDefault="009E4F6C" w:rsidP="009E4F6C">
      <w:pPr>
        <w:widowControl/>
        <w:adjustRightInd/>
        <w:spacing w:line="240" w:lineRule="auto"/>
        <w:jc w:val="left"/>
        <w:textAlignment w:val="auto"/>
        <w:rPr>
          <w:color w:val="000000"/>
          <w:sz w:val="20"/>
          <w:szCs w:val="20"/>
          <w:lang w:val="en-US" w:eastAsia="en-US"/>
        </w:rPr>
      </w:pPr>
    </w:p>
    <w:p w14:paraId="1150D3E8" w14:textId="35E129C5" w:rsidR="00623C42" w:rsidRPr="009D52FD" w:rsidRDefault="005F0AB1" w:rsidP="00623C42">
      <w:pPr>
        <w:numPr>
          <w:ilvl w:val="0"/>
          <w:numId w:val="1"/>
        </w:numPr>
        <w:tabs>
          <w:tab w:val="left" w:pos="567"/>
        </w:tabs>
        <w:spacing w:line="240" w:lineRule="auto"/>
        <w:ind w:left="0" w:firstLine="0"/>
        <w:rPr>
          <w:sz w:val="20"/>
          <w:szCs w:val="20"/>
          <w:lang w:val="en-US"/>
        </w:rPr>
      </w:pPr>
      <w:r w:rsidRPr="009D52FD">
        <w:rPr>
          <w:color w:val="000000"/>
          <w:sz w:val="20"/>
          <w:szCs w:val="20"/>
          <w:lang w:val="en-US" w:eastAsia="en-US"/>
        </w:rPr>
        <w:t>The evidence provided to the proceedings</w:t>
      </w:r>
      <w:r w:rsidR="00680DD5" w:rsidRPr="009D52FD">
        <w:rPr>
          <w:color w:val="000000"/>
          <w:sz w:val="20"/>
          <w:szCs w:val="20"/>
          <w:lang w:val="en-US" w:eastAsia="en-US"/>
        </w:rPr>
        <w:t xml:space="preserve"> before this Court</w:t>
      </w:r>
      <w:r w:rsidRPr="009D52FD">
        <w:rPr>
          <w:color w:val="000000"/>
          <w:sz w:val="20"/>
          <w:szCs w:val="20"/>
          <w:lang w:val="en-US" w:eastAsia="en-US"/>
        </w:rPr>
        <w:t xml:space="preserve"> includes </w:t>
      </w:r>
      <w:r w:rsidR="00623C42" w:rsidRPr="009D52FD">
        <w:rPr>
          <w:color w:val="000000"/>
          <w:sz w:val="20"/>
          <w:szCs w:val="20"/>
          <w:lang w:val="en-US" w:eastAsia="en-US"/>
        </w:rPr>
        <w:t xml:space="preserve">four statements made by </w:t>
      </w:r>
      <w:r w:rsidR="001D0ACA" w:rsidRPr="009D52FD">
        <w:rPr>
          <w:color w:val="000000"/>
          <w:sz w:val="20"/>
          <w:szCs w:val="20"/>
          <w:lang w:val="en-US" w:eastAsia="en-US"/>
        </w:rPr>
        <w:t xml:space="preserve">Ana Secilia </w:t>
      </w:r>
      <w:r w:rsidR="00623C42" w:rsidRPr="009D52FD">
        <w:rPr>
          <w:color w:val="000000"/>
          <w:sz w:val="20"/>
          <w:szCs w:val="20"/>
          <w:lang w:val="en-US" w:eastAsia="en-US"/>
        </w:rPr>
        <w:t>at different times. The first before the police, immediately after the rescue of</w:t>
      </w:r>
      <w:r w:rsidR="001D0ACA" w:rsidRPr="009D52FD">
        <w:rPr>
          <w:color w:val="000000"/>
          <w:sz w:val="20"/>
          <w:szCs w:val="20"/>
          <w:lang w:val="en-US" w:eastAsia="en-US"/>
        </w:rPr>
        <w:t xml:space="preserve"> Linda Loaiza</w:t>
      </w:r>
      <w:r w:rsidR="009E4F6C" w:rsidRPr="009D52FD">
        <w:rPr>
          <w:color w:val="000000"/>
          <w:sz w:val="20"/>
          <w:szCs w:val="20"/>
          <w:lang w:val="en-US" w:eastAsia="en-US"/>
        </w:rPr>
        <w:t xml:space="preserve">; </w:t>
      </w:r>
      <w:r w:rsidR="00623C42" w:rsidRPr="009D52FD">
        <w:rPr>
          <w:color w:val="000000"/>
          <w:sz w:val="20"/>
          <w:szCs w:val="20"/>
          <w:lang w:val="en-US" w:eastAsia="en-US"/>
        </w:rPr>
        <w:t xml:space="preserve">the others before the domestic courts during the first and second criminal </w:t>
      </w:r>
      <w:r w:rsidR="00680DD5" w:rsidRPr="009D52FD">
        <w:rPr>
          <w:color w:val="000000"/>
          <w:sz w:val="20"/>
          <w:szCs w:val="20"/>
          <w:lang w:val="en-US" w:eastAsia="en-US"/>
        </w:rPr>
        <w:t>trials</w:t>
      </w:r>
      <w:r w:rsidR="00623C42" w:rsidRPr="009D52FD">
        <w:rPr>
          <w:color w:val="000000"/>
          <w:sz w:val="20"/>
          <w:szCs w:val="20"/>
          <w:lang w:val="en-US" w:eastAsia="en-US"/>
        </w:rPr>
        <w:t xml:space="preserve">, and the last in the hearing before this Court. The Court notes that, with the exception of the statement made at the police station, in the other statements, Ana Secilia was consistent in indicating that she had gone to the police to report her sister’s disappearance prior to the </w:t>
      </w:r>
      <w:r w:rsidR="00680DD5" w:rsidRPr="009D52FD">
        <w:rPr>
          <w:color w:val="000000"/>
          <w:sz w:val="20"/>
          <w:szCs w:val="20"/>
          <w:lang w:val="en-US" w:eastAsia="en-US"/>
        </w:rPr>
        <w:t>report on</w:t>
      </w:r>
      <w:r w:rsidR="00623C42" w:rsidRPr="009D52FD">
        <w:rPr>
          <w:color w:val="000000"/>
          <w:sz w:val="20"/>
          <w:szCs w:val="20"/>
          <w:lang w:val="en-US" w:eastAsia="en-US"/>
        </w:rPr>
        <w:t xml:space="preserve"> the threats.</w:t>
      </w:r>
      <w:r w:rsidR="009E4F6C" w:rsidRPr="009D52FD">
        <w:rPr>
          <w:color w:val="000000"/>
          <w:sz w:val="20"/>
          <w:szCs w:val="20"/>
          <w:vertAlign w:val="superscript"/>
          <w:lang w:val="en-US" w:eastAsia="en-US"/>
        </w:rPr>
        <w:footnoteReference w:id="241"/>
      </w:r>
      <w:r w:rsidR="00623C42" w:rsidRPr="009D52FD">
        <w:rPr>
          <w:color w:val="000000"/>
          <w:sz w:val="20"/>
          <w:szCs w:val="20"/>
          <w:lang w:val="en-US" w:eastAsia="en-US"/>
        </w:rPr>
        <w:t xml:space="preserve"> The following statements are also consistent as regards the place she went to – that is, the police station located on Urdaneta Avenue in Caracas. Even though there are some differences in the dates and the number of times that Ana Secilia said she had gone to file a report, she evidently went to the police on more than one occasion. Lastly, Ana Secilia has been consistent in indicating that, prior to May 2001, when she filed the complaint due to the threats, the response she received from the police agents was always that it was a relationship problem and that she should not interfere. In </w:t>
      </w:r>
      <w:r w:rsidR="00680DD5" w:rsidRPr="009D52FD">
        <w:rPr>
          <w:color w:val="000000"/>
          <w:sz w:val="20"/>
          <w:szCs w:val="20"/>
          <w:lang w:val="en-US" w:eastAsia="en-US"/>
        </w:rPr>
        <w:t>short</w:t>
      </w:r>
      <w:r w:rsidR="00623C42" w:rsidRPr="009D52FD">
        <w:rPr>
          <w:color w:val="000000"/>
          <w:sz w:val="20"/>
          <w:szCs w:val="20"/>
          <w:lang w:val="en-US" w:eastAsia="en-US"/>
        </w:rPr>
        <w:t>, her complaints were not processed, which reveals that negative gender stereotypes existed according to which the State should not intervene in relationship problems.</w:t>
      </w:r>
    </w:p>
    <w:p w14:paraId="7FE098DC" w14:textId="77777777" w:rsidR="009E4F6C" w:rsidRPr="009D52FD" w:rsidRDefault="009E4F6C" w:rsidP="009E4F6C">
      <w:pPr>
        <w:widowControl/>
        <w:tabs>
          <w:tab w:val="left" w:pos="567"/>
        </w:tabs>
        <w:adjustRightInd/>
        <w:spacing w:line="240" w:lineRule="auto"/>
        <w:textAlignment w:val="auto"/>
        <w:rPr>
          <w:sz w:val="20"/>
          <w:szCs w:val="20"/>
          <w:lang w:val="en-US"/>
        </w:rPr>
      </w:pPr>
    </w:p>
    <w:p w14:paraId="19C16244" w14:textId="417D0B20" w:rsidR="00623C42" w:rsidRPr="009D52FD" w:rsidRDefault="00623C42" w:rsidP="003C5989">
      <w:pPr>
        <w:numPr>
          <w:ilvl w:val="0"/>
          <w:numId w:val="1"/>
        </w:numPr>
        <w:tabs>
          <w:tab w:val="left" w:pos="567"/>
        </w:tabs>
        <w:spacing w:line="240" w:lineRule="auto"/>
        <w:ind w:left="0" w:firstLine="0"/>
        <w:rPr>
          <w:sz w:val="20"/>
          <w:szCs w:val="20"/>
          <w:lang w:val="en-US" w:eastAsia="en-US"/>
        </w:rPr>
      </w:pPr>
      <w:r w:rsidRPr="009D52FD">
        <w:rPr>
          <w:sz w:val="20"/>
          <w:szCs w:val="20"/>
          <w:lang w:val="en-US"/>
        </w:rPr>
        <w:t xml:space="preserve">However, it is paradoxical that the police agents invoked this circumstance, especially when it is considered that the Law on Violence against Women and the Family that was in force at the time focused specifically on cases of </w:t>
      </w:r>
      <w:r w:rsidR="00CA1A3D" w:rsidRPr="009D52FD">
        <w:rPr>
          <w:sz w:val="20"/>
          <w:szCs w:val="20"/>
          <w:lang w:val="en-US"/>
        </w:rPr>
        <w:t>intrafamily violence or violence in interpersonal relations, so that it can be inferred that, despite the existence of a specific legal framework, this was not effective as regards receiving complaints and ensuring the speed required to respond to this type of situation, at least in this particular case.</w:t>
      </w:r>
    </w:p>
    <w:p w14:paraId="6F51B448" w14:textId="77777777" w:rsidR="009E4F6C" w:rsidRPr="009D52FD" w:rsidRDefault="009E4F6C" w:rsidP="009E4F6C">
      <w:pPr>
        <w:widowControl/>
        <w:adjustRightInd/>
        <w:spacing w:line="240" w:lineRule="auto"/>
        <w:jc w:val="left"/>
        <w:textAlignment w:val="auto"/>
        <w:rPr>
          <w:color w:val="000000"/>
          <w:sz w:val="20"/>
          <w:szCs w:val="20"/>
          <w:lang w:val="en-US" w:eastAsia="en-US"/>
        </w:rPr>
      </w:pPr>
    </w:p>
    <w:p w14:paraId="2C7E14A9" w14:textId="7194779C" w:rsidR="009E4F6C" w:rsidRPr="009D52FD" w:rsidRDefault="00CA1A3D" w:rsidP="00CA1A3D">
      <w:pPr>
        <w:numPr>
          <w:ilvl w:val="0"/>
          <w:numId w:val="1"/>
        </w:numPr>
        <w:tabs>
          <w:tab w:val="left" w:pos="567"/>
        </w:tabs>
        <w:spacing w:line="240" w:lineRule="auto"/>
        <w:ind w:left="0" w:firstLine="0"/>
        <w:rPr>
          <w:color w:val="000000"/>
          <w:sz w:val="20"/>
          <w:szCs w:val="20"/>
          <w:lang w:val="en-US" w:eastAsia="en-US"/>
        </w:rPr>
      </w:pPr>
      <w:r w:rsidRPr="009D52FD">
        <w:rPr>
          <w:color w:val="000000"/>
          <w:sz w:val="20"/>
          <w:szCs w:val="20"/>
          <w:lang w:val="en-US" w:eastAsia="en-US"/>
        </w:rPr>
        <w:t xml:space="preserve">Added to this, </w:t>
      </w:r>
      <w:r w:rsidR="003630BB" w:rsidRPr="009D52FD">
        <w:rPr>
          <w:color w:val="000000"/>
          <w:sz w:val="20"/>
          <w:szCs w:val="20"/>
          <w:lang w:val="en-US" w:eastAsia="en-US"/>
        </w:rPr>
        <w:t>the Court</w:t>
      </w:r>
      <w:r w:rsidR="009E4F6C" w:rsidRPr="009D52FD">
        <w:rPr>
          <w:color w:val="000000"/>
          <w:sz w:val="20"/>
          <w:szCs w:val="20"/>
          <w:lang w:val="en-US" w:eastAsia="en-US"/>
        </w:rPr>
        <w:t xml:space="preserve"> consider</w:t>
      </w:r>
      <w:r w:rsidRPr="009D52FD">
        <w:rPr>
          <w:color w:val="000000"/>
          <w:sz w:val="20"/>
          <w:szCs w:val="20"/>
          <w:lang w:val="en-US" w:eastAsia="en-US"/>
        </w:rPr>
        <w:t xml:space="preserve">s that the </w:t>
      </w:r>
      <w:r w:rsidR="00B55ABB" w:rsidRPr="009D52FD">
        <w:rPr>
          <w:color w:val="000000"/>
          <w:sz w:val="20"/>
          <w:szCs w:val="20"/>
          <w:lang w:val="en-US" w:eastAsia="en-US"/>
        </w:rPr>
        <w:t>inconsistencies noted in</w:t>
      </w:r>
      <w:r w:rsidRPr="009D52FD">
        <w:rPr>
          <w:color w:val="000000"/>
          <w:sz w:val="20"/>
          <w:szCs w:val="20"/>
          <w:lang w:val="en-US" w:eastAsia="en-US"/>
        </w:rPr>
        <w:t xml:space="preserve"> the statements </w:t>
      </w:r>
      <w:r w:rsidR="00B55ABB" w:rsidRPr="009D52FD">
        <w:rPr>
          <w:color w:val="000000"/>
          <w:sz w:val="20"/>
          <w:szCs w:val="20"/>
          <w:lang w:val="en-US" w:eastAsia="en-US"/>
        </w:rPr>
        <w:t xml:space="preserve">that Ana Secilia </w:t>
      </w:r>
      <w:r w:rsidRPr="009D52FD">
        <w:rPr>
          <w:color w:val="000000"/>
          <w:sz w:val="20"/>
          <w:szCs w:val="20"/>
          <w:lang w:val="en-US" w:eastAsia="en-US"/>
        </w:rPr>
        <w:t xml:space="preserve">made in the legal proceedings </w:t>
      </w:r>
      <w:r w:rsidR="00B55ABB" w:rsidRPr="009D52FD">
        <w:rPr>
          <w:color w:val="000000"/>
          <w:sz w:val="20"/>
          <w:szCs w:val="20"/>
          <w:lang w:val="en-US" w:eastAsia="en-US"/>
        </w:rPr>
        <w:t xml:space="preserve">compared </w:t>
      </w:r>
      <w:r w:rsidRPr="009D52FD">
        <w:rPr>
          <w:color w:val="000000"/>
          <w:sz w:val="20"/>
          <w:szCs w:val="20"/>
          <w:lang w:val="en-US" w:eastAsia="en-US"/>
        </w:rPr>
        <w:t xml:space="preserve">to the first statement made before the police do not disprove her assertions that she had gone to report Linda Loaiza’s situation on at least one other occasion before May 2001; however, it is not possible to specify the exact date. This is corroborated by the context in which the </w:t>
      </w:r>
      <w:r w:rsidR="00680DD5" w:rsidRPr="009D52FD">
        <w:rPr>
          <w:color w:val="000000"/>
          <w:sz w:val="20"/>
          <w:szCs w:val="20"/>
          <w:lang w:val="en-US" w:eastAsia="en-US"/>
        </w:rPr>
        <w:t>facts</w:t>
      </w:r>
      <w:r w:rsidRPr="009D52FD">
        <w:rPr>
          <w:color w:val="000000"/>
          <w:sz w:val="20"/>
          <w:szCs w:val="20"/>
          <w:lang w:val="en-US" w:eastAsia="en-US"/>
        </w:rPr>
        <w:t xml:space="preserve"> took place in which this type of complaint was not processed.</w:t>
      </w:r>
      <w:r w:rsidR="009E4F6C" w:rsidRPr="009D52FD">
        <w:rPr>
          <w:color w:val="000000"/>
          <w:sz w:val="20"/>
          <w:szCs w:val="20"/>
          <w:vertAlign w:val="superscript"/>
          <w:lang w:val="en-US" w:eastAsia="en-US"/>
        </w:rPr>
        <w:footnoteReference w:id="242"/>
      </w:r>
    </w:p>
    <w:p w14:paraId="7BEB5D73" w14:textId="77777777" w:rsidR="009E4F6C" w:rsidRPr="009D52FD" w:rsidRDefault="009E4F6C" w:rsidP="009E4F6C">
      <w:pPr>
        <w:spacing w:line="240" w:lineRule="auto"/>
        <w:rPr>
          <w:sz w:val="20"/>
          <w:szCs w:val="20"/>
          <w:lang w:val="en-US"/>
        </w:rPr>
      </w:pPr>
    </w:p>
    <w:p w14:paraId="0F6CFE9D" w14:textId="01113703" w:rsidR="001D0ACA" w:rsidRPr="009D52FD" w:rsidRDefault="00545208" w:rsidP="001D0ACA">
      <w:pPr>
        <w:numPr>
          <w:ilvl w:val="0"/>
          <w:numId w:val="1"/>
        </w:numPr>
        <w:tabs>
          <w:tab w:val="left" w:pos="567"/>
        </w:tabs>
        <w:spacing w:line="240" w:lineRule="auto"/>
        <w:ind w:left="0" w:firstLine="0"/>
        <w:rPr>
          <w:sz w:val="20"/>
          <w:szCs w:val="20"/>
          <w:lang w:val="en-US"/>
        </w:rPr>
      </w:pPr>
      <w:r w:rsidRPr="009D52FD">
        <w:rPr>
          <w:sz w:val="20"/>
          <w:szCs w:val="20"/>
          <w:lang w:val="en-US" w:eastAsia="en-US"/>
        </w:rPr>
        <w:lastRenderedPageBreak/>
        <w:t>Indeed</w:t>
      </w:r>
      <w:r w:rsidR="001D0ACA" w:rsidRPr="009D52FD">
        <w:rPr>
          <w:sz w:val="20"/>
          <w:szCs w:val="20"/>
          <w:lang w:val="en-US" w:eastAsia="en-US"/>
        </w:rPr>
        <w:t xml:space="preserve">, </w:t>
      </w:r>
      <w:r w:rsidR="003630BB" w:rsidRPr="009D52FD">
        <w:rPr>
          <w:sz w:val="20"/>
          <w:szCs w:val="20"/>
          <w:lang w:val="en-US" w:eastAsia="en-US"/>
        </w:rPr>
        <w:t>the Court</w:t>
      </w:r>
      <w:r w:rsidR="001D0ACA" w:rsidRPr="009D52FD">
        <w:rPr>
          <w:sz w:val="20"/>
          <w:szCs w:val="20"/>
          <w:lang w:val="en-US" w:eastAsia="en-US"/>
        </w:rPr>
        <w:t xml:space="preserve"> not</w:t>
      </w:r>
      <w:r w:rsidRPr="009D52FD">
        <w:rPr>
          <w:sz w:val="20"/>
          <w:szCs w:val="20"/>
          <w:lang w:val="en-US" w:eastAsia="en-US"/>
        </w:rPr>
        <w:t xml:space="preserve">es that, at the time of the </w:t>
      </w:r>
      <w:r w:rsidR="00394C34" w:rsidRPr="009D52FD">
        <w:rPr>
          <w:sz w:val="20"/>
          <w:szCs w:val="20"/>
          <w:lang w:val="en-US" w:eastAsia="en-US"/>
        </w:rPr>
        <w:t>fac</w:t>
      </w:r>
      <w:r w:rsidRPr="009D52FD">
        <w:rPr>
          <w:sz w:val="20"/>
          <w:szCs w:val="20"/>
          <w:lang w:val="en-US" w:eastAsia="en-US"/>
        </w:rPr>
        <w:t xml:space="preserve">ts, the international agencies were concerned </w:t>
      </w:r>
      <w:r w:rsidR="00394C34" w:rsidRPr="009D52FD">
        <w:rPr>
          <w:sz w:val="20"/>
          <w:szCs w:val="20"/>
          <w:lang w:val="en-US" w:eastAsia="en-US"/>
        </w:rPr>
        <w:t>owing</w:t>
      </w:r>
      <w:r w:rsidRPr="009D52FD">
        <w:rPr>
          <w:sz w:val="20"/>
          <w:szCs w:val="20"/>
          <w:lang w:val="en-US" w:eastAsia="en-US"/>
        </w:rPr>
        <w:t xml:space="preserve"> to the lack of effective measures to respond to the high rates of </w:t>
      </w:r>
      <w:r w:rsidR="005935CA" w:rsidRPr="009D52FD">
        <w:rPr>
          <w:sz w:val="20"/>
          <w:szCs w:val="20"/>
          <w:lang w:val="en-US" w:eastAsia="en-US"/>
        </w:rPr>
        <w:t>violence against women</w:t>
      </w:r>
      <w:r w:rsidR="001D0ACA" w:rsidRPr="009D52FD">
        <w:rPr>
          <w:sz w:val="20"/>
          <w:szCs w:val="20"/>
          <w:lang w:val="en-US" w:eastAsia="en-US"/>
        </w:rPr>
        <w:t xml:space="preserve"> </w:t>
      </w:r>
      <w:r w:rsidRPr="009D52FD">
        <w:rPr>
          <w:sz w:val="20"/>
          <w:szCs w:val="20"/>
          <w:lang w:val="en-US" w:eastAsia="en-US"/>
        </w:rPr>
        <w:t xml:space="preserve">revealed by the </w:t>
      </w:r>
      <w:r w:rsidR="00394C34" w:rsidRPr="009D52FD">
        <w:rPr>
          <w:sz w:val="20"/>
          <w:szCs w:val="20"/>
          <w:lang w:val="en-US" w:eastAsia="en-US"/>
        </w:rPr>
        <w:t>incidents</w:t>
      </w:r>
      <w:r w:rsidRPr="009D52FD">
        <w:rPr>
          <w:sz w:val="20"/>
          <w:szCs w:val="20"/>
          <w:lang w:val="en-US" w:eastAsia="en-US"/>
        </w:rPr>
        <w:t xml:space="preserve"> </w:t>
      </w:r>
      <w:r w:rsidR="00394C34" w:rsidRPr="009D52FD">
        <w:rPr>
          <w:sz w:val="20"/>
          <w:szCs w:val="20"/>
          <w:lang w:val="en-US" w:eastAsia="en-US"/>
        </w:rPr>
        <w:t>reported to</w:t>
      </w:r>
      <w:r w:rsidRPr="009D52FD">
        <w:rPr>
          <w:sz w:val="20"/>
          <w:szCs w:val="20"/>
          <w:lang w:val="en-US" w:eastAsia="en-US"/>
        </w:rPr>
        <w:t xml:space="preserve"> the authorities,</w:t>
      </w:r>
      <w:r w:rsidR="001D0ACA" w:rsidRPr="009D52FD">
        <w:rPr>
          <w:rStyle w:val="FootnoteReference"/>
          <w:sz w:val="20"/>
          <w:szCs w:val="20"/>
          <w:lang w:val="en-US" w:eastAsia="en-US"/>
        </w:rPr>
        <w:footnoteReference w:id="243"/>
      </w:r>
      <w:r w:rsidRPr="009D52FD">
        <w:rPr>
          <w:sz w:val="20"/>
          <w:szCs w:val="20"/>
          <w:lang w:val="en-US" w:eastAsia="en-US"/>
        </w:rPr>
        <w:t xml:space="preserve"> and also to the reigning impunity, because the cases never advanced beyond the initial stages.</w:t>
      </w:r>
      <w:r w:rsidR="001D0ACA" w:rsidRPr="009D52FD">
        <w:rPr>
          <w:rStyle w:val="FootnoteReference"/>
          <w:sz w:val="20"/>
          <w:szCs w:val="20"/>
          <w:lang w:val="en-US" w:eastAsia="en-US"/>
        </w:rPr>
        <w:footnoteReference w:id="244"/>
      </w:r>
      <w:r w:rsidRPr="009D52FD">
        <w:rPr>
          <w:sz w:val="20"/>
          <w:szCs w:val="20"/>
          <w:lang w:val="en-US" w:eastAsia="en-US"/>
        </w:rPr>
        <w:t xml:space="preserve"> </w:t>
      </w:r>
      <w:r w:rsidR="00394C34" w:rsidRPr="009D52FD">
        <w:rPr>
          <w:sz w:val="20"/>
          <w:szCs w:val="20"/>
          <w:lang w:val="en-US" w:eastAsia="en-US"/>
        </w:rPr>
        <w:t>Al</w:t>
      </w:r>
      <w:r w:rsidRPr="009D52FD">
        <w:rPr>
          <w:sz w:val="20"/>
          <w:szCs w:val="20"/>
          <w:lang w:val="en-US" w:eastAsia="en-US"/>
        </w:rPr>
        <w:t xml:space="preserve">though </w:t>
      </w:r>
      <w:r w:rsidR="00394C34" w:rsidRPr="009D52FD">
        <w:rPr>
          <w:sz w:val="20"/>
          <w:szCs w:val="20"/>
          <w:lang w:val="en-US" w:eastAsia="en-US"/>
        </w:rPr>
        <w:t xml:space="preserve">there were </w:t>
      </w:r>
      <w:r w:rsidRPr="009D52FD">
        <w:rPr>
          <w:sz w:val="20"/>
          <w:szCs w:val="20"/>
          <w:lang w:val="en-US" w:eastAsia="en-US"/>
        </w:rPr>
        <w:t>some official figures on the number of cases reported,</w:t>
      </w:r>
      <w:r w:rsidR="001D0ACA" w:rsidRPr="009D52FD">
        <w:rPr>
          <w:rStyle w:val="FootnoteReference"/>
          <w:sz w:val="20"/>
          <w:szCs w:val="20"/>
          <w:lang w:val="en-US" w:eastAsia="en-US"/>
        </w:rPr>
        <w:footnoteReference w:id="245"/>
      </w:r>
      <w:r w:rsidRPr="009D52FD">
        <w:rPr>
          <w:sz w:val="20"/>
          <w:szCs w:val="20"/>
          <w:lang w:val="en-US" w:eastAsia="en-US"/>
        </w:rPr>
        <w:t xml:space="preserve"> there were no official data on this phenomenon.</w:t>
      </w:r>
      <w:r w:rsidR="001D0ACA" w:rsidRPr="009D52FD">
        <w:rPr>
          <w:rStyle w:val="FootnoteReference"/>
          <w:sz w:val="20"/>
          <w:szCs w:val="20"/>
          <w:lang w:val="en-US" w:eastAsia="en-US"/>
        </w:rPr>
        <w:footnoteReference w:id="246"/>
      </w:r>
      <w:r w:rsidRPr="009D52FD">
        <w:rPr>
          <w:sz w:val="20"/>
          <w:szCs w:val="20"/>
          <w:lang w:val="en-US" w:eastAsia="en-US"/>
        </w:rPr>
        <w:t xml:space="preserve"> The under-recording of cases of </w:t>
      </w:r>
      <w:r w:rsidR="0081578D" w:rsidRPr="009D52FD">
        <w:rPr>
          <w:sz w:val="20"/>
          <w:szCs w:val="20"/>
          <w:lang w:val="en-US" w:eastAsia="en-US"/>
        </w:rPr>
        <w:t>sexual violence</w:t>
      </w:r>
      <w:r w:rsidR="001D0ACA" w:rsidRPr="009D52FD">
        <w:rPr>
          <w:sz w:val="20"/>
          <w:szCs w:val="20"/>
          <w:lang w:val="en-US" w:eastAsia="en-US"/>
        </w:rPr>
        <w:t xml:space="preserve"> </w:t>
      </w:r>
      <w:r w:rsidR="006F0AEA" w:rsidRPr="009D52FD">
        <w:rPr>
          <w:sz w:val="20"/>
          <w:szCs w:val="20"/>
          <w:lang w:val="en-US" w:eastAsia="en-US"/>
        </w:rPr>
        <w:t>was the result of two main factors: the dis</w:t>
      </w:r>
      <w:r w:rsidR="005A1B0A" w:rsidRPr="009D52FD">
        <w:rPr>
          <w:sz w:val="20"/>
          <w:szCs w:val="20"/>
          <w:lang w:val="en-US" w:eastAsia="en-US"/>
        </w:rPr>
        <w:t>suasion</w:t>
      </w:r>
      <w:r w:rsidR="006F0AEA" w:rsidRPr="009D52FD">
        <w:rPr>
          <w:sz w:val="20"/>
          <w:szCs w:val="20"/>
          <w:lang w:val="en-US" w:eastAsia="en-US"/>
        </w:rPr>
        <w:t xml:space="preserve"> or lack of incentive for women to </w:t>
      </w:r>
      <w:r w:rsidR="00394C34" w:rsidRPr="009D52FD">
        <w:rPr>
          <w:sz w:val="20"/>
          <w:szCs w:val="20"/>
          <w:lang w:val="en-US" w:eastAsia="en-US"/>
        </w:rPr>
        <w:t>file reports</w:t>
      </w:r>
      <w:r w:rsidR="006F0AEA" w:rsidRPr="009D52FD">
        <w:rPr>
          <w:sz w:val="20"/>
          <w:szCs w:val="20"/>
          <w:lang w:val="en-US" w:eastAsia="en-US"/>
        </w:rPr>
        <w:t xml:space="preserve"> or continue with complaints concerning such acts and the dismissal of</w:t>
      </w:r>
      <w:r w:rsidR="00394C34" w:rsidRPr="009D52FD">
        <w:rPr>
          <w:sz w:val="20"/>
          <w:szCs w:val="20"/>
          <w:lang w:val="en-US" w:eastAsia="en-US"/>
        </w:rPr>
        <w:t xml:space="preserve"> the</w:t>
      </w:r>
      <w:r w:rsidR="006F0AEA" w:rsidRPr="009D52FD">
        <w:rPr>
          <w:sz w:val="20"/>
          <w:szCs w:val="20"/>
          <w:lang w:val="en-US" w:eastAsia="en-US"/>
        </w:rPr>
        <w:t xml:space="preserve"> complaints when there was no physical evidence of violence.</w:t>
      </w:r>
      <w:r w:rsidR="001D0ACA" w:rsidRPr="009D52FD">
        <w:rPr>
          <w:rStyle w:val="FootnoteReference"/>
          <w:sz w:val="20"/>
          <w:szCs w:val="20"/>
          <w:lang w:val="en-US" w:eastAsia="en-US"/>
        </w:rPr>
        <w:footnoteReference w:id="247"/>
      </w:r>
    </w:p>
    <w:p w14:paraId="63708DFF" w14:textId="77777777" w:rsidR="001D0ACA" w:rsidRPr="009D52FD" w:rsidRDefault="001D0ACA" w:rsidP="001D0ACA">
      <w:pPr>
        <w:tabs>
          <w:tab w:val="left" w:pos="567"/>
        </w:tabs>
        <w:spacing w:line="240" w:lineRule="auto"/>
        <w:rPr>
          <w:sz w:val="20"/>
          <w:szCs w:val="20"/>
          <w:lang w:val="en-US"/>
        </w:rPr>
      </w:pPr>
    </w:p>
    <w:p w14:paraId="70045BFB" w14:textId="527371D1" w:rsidR="009E4F6C" w:rsidRPr="009D52FD" w:rsidRDefault="00E10975" w:rsidP="00E10975">
      <w:pPr>
        <w:numPr>
          <w:ilvl w:val="0"/>
          <w:numId w:val="1"/>
        </w:numPr>
        <w:tabs>
          <w:tab w:val="left" w:pos="567"/>
        </w:tabs>
        <w:spacing w:line="240" w:lineRule="auto"/>
        <w:ind w:left="0" w:firstLine="0"/>
        <w:rPr>
          <w:color w:val="000000"/>
          <w:sz w:val="20"/>
          <w:szCs w:val="20"/>
          <w:lang w:val="en-US" w:eastAsia="en-US"/>
        </w:rPr>
      </w:pPr>
      <w:r w:rsidRPr="009D52FD">
        <w:rPr>
          <w:color w:val="000000"/>
          <w:sz w:val="20"/>
          <w:szCs w:val="20"/>
          <w:lang w:val="en-US" w:eastAsia="en-US"/>
        </w:rPr>
        <w:t xml:space="preserve">The documentary evidence reveals that, on May 26, 2001, </w:t>
      </w:r>
      <w:r w:rsidR="009E4F6C" w:rsidRPr="009D52FD">
        <w:rPr>
          <w:color w:val="000000"/>
          <w:sz w:val="20"/>
          <w:szCs w:val="20"/>
          <w:lang w:val="en-US" w:eastAsia="en-US"/>
        </w:rPr>
        <w:t xml:space="preserve">Ana Secilia </w:t>
      </w:r>
      <w:r w:rsidRPr="009D52FD">
        <w:rPr>
          <w:color w:val="000000"/>
          <w:sz w:val="20"/>
          <w:szCs w:val="20"/>
          <w:lang w:val="en-US" w:eastAsia="en-US"/>
        </w:rPr>
        <w:t xml:space="preserve">filed a </w:t>
      </w:r>
      <w:r w:rsidR="00707D7A" w:rsidRPr="009D52FD">
        <w:rPr>
          <w:color w:val="000000"/>
          <w:sz w:val="20"/>
          <w:szCs w:val="20"/>
          <w:lang w:val="en-US" w:eastAsia="en-US"/>
        </w:rPr>
        <w:t xml:space="preserve">report </w:t>
      </w:r>
      <w:r w:rsidRPr="009D52FD">
        <w:rPr>
          <w:color w:val="000000"/>
          <w:sz w:val="20"/>
          <w:szCs w:val="20"/>
          <w:lang w:val="en-US" w:eastAsia="en-US"/>
        </w:rPr>
        <w:t>before the Judicial Technical Police</w:t>
      </w:r>
      <w:r w:rsidR="009E4F6C" w:rsidRPr="009D52FD">
        <w:rPr>
          <w:color w:val="000000"/>
          <w:sz w:val="20"/>
          <w:szCs w:val="20"/>
          <w:lang w:val="en-US" w:eastAsia="en-US"/>
        </w:rPr>
        <w:t xml:space="preserve">. </w:t>
      </w:r>
      <w:r w:rsidRPr="009D52FD">
        <w:rPr>
          <w:color w:val="000000"/>
          <w:sz w:val="20"/>
          <w:szCs w:val="20"/>
          <w:lang w:val="en-US" w:eastAsia="en-US"/>
        </w:rPr>
        <w:t xml:space="preserve">Although it has been stated that this </w:t>
      </w:r>
      <w:r w:rsidR="00707D7A" w:rsidRPr="009D52FD">
        <w:rPr>
          <w:color w:val="000000"/>
          <w:sz w:val="20"/>
          <w:szCs w:val="20"/>
          <w:lang w:val="en-US" w:eastAsia="en-US"/>
        </w:rPr>
        <w:t xml:space="preserve">report </w:t>
      </w:r>
      <w:r w:rsidRPr="009D52FD">
        <w:rPr>
          <w:color w:val="000000"/>
          <w:sz w:val="20"/>
          <w:szCs w:val="20"/>
          <w:lang w:val="en-US" w:eastAsia="en-US"/>
        </w:rPr>
        <w:t xml:space="preserve">only corresponded to the death threats against her, the Court notes that, on that occasion, Ana Secilia also informed the police agents about her sister’s situation. To reach this conclusion, the Court takes into account, first, that this </w:t>
      </w:r>
      <w:r w:rsidR="00707D7A" w:rsidRPr="009D52FD">
        <w:rPr>
          <w:color w:val="000000"/>
          <w:sz w:val="20"/>
          <w:szCs w:val="20"/>
          <w:lang w:val="en-US" w:eastAsia="en-US"/>
        </w:rPr>
        <w:t>repor</w:t>
      </w:r>
      <w:r w:rsidRPr="009D52FD">
        <w:rPr>
          <w:color w:val="000000"/>
          <w:sz w:val="20"/>
          <w:szCs w:val="20"/>
          <w:lang w:val="en-US" w:eastAsia="en-US"/>
        </w:rPr>
        <w:t xml:space="preserve">t was processed by the Missing Persons Department </w:t>
      </w:r>
      <w:r w:rsidR="00707D7A" w:rsidRPr="009D52FD">
        <w:rPr>
          <w:color w:val="000000"/>
          <w:sz w:val="20"/>
          <w:szCs w:val="20"/>
          <w:lang w:val="en-US" w:eastAsia="en-US"/>
        </w:rPr>
        <w:t>located</w:t>
      </w:r>
      <w:r w:rsidRPr="009D52FD">
        <w:rPr>
          <w:color w:val="000000"/>
          <w:sz w:val="20"/>
          <w:szCs w:val="20"/>
          <w:lang w:val="en-US" w:eastAsia="en-US"/>
        </w:rPr>
        <w:t xml:space="preserve"> in the said police station, because the copy was in the files of that department. Also, Ana Secilia herself explicitly mentioned, in her first statement before the Chacao Police Station on July 27, 2001, that, in May, she had gone to the police authorities and “notified [her] sister’s situation.</w:t>
      </w:r>
      <w:r w:rsidR="009E4F6C" w:rsidRPr="009D52FD">
        <w:rPr>
          <w:color w:val="000000"/>
          <w:sz w:val="20"/>
          <w:szCs w:val="20"/>
          <w:lang w:val="en-US" w:eastAsia="en-US"/>
        </w:rPr>
        <w:t>”</w:t>
      </w:r>
      <w:r w:rsidR="009E4F6C" w:rsidRPr="009D52FD">
        <w:rPr>
          <w:color w:val="000000"/>
          <w:sz w:val="20"/>
          <w:szCs w:val="20"/>
          <w:vertAlign w:val="superscript"/>
          <w:lang w:val="en-US" w:eastAsia="en-US"/>
        </w:rPr>
        <w:footnoteReference w:id="248"/>
      </w:r>
    </w:p>
    <w:p w14:paraId="72499F0C" w14:textId="77777777" w:rsidR="009E4F6C" w:rsidRPr="009D52FD" w:rsidRDefault="009E4F6C" w:rsidP="009E4F6C">
      <w:pPr>
        <w:spacing w:line="240" w:lineRule="auto"/>
        <w:rPr>
          <w:sz w:val="20"/>
          <w:szCs w:val="20"/>
          <w:lang w:val="en-US"/>
        </w:rPr>
      </w:pPr>
    </w:p>
    <w:p w14:paraId="319D4A41" w14:textId="0118B634" w:rsidR="005A05DC" w:rsidRPr="009D52FD" w:rsidRDefault="00E641C8" w:rsidP="003C5989">
      <w:pPr>
        <w:numPr>
          <w:ilvl w:val="0"/>
          <w:numId w:val="1"/>
        </w:numPr>
        <w:tabs>
          <w:tab w:val="left" w:pos="567"/>
        </w:tabs>
        <w:spacing w:line="240" w:lineRule="auto"/>
        <w:ind w:left="0" w:firstLine="0"/>
        <w:rPr>
          <w:sz w:val="20"/>
          <w:szCs w:val="20"/>
          <w:lang w:val="en-US"/>
        </w:rPr>
      </w:pPr>
      <w:r w:rsidRPr="009D52FD">
        <w:rPr>
          <w:sz w:val="20"/>
          <w:szCs w:val="20"/>
          <w:lang w:val="en-US"/>
        </w:rPr>
        <w:t xml:space="preserve">Regarding </w:t>
      </w:r>
      <w:r w:rsidR="005A05DC" w:rsidRPr="009D52FD">
        <w:rPr>
          <w:sz w:val="20"/>
          <w:szCs w:val="20"/>
          <w:lang w:val="en-US"/>
        </w:rPr>
        <w:t>th</w:t>
      </w:r>
      <w:r w:rsidR="003E3532" w:rsidRPr="009D52FD">
        <w:rPr>
          <w:sz w:val="20"/>
          <w:szCs w:val="20"/>
          <w:lang w:val="en-US"/>
        </w:rPr>
        <w:t>is</w:t>
      </w:r>
      <w:r w:rsidR="005A05DC" w:rsidRPr="009D52FD">
        <w:rPr>
          <w:sz w:val="20"/>
          <w:szCs w:val="20"/>
          <w:lang w:val="en-US"/>
        </w:rPr>
        <w:t xml:space="preserve"> document</w:t>
      </w:r>
      <w:r w:rsidRPr="009D52FD">
        <w:rPr>
          <w:sz w:val="20"/>
          <w:szCs w:val="20"/>
          <w:lang w:val="en-US"/>
        </w:rPr>
        <w:t>, it is important to stress with</w:t>
      </w:r>
      <w:r w:rsidR="005A05DC" w:rsidRPr="009D52FD">
        <w:rPr>
          <w:sz w:val="20"/>
          <w:szCs w:val="20"/>
          <w:lang w:val="en-US"/>
        </w:rPr>
        <w:t xml:space="preserve"> that it was obtained in October 2001 from the files of the </w:t>
      </w:r>
      <w:r w:rsidR="005A05DC" w:rsidRPr="009D52FD">
        <w:rPr>
          <w:color w:val="000000"/>
          <w:sz w:val="20"/>
          <w:szCs w:val="20"/>
          <w:lang w:val="en-US" w:eastAsia="en-US"/>
        </w:rPr>
        <w:t xml:space="preserve">Missing Persons Department attached to </w:t>
      </w:r>
      <w:r w:rsidR="000C6475" w:rsidRPr="009D52FD">
        <w:rPr>
          <w:sz w:val="20"/>
          <w:szCs w:val="20"/>
          <w:lang w:val="en-US"/>
        </w:rPr>
        <w:t>the Judicial Technical Police</w:t>
      </w:r>
      <w:r w:rsidR="009E4F6C" w:rsidRPr="009D52FD">
        <w:rPr>
          <w:sz w:val="20"/>
          <w:szCs w:val="20"/>
          <w:lang w:val="en-US"/>
        </w:rPr>
        <w:t xml:space="preserve"> a</w:t>
      </w:r>
      <w:r w:rsidR="005A05DC" w:rsidRPr="009D52FD">
        <w:rPr>
          <w:sz w:val="20"/>
          <w:szCs w:val="20"/>
          <w:lang w:val="en-US"/>
        </w:rPr>
        <w:t>s the result of a request to the police agencies by</w:t>
      </w:r>
      <w:r w:rsidR="009E4F6C" w:rsidRPr="009D52FD">
        <w:rPr>
          <w:sz w:val="20"/>
          <w:szCs w:val="20"/>
          <w:lang w:val="en-US"/>
        </w:rPr>
        <w:t xml:space="preserve"> </w:t>
      </w:r>
      <w:r w:rsidR="0066603B" w:rsidRPr="009D52FD">
        <w:rPr>
          <w:sz w:val="20"/>
          <w:szCs w:val="20"/>
          <w:lang w:val="en-US"/>
        </w:rPr>
        <w:t>Prosecutor No. 33</w:t>
      </w:r>
      <w:r w:rsidR="009E4F6C" w:rsidRPr="009D52FD">
        <w:rPr>
          <w:sz w:val="20"/>
          <w:szCs w:val="20"/>
          <w:lang w:val="en-US"/>
        </w:rPr>
        <w:t xml:space="preserve">, </w:t>
      </w:r>
      <w:r w:rsidR="005A05DC" w:rsidRPr="009D52FD">
        <w:rPr>
          <w:sz w:val="20"/>
          <w:szCs w:val="20"/>
          <w:lang w:val="en-US"/>
        </w:rPr>
        <w:t xml:space="preserve">who initially intervened in the investigation of the </w:t>
      </w:r>
      <w:r w:rsidRPr="009D52FD">
        <w:rPr>
          <w:sz w:val="20"/>
          <w:szCs w:val="20"/>
          <w:lang w:val="en-US"/>
        </w:rPr>
        <w:t>fac</w:t>
      </w:r>
      <w:r w:rsidR="005A05DC" w:rsidRPr="009D52FD">
        <w:rPr>
          <w:sz w:val="20"/>
          <w:szCs w:val="20"/>
          <w:lang w:val="en-US"/>
        </w:rPr>
        <w:t xml:space="preserve">ts </w:t>
      </w:r>
      <w:r w:rsidRPr="009D52FD">
        <w:rPr>
          <w:sz w:val="20"/>
          <w:szCs w:val="20"/>
          <w:lang w:val="en-US"/>
        </w:rPr>
        <w:t>after</w:t>
      </w:r>
      <w:r w:rsidR="005A05DC" w:rsidRPr="009D52FD">
        <w:rPr>
          <w:sz w:val="20"/>
          <w:szCs w:val="20"/>
          <w:lang w:val="en-US"/>
        </w:rPr>
        <w:t xml:space="preserve"> Linda Loaiza</w:t>
      </w:r>
      <w:r w:rsidRPr="009D52FD">
        <w:rPr>
          <w:sz w:val="20"/>
          <w:szCs w:val="20"/>
          <w:lang w:val="en-US"/>
        </w:rPr>
        <w:t xml:space="preserve"> had been </w:t>
      </w:r>
      <w:r w:rsidR="005A05DC" w:rsidRPr="009D52FD">
        <w:rPr>
          <w:sz w:val="20"/>
          <w:szCs w:val="20"/>
          <w:lang w:val="en-US"/>
        </w:rPr>
        <w:t>rescue</w:t>
      </w:r>
      <w:r w:rsidRPr="009D52FD">
        <w:rPr>
          <w:sz w:val="20"/>
          <w:szCs w:val="20"/>
          <w:lang w:val="en-US"/>
        </w:rPr>
        <w:t>d</w:t>
      </w:r>
      <w:r w:rsidR="005A05DC" w:rsidRPr="009D52FD">
        <w:rPr>
          <w:sz w:val="20"/>
          <w:szCs w:val="20"/>
          <w:lang w:val="en-US"/>
        </w:rPr>
        <w:t xml:space="preserve">. This demonstrates that the said department had a filing system for the </w:t>
      </w:r>
      <w:r w:rsidRPr="009D52FD">
        <w:rPr>
          <w:sz w:val="20"/>
          <w:szCs w:val="20"/>
          <w:lang w:val="en-US"/>
        </w:rPr>
        <w:t>complaints</w:t>
      </w:r>
      <w:r w:rsidR="005A05DC" w:rsidRPr="009D52FD">
        <w:rPr>
          <w:sz w:val="20"/>
          <w:szCs w:val="20"/>
          <w:lang w:val="en-US"/>
        </w:rPr>
        <w:t xml:space="preserve"> lodged </w:t>
      </w:r>
      <w:r w:rsidRPr="009D52FD">
        <w:rPr>
          <w:sz w:val="20"/>
          <w:szCs w:val="20"/>
          <w:lang w:val="en-US"/>
        </w:rPr>
        <w:t>before it.</w:t>
      </w:r>
      <w:r w:rsidR="005A05DC" w:rsidRPr="009D52FD">
        <w:rPr>
          <w:sz w:val="20"/>
          <w:szCs w:val="20"/>
          <w:lang w:val="en-US"/>
        </w:rPr>
        <w:t xml:space="preserve"> However, in answer to the Court’s request for helpful evidence (</w:t>
      </w:r>
      <w:r w:rsidR="005A05DC" w:rsidRPr="009D52FD">
        <w:rPr>
          <w:i/>
          <w:sz w:val="20"/>
          <w:szCs w:val="20"/>
          <w:lang w:val="en-US"/>
        </w:rPr>
        <w:t>supra</w:t>
      </w:r>
      <w:r w:rsidR="005A05DC" w:rsidRPr="009D52FD">
        <w:rPr>
          <w:sz w:val="20"/>
          <w:szCs w:val="20"/>
          <w:lang w:val="en-US"/>
        </w:rPr>
        <w:t xml:space="preserve"> para. 14), the State indicated that the records of </w:t>
      </w:r>
      <w:r w:rsidRPr="009D52FD">
        <w:rPr>
          <w:sz w:val="20"/>
          <w:szCs w:val="20"/>
          <w:lang w:val="en-US"/>
        </w:rPr>
        <w:t xml:space="preserve">those who had filed reports or complaints </w:t>
      </w:r>
      <w:r w:rsidR="005A05DC" w:rsidRPr="009D52FD">
        <w:rPr>
          <w:sz w:val="20"/>
          <w:szCs w:val="20"/>
          <w:lang w:val="en-US"/>
        </w:rPr>
        <w:t>were not available, and nor was</w:t>
      </w:r>
      <w:r w:rsidRPr="009D52FD">
        <w:rPr>
          <w:sz w:val="20"/>
          <w:szCs w:val="20"/>
          <w:lang w:val="en-US"/>
        </w:rPr>
        <w:t xml:space="preserve"> the record of</w:t>
      </w:r>
      <w:r w:rsidR="005A05DC" w:rsidRPr="009D52FD">
        <w:rPr>
          <w:sz w:val="20"/>
          <w:szCs w:val="20"/>
          <w:lang w:val="en-US"/>
        </w:rPr>
        <w:t xml:space="preserve"> any other complaint filed by </w:t>
      </w:r>
      <w:r w:rsidRPr="009D52FD">
        <w:rPr>
          <w:sz w:val="20"/>
          <w:szCs w:val="20"/>
          <w:lang w:val="en-US"/>
        </w:rPr>
        <w:t>A</w:t>
      </w:r>
      <w:r w:rsidR="005A05DC" w:rsidRPr="009D52FD">
        <w:rPr>
          <w:sz w:val="20"/>
          <w:szCs w:val="20"/>
          <w:lang w:val="en-US"/>
        </w:rPr>
        <w:t>na Secilia, because “every 10 years</w:t>
      </w:r>
      <w:r w:rsidRPr="009D52FD">
        <w:rPr>
          <w:sz w:val="20"/>
          <w:szCs w:val="20"/>
          <w:lang w:val="en-US"/>
        </w:rPr>
        <w:t>,</w:t>
      </w:r>
      <w:r w:rsidR="005A05DC" w:rsidRPr="009D52FD">
        <w:rPr>
          <w:sz w:val="20"/>
          <w:szCs w:val="20"/>
          <w:lang w:val="en-US"/>
        </w:rPr>
        <w:t xml:space="preserve"> many administrative documents and paperwork are disposed of, mainly for reasons of physical space.” Despite th</w:t>
      </w:r>
      <w:r w:rsidRPr="009D52FD">
        <w:rPr>
          <w:sz w:val="20"/>
          <w:szCs w:val="20"/>
          <w:lang w:val="en-US"/>
        </w:rPr>
        <w:t>is</w:t>
      </w:r>
      <w:r w:rsidR="005A05DC" w:rsidRPr="009D52FD">
        <w:rPr>
          <w:sz w:val="20"/>
          <w:szCs w:val="20"/>
          <w:lang w:val="en-US"/>
        </w:rPr>
        <w:t xml:space="preserve"> assertion, the State did no provide or </w:t>
      </w:r>
      <w:r w:rsidRPr="009D52FD">
        <w:rPr>
          <w:sz w:val="20"/>
          <w:szCs w:val="20"/>
          <w:lang w:val="en-US"/>
        </w:rPr>
        <w:t>cite</w:t>
      </w:r>
      <w:r w:rsidR="005A05DC" w:rsidRPr="009D52FD">
        <w:rPr>
          <w:sz w:val="20"/>
          <w:szCs w:val="20"/>
          <w:lang w:val="en-US"/>
        </w:rPr>
        <w:t xml:space="preserve"> the administrative regulations that authorize this procedure.</w:t>
      </w:r>
    </w:p>
    <w:p w14:paraId="55DC3D03" w14:textId="77777777" w:rsidR="009E4F6C" w:rsidRPr="009D52FD" w:rsidRDefault="009E4F6C" w:rsidP="009E4F6C">
      <w:pPr>
        <w:widowControl/>
        <w:adjustRightInd/>
        <w:spacing w:line="240" w:lineRule="auto"/>
        <w:jc w:val="left"/>
        <w:textAlignment w:val="auto"/>
        <w:rPr>
          <w:color w:val="000000"/>
          <w:sz w:val="20"/>
          <w:szCs w:val="20"/>
          <w:lang w:val="en-US" w:eastAsia="en-US"/>
        </w:rPr>
      </w:pPr>
    </w:p>
    <w:p w14:paraId="2CC82664" w14:textId="2159FA1A" w:rsidR="003E3532" w:rsidRPr="009D52FD" w:rsidRDefault="005A05DC" w:rsidP="003C5989">
      <w:pPr>
        <w:numPr>
          <w:ilvl w:val="0"/>
          <w:numId w:val="1"/>
        </w:numPr>
        <w:tabs>
          <w:tab w:val="left" w:pos="567"/>
        </w:tabs>
        <w:spacing w:line="240" w:lineRule="auto"/>
        <w:ind w:left="0" w:firstLine="0"/>
        <w:rPr>
          <w:sz w:val="20"/>
          <w:szCs w:val="20"/>
          <w:lang w:val="en-US"/>
        </w:rPr>
      </w:pPr>
      <w:r w:rsidRPr="009D52FD">
        <w:rPr>
          <w:sz w:val="20"/>
          <w:szCs w:val="20"/>
          <w:lang w:val="en-US"/>
        </w:rPr>
        <w:t>In this regard</w:t>
      </w:r>
      <w:r w:rsidR="009E4F6C" w:rsidRPr="009D52FD">
        <w:rPr>
          <w:sz w:val="20"/>
          <w:szCs w:val="20"/>
          <w:lang w:val="en-US"/>
        </w:rPr>
        <w:t xml:space="preserve">, </w:t>
      </w:r>
      <w:r w:rsidR="003E3532" w:rsidRPr="009D52FD">
        <w:rPr>
          <w:sz w:val="20"/>
          <w:szCs w:val="20"/>
          <w:lang w:val="en-US"/>
        </w:rPr>
        <w:t xml:space="preserve">it should be repeated that, although it is the </w:t>
      </w:r>
      <w:r w:rsidR="00E641C8" w:rsidRPr="009D52FD">
        <w:rPr>
          <w:sz w:val="20"/>
          <w:szCs w:val="20"/>
          <w:lang w:val="en-US"/>
        </w:rPr>
        <w:t>plaintiff</w:t>
      </w:r>
      <w:r w:rsidR="003E3532" w:rsidRPr="009D52FD">
        <w:rPr>
          <w:sz w:val="20"/>
          <w:szCs w:val="20"/>
          <w:lang w:val="en-US"/>
        </w:rPr>
        <w:t xml:space="preserve"> who bears the burden of proving the facts on which his or her allegations are founded, in proceedings on human rights violations the State’s defense cannot be based on the </w:t>
      </w:r>
      <w:r w:rsidR="00E641C8" w:rsidRPr="009D52FD">
        <w:rPr>
          <w:sz w:val="20"/>
          <w:szCs w:val="20"/>
          <w:lang w:val="en-US"/>
        </w:rPr>
        <w:t>plaintiff</w:t>
      </w:r>
      <w:r w:rsidR="003E3532" w:rsidRPr="009D52FD">
        <w:rPr>
          <w:sz w:val="20"/>
          <w:szCs w:val="20"/>
          <w:lang w:val="en-US"/>
        </w:rPr>
        <w:t xml:space="preserve">’s impossibility of providing evidence when it is the State that controls the means to clarify </w:t>
      </w:r>
      <w:r w:rsidR="00E641C8" w:rsidRPr="009D52FD">
        <w:rPr>
          <w:sz w:val="20"/>
          <w:szCs w:val="20"/>
          <w:lang w:val="en-US"/>
        </w:rPr>
        <w:t>f</w:t>
      </w:r>
      <w:r w:rsidR="003E3532" w:rsidRPr="009D52FD">
        <w:rPr>
          <w:sz w:val="20"/>
          <w:szCs w:val="20"/>
          <w:lang w:val="en-US"/>
        </w:rPr>
        <w:t>acts that occurred within its territory (</w:t>
      </w:r>
      <w:r w:rsidR="003E3532" w:rsidRPr="009D52FD">
        <w:rPr>
          <w:i/>
          <w:sz w:val="20"/>
          <w:szCs w:val="20"/>
          <w:lang w:val="en-US"/>
        </w:rPr>
        <w:t xml:space="preserve">supra </w:t>
      </w:r>
      <w:r w:rsidR="003E3532" w:rsidRPr="009D52FD">
        <w:rPr>
          <w:sz w:val="20"/>
          <w:szCs w:val="20"/>
          <w:lang w:val="en-US"/>
        </w:rPr>
        <w:t xml:space="preserve">para. 53). Therefore, the possibility that other </w:t>
      </w:r>
      <w:r w:rsidR="00E641C8" w:rsidRPr="009D52FD">
        <w:rPr>
          <w:sz w:val="20"/>
          <w:szCs w:val="20"/>
          <w:lang w:val="en-US"/>
        </w:rPr>
        <w:t>reports</w:t>
      </w:r>
      <w:r w:rsidR="003E3532" w:rsidRPr="009D52FD">
        <w:rPr>
          <w:sz w:val="20"/>
          <w:szCs w:val="20"/>
          <w:lang w:val="en-US"/>
        </w:rPr>
        <w:t xml:space="preserve"> were filed cannot be rejected because, even though the fact to be proved is negative – the non-reception or processing of the </w:t>
      </w:r>
      <w:r w:rsidR="00E641C8" w:rsidRPr="009D52FD">
        <w:rPr>
          <w:sz w:val="20"/>
          <w:szCs w:val="20"/>
          <w:lang w:val="en-US"/>
        </w:rPr>
        <w:t>reports</w:t>
      </w:r>
      <w:r w:rsidR="003E3532" w:rsidRPr="009D52FD">
        <w:rPr>
          <w:sz w:val="20"/>
          <w:szCs w:val="20"/>
          <w:lang w:val="en-US"/>
        </w:rPr>
        <w:t xml:space="preserve"> – it is also possible to prove the positive fact</w:t>
      </w:r>
      <w:r w:rsidR="004133FD" w:rsidRPr="009D52FD">
        <w:rPr>
          <w:sz w:val="20"/>
          <w:szCs w:val="20"/>
          <w:lang w:val="en-US"/>
        </w:rPr>
        <w:t xml:space="preserve"> </w:t>
      </w:r>
      <w:r w:rsidR="00E641C8" w:rsidRPr="009D52FD">
        <w:rPr>
          <w:sz w:val="20"/>
          <w:szCs w:val="20"/>
          <w:lang w:val="en-US"/>
        </w:rPr>
        <w:t>that</w:t>
      </w:r>
      <w:r w:rsidR="004133FD" w:rsidRPr="009D52FD">
        <w:rPr>
          <w:sz w:val="20"/>
          <w:szCs w:val="20"/>
          <w:lang w:val="en-US"/>
        </w:rPr>
        <w:t xml:space="preserve"> could provide evidence that Ana Secilia had gone to the former </w:t>
      </w:r>
      <w:r w:rsidR="004133FD" w:rsidRPr="009D52FD">
        <w:rPr>
          <w:sz w:val="20"/>
          <w:szCs w:val="20"/>
          <w:lang w:val="en-US" w:eastAsia="en-US"/>
        </w:rPr>
        <w:t xml:space="preserve">Judicial Technical Police located in Urdaneta Avenue in Caracas before May 26, 2001, and the State did not provide evidence to prove the contrary; it merely relied on the supposed absence of records. </w:t>
      </w:r>
    </w:p>
    <w:p w14:paraId="6E72DAEF" w14:textId="77777777" w:rsidR="009E4F6C" w:rsidRPr="009D52FD" w:rsidRDefault="009E4F6C" w:rsidP="009E4F6C">
      <w:pPr>
        <w:widowControl/>
        <w:tabs>
          <w:tab w:val="left" w:pos="567"/>
        </w:tabs>
        <w:adjustRightInd/>
        <w:spacing w:line="240" w:lineRule="auto"/>
        <w:textAlignment w:val="auto"/>
        <w:rPr>
          <w:color w:val="000000"/>
          <w:sz w:val="20"/>
          <w:szCs w:val="20"/>
          <w:lang w:val="en-US" w:eastAsia="en-US"/>
        </w:rPr>
      </w:pPr>
    </w:p>
    <w:p w14:paraId="4745E2F5" w14:textId="4CB0E37D" w:rsidR="009E4F6C" w:rsidRPr="009D52FD" w:rsidRDefault="004133FD" w:rsidP="003C5989">
      <w:pPr>
        <w:numPr>
          <w:ilvl w:val="0"/>
          <w:numId w:val="1"/>
        </w:numPr>
        <w:tabs>
          <w:tab w:val="left" w:pos="567"/>
        </w:tabs>
        <w:spacing w:line="240" w:lineRule="auto"/>
        <w:ind w:left="0" w:firstLine="0"/>
        <w:rPr>
          <w:sz w:val="20"/>
          <w:szCs w:val="20"/>
          <w:lang w:val="en-US"/>
        </w:rPr>
      </w:pPr>
      <w:r w:rsidRPr="009D52FD">
        <w:rPr>
          <w:sz w:val="20"/>
          <w:szCs w:val="20"/>
          <w:lang w:val="en-US"/>
        </w:rPr>
        <w:t>Based on the foregoing</w:t>
      </w:r>
      <w:r w:rsidR="009E4F6C" w:rsidRPr="009D52FD">
        <w:rPr>
          <w:sz w:val="20"/>
          <w:szCs w:val="20"/>
          <w:lang w:val="en-US"/>
        </w:rPr>
        <w:t xml:space="preserve">, </w:t>
      </w:r>
      <w:r w:rsidR="003630BB" w:rsidRPr="009D52FD">
        <w:rPr>
          <w:sz w:val="20"/>
          <w:szCs w:val="20"/>
          <w:lang w:val="en-US"/>
        </w:rPr>
        <w:t>the Court</w:t>
      </w:r>
      <w:r w:rsidR="000E43FA" w:rsidRPr="009D52FD">
        <w:rPr>
          <w:sz w:val="20"/>
          <w:szCs w:val="20"/>
          <w:lang w:val="en-US"/>
        </w:rPr>
        <w:t xml:space="preserve"> conclu</w:t>
      </w:r>
      <w:r w:rsidRPr="009D52FD">
        <w:rPr>
          <w:sz w:val="20"/>
          <w:szCs w:val="20"/>
          <w:lang w:val="en-US"/>
        </w:rPr>
        <w:t xml:space="preserve">des that, even though it is not possible to determine with certainty the date on which </w:t>
      </w:r>
      <w:r w:rsidR="009E4F6C" w:rsidRPr="009D52FD">
        <w:rPr>
          <w:sz w:val="20"/>
          <w:szCs w:val="20"/>
          <w:lang w:val="en-US"/>
        </w:rPr>
        <w:t xml:space="preserve">Ana </w:t>
      </w:r>
      <w:r w:rsidR="009E4F6C" w:rsidRPr="009D52FD">
        <w:rPr>
          <w:color w:val="000000"/>
          <w:sz w:val="20"/>
          <w:szCs w:val="20"/>
          <w:lang w:val="en-US" w:eastAsia="en-US"/>
        </w:rPr>
        <w:t>Secilia</w:t>
      </w:r>
      <w:r w:rsidR="009E4F6C" w:rsidRPr="009D52FD">
        <w:rPr>
          <w:sz w:val="20"/>
          <w:szCs w:val="20"/>
          <w:lang w:val="en-US"/>
        </w:rPr>
        <w:t xml:space="preserve"> </w:t>
      </w:r>
      <w:r w:rsidRPr="009D52FD">
        <w:rPr>
          <w:sz w:val="20"/>
          <w:szCs w:val="20"/>
          <w:lang w:val="en-US"/>
        </w:rPr>
        <w:t xml:space="preserve">first reported the disappearance of her sister, at least as of May 26, </w:t>
      </w:r>
      <w:r w:rsidR="009E4F6C" w:rsidRPr="009D52FD">
        <w:rPr>
          <w:sz w:val="20"/>
          <w:szCs w:val="20"/>
          <w:lang w:val="en-US"/>
        </w:rPr>
        <w:t>2001</w:t>
      </w:r>
      <w:r w:rsidRPr="009D52FD">
        <w:rPr>
          <w:sz w:val="20"/>
          <w:szCs w:val="20"/>
          <w:lang w:val="en-US"/>
        </w:rPr>
        <w:t>,</w:t>
      </w:r>
      <w:r w:rsidR="009E4F6C" w:rsidRPr="009D52FD">
        <w:rPr>
          <w:sz w:val="20"/>
          <w:szCs w:val="20"/>
          <w:lang w:val="en-US"/>
        </w:rPr>
        <w:t xml:space="preserve"> </w:t>
      </w:r>
      <w:r w:rsidR="003630BB" w:rsidRPr="009D52FD">
        <w:rPr>
          <w:sz w:val="20"/>
          <w:szCs w:val="20"/>
          <w:lang w:val="en-US"/>
        </w:rPr>
        <w:t>the State</w:t>
      </w:r>
      <w:r w:rsidR="009E4F6C" w:rsidRPr="009D52FD">
        <w:rPr>
          <w:sz w:val="20"/>
          <w:szCs w:val="20"/>
          <w:lang w:val="en-US"/>
        </w:rPr>
        <w:t xml:space="preserve"> </w:t>
      </w:r>
      <w:r w:rsidRPr="009D52FD">
        <w:rPr>
          <w:sz w:val="20"/>
          <w:szCs w:val="20"/>
          <w:lang w:val="en-US"/>
        </w:rPr>
        <w:t xml:space="preserve">was aware of a risk </w:t>
      </w:r>
      <w:r w:rsidR="00DA5E34" w:rsidRPr="009D52FD">
        <w:rPr>
          <w:sz w:val="20"/>
          <w:szCs w:val="20"/>
          <w:lang w:val="en-US"/>
        </w:rPr>
        <w:t>to</w:t>
      </w:r>
      <w:r w:rsidRPr="009D52FD">
        <w:rPr>
          <w:sz w:val="20"/>
          <w:szCs w:val="20"/>
          <w:lang w:val="en-US"/>
        </w:rPr>
        <w:t xml:space="preserve"> the integrity</w:t>
      </w:r>
      <w:r w:rsidR="009E4F6C" w:rsidRPr="009D52FD">
        <w:rPr>
          <w:sz w:val="20"/>
          <w:szCs w:val="20"/>
          <w:lang w:val="en-US"/>
        </w:rPr>
        <w:t>, libert</w:t>
      </w:r>
      <w:r w:rsidRPr="009D52FD">
        <w:rPr>
          <w:sz w:val="20"/>
          <w:szCs w:val="20"/>
          <w:lang w:val="en-US"/>
        </w:rPr>
        <w:t>y</w:t>
      </w:r>
      <w:r w:rsidR="009E4F6C" w:rsidRPr="009D52FD">
        <w:rPr>
          <w:sz w:val="20"/>
          <w:szCs w:val="20"/>
          <w:lang w:val="en-US"/>
        </w:rPr>
        <w:t xml:space="preserve">, </w:t>
      </w:r>
      <w:r w:rsidR="00996337" w:rsidRPr="009D52FD">
        <w:rPr>
          <w:sz w:val="20"/>
          <w:szCs w:val="20"/>
          <w:lang w:val="en-US"/>
        </w:rPr>
        <w:t>dignity, autonomy and privacy</w:t>
      </w:r>
      <w:r w:rsidR="009E4F6C" w:rsidRPr="009D52FD">
        <w:rPr>
          <w:sz w:val="20"/>
          <w:szCs w:val="20"/>
          <w:lang w:val="en-US"/>
        </w:rPr>
        <w:t xml:space="preserve"> </w:t>
      </w:r>
      <w:r w:rsidRPr="009D52FD">
        <w:rPr>
          <w:sz w:val="20"/>
          <w:szCs w:val="20"/>
          <w:lang w:val="en-US"/>
        </w:rPr>
        <w:t>of</w:t>
      </w:r>
      <w:r w:rsidR="009E4F6C" w:rsidRPr="009D52FD">
        <w:rPr>
          <w:sz w:val="20"/>
          <w:szCs w:val="20"/>
          <w:lang w:val="en-US"/>
        </w:rPr>
        <w:t xml:space="preserve"> Linda Loaiza López Soto.</w:t>
      </w:r>
    </w:p>
    <w:p w14:paraId="5F20ACA4" w14:textId="77777777" w:rsidR="009E4F6C" w:rsidRPr="009D52FD" w:rsidRDefault="009E4F6C" w:rsidP="009E4F6C">
      <w:pPr>
        <w:spacing w:line="240" w:lineRule="auto"/>
        <w:rPr>
          <w:sz w:val="20"/>
          <w:szCs w:val="20"/>
          <w:lang w:val="en-US"/>
        </w:rPr>
      </w:pPr>
    </w:p>
    <w:p w14:paraId="62D508ED" w14:textId="6DD5F6F0" w:rsidR="004133FD" w:rsidRPr="009D52FD" w:rsidRDefault="00002A76" w:rsidP="00435D16">
      <w:pPr>
        <w:numPr>
          <w:ilvl w:val="0"/>
          <w:numId w:val="1"/>
        </w:numPr>
        <w:tabs>
          <w:tab w:val="left" w:pos="567"/>
        </w:tabs>
        <w:spacing w:line="240" w:lineRule="auto"/>
        <w:ind w:left="0" w:firstLine="0"/>
        <w:rPr>
          <w:sz w:val="20"/>
          <w:szCs w:val="20"/>
          <w:lang w:val="en-US"/>
        </w:rPr>
      </w:pPr>
      <w:r w:rsidRPr="009D52FD">
        <w:rPr>
          <w:sz w:val="20"/>
          <w:szCs w:val="20"/>
          <w:lang w:val="en-US"/>
        </w:rPr>
        <w:t>Accordingly</w:t>
      </w:r>
      <w:r w:rsidR="004133FD" w:rsidRPr="009D52FD">
        <w:rPr>
          <w:sz w:val="20"/>
          <w:szCs w:val="20"/>
          <w:lang w:val="en-US"/>
        </w:rPr>
        <w:t xml:space="preserve">, the Court considers that, since the State was aware of the risk from the time </w:t>
      </w:r>
      <w:r w:rsidR="00894C49" w:rsidRPr="009D52FD">
        <w:rPr>
          <w:sz w:val="20"/>
          <w:szCs w:val="20"/>
          <w:lang w:val="en-US"/>
        </w:rPr>
        <w:t xml:space="preserve">Ana Secilia </w:t>
      </w:r>
      <w:r w:rsidR="004133FD" w:rsidRPr="009D52FD">
        <w:rPr>
          <w:sz w:val="20"/>
          <w:szCs w:val="20"/>
          <w:lang w:val="en-US"/>
        </w:rPr>
        <w:t xml:space="preserve">reported her sister’s situation, this </w:t>
      </w:r>
      <w:r w:rsidR="00DA5E34" w:rsidRPr="009D52FD">
        <w:rPr>
          <w:sz w:val="20"/>
          <w:szCs w:val="20"/>
          <w:lang w:val="en-US"/>
        </w:rPr>
        <w:t>created</w:t>
      </w:r>
      <w:r w:rsidR="004133FD" w:rsidRPr="009D52FD">
        <w:rPr>
          <w:sz w:val="20"/>
          <w:szCs w:val="20"/>
          <w:lang w:val="en-US"/>
        </w:rPr>
        <w:t xml:space="preserve"> an obligation for Venezuela to act with due diligence in the understanding that, as already indicated, the disappearance or kidnapping of a woman was involved </w:t>
      </w:r>
      <w:r w:rsidR="00DA5E34" w:rsidRPr="009D52FD">
        <w:rPr>
          <w:sz w:val="20"/>
          <w:szCs w:val="20"/>
          <w:lang w:val="en-US"/>
        </w:rPr>
        <w:t>and this</w:t>
      </w:r>
      <w:r w:rsidR="004133FD" w:rsidRPr="009D52FD">
        <w:rPr>
          <w:sz w:val="20"/>
          <w:szCs w:val="20"/>
          <w:lang w:val="en-US"/>
        </w:rPr>
        <w:t xml:space="preserve"> could result in the perpetration of different types of violence and, in particular, violence of a sexual nature. This was also corroborated in this specific case by the existence of other factors, such as that her sister was reporting death threats </w:t>
      </w:r>
      <w:r w:rsidR="00DA5E34" w:rsidRPr="009D52FD">
        <w:rPr>
          <w:sz w:val="20"/>
          <w:szCs w:val="20"/>
          <w:lang w:val="en-US"/>
        </w:rPr>
        <w:t xml:space="preserve">made </w:t>
      </w:r>
      <w:r w:rsidR="004133FD" w:rsidRPr="009D52FD">
        <w:rPr>
          <w:sz w:val="20"/>
          <w:szCs w:val="20"/>
          <w:lang w:val="en-US"/>
        </w:rPr>
        <w:t xml:space="preserve">by the person who was identified as the perpetrator of the disappearance or kidnapping, which could </w:t>
      </w:r>
      <w:r w:rsidR="00DA5E34" w:rsidRPr="009D52FD">
        <w:rPr>
          <w:sz w:val="20"/>
          <w:szCs w:val="20"/>
          <w:lang w:val="en-US"/>
        </w:rPr>
        <w:t>indicate</w:t>
      </w:r>
      <w:r w:rsidR="004133FD" w:rsidRPr="009D52FD">
        <w:rPr>
          <w:sz w:val="20"/>
          <w:szCs w:val="20"/>
          <w:lang w:val="en-US"/>
        </w:rPr>
        <w:t xml:space="preserve"> that </w:t>
      </w:r>
      <w:r w:rsidR="004A03C5" w:rsidRPr="009D52FD">
        <w:rPr>
          <w:sz w:val="20"/>
          <w:szCs w:val="20"/>
          <w:lang w:val="en-US"/>
        </w:rPr>
        <w:t>this was someone with a violent profile.</w:t>
      </w:r>
    </w:p>
    <w:p w14:paraId="2A5E15D8" w14:textId="77777777" w:rsidR="000E43FA" w:rsidRPr="009D52FD" w:rsidRDefault="000E43FA" w:rsidP="009E4F6C">
      <w:pPr>
        <w:spacing w:line="240" w:lineRule="auto"/>
        <w:rPr>
          <w:sz w:val="20"/>
          <w:szCs w:val="20"/>
          <w:lang w:val="en-US"/>
        </w:rPr>
      </w:pPr>
    </w:p>
    <w:p w14:paraId="7678D6AF" w14:textId="531DC58B" w:rsidR="003915A2" w:rsidRPr="009D52FD" w:rsidRDefault="004A03C5" w:rsidP="004A03C5">
      <w:pPr>
        <w:numPr>
          <w:ilvl w:val="0"/>
          <w:numId w:val="1"/>
        </w:numPr>
        <w:tabs>
          <w:tab w:val="left" w:pos="567"/>
        </w:tabs>
        <w:spacing w:line="240" w:lineRule="auto"/>
        <w:ind w:left="0" w:firstLine="0"/>
        <w:rPr>
          <w:sz w:val="20"/>
          <w:szCs w:val="20"/>
          <w:lang w:val="en-US"/>
        </w:rPr>
      </w:pPr>
      <w:r w:rsidRPr="009D52FD">
        <w:rPr>
          <w:sz w:val="20"/>
          <w:szCs w:val="20"/>
          <w:lang w:val="en-US"/>
        </w:rPr>
        <w:lastRenderedPageBreak/>
        <w:t>That said, the Court emphasizes that, contrary to other cases, in th</w:t>
      </w:r>
      <w:r w:rsidR="00DA5E34" w:rsidRPr="009D52FD">
        <w:rPr>
          <w:sz w:val="20"/>
          <w:szCs w:val="20"/>
          <w:lang w:val="en-US"/>
        </w:rPr>
        <w:t>e instant</w:t>
      </w:r>
      <w:r w:rsidRPr="009D52FD">
        <w:rPr>
          <w:sz w:val="20"/>
          <w:szCs w:val="20"/>
          <w:lang w:val="en-US"/>
        </w:rPr>
        <w:t xml:space="preserve"> case the police authorities not only knew of the risk for Linda Loaiza, but also had information on the identity of the perpetrator, his physical description and his telephone number, which </w:t>
      </w:r>
      <w:r w:rsidR="00DA5E34" w:rsidRPr="009D52FD">
        <w:rPr>
          <w:sz w:val="20"/>
          <w:szCs w:val="20"/>
          <w:lang w:val="en-US"/>
        </w:rPr>
        <w:t>was noted in</w:t>
      </w:r>
      <w:r w:rsidRPr="009D52FD">
        <w:rPr>
          <w:sz w:val="20"/>
          <w:szCs w:val="20"/>
          <w:lang w:val="en-US"/>
        </w:rPr>
        <w:t xml:space="preserve"> the complaint filed by Ana Secilia on May 26, 2001. Therefore, the State </w:t>
      </w:r>
      <w:r w:rsidR="00DA5E34" w:rsidRPr="009D52FD">
        <w:rPr>
          <w:sz w:val="20"/>
          <w:szCs w:val="20"/>
          <w:lang w:val="en-US"/>
        </w:rPr>
        <w:t>was not only aware of</w:t>
      </w:r>
      <w:r w:rsidRPr="009D52FD">
        <w:rPr>
          <w:sz w:val="20"/>
          <w:szCs w:val="20"/>
          <w:lang w:val="en-US"/>
        </w:rPr>
        <w:t xml:space="preserve"> the dangerous situation in which Linda Loaiza found herself, but had a </w:t>
      </w:r>
      <w:r w:rsidR="00DA5E34" w:rsidRPr="009D52FD">
        <w:rPr>
          <w:sz w:val="20"/>
          <w:szCs w:val="20"/>
          <w:lang w:val="en-US"/>
        </w:rPr>
        <w:t>greater</w:t>
      </w:r>
      <w:r w:rsidRPr="009D52FD">
        <w:rPr>
          <w:sz w:val="20"/>
          <w:szCs w:val="20"/>
          <w:lang w:val="en-US"/>
        </w:rPr>
        <w:t xml:space="preserve"> possibility of acting and interrupting the course of events because it knew the identity of the perpetrator. In addition, the Court notes that, as revealed by the statements made during </w:t>
      </w:r>
      <w:r w:rsidR="00DA5E34" w:rsidRPr="009D52FD">
        <w:rPr>
          <w:sz w:val="20"/>
          <w:szCs w:val="20"/>
          <w:lang w:val="en-US"/>
        </w:rPr>
        <w:t xml:space="preserve">the </w:t>
      </w:r>
      <w:r w:rsidRPr="009D52FD">
        <w:rPr>
          <w:sz w:val="20"/>
          <w:szCs w:val="20"/>
          <w:lang w:val="en-US"/>
        </w:rPr>
        <w:t xml:space="preserve">proceedings, the person denounced was the son of a public figure in Venezuela. Indeed, this circumstance was mentioned by Linda Loaiza at the time of her rescue and even by some of the doctors who treated her at the </w:t>
      </w:r>
      <w:r w:rsidR="000C6475" w:rsidRPr="009D52FD">
        <w:rPr>
          <w:rFonts w:eastAsiaTheme="minorHAnsi" w:cstheme="minorBidi"/>
          <w:sz w:val="20"/>
          <w:szCs w:val="20"/>
          <w:lang w:val="en-US" w:eastAsia="en-US"/>
        </w:rPr>
        <w:t>Caracas University Hospital</w:t>
      </w:r>
      <w:r w:rsidRPr="009D52FD">
        <w:rPr>
          <w:rFonts w:eastAsiaTheme="minorHAnsi" w:cstheme="minorBidi"/>
          <w:sz w:val="20"/>
          <w:szCs w:val="20"/>
          <w:lang w:val="en-US" w:eastAsia="en-US"/>
        </w:rPr>
        <w:t>.</w:t>
      </w:r>
      <w:r w:rsidR="003915A2" w:rsidRPr="009D52FD">
        <w:rPr>
          <w:rStyle w:val="FootnoteReference"/>
          <w:sz w:val="20"/>
          <w:szCs w:val="20"/>
          <w:lang w:val="en-US"/>
        </w:rPr>
        <w:footnoteReference w:id="249"/>
      </w:r>
      <w:r w:rsidR="003915A2" w:rsidRPr="009D52FD">
        <w:rPr>
          <w:sz w:val="20"/>
          <w:szCs w:val="20"/>
          <w:lang w:val="en-US"/>
        </w:rPr>
        <w:t xml:space="preserve"> </w:t>
      </w:r>
      <w:r w:rsidRPr="009D52FD">
        <w:rPr>
          <w:sz w:val="20"/>
          <w:szCs w:val="20"/>
          <w:lang w:val="en-US"/>
        </w:rPr>
        <w:t>This was also mentioned by</w:t>
      </w:r>
      <w:r w:rsidR="003915A2" w:rsidRPr="009D52FD">
        <w:rPr>
          <w:sz w:val="20"/>
          <w:szCs w:val="20"/>
          <w:lang w:val="en-US"/>
        </w:rPr>
        <w:t xml:space="preserve"> </w:t>
      </w:r>
      <w:r w:rsidR="000C6475" w:rsidRPr="009D52FD">
        <w:rPr>
          <w:sz w:val="20"/>
          <w:szCs w:val="20"/>
          <w:lang w:val="en-US"/>
        </w:rPr>
        <w:t>the Public Prosecution Service</w:t>
      </w:r>
      <w:r w:rsidR="003915A2" w:rsidRPr="009D52FD">
        <w:rPr>
          <w:sz w:val="20"/>
          <w:szCs w:val="20"/>
          <w:lang w:val="en-US"/>
        </w:rPr>
        <w:t xml:space="preserve"> </w:t>
      </w:r>
      <w:r w:rsidRPr="009D52FD">
        <w:rPr>
          <w:sz w:val="20"/>
          <w:szCs w:val="20"/>
          <w:lang w:val="en-US"/>
        </w:rPr>
        <w:t xml:space="preserve">when </w:t>
      </w:r>
      <w:r w:rsidR="00002A76" w:rsidRPr="009D52FD">
        <w:rPr>
          <w:sz w:val="20"/>
          <w:szCs w:val="20"/>
          <w:lang w:val="en-US"/>
        </w:rPr>
        <w:t>bringing</w:t>
      </w:r>
      <w:r w:rsidRPr="009D52FD">
        <w:rPr>
          <w:sz w:val="20"/>
          <w:szCs w:val="20"/>
          <w:lang w:val="en-US"/>
        </w:rPr>
        <w:t xml:space="preserve"> charges against </w:t>
      </w:r>
      <w:r w:rsidR="003915A2" w:rsidRPr="009D52FD">
        <w:rPr>
          <w:sz w:val="20"/>
          <w:szCs w:val="20"/>
          <w:lang w:val="en-US"/>
        </w:rPr>
        <w:t xml:space="preserve">Luis </w:t>
      </w:r>
      <w:r w:rsidR="006141EE" w:rsidRPr="009D52FD">
        <w:rPr>
          <w:sz w:val="20"/>
          <w:szCs w:val="20"/>
          <w:lang w:val="en-US"/>
        </w:rPr>
        <w:t xml:space="preserve">Antonio </w:t>
      </w:r>
      <w:r w:rsidR="003915A2" w:rsidRPr="009D52FD">
        <w:rPr>
          <w:sz w:val="20"/>
          <w:szCs w:val="20"/>
          <w:lang w:val="en-US"/>
        </w:rPr>
        <w:t>Carrera Almoina</w:t>
      </w:r>
      <w:r w:rsidRPr="009D52FD">
        <w:rPr>
          <w:sz w:val="20"/>
          <w:szCs w:val="20"/>
          <w:lang w:val="en-US"/>
        </w:rPr>
        <w:t>.</w:t>
      </w:r>
      <w:r w:rsidR="003915A2" w:rsidRPr="009D52FD">
        <w:rPr>
          <w:rStyle w:val="FootnoteReference"/>
          <w:sz w:val="20"/>
          <w:szCs w:val="20"/>
          <w:lang w:val="en-US"/>
        </w:rPr>
        <w:footnoteReference w:id="250"/>
      </w:r>
      <w:r w:rsidRPr="009D52FD">
        <w:rPr>
          <w:sz w:val="20"/>
          <w:szCs w:val="20"/>
          <w:lang w:val="en-US"/>
        </w:rPr>
        <w:t xml:space="preserve"> Several newspaper articles also mention that the aggressor was the son of </w:t>
      </w:r>
      <w:r w:rsidR="00DA5E34" w:rsidRPr="009D52FD">
        <w:rPr>
          <w:sz w:val="20"/>
          <w:szCs w:val="20"/>
          <w:lang w:val="en-US"/>
        </w:rPr>
        <w:t>someone</w:t>
      </w:r>
      <w:r w:rsidRPr="009D52FD">
        <w:rPr>
          <w:sz w:val="20"/>
          <w:szCs w:val="20"/>
          <w:lang w:val="en-US"/>
        </w:rPr>
        <w:t xml:space="preserve"> who, at that time, was </w:t>
      </w:r>
      <w:r w:rsidR="00DA5E34" w:rsidRPr="009D52FD">
        <w:rPr>
          <w:sz w:val="20"/>
          <w:szCs w:val="20"/>
          <w:lang w:val="en-US"/>
        </w:rPr>
        <w:t>a university</w:t>
      </w:r>
      <w:r w:rsidRPr="009D52FD">
        <w:rPr>
          <w:sz w:val="20"/>
          <w:szCs w:val="20"/>
          <w:lang w:val="en-US"/>
        </w:rPr>
        <w:t xml:space="preserve"> president. Also, in their statements when testifying in the domestic proceedings, the neighbors in the village of Petare – one of the many places in which Linda Loaiza was held captive – mentioned the esteem in which they held the aggressor’s father.</w:t>
      </w:r>
      <w:r w:rsidR="00CA042F" w:rsidRPr="009D52FD">
        <w:rPr>
          <w:sz w:val="20"/>
          <w:szCs w:val="20"/>
          <w:vertAlign w:val="superscript"/>
          <w:lang w:val="en-US"/>
        </w:rPr>
        <w:footnoteReference w:id="251"/>
      </w:r>
    </w:p>
    <w:p w14:paraId="14D0E1E7" w14:textId="77777777" w:rsidR="00435D16" w:rsidRPr="009D52FD" w:rsidRDefault="00435D16" w:rsidP="00435D16">
      <w:pPr>
        <w:tabs>
          <w:tab w:val="left" w:pos="567"/>
        </w:tabs>
        <w:spacing w:line="240" w:lineRule="auto"/>
        <w:rPr>
          <w:sz w:val="20"/>
          <w:szCs w:val="20"/>
          <w:lang w:val="en-US"/>
        </w:rPr>
      </w:pPr>
    </w:p>
    <w:p w14:paraId="5478B2A7" w14:textId="7359A274" w:rsidR="004A03C5" w:rsidRPr="009D52FD" w:rsidRDefault="004A03C5" w:rsidP="003769D9">
      <w:pPr>
        <w:numPr>
          <w:ilvl w:val="0"/>
          <w:numId w:val="1"/>
        </w:numPr>
        <w:tabs>
          <w:tab w:val="left" w:pos="567"/>
        </w:tabs>
        <w:spacing w:line="240" w:lineRule="auto"/>
        <w:ind w:left="0" w:firstLine="0"/>
        <w:rPr>
          <w:sz w:val="20"/>
          <w:szCs w:val="20"/>
          <w:lang w:val="en-US"/>
        </w:rPr>
      </w:pPr>
      <w:r w:rsidRPr="009D52FD">
        <w:rPr>
          <w:sz w:val="20"/>
          <w:szCs w:val="20"/>
          <w:lang w:val="en-US"/>
        </w:rPr>
        <w:t>In this specific case</w:t>
      </w:r>
      <w:r w:rsidR="003769D9" w:rsidRPr="009D52FD">
        <w:rPr>
          <w:sz w:val="20"/>
          <w:szCs w:val="20"/>
          <w:lang w:val="en-US"/>
        </w:rPr>
        <w:t xml:space="preserve">, </w:t>
      </w:r>
      <w:r w:rsidR="003630BB" w:rsidRPr="009D52FD">
        <w:rPr>
          <w:sz w:val="20"/>
          <w:szCs w:val="20"/>
          <w:lang w:val="en-US"/>
        </w:rPr>
        <w:t>the Court</w:t>
      </w:r>
      <w:r w:rsidR="003769D9" w:rsidRPr="009D52FD">
        <w:rPr>
          <w:sz w:val="20"/>
          <w:szCs w:val="20"/>
          <w:lang w:val="en-US"/>
        </w:rPr>
        <w:t xml:space="preserve"> consider</w:t>
      </w:r>
      <w:r w:rsidRPr="009D52FD">
        <w:rPr>
          <w:sz w:val="20"/>
          <w:szCs w:val="20"/>
          <w:lang w:val="en-US"/>
        </w:rPr>
        <w:t xml:space="preserve">s that the failure to comply with the obligation </w:t>
      </w:r>
      <w:r w:rsidR="00544F92" w:rsidRPr="009D52FD">
        <w:rPr>
          <w:sz w:val="20"/>
          <w:szCs w:val="20"/>
          <w:lang w:val="en-US"/>
        </w:rPr>
        <w:t>of</w:t>
      </w:r>
      <w:r w:rsidRPr="009D52FD">
        <w:rPr>
          <w:sz w:val="20"/>
          <w:szCs w:val="20"/>
          <w:lang w:val="en-US"/>
        </w:rPr>
        <w:t xml:space="preserve"> due diligence was evident, because the State knew the identity of the aggressor and could have taken specific measures in order to neutralize the risk. The police agents should have conducted measures of investigation to confirm the personal data of the accused in the public records, determine where he lived, corroborate the ownership of the telephone number provided in the complaint and the address the bills were sent to, and obtain lists of incoming and outgoing calls, all in order to identify the residence of the accused and to proceed to make discreet inquiries about the facts that had been reported.</w:t>
      </w:r>
    </w:p>
    <w:p w14:paraId="6D001AEA" w14:textId="77777777" w:rsidR="003769D9" w:rsidRPr="009D52FD" w:rsidRDefault="003769D9" w:rsidP="003769D9">
      <w:pPr>
        <w:tabs>
          <w:tab w:val="left" w:pos="567"/>
        </w:tabs>
        <w:spacing w:line="240" w:lineRule="auto"/>
        <w:rPr>
          <w:sz w:val="20"/>
          <w:szCs w:val="20"/>
          <w:lang w:val="en-US"/>
        </w:rPr>
      </w:pPr>
    </w:p>
    <w:p w14:paraId="3F3BD6FA" w14:textId="5EDD84B5" w:rsidR="004A03C5" w:rsidRPr="009D52FD" w:rsidRDefault="004A03C5" w:rsidP="00814EB2">
      <w:pPr>
        <w:numPr>
          <w:ilvl w:val="0"/>
          <w:numId w:val="1"/>
        </w:numPr>
        <w:tabs>
          <w:tab w:val="left" w:pos="567"/>
        </w:tabs>
        <w:spacing w:line="240" w:lineRule="auto"/>
        <w:ind w:left="0" w:firstLine="0"/>
        <w:rPr>
          <w:sz w:val="20"/>
          <w:szCs w:val="20"/>
          <w:lang w:val="en-US"/>
        </w:rPr>
      </w:pPr>
      <w:r w:rsidRPr="009D52FD">
        <w:rPr>
          <w:sz w:val="20"/>
          <w:szCs w:val="20"/>
          <w:lang w:val="en-US"/>
        </w:rPr>
        <w:t>To the contrary, as already established, on being made aware of the situation</w:t>
      </w:r>
      <w:r w:rsidR="003769D9" w:rsidRPr="009D52FD">
        <w:rPr>
          <w:sz w:val="20"/>
          <w:szCs w:val="20"/>
          <w:lang w:val="en-US"/>
        </w:rPr>
        <w:t>,</w:t>
      </w:r>
      <w:r w:rsidRPr="009D52FD">
        <w:rPr>
          <w:sz w:val="20"/>
          <w:szCs w:val="20"/>
          <w:lang w:val="en-US"/>
        </w:rPr>
        <w:t xml:space="preserve"> and having information on the identity and telephone number of the accused, the police agents merely tried to call him by telephone</w:t>
      </w:r>
      <w:r w:rsidR="003769D9" w:rsidRPr="009D52FD">
        <w:rPr>
          <w:sz w:val="20"/>
          <w:szCs w:val="20"/>
          <w:lang w:val="en-US"/>
        </w:rPr>
        <w:t xml:space="preserve"> (</w:t>
      </w:r>
      <w:r w:rsidR="003769D9" w:rsidRPr="009D52FD">
        <w:rPr>
          <w:i/>
          <w:sz w:val="20"/>
          <w:szCs w:val="20"/>
          <w:lang w:val="en-US"/>
        </w:rPr>
        <w:t>supra</w:t>
      </w:r>
      <w:r w:rsidR="003769D9" w:rsidRPr="009D52FD">
        <w:rPr>
          <w:sz w:val="20"/>
          <w:szCs w:val="20"/>
          <w:lang w:val="en-US"/>
        </w:rPr>
        <w:t xml:space="preserve"> </w:t>
      </w:r>
      <w:r w:rsidR="009459E7" w:rsidRPr="009D52FD">
        <w:rPr>
          <w:sz w:val="20"/>
          <w:szCs w:val="20"/>
          <w:lang w:val="en-US"/>
        </w:rPr>
        <w:t>para.</w:t>
      </w:r>
      <w:r w:rsidR="003769D9" w:rsidRPr="009D52FD">
        <w:rPr>
          <w:sz w:val="20"/>
          <w:szCs w:val="20"/>
          <w:lang w:val="en-US"/>
        </w:rPr>
        <w:t xml:space="preserve"> </w:t>
      </w:r>
      <w:r w:rsidR="0094457E" w:rsidRPr="009D52FD">
        <w:rPr>
          <w:sz w:val="20"/>
          <w:szCs w:val="20"/>
          <w:lang w:val="en-US"/>
        </w:rPr>
        <w:t>68</w:t>
      </w:r>
      <w:r w:rsidR="003769D9" w:rsidRPr="009D52FD">
        <w:rPr>
          <w:sz w:val="20"/>
          <w:szCs w:val="20"/>
          <w:lang w:val="en-US"/>
        </w:rPr>
        <w:t xml:space="preserve">). </w:t>
      </w:r>
      <w:r w:rsidRPr="009D52FD">
        <w:rPr>
          <w:sz w:val="20"/>
          <w:szCs w:val="20"/>
          <w:lang w:val="en-US"/>
        </w:rPr>
        <w:t>And, according to</w:t>
      </w:r>
      <w:r w:rsidR="003769D9" w:rsidRPr="009D52FD">
        <w:rPr>
          <w:sz w:val="20"/>
          <w:szCs w:val="20"/>
          <w:lang w:val="en-US"/>
        </w:rPr>
        <w:t xml:space="preserve"> Ana Secilia, </w:t>
      </w:r>
      <w:r w:rsidRPr="009D52FD">
        <w:rPr>
          <w:sz w:val="20"/>
          <w:szCs w:val="20"/>
          <w:lang w:val="en-US"/>
        </w:rPr>
        <w:t xml:space="preserve">the police agent told her that she “was trying to interfere in a couple’s relationship and that </w:t>
      </w:r>
      <w:r w:rsidR="003769D9" w:rsidRPr="009D52FD">
        <w:rPr>
          <w:sz w:val="20"/>
          <w:szCs w:val="20"/>
          <w:lang w:val="en-US"/>
        </w:rPr>
        <w:t xml:space="preserve">[…] </w:t>
      </w:r>
      <w:r w:rsidRPr="009D52FD">
        <w:rPr>
          <w:sz w:val="20"/>
          <w:szCs w:val="20"/>
          <w:lang w:val="en-US"/>
        </w:rPr>
        <w:t xml:space="preserve">he was going to call that person and that </w:t>
      </w:r>
      <w:r w:rsidR="003769D9" w:rsidRPr="009D52FD">
        <w:rPr>
          <w:sz w:val="20"/>
          <w:szCs w:val="20"/>
          <w:lang w:val="en-US"/>
        </w:rPr>
        <w:t xml:space="preserve">[…] </w:t>
      </w:r>
      <w:r w:rsidRPr="009D52FD">
        <w:rPr>
          <w:sz w:val="20"/>
          <w:szCs w:val="20"/>
          <w:lang w:val="en-US"/>
        </w:rPr>
        <w:t>then he would return for more information.</w:t>
      </w:r>
      <w:r w:rsidR="003769D9" w:rsidRPr="009D52FD">
        <w:rPr>
          <w:sz w:val="20"/>
          <w:szCs w:val="20"/>
          <w:lang w:val="en-US"/>
        </w:rPr>
        <w:t>”</w:t>
      </w:r>
      <w:r w:rsidR="003769D9" w:rsidRPr="009D52FD">
        <w:rPr>
          <w:rStyle w:val="FootnoteReference"/>
          <w:sz w:val="20"/>
          <w:szCs w:val="20"/>
          <w:lang w:val="en-US"/>
        </w:rPr>
        <w:footnoteReference w:id="252"/>
      </w:r>
      <w:r w:rsidRPr="009D52FD">
        <w:rPr>
          <w:sz w:val="20"/>
          <w:szCs w:val="20"/>
          <w:lang w:val="en-US"/>
        </w:rPr>
        <w:t xml:space="preserve"> This action led to reprisals for Linda Loaiza, who declared that her aggressor became aware of the complaints and, therefore, the violence increased.</w:t>
      </w:r>
      <w:r w:rsidR="0094457E" w:rsidRPr="009D52FD">
        <w:rPr>
          <w:rStyle w:val="FootnoteReference"/>
          <w:sz w:val="20"/>
          <w:szCs w:val="20"/>
          <w:lang w:val="en-US"/>
        </w:rPr>
        <w:footnoteReference w:id="253"/>
      </w:r>
      <w:r w:rsidR="00814EB2" w:rsidRPr="009D52FD">
        <w:rPr>
          <w:sz w:val="20"/>
          <w:szCs w:val="20"/>
          <w:lang w:val="en-US"/>
        </w:rPr>
        <w:t xml:space="preserve"> </w:t>
      </w:r>
      <w:r w:rsidR="003630BB" w:rsidRPr="009D52FD">
        <w:rPr>
          <w:sz w:val="20"/>
          <w:szCs w:val="20"/>
          <w:lang w:val="en-US"/>
        </w:rPr>
        <w:t>The Court</w:t>
      </w:r>
      <w:r w:rsidR="009E4F6C" w:rsidRPr="009D52FD">
        <w:rPr>
          <w:sz w:val="20"/>
          <w:szCs w:val="20"/>
          <w:lang w:val="en-US"/>
        </w:rPr>
        <w:t xml:space="preserve"> </w:t>
      </w:r>
      <w:r w:rsidRPr="009D52FD">
        <w:rPr>
          <w:sz w:val="20"/>
          <w:szCs w:val="20"/>
          <w:lang w:val="en-US"/>
        </w:rPr>
        <w:t xml:space="preserve">has no information that would indicate that, apart from the said measures, the police undertook other actions to investigate or </w:t>
      </w:r>
      <w:r w:rsidR="00DA5E34" w:rsidRPr="009D52FD">
        <w:rPr>
          <w:sz w:val="20"/>
          <w:szCs w:val="20"/>
          <w:lang w:val="en-US"/>
        </w:rPr>
        <w:t xml:space="preserve">to </w:t>
      </w:r>
      <w:r w:rsidRPr="009D52FD">
        <w:rPr>
          <w:sz w:val="20"/>
          <w:szCs w:val="20"/>
          <w:lang w:val="en-US"/>
        </w:rPr>
        <w:t>try and locate the victim’s whereabouts or even that they requested the intervention of a jurisdictional organ.</w:t>
      </w:r>
    </w:p>
    <w:p w14:paraId="2AD651B2" w14:textId="77777777" w:rsidR="009E4F6C" w:rsidRPr="009D52FD" w:rsidRDefault="009E4F6C" w:rsidP="009E4F6C">
      <w:pPr>
        <w:widowControl/>
        <w:tabs>
          <w:tab w:val="left" w:pos="567"/>
        </w:tabs>
        <w:adjustRightInd/>
        <w:spacing w:line="240" w:lineRule="auto"/>
        <w:textAlignment w:val="auto"/>
        <w:rPr>
          <w:sz w:val="20"/>
          <w:szCs w:val="20"/>
          <w:lang w:val="en-US"/>
        </w:rPr>
      </w:pPr>
    </w:p>
    <w:p w14:paraId="7B08E2CA" w14:textId="3E96918E" w:rsidR="00E24774" w:rsidRPr="009D52FD" w:rsidRDefault="00DA5E34" w:rsidP="00102BBE">
      <w:pPr>
        <w:numPr>
          <w:ilvl w:val="0"/>
          <w:numId w:val="1"/>
        </w:numPr>
        <w:tabs>
          <w:tab w:val="left" w:pos="567"/>
        </w:tabs>
        <w:spacing w:line="240" w:lineRule="auto"/>
        <w:ind w:left="0" w:firstLine="0"/>
        <w:rPr>
          <w:sz w:val="20"/>
          <w:szCs w:val="20"/>
          <w:lang w:val="en-US"/>
        </w:rPr>
      </w:pPr>
      <w:r w:rsidRPr="009D52FD">
        <w:rPr>
          <w:sz w:val="20"/>
          <w:szCs w:val="20"/>
          <w:lang w:val="en-US"/>
        </w:rPr>
        <w:t>Based on</w:t>
      </w:r>
      <w:r w:rsidR="00102BBE" w:rsidRPr="009D52FD">
        <w:rPr>
          <w:sz w:val="20"/>
          <w:szCs w:val="20"/>
          <w:lang w:val="en-US"/>
        </w:rPr>
        <w:t xml:space="preserve"> all the facts examined above, the Court finds that </w:t>
      </w:r>
      <w:r w:rsidR="00EB2E8D" w:rsidRPr="009D52FD">
        <w:rPr>
          <w:sz w:val="20"/>
          <w:szCs w:val="20"/>
          <w:lang w:val="en-US"/>
        </w:rPr>
        <w:t xml:space="preserve">the State cannot be considered </w:t>
      </w:r>
      <w:r w:rsidR="00EB2E8D" w:rsidRPr="009D52FD">
        <w:rPr>
          <w:sz w:val="20"/>
          <w:szCs w:val="20"/>
          <w:lang w:val="en-US"/>
        </w:rPr>
        <w:lastRenderedPageBreak/>
        <w:t>directly</w:t>
      </w:r>
      <w:r w:rsidR="00102BBE" w:rsidRPr="009D52FD">
        <w:rPr>
          <w:sz w:val="20"/>
          <w:szCs w:val="20"/>
          <w:lang w:val="en-US"/>
        </w:rPr>
        <w:t xml:space="preserve"> responsible for the </w:t>
      </w:r>
      <w:r w:rsidR="00EB2E8D" w:rsidRPr="009D52FD">
        <w:rPr>
          <w:sz w:val="20"/>
          <w:szCs w:val="20"/>
          <w:lang w:val="en-US"/>
        </w:rPr>
        <w:t>f</w:t>
      </w:r>
      <w:r w:rsidR="00102BBE" w:rsidRPr="009D52FD">
        <w:rPr>
          <w:sz w:val="20"/>
          <w:szCs w:val="20"/>
          <w:lang w:val="en-US"/>
        </w:rPr>
        <w:t>acts suffered by Linda Loaiza; rather, its responsibility arises from the insufficient and negligent reaction of its public officials who, on becoming aware of the risk, failed to take the measures that could reasonably have been expected and</w:t>
      </w:r>
      <w:r w:rsidR="00EB2E8D" w:rsidRPr="009D52FD">
        <w:rPr>
          <w:sz w:val="20"/>
          <w:szCs w:val="20"/>
          <w:lang w:val="en-US"/>
        </w:rPr>
        <w:t>,</w:t>
      </w:r>
      <w:r w:rsidR="00102BBE" w:rsidRPr="009D52FD">
        <w:rPr>
          <w:sz w:val="20"/>
          <w:szCs w:val="20"/>
          <w:lang w:val="en-US"/>
        </w:rPr>
        <w:t xml:space="preserve"> therefore, failed to comply with the duty of due diligence to prevent or interrupt the course of the events; moreover, </w:t>
      </w:r>
      <w:r w:rsidR="00EB2E8D" w:rsidRPr="009D52FD">
        <w:rPr>
          <w:sz w:val="20"/>
          <w:szCs w:val="20"/>
          <w:lang w:val="en-US"/>
        </w:rPr>
        <w:t>their</w:t>
      </w:r>
      <w:r w:rsidR="00102BBE" w:rsidRPr="009D52FD">
        <w:rPr>
          <w:sz w:val="20"/>
          <w:szCs w:val="20"/>
          <w:lang w:val="en-US"/>
        </w:rPr>
        <w:t xml:space="preserve"> actions also alerted the aggressor. This, added to the subsequent total failure to adequately prevent the physical, verbal, psychological and sexual abuse suffered by Linda Loaiza, despite knowing the identity of the accused, reveals a tolerant attitude in the face of </w:t>
      </w:r>
      <w:r w:rsidR="00EB2E8D" w:rsidRPr="009D52FD">
        <w:rPr>
          <w:sz w:val="20"/>
          <w:szCs w:val="20"/>
          <w:lang w:val="en-US"/>
        </w:rPr>
        <w:t xml:space="preserve">a </w:t>
      </w:r>
      <w:r w:rsidR="00102BBE" w:rsidRPr="009D52FD">
        <w:rPr>
          <w:sz w:val="20"/>
          <w:szCs w:val="20"/>
          <w:lang w:val="en-US"/>
        </w:rPr>
        <w:t xml:space="preserve">situation that, owing to </w:t>
      </w:r>
      <w:r w:rsidR="00EB2E8D" w:rsidRPr="009D52FD">
        <w:rPr>
          <w:sz w:val="20"/>
          <w:szCs w:val="20"/>
          <w:lang w:val="en-US"/>
        </w:rPr>
        <w:t>its</w:t>
      </w:r>
      <w:r w:rsidR="00102BBE" w:rsidRPr="009D52FD">
        <w:rPr>
          <w:sz w:val="20"/>
          <w:szCs w:val="20"/>
          <w:lang w:val="en-US"/>
        </w:rPr>
        <w:t xml:space="preserve"> characteristics, constituted a risk of </w:t>
      </w:r>
      <w:r w:rsidR="005935CA" w:rsidRPr="009D52FD">
        <w:rPr>
          <w:color w:val="000000"/>
          <w:sz w:val="20"/>
          <w:szCs w:val="20"/>
          <w:lang w:val="en-US" w:eastAsia="en-US"/>
        </w:rPr>
        <w:t>violence against women</w:t>
      </w:r>
      <w:r w:rsidR="00E24774" w:rsidRPr="009D52FD">
        <w:rPr>
          <w:color w:val="000000"/>
          <w:sz w:val="20"/>
          <w:szCs w:val="20"/>
          <w:lang w:val="en-US" w:eastAsia="en-US"/>
        </w:rPr>
        <w:t>.</w:t>
      </w:r>
    </w:p>
    <w:p w14:paraId="1EF16A61" w14:textId="77777777" w:rsidR="00E24774" w:rsidRPr="009D52FD" w:rsidRDefault="00E24774" w:rsidP="00E24774">
      <w:pPr>
        <w:tabs>
          <w:tab w:val="left" w:pos="567"/>
        </w:tabs>
        <w:spacing w:line="240" w:lineRule="auto"/>
        <w:rPr>
          <w:sz w:val="20"/>
          <w:szCs w:val="20"/>
          <w:lang w:val="en-US"/>
        </w:rPr>
      </w:pPr>
    </w:p>
    <w:p w14:paraId="2E8ABC9E" w14:textId="2E41844A" w:rsidR="009E4F6C" w:rsidRPr="009D52FD" w:rsidRDefault="00102BBE" w:rsidP="003C5989">
      <w:pPr>
        <w:numPr>
          <w:ilvl w:val="0"/>
          <w:numId w:val="1"/>
        </w:numPr>
        <w:tabs>
          <w:tab w:val="left" w:pos="567"/>
        </w:tabs>
        <w:spacing w:line="240" w:lineRule="auto"/>
        <w:ind w:left="0" w:firstLine="0"/>
        <w:rPr>
          <w:i/>
          <w:sz w:val="20"/>
          <w:szCs w:val="20"/>
          <w:lang w:val="en-US"/>
        </w:rPr>
      </w:pPr>
      <w:r w:rsidRPr="009D52FD">
        <w:rPr>
          <w:sz w:val="20"/>
          <w:szCs w:val="20"/>
          <w:lang w:val="en-US"/>
        </w:rPr>
        <w:t>Based on the above</w:t>
      </w:r>
      <w:r w:rsidR="009E4F6C" w:rsidRPr="009D52FD">
        <w:rPr>
          <w:sz w:val="20"/>
          <w:szCs w:val="20"/>
          <w:lang w:val="en-US"/>
        </w:rPr>
        <w:t xml:space="preserve">, </w:t>
      </w:r>
      <w:r w:rsidR="003630BB" w:rsidRPr="009D52FD">
        <w:rPr>
          <w:sz w:val="20"/>
          <w:szCs w:val="20"/>
          <w:lang w:val="en-US"/>
        </w:rPr>
        <w:t>the Court</w:t>
      </w:r>
      <w:r w:rsidR="009E4F6C" w:rsidRPr="009D52FD">
        <w:rPr>
          <w:sz w:val="20"/>
          <w:szCs w:val="20"/>
          <w:lang w:val="en-US"/>
        </w:rPr>
        <w:t xml:space="preserve"> consider</w:t>
      </w:r>
      <w:r w:rsidRPr="009D52FD">
        <w:rPr>
          <w:sz w:val="20"/>
          <w:szCs w:val="20"/>
          <w:lang w:val="en-US"/>
        </w:rPr>
        <w:t xml:space="preserve">s that </w:t>
      </w:r>
      <w:r w:rsidR="003630BB" w:rsidRPr="009D52FD">
        <w:rPr>
          <w:sz w:val="20"/>
          <w:szCs w:val="20"/>
          <w:lang w:val="en-US"/>
        </w:rPr>
        <w:t>the State</w:t>
      </w:r>
      <w:r w:rsidR="009E4F6C" w:rsidRPr="009D52FD">
        <w:rPr>
          <w:sz w:val="20"/>
          <w:szCs w:val="20"/>
          <w:lang w:val="en-US"/>
        </w:rPr>
        <w:t xml:space="preserve"> incurr</w:t>
      </w:r>
      <w:r w:rsidRPr="009D52FD">
        <w:rPr>
          <w:sz w:val="20"/>
          <w:szCs w:val="20"/>
          <w:lang w:val="en-US"/>
        </w:rPr>
        <w:t>ed</w:t>
      </w:r>
      <w:r w:rsidR="009E4F6C" w:rsidRPr="009D52FD">
        <w:rPr>
          <w:sz w:val="20"/>
          <w:szCs w:val="20"/>
          <w:lang w:val="en-US"/>
        </w:rPr>
        <w:t xml:space="preserve"> </w:t>
      </w:r>
      <w:r w:rsidR="0098665D" w:rsidRPr="009D52FD">
        <w:rPr>
          <w:sz w:val="20"/>
          <w:szCs w:val="20"/>
          <w:lang w:val="en-US"/>
        </w:rPr>
        <w:t>international responsibility</w:t>
      </w:r>
      <w:r w:rsidR="00A937FD" w:rsidRPr="009D52FD">
        <w:rPr>
          <w:sz w:val="20"/>
          <w:szCs w:val="20"/>
          <w:lang w:val="en-US"/>
        </w:rPr>
        <w:t xml:space="preserve">, </w:t>
      </w:r>
      <w:r w:rsidRPr="009D52FD">
        <w:rPr>
          <w:sz w:val="20"/>
          <w:szCs w:val="20"/>
          <w:lang w:val="en-US"/>
        </w:rPr>
        <w:t>at least from</w:t>
      </w:r>
      <w:r w:rsidR="00A937FD" w:rsidRPr="009D52FD">
        <w:rPr>
          <w:sz w:val="20"/>
          <w:szCs w:val="20"/>
          <w:lang w:val="en-US"/>
        </w:rPr>
        <w:t xml:space="preserve"> </w:t>
      </w:r>
      <w:r w:rsidR="004A03C5" w:rsidRPr="009D52FD">
        <w:rPr>
          <w:sz w:val="20"/>
          <w:szCs w:val="20"/>
          <w:lang w:val="en-US"/>
        </w:rPr>
        <w:t>May 26,</w:t>
      </w:r>
      <w:r w:rsidR="00A937FD" w:rsidRPr="009D52FD">
        <w:rPr>
          <w:sz w:val="20"/>
          <w:szCs w:val="20"/>
          <w:lang w:val="en-US"/>
        </w:rPr>
        <w:t xml:space="preserve"> 2001,</w:t>
      </w:r>
      <w:r w:rsidRPr="009D52FD">
        <w:rPr>
          <w:sz w:val="20"/>
          <w:szCs w:val="20"/>
          <w:lang w:val="en-US"/>
        </w:rPr>
        <w:t xml:space="preserve"> onwards, for the acts of violence committed by </w:t>
      </w:r>
      <w:r w:rsidR="00CE1F61" w:rsidRPr="009D52FD">
        <w:rPr>
          <w:sz w:val="20"/>
          <w:szCs w:val="20"/>
          <w:lang w:val="en-US"/>
        </w:rPr>
        <w:t>private individuals against</w:t>
      </w:r>
      <w:r w:rsidR="00E24774" w:rsidRPr="009D52FD">
        <w:rPr>
          <w:sz w:val="20"/>
          <w:szCs w:val="20"/>
          <w:lang w:val="en-US"/>
        </w:rPr>
        <w:t xml:space="preserve"> Linda Loaiza López Soto, </w:t>
      </w:r>
      <w:r w:rsidR="00CE1F61" w:rsidRPr="009D52FD">
        <w:rPr>
          <w:sz w:val="20"/>
          <w:szCs w:val="20"/>
          <w:lang w:val="en-US"/>
        </w:rPr>
        <w:t>by tolerat</w:t>
      </w:r>
      <w:r w:rsidR="00EB2E8D" w:rsidRPr="009D52FD">
        <w:rPr>
          <w:sz w:val="20"/>
          <w:szCs w:val="20"/>
          <w:lang w:val="en-US"/>
        </w:rPr>
        <w:t>ing</w:t>
      </w:r>
      <w:r w:rsidR="00CE1F61" w:rsidRPr="009D52FD">
        <w:rPr>
          <w:sz w:val="20"/>
          <w:szCs w:val="20"/>
          <w:lang w:val="en-US"/>
        </w:rPr>
        <w:t xml:space="preserve"> acts that violated her rights to </w:t>
      </w:r>
      <w:r w:rsidR="00997ADF" w:rsidRPr="009D52FD">
        <w:rPr>
          <w:sz w:val="20"/>
          <w:szCs w:val="20"/>
          <w:lang w:val="en-US"/>
        </w:rPr>
        <w:t>personal integrity</w:t>
      </w:r>
      <w:r w:rsidR="009E4F6C" w:rsidRPr="009D52FD">
        <w:rPr>
          <w:sz w:val="20"/>
          <w:szCs w:val="20"/>
          <w:lang w:val="en-US"/>
        </w:rPr>
        <w:t xml:space="preserve">, </w:t>
      </w:r>
      <w:r w:rsidR="00997ADF" w:rsidRPr="009D52FD">
        <w:rPr>
          <w:sz w:val="20"/>
          <w:szCs w:val="20"/>
          <w:lang w:val="en-US"/>
        </w:rPr>
        <w:t>personal liberty</w:t>
      </w:r>
      <w:r w:rsidR="009E4F6C" w:rsidRPr="009D52FD">
        <w:rPr>
          <w:sz w:val="20"/>
          <w:szCs w:val="20"/>
          <w:lang w:val="en-US"/>
        </w:rPr>
        <w:t xml:space="preserve">, </w:t>
      </w:r>
      <w:r w:rsidR="00996337" w:rsidRPr="009D52FD">
        <w:rPr>
          <w:sz w:val="20"/>
          <w:szCs w:val="20"/>
          <w:lang w:val="en-US"/>
        </w:rPr>
        <w:t>dignity, autonomy and privacy</w:t>
      </w:r>
      <w:r w:rsidR="009E4F6C" w:rsidRPr="009D52FD">
        <w:rPr>
          <w:sz w:val="20"/>
          <w:szCs w:val="20"/>
          <w:lang w:val="en-US"/>
        </w:rPr>
        <w:t xml:space="preserve">, </w:t>
      </w:r>
      <w:r w:rsidR="00CE1F61" w:rsidRPr="009D52FD">
        <w:rPr>
          <w:sz w:val="20"/>
          <w:szCs w:val="20"/>
          <w:lang w:val="en-US"/>
        </w:rPr>
        <w:t>recognized in</w:t>
      </w:r>
      <w:r w:rsidR="009E4F6C" w:rsidRPr="009D52FD">
        <w:rPr>
          <w:sz w:val="20"/>
          <w:szCs w:val="20"/>
          <w:lang w:val="en-US"/>
        </w:rPr>
        <w:t xml:space="preserve"> </w:t>
      </w:r>
      <w:r w:rsidR="003630BB" w:rsidRPr="009D52FD">
        <w:rPr>
          <w:sz w:val="20"/>
          <w:szCs w:val="20"/>
          <w:lang w:val="en-US"/>
        </w:rPr>
        <w:t>Articles</w:t>
      </w:r>
      <w:r w:rsidR="00483040" w:rsidRPr="009D52FD">
        <w:rPr>
          <w:sz w:val="20"/>
          <w:szCs w:val="20"/>
          <w:lang w:val="en-US"/>
        </w:rPr>
        <w:t xml:space="preserve"> 5(1)</w:t>
      </w:r>
      <w:r w:rsidR="009E4F6C" w:rsidRPr="009D52FD">
        <w:rPr>
          <w:sz w:val="20"/>
          <w:szCs w:val="20"/>
          <w:lang w:val="en-US"/>
        </w:rPr>
        <w:t>, 7</w:t>
      </w:r>
      <w:r w:rsidR="003630BB" w:rsidRPr="009D52FD">
        <w:rPr>
          <w:sz w:val="20"/>
          <w:szCs w:val="20"/>
          <w:lang w:val="en-US"/>
        </w:rPr>
        <w:t xml:space="preserve"> and </w:t>
      </w:r>
      <w:r w:rsidR="009E4F6C" w:rsidRPr="009D52FD">
        <w:rPr>
          <w:sz w:val="20"/>
          <w:szCs w:val="20"/>
          <w:lang w:val="en-US"/>
        </w:rPr>
        <w:t>11</w:t>
      </w:r>
      <w:r w:rsidR="003630BB" w:rsidRPr="009D52FD">
        <w:rPr>
          <w:sz w:val="20"/>
          <w:szCs w:val="20"/>
          <w:lang w:val="en-US"/>
        </w:rPr>
        <w:t xml:space="preserve"> of the American Convention</w:t>
      </w:r>
      <w:r w:rsidR="009E4F6C" w:rsidRPr="009D52FD">
        <w:rPr>
          <w:sz w:val="20"/>
          <w:szCs w:val="20"/>
          <w:lang w:val="en-US"/>
        </w:rPr>
        <w:t xml:space="preserve">, </w:t>
      </w:r>
      <w:r w:rsidR="00997ADF" w:rsidRPr="009D52FD">
        <w:rPr>
          <w:sz w:val="20"/>
          <w:szCs w:val="20"/>
          <w:lang w:val="en-US"/>
        </w:rPr>
        <w:t>in relation to</w:t>
      </w:r>
      <w:r w:rsidR="009E4F6C" w:rsidRPr="009D52FD">
        <w:rPr>
          <w:sz w:val="20"/>
          <w:szCs w:val="20"/>
          <w:lang w:val="en-US"/>
        </w:rPr>
        <w:t xml:space="preserve"> </w:t>
      </w:r>
      <w:r w:rsidR="00CE1F61" w:rsidRPr="009D52FD">
        <w:rPr>
          <w:sz w:val="20"/>
          <w:szCs w:val="20"/>
          <w:lang w:val="en-US"/>
        </w:rPr>
        <w:t>the obligations established in</w:t>
      </w:r>
      <w:r w:rsidR="009E4F6C" w:rsidRPr="009D52FD">
        <w:rPr>
          <w:sz w:val="20"/>
          <w:szCs w:val="20"/>
          <w:lang w:val="en-US"/>
        </w:rPr>
        <w:t xml:space="preserve"> </w:t>
      </w:r>
      <w:r w:rsidR="00483040" w:rsidRPr="009D52FD">
        <w:rPr>
          <w:sz w:val="20"/>
          <w:szCs w:val="20"/>
          <w:lang w:val="en-US"/>
        </w:rPr>
        <w:t>Article 1(1)</w:t>
      </w:r>
      <w:r w:rsidR="00835CC2" w:rsidRPr="009D52FD">
        <w:rPr>
          <w:sz w:val="20"/>
          <w:szCs w:val="20"/>
          <w:lang w:val="en-US"/>
        </w:rPr>
        <w:t xml:space="preserve"> </w:t>
      </w:r>
      <w:r w:rsidR="00D32B3E" w:rsidRPr="009D52FD">
        <w:rPr>
          <w:sz w:val="20"/>
          <w:szCs w:val="20"/>
          <w:lang w:val="en-US"/>
        </w:rPr>
        <w:t>of this instrument</w:t>
      </w:r>
      <w:r w:rsidR="003630BB" w:rsidRPr="009D52FD">
        <w:rPr>
          <w:sz w:val="20"/>
          <w:szCs w:val="20"/>
          <w:lang w:val="en-US"/>
        </w:rPr>
        <w:t xml:space="preserve"> and Article</w:t>
      </w:r>
      <w:r w:rsidR="002138FA" w:rsidRPr="009D52FD">
        <w:rPr>
          <w:sz w:val="20"/>
          <w:szCs w:val="20"/>
          <w:lang w:val="en-US"/>
        </w:rPr>
        <w:t xml:space="preserve"> </w:t>
      </w:r>
      <w:r w:rsidR="00996337" w:rsidRPr="009D52FD">
        <w:rPr>
          <w:sz w:val="20"/>
          <w:szCs w:val="20"/>
          <w:lang w:val="en-US"/>
        </w:rPr>
        <w:t>7(a)</w:t>
      </w:r>
      <w:r w:rsidR="003630BB" w:rsidRPr="009D52FD">
        <w:rPr>
          <w:sz w:val="20"/>
          <w:szCs w:val="20"/>
          <w:lang w:val="en-US"/>
        </w:rPr>
        <w:t xml:space="preserve"> and </w:t>
      </w:r>
      <w:r w:rsidR="00996337" w:rsidRPr="009D52FD">
        <w:rPr>
          <w:sz w:val="20"/>
          <w:szCs w:val="20"/>
          <w:lang w:val="en-US"/>
        </w:rPr>
        <w:t>7(b)</w:t>
      </w:r>
      <w:r w:rsidR="003630BB" w:rsidRPr="009D52FD">
        <w:rPr>
          <w:sz w:val="20"/>
          <w:szCs w:val="20"/>
          <w:lang w:val="en-US"/>
        </w:rPr>
        <w:t xml:space="preserve"> of the Convention</w:t>
      </w:r>
      <w:r w:rsidR="009E4F6C" w:rsidRPr="009D52FD">
        <w:rPr>
          <w:sz w:val="20"/>
          <w:szCs w:val="20"/>
          <w:lang w:val="en-US"/>
        </w:rPr>
        <w:t xml:space="preserve"> </w:t>
      </w:r>
      <w:r w:rsidR="00483040" w:rsidRPr="009D52FD">
        <w:rPr>
          <w:sz w:val="20"/>
          <w:szCs w:val="20"/>
          <w:lang w:val="en-US"/>
        </w:rPr>
        <w:t>of Belém</w:t>
      </w:r>
      <w:r w:rsidR="009E4F6C" w:rsidRPr="009D52FD">
        <w:rPr>
          <w:sz w:val="20"/>
          <w:szCs w:val="20"/>
          <w:lang w:val="en-US"/>
        </w:rPr>
        <w:t xml:space="preserve"> do Pará.</w:t>
      </w:r>
    </w:p>
    <w:p w14:paraId="1B72C7C7" w14:textId="77777777" w:rsidR="009E4F6C" w:rsidRPr="009D52FD" w:rsidRDefault="009E4F6C" w:rsidP="009E4F6C">
      <w:pPr>
        <w:widowControl/>
        <w:tabs>
          <w:tab w:val="left" w:pos="567"/>
        </w:tabs>
        <w:adjustRightInd/>
        <w:spacing w:line="240" w:lineRule="auto"/>
        <w:textAlignment w:val="auto"/>
        <w:rPr>
          <w:rFonts w:eastAsia="Batang"/>
          <w:sz w:val="20"/>
          <w:szCs w:val="20"/>
          <w:lang w:val="en-US" w:eastAsia="es-MX"/>
        </w:rPr>
      </w:pPr>
    </w:p>
    <w:p w14:paraId="1D66D09F" w14:textId="2B14CDC1" w:rsidR="009E4F6C" w:rsidRPr="009D52FD" w:rsidRDefault="00CE1F61" w:rsidP="003C5989">
      <w:pPr>
        <w:numPr>
          <w:ilvl w:val="0"/>
          <w:numId w:val="1"/>
        </w:numPr>
        <w:tabs>
          <w:tab w:val="left" w:pos="567"/>
        </w:tabs>
        <w:spacing w:line="240" w:lineRule="auto"/>
        <w:ind w:left="0" w:firstLine="0"/>
        <w:rPr>
          <w:sz w:val="20"/>
          <w:szCs w:val="20"/>
          <w:lang w:val="en-US"/>
        </w:rPr>
      </w:pPr>
      <w:r w:rsidRPr="009D52FD">
        <w:rPr>
          <w:sz w:val="20"/>
          <w:szCs w:val="20"/>
          <w:lang w:val="en-US"/>
        </w:rPr>
        <w:t>The Court will now address the argument</w:t>
      </w:r>
      <w:r w:rsidR="00EB2E8D" w:rsidRPr="009D52FD">
        <w:rPr>
          <w:sz w:val="20"/>
          <w:szCs w:val="20"/>
          <w:lang w:val="en-US"/>
        </w:rPr>
        <w:t>s</w:t>
      </w:r>
      <w:r w:rsidRPr="009D52FD">
        <w:rPr>
          <w:sz w:val="20"/>
          <w:szCs w:val="20"/>
          <w:lang w:val="en-US"/>
        </w:rPr>
        <w:t xml:space="preserve"> that the facts should be characterized as sexual slavery and torture and attributed to the State.</w:t>
      </w:r>
    </w:p>
    <w:p w14:paraId="0C5E2780" w14:textId="77777777" w:rsidR="009E4F6C" w:rsidRPr="009D52FD" w:rsidRDefault="009E4F6C" w:rsidP="009E4F6C">
      <w:pPr>
        <w:tabs>
          <w:tab w:val="left" w:pos="567"/>
        </w:tabs>
        <w:spacing w:line="240" w:lineRule="auto"/>
        <w:rPr>
          <w:sz w:val="20"/>
          <w:szCs w:val="20"/>
          <w:lang w:val="en-US"/>
        </w:rPr>
      </w:pPr>
    </w:p>
    <w:p w14:paraId="131E14C5" w14:textId="05326C1C" w:rsidR="009E4F6C" w:rsidRPr="009D52FD" w:rsidRDefault="009E4F6C" w:rsidP="00FF62E0">
      <w:pPr>
        <w:keepNext/>
        <w:keepLines/>
        <w:widowControl/>
        <w:tabs>
          <w:tab w:val="left" w:pos="1134"/>
        </w:tabs>
        <w:autoSpaceDE w:val="0"/>
        <w:autoSpaceDN w:val="0"/>
        <w:spacing w:line="240" w:lineRule="auto"/>
        <w:ind w:left="708" w:hanging="140"/>
        <w:textAlignment w:val="auto"/>
        <w:outlineLvl w:val="1"/>
        <w:rPr>
          <w:rFonts w:eastAsia="MS Mincho" w:cs="Arial"/>
          <w:bCs/>
          <w:i/>
          <w:sz w:val="20"/>
          <w:szCs w:val="20"/>
          <w:lang w:val="en-US" w:eastAsia="en-US"/>
        </w:rPr>
      </w:pPr>
      <w:bookmarkStart w:id="82" w:name="_Toc51400095"/>
      <w:r w:rsidRPr="009D52FD">
        <w:rPr>
          <w:rFonts w:eastAsia="MS Mincho" w:cs="Arial"/>
          <w:bCs/>
          <w:i/>
          <w:sz w:val="20"/>
          <w:szCs w:val="20"/>
          <w:lang w:val="en-US" w:eastAsia="en-US"/>
        </w:rPr>
        <w:t xml:space="preserve">B.4 </w:t>
      </w:r>
      <w:r w:rsidRPr="009D52FD">
        <w:rPr>
          <w:rFonts w:eastAsia="MS Mincho" w:cs="Arial"/>
          <w:bCs/>
          <w:i/>
          <w:sz w:val="20"/>
          <w:szCs w:val="20"/>
          <w:lang w:val="en-US" w:eastAsia="en-US"/>
        </w:rPr>
        <w:tab/>
      </w:r>
      <w:r w:rsidR="00256D45" w:rsidRPr="009D52FD">
        <w:rPr>
          <w:rFonts w:eastAsia="MS Mincho" w:cs="Arial"/>
          <w:bCs/>
          <w:i/>
          <w:sz w:val="20"/>
          <w:szCs w:val="20"/>
          <w:lang w:val="en-US" w:eastAsia="en-US"/>
        </w:rPr>
        <w:t>S</w:t>
      </w:r>
      <w:r w:rsidR="00742B12" w:rsidRPr="009D52FD">
        <w:rPr>
          <w:rFonts w:eastAsia="MS Mincho" w:cs="Arial"/>
          <w:bCs/>
          <w:i/>
          <w:sz w:val="20"/>
          <w:szCs w:val="20"/>
          <w:lang w:val="en-US" w:eastAsia="en-US"/>
        </w:rPr>
        <w:t>tate responsibility for sexual slavery</w:t>
      </w:r>
      <w:bookmarkEnd w:id="82"/>
    </w:p>
    <w:p w14:paraId="040F970C" w14:textId="77777777" w:rsidR="009E4F6C" w:rsidRPr="009D52FD" w:rsidRDefault="009E4F6C" w:rsidP="009E4F6C">
      <w:pPr>
        <w:spacing w:line="240" w:lineRule="auto"/>
        <w:rPr>
          <w:sz w:val="20"/>
          <w:szCs w:val="20"/>
          <w:lang w:val="en-US"/>
        </w:rPr>
      </w:pPr>
    </w:p>
    <w:p w14:paraId="652253CA" w14:textId="2D1F3364" w:rsidR="009E4F6C" w:rsidRPr="009D52FD" w:rsidRDefault="003630BB" w:rsidP="003C5989">
      <w:pPr>
        <w:numPr>
          <w:ilvl w:val="0"/>
          <w:numId w:val="1"/>
        </w:numPr>
        <w:tabs>
          <w:tab w:val="left" w:pos="567"/>
        </w:tabs>
        <w:spacing w:line="240" w:lineRule="auto"/>
        <w:ind w:left="0" w:firstLine="0"/>
        <w:rPr>
          <w:sz w:val="20"/>
          <w:szCs w:val="20"/>
          <w:lang w:val="en-US"/>
        </w:rPr>
      </w:pPr>
      <w:r w:rsidRPr="009D52FD">
        <w:rPr>
          <w:rFonts w:eastAsia="MS Mincho"/>
          <w:sz w:val="20"/>
          <w:szCs w:val="20"/>
          <w:lang w:val="en-US"/>
        </w:rPr>
        <w:t>The Court</w:t>
      </w:r>
      <w:r w:rsidR="009E4F6C" w:rsidRPr="009D52FD">
        <w:rPr>
          <w:rFonts w:eastAsia="MS Mincho"/>
          <w:sz w:val="20"/>
          <w:szCs w:val="20"/>
          <w:lang w:val="en-US"/>
        </w:rPr>
        <w:t xml:space="preserve"> </w:t>
      </w:r>
      <w:r w:rsidR="00CE1F61" w:rsidRPr="009D52FD">
        <w:rPr>
          <w:rFonts w:eastAsia="MS Mincho"/>
          <w:sz w:val="20"/>
          <w:szCs w:val="20"/>
          <w:lang w:val="en-US"/>
        </w:rPr>
        <w:t>recalls that</w:t>
      </w:r>
      <w:r w:rsidR="009E4F6C" w:rsidRPr="009D52FD">
        <w:rPr>
          <w:rFonts w:eastAsia="MS Mincho"/>
          <w:sz w:val="20"/>
          <w:szCs w:val="20"/>
          <w:lang w:val="en-US"/>
        </w:rPr>
        <w:t xml:space="preserve"> </w:t>
      </w:r>
      <w:r w:rsidRPr="009D52FD">
        <w:rPr>
          <w:rFonts w:eastAsia="MS Mincho"/>
          <w:sz w:val="20"/>
          <w:szCs w:val="20"/>
          <w:lang w:val="en-US"/>
        </w:rPr>
        <w:t>the representatives</w:t>
      </w:r>
      <w:r w:rsidR="009E4F6C" w:rsidRPr="009D52FD">
        <w:rPr>
          <w:rFonts w:eastAsia="MS Mincho"/>
          <w:sz w:val="20"/>
          <w:szCs w:val="20"/>
          <w:lang w:val="en-US"/>
        </w:rPr>
        <w:t xml:space="preserve"> </w:t>
      </w:r>
      <w:r w:rsidR="00CE1F61" w:rsidRPr="009D52FD">
        <w:rPr>
          <w:rFonts w:eastAsia="MS Mincho"/>
          <w:sz w:val="20"/>
          <w:szCs w:val="20"/>
          <w:lang w:val="en-US"/>
        </w:rPr>
        <w:t>may allege the violation of rights other than those submitted to the consideration</w:t>
      </w:r>
      <w:r w:rsidRPr="009D52FD">
        <w:rPr>
          <w:rFonts w:eastAsia="MS Mincho"/>
          <w:sz w:val="20"/>
          <w:szCs w:val="20"/>
          <w:lang w:val="en-US"/>
        </w:rPr>
        <w:t xml:space="preserve"> of the Court</w:t>
      </w:r>
      <w:r w:rsidR="009E4F6C" w:rsidRPr="009D52FD">
        <w:rPr>
          <w:rFonts w:eastAsia="MS Mincho"/>
          <w:sz w:val="20"/>
          <w:szCs w:val="20"/>
          <w:lang w:val="en-US"/>
        </w:rPr>
        <w:t xml:space="preserve"> </w:t>
      </w:r>
      <w:r w:rsidR="00CE1F61" w:rsidRPr="009D52FD">
        <w:rPr>
          <w:rFonts w:eastAsia="MS Mincho"/>
          <w:sz w:val="20"/>
          <w:szCs w:val="20"/>
          <w:lang w:val="en-US"/>
        </w:rPr>
        <w:t>by</w:t>
      </w:r>
      <w:r w:rsidR="009E4F6C" w:rsidRPr="009D52FD">
        <w:rPr>
          <w:rFonts w:eastAsia="MS Mincho"/>
          <w:sz w:val="20"/>
          <w:szCs w:val="20"/>
          <w:lang w:val="en-US"/>
        </w:rPr>
        <w:t xml:space="preserve"> </w:t>
      </w:r>
      <w:r w:rsidRPr="009D52FD">
        <w:rPr>
          <w:rFonts w:eastAsia="MS Mincho"/>
          <w:sz w:val="20"/>
          <w:szCs w:val="20"/>
          <w:lang w:val="en-US"/>
        </w:rPr>
        <w:t>the Commission</w:t>
      </w:r>
      <w:r w:rsidR="009E4F6C" w:rsidRPr="009D52FD">
        <w:rPr>
          <w:rFonts w:eastAsia="MS Mincho"/>
          <w:sz w:val="20"/>
          <w:szCs w:val="20"/>
          <w:lang w:val="en-US"/>
        </w:rPr>
        <w:t xml:space="preserve">, </w:t>
      </w:r>
      <w:r w:rsidR="00CE1F61" w:rsidRPr="009D52FD">
        <w:rPr>
          <w:rFonts w:eastAsia="MS Mincho"/>
          <w:sz w:val="20"/>
          <w:szCs w:val="20"/>
          <w:lang w:val="en-US"/>
        </w:rPr>
        <w:t xml:space="preserve">provided </w:t>
      </w:r>
      <w:r w:rsidR="0049633C" w:rsidRPr="009D52FD">
        <w:rPr>
          <w:rFonts w:eastAsia="MS Mincho"/>
          <w:sz w:val="20"/>
          <w:szCs w:val="20"/>
          <w:lang w:val="en-US"/>
        </w:rPr>
        <w:t xml:space="preserve">they respect </w:t>
      </w:r>
      <w:r w:rsidR="00CE1F61" w:rsidRPr="009D52FD">
        <w:rPr>
          <w:rFonts w:eastAsia="MS Mincho"/>
          <w:sz w:val="20"/>
          <w:szCs w:val="20"/>
          <w:lang w:val="en-US"/>
        </w:rPr>
        <w:t>the factual framework established by the latter, because</w:t>
      </w:r>
      <w:r w:rsidR="009E4F6C" w:rsidRPr="009D52FD">
        <w:rPr>
          <w:sz w:val="20"/>
          <w:szCs w:val="20"/>
          <w:lang w:val="en-US"/>
        </w:rPr>
        <w:t xml:space="preserve"> </w:t>
      </w:r>
      <w:r w:rsidR="00EB0EB6" w:rsidRPr="009D52FD">
        <w:rPr>
          <w:sz w:val="20"/>
          <w:szCs w:val="20"/>
          <w:lang w:val="en-US"/>
        </w:rPr>
        <w:t>the presumed victims</w:t>
      </w:r>
      <w:r w:rsidR="00CE1F61" w:rsidRPr="009D52FD">
        <w:rPr>
          <w:sz w:val="20"/>
          <w:szCs w:val="20"/>
          <w:lang w:val="en-US"/>
        </w:rPr>
        <w:t xml:space="preserve"> are titleholders of all the rights recognized in </w:t>
      </w:r>
      <w:r w:rsidRPr="009D52FD">
        <w:rPr>
          <w:sz w:val="20"/>
          <w:szCs w:val="20"/>
          <w:lang w:val="en-US"/>
        </w:rPr>
        <w:t>the Convention</w:t>
      </w:r>
      <w:r w:rsidR="00CE1F61" w:rsidRPr="009D52FD">
        <w:rPr>
          <w:sz w:val="20"/>
          <w:szCs w:val="20"/>
          <w:lang w:val="en-US"/>
        </w:rPr>
        <w:t>.</w:t>
      </w:r>
      <w:r w:rsidR="009E4F6C" w:rsidRPr="009D52FD">
        <w:rPr>
          <w:sz w:val="20"/>
          <w:szCs w:val="20"/>
          <w:vertAlign w:val="superscript"/>
          <w:lang w:val="en-US"/>
        </w:rPr>
        <w:footnoteReference w:id="254"/>
      </w:r>
      <w:r w:rsidR="00CE1F61" w:rsidRPr="009D52FD">
        <w:rPr>
          <w:sz w:val="20"/>
          <w:szCs w:val="20"/>
          <w:lang w:val="en-US"/>
        </w:rPr>
        <w:t xml:space="preserve"> On this basis, the Court will now address the </w:t>
      </w:r>
      <w:r w:rsidR="00584DF8" w:rsidRPr="009D52FD">
        <w:rPr>
          <w:sz w:val="20"/>
          <w:szCs w:val="20"/>
          <w:lang w:val="en-US"/>
        </w:rPr>
        <w:t>arguments</w:t>
      </w:r>
      <w:r w:rsidRPr="009D52FD">
        <w:rPr>
          <w:sz w:val="20"/>
          <w:szCs w:val="20"/>
          <w:lang w:val="en-US"/>
        </w:rPr>
        <w:t xml:space="preserve"> of the representatives</w:t>
      </w:r>
      <w:r w:rsidR="009E4F6C" w:rsidRPr="009D52FD">
        <w:rPr>
          <w:sz w:val="20"/>
          <w:szCs w:val="20"/>
          <w:lang w:val="en-US"/>
        </w:rPr>
        <w:t xml:space="preserve"> </w:t>
      </w:r>
      <w:r w:rsidR="00CE1F61" w:rsidRPr="009D52FD">
        <w:rPr>
          <w:sz w:val="20"/>
          <w:szCs w:val="20"/>
          <w:lang w:val="en-US"/>
        </w:rPr>
        <w:t>that these facts should be categorized as sexual slavery</w:t>
      </w:r>
      <w:r w:rsidRPr="009D52FD">
        <w:rPr>
          <w:sz w:val="20"/>
          <w:szCs w:val="20"/>
          <w:lang w:val="en-US"/>
        </w:rPr>
        <w:t xml:space="preserve"> and </w:t>
      </w:r>
      <w:r w:rsidR="00CE1F61" w:rsidRPr="009D52FD">
        <w:rPr>
          <w:sz w:val="20"/>
          <w:szCs w:val="20"/>
          <w:lang w:val="en-US"/>
        </w:rPr>
        <w:t>that</w:t>
      </w:r>
      <w:r w:rsidR="008B40CD" w:rsidRPr="009D52FD">
        <w:rPr>
          <w:sz w:val="20"/>
          <w:szCs w:val="20"/>
          <w:lang w:val="en-US"/>
        </w:rPr>
        <w:t xml:space="preserve"> </w:t>
      </w:r>
      <w:r w:rsidRPr="009D52FD">
        <w:rPr>
          <w:sz w:val="20"/>
          <w:szCs w:val="20"/>
          <w:lang w:val="en-US"/>
        </w:rPr>
        <w:t>the State</w:t>
      </w:r>
      <w:r w:rsidR="008B40CD" w:rsidRPr="009D52FD">
        <w:rPr>
          <w:sz w:val="20"/>
          <w:szCs w:val="20"/>
          <w:lang w:val="en-US"/>
        </w:rPr>
        <w:t xml:space="preserve"> </w:t>
      </w:r>
      <w:r w:rsidR="00CE1F61" w:rsidRPr="009D52FD">
        <w:rPr>
          <w:sz w:val="20"/>
          <w:szCs w:val="20"/>
          <w:lang w:val="en-US"/>
        </w:rPr>
        <w:t>violated</w:t>
      </w:r>
      <w:r w:rsidR="00D32B3E" w:rsidRPr="009D52FD">
        <w:rPr>
          <w:sz w:val="20"/>
          <w:szCs w:val="20"/>
          <w:lang w:val="en-US"/>
        </w:rPr>
        <w:t xml:space="preserve"> Article</w:t>
      </w:r>
      <w:r w:rsidR="009E4F6C" w:rsidRPr="009D52FD">
        <w:rPr>
          <w:sz w:val="20"/>
          <w:szCs w:val="20"/>
          <w:lang w:val="en-US"/>
        </w:rPr>
        <w:t xml:space="preserve"> 6</w:t>
      </w:r>
      <w:r w:rsidRPr="009D52FD">
        <w:rPr>
          <w:sz w:val="20"/>
          <w:szCs w:val="20"/>
          <w:lang w:val="en-US"/>
        </w:rPr>
        <w:t xml:space="preserve"> of the Convention</w:t>
      </w:r>
      <w:r w:rsidR="009E4F6C" w:rsidRPr="009D52FD">
        <w:rPr>
          <w:sz w:val="20"/>
          <w:szCs w:val="20"/>
          <w:lang w:val="en-US"/>
        </w:rPr>
        <w:t xml:space="preserve">, </w:t>
      </w:r>
      <w:r w:rsidR="00997ADF" w:rsidRPr="009D52FD">
        <w:rPr>
          <w:sz w:val="20"/>
          <w:szCs w:val="20"/>
          <w:lang w:val="en-US"/>
        </w:rPr>
        <w:t>in relation to</w:t>
      </w:r>
      <w:r w:rsidR="009E4F6C" w:rsidRPr="009D52FD">
        <w:rPr>
          <w:sz w:val="20"/>
          <w:szCs w:val="20"/>
          <w:lang w:val="en-US"/>
        </w:rPr>
        <w:t xml:space="preserve"> </w:t>
      </w:r>
      <w:r w:rsidR="00483040" w:rsidRPr="009D52FD">
        <w:rPr>
          <w:sz w:val="20"/>
          <w:szCs w:val="20"/>
          <w:lang w:val="en-US"/>
        </w:rPr>
        <w:t>Articles 1(1)</w:t>
      </w:r>
      <w:r w:rsidR="009E4F6C" w:rsidRPr="009D52FD">
        <w:rPr>
          <w:sz w:val="20"/>
          <w:szCs w:val="20"/>
          <w:lang w:val="en-US"/>
        </w:rPr>
        <w:t>, 3, 5, 7, 11</w:t>
      </w:r>
      <w:r w:rsidRPr="009D52FD">
        <w:rPr>
          <w:sz w:val="20"/>
          <w:szCs w:val="20"/>
          <w:lang w:val="en-US"/>
        </w:rPr>
        <w:t xml:space="preserve"> and </w:t>
      </w:r>
      <w:r w:rsidR="009E4F6C" w:rsidRPr="009D52FD">
        <w:rPr>
          <w:sz w:val="20"/>
          <w:szCs w:val="20"/>
          <w:lang w:val="en-US"/>
        </w:rPr>
        <w:t xml:space="preserve">22 </w:t>
      </w:r>
      <w:r w:rsidR="00D32B3E" w:rsidRPr="009D52FD">
        <w:rPr>
          <w:sz w:val="20"/>
          <w:szCs w:val="20"/>
          <w:lang w:val="en-US"/>
        </w:rPr>
        <w:t>of this instrument</w:t>
      </w:r>
      <w:r w:rsidR="009E4F6C" w:rsidRPr="009D52FD">
        <w:rPr>
          <w:sz w:val="20"/>
          <w:szCs w:val="20"/>
          <w:lang w:val="en-US"/>
        </w:rPr>
        <w:t>.</w:t>
      </w:r>
    </w:p>
    <w:p w14:paraId="70F56191" w14:textId="77777777" w:rsidR="009E4F6C" w:rsidRPr="009D52FD" w:rsidRDefault="009E4F6C" w:rsidP="009E4F6C">
      <w:pPr>
        <w:tabs>
          <w:tab w:val="left" w:pos="567"/>
        </w:tabs>
        <w:spacing w:line="240" w:lineRule="auto"/>
        <w:rPr>
          <w:sz w:val="20"/>
          <w:szCs w:val="20"/>
          <w:lang w:val="en-US"/>
        </w:rPr>
      </w:pPr>
    </w:p>
    <w:p w14:paraId="10ACFB2E" w14:textId="79F5719C" w:rsidR="009E4F6C" w:rsidRPr="009D52FD" w:rsidRDefault="007A24B8" w:rsidP="003C5989">
      <w:pPr>
        <w:numPr>
          <w:ilvl w:val="0"/>
          <w:numId w:val="1"/>
        </w:numPr>
        <w:tabs>
          <w:tab w:val="left" w:pos="567"/>
        </w:tabs>
        <w:spacing w:line="240" w:lineRule="auto"/>
        <w:ind w:left="0" w:firstLine="0"/>
        <w:rPr>
          <w:sz w:val="20"/>
          <w:szCs w:val="20"/>
          <w:lang w:val="en-US"/>
        </w:rPr>
      </w:pPr>
      <w:r w:rsidRPr="009D52FD">
        <w:rPr>
          <w:sz w:val="20"/>
          <w:szCs w:val="20"/>
          <w:lang w:val="en-US"/>
        </w:rPr>
        <w:t>Article</w:t>
      </w:r>
      <w:r w:rsidR="009E4F6C" w:rsidRPr="009D52FD">
        <w:rPr>
          <w:sz w:val="20"/>
          <w:szCs w:val="20"/>
          <w:lang w:val="en-US"/>
        </w:rPr>
        <w:t xml:space="preserve"> </w:t>
      </w:r>
      <w:r w:rsidR="00DC2372" w:rsidRPr="009D52FD">
        <w:rPr>
          <w:sz w:val="20"/>
          <w:szCs w:val="20"/>
          <w:lang w:val="en-US"/>
        </w:rPr>
        <w:t>6(1)</w:t>
      </w:r>
      <w:r w:rsidR="003630BB" w:rsidRPr="009D52FD">
        <w:rPr>
          <w:sz w:val="20"/>
          <w:szCs w:val="20"/>
          <w:lang w:val="en-US"/>
        </w:rPr>
        <w:t xml:space="preserve"> of the Convention</w:t>
      </w:r>
      <w:r w:rsidR="009E4F6C" w:rsidRPr="009D52FD">
        <w:rPr>
          <w:sz w:val="20"/>
          <w:szCs w:val="20"/>
          <w:lang w:val="en-US"/>
        </w:rPr>
        <w:t xml:space="preserve"> </w:t>
      </w:r>
      <w:r w:rsidR="00CE1F61" w:rsidRPr="009D52FD">
        <w:rPr>
          <w:sz w:val="20"/>
          <w:szCs w:val="20"/>
          <w:lang w:val="en-US"/>
        </w:rPr>
        <w:t>stipulates that</w:t>
      </w:r>
      <w:r w:rsidR="009E4F6C" w:rsidRPr="009D52FD">
        <w:rPr>
          <w:sz w:val="20"/>
          <w:szCs w:val="20"/>
          <w:lang w:val="en-US"/>
        </w:rPr>
        <w:t>: “[n]</w:t>
      </w:r>
      <w:r w:rsidR="00CE1F61" w:rsidRPr="009D52FD">
        <w:rPr>
          <w:spacing w:val="-3"/>
          <w:sz w:val="20"/>
          <w:szCs w:val="20"/>
          <w:lang w:val="en-US"/>
        </w:rPr>
        <w:t>o one shall be subject to slavery or to involuntary servitude, which are prohibited in all their forms, as are the slave trade and traffic in women</w:t>
      </w:r>
      <w:r w:rsidR="00CE1F61" w:rsidRPr="009D52FD">
        <w:rPr>
          <w:sz w:val="20"/>
          <w:szCs w:val="20"/>
          <w:lang w:val="en-US"/>
        </w:rPr>
        <w:t>.</w:t>
      </w:r>
      <w:r w:rsidR="009E4F6C" w:rsidRPr="009D52FD">
        <w:rPr>
          <w:sz w:val="20"/>
          <w:szCs w:val="20"/>
          <w:lang w:val="en-US"/>
        </w:rPr>
        <w:t>”</w:t>
      </w:r>
    </w:p>
    <w:p w14:paraId="572CBECB" w14:textId="77777777" w:rsidR="009E4F6C" w:rsidRPr="009D52FD" w:rsidRDefault="009E4F6C" w:rsidP="009E4F6C">
      <w:pPr>
        <w:tabs>
          <w:tab w:val="left" w:pos="567"/>
        </w:tabs>
        <w:spacing w:line="240" w:lineRule="auto"/>
        <w:rPr>
          <w:sz w:val="20"/>
          <w:szCs w:val="20"/>
          <w:lang w:val="en-US"/>
        </w:rPr>
      </w:pPr>
    </w:p>
    <w:p w14:paraId="6AA05C97" w14:textId="336F3011" w:rsidR="009E4F6C" w:rsidRPr="009D52FD" w:rsidRDefault="003630BB" w:rsidP="00CE1F61">
      <w:pPr>
        <w:numPr>
          <w:ilvl w:val="0"/>
          <w:numId w:val="1"/>
        </w:numPr>
        <w:tabs>
          <w:tab w:val="left" w:pos="567"/>
        </w:tabs>
        <w:spacing w:line="240" w:lineRule="auto"/>
        <w:ind w:left="0" w:firstLine="0"/>
        <w:rPr>
          <w:sz w:val="20"/>
          <w:szCs w:val="20"/>
          <w:lang w:val="en-US"/>
        </w:rPr>
      </w:pPr>
      <w:r w:rsidRPr="009D52FD">
        <w:rPr>
          <w:sz w:val="20"/>
          <w:szCs w:val="20"/>
          <w:lang w:val="en-US"/>
        </w:rPr>
        <w:t>The Court</w:t>
      </w:r>
      <w:r w:rsidR="00200BB6" w:rsidRPr="009D52FD">
        <w:rPr>
          <w:sz w:val="20"/>
          <w:szCs w:val="20"/>
          <w:lang w:val="en-US"/>
        </w:rPr>
        <w:t xml:space="preserve">, </w:t>
      </w:r>
      <w:r w:rsidR="00CE1F61" w:rsidRPr="009D52FD">
        <w:rPr>
          <w:sz w:val="20"/>
          <w:szCs w:val="20"/>
          <w:lang w:val="en-US"/>
        </w:rPr>
        <w:t>in the</w:t>
      </w:r>
      <w:r w:rsidR="00551C20" w:rsidRPr="009D52FD">
        <w:rPr>
          <w:i/>
          <w:sz w:val="20"/>
          <w:szCs w:val="20"/>
          <w:lang w:val="en-US"/>
        </w:rPr>
        <w:t xml:space="preserve"> Cas</w:t>
      </w:r>
      <w:r w:rsidR="00CE1F61" w:rsidRPr="009D52FD">
        <w:rPr>
          <w:i/>
          <w:sz w:val="20"/>
          <w:szCs w:val="20"/>
          <w:lang w:val="en-US"/>
        </w:rPr>
        <w:t>e of</w:t>
      </w:r>
      <w:r w:rsidR="00551C20" w:rsidRPr="009D52FD">
        <w:rPr>
          <w:i/>
          <w:sz w:val="20"/>
          <w:szCs w:val="20"/>
          <w:lang w:val="en-US"/>
        </w:rPr>
        <w:t xml:space="preserve"> </w:t>
      </w:r>
      <w:r w:rsidR="00CE1F61" w:rsidRPr="009D52FD">
        <w:rPr>
          <w:i/>
          <w:sz w:val="20"/>
          <w:szCs w:val="20"/>
          <w:lang w:val="en-US"/>
        </w:rPr>
        <w:t>the Hacienda Brasil Verde Workers</w:t>
      </w:r>
      <w:r w:rsidR="009E4F6C" w:rsidRPr="009D52FD">
        <w:rPr>
          <w:sz w:val="20"/>
          <w:szCs w:val="20"/>
          <w:lang w:val="en-US"/>
        </w:rPr>
        <w:t>,</w:t>
      </w:r>
      <w:r w:rsidR="009E4F6C" w:rsidRPr="009D52FD">
        <w:rPr>
          <w:i/>
          <w:sz w:val="20"/>
          <w:szCs w:val="20"/>
          <w:lang w:val="en-US"/>
        </w:rPr>
        <w:t xml:space="preserve"> </w:t>
      </w:r>
      <w:r w:rsidR="00CE1F61" w:rsidRPr="009D52FD">
        <w:rPr>
          <w:sz w:val="20"/>
          <w:szCs w:val="20"/>
          <w:lang w:val="en-US"/>
        </w:rPr>
        <w:t xml:space="preserve">affirmed that the two </w:t>
      </w:r>
      <w:r w:rsidR="0049633C" w:rsidRPr="009D52FD">
        <w:rPr>
          <w:sz w:val="20"/>
          <w:szCs w:val="20"/>
          <w:lang w:val="en-US"/>
        </w:rPr>
        <w:t>basic elements</w:t>
      </w:r>
      <w:r w:rsidR="00CE1F61" w:rsidRPr="009D52FD">
        <w:rPr>
          <w:sz w:val="20"/>
          <w:szCs w:val="20"/>
          <w:lang w:val="en-US"/>
        </w:rPr>
        <w:t xml:space="preserve"> to define a situation of slavery were: (i) the situation or condition of a</w:t>
      </w:r>
      <w:r w:rsidR="00F101A1" w:rsidRPr="009D52FD">
        <w:rPr>
          <w:sz w:val="20"/>
          <w:szCs w:val="20"/>
          <w:lang w:val="en-US"/>
        </w:rPr>
        <w:t xml:space="preserve"> person</w:t>
      </w:r>
      <w:r w:rsidR="00CE1F61" w:rsidRPr="009D52FD">
        <w:rPr>
          <w:sz w:val="20"/>
          <w:szCs w:val="20"/>
          <w:lang w:val="en-US"/>
        </w:rPr>
        <w:t>, and (ii) the exercise of any</w:t>
      </w:r>
      <w:r w:rsidR="00F101A1" w:rsidRPr="009D52FD">
        <w:rPr>
          <w:sz w:val="20"/>
          <w:szCs w:val="20"/>
          <w:lang w:val="en-US"/>
        </w:rPr>
        <w:t xml:space="preserve"> or all</w:t>
      </w:r>
      <w:r w:rsidR="00CE1F61" w:rsidRPr="009D52FD">
        <w:rPr>
          <w:sz w:val="20"/>
          <w:szCs w:val="20"/>
          <w:lang w:val="en-US"/>
        </w:rPr>
        <w:t xml:space="preserve"> the </w:t>
      </w:r>
      <w:r w:rsidR="00F101A1" w:rsidRPr="009D52FD">
        <w:rPr>
          <w:sz w:val="20"/>
          <w:szCs w:val="20"/>
          <w:lang w:val="en-US"/>
        </w:rPr>
        <w:t xml:space="preserve">powers attaching to </w:t>
      </w:r>
      <w:r w:rsidR="00CE1F61" w:rsidRPr="009D52FD">
        <w:rPr>
          <w:sz w:val="20"/>
          <w:szCs w:val="20"/>
          <w:lang w:val="en-US"/>
        </w:rPr>
        <w:t xml:space="preserve">the right </w:t>
      </w:r>
      <w:r w:rsidR="00F101A1" w:rsidRPr="009D52FD">
        <w:rPr>
          <w:sz w:val="20"/>
          <w:szCs w:val="20"/>
          <w:lang w:val="en-US"/>
        </w:rPr>
        <w:t>of ownership</w:t>
      </w:r>
      <w:r w:rsidR="00CE1F61" w:rsidRPr="009D52FD">
        <w:rPr>
          <w:sz w:val="20"/>
          <w:szCs w:val="20"/>
          <w:lang w:val="en-US"/>
        </w:rPr>
        <w:t xml:space="preserve">; </w:t>
      </w:r>
      <w:r w:rsidR="00F101A1" w:rsidRPr="009D52FD">
        <w:rPr>
          <w:sz w:val="20"/>
          <w:szCs w:val="20"/>
          <w:lang w:val="en-US"/>
        </w:rPr>
        <w:t xml:space="preserve">in other words, </w:t>
      </w:r>
      <w:r w:rsidR="00CE1F61" w:rsidRPr="009D52FD">
        <w:rPr>
          <w:sz w:val="20"/>
          <w:szCs w:val="20"/>
          <w:lang w:val="en-US"/>
        </w:rPr>
        <w:t xml:space="preserve">the </w:t>
      </w:r>
      <w:r w:rsidR="00F101A1" w:rsidRPr="009D52FD">
        <w:rPr>
          <w:sz w:val="20"/>
          <w:szCs w:val="20"/>
          <w:lang w:val="en-US"/>
        </w:rPr>
        <w:t>enslaver</w:t>
      </w:r>
      <w:r w:rsidR="00CE1F61" w:rsidRPr="009D52FD">
        <w:rPr>
          <w:sz w:val="20"/>
          <w:szCs w:val="20"/>
          <w:lang w:val="en-US"/>
        </w:rPr>
        <w:t xml:space="preserve"> exercises power or control over the enslaved person to the point of </w:t>
      </w:r>
      <w:r w:rsidR="00F101A1" w:rsidRPr="009D52FD">
        <w:rPr>
          <w:sz w:val="20"/>
          <w:szCs w:val="20"/>
          <w:lang w:val="en-US"/>
        </w:rPr>
        <w:t>obliterating</w:t>
      </w:r>
      <w:r w:rsidR="00CE1F61" w:rsidRPr="009D52FD">
        <w:rPr>
          <w:sz w:val="20"/>
          <w:szCs w:val="20"/>
          <w:lang w:val="en-US"/>
        </w:rPr>
        <w:t xml:space="preserve"> the victim’s personality.</w:t>
      </w:r>
      <w:r w:rsidR="009E4F6C" w:rsidRPr="009D52FD">
        <w:rPr>
          <w:sz w:val="20"/>
          <w:szCs w:val="20"/>
          <w:vertAlign w:val="superscript"/>
          <w:lang w:val="en-US"/>
        </w:rPr>
        <w:footnoteReference w:id="255"/>
      </w:r>
    </w:p>
    <w:p w14:paraId="250D0DCF" w14:textId="77777777" w:rsidR="009E4F6C" w:rsidRPr="009D52FD" w:rsidRDefault="009E4F6C" w:rsidP="009E4F6C">
      <w:pPr>
        <w:tabs>
          <w:tab w:val="left" w:pos="567"/>
        </w:tabs>
        <w:spacing w:line="240" w:lineRule="auto"/>
        <w:rPr>
          <w:sz w:val="20"/>
          <w:szCs w:val="20"/>
          <w:lang w:val="en-US"/>
        </w:rPr>
      </w:pPr>
    </w:p>
    <w:p w14:paraId="00D788D5" w14:textId="54CF54CF" w:rsidR="009E4F6C" w:rsidRPr="009D52FD" w:rsidRDefault="00F101A1" w:rsidP="00F101A1">
      <w:pPr>
        <w:numPr>
          <w:ilvl w:val="0"/>
          <w:numId w:val="1"/>
        </w:numPr>
        <w:tabs>
          <w:tab w:val="left" w:pos="567"/>
        </w:tabs>
        <w:spacing w:line="240" w:lineRule="auto"/>
        <w:ind w:left="0" w:firstLine="0"/>
        <w:rPr>
          <w:sz w:val="20"/>
          <w:szCs w:val="20"/>
          <w:lang w:val="en-US"/>
        </w:rPr>
      </w:pPr>
      <w:r w:rsidRPr="009D52FD">
        <w:rPr>
          <w:sz w:val="20"/>
          <w:szCs w:val="20"/>
          <w:lang w:val="en-US"/>
        </w:rPr>
        <w:t>To assess the manifestation of the so-called “powers attaching to the right of ownership,” the Court has listed a series of components that should be taken into account: (a)</w:t>
      </w:r>
      <w:r w:rsidR="009E4F6C" w:rsidRPr="009D52FD">
        <w:rPr>
          <w:sz w:val="20"/>
          <w:szCs w:val="20"/>
          <w:lang w:val="en-US"/>
        </w:rPr>
        <w:t xml:space="preserve"> </w:t>
      </w:r>
      <w:r w:rsidRPr="009D52FD">
        <w:rPr>
          <w:sz w:val="20"/>
          <w:szCs w:val="20"/>
          <w:lang w:val="en-US"/>
        </w:rPr>
        <w:t xml:space="preserve">the restriction or control of an individual’s autonomy; </w:t>
      </w:r>
      <w:r w:rsidRPr="009D52FD">
        <w:rPr>
          <w:rFonts w:cs="Arial"/>
          <w:sz w:val="20"/>
          <w:szCs w:val="20"/>
          <w:lang w:val="en-US"/>
        </w:rPr>
        <w:t>(b) the loss or restriction of freedom of movement; (c) the accruing of some gain to the perpetrator; (d) the absence of the victim’s consent or free will, or it is rendered impossible or irrelevant by the threat or use of force or other forms of coercion, the fear of violence, deception or false promises; (e) the use of physical force or psychological oppression; (f) the victim’s position of vulnerability; (g) detention or captivity, and (h) exploitation.</w:t>
      </w:r>
      <w:r w:rsidR="009E4F6C" w:rsidRPr="009D52FD">
        <w:rPr>
          <w:sz w:val="20"/>
          <w:szCs w:val="20"/>
          <w:vertAlign w:val="superscript"/>
          <w:lang w:val="en-US"/>
        </w:rPr>
        <w:footnoteReference w:id="256"/>
      </w:r>
      <w:r w:rsidRPr="009D52FD">
        <w:rPr>
          <w:sz w:val="20"/>
          <w:szCs w:val="20"/>
          <w:lang w:val="en-US"/>
        </w:rPr>
        <w:t xml:space="preserve"> In addition, expert witness</w:t>
      </w:r>
      <w:r w:rsidR="009E4F6C" w:rsidRPr="009D52FD">
        <w:rPr>
          <w:sz w:val="20"/>
          <w:szCs w:val="20"/>
          <w:lang w:val="en-US"/>
        </w:rPr>
        <w:t xml:space="preserve"> Kravetz </w:t>
      </w:r>
      <w:r w:rsidRPr="009D52FD">
        <w:rPr>
          <w:sz w:val="20"/>
          <w:szCs w:val="20"/>
          <w:lang w:val="en-US"/>
        </w:rPr>
        <w:t xml:space="preserve">stressed that it was also relevant to take into consideration the victims’ perspective </w:t>
      </w:r>
      <w:r w:rsidR="0049633C" w:rsidRPr="009D52FD">
        <w:rPr>
          <w:sz w:val="20"/>
          <w:szCs w:val="20"/>
          <w:lang w:val="en-US"/>
        </w:rPr>
        <w:t>when</w:t>
      </w:r>
      <w:r w:rsidRPr="009D52FD">
        <w:rPr>
          <w:sz w:val="20"/>
          <w:szCs w:val="20"/>
          <w:lang w:val="en-US"/>
        </w:rPr>
        <w:t xml:space="preserve"> interpret</w:t>
      </w:r>
      <w:r w:rsidR="0049633C" w:rsidRPr="009D52FD">
        <w:rPr>
          <w:sz w:val="20"/>
          <w:szCs w:val="20"/>
          <w:lang w:val="en-US"/>
        </w:rPr>
        <w:t>ing</w:t>
      </w:r>
      <w:r w:rsidRPr="009D52FD">
        <w:rPr>
          <w:sz w:val="20"/>
          <w:szCs w:val="20"/>
          <w:lang w:val="en-US"/>
        </w:rPr>
        <w:t xml:space="preserve"> their perception of the coerci</w:t>
      </w:r>
      <w:r w:rsidR="00C139D2" w:rsidRPr="009D52FD">
        <w:rPr>
          <w:sz w:val="20"/>
          <w:szCs w:val="20"/>
          <w:lang w:val="en-US"/>
        </w:rPr>
        <w:t>o</w:t>
      </w:r>
      <w:r w:rsidRPr="009D52FD">
        <w:rPr>
          <w:sz w:val="20"/>
          <w:szCs w:val="20"/>
          <w:lang w:val="en-US"/>
        </w:rPr>
        <w:t xml:space="preserve">n exercised </w:t>
      </w:r>
      <w:r w:rsidRPr="009D52FD">
        <w:rPr>
          <w:sz w:val="20"/>
          <w:szCs w:val="20"/>
          <w:lang w:val="en-US"/>
        </w:rPr>
        <w:lastRenderedPageBreak/>
        <w:t>over them.</w:t>
      </w:r>
      <w:r w:rsidR="009E4F6C" w:rsidRPr="009D52FD">
        <w:rPr>
          <w:sz w:val="20"/>
          <w:szCs w:val="20"/>
          <w:vertAlign w:val="superscript"/>
          <w:lang w:val="en-US"/>
        </w:rPr>
        <w:footnoteReference w:id="257"/>
      </w:r>
    </w:p>
    <w:p w14:paraId="67A9038E" w14:textId="77777777" w:rsidR="009E4F6C" w:rsidRPr="009D52FD" w:rsidRDefault="009E4F6C" w:rsidP="009E4F6C">
      <w:pPr>
        <w:tabs>
          <w:tab w:val="left" w:pos="567"/>
        </w:tabs>
        <w:spacing w:line="240" w:lineRule="auto"/>
        <w:rPr>
          <w:sz w:val="20"/>
          <w:szCs w:val="20"/>
          <w:lang w:val="en-US"/>
        </w:rPr>
      </w:pPr>
    </w:p>
    <w:p w14:paraId="59FA56EC" w14:textId="09B6CF95" w:rsidR="009E4F6C" w:rsidRPr="009D52FD" w:rsidRDefault="00F101A1" w:rsidP="00C139D2">
      <w:pPr>
        <w:numPr>
          <w:ilvl w:val="0"/>
          <w:numId w:val="1"/>
        </w:numPr>
        <w:tabs>
          <w:tab w:val="left" w:pos="567"/>
        </w:tabs>
        <w:spacing w:line="240" w:lineRule="auto"/>
        <w:ind w:left="0" w:firstLine="0"/>
        <w:rPr>
          <w:sz w:val="20"/>
          <w:szCs w:val="20"/>
          <w:lang w:val="en-US"/>
        </w:rPr>
      </w:pPr>
      <w:r w:rsidRPr="009D52FD">
        <w:rPr>
          <w:sz w:val="20"/>
          <w:szCs w:val="20"/>
          <w:lang w:val="en-US"/>
        </w:rPr>
        <w:t>S</w:t>
      </w:r>
      <w:r w:rsidR="00CE1F61" w:rsidRPr="009D52FD">
        <w:rPr>
          <w:sz w:val="20"/>
          <w:szCs w:val="20"/>
          <w:lang w:val="en-US"/>
        </w:rPr>
        <w:t>exual slavery</w:t>
      </w:r>
      <w:r w:rsidR="009E4F6C" w:rsidRPr="009D52FD">
        <w:rPr>
          <w:sz w:val="20"/>
          <w:szCs w:val="20"/>
          <w:lang w:val="en-US"/>
        </w:rPr>
        <w:t xml:space="preserve"> </w:t>
      </w:r>
      <w:r w:rsidR="00C139D2" w:rsidRPr="009D52FD">
        <w:rPr>
          <w:sz w:val="20"/>
          <w:szCs w:val="20"/>
          <w:lang w:val="en-US"/>
        </w:rPr>
        <w:t>is a particular form of slavery in which</w:t>
      </w:r>
      <w:r w:rsidR="009E4F6C" w:rsidRPr="009D52FD">
        <w:rPr>
          <w:sz w:val="20"/>
          <w:szCs w:val="20"/>
          <w:lang w:val="en-US"/>
        </w:rPr>
        <w:t xml:space="preserve"> </w:t>
      </w:r>
      <w:r w:rsidR="0081578D" w:rsidRPr="009D52FD">
        <w:rPr>
          <w:sz w:val="20"/>
          <w:szCs w:val="20"/>
          <w:lang w:val="en-US"/>
        </w:rPr>
        <w:t>sexual violence</w:t>
      </w:r>
      <w:r w:rsidR="009E4F6C" w:rsidRPr="009D52FD">
        <w:rPr>
          <w:bCs/>
          <w:sz w:val="20"/>
          <w:szCs w:val="20"/>
          <w:vertAlign w:val="superscript"/>
          <w:lang w:val="en-US"/>
        </w:rPr>
        <w:footnoteReference w:id="258"/>
      </w:r>
      <w:r w:rsidR="009E4F6C" w:rsidRPr="009D52FD">
        <w:rPr>
          <w:sz w:val="20"/>
          <w:szCs w:val="20"/>
          <w:lang w:val="en-US"/>
        </w:rPr>
        <w:t xml:space="preserve"> </w:t>
      </w:r>
      <w:r w:rsidR="00C139D2" w:rsidRPr="009D52FD">
        <w:rPr>
          <w:sz w:val="20"/>
          <w:szCs w:val="20"/>
          <w:lang w:val="en-US"/>
        </w:rPr>
        <w:t>plays a preponderant role in the exercise of the powers attaching to the right of ownership o</w:t>
      </w:r>
      <w:r w:rsidR="00844B97" w:rsidRPr="009D52FD">
        <w:rPr>
          <w:sz w:val="20"/>
          <w:szCs w:val="20"/>
          <w:lang w:val="en-US"/>
        </w:rPr>
        <w:t xml:space="preserve">f </w:t>
      </w:r>
      <w:r w:rsidR="00C139D2" w:rsidRPr="009D52FD">
        <w:rPr>
          <w:sz w:val="20"/>
          <w:szCs w:val="20"/>
          <w:lang w:val="en-US"/>
        </w:rPr>
        <w:t xml:space="preserve">a person. </w:t>
      </w:r>
      <w:r w:rsidR="0049633C" w:rsidRPr="009D52FD">
        <w:rPr>
          <w:sz w:val="20"/>
          <w:szCs w:val="20"/>
          <w:lang w:val="en-US"/>
        </w:rPr>
        <w:t>In</w:t>
      </w:r>
      <w:r w:rsidR="00C139D2" w:rsidRPr="009D52FD">
        <w:rPr>
          <w:sz w:val="20"/>
          <w:szCs w:val="20"/>
          <w:lang w:val="en-US"/>
        </w:rPr>
        <w:t xml:space="preserve"> such cases, factors related to the limitation </w:t>
      </w:r>
      <w:r w:rsidR="00107CC3" w:rsidRPr="009D52FD">
        <w:rPr>
          <w:sz w:val="20"/>
          <w:szCs w:val="20"/>
          <w:lang w:val="en-US"/>
        </w:rPr>
        <w:t>o</w:t>
      </w:r>
      <w:r w:rsidR="0049633C" w:rsidRPr="009D52FD">
        <w:rPr>
          <w:sz w:val="20"/>
          <w:szCs w:val="20"/>
          <w:lang w:val="en-US"/>
        </w:rPr>
        <w:t>f</w:t>
      </w:r>
      <w:r w:rsidR="00C139D2" w:rsidRPr="009D52FD">
        <w:rPr>
          <w:sz w:val="20"/>
          <w:szCs w:val="20"/>
          <w:lang w:val="en-US"/>
        </w:rPr>
        <w:t xml:space="preserve"> the victim’s sexual autonomy and activity are strong indicators of the exercise of control. Sexual slavery </w:t>
      </w:r>
      <w:r w:rsidR="0049633C" w:rsidRPr="009D52FD">
        <w:rPr>
          <w:sz w:val="20"/>
          <w:szCs w:val="20"/>
          <w:lang w:val="en-US"/>
        </w:rPr>
        <w:t>differs</w:t>
      </w:r>
      <w:r w:rsidR="00C139D2" w:rsidRPr="009D52FD">
        <w:rPr>
          <w:sz w:val="20"/>
          <w:szCs w:val="20"/>
          <w:lang w:val="en-US"/>
        </w:rPr>
        <w:t xml:space="preserve"> from other similar slavery practices that are not of a sexual nature. Also, the element of slavery is determinant to differentiate </w:t>
      </w:r>
      <w:r w:rsidR="0049633C" w:rsidRPr="009D52FD">
        <w:rPr>
          <w:sz w:val="20"/>
          <w:szCs w:val="20"/>
          <w:lang w:val="en-US"/>
        </w:rPr>
        <w:t xml:space="preserve">such </w:t>
      </w:r>
      <w:r w:rsidR="00C139D2" w:rsidRPr="009D52FD">
        <w:rPr>
          <w:sz w:val="20"/>
          <w:szCs w:val="20"/>
          <w:lang w:val="en-US"/>
        </w:rPr>
        <w:t xml:space="preserve">acts from other forms of sexual violence. The identification of such conducts as a form of slavery makes all the obligations associated with the nature </w:t>
      </w:r>
      <w:r w:rsidR="00C139D2" w:rsidRPr="009D52FD">
        <w:rPr>
          <w:i/>
          <w:sz w:val="20"/>
          <w:szCs w:val="20"/>
          <w:lang w:val="en-US"/>
        </w:rPr>
        <w:t>jus cogens</w:t>
      </w:r>
      <w:r w:rsidR="00C139D2" w:rsidRPr="009D52FD">
        <w:rPr>
          <w:sz w:val="20"/>
          <w:szCs w:val="20"/>
          <w:lang w:val="en-US"/>
        </w:rPr>
        <w:t xml:space="preserve"> of its prohibition applicable; that is, the absolute and non-derogable nature of those obligations.</w:t>
      </w:r>
      <w:r w:rsidR="009E4F6C" w:rsidRPr="009D52FD">
        <w:rPr>
          <w:sz w:val="20"/>
          <w:szCs w:val="20"/>
          <w:vertAlign w:val="superscript"/>
          <w:lang w:val="en-US"/>
        </w:rPr>
        <w:footnoteReference w:id="259"/>
      </w:r>
    </w:p>
    <w:p w14:paraId="73E57618" w14:textId="77777777" w:rsidR="009E4F6C" w:rsidRPr="009D52FD" w:rsidRDefault="009E4F6C" w:rsidP="009E4F6C">
      <w:pPr>
        <w:tabs>
          <w:tab w:val="left" w:pos="567"/>
        </w:tabs>
        <w:spacing w:line="240" w:lineRule="auto"/>
        <w:rPr>
          <w:sz w:val="20"/>
          <w:szCs w:val="20"/>
          <w:lang w:val="en-US"/>
        </w:rPr>
      </w:pPr>
    </w:p>
    <w:p w14:paraId="3F7E3684" w14:textId="1D096CC3" w:rsidR="000F4E9F" w:rsidRPr="009D52FD" w:rsidRDefault="00844B97" w:rsidP="000F4E9F">
      <w:pPr>
        <w:numPr>
          <w:ilvl w:val="0"/>
          <w:numId w:val="1"/>
        </w:numPr>
        <w:tabs>
          <w:tab w:val="left" w:pos="567"/>
        </w:tabs>
        <w:spacing w:line="240" w:lineRule="auto"/>
        <w:ind w:left="0" w:firstLine="0"/>
        <w:rPr>
          <w:sz w:val="20"/>
          <w:szCs w:val="20"/>
          <w:lang w:val="en-US"/>
        </w:rPr>
      </w:pPr>
      <w:r w:rsidRPr="009D52FD">
        <w:rPr>
          <w:sz w:val="20"/>
          <w:szCs w:val="20"/>
          <w:lang w:val="en-US"/>
        </w:rPr>
        <w:t>The</w:t>
      </w:r>
      <w:r w:rsidR="00C139D2" w:rsidRPr="009D52FD">
        <w:rPr>
          <w:sz w:val="20"/>
          <w:szCs w:val="20"/>
          <w:lang w:val="en-US"/>
        </w:rPr>
        <w:t xml:space="preserve"> United Nations Special Rapporteur on contemporary forms of slavery has conceived </w:t>
      </w:r>
      <w:r w:rsidR="00CE1F61" w:rsidRPr="009D52FD">
        <w:rPr>
          <w:sz w:val="20"/>
          <w:szCs w:val="20"/>
          <w:lang w:val="en-US"/>
        </w:rPr>
        <w:t>sexual slavery</w:t>
      </w:r>
      <w:r w:rsidR="009E4F6C" w:rsidRPr="009D52FD">
        <w:rPr>
          <w:sz w:val="20"/>
          <w:szCs w:val="20"/>
          <w:lang w:val="en-US"/>
        </w:rPr>
        <w:t xml:space="preserve"> </w:t>
      </w:r>
      <w:r w:rsidR="00C139D2" w:rsidRPr="009D52FD">
        <w:rPr>
          <w:sz w:val="20"/>
          <w:szCs w:val="20"/>
          <w:lang w:val="en-US"/>
        </w:rPr>
        <w:t>as a form of slavery when defining this as “the</w:t>
      </w:r>
      <w:r w:rsidR="000A5752" w:rsidRPr="009D52FD">
        <w:rPr>
          <w:sz w:val="20"/>
          <w:szCs w:val="20"/>
          <w:lang w:val="en-US"/>
        </w:rPr>
        <w:t xml:space="preserve"> status or condition of a person over whom any or all of the powers attaching to the right of ownership are exercised, including sexual access through rape or other forms of sexual violence.</w:t>
      </w:r>
      <w:r w:rsidR="009E4F6C" w:rsidRPr="009D52FD">
        <w:rPr>
          <w:sz w:val="20"/>
          <w:szCs w:val="20"/>
          <w:lang w:val="en-US"/>
        </w:rPr>
        <w:t>”</w:t>
      </w:r>
      <w:r w:rsidR="009E4F6C" w:rsidRPr="009D52FD">
        <w:rPr>
          <w:sz w:val="20"/>
          <w:szCs w:val="20"/>
          <w:vertAlign w:val="superscript"/>
          <w:lang w:val="en-US"/>
        </w:rPr>
        <w:footnoteReference w:id="260"/>
      </w:r>
      <w:r w:rsidR="000A5752" w:rsidRPr="009D52FD">
        <w:rPr>
          <w:sz w:val="20"/>
          <w:szCs w:val="20"/>
          <w:lang w:val="en-US"/>
        </w:rPr>
        <w:t xml:space="preserve"> In this regard, she asserted that the adjective “sexual” stressed the element of sexual violence in the exercise of the powers attaching to the right of ownership of a person, so that the “limitations </w:t>
      </w:r>
      <w:r w:rsidR="004218C2" w:rsidRPr="009D52FD">
        <w:rPr>
          <w:sz w:val="20"/>
          <w:szCs w:val="20"/>
          <w:lang w:val="en-US"/>
        </w:rPr>
        <w:t xml:space="preserve">on autonomy, [and the] power to decide matters relating to one’s sexual activity” and bodily integrity were determinant factors of a situation of </w:t>
      </w:r>
      <w:r w:rsidR="00CE1F61" w:rsidRPr="009D52FD">
        <w:rPr>
          <w:bCs/>
          <w:sz w:val="20"/>
          <w:szCs w:val="20"/>
          <w:lang w:val="en-US"/>
        </w:rPr>
        <w:t>sexual slavery</w:t>
      </w:r>
      <w:r w:rsidR="000F4E9F" w:rsidRPr="009D52FD">
        <w:rPr>
          <w:bCs/>
          <w:sz w:val="20"/>
          <w:szCs w:val="20"/>
          <w:lang w:val="en-US"/>
        </w:rPr>
        <w:t>.</w:t>
      </w:r>
      <w:r w:rsidR="009E4F6C" w:rsidRPr="009D52FD">
        <w:rPr>
          <w:sz w:val="20"/>
          <w:szCs w:val="20"/>
          <w:vertAlign w:val="superscript"/>
          <w:lang w:val="en-US"/>
        </w:rPr>
        <w:footnoteReference w:id="261"/>
      </w:r>
    </w:p>
    <w:p w14:paraId="0F04FE30" w14:textId="77777777" w:rsidR="000F4E9F" w:rsidRPr="009D52FD" w:rsidRDefault="000F4E9F" w:rsidP="000F4E9F">
      <w:pPr>
        <w:tabs>
          <w:tab w:val="left" w:pos="567"/>
        </w:tabs>
        <w:spacing w:line="240" w:lineRule="auto"/>
        <w:rPr>
          <w:sz w:val="20"/>
          <w:szCs w:val="20"/>
          <w:lang w:val="en-US"/>
        </w:rPr>
      </w:pPr>
    </w:p>
    <w:p w14:paraId="40C570C3" w14:textId="660B4AE8" w:rsidR="009E4F6C" w:rsidRPr="009D52FD" w:rsidRDefault="004218C2" w:rsidP="004218C2">
      <w:pPr>
        <w:numPr>
          <w:ilvl w:val="0"/>
          <w:numId w:val="1"/>
        </w:numPr>
        <w:tabs>
          <w:tab w:val="left" w:pos="567"/>
        </w:tabs>
        <w:spacing w:line="240" w:lineRule="auto"/>
        <w:ind w:left="0" w:firstLine="0"/>
        <w:rPr>
          <w:sz w:val="20"/>
          <w:szCs w:val="20"/>
          <w:lang w:val="en-US"/>
        </w:rPr>
      </w:pPr>
      <w:r w:rsidRPr="009D52FD">
        <w:rPr>
          <w:sz w:val="20"/>
          <w:szCs w:val="20"/>
          <w:lang w:val="en-US"/>
        </w:rPr>
        <w:t>In this understanding, the Court interprets that</w:t>
      </w:r>
      <w:r w:rsidR="009E4F6C" w:rsidRPr="009D52FD">
        <w:rPr>
          <w:sz w:val="20"/>
          <w:szCs w:val="20"/>
          <w:lang w:val="en-US"/>
        </w:rPr>
        <w:t xml:space="preserve"> </w:t>
      </w:r>
      <w:r w:rsidR="00CE1F61" w:rsidRPr="009D52FD">
        <w:rPr>
          <w:sz w:val="20"/>
          <w:szCs w:val="20"/>
          <w:lang w:val="en-US"/>
        </w:rPr>
        <w:t>sexual slavery</w:t>
      </w:r>
      <w:r w:rsidR="009E4F6C" w:rsidRPr="009D52FD">
        <w:rPr>
          <w:sz w:val="20"/>
          <w:szCs w:val="20"/>
          <w:lang w:val="en-US"/>
        </w:rPr>
        <w:t xml:space="preserve">, </w:t>
      </w:r>
      <w:r w:rsidRPr="009D52FD">
        <w:rPr>
          <w:sz w:val="20"/>
          <w:szCs w:val="20"/>
          <w:lang w:val="en-US"/>
        </w:rPr>
        <w:t xml:space="preserve">as a human rights violation, is included in the prohibition </w:t>
      </w:r>
      <w:r w:rsidR="00D32B3E" w:rsidRPr="009D52FD">
        <w:rPr>
          <w:sz w:val="20"/>
          <w:szCs w:val="20"/>
          <w:lang w:val="en-US"/>
        </w:rPr>
        <w:t>of Article</w:t>
      </w:r>
      <w:r w:rsidR="009E4F6C" w:rsidRPr="009D52FD">
        <w:rPr>
          <w:sz w:val="20"/>
          <w:szCs w:val="20"/>
          <w:lang w:val="en-US"/>
        </w:rPr>
        <w:t xml:space="preserve"> 6</w:t>
      </w:r>
      <w:r w:rsidR="003630BB" w:rsidRPr="009D52FD">
        <w:rPr>
          <w:sz w:val="20"/>
          <w:szCs w:val="20"/>
          <w:lang w:val="en-US"/>
        </w:rPr>
        <w:t xml:space="preserve"> of the Convention</w:t>
      </w:r>
      <w:r w:rsidR="009E4F6C" w:rsidRPr="009D52FD">
        <w:rPr>
          <w:sz w:val="20"/>
          <w:szCs w:val="20"/>
          <w:lang w:val="en-US"/>
        </w:rPr>
        <w:t xml:space="preserve">. </w:t>
      </w:r>
      <w:r w:rsidRPr="009D52FD">
        <w:rPr>
          <w:sz w:val="20"/>
          <w:szCs w:val="20"/>
          <w:lang w:val="en-US"/>
        </w:rPr>
        <w:t>And this is regardless of the existence of a specific context. In addition, the Court has asserted that “</w:t>
      </w:r>
      <w:r w:rsidRPr="009D52FD">
        <w:rPr>
          <w:rFonts w:cs="Arial"/>
          <w:sz w:val="20"/>
          <w:szCs w:val="20"/>
          <w:lang w:val="en-US"/>
        </w:rPr>
        <w:t>when a situation of slavery is verified, there has been a substantial restriction of the juridical personality of the individual concerned and it could also include violations of the rights to personal integrity, personal liberty and dignity, depending on the specific circumstances of each case</w:t>
      </w:r>
      <w:r w:rsidR="000F4E9F" w:rsidRPr="009D52FD">
        <w:rPr>
          <w:sz w:val="20"/>
          <w:szCs w:val="20"/>
          <w:lang w:val="en-US"/>
        </w:rPr>
        <w:t>.</w:t>
      </w:r>
      <w:r w:rsidR="009E4F6C" w:rsidRPr="009D52FD">
        <w:rPr>
          <w:sz w:val="20"/>
          <w:szCs w:val="20"/>
          <w:lang w:val="en-US"/>
        </w:rPr>
        <w:t>”</w:t>
      </w:r>
      <w:r w:rsidR="009E4F6C" w:rsidRPr="009D52FD">
        <w:rPr>
          <w:sz w:val="20"/>
          <w:szCs w:val="20"/>
          <w:vertAlign w:val="superscript"/>
          <w:lang w:val="en-US"/>
        </w:rPr>
        <w:footnoteReference w:id="262"/>
      </w:r>
      <w:r w:rsidR="000F4E9F" w:rsidRPr="009D52FD">
        <w:rPr>
          <w:sz w:val="20"/>
          <w:szCs w:val="20"/>
          <w:lang w:val="en-US"/>
        </w:rPr>
        <w:t xml:space="preserve"> In th</w:t>
      </w:r>
      <w:r w:rsidR="00844B97" w:rsidRPr="009D52FD">
        <w:rPr>
          <w:sz w:val="20"/>
          <w:szCs w:val="20"/>
          <w:lang w:val="en-US"/>
        </w:rPr>
        <w:t>e instant</w:t>
      </w:r>
      <w:r w:rsidR="000F4E9F" w:rsidRPr="009D52FD">
        <w:rPr>
          <w:sz w:val="20"/>
          <w:szCs w:val="20"/>
          <w:lang w:val="en-US"/>
        </w:rPr>
        <w:t xml:space="preserve"> case, the Court understands that </w:t>
      </w:r>
      <w:r w:rsidR="009E4F6C" w:rsidRPr="009D52FD">
        <w:rPr>
          <w:sz w:val="20"/>
          <w:szCs w:val="20"/>
          <w:lang w:val="en-US"/>
        </w:rPr>
        <w:t xml:space="preserve"> </w:t>
      </w:r>
      <w:r w:rsidR="000F4E9F" w:rsidRPr="009D52FD">
        <w:rPr>
          <w:sz w:val="20"/>
          <w:szCs w:val="20"/>
          <w:lang w:val="en-US"/>
        </w:rPr>
        <w:t>in addition to</w:t>
      </w:r>
      <w:r w:rsidR="009E4F6C" w:rsidRPr="009D52FD">
        <w:rPr>
          <w:sz w:val="20"/>
          <w:szCs w:val="20"/>
          <w:lang w:val="en-US"/>
        </w:rPr>
        <w:t xml:space="preserve"> </w:t>
      </w:r>
      <w:r w:rsidR="003630BB" w:rsidRPr="009D52FD">
        <w:rPr>
          <w:sz w:val="20"/>
          <w:szCs w:val="20"/>
          <w:lang w:val="en-US"/>
        </w:rPr>
        <w:t>Articles</w:t>
      </w:r>
      <w:r w:rsidR="009E4F6C" w:rsidRPr="009D52FD">
        <w:rPr>
          <w:sz w:val="20"/>
          <w:szCs w:val="20"/>
          <w:lang w:val="en-US"/>
        </w:rPr>
        <w:t xml:space="preserve"> 3</w:t>
      </w:r>
      <w:r w:rsidR="002A5715" w:rsidRPr="009D52FD">
        <w:rPr>
          <w:sz w:val="20"/>
          <w:szCs w:val="20"/>
          <w:lang w:val="en-US"/>
        </w:rPr>
        <w:t>,</w:t>
      </w:r>
      <w:r w:rsidR="009E4F6C" w:rsidRPr="009D52FD">
        <w:rPr>
          <w:sz w:val="20"/>
          <w:szCs w:val="20"/>
          <w:lang w:val="en-US"/>
        </w:rPr>
        <w:t xml:space="preserve"> 7</w:t>
      </w:r>
      <w:r w:rsidR="003630BB" w:rsidRPr="009D52FD">
        <w:rPr>
          <w:sz w:val="20"/>
          <w:szCs w:val="20"/>
          <w:lang w:val="en-US"/>
        </w:rPr>
        <w:t xml:space="preserve"> and </w:t>
      </w:r>
      <w:r w:rsidR="002A5715" w:rsidRPr="009D52FD">
        <w:rPr>
          <w:sz w:val="20"/>
          <w:szCs w:val="20"/>
          <w:lang w:val="en-US"/>
        </w:rPr>
        <w:t>22</w:t>
      </w:r>
      <w:r w:rsidR="000F4E9F" w:rsidRPr="009D52FD">
        <w:rPr>
          <w:sz w:val="20"/>
          <w:szCs w:val="20"/>
          <w:lang w:val="en-US"/>
        </w:rPr>
        <w:t xml:space="preserve"> of the Convention</w:t>
      </w:r>
      <w:r w:rsidR="009E4F6C" w:rsidRPr="009D52FD">
        <w:rPr>
          <w:sz w:val="20"/>
          <w:szCs w:val="20"/>
          <w:lang w:val="en-US"/>
        </w:rPr>
        <w:t xml:space="preserve">, </w:t>
      </w:r>
      <w:r w:rsidR="003630BB" w:rsidRPr="009D52FD">
        <w:rPr>
          <w:sz w:val="20"/>
          <w:szCs w:val="20"/>
          <w:lang w:val="en-US"/>
        </w:rPr>
        <w:t>Articles</w:t>
      </w:r>
      <w:r w:rsidR="009E4F6C" w:rsidRPr="009D52FD">
        <w:rPr>
          <w:sz w:val="20"/>
          <w:szCs w:val="20"/>
          <w:lang w:val="en-US"/>
        </w:rPr>
        <w:t xml:space="preserve"> 5</w:t>
      </w:r>
      <w:r w:rsidR="003630BB" w:rsidRPr="009D52FD">
        <w:rPr>
          <w:sz w:val="20"/>
          <w:szCs w:val="20"/>
          <w:lang w:val="en-US"/>
        </w:rPr>
        <w:t xml:space="preserve"> and </w:t>
      </w:r>
      <w:r w:rsidR="009E4F6C" w:rsidRPr="009D52FD">
        <w:rPr>
          <w:sz w:val="20"/>
          <w:szCs w:val="20"/>
          <w:lang w:val="en-US"/>
        </w:rPr>
        <w:t>11</w:t>
      </w:r>
      <w:r w:rsidR="003630BB" w:rsidRPr="009D52FD">
        <w:rPr>
          <w:sz w:val="20"/>
          <w:szCs w:val="20"/>
          <w:lang w:val="en-US"/>
        </w:rPr>
        <w:t xml:space="preserve"> </w:t>
      </w:r>
      <w:r w:rsidR="000F4E9F" w:rsidRPr="009D52FD">
        <w:rPr>
          <w:sz w:val="20"/>
          <w:szCs w:val="20"/>
          <w:lang w:val="en-US"/>
        </w:rPr>
        <w:t>of this instrument are relevant because there is an intrinsic connection between physical and psychological integrity and personal autonomy and the freedom to decide matters relating to one’s own body and sexuality.</w:t>
      </w:r>
      <w:r w:rsidR="009E4F6C" w:rsidRPr="009D52FD">
        <w:rPr>
          <w:sz w:val="20"/>
          <w:szCs w:val="20"/>
          <w:vertAlign w:val="superscript"/>
          <w:lang w:val="en-US"/>
        </w:rPr>
        <w:footnoteReference w:id="263"/>
      </w:r>
      <w:r w:rsidR="009E4F6C" w:rsidRPr="009D52FD">
        <w:rPr>
          <w:sz w:val="20"/>
          <w:szCs w:val="20"/>
          <w:lang w:val="en-US"/>
        </w:rPr>
        <w:t xml:space="preserve"> </w:t>
      </w:r>
      <w:r w:rsidR="00470AFF" w:rsidRPr="009D52FD">
        <w:rPr>
          <w:sz w:val="20"/>
          <w:szCs w:val="20"/>
          <w:lang w:val="en-US"/>
        </w:rPr>
        <w:t>In this regard, expert witness</w:t>
      </w:r>
      <w:r w:rsidR="009E4F6C" w:rsidRPr="009D52FD">
        <w:rPr>
          <w:sz w:val="20"/>
          <w:szCs w:val="20"/>
          <w:lang w:val="en-US"/>
        </w:rPr>
        <w:t xml:space="preserve"> Kravetz </w:t>
      </w:r>
      <w:r w:rsidR="00470AFF" w:rsidRPr="009D52FD">
        <w:rPr>
          <w:sz w:val="20"/>
          <w:szCs w:val="20"/>
          <w:lang w:val="en-US"/>
        </w:rPr>
        <w:t>stated that</w:t>
      </w:r>
      <w:r w:rsidR="009E4F6C" w:rsidRPr="009D52FD">
        <w:rPr>
          <w:sz w:val="20"/>
          <w:szCs w:val="20"/>
          <w:lang w:val="en-US"/>
        </w:rPr>
        <w:t xml:space="preserve"> “[i]mp</w:t>
      </w:r>
      <w:r w:rsidR="00470AFF" w:rsidRPr="009D52FD">
        <w:rPr>
          <w:sz w:val="20"/>
          <w:szCs w:val="20"/>
          <w:lang w:val="en-US"/>
        </w:rPr>
        <w:t>licit in a situation of</w:t>
      </w:r>
      <w:r w:rsidR="009E4F6C" w:rsidRPr="009D52FD">
        <w:rPr>
          <w:sz w:val="20"/>
          <w:szCs w:val="20"/>
          <w:lang w:val="en-US"/>
        </w:rPr>
        <w:t xml:space="preserve"> </w:t>
      </w:r>
      <w:r w:rsidR="00CE1F61" w:rsidRPr="009D52FD">
        <w:rPr>
          <w:sz w:val="20"/>
          <w:szCs w:val="20"/>
          <w:lang w:val="en-US"/>
        </w:rPr>
        <w:t>sexual slavery</w:t>
      </w:r>
      <w:r w:rsidR="009E4F6C" w:rsidRPr="009D52FD">
        <w:rPr>
          <w:sz w:val="20"/>
          <w:szCs w:val="20"/>
          <w:lang w:val="en-US"/>
        </w:rPr>
        <w:t xml:space="preserve"> </w:t>
      </w:r>
      <w:r w:rsidR="00470AFF" w:rsidRPr="009D52FD">
        <w:rPr>
          <w:sz w:val="20"/>
          <w:szCs w:val="20"/>
          <w:lang w:val="en-US"/>
        </w:rPr>
        <w:t xml:space="preserve">are limitations to </w:t>
      </w:r>
      <w:r w:rsidR="00AE580F" w:rsidRPr="009D52FD">
        <w:rPr>
          <w:sz w:val="20"/>
          <w:szCs w:val="20"/>
          <w:lang w:val="en-US"/>
        </w:rPr>
        <w:t>autonomy</w:t>
      </w:r>
      <w:r w:rsidR="009E4F6C" w:rsidRPr="009D52FD">
        <w:rPr>
          <w:sz w:val="20"/>
          <w:szCs w:val="20"/>
          <w:lang w:val="en-US"/>
        </w:rPr>
        <w:t>,</w:t>
      </w:r>
      <w:r w:rsidR="00470AFF" w:rsidRPr="009D52FD">
        <w:rPr>
          <w:sz w:val="20"/>
          <w:szCs w:val="20"/>
          <w:lang w:val="en-US"/>
        </w:rPr>
        <w:t xml:space="preserve"> freedom of movement, and the power to decide matters relating to one’s own physical autonomy and sexual activity.</w:t>
      </w:r>
      <w:r w:rsidR="009E4F6C" w:rsidRPr="009D52FD">
        <w:rPr>
          <w:sz w:val="20"/>
          <w:szCs w:val="20"/>
          <w:lang w:val="en-US"/>
        </w:rPr>
        <w:t>”</w:t>
      </w:r>
      <w:r w:rsidR="009E4F6C" w:rsidRPr="009D52FD">
        <w:rPr>
          <w:sz w:val="20"/>
          <w:szCs w:val="20"/>
          <w:vertAlign w:val="superscript"/>
          <w:lang w:val="en-US"/>
        </w:rPr>
        <w:footnoteReference w:id="264"/>
      </w:r>
    </w:p>
    <w:p w14:paraId="7183BE2E" w14:textId="77777777" w:rsidR="009E4F6C" w:rsidRPr="009D52FD" w:rsidRDefault="009E4F6C" w:rsidP="009E4F6C">
      <w:pPr>
        <w:tabs>
          <w:tab w:val="left" w:pos="567"/>
        </w:tabs>
        <w:spacing w:line="240" w:lineRule="auto"/>
        <w:rPr>
          <w:sz w:val="20"/>
          <w:szCs w:val="20"/>
          <w:lang w:val="en-US"/>
        </w:rPr>
      </w:pPr>
    </w:p>
    <w:p w14:paraId="3459B294" w14:textId="234EE367" w:rsidR="001759CB" w:rsidRPr="009D52FD" w:rsidRDefault="00470AFF" w:rsidP="003C5989">
      <w:pPr>
        <w:numPr>
          <w:ilvl w:val="0"/>
          <w:numId w:val="1"/>
        </w:numPr>
        <w:tabs>
          <w:tab w:val="left" w:pos="567"/>
        </w:tabs>
        <w:spacing w:line="240" w:lineRule="auto"/>
        <w:ind w:left="0" w:firstLine="0"/>
        <w:rPr>
          <w:sz w:val="20"/>
          <w:szCs w:val="20"/>
          <w:lang w:val="en-US"/>
        </w:rPr>
      </w:pPr>
      <w:r w:rsidRPr="009D52FD">
        <w:rPr>
          <w:sz w:val="20"/>
          <w:szCs w:val="20"/>
          <w:lang w:val="en-US"/>
        </w:rPr>
        <w:t>That said</w:t>
      </w:r>
      <w:r w:rsidR="002A5715" w:rsidRPr="009D52FD">
        <w:rPr>
          <w:sz w:val="20"/>
          <w:szCs w:val="20"/>
          <w:lang w:val="en-US"/>
        </w:rPr>
        <w:t>,</w:t>
      </w:r>
      <w:r w:rsidR="009E4F6C" w:rsidRPr="009D52FD">
        <w:rPr>
          <w:sz w:val="20"/>
          <w:szCs w:val="20"/>
          <w:lang w:val="en-US"/>
        </w:rPr>
        <w:t xml:space="preserve"> </w:t>
      </w:r>
      <w:r w:rsidR="003630BB" w:rsidRPr="009D52FD">
        <w:rPr>
          <w:sz w:val="20"/>
          <w:szCs w:val="20"/>
          <w:lang w:val="en-US"/>
        </w:rPr>
        <w:t>the Court</w:t>
      </w:r>
      <w:r w:rsidR="009E4F6C" w:rsidRPr="009D52FD">
        <w:rPr>
          <w:sz w:val="20"/>
          <w:szCs w:val="20"/>
          <w:lang w:val="en-US"/>
        </w:rPr>
        <w:t xml:space="preserve"> consider</w:t>
      </w:r>
      <w:r w:rsidR="001759CB" w:rsidRPr="009D52FD">
        <w:rPr>
          <w:sz w:val="20"/>
          <w:szCs w:val="20"/>
          <w:lang w:val="en-US"/>
        </w:rPr>
        <w:t xml:space="preserve">s that, to categorize a situation as </w:t>
      </w:r>
      <w:r w:rsidR="00CE1F61" w:rsidRPr="009D52FD">
        <w:rPr>
          <w:sz w:val="20"/>
          <w:szCs w:val="20"/>
          <w:lang w:val="en-US"/>
        </w:rPr>
        <w:t>sexual slavery</w:t>
      </w:r>
      <w:r w:rsidR="001759CB" w:rsidRPr="009D52FD">
        <w:rPr>
          <w:sz w:val="20"/>
          <w:szCs w:val="20"/>
          <w:lang w:val="en-US"/>
        </w:rPr>
        <w:t xml:space="preserve">, the following </w:t>
      </w:r>
      <w:r w:rsidR="001759CB" w:rsidRPr="009D52FD">
        <w:rPr>
          <w:sz w:val="20"/>
          <w:szCs w:val="20"/>
          <w:lang w:val="en-US"/>
        </w:rPr>
        <w:lastRenderedPageBreak/>
        <w:t>two elements must be verified: (i) the exercise of the powers attaching to the right of ownership of a person, and (ii) the existence of acts of a sexual nature that restrict or obliterate that person’s sexual autonomy.</w:t>
      </w:r>
    </w:p>
    <w:p w14:paraId="0A540C34" w14:textId="77777777" w:rsidR="009E4F6C" w:rsidRPr="009D52FD" w:rsidRDefault="009E4F6C" w:rsidP="009E4F6C">
      <w:pPr>
        <w:tabs>
          <w:tab w:val="left" w:pos="567"/>
        </w:tabs>
        <w:spacing w:line="240" w:lineRule="auto"/>
        <w:rPr>
          <w:sz w:val="20"/>
          <w:szCs w:val="20"/>
          <w:lang w:val="en-US"/>
        </w:rPr>
      </w:pPr>
    </w:p>
    <w:p w14:paraId="314101A8" w14:textId="0505A9AB" w:rsidR="008F5C5C" w:rsidRPr="009D52FD" w:rsidRDefault="003630BB" w:rsidP="001759CB">
      <w:pPr>
        <w:numPr>
          <w:ilvl w:val="0"/>
          <w:numId w:val="1"/>
        </w:numPr>
        <w:tabs>
          <w:tab w:val="left" w:pos="567"/>
        </w:tabs>
        <w:spacing w:line="240" w:lineRule="auto"/>
        <w:ind w:left="0" w:firstLine="0"/>
        <w:rPr>
          <w:sz w:val="20"/>
          <w:szCs w:val="20"/>
          <w:lang w:val="en-US"/>
        </w:rPr>
      </w:pPr>
      <w:r w:rsidRPr="009D52FD">
        <w:rPr>
          <w:sz w:val="20"/>
          <w:szCs w:val="20"/>
          <w:lang w:val="en-US"/>
        </w:rPr>
        <w:t>The Court</w:t>
      </w:r>
      <w:r w:rsidR="009E4F6C" w:rsidRPr="009D52FD">
        <w:rPr>
          <w:sz w:val="20"/>
          <w:szCs w:val="20"/>
          <w:lang w:val="en-US"/>
        </w:rPr>
        <w:t xml:space="preserve"> </w:t>
      </w:r>
      <w:r w:rsidR="001759CB" w:rsidRPr="009D52FD">
        <w:rPr>
          <w:sz w:val="20"/>
          <w:szCs w:val="20"/>
          <w:lang w:val="en-US"/>
        </w:rPr>
        <w:t>has verified that, in this case, from the time the aggressor deprive</w:t>
      </w:r>
      <w:r w:rsidR="00844B97" w:rsidRPr="009D52FD">
        <w:rPr>
          <w:sz w:val="20"/>
          <w:szCs w:val="20"/>
          <w:lang w:val="en-US"/>
        </w:rPr>
        <w:t>d</w:t>
      </w:r>
      <w:r w:rsidR="001759CB" w:rsidRPr="009D52FD">
        <w:rPr>
          <w:sz w:val="20"/>
          <w:szCs w:val="20"/>
          <w:lang w:val="en-US"/>
        </w:rPr>
        <w:t xml:space="preserve"> Linda Loaiza of liberty until her rescue, he had total control over her movements and autonomy. In particular, it has been established that he kept her tied up or handcuffed</w:t>
      </w:r>
      <w:r w:rsidR="00844B97" w:rsidRPr="009D52FD">
        <w:rPr>
          <w:sz w:val="20"/>
          <w:szCs w:val="20"/>
          <w:lang w:val="en-US"/>
        </w:rPr>
        <w:t>,</w:t>
      </w:r>
      <w:r w:rsidR="001759CB" w:rsidRPr="009D52FD">
        <w:rPr>
          <w:sz w:val="20"/>
          <w:szCs w:val="20"/>
          <w:lang w:val="en-US"/>
        </w:rPr>
        <w:t xml:space="preserve"> a</w:t>
      </w:r>
      <w:r w:rsidR="00844B97" w:rsidRPr="009D52FD">
        <w:rPr>
          <w:sz w:val="20"/>
          <w:szCs w:val="20"/>
          <w:lang w:val="en-US"/>
        </w:rPr>
        <w:t>s well as</w:t>
      </w:r>
      <w:r w:rsidR="001759CB" w:rsidRPr="009D52FD">
        <w:rPr>
          <w:sz w:val="20"/>
          <w:szCs w:val="20"/>
          <w:lang w:val="en-US"/>
        </w:rPr>
        <w:t xml:space="preserve"> locked up in the different places to which she was transferred.</w:t>
      </w:r>
      <w:r w:rsidR="001759CB" w:rsidRPr="009D52FD">
        <w:rPr>
          <w:sz w:val="20"/>
          <w:szCs w:val="20"/>
          <w:vertAlign w:val="superscript"/>
          <w:lang w:val="en-US"/>
        </w:rPr>
        <w:footnoteReference w:id="265"/>
      </w:r>
      <w:r w:rsidR="001759CB" w:rsidRPr="009D52FD">
        <w:rPr>
          <w:sz w:val="20"/>
          <w:szCs w:val="20"/>
          <w:lang w:val="en-US"/>
        </w:rPr>
        <w:t xml:space="preserve"> This was so much so that, at the time of her rescue, the police agents and members of the fire department had to climb up to the apartment, and then ask the owner for the key in order to enter it; they also found handcuffs in the apartment. In addition, to the physical control,</w:t>
      </w:r>
      <w:r w:rsidR="001759CB" w:rsidRPr="009D52FD">
        <w:rPr>
          <w:sz w:val="20"/>
          <w:szCs w:val="20"/>
          <w:vertAlign w:val="superscript"/>
          <w:lang w:val="en-US"/>
        </w:rPr>
        <w:footnoteReference w:id="266"/>
      </w:r>
      <w:r w:rsidR="001759CB" w:rsidRPr="009D52FD">
        <w:rPr>
          <w:sz w:val="20"/>
          <w:szCs w:val="20"/>
          <w:lang w:val="en-US"/>
        </w:rPr>
        <w:t xml:space="preserve"> the Court has verified that the aggressor threatened her constantly and stressed his power owing to his political and social position.</w:t>
      </w:r>
      <w:r w:rsidR="009E4F6C" w:rsidRPr="009D52FD">
        <w:rPr>
          <w:sz w:val="20"/>
          <w:szCs w:val="20"/>
          <w:vertAlign w:val="superscript"/>
          <w:lang w:val="en-US"/>
        </w:rPr>
        <w:footnoteReference w:id="267"/>
      </w:r>
      <w:r w:rsidR="001759CB" w:rsidRPr="009D52FD">
        <w:rPr>
          <w:sz w:val="20"/>
          <w:szCs w:val="20"/>
          <w:lang w:val="en-US"/>
        </w:rPr>
        <w:t xml:space="preserve"> This exercise of </w:t>
      </w:r>
      <w:r w:rsidR="008F5C5C" w:rsidRPr="009D52FD">
        <w:rPr>
          <w:sz w:val="20"/>
          <w:szCs w:val="20"/>
          <w:lang w:val="en-US"/>
        </w:rPr>
        <w:t>power</w:t>
      </w:r>
      <w:r w:rsidR="001759CB" w:rsidRPr="009D52FD">
        <w:rPr>
          <w:sz w:val="20"/>
          <w:szCs w:val="20"/>
          <w:lang w:val="en-US"/>
        </w:rPr>
        <w:t xml:space="preserve"> by the aggressor </w:t>
      </w:r>
      <w:r w:rsidR="008F5C5C" w:rsidRPr="009D52FD">
        <w:rPr>
          <w:sz w:val="20"/>
          <w:szCs w:val="20"/>
          <w:lang w:val="en-US"/>
        </w:rPr>
        <w:t>was manifested not only in control over her movement, but also in every aspect of her life, including the food she ate, her visits to the bathroom to relieve herself, and her sexuality, which resulted in a situation of absolute helplessness. In addition, the use of extreme violence</w:t>
      </w:r>
      <w:r w:rsidR="009E4F6C" w:rsidRPr="009D52FD">
        <w:rPr>
          <w:sz w:val="20"/>
          <w:szCs w:val="20"/>
          <w:vertAlign w:val="superscript"/>
          <w:lang w:val="en-US"/>
        </w:rPr>
        <w:footnoteReference w:id="268"/>
      </w:r>
      <w:r w:rsidR="009E4F6C" w:rsidRPr="009D52FD">
        <w:rPr>
          <w:sz w:val="20"/>
          <w:szCs w:val="20"/>
          <w:lang w:val="en-US"/>
        </w:rPr>
        <w:t xml:space="preserve"> </w:t>
      </w:r>
      <w:r w:rsidR="008F5C5C" w:rsidRPr="009D52FD">
        <w:rPr>
          <w:sz w:val="20"/>
          <w:szCs w:val="20"/>
          <w:lang w:val="en-US"/>
        </w:rPr>
        <w:t>and</w:t>
      </w:r>
      <w:r w:rsidR="009E4F6C" w:rsidRPr="009D52FD">
        <w:rPr>
          <w:sz w:val="20"/>
          <w:szCs w:val="20"/>
          <w:lang w:val="en-US"/>
        </w:rPr>
        <w:t xml:space="preserve">, </w:t>
      </w:r>
      <w:r w:rsidR="008F5C5C" w:rsidRPr="009D52FD">
        <w:rPr>
          <w:sz w:val="20"/>
          <w:szCs w:val="20"/>
          <w:lang w:val="en-US"/>
        </w:rPr>
        <w:t>i</w:t>
      </w:r>
      <w:r w:rsidR="009E4F6C" w:rsidRPr="009D52FD">
        <w:rPr>
          <w:sz w:val="20"/>
          <w:szCs w:val="20"/>
          <w:lang w:val="en-US"/>
        </w:rPr>
        <w:t>n particular</w:t>
      </w:r>
      <w:r w:rsidR="008F5C5C" w:rsidRPr="009D52FD">
        <w:rPr>
          <w:sz w:val="20"/>
          <w:szCs w:val="20"/>
          <w:lang w:val="en-US"/>
        </w:rPr>
        <w:t xml:space="preserve"> repeated acts of sexual violence,</w:t>
      </w:r>
      <w:r w:rsidR="009E4F6C" w:rsidRPr="009D52FD">
        <w:rPr>
          <w:sz w:val="20"/>
          <w:szCs w:val="20"/>
          <w:vertAlign w:val="superscript"/>
          <w:lang w:val="en-US"/>
        </w:rPr>
        <w:footnoteReference w:id="269"/>
      </w:r>
      <w:r w:rsidR="009E4F6C" w:rsidRPr="009D52FD">
        <w:rPr>
          <w:sz w:val="20"/>
          <w:szCs w:val="20"/>
          <w:lang w:val="en-US"/>
        </w:rPr>
        <w:t xml:space="preserve"> denot</w:t>
      </w:r>
      <w:r w:rsidR="008F5C5C" w:rsidRPr="009D52FD">
        <w:rPr>
          <w:sz w:val="20"/>
          <w:szCs w:val="20"/>
          <w:lang w:val="en-US"/>
        </w:rPr>
        <w:t xml:space="preserve">ed a special </w:t>
      </w:r>
      <w:r w:rsidR="00844B97" w:rsidRPr="009D52FD">
        <w:rPr>
          <w:sz w:val="20"/>
          <w:szCs w:val="20"/>
          <w:lang w:val="en-US"/>
        </w:rPr>
        <w:t>cruelty</w:t>
      </w:r>
      <w:r w:rsidR="008F5C5C" w:rsidRPr="009D52FD">
        <w:rPr>
          <w:sz w:val="20"/>
          <w:szCs w:val="20"/>
          <w:lang w:val="en-US"/>
        </w:rPr>
        <w:t xml:space="preserve"> by the aggressor, which led to the obliteration of both the general autonomy and the sexual autonomy of the victim. The sexual violence included physical, verbal and psychological abuse addressed at the sexual characteristics of Linda Loaiza, such as obliging her to be naked or burning her nipples, as well as extremely humiliating acts such as forcing her to watch pornography and to recreate the scenes with </w:t>
      </w:r>
      <w:r w:rsidR="00844B97" w:rsidRPr="009D52FD">
        <w:rPr>
          <w:sz w:val="20"/>
          <w:szCs w:val="20"/>
          <w:lang w:val="en-US"/>
        </w:rPr>
        <w:t>her</w:t>
      </w:r>
      <w:r w:rsidR="008F5C5C" w:rsidRPr="009D52FD">
        <w:rPr>
          <w:sz w:val="20"/>
          <w:szCs w:val="20"/>
          <w:lang w:val="en-US"/>
        </w:rPr>
        <w:t xml:space="preserve"> aggressor.</w:t>
      </w:r>
    </w:p>
    <w:p w14:paraId="1BD49A66" w14:textId="77777777" w:rsidR="009E4F6C" w:rsidRPr="009D52FD" w:rsidRDefault="009E4F6C" w:rsidP="009E4F6C">
      <w:pPr>
        <w:tabs>
          <w:tab w:val="left" w:pos="567"/>
        </w:tabs>
        <w:spacing w:line="240" w:lineRule="auto"/>
        <w:rPr>
          <w:sz w:val="20"/>
          <w:szCs w:val="20"/>
          <w:lang w:val="en-US"/>
        </w:rPr>
      </w:pPr>
    </w:p>
    <w:p w14:paraId="4633EA1C" w14:textId="2A60E218" w:rsidR="009E4F6C" w:rsidRPr="009D52FD" w:rsidRDefault="008F5C5C" w:rsidP="008E4D90">
      <w:pPr>
        <w:numPr>
          <w:ilvl w:val="0"/>
          <w:numId w:val="1"/>
        </w:numPr>
        <w:tabs>
          <w:tab w:val="left" w:pos="567"/>
        </w:tabs>
        <w:spacing w:line="240" w:lineRule="auto"/>
        <w:ind w:left="0" w:firstLine="0"/>
        <w:rPr>
          <w:sz w:val="20"/>
          <w:szCs w:val="20"/>
          <w:lang w:val="en-US"/>
        </w:rPr>
      </w:pPr>
      <w:r w:rsidRPr="009D52FD">
        <w:rPr>
          <w:sz w:val="20"/>
          <w:szCs w:val="20"/>
          <w:lang w:val="en-US"/>
        </w:rPr>
        <w:t>In</w:t>
      </w:r>
      <w:r w:rsidR="009E4F6C" w:rsidRPr="009D52FD">
        <w:rPr>
          <w:sz w:val="20"/>
          <w:szCs w:val="20"/>
          <w:lang w:val="en-US"/>
        </w:rPr>
        <w:t xml:space="preserve"> conclusi</w:t>
      </w:r>
      <w:r w:rsidRPr="009D52FD">
        <w:rPr>
          <w:sz w:val="20"/>
          <w:szCs w:val="20"/>
          <w:lang w:val="en-US"/>
        </w:rPr>
        <w:t>o</w:t>
      </w:r>
      <w:r w:rsidR="009E4F6C" w:rsidRPr="009D52FD">
        <w:rPr>
          <w:sz w:val="20"/>
          <w:szCs w:val="20"/>
          <w:lang w:val="en-US"/>
        </w:rPr>
        <w:t>n,</w:t>
      </w:r>
      <w:r w:rsidRPr="009D52FD">
        <w:rPr>
          <w:sz w:val="20"/>
          <w:szCs w:val="20"/>
          <w:lang w:val="en-US"/>
        </w:rPr>
        <w:t xml:space="preserve"> the two essential elements are present in this case, which leads the Court to the conviction that</w:t>
      </w:r>
      <w:r w:rsidR="00844B97" w:rsidRPr="009D52FD">
        <w:rPr>
          <w:sz w:val="20"/>
          <w:szCs w:val="20"/>
          <w:lang w:val="en-US"/>
        </w:rPr>
        <w:t xml:space="preserve"> it is evident that</w:t>
      </w:r>
      <w:r w:rsidRPr="009D52FD">
        <w:rPr>
          <w:sz w:val="20"/>
          <w:szCs w:val="20"/>
          <w:lang w:val="en-US"/>
        </w:rPr>
        <w:t xml:space="preserve"> the aggressor not only exercised the powers attaching to the right of ownership of </w:t>
      </w:r>
      <w:r w:rsidR="009E4F6C" w:rsidRPr="009D52FD">
        <w:rPr>
          <w:sz w:val="20"/>
          <w:szCs w:val="20"/>
          <w:lang w:val="en-US"/>
        </w:rPr>
        <w:t xml:space="preserve">Linda Loaiza, </w:t>
      </w:r>
      <w:r w:rsidR="008E4D90" w:rsidRPr="009D52FD">
        <w:rPr>
          <w:sz w:val="20"/>
          <w:szCs w:val="20"/>
          <w:lang w:val="en-US"/>
        </w:rPr>
        <w:t xml:space="preserve">but also that this was combined with the execution of different acts of </w:t>
      </w:r>
      <w:r w:rsidR="0081578D" w:rsidRPr="009D52FD">
        <w:rPr>
          <w:sz w:val="20"/>
          <w:szCs w:val="20"/>
          <w:lang w:val="en-US"/>
        </w:rPr>
        <w:t>sexual violence</w:t>
      </w:r>
      <w:r w:rsidR="009E4F6C" w:rsidRPr="009D52FD">
        <w:rPr>
          <w:sz w:val="20"/>
          <w:szCs w:val="20"/>
          <w:lang w:val="en-US"/>
        </w:rPr>
        <w:t xml:space="preserve"> </w:t>
      </w:r>
      <w:r w:rsidR="008E4D90" w:rsidRPr="009D52FD">
        <w:rPr>
          <w:sz w:val="20"/>
          <w:szCs w:val="20"/>
          <w:lang w:val="en-US"/>
        </w:rPr>
        <w:t xml:space="preserve">that were constant and of appalling proportions. On this basis, the Court finds it necessary to highlight the “sexual” nature of the slavery exercised in this case and, thus, to </w:t>
      </w:r>
      <w:r w:rsidR="00844B97" w:rsidRPr="009D52FD">
        <w:rPr>
          <w:sz w:val="20"/>
          <w:szCs w:val="20"/>
          <w:lang w:val="en-US"/>
        </w:rPr>
        <w:t>recognize</w:t>
      </w:r>
      <w:r w:rsidR="008E4D90" w:rsidRPr="009D52FD">
        <w:rPr>
          <w:sz w:val="20"/>
          <w:szCs w:val="20"/>
          <w:lang w:val="en-US"/>
        </w:rPr>
        <w:t xml:space="preserve"> this more specific characteristic that disproportionately affects women, because it exacerbates the historic and persistent relations of subordination and domination between men and women. This is why it constitutes a manifestation of discrimination against women that contravenes the strict protection required pursuant to </w:t>
      </w:r>
      <w:r w:rsidR="00D32B3E" w:rsidRPr="009D52FD">
        <w:rPr>
          <w:rFonts w:eastAsiaTheme="minorHAnsi" w:cs="Arial"/>
          <w:sz w:val="20"/>
          <w:szCs w:val="20"/>
          <w:lang w:val="en-US" w:eastAsia="en-US"/>
        </w:rPr>
        <w:t>Article</w:t>
      </w:r>
      <w:r w:rsidR="00483040" w:rsidRPr="009D52FD">
        <w:rPr>
          <w:rFonts w:eastAsiaTheme="minorHAnsi" w:cs="Arial"/>
          <w:sz w:val="20"/>
          <w:szCs w:val="20"/>
          <w:lang w:val="en-US" w:eastAsia="en-US"/>
        </w:rPr>
        <w:t xml:space="preserve"> 1(1)</w:t>
      </w:r>
      <w:r w:rsidR="003630BB" w:rsidRPr="009D52FD">
        <w:rPr>
          <w:rFonts w:eastAsiaTheme="minorHAnsi" w:cs="Arial"/>
          <w:sz w:val="20"/>
          <w:szCs w:val="20"/>
          <w:lang w:val="en-US" w:eastAsia="en-US"/>
        </w:rPr>
        <w:t xml:space="preserve"> of the Convention</w:t>
      </w:r>
      <w:r w:rsidR="00C65AB2" w:rsidRPr="009D52FD">
        <w:rPr>
          <w:rFonts w:eastAsiaTheme="minorHAnsi" w:cs="Arial"/>
          <w:sz w:val="20"/>
          <w:szCs w:val="20"/>
          <w:lang w:val="en-US" w:eastAsia="en-US"/>
        </w:rPr>
        <w:t xml:space="preserve"> </w:t>
      </w:r>
      <w:r w:rsidR="008E4D90" w:rsidRPr="009D52FD">
        <w:rPr>
          <w:rFonts w:eastAsiaTheme="minorHAnsi" w:cs="Arial"/>
          <w:sz w:val="20"/>
          <w:szCs w:val="20"/>
          <w:lang w:val="en-US" w:eastAsia="en-US"/>
        </w:rPr>
        <w:t xml:space="preserve">for reasons of </w:t>
      </w:r>
      <w:r w:rsidR="008E4D90" w:rsidRPr="009D52FD">
        <w:rPr>
          <w:rFonts w:eastAsiaTheme="minorHAnsi" w:cs="Arial"/>
          <w:sz w:val="20"/>
          <w:szCs w:val="20"/>
          <w:lang w:val="en-US" w:eastAsia="en-US"/>
        </w:rPr>
        <w:lastRenderedPageBreak/>
        <w:t>sex and gender.</w:t>
      </w:r>
      <w:r w:rsidR="00C65AB2" w:rsidRPr="009D52FD">
        <w:rPr>
          <w:rStyle w:val="FootnoteReference"/>
          <w:rFonts w:eastAsiaTheme="minorHAnsi" w:cs="Arial"/>
          <w:sz w:val="20"/>
          <w:szCs w:val="20"/>
          <w:lang w:val="en-US" w:eastAsia="en-US"/>
        </w:rPr>
        <w:footnoteReference w:id="270"/>
      </w:r>
    </w:p>
    <w:p w14:paraId="50A910B5" w14:textId="77777777" w:rsidR="009E4F6C" w:rsidRPr="009D52FD" w:rsidRDefault="009E4F6C" w:rsidP="009E4F6C">
      <w:pPr>
        <w:tabs>
          <w:tab w:val="left" w:pos="567"/>
        </w:tabs>
        <w:spacing w:line="240" w:lineRule="auto"/>
        <w:rPr>
          <w:sz w:val="20"/>
          <w:szCs w:val="20"/>
          <w:lang w:val="en-US"/>
        </w:rPr>
      </w:pPr>
    </w:p>
    <w:p w14:paraId="00F2D61C" w14:textId="17DD6B83" w:rsidR="009E4F6C" w:rsidRPr="009D52FD" w:rsidRDefault="003630BB" w:rsidP="003C5989">
      <w:pPr>
        <w:numPr>
          <w:ilvl w:val="0"/>
          <w:numId w:val="1"/>
        </w:numPr>
        <w:tabs>
          <w:tab w:val="left" w:pos="567"/>
        </w:tabs>
        <w:spacing w:line="240" w:lineRule="auto"/>
        <w:ind w:left="0" w:firstLine="0"/>
        <w:rPr>
          <w:sz w:val="20"/>
          <w:szCs w:val="20"/>
          <w:lang w:val="en-US"/>
        </w:rPr>
      </w:pPr>
      <w:r w:rsidRPr="009D52FD">
        <w:rPr>
          <w:sz w:val="20"/>
          <w:szCs w:val="20"/>
          <w:lang w:val="en-US"/>
        </w:rPr>
        <w:t>The Court</w:t>
      </w:r>
      <w:r w:rsidR="009E4F6C" w:rsidRPr="009D52FD">
        <w:rPr>
          <w:sz w:val="20"/>
          <w:szCs w:val="20"/>
          <w:lang w:val="en-US"/>
        </w:rPr>
        <w:t xml:space="preserve"> </w:t>
      </w:r>
      <w:r w:rsidR="00CE7404" w:rsidRPr="009D52FD">
        <w:rPr>
          <w:sz w:val="20"/>
          <w:szCs w:val="20"/>
          <w:lang w:val="en-US"/>
        </w:rPr>
        <w:t>conclu</w:t>
      </w:r>
      <w:r w:rsidR="008E4D90" w:rsidRPr="009D52FD">
        <w:rPr>
          <w:sz w:val="20"/>
          <w:szCs w:val="20"/>
          <w:lang w:val="en-US"/>
        </w:rPr>
        <w:t>des that</w:t>
      </w:r>
      <w:r w:rsidR="00830811" w:rsidRPr="009D52FD">
        <w:rPr>
          <w:sz w:val="20"/>
          <w:szCs w:val="20"/>
          <w:lang w:val="en-US"/>
        </w:rPr>
        <w:t xml:space="preserve"> </w:t>
      </w:r>
      <w:r w:rsidRPr="009D52FD">
        <w:rPr>
          <w:sz w:val="20"/>
          <w:szCs w:val="20"/>
          <w:lang w:val="en-US"/>
        </w:rPr>
        <w:t>the State</w:t>
      </w:r>
      <w:r w:rsidR="00830811" w:rsidRPr="009D52FD">
        <w:rPr>
          <w:sz w:val="20"/>
          <w:szCs w:val="20"/>
          <w:lang w:val="en-US"/>
        </w:rPr>
        <w:t xml:space="preserve"> </w:t>
      </w:r>
      <w:r w:rsidR="00996337" w:rsidRPr="009D52FD">
        <w:rPr>
          <w:sz w:val="20"/>
          <w:szCs w:val="20"/>
          <w:lang w:val="en-US"/>
        </w:rPr>
        <w:t>is responsible</w:t>
      </w:r>
      <w:r w:rsidR="008E4D90" w:rsidRPr="009D52FD">
        <w:rPr>
          <w:sz w:val="20"/>
          <w:szCs w:val="20"/>
          <w:lang w:val="en-US"/>
        </w:rPr>
        <w:t xml:space="preserve">, because owing to its gross omission, it enabled the </w:t>
      </w:r>
      <w:r w:rsidR="00CE1F61" w:rsidRPr="009D52FD">
        <w:rPr>
          <w:sz w:val="20"/>
          <w:szCs w:val="20"/>
          <w:lang w:val="en-US"/>
        </w:rPr>
        <w:t>sexual slavery</w:t>
      </w:r>
      <w:r w:rsidR="009E4F6C" w:rsidRPr="009D52FD">
        <w:rPr>
          <w:sz w:val="20"/>
          <w:szCs w:val="20"/>
          <w:lang w:val="en-US"/>
        </w:rPr>
        <w:t xml:space="preserve"> </w:t>
      </w:r>
      <w:r w:rsidR="008E4D90" w:rsidRPr="009D52FD">
        <w:rPr>
          <w:sz w:val="20"/>
          <w:szCs w:val="20"/>
          <w:lang w:val="en-US"/>
        </w:rPr>
        <w:t xml:space="preserve">to which </w:t>
      </w:r>
      <w:r w:rsidR="009E4F6C" w:rsidRPr="009D52FD">
        <w:rPr>
          <w:sz w:val="20"/>
          <w:szCs w:val="20"/>
          <w:lang w:val="en-US"/>
        </w:rPr>
        <w:t>Linda Loaiza López Soto</w:t>
      </w:r>
      <w:r w:rsidR="008E4D90" w:rsidRPr="009D52FD">
        <w:rPr>
          <w:sz w:val="20"/>
          <w:szCs w:val="20"/>
          <w:lang w:val="en-US"/>
        </w:rPr>
        <w:t xml:space="preserve"> was subjected, in the conditions previously indicated, in violation </w:t>
      </w:r>
      <w:r w:rsidR="00D32B3E" w:rsidRPr="009D52FD">
        <w:rPr>
          <w:sz w:val="20"/>
          <w:szCs w:val="20"/>
          <w:lang w:val="en-US"/>
        </w:rPr>
        <w:t>of Article</w:t>
      </w:r>
      <w:r w:rsidR="008E4D90" w:rsidRPr="009D52FD">
        <w:rPr>
          <w:sz w:val="20"/>
          <w:szCs w:val="20"/>
          <w:lang w:val="en-US"/>
        </w:rPr>
        <w:t xml:space="preserve"> </w:t>
      </w:r>
      <w:r w:rsidR="00DC2372" w:rsidRPr="009D52FD">
        <w:rPr>
          <w:sz w:val="20"/>
          <w:szCs w:val="20"/>
          <w:lang w:val="en-US"/>
        </w:rPr>
        <w:t>6(1)</w:t>
      </w:r>
      <w:r w:rsidRPr="009D52FD">
        <w:rPr>
          <w:sz w:val="20"/>
          <w:szCs w:val="20"/>
          <w:lang w:val="en-US"/>
        </w:rPr>
        <w:t xml:space="preserve"> of the American Convention</w:t>
      </w:r>
      <w:r w:rsidR="0004216E" w:rsidRPr="009D52FD">
        <w:rPr>
          <w:sz w:val="20"/>
          <w:szCs w:val="20"/>
          <w:lang w:val="en-US"/>
        </w:rPr>
        <w:t>,</w:t>
      </w:r>
      <w:r w:rsidR="00645F87" w:rsidRPr="009D52FD">
        <w:rPr>
          <w:sz w:val="20"/>
          <w:szCs w:val="20"/>
          <w:lang w:val="en-US"/>
        </w:rPr>
        <w:t xml:space="preserve"> </w:t>
      </w:r>
      <w:r w:rsidR="00997ADF" w:rsidRPr="009D52FD">
        <w:rPr>
          <w:sz w:val="20"/>
          <w:szCs w:val="20"/>
          <w:lang w:val="en-US"/>
        </w:rPr>
        <w:t>in relation to</w:t>
      </w:r>
      <w:r w:rsidR="00645F87" w:rsidRPr="009D52FD">
        <w:rPr>
          <w:sz w:val="20"/>
          <w:szCs w:val="20"/>
          <w:lang w:val="en-US"/>
        </w:rPr>
        <w:t xml:space="preserve"> </w:t>
      </w:r>
      <w:r w:rsidR="00483040" w:rsidRPr="009D52FD">
        <w:rPr>
          <w:sz w:val="20"/>
          <w:szCs w:val="20"/>
          <w:lang w:val="en-US"/>
        </w:rPr>
        <w:t>Articles 1(1)</w:t>
      </w:r>
      <w:r w:rsidR="0004216E" w:rsidRPr="009D52FD">
        <w:rPr>
          <w:sz w:val="20"/>
          <w:szCs w:val="20"/>
          <w:lang w:val="en-US"/>
        </w:rPr>
        <w:t>, 3, 5, 7, 11</w:t>
      </w:r>
      <w:r w:rsidRPr="009D52FD">
        <w:rPr>
          <w:sz w:val="20"/>
          <w:szCs w:val="20"/>
          <w:lang w:val="en-US"/>
        </w:rPr>
        <w:t xml:space="preserve"> and </w:t>
      </w:r>
      <w:r w:rsidR="0004216E" w:rsidRPr="009D52FD">
        <w:rPr>
          <w:sz w:val="20"/>
          <w:szCs w:val="20"/>
          <w:lang w:val="en-US"/>
        </w:rPr>
        <w:t xml:space="preserve">22 </w:t>
      </w:r>
      <w:r w:rsidR="00996337" w:rsidRPr="009D52FD">
        <w:rPr>
          <w:sz w:val="20"/>
          <w:szCs w:val="20"/>
          <w:lang w:val="en-US"/>
        </w:rPr>
        <w:t>of this instrument</w:t>
      </w:r>
      <w:r w:rsidR="0004216E" w:rsidRPr="009D52FD">
        <w:rPr>
          <w:sz w:val="20"/>
          <w:szCs w:val="20"/>
          <w:lang w:val="en-US"/>
        </w:rPr>
        <w:t xml:space="preserve">, </w:t>
      </w:r>
      <w:r w:rsidR="00483040" w:rsidRPr="009D52FD">
        <w:rPr>
          <w:sz w:val="20"/>
          <w:szCs w:val="20"/>
          <w:lang w:val="en-US"/>
        </w:rPr>
        <w:t>to the detriment of</w:t>
      </w:r>
      <w:r w:rsidR="0004216E" w:rsidRPr="009D52FD">
        <w:rPr>
          <w:sz w:val="20"/>
          <w:szCs w:val="20"/>
          <w:lang w:val="en-US"/>
        </w:rPr>
        <w:t xml:space="preserve"> Linda Loaiza López Soto</w:t>
      </w:r>
      <w:r w:rsidR="009E4F6C" w:rsidRPr="009D52FD">
        <w:rPr>
          <w:sz w:val="20"/>
          <w:szCs w:val="20"/>
          <w:lang w:val="en-US"/>
        </w:rPr>
        <w:t>.</w:t>
      </w:r>
    </w:p>
    <w:p w14:paraId="7F0CA84A" w14:textId="77777777" w:rsidR="009E4F6C" w:rsidRPr="009D52FD" w:rsidRDefault="009E4F6C" w:rsidP="009E4F6C">
      <w:pPr>
        <w:spacing w:line="240" w:lineRule="auto"/>
        <w:rPr>
          <w:sz w:val="20"/>
          <w:szCs w:val="20"/>
          <w:lang w:val="en-US"/>
        </w:rPr>
      </w:pPr>
    </w:p>
    <w:p w14:paraId="23A120F6" w14:textId="09941708" w:rsidR="009E4F6C" w:rsidRPr="009D52FD" w:rsidRDefault="009E4F6C" w:rsidP="00FF62E0">
      <w:pPr>
        <w:keepNext/>
        <w:keepLines/>
        <w:widowControl/>
        <w:tabs>
          <w:tab w:val="left" w:pos="1134"/>
        </w:tabs>
        <w:autoSpaceDE w:val="0"/>
        <w:autoSpaceDN w:val="0"/>
        <w:spacing w:line="240" w:lineRule="auto"/>
        <w:ind w:left="708" w:hanging="140"/>
        <w:textAlignment w:val="auto"/>
        <w:outlineLvl w:val="1"/>
        <w:rPr>
          <w:rFonts w:eastAsia="MS Mincho" w:cs="Arial"/>
          <w:bCs/>
          <w:i/>
          <w:sz w:val="20"/>
          <w:szCs w:val="20"/>
          <w:lang w:val="en-US" w:eastAsia="en-US"/>
        </w:rPr>
      </w:pPr>
      <w:bookmarkStart w:id="83" w:name="_Toc51400096"/>
      <w:r w:rsidRPr="009D52FD">
        <w:rPr>
          <w:rFonts w:eastAsia="MS Mincho" w:cs="Arial"/>
          <w:bCs/>
          <w:i/>
          <w:sz w:val="20"/>
          <w:szCs w:val="20"/>
          <w:lang w:val="en-US" w:eastAsia="en-US"/>
        </w:rPr>
        <w:t xml:space="preserve">B.5 </w:t>
      </w:r>
      <w:r w:rsidRPr="009D52FD">
        <w:rPr>
          <w:rFonts w:eastAsia="MS Mincho" w:cs="Arial"/>
          <w:bCs/>
          <w:i/>
          <w:sz w:val="20"/>
          <w:szCs w:val="20"/>
          <w:lang w:val="en-US" w:eastAsia="en-US"/>
        </w:rPr>
        <w:tab/>
      </w:r>
      <w:r w:rsidR="003630BB" w:rsidRPr="009D52FD">
        <w:rPr>
          <w:rFonts w:eastAsia="MS Mincho" w:cs="Arial"/>
          <w:bCs/>
          <w:i/>
          <w:sz w:val="20"/>
          <w:szCs w:val="20"/>
          <w:lang w:val="en-US" w:eastAsia="en-US"/>
        </w:rPr>
        <w:t>State</w:t>
      </w:r>
      <w:r w:rsidR="0004216E" w:rsidRPr="009D52FD">
        <w:rPr>
          <w:rFonts w:eastAsia="MS Mincho" w:cs="Arial"/>
          <w:bCs/>
          <w:i/>
          <w:sz w:val="20"/>
          <w:szCs w:val="20"/>
          <w:lang w:val="en-US" w:eastAsia="en-US"/>
        </w:rPr>
        <w:t xml:space="preserve"> </w:t>
      </w:r>
      <w:r w:rsidR="00256D45" w:rsidRPr="009D52FD">
        <w:rPr>
          <w:rFonts w:eastAsia="MS Mincho" w:cs="Arial"/>
          <w:bCs/>
          <w:i/>
          <w:sz w:val="20"/>
          <w:szCs w:val="20"/>
          <w:lang w:val="en-US" w:eastAsia="en-US"/>
        </w:rPr>
        <w:t xml:space="preserve">responsibility for acts of </w:t>
      </w:r>
      <w:r w:rsidRPr="009D52FD">
        <w:rPr>
          <w:rFonts w:eastAsia="MS Mincho" w:cs="Arial"/>
          <w:bCs/>
          <w:i/>
          <w:sz w:val="20"/>
          <w:szCs w:val="20"/>
          <w:lang w:val="en-US" w:eastAsia="en-US"/>
        </w:rPr>
        <w:t>tortur</w:t>
      </w:r>
      <w:r w:rsidR="00256D45" w:rsidRPr="009D52FD">
        <w:rPr>
          <w:rFonts w:eastAsia="MS Mincho" w:cs="Arial"/>
          <w:bCs/>
          <w:i/>
          <w:sz w:val="20"/>
          <w:szCs w:val="20"/>
          <w:lang w:val="en-US" w:eastAsia="en-US"/>
        </w:rPr>
        <w:t>e</w:t>
      </w:r>
      <w:bookmarkEnd w:id="83"/>
    </w:p>
    <w:p w14:paraId="777A48F7" w14:textId="77777777" w:rsidR="009E4F6C" w:rsidRPr="009D52FD" w:rsidRDefault="009E4F6C" w:rsidP="009E4F6C">
      <w:pPr>
        <w:widowControl/>
        <w:tabs>
          <w:tab w:val="left" w:pos="1418"/>
          <w:tab w:val="left" w:pos="1701"/>
        </w:tabs>
        <w:adjustRightInd/>
        <w:spacing w:line="240" w:lineRule="auto"/>
        <w:textAlignment w:val="auto"/>
        <w:rPr>
          <w:b/>
          <w:i/>
          <w:color w:val="000000"/>
          <w:sz w:val="20"/>
          <w:szCs w:val="20"/>
          <w:lang w:val="en-US" w:eastAsia="en-US"/>
        </w:rPr>
      </w:pPr>
    </w:p>
    <w:p w14:paraId="294E3680" w14:textId="4402EFF6" w:rsidR="009E4F6C" w:rsidRPr="009D52FD" w:rsidRDefault="007A24B8" w:rsidP="002A6EA9">
      <w:pPr>
        <w:numPr>
          <w:ilvl w:val="0"/>
          <w:numId w:val="1"/>
        </w:numPr>
        <w:tabs>
          <w:tab w:val="left" w:pos="567"/>
        </w:tabs>
        <w:spacing w:line="240" w:lineRule="auto"/>
        <w:ind w:left="0" w:firstLine="0"/>
        <w:rPr>
          <w:color w:val="000000"/>
          <w:sz w:val="20"/>
          <w:szCs w:val="20"/>
          <w:lang w:val="en-US" w:eastAsia="en-US"/>
        </w:rPr>
      </w:pPr>
      <w:r w:rsidRPr="009D52FD">
        <w:rPr>
          <w:color w:val="000000"/>
          <w:sz w:val="20"/>
          <w:szCs w:val="20"/>
          <w:lang w:val="en-US" w:eastAsia="en-US"/>
        </w:rPr>
        <w:t>Article</w:t>
      </w:r>
      <w:r w:rsidR="00483040" w:rsidRPr="009D52FD">
        <w:rPr>
          <w:color w:val="000000"/>
          <w:sz w:val="20"/>
          <w:szCs w:val="20"/>
          <w:lang w:val="en-US" w:eastAsia="en-US"/>
        </w:rPr>
        <w:t xml:space="preserve"> 5(1)</w:t>
      </w:r>
      <w:r w:rsidR="003630BB" w:rsidRPr="009D52FD">
        <w:rPr>
          <w:color w:val="000000"/>
          <w:sz w:val="20"/>
          <w:szCs w:val="20"/>
          <w:lang w:val="en-US" w:eastAsia="en-US"/>
        </w:rPr>
        <w:t xml:space="preserve"> of the Convention</w:t>
      </w:r>
      <w:r w:rsidR="009E4F6C" w:rsidRPr="009D52FD">
        <w:rPr>
          <w:color w:val="000000"/>
          <w:sz w:val="20"/>
          <w:szCs w:val="20"/>
          <w:lang w:val="en-US" w:eastAsia="en-US"/>
        </w:rPr>
        <w:t xml:space="preserve"> </w:t>
      </w:r>
      <w:r w:rsidR="002A6EA9" w:rsidRPr="009D52FD">
        <w:rPr>
          <w:color w:val="000000"/>
          <w:sz w:val="20"/>
          <w:szCs w:val="20"/>
          <w:lang w:val="en-US" w:eastAsia="en-US"/>
        </w:rPr>
        <w:t xml:space="preserve">establishes, in general terms, the right to </w:t>
      </w:r>
      <w:r w:rsidR="00997ADF" w:rsidRPr="009D52FD">
        <w:rPr>
          <w:sz w:val="20"/>
          <w:szCs w:val="20"/>
          <w:lang w:val="en-US"/>
        </w:rPr>
        <w:t>personal integrity</w:t>
      </w:r>
      <w:r w:rsidR="009E4F6C" w:rsidRPr="009D52FD">
        <w:rPr>
          <w:color w:val="000000"/>
          <w:sz w:val="20"/>
          <w:szCs w:val="20"/>
          <w:lang w:val="en-US" w:eastAsia="en-US"/>
        </w:rPr>
        <w:t xml:space="preserve">, </w:t>
      </w:r>
      <w:r w:rsidR="002A6EA9" w:rsidRPr="009D52FD">
        <w:rPr>
          <w:color w:val="000000"/>
          <w:sz w:val="20"/>
          <w:szCs w:val="20"/>
          <w:lang w:val="en-US" w:eastAsia="en-US"/>
        </w:rPr>
        <w:t xml:space="preserve">both physical, and also mental and moral. While </w:t>
      </w:r>
      <w:r w:rsidR="003630BB" w:rsidRPr="009D52FD">
        <w:rPr>
          <w:color w:val="000000"/>
          <w:sz w:val="20"/>
          <w:szCs w:val="20"/>
          <w:lang w:val="en-US" w:eastAsia="en-US"/>
        </w:rPr>
        <w:t>Article</w:t>
      </w:r>
      <w:r w:rsidR="00483040" w:rsidRPr="009D52FD">
        <w:rPr>
          <w:color w:val="000000"/>
          <w:sz w:val="20"/>
          <w:szCs w:val="20"/>
          <w:lang w:val="en-US" w:eastAsia="en-US"/>
        </w:rPr>
        <w:t xml:space="preserve"> 5(2)</w:t>
      </w:r>
      <w:r w:rsidR="009E4F6C" w:rsidRPr="009D52FD">
        <w:rPr>
          <w:color w:val="000000"/>
          <w:sz w:val="20"/>
          <w:szCs w:val="20"/>
          <w:lang w:val="en-US" w:eastAsia="en-US"/>
        </w:rPr>
        <w:t xml:space="preserve"> </w:t>
      </w:r>
      <w:r w:rsidRPr="009D52FD">
        <w:rPr>
          <w:color w:val="000000"/>
          <w:sz w:val="20"/>
          <w:szCs w:val="20"/>
          <w:lang w:val="en-US" w:eastAsia="en-US"/>
        </w:rPr>
        <w:t>establishes</w:t>
      </w:r>
      <w:r w:rsidR="009E4F6C" w:rsidRPr="009D52FD">
        <w:rPr>
          <w:color w:val="000000"/>
          <w:sz w:val="20"/>
          <w:szCs w:val="20"/>
          <w:lang w:val="en-US" w:eastAsia="en-US"/>
        </w:rPr>
        <w:t xml:space="preserve">, </w:t>
      </w:r>
      <w:r w:rsidR="002A6EA9" w:rsidRPr="009D52FD">
        <w:rPr>
          <w:color w:val="000000"/>
          <w:sz w:val="20"/>
          <w:szCs w:val="20"/>
          <w:lang w:val="en-US" w:eastAsia="en-US"/>
        </w:rPr>
        <w:t xml:space="preserve">more specifically, the absolute prohibition of subjecting someone </w:t>
      </w:r>
      <w:r w:rsidR="002A6EA9" w:rsidRPr="009D52FD">
        <w:rPr>
          <w:spacing w:val="-3"/>
          <w:sz w:val="20"/>
          <w:szCs w:val="20"/>
          <w:lang w:val="en-US"/>
        </w:rPr>
        <w:t xml:space="preserve">to torture or to cruel, inhuman or degrading punishment or treatment. In addition, it has been recognized that, in certain circumstances, threats and the real danger of a person being subjected to severe physical injury </w:t>
      </w:r>
      <w:r w:rsidR="00AF6CF1" w:rsidRPr="009D52FD">
        <w:rPr>
          <w:spacing w:val="-3"/>
          <w:sz w:val="20"/>
          <w:szCs w:val="20"/>
          <w:lang w:val="en-US"/>
        </w:rPr>
        <w:t>cause</w:t>
      </w:r>
      <w:r w:rsidR="002A6EA9" w:rsidRPr="009D52FD">
        <w:rPr>
          <w:spacing w:val="-3"/>
          <w:sz w:val="20"/>
          <w:szCs w:val="20"/>
          <w:lang w:val="en-US"/>
        </w:rPr>
        <w:t xml:space="preserve"> moral anguish of such proportions that it may be considered “psychological torture.</w:t>
      </w:r>
      <w:r w:rsidR="009E4F6C" w:rsidRPr="009D52FD">
        <w:rPr>
          <w:color w:val="000000"/>
          <w:sz w:val="20"/>
          <w:szCs w:val="20"/>
          <w:lang w:val="en-US" w:eastAsia="en-US"/>
        </w:rPr>
        <w:t>”</w:t>
      </w:r>
      <w:r w:rsidR="009E4F6C" w:rsidRPr="009D52FD">
        <w:rPr>
          <w:color w:val="000000"/>
          <w:sz w:val="20"/>
          <w:szCs w:val="20"/>
          <w:vertAlign w:val="superscript"/>
          <w:lang w:val="en-US" w:eastAsia="en-US"/>
        </w:rPr>
        <w:footnoteReference w:id="271"/>
      </w:r>
      <w:r w:rsidR="009E4F6C" w:rsidRPr="009D52FD">
        <w:rPr>
          <w:color w:val="000000"/>
          <w:sz w:val="20"/>
          <w:szCs w:val="20"/>
          <w:lang w:val="en-US" w:eastAsia="en-US"/>
        </w:rPr>
        <w:t xml:space="preserve"> </w:t>
      </w:r>
      <w:r w:rsidR="002A6EA9" w:rsidRPr="009D52FD">
        <w:rPr>
          <w:color w:val="000000"/>
          <w:sz w:val="20"/>
          <w:szCs w:val="20"/>
          <w:lang w:val="en-US" w:eastAsia="en-US"/>
        </w:rPr>
        <w:t>The</w:t>
      </w:r>
      <w:r w:rsidR="003630BB" w:rsidRPr="009D52FD">
        <w:rPr>
          <w:sz w:val="20"/>
          <w:szCs w:val="20"/>
          <w:lang w:val="en-US"/>
        </w:rPr>
        <w:t xml:space="preserve"> Court</w:t>
      </w:r>
      <w:r w:rsidR="009E4F6C" w:rsidRPr="009D52FD">
        <w:rPr>
          <w:sz w:val="20"/>
          <w:szCs w:val="20"/>
          <w:lang w:val="en-US"/>
        </w:rPr>
        <w:t xml:space="preserve"> ha</w:t>
      </w:r>
      <w:r w:rsidR="002A6EA9" w:rsidRPr="009D52FD">
        <w:rPr>
          <w:sz w:val="20"/>
          <w:szCs w:val="20"/>
          <w:lang w:val="en-US"/>
        </w:rPr>
        <w:t>s established that an act of torture may be perpetrated both by acts of physical violence, and by acts that cause the victim acute mental or moral suffering.</w:t>
      </w:r>
      <w:r w:rsidR="009E4F6C" w:rsidRPr="009D52FD">
        <w:rPr>
          <w:sz w:val="20"/>
          <w:szCs w:val="20"/>
          <w:vertAlign w:val="superscript"/>
          <w:lang w:val="en-US"/>
        </w:rPr>
        <w:footnoteReference w:id="272"/>
      </w:r>
      <w:r w:rsidR="002A6EA9" w:rsidRPr="009D52FD">
        <w:rPr>
          <w:sz w:val="20"/>
          <w:szCs w:val="20"/>
          <w:lang w:val="en-US"/>
        </w:rPr>
        <w:t xml:space="preserve"> Nowadays, the absolute prohibition of torture, both physical and psychological, belongs to the domain of international </w:t>
      </w:r>
      <w:r w:rsidR="009E4F6C" w:rsidRPr="009D52FD">
        <w:rPr>
          <w:i/>
          <w:sz w:val="20"/>
          <w:szCs w:val="20"/>
          <w:lang w:val="en-US"/>
        </w:rPr>
        <w:t>jus cogens</w:t>
      </w:r>
      <w:r w:rsidR="002A6EA9" w:rsidRPr="009D52FD">
        <w:rPr>
          <w:sz w:val="20"/>
          <w:szCs w:val="20"/>
          <w:lang w:val="en-US"/>
        </w:rPr>
        <w:t>.</w:t>
      </w:r>
      <w:r w:rsidR="009E4F6C" w:rsidRPr="009D52FD">
        <w:rPr>
          <w:sz w:val="20"/>
          <w:szCs w:val="20"/>
          <w:vertAlign w:val="superscript"/>
          <w:lang w:val="en-US"/>
        </w:rPr>
        <w:footnoteReference w:id="273"/>
      </w:r>
    </w:p>
    <w:p w14:paraId="388D8F43" w14:textId="77777777" w:rsidR="009E4F6C" w:rsidRPr="009D52FD" w:rsidRDefault="009E4F6C" w:rsidP="009E4F6C">
      <w:pPr>
        <w:widowControl/>
        <w:tabs>
          <w:tab w:val="left" w:pos="1418"/>
          <w:tab w:val="left" w:pos="1701"/>
        </w:tabs>
        <w:adjustRightInd/>
        <w:spacing w:line="240" w:lineRule="auto"/>
        <w:textAlignment w:val="auto"/>
        <w:rPr>
          <w:color w:val="000000"/>
          <w:sz w:val="20"/>
          <w:szCs w:val="20"/>
          <w:lang w:val="en-US" w:eastAsia="en-US"/>
        </w:rPr>
      </w:pPr>
    </w:p>
    <w:p w14:paraId="29BDD11D" w14:textId="43B8F836" w:rsidR="009E4F6C" w:rsidRPr="009D52FD" w:rsidRDefault="00AF6CF1" w:rsidP="003C5989">
      <w:pPr>
        <w:numPr>
          <w:ilvl w:val="0"/>
          <w:numId w:val="1"/>
        </w:numPr>
        <w:tabs>
          <w:tab w:val="left" w:pos="567"/>
        </w:tabs>
        <w:spacing w:line="240" w:lineRule="auto"/>
        <w:ind w:left="0" w:firstLine="0"/>
        <w:rPr>
          <w:color w:val="000000"/>
          <w:sz w:val="20"/>
          <w:szCs w:val="20"/>
          <w:lang w:val="en-US" w:eastAsia="en-US"/>
        </w:rPr>
      </w:pPr>
      <w:r w:rsidRPr="009D52FD">
        <w:rPr>
          <w:color w:val="000000"/>
          <w:sz w:val="20"/>
          <w:szCs w:val="20"/>
          <w:lang w:val="en-US" w:eastAsia="en-US"/>
        </w:rPr>
        <w:t>In addition</w:t>
      </w:r>
      <w:r w:rsidR="002A6EA9" w:rsidRPr="009D52FD">
        <w:rPr>
          <w:color w:val="000000"/>
          <w:sz w:val="20"/>
          <w:szCs w:val="20"/>
          <w:lang w:val="en-US" w:eastAsia="en-US"/>
        </w:rPr>
        <w:t xml:space="preserve">, this Court’s case law has recognized that rape and other forms of </w:t>
      </w:r>
      <w:r w:rsidR="0081578D" w:rsidRPr="009D52FD">
        <w:rPr>
          <w:color w:val="000000"/>
          <w:sz w:val="20"/>
          <w:szCs w:val="20"/>
          <w:lang w:val="en-US" w:eastAsia="en-US"/>
        </w:rPr>
        <w:t>sexual violence</w:t>
      </w:r>
      <w:r w:rsidR="009E4F6C" w:rsidRPr="009D52FD">
        <w:rPr>
          <w:color w:val="000000"/>
          <w:sz w:val="20"/>
          <w:szCs w:val="20"/>
          <w:lang w:val="en-US" w:eastAsia="en-US"/>
        </w:rPr>
        <w:t xml:space="preserve"> </w:t>
      </w:r>
      <w:r w:rsidR="002A6EA9" w:rsidRPr="009D52FD">
        <w:rPr>
          <w:color w:val="000000"/>
          <w:sz w:val="20"/>
          <w:szCs w:val="20"/>
          <w:lang w:val="en-US" w:eastAsia="en-US"/>
        </w:rPr>
        <w:t xml:space="preserve">may constitute </w:t>
      </w:r>
      <w:r w:rsidR="007C1840" w:rsidRPr="009D52FD">
        <w:rPr>
          <w:color w:val="000000"/>
          <w:sz w:val="20"/>
          <w:szCs w:val="20"/>
          <w:lang w:val="en-US" w:eastAsia="en-US"/>
        </w:rPr>
        <w:t>cruel, inhuman or degrading treatment</w:t>
      </w:r>
      <w:r w:rsidRPr="009D52FD">
        <w:rPr>
          <w:color w:val="000000"/>
          <w:sz w:val="20"/>
          <w:szCs w:val="20"/>
          <w:lang w:val="en-US" w:eastAsia="en-US"/>
        </w:rPr>
        <w:t>,</w:t>
      </w:r>
      <w:r w:rsidR="009E4F6C" w:rsidRPr="009D52FD">
        <w:rPr>
          <w:color w:val="000000"/>
          <w:sz w:val="20"/>
          <w:szCs w:val="20"/>
          <w:lang w:val="en-US" w:eastAsia="en-US"/>
        </w:rPr>
        <w:t xml:space="preserve"> </w:t>
      </w:r>
      <w:r w:rsidR="007C1840" w:rsidRPr="009D52FD">
        <w:rPr>
          <w:color w:val="000000"/>
          <w:sz w:val="20"/>
          <w:szCs w:val="20"/>
          <w:lang w:val="en-US" w:eastAsia="en-US"/>
        </w:rPr>
        <w:t xml:space="preserve">and even acts of torture if the elements </w:t>
      </w:r>
      <w:r w:rsidRPr="009D52FD">
        <w:rPr>
          <w:color w:val="000000"/>
          <w:sz w:val="20"/>
          <w:szCs w:val="20"/>
          <w:lang w:val="en-US" w:eastAsia="en-US"/>
        </w:rPr>
        <w:t>included in</w:t>
      </w:r>
      <w:r w:rsidR="007C1840" w:rsidRPr="009D52FD">
        <w:rPr>
          <w:color w:val="000000"/>
          <w:sz w:val="20"/>
          <w:szCs w:val="20"/>
          <w:lang w:val="en-US" w:eastAsia="en-US"/>
        </w:rPr>
        <w:t xml:space="preserve"> the definition are present.</w:t>
      </w:r>
      <w:r w:rsidR="009E4F6C" w:rsidRPr="009D52FD">
        <w:rPr>
          <w:color w:val="000000"/>
          <w:sz w:val="20"/>
          <w:szCs w:val="20"/>
          <w:vertAlign w:val="superscript"/>
          <w:lang w:val="en-US" w:eastAsia="en-US"/>
        </w:rPr>
        <w:footnoteReference w:id="274"/>
      </w:r>
      <w:r w:rsidR="007C1840" w:rsidRPr="009D52FD">
        <w:rPr>
          <w:color w:val="000000"/>
          <w:sz w:val="20"/>
          <w:szCs w:val="20"/>
          <w:lang w:val="en-US" w:eastAsia="en-US"/>
        </w:rPr>
        <w:t xml:space="preserve"> A similar opinion has been expressed by</w:t>
      </w:r>
      <w:r w:rsidR="009E4F6C" w:rsidRPr="009D52FD">
        <w:rPr>
          <w:color w:val="000000"/>
          <w:sz w:val="20"/>
          <w:szCs w:val="20"/>
          <w:lang w:val="en-US" w:eastAsia="en-US"/>
        </w:rPr>
        <w:t xml:space="preserve"> </w:t>
      </w:r>
      <w:r w:rsidR="003630BB" w:rsidRPr="009D52FD">
        <w:rPr>
          <w:color w:val="000000"/>
          <w:sz w:val="20"/>
          <w:szCs w:val="20"/>
          <w:lang w:val="en-US" w:eastAsia="en-US"/>
        </w:rPr>
        <w:t>the</w:t>
      </w:r>
      <w:r w:rsidR="00A56E7D" w:rsidRPr="009D52FD">
        <w:rPr>
          <w:color w:val="000000"/>
          <w:sz w:val="20"/>
          <w:szCs w:val="20"/>
          <w:lang w:val="en-US" w:eastAsia="en-US"/>
        </w:rPr>
        <w:t xml:space="preserve"> European</w:t>
      </w:r>
      <w:r w:rsidR="003630BB" w:rsidRPr="009D52FD">
        <w:rPr>
          <w:color w:val="000000"/>
          <w:sz w:val="20"/>
          <w:szCs w:val="20"/>
          <w:lang w:val="en-US" w:eastAsia="en-US"/>
        </w:rPr>
        <w:t xml:space="preserve"> Court</w:t>
      </w:r>
      <w:r w:rsidR="009E4F6C" w:rsidRPr="009D52FD">
        <w:rPr>
          <w:color w:val="000000"/>
          <w:sz w:val="20"/>
          <w:szCs w:val="20"/>
          <w:lang w:val="en-US" w:eastAsia="en-US"/>
        </w:rPr>
        <w:t xml:space="preserve"> </w:t>
      </w:r>
      <w:r w:rsidR="00A56E7D" w:rsidRPr="009D52FD">
        <w:rPr>
          <w:color w:val="000000"/>
          <w:sz w:val="20"/>
          <w:szCs w:val="20"/>
          <w:lang w:val="en-US" w:eastAsia="en-US"/>
        </w:rPr>
        <w:t>of Human Rights,</w:t>
      </w:r>
      <w:r w:rsidR="009E4F6C" w:rsidRPr="009D52FD">
        <w:rPr>
          <w:color w:val="000000"/>
          <w:sz w:val="20"/>
          <w:szCs w:val="20"/>
          <w:vertAlign w:val="superscript"/>
          <w:lang w:val="en-US" w:eastAsia="en-US"/>
        </w:rPr>
        <w:footnoteReference w:id="275"/>
      </w:r>
      <w:r w:rsidR="009E4F6C" w:rsidRPr="009D52FD">
        <w:rPr>
          <w:color w:val="000000"/>
          <w:sz w:val="20"/>
          <w:szCs w:val="20"/>
          <w:lang w:val="en-US" w:eastAsia="en-US"/>
        </w:rPr>
        <w:t xml:space="preserve"> </w:t>
      </w:r>
      <w:r w:rsidR="00A56E7D" w:rsidRPr="009D52FD">
        <w:rPr>
          <w:color w:val="000000"/>
          <w:sz w:val="20"/>
          <w:szCs w:val="20"/>
          <w:lang w:val="en-US" w:eastAsia="en-US"/>
        </w:rPr>
        <w:t>the Human Rights Committee,</w:t>
      </w:r>
      <w:r w:rsidR="009E4F6C" w:rsidRPr="009D52FD">
        <w:rPr>
          <w:color w:val="000000"/>
          <w:sz w:val="20"/>
          <w:szCs w:val="20"/>
          <w:vertAlign w:val="superscript"/>
          <w:lang w:val="en-US" w:eastAsia="en-US"/>
        </w:rPr>
        <w:footnoteReference w:id="276"/>
      </w:r>
      <w:r w:rsidR="009E4F6C" w:rsidRPr="009D52FD">
        <w:rPr>
          <w:color w:val="000000"/>
          <w:sz w:val="20"/>
          <w:szCs w:val="20"/>
          <w:lang w:val="en-US" w:eastAsia="en-US"/>
        </w:rPr>
        <w:t xml:space="preserve"> </w:t>
      </w:r>
      <w:r w:rsidR="00A56E7D" w:rsidRPr="009D52FD">
        <w:rPr>
          <w:color w:val="000000"/>
          <w:sz w:val="20"/>
          <w:szCs w:val="20"/>
          <w:lang w:val="en-US" w:eastAsia="en-US"/>
        </w:rPr>
        <w:t>the</w:t>
      </w:r>
      <w:r w:rsidR="009E4F6C" w:rsidRPr="009D52FD">
        <w:rPr>
          <w:color w:val="000000"/>
          <w:sz w:val="20"/>
          <w:szCs w:val="20"/>
          <w:lang w:val="en-US" w:eastAsia="en-US"/>
        </w:rPr>
        <w:t xml:space="preserve"> </w:t>
      </w:r>
      <w:r w:rsidR="00A56E7D" w:rsidRPr="009D52FD">
        <w:rPr>
          <w:color w:val="000000"/>
          <w:sz w:val="20"/>
          <w:szCs w:val="20"/>
          <w:lang w:val="en-US" w:eastAsia="en-US"/>
        </w:rPr>
        <w:t>Committee against Torture,</w:t>
      </w:r>
      <w:r w:rsidR="009E4F6C" w:rsidRPr="009D52FD">
        <w:rPr>
          <w:color w:val="000000"/>
          <w:sz w:val="20"/>
          <w:szCs w:val="20"/>
          <w:vertAlign w:val="superscript"/>
          <w:lang w:val="en-US" w:eastAsia="en-US"/>
        </w:rPr>
        <w:footnoteReference w:id="277"/>
      </w:r>
      <w:r w:rsidR="009E4F6C" w:rsidRPr="009D52FD">
        <w:rPr>
          <w:color w:val="000000"/>
          <w:sz w:val="20"/>
          <w:szCs w:val="20"/>
          <w:lang w:val="en-US" w:eastAsia="en-US"/>
        </w:rPr>
        <w:t xml:space="preserve"> </w:t>
      </w:r>
      <w:r w:rsidR="00A56E7D" w:rsidRPr="009D52FD">
        <w:rPr>
          <w:color w:val="000000"/>
          <w:sz w:val="20"/>
          <w:szCs w:val="20"/>
          <w:lang w:val="en-US" w:eastAsia="en-US"/>
        </w:rPr>
        <w:t>the</w:t>
      </w:r>
      <w:r w:rsidR="009E4F6C" w:rsidRPr="009D52FD">
        <w:rPr>
          <w:color w:val="000000"/>
          <w:sz w:val="20"/>
          <w:szCs w:val="20"/>
          <w:lang w:val="en-US" w:eastAsia="en-US"/>
        </w:rPr>
        <w:t xml:space="preserve"> </w:t>
      </w:r>
      <w:r w:rsidR="007D3D4F" w:rsidRPr="009D52FD">
        <w:rPr>
          <w:color w:val="000000"/>
          <w:sz w:val="20"/>
          <w:szCs w:val="20"/>
          <w:lang w:val="en-US" w:eastAsia="en-US"/>
        </w:rPr>
        <w:t xml:space="preserve">Committee on </w:t>
      </w:r>
      <w:r w:rsidRPr="009D52FD">
        <w:rPr>
          <w:color w:val="000000"/>
          <w:sz w:val="20"/>
          <w:szCs w:val="20"/>
          <w:lang w:val="en-US" w:eastAsia="en-US"/>
        </w:rPr>
        <w:t xml:space="preserve">the </w:t>
      </w:r>
      <w:r w:rsidR="007D3D4F" w:rsidRPr="009D52FD">
        <w:rPr>
          <w:color w:val="000000"/>
          <w:sz w:val="20"/>
          <w:szCs w:val="20"/>
          <w:lang w:val="en-US" w:eastAsia="en-US"/>
        </w:rPr>
        <w:t>Elimina</w:t>
      </w:r>
      <w:r w:rsidR="00A56E7D" w:rsidRPr="009D52FD">
        <w:rPr>
          <w:color w:val="000000"/>
          <w:sz w:val="20"/>
          <w:szCs w:val="20"/>
          <w:lang w:val="en-US" w:eastAsia="en-US"/>
        </w:rPr>
        <w:t>tion</w:t>
      </w:r>
      <w:r w:rsidR="007D3D4F" w:rsidRPr="009D52FD">
        <w:rPr>
          <w:color w:val="000000"/>
          <w:sz w:val="20"/>
          <w:szCs w:val="20"/>
          <w:lang w:val="en-US" w:eastAsia="en-US"/>
        </w:rPr>
        <w:t xml:space="preserve"> of Discrimination against Women</w:t>
      </w:r>
      <w:r w:rsidR="009E4F6C" w:rsidRPr="009D52FD">
        <w:rPr>
          <w:color w:val="000000"/>
          <w:sz w:val="20"/>
          <w:szCs w:val="20"/>
          <w:vertAlign w:val="superscript"/>
          <w:lang w:val="en-US" w:eastAsia="en-US"/>
        </w:rPr>
        <w:footnoteReference w:id="278"/>
      </w:r>
      <w:r w:rsidR="003630BB" w:rsidRPr="009D52FD">
        <w:rPr>
          <w:color w:val="000000"/>
          <w:sz w:val="20"/>
          <w:szCs w:val="20"/>
          <w:lang w:val="en-US" w:eastAsia="en-US"/>
        </w:rPr>
        <w:t xml:space="preserve"> and </w:t>
      </w:r>
      <w:r w:rsidR="00A56E7D" w:rsidRPr="009D52FD">
        <w:rPr>
          <w:color w:val="000000"/>
          <w:sz w:val="20"/>
          <w:szCs w:val="20"/>
          <w:lang w:val="en-US" w:eastAsia="en-US"/>
        </w:rPr>
        <w:t>the United Nations Special Rapporteur against Torture.</w:t>
      </w:r>
      <w:r w:rsidR="009E4F6C" w:rsidRPr="009D52FD">
        <w:rPr>
          <w:color w:val="000000"/>
          <w:sz w:val="20"/>
          <w:szCs w:val="20"/>
          <w:vertAlign w:val="superscript"/>
          <w:lang w:val="en-US" w:eastAsia="en-US"/>
        </w:rPr>
        <w:footnoteReference w:id="279"/>
      </w:r>
    </w:p>
    <w:p w14:paraId="720BFBDB" w14:textId="77777777" w:rsidR="009E4F6C" w:rsidRPr="009D52FD" w:rsidRDefault="009E4F6C" w:rsidP="009E4F6C">
      <w:pPr>
        <w:widowControl/>
        <w:tabs>
          <w:tab w:val="left" w:pos="1418"/>
          <w:tab w:val="left" w:pos="1701"/>
        </w:tabs>
        <w:adjustRightInd/>
        <w:spacing w:line="240" w:lineRule="auto"/>
        <w:textAlignment w:val="auto"/>
        <w:rPr>
          <w:color w:val="000000"/>
          <w:sz w:val="20"/>
          <w:szCs w:val="20"/>
          <w:lang w:val="en-US" w:eastAsia="en-US"/>
        </w:rPr>
      </w:pPr>
    </w:p>
    <w:p w14:paraId="50C9F4D9" w14:textId="52EFBC62" w:rsidR="009E4F6C" w:rsidRPr="009D52FD" w:rsidRDefault="003630BB" w:rsidP="007C1840">
      <w:pPr>
        <w:numPr>
          <w:ilvl w:val="0"/>
          <w:numId w:val="1"/>
        </w:numPr>
        <w:tabs>
          <w:tab w:val="left" w:pos="567"/>
        </w:tabs>
        <w:spacing w:line="240" w:lineRule="auto"/>
        <w:ind w:left="0" w:firstLine="0"/>
        <w:rPr>
          <w:b/>
          <w:i/>
          <w:color w:val="000000"/>
          <w:sz w:val="20"/>
          <w:szCs w:val="20"/>
          <w:lang w:val="en-US" w:eastAsia="en-US"/>
        </w:rPr>
      </w:pPr>
      <w:r w:rsidRPr="009D52FD">
        <w:rPr>
          <w:rFonts w:eastAsia="Batang"/>
          <w:spacing w:val="-2"/>
          <w:sz w:val="20"/>
          <w:szCs w:val="20"/>
          <w:lang w:val="en-US"/>
        </w:rPr>
        <w:t>The Court</w:t>
      </w:r>
      <w:r w:rsidR="009E4F6C" w:rsidRPr="009D52FD">
        <w:rPr>
          <w:rFonts w:eastAsia="Batang"/>
          <w:spacing w:val="-2"/>
          <w:sz w:val="20"/>
          <w:szCs w:val="20"/>
          <w:lang w:val="en-US"/>
        </w:rPr>
        <w:t xml:space="preserve"> </w:t>
      </w:r>
      <w:r w:rsidR="007C1840" w:rsidRPr="009D52FD">
        <w:rPr>
          <w:rFonts w:eastAsia="Batang"/>
          <w:spacing w:val="-2"/>
          <w:sz w:val="20"/>
          <w:szCs w:val="20"/>
          <w:lang w:val="en-US"/>
        </w:rPr>
        <w:t>has indicated that</w:t>
      </w:r>
      <w:r w:rsidR="009E4F6C" w:rsidRPr="009D52FD">
        <w:rPr>
          <w:rFonts w:eastAsia="Batang"/>
          <w:spacing w:val="-2"/>
          <w:sz w:val="20"/>
          <w:szCs w:val="20"/>
          <w:lang w:val="en-US"/>
        </w:rPr>
        <w:t xml:space="preserve"> </w:t>
      </w:r>
      <w:r w:rsidR="0064755C" w:rsidRPr="009D52FD">
        <w:rPr>
          <w:rFonts w:eastAsia="Batang"/>
          <w:spacing w:val="-2"/>
          <w:sz w:val="20"/>
          <w:szCs w:val="20"/>
          <w:lang w:val="en-US"/>
        </w:rPr>
        <w:t xml:space="preserve">the violation </w:t>
      </w:r>
      <w:r w:rsidR="007D3D4F" w:rsidRPr="009D52FD">
        <w:rPr>
          <w:rFonts w:eastAsia="Batang"/>
          <w:spacing w:val="-2"/>
          <w:sz w:val="20"/>
          <w:szCs w:val="20"/>
          <w:lang w:val="en-US"/>
        </w:rPr>
        <w:t xml:space="preserve">of </w:t>
      </w:r>
      <w:r w:rsidR="007C1840" w:rsidRPr="009D52FD">
        <w:rPr>
          <w:rFonts w:eastAsia="Batang"/>
          <w:spacing w:val="-2"/>
          <w:sz w:val="20"/>
          <w:szCs w:val="20"/>
          <w:lang w:val="en-US"/>
        </w:rPr>
        <w:t>a person’s</w:t>
      </w:r>
      <w:r w:rsidR="007D3D4F" w:rsidRPr="009D52FD">
        <w:rPr>
          <w:rFonts w:eastAsia="Batang"/>
          <w:spacing w:val="-2"/>
          <w:sz w:val="20"/>
          <w:szCs w:val="20"/>
          <w:lang w:val="en-US"/>
        </w:rPr>
        <w:t xml:space="preserve"> right to</w:t>
      </w:r>
      <w:r w:rsidR="009E4F6C" w:rsidRPr="009D52FD">
        <w:rPr>
          <w:rFonts w:eastAsia="Batang"/>
          <w:spacing w:val="-2"/>
          <w:sz w:val="20"/>
          <w:szCs w:val="20"/>
          <w:lang w:val="en-US"/>
        </w:rPr>
        <w:t xml:space="preserve"> </w:t>
      </w:r>
      <w:r w:rsidR="007C1840" w:rsidRPr="009D52FD">
        <w:rPr>
          <w:rFonts w:eastAsia="Batang"/>
          <w:spacing w:val="-2"/>
          <w:sz w:val="20"/>
          <w:szCs w:val="20"/>
          <w:lang w:val="en-US"/>
        </w:rPr>
        <w:t>physical and mental integrity</w:t>
      </w:r>
      <w:r w:rsidR="009E4F6C" w:rsidRPr="009D52FD">
        <w:rPr>
          <w:rFonts w:eastAsia="Batang"/>
          <w:spacing w:val="-2"/>
          <w:sz w:val="20"/>
          <w:szCs w:val="20"/>
          <w:lang w:val="en-US"/>
        </w:rPr>
        <w:t xml:space="preserve"> </w:t>
      </w:r>
      <w:r w:rsidR="007C1840" w:rsidRPr="009D52FD">
        <w:rPr>
          <w:rFonts w:eastAsia="Batang"/>
          <w:spacing w:val="-2"/>
          <w:sz w:val="20"/>
          <w:szCs w:val="20"/>
          <w:lang w:val="en-US"/>
        </w:rPr>
        <w:lastRenderedPageBreak/>
        <w:t xml:space="preserve">has different levels and that it ranges from torture to other types of abuse or </w:t>
      </w:r>
      <w:r w:rsidR="00AF6CF1" w:rsidRPr="009D52FD">
        <w:rPr>
          <w:color w:val="000000"/>
          <w:sz w:val="20"/>
          <w:szCs w:val="20"/>
          <w:lang w:val="en-US" w:eastAsia="en-US"/>
        </w:rPr>
        <w:t>cruel, inhuman or degrading</w:t>
      </w:r>
      <w:r w:rsidR="007C1840" w:rsidRPr="009D52FD">
        <w:rPr>
          <w:color w:val="000000"/>
          <w:sz w:val="20"/>
          <w:szCs w:val="20"/>
          <w:lang w:val="en-US" w:eastAsia="en-US"/>
        </w:rPr>
        <w:t xml:space="preserve"> treatment</w:t>
      </w:r>
      <w:r w:rsidR="007C1840" w:rsidRPr="009D52FD">
        <w:rPr>
          <w:rFonts w:eastAsia="Batang"/>
          <w:spacing w:val="-2"/>
          <w:sz w:val="20"/>
          <w:szCs w:val="20"/>
          <w:lang w:val="en-US"/>
        </w:rPr>
        <w:t>, the physical and mental effects of which vary in intensity according to endogenous and exogenous factors (including duration of the treatment, age, sex, health, context and vulnerability) that must be analyzed in each specific situation.</w:t>
      </w:r>
      <w:r w:rsidR="009E4F6C" w:rsidRPr="009D52FD">
        <w:rPr>
          <w:rFonts w:eastAsia="Batang"/>
          <w:sz w:val="20"/>
          <w:szCs w:val="20"/>
          <w:vertAlign w:val="superscript"/>
          <w:lang w:val="en-US" w:bidi="en-US"/>
        </w:rPr>
        <w:footnoteReference w:id="280"/>
      </w:r>
      <w:r w:rsidR="007C1840" w:rsidRPr="009D52FD">
        <w:rPr>
          <w:rFonts w:eastAsia="Batang"/>
          <w:spacing w:val="-2"/>
          <w:sz w:val="20"/>
          <w:szCs w:val="20"/>
          <w:lang w:val="en-US"/>
        </w:rPr>
        <w:t xml:space="preserve"> In other words, the personal characteristics of the </w:t>
      </w:r>
      <w:r w:rsidR="00AF6CF1" w:rsidRPr="009D52FD">
        <w:rPr>
          <w:rFonts w:eastAsia="Batang"/>
          <w:spacing w:val="-2"/>
          <w:sz w:val="20"/>
          <w:szCs w:val="20"/>
          <w:lang w:val="en-US"/>
        </w:rPr>
        <w:t>alleged</w:t>
      </w:r>
      <w:r w:rsidR="007C1840" w:rsidRPr="009D52FD">
        <w:rPr>
          <w:rFonts w:eastAsia="Batang"/>
          <w:spacing w:val="-2"/>
          <w:sz w:val="20"/>
          <w:szCs w:val="20"/>
          <w:lang w:val="en-US"/>
        </w:rPr>
        <w:t xml:space="preserve"> victim of torture or</w:t>
      </w:r>
      <w:r w:rsidR="009E4F6C" w:rsidRPr="009D52FD">
        <w:rPr>
          <w:rFonts w:eastAsia="Batang"/>
          <w:spacing w:val="-2"/>
          <w:sz w:val="20"/>
          <w:szCs w:val="20"/>
          <w:lang w:val="en-US"/>
        </w:rPr>
        <w:t xml:space="preserve"> </w:t>
      </w:r>
      <w:r w:rsidR="007C1840" w:rsidRPr="009D52FD">
        <w:rPr>
          <w:rFonts w:eastAsia="Batang"/>
          <w:spacing w:val="-2"/>
          <w:sz w:val="20"/>
          <w:szCs w:val="20"/>
          <w:lang w:val="en-US"/>
        </w:rPr>
        <w:t xml:space="preserve">cruel, inhuman or degrading treatment must be taken into account when determining whether their </w:t>
      </w:r>
      <w:r w:rsidR="00997ADF" w:rsidRPr="009D52FD">
        <w:rPr>
          <w:rFonts w:eastAsia="Batang"/>
          <w:spacing w:val="-2"/>
          <w:sz w:val="20"/>
          <w:szCs w:val="20"/>
          <w:lang w:val="en-US"/>
        </w:rPr>
        <w:t>personal integrity</w:t>
      </w:r>
      <w:r w:rsidR="009E4F6C" w:rsidRPr="009D52FD">
        <w:rPr>
          <w:rFonts w:eastAsia="Batang"/>
          <w:spacing w:val="-2"/>
          <w:sz w:val="20"/>
          <w:szCs w:val="20"/>
          <w:lang w:val="en-US"/>
        </w:rPr>
        <w:t xml:space="preserve"> </w:t>
      </w:r>
      <w:r w:rsidR="007C1840" w:rsidRPr="009D52FD">
        <w:rPr>
          <w:rFonts w:eastAsia="Batang"/>
          <w:spacing w:val="-2"/>
          <w:sz w:val="20"/>
          <w:szCs w:val="20"/>
          <w:lang w:val="en-US"/>
        </w:rPr>
        <w:t>was violated, because those characteristics may change an individual’s perception of the reality and, consequently, increase the suffering and the feeling of humiliation when they are subjected to certain types of treatment.</w:t>
      </w:r>
      <w:r w:rsidR="009E4F6C" w:rsidRPr="009D52FD">
        <w:rPr>
          <w:rFonts w:eastAsia="Batang"/>
          <w:sz w:val="20"/>
          <w:szCs w:val="20"/>
          <w:vertAlign w:val="superscript"/>
          <w:lang w:val="en-US"/>
        </w:rPr>
        <w:footnoteReference w:id="281"/>
      </w:r>
    </w:p>
    <w:p w14:paraId="6EC2FF12" w14:textId="77777777" w:rsidR="009E4F6C" w:rsidRPr="009D52FD" w:rsidRDefault="009E4F6C" w:rsidP="009E4F6C">
      <w:pPr>
        <w:tabs>
          <w:tab w:val="left" w:pos="567"/>
        </w:tabs>
        <w:spacing w:line="240" w:lineRule="auto"/>
        <w:rPr>
          <w:b/>
          <w:i/>
          <w:color w:val="000000"/>
          <w:sz w:val="20"/>
          <w:szCs w:val="20"/>
          <w:lang w:val="en-US" w:eastAsia="en-US"/>
        </w:rPr>
      </w:pPr>
    </w:p>
    <w:p w14:paraId="49C0585D" w14:textId="6E7531B0" w:rsidR="009E4F6C" w:rsidRPr="009D52FD" w:rsidRDefault="007C1840" w:rsidP="007C1840">
      <w:pPr>
        <w:numPr>
          <w:ilvl w:val="0"/>
          <w:numId w:val="1"/>
        </w:numPr>
        <w:tabs>
          <w:tab w:val="left" w:pos="567"/>
        </w:tabs>
        <w:spacing w:line="240" w:lineRule="auto"/>
        <w:ind w:left="0" w:firstLine="0"/>
        <w:rPr>
          <w:b/>
          <w:i/>
          <w:color w:val="000000"/>
          <w:sz w:val="20"/>
          <w:szCs w:val="20"/>
          <w:lang w:val="en-US" w:eastAsia="en-US"/>
        </w:rPr>
      </w:pPr>
      <w:r w:rsidRPr="009D52FD">
        <w:rPr>
          <w:rFonts w:eastAsia="Batang"/>
          <w:spacing w:val="-2"/>
          <w:sz w:val="20"/>
          <w:szCs w:val="20"/>
          <w:lang w:val="en-US"/>
        </w:rPr>
        <w:t>In light</w:t>
      </w:r>
      <w:r w:rsidR="009E4F6C" w:rsidRPr="009D52FD">
        <w:rPr>
          <w:rFonts w:eastAsia="Batang"/>
          <w:spacing w:val="-2"/>
          <w:sz w:val="20"/>
          <w:szCs w:val="20"/>
          <w:lang w:val="en-US"/>
        </w:rPr>
        <w:t xml:space="preserve"> </w:t>
      </w:r>
      <w:r w:rsidR="00D32B3E" w:rsidRPr="009D52FD">
        <w:rPr>
          <w:rFonts w:eastAsia="Batang"/>
          <w:spacing w:val="-2"/>
          <w:sz w:val="20"/>
          <w:szCs w:val="20"/>
          <w:lang w:val="en-US"/>
        </w:rPr>
        <w:t>of Article</w:t>
      </w:r>
      <w:r w:rsidR="00483040" w:rsidRPr="009D52FD">
        <w:rPr>
          <w:rFonts w:eastAsia="Batang"/>
          <w:spacing w:val="-2"/>
          <w:sz w:val="20"/>
          <w:szCs w:val="20"/>
          <w:lang w:val="en-US"/>
        </w:rPr>
        <w:t xml:space="preserve"> 5(2)</w:t>
      </w:r>
      <w:r w:rsidR="003630BB" w:rsidRPr="009D52FD">
        <w:rPr>
          <w:rFonts w:eastAsia="Batang"/>
          <w:spacing w:val="-2"/>
          <w:sz w:val="20"/>
          <w:szCs w:val="20"/>
          <w:lang w:val="en-US"/>
        </w:rPr>
        <w:t xml:space="preserve"> of the American Convention and </w:t>
      </w:r>
      <w:r w:rsidRPr="009D52FD">
        <w:rPr>
          <w:rFonts w:eastAsia="Batang"/>
          <w:spacing w:val="-2"/>
          <w:sz w:val="20"/>
          <w:szCs w:val="20"/>
          <w:lang w:val="en-US"/>
        </w:rPr>
        <w:t>pursuant to this Court’s case law, an act that constitutes torture is present when the ill-treatment: (i) is intentional; (ii) causes severe physical or mental suffering, and (iii) is committed with any objective or purpose.</w:t>
      </w:r>
      <w:r w:rsidR="009E4F6C" w:rsidRPr="009D52FD">
        <w:rPr>
          <w:rFonts w:eastAsia="Batang"/>
          <w:spacing w:val="-2"/>
          <w:sz w:val="20"/>
          <w:szCs w:val="20"/>
          <w:vertAlign w:val="superscript"/>
          <w:lang w:val="en-US"/>
        </w:rPr>
        <w:footnoteReference w:id="282"/>
      </w:r>
    </w:p>
    <w:p w14:paraId="730AC751" w14:textId="77777777" w:rsidR="009E4F6C" w:rsidRPr="009D52FD" w:rsidRDefault="009E4F6C" w:rsidP="009E4F6C">
      <w:pPr>
        <w:widowControl/>
        <w:tabs>
          <w:tab w:val="left" w:pos="567"/>
        </w:tabs>
        <w:adjustRightInd/>
        <w:spacing w:line="240" w:lineRule="auto"/>
        <w:textAlignment w:val="auto"/>
        <w:rPr>
          <w:color w:val="000000"/>
          <w:sz w:val="20"/>
          <w:szCs w:val="20"/>
          <w:lang w:val="en-US" w:eastAsia="en-US"/>
        </w:rPr>
      </w:pPr>
    </w:p>
    <w:p w14:paraId="7F8D5EF7" w14:textId="67B67BF5" w:rsidR="009E4F6C" w:rsidRPr="009D52FD" w:rsidRDefault="007C1840" w:rsidP="007C1840">
      <w:pPr>
        <w:numPr>
          <w:ilvl w:val="0"/>
          <w:numId w:val="1"/>
        </w:numPr>
        <w:tabs>
          <w:tab w:val="left" w:pos="567"/>
        </w:tabs>
        <w:spacing w:line="240" w:lineRule="auto"/>
        <w:ind w:left="0" w:firstLine="0"/>
        <w:rPr>
          <w:b/>
          <w:i/>
          <w:color w:val="000000"/>
          <w:sz w:val="20"/>
          <w:szCs w:val="20"/>
          <w:lang w:val="en-US" w:eastAsia="en-US"/>
        </w:rPr>
      </w:pPr>
      <w:r w:rsidRPr="009D52FD">
        <w:rPr>
          <w:color w:val="000000"/>
          <w:sz w:val="20"/>
          <w:szCs w:val="20"/>
          <w:lang w:val="en-US" w:eastAsia="en-US"/>
        </w:rPr>
        <w:t>Based on the evidence provided, the Court finds that the gravity and intensity of the severe physical, verbal, psychological and sexual abuse suffered by Linda Loaiza has been proved</w:t>
      </w:r>
      <w:r w:rsidR="009E4F6C" w:rsidRPr="009D52FD">
        <w:rPr>
          <w:color w:val="000000"/>
          <w:sz w:val="20"/>
          <w:szCs w:val="20"/>
          <w:vertAlign w:val="superscript"/>
          <w:lang w:val="en-US" w:eastAsia="en-US"/>
        </w:rPr>
        <w:footnoteReference w:id="283"/>
      </w:r>
      <w:r w:rsidR="009E4F6C" w:rsidRPr="009D52FD">
        <w:rPr>
          <w:color w:val="000000"/>
          <w:sz w:val="20"/>
          <w:szCs w:val="20"/>
          <w:lang w:val="en-US" w:eastAsia="en-US"/>
        </w:rPr>
        <w:t xml:space="preserve"> (</w:t>
      </w:r>
      <w:r w:rsidR="009E4F6C" w:rsidRPr="009D52FD">
        <w:rPr>
          <w:i/>
          <w:color w:val="000000"/>
          <w:sz w:val="20"/>
          <w:szCs w:val="20"/>
          <w:lang w:val="en-US" w:eastAsia="en-US"/>
        </w:rPr>
        <w:t>supra</w:t>
      </w:r>
      <w:r w:rsidR="009E4F6C" w:rsidRPr="009D52FD">
        <w:rPr>
          <w:color w:val="000000"/>
          <w:sz w:val="20"/>
          <w:szCs w:val="20"/>
          <w:lang w:val="en-US" w:eastAsia="en-US"/>
        </w:rPr>
        <w:t xml:space="preserve"> </w:t>
      </w:r>
      <w:r w:rsidR="009459E7" w:rsidRPr="009D52FD">
        <w:rPr>
          <w:color w:val="000000"/>
          <w:sz w:val="20"/>
          <w:szCs w:val="20"/>
          <w:lang w:val="en-US" w:eastAsia="en-US"/>
        </w:rPr>
        <w:t>para.</w:t>
      </w:r>
      <w:r w:rsidR="009E4F6C" w:rsidRPr="009D52FD">
        <w:rPr>
          <w:color w:val="000000"/>
          <w:sz w:val="20"/>
          <w:szCs w:val="20"/>
          <w:lang w:val="en-US" w:eastAsia="en-US"/>
        </w:rPr>
        <w:t xml:space="preserve"> </w:t>
      </w:r>
      <w:r w:rsidR="0094457E" w:rsidRPr="009D52FD">
        <w:rPr>
          <w:color w:val="000000"/>
          <w:sz w:val="20"/>
          <w:szCs w:val="20"/>
          <w:lang w:val="en-US" w:eastAsia="en-US"/>
        </w:rPr>
        <w:t>114</w:t>
      </w:r>
      <w:r w:rsidR="009E4F6C" w:rsidRPr="009D52FD">
        <w:rPr>
          <w:color w:val="000000"/>
          <w:sz w:val="20"/>
          <w:szCs w:val="20"/>
          <w:lang w:val="en-US" w:eastAsia="en-US"/>
        </w:rPr>
        <w:t>)</w:t>
      </w:r>
      <w:r w:rsidRPr="009D52FD">
        <w:rPr>
          <w:color w:val="000000"/>
          <w:sz w:val="20"/>
          <w:szCs w:val="20"/>
          <w:lang w:val="en-US" w:eastAsia="en-US"/>
        </w:rPr>
        <w:t>; that this was perpetrated intentionally and persisted for almost four months, when she was in a situation of total helplessness and under the control of her aggressor. In addition, it has been established that she was subjected to reiterated rape, an extremely traumatic experience that has severe consequences and causes great physical and mental harm leaving the victim “physically and emotionally humiliated.</w:t>
      </w:r>
      <w:r w:rsidR="009E4F6C" w:rsidRPr="009D52FD">
        <w:rPr>
          <w:color w:val="000000"/>
          <w:sz w:val="20"/>
          <w:szCs w:val="20"/>
          <w:lang w:val="en-US" w:eastAsia="en-US"/>
        </w:rPr>
        <w:t>”</w:t>
      </w:r>
      <w:r w:rsidR="009E4F6C" w:rsidRPr="009D52FD">
        <w:rPr>
          <w:color w:val="000000"/>
          <w:sz w:val="20"/>
          <w:szCs w:val="20"/>
          <w:vertAlign w:val="superscript"/>
          <w:lang w:val="en-US" w:eastAsia="en-US"/>
        </w:rPr>
        <w:footnoteReference w:id="284"/>
      </w:r>
      <w:r w:rsidRPr="009D52FD">
        <w:rPr>
          <w:color w:val="000000"/>
          <w:sz w:val="20"/>
          <w:szCs w:val="20"/>
          <w:lang w:val="en-US" w:eastAsia="en-US"/>
        </w:rPr>
        <w:t xml:space="preserve"> In this regard,</w:t>
      </w:r>
      <w:r w:rsidR="009E4F6C" w:rsidRPr="009D52FD">
        <w:rPr>
          <w:color w:val="000000"/>
          <w:sz w:val="20"/>
          <w:szCs w:val="20"/>
          <w:lang w:val="en-US" w:eastAsia="en-US"/>
        </w:rPr>
        <w:t xml:space="preserve"> </w:t>
      </w:r>
      <w:r w:rsidR="003630BB" w:rsidRPr="009D52FD">
        <w:rPr>
          <w:color w:val="000000"/>
          <w:sz w:val="20"/>
          <w:szCs w:val="20"/>
          <w:lang w:val="en-US" w:eastAsia="en-US"/>
        </w:rPr>
        <w:t>the Court</w:t>
      </w:r>
      <w:r w:rsidR="009E4F6C" w:rsidRPr="009D52FD">
        <w:rPr>
          <w:color w:val="000000"/>
          <w:sz w:val="20"/>
          <w:szCs w:val="20"/>
          <w:lang w:val="en-US" w:eastAsia="en-US"/>
        </w:rPr>
        <w:t xml:space="preserve"> ha</w:t>
      </w:r>
      <w:r w:rsidRPr="009D52FD">
        <w:rPr>
          <w:color w:val="000000"/>
          <w:sz w:val="20"/>
          <w:szCs w:val="20"/>
          <w:lang w:val="en-US" w:eastAsia="en-US"/>
        </w:rPr>
        <w:t>s affirmed that the severe suffering of the victim is inherent in rape and, in this case, it was accompanied by extremely severe bodily injuries and physical ailments. The Court also notes that the victim stated that her aggressor showed her photographs of other women who he had subjected to the same treatment,</w:t>
      </w:r>
      <w:r w:rsidR="009E4F6C" w:rsidRPr="009D52FD">
        <w:rPr>
          <w:color w:val="000000"/>
          <w:sz w:val="20"/>
          <w:szCs w:val="20"/>
          <w:vertAlign w:val="superscript"/>
          <w:lang w:val="en-US" w:eastAsia="en-US"/>
        </w:rPr>
        <w:footnoteReference w:id="285"/>
      </w:r>
      <w:r w:rsidRPr="009D52FD">
        <w:rPr>
          <w:color w:val="000000"/>
          <w:sz w:val="20"/>
          <w:szCs w:val="20"/>
          <w:lang w:val="en-US" w:eastAsia="en-US"/>
        </w:rPr>
        <w:t xml:space="preserve"> which constituted a form of threat that had a significant psychological impact.</w:t>
      </w:r>
    </w:p>
    <w:p w14:paraId="6D812356" w14:textId="77777777" w:rsidR="009E4F6C" w:rsidRPr="009D52FD" w:rsidRDefault="009E4F6C" w:rsidP="009E4F6C">
      <w:pPr>
        <w:tabs>
          <w:tab w:val="left" w:pos="567"/>
        </w:tabs>
        <w:spacing w:line="240" w:lineRule="auto"/>
        <w:rPr>
          <w:b/>
          <w:i/>
          <w:color w:val="000000"/>
          <w:sz w:val="20"/>
          <w:szCs w:val="20"/>
          <w:lang w:val="en-US" w:eastAsia="en-US"/>
        </w:rPr>
      </w:pPr>
    </w:p>
    <w:p w14:paraId="0E3592F4" w14:textId="3ECFB56D" w:rsidR="009E4F6C" w:rsidRPr="009D52FD" w:rsidRDefault="00803A3E" w:rsidP="00C444B4">
      <w:pPr>
        <w:numPr>
          <w:ilvl w:val="0"/>
          <w:numId w:val="1"/>
        </w:numPr>
        <w:tabs>
          <w:tab w:val="left" w:pos="567"/>
        </w:tabs>
        <w:spacing w:line="240" w:lineRule="auto"/>
        <w:ind w:left="0" w:firstLine="0"/>
        <w:rPr>
          <w:b/>
          <w:i/>
          <w:color w:val="000000"/>
          <w:sz w:val="20"/>
          <w:szCs w:val="20"/>
          <w:lang w:val="en-US" w:eastAsia="en-US"/>
        </w:rPr>
      </w:pPr>
      <w:r w:rsidRPr="009D52FD">
        <w:rPr>
          <w:color w:val="000000"/>
          <w:sz w:val="20"/>
          <w:szCs w:val="20"/>
          <w:lang w:val="en-US" w:eastAsia="en-US"/>
        </w:rPr>
        <w:t>In addition,</w:t>
      </w:r>
      <w:r w:rsidR="009E4F6C" w:rsidRPr="009D52FD">
        <w:rPr>
          <w:color w:val="000000"/>
          <w:sz w:val="20"/>
          <w:szCs w:val="20"/>
          <w:lang w:val="en-US" w:eastAsia="en-US"/>
        </w:rPr>
        <w:t xml:space="preserve"> </w:t>
      </w:r>
      <w:r w:rsidR="00C444B4" w:rsidRPr="009D52FD">
        <w:rPr>
          <w:color w:val="000000"/>
          <w:sz w:val="20"/>
          <w:szCs w:val="20"/>
          <w:lang w:val="en-US" w:eastAsia="en-US"/>
        </w:rPr>
        <w:t>the evidence received reveals that the aggressor’s purpose was to intimidate her, obliterate her personality and subjugate her. Ultimately, it was to assert a position of domination o</w:t>
      </w:r>
      <w:r w:rsidR="00EE58EF" w:rsidRPr="009D52FD">
        <w:rPr>
          <w:color w:val="000000"/>
          <w:sz w:val="20"/>
          <w:szCs w:val="20"/>
          <w:lang w:val="en-US" w:eastAsia="en-US"/>
        </w:rPr>
        <w:t>ver women,</w:t>
      </w:r>
      <w:r w:rsidR="00C444B4" w:rsidRPr="009D52FD">
        <w:rPr>
          <w:color w:val="000000"/>
          <w:sz w:val="20"/>
          <w:szCs w:val="20"/>
          <w:lang w:val="en-US" w:eastAsia="en-US"/>
        </w:rPr>
        <w:t xml:space="preserve"> and assert his relationship of power and patriarchal domination over the victim, which demonstrated the discriminatory purpose. In this regard, the Court has emphasized the significant role played by discrimination when examining violations of women’s human rights and its alignment with torture and ill-treatment from a gender perspective.</w:t>
      </w:r>
      <w:r w:rsidR="009E4F6C" w:rsidRPr="009D52FD">
        <w:rPr>
          <w:color w:val="000000"/>
          <w:sz w:val="20"/>
          <w:szCs w:val="20"/>
          <w:vertAlign w:val="superscript"/>
          <w:lang w:val="en-US" w:eastAsia="en-US"/>
        </w:rPr>
        <w:footnoteReference w:id="286"/>
      </w:r>
      <w:r w:rsidR="00C444B4" w:rsidRPr="009D52FD">
        <w:rPr>
          <w:color w:val="000000"/>
          <w:sz w:val="20"/>
          <w:szCs w:val="20"/>
          <w:lang w:val="en-US" w:eastAsia="en-US"/>
        </w:rPr>
        <w:t xml:space="preserve"> Consequently, the Court </w:t>
      </w:r>
      <w:r w:rsidR="00C444B4" w:rsidRPr="009D52FD">
        <w:rPr>
          <w:color w:val="000000"/>
          <w:sz w:val="20"/>
          <w:szCs w:val="20"/>
          <w:lang w:val="en-US" w:eastAsia="en-US"/>
        </w:rPr>
        <w:lastRenderedPageBreak/>
        <w:t xml:space="preserve">finds that </w:t>
      </w:r>
      <w:r w:rsidR="009E4F6C" w:rsidRPr="009D52FD">
        <w:rPr>
          <w:color w:val="000000"/>
          <w:sz w:val="20"/>
          <w:szCs w:val="20"/>
          <w:lang w:val="en-US" w:eastAsia="en-US"/>
        </w:rPr>
        <w:t>Linda Loaiza</w:t>
      </w:r>
      <w:r w:rsidR="00C444B4" w:rsidRPr="009D52FD">
        <w:rPr>
          <w:color w:val="000000"/>
          <w:sz w:val="20"/>
          <w:szCs w:val="20"/>
          <w:lang w:val="en-US" w:eastAsia="en-US"/>
        </w:rPr>
        <w:t xml:space="preserve"> was subjected to acts of physical, sexual and psychological torture, in </w:t>
      </w:r>
      <w:r w:rsidR="00EE58EF" w:rsidRPr="009D52FD">
        <w:rPr>
          <w:color w:val="000000"/>
          <w:sz w:val="20"/>
          <w:szCs w:val="20"/>
          <w:lang w:val="en-US" w:eastAsia="en-US"/>
        </w:rPr>
        <w:t>keeping</w:t>
      </w:r>
      <w:r w:rsidR="00C444B4" w:rsidRPr="009D52FD">
        <w:rPr>
          <w:color w:val="000000"/>
          <w:sz w:val="20"/>
          <w:szCs w:val="20"/>
          <w:lang w:val="en-US" w:eastAsia="en-US"/>
        </w:rPr>
        <w:t xml:space="preserve"> with the three elements that the Court has enumerated and in the terms </w:t>
      </w:r>
      <w:r w:rsidR="00D32B3E" w:rsidRPr="009D52FD">
        <w:rPr>
          <w:color w:val="000000"/>
          <w:sz w:val="20"/>
          <w:szCs w:val="20"/>
          <w:lang w:val="en-US" w:eastAsia="en-US"/>
        </w:rPr>
        <w:t>of Article</w:t>
      </w:r>
      <w:r w:rsidR="00483040" w:rsidRPr="009D52FD">
        <w:rPr>
          <w:color w:val="000000"/>
          <w:sz w:val="20"/>
          <w:szCs w:val="20"/>
          <w:lang w:val="en-US" w:eastAsia="en-US"/>
        </w:rPr>
        <w:t xml:space="preserve"> 5(2)</w:t>
      </w:r>
      <w:r w:rsidR="003630BB" w:rsidRPr="009D52FD">
        <w:rPr>
          <w:color w:val="000000"/>
          <w:sz w:val="20"/>
          <w:szCs w:val="20"/>
          <w:lang w:val="en-US" w:eastAsia="en-US"/>
        </w:rPr>
        <w:t xml:space="preserve"> of the American Convention</w:t>
      </w:r>
      <w:r w:rsidR="009E4F6C" w:rsidRPr="009D52FD">
        <w:rPr>
          <w:color w:val="000000"/>
          <w:sz w:val="20"/>
          <w:szCs w:val="20"/>
          <w:lang w:val="en-US" w:eastAsia="en-US"/>
        </w:rPr>
        <w:t>.</w:t>
      </w:r>
    </w:p>
    <w:p w14:paraId="38536618" w14:textId="1887D84B" w:rsidR="009E4F6C" w:rsidRPr="009D52FD" w:rsidRDefault="00C444B4" w:rsidP="009E4F6C">
      <w:pPr>
        <w:tabs>
          <w:tab w:val="left" w:pos="567"/>
        </w:tabs>
        <w:spacing w:line="240" w:lineRule="auto"/>
        <w:rPr>
          <w:b/>
          <w:i/>
          <w:color w:val="000000"/>
          <w:sz w:val="20"/>
          <w:szCs w:val="20"/>
          <w:lang w:val="en-US" w:eastAsia="en-US"/>
        </w:rPr>
      </w:pPr>
      <w:r w:rsidRPr="009D52FD">
        <w:rPr>
          <w:b/>
          <w:i/>
          <w:color w:val="000000"/>
          <w:sz w:val="20"/>
          <w:szCs w:val="20"/>
          <w:lang w:val="en-US" w:eastAsia="en-US"/>
        </w:rPr>
        <w:t xml:space="preserve"> </w:t>
      </w:r>
    </w:p>
    <w:p w14:paraId="72807D2F" w14:textId="689D94C8" w:rsidR="0054505B" w:rsidRPr="009D52FD" w:rsidRDefault="00C444B4" w:rsidP="00C444B4">
      <w:pPr>
        <w:numPr>
          <w:ilvl w:val="0"/>
          <w:numId w:val="1"/>
        </w:numPr>
        <w:tabs>
          <w:tab w:val="left" w:pos="567"/>
        </w:tabs>
        <w:spacing w:line="240" w:lineRule="auto"/>
        <w:ind w:left="0" w:firstLine="0"/>
        <w:rPr>
          <w:sz w:val="20"/>
          <w:szCs w:val="20"/>
          <w:lang w:val="en-US" w:eastAsia="en-US"/>
        </w:rPr>
      </w:pPr>
      <w:r w:rsidRPr="009D52FD">
        <w:rPr>
          <w:color w:val="000000"/>
          <w:sz w:val="20"/>
          <w:szCs w:val="20"/>
          <w:lang w:val="en-US" w:eastAsia="en-US"/>
        </w:rPr>
        <w:t>The State has disputed the categorization of these acts as torture because they were not perpetrated directly by a public official. However, it is pertinent to recall that the definition adopted by this Court only refers to three elements (</w:t>
      </w:r>
      <w:r w:rsidRPr="009D52FD">
        <w:rPr>
          <w:i/>
          <w:color w:val="000000"/>
          <w:sz w:val="20"/>
          <w:szCs w:val="20"/>
          <w:lang w:val="en-US" w:eastAsia="en-US"/>
        </w:rPr>
        <w:t>supra</w:t>
      </w:r>
      <w:r w:rsidRPr="009D52FD">
        <w:rPr>
          <w:color w:val="000000"/>
          <w:sz w:val="20"/>
          <w:szCs w:val="20"/>
          <w:lang w:val="en-US" w:eastAsia="en-US"/>
        </w:rPr>
        <w:t xml:space="preserve"> para. 186),</w:t>
      </w:r>
      <w:r w:rsidRPr="009D52FD">
        <w:rPr>
          <w:rStyle w:val="FootnoteReference"/>
          <w:color w:val="000000"/>
          <w:sz w:val="20"/>
          <w:szCs w:val="20"/>
          <w:lang w:val="en-US" w:eastAsia="en-US"/>
        </w:rPr>
        <w:footnoteReference w:id="287"/>
      </w:r>
      <w:r w:rsidRPr="009D52FD">
        <w:rPr>
          <w:color w:val="000000"/>
          <w:sz w:val="20"/>
          <w:szCs w:val="20"/>
          <w:lang w:val="en-US" w:eastAsia="en-US"/>
        </w:rPr>
        <w:t xml:space="preserve"> which are present in this case. Indeed, since Article 5(2) of the </w:t>
      </w:r>
      <w:r w:rsidRPr="009D52FD">
        <w:rPr>
          <w:sz w:val="20"/>
          <w:szCs w:val="20"/>
          <w:lang w:val="en-US"/>
        </w:rPr>
        <w:t>American Convention does not specify what should be understood as “torture,” the Court has had recourse to both Article 2 of the ICPPT,</w:t>
      </w:r>
      <w:r w:rsidRPr="009D52FD">
        <w:rPr>
          <w:sz w:val="20"/>
          <w:szCs w:val="20"/>
          <w:vertAlign w:val="superscript"/>
          <w:lang w:val="en-US"/>
        </w:rPr>
        <w:footnoteReference w:id="288"/>
      </w:r>
      <w:r w:rsidRPr="009D52FD">
        <w:rPr>
          <w:sz w:val="20"/>
          <w:szCs w:val="20"/>
          <w:lang w:val="en-US"/>
        </w:rPr>
        <w:t xml:space="preserve"> and to other definitions contained in the international instruments that establish the prohibition of torture</w:t>
      </w:r>
      <w:r w:rsidR="009E4F6C" w:rsidRPr="009D52FD">
        <w:rPr>
          <w:sz w:val="20"/>
          <w:szCs w:val="20"/>
          <w:vertAlign w:val="superscript"/>
          <w:lang w:val="en-US"/>
        </w:rPr>
        <w:footnoteReference w:id="289"/>
      </w:r>
      <w:r w:rsidRPr="009D52FD">
        <w:rPr>
          <w:sz w:val="20"/>
          <w:szCs w:val="20"/>
          <w:lang w:val="en-US"/>
        </w:rPr>
        <w:t xml:space="preserve"> in order to interpret the elements that constitute torture.</w:t>
      </w:r>
      <w:r w:rsidR="009E4F6C" w:rsidRPr="009D52FD">
        <w:rPr>
          <w:sz w:val="20"/>
          <w:szCs w:val="20"/>
          <w:vertAlign w:val="superscript"/>
          <w:lang w:val="en-US"/>
        </w:rPr>
        <w:footnoteReference w:id="290"/>
      </w:r>
      <w:r w:rsidR="009E4F6C" w:rsidRPr="009D52FD">
        <w:rPr>
          <w:sz w:val="20"/>
          <w:szCs w:val="20"/>
          <w:lang w:val="en-US"/>
        </w:rPr>
        <w:t xml:space="preserve"> </w:t>
      </w:r>
      <w:r w:rsidRPr="009D52FD">
        <w:rPr>
          <w:sz w:val="20"/>
          <w:szCs w:val="20"/>
          <w:lang w:val="en-US"/>
        </w:rPr>
        <w:t>When adopting these elements, the Court did not establish a requirement that the act had to be committed by a public official.</w:t>
      </w:r>
    </w:p>
    <w:p w14:paraId="464F6571" w14:textId="77777777" w:rsidR="0054505B" w:rsidRPr="009D52FD" w:rsidRDefault="0054505B" w:rsidP="0054505B">
      <w:pPr>
        <w:tabs>
          <w:tab w:val="left" w:pos="567"/>
        </w:tabs>
        <w:spacing w:line="240" w:lineRule="auto"/>
        <w:rPr>
          <w:sz w:val="20"/>
          <w:szCs w:val="20"/>
          <w:lang w:val="en-US" w:eastAsia="en-US"/>
        </w:rPr>
      </w:pPr>
    </w:p>
    <w:p w14:paraId="6EF37325" w14:textId="6D44C6EC" w:rsidR="0054505B" w:rsidRPr="009D52FD" w:rsidRDefault="00C444B4" w:rsidP="00845B78">
      <w:pPr>
        <w:numPr>
          <w:ilvl w:val="0"/>
          <w:numId w:val="1"/>
        </w:numPr>
        <w:tabs>
          <w:tab w:val="left" w:pos="567"/>
        </w:tabs>
        <w:spacing w:line="240" w:lineRule="auto"/>
        <w:ind w:left="0" w:firstLine="0"/>
        <w:rPr>
          <w:sz w:val="20"/>
          <w:szCs w:val="20"/>
          <w:lang w:val="en-US" w:eastAsia="en-US"/>
        </w:rPr>
      </w:pPr>
      <w:r w:rsidRPr="009D52FD">
        <w:rPr>
          <w:sz w:val="20"/>
          <w:szCs w:val="20"/>
          <w:lang w:val="en-US"/>
        </w:rPr>
        <w:t xml:space="preserve">This interpretation </w:t>
      </w:r>
      <w:r w:rsidR="00726B1A" w:rsidRPr="009D52FD">
        <w:rPr>
          <w:sz w:val="20"/>
          <w:szCs w:val="20"/>
          <w:lang w:val="en-US"/>
        </w:rPr>
        <w:t xml:space="preserve">is corroborated by the literal meaning of the text </w:t>
      </w:r>
      <w:r w:rsidR="00D32B3E" w:rsidRPr="009D52FD">
        <w:rPr>
          <w:sz w:val="20"/>
          <w:szCs w:val="20"/>
          <w:lang w:val="en-US"/>
        </w:rPr>
        <w:t>of the ICPPT</w:t>
      </w:r>
      <w:r w:rsidR="0054505B" w:rsidRPr="009D52FD">
        <w:rPr>
          <w:sz w:val="20"/>
          <w:szCs w:val="20"/>
          <w:lang w:val="en-US"/>
        </w:rPr>
        <w:t xml:space="preserve">, </w:t>
      </w:r>
      <w:r w:rsidR="00726B1A" w:rsidRPr="009D52FD">
        <w:rPr>
          <w:sz w:val="20"/>
          <w:szCs w:val="20"/>
          <w:lang w:val="en-US"/>
        </w:rPr>
        <w:t xml:space="preserve">which leads to the conclusion that the provisions of its </w:t>
      </w:r>
      <w:r w:rsidR="003630BB" w:rsidRPr="009D52FD">
        <w:rPr>
          <w:sz w:val="20"/>
          <w:szCs w:val="20"/>
          <w:lang w:val="en-US"/>
        </w:rPr>
        <w:t>Article</w:t>
      </w:r>
      <w:r w:rsidR="0054505B" w:rsidRPr="009D52FD">
        <w:rPr>
          <w:sz w:val="20"/>
          <w:szCs w:val="20"/>
          <w:lang w:val="en-US"/>
        </w:rPr>
        <w:t xml:space="preserve"> 3 </w:t>
      </w:r>
      <w:r w:rsidR="00726B1A" w:rsidRPr="009D52FD">
        <w:rPr>
          <w:sz w:val="20"/>
          <w:szCs w:val="20"/>
          <w:lang w:val="en-US"/>
        </w:rPr>
        <w:t>refer to the criminal responsibilities and not to the attribution of responsibility to the State, which is a function of this Court. Thus, in its defin</w:t>
      </w:r>
      <w:r w:rsidR="007206C1" w:rsidRPr="009D52FD">
        <w:rPr>
          <w:sz w:val="20"/>
          <w:szCs w:val="20"/>
          <w:lang w:val="en-US"/>
        </w:rPr>
        <w:t>i</w:t>
      </w:r>
      <w:r w:rsidR="00726B1A" w:rsidRPr="009D52FD">
        <w:rPr>
          <w:sz w:val="20"/>
          <w:szCs w:val="20"/>
          <w:lang w:val="en-US"/>
        </w:rPr>
        <w:t xml:space="preserve">tion of torture in Article 2, </w:t>
      </w:r>
      <w:r w:rsidR="00C72369" w:rsidRPr="009D52FD">
        <w:rPr>
          <w:sz w:val="20"/>
          <w:szCs w:val="20"/>
          <w:lang w:val="en-US"/>
        </w:rPr>
        <w:t>ICPPT</w:t>
      </w:r>
      <w:r w:rsidR="009E4F6C" w:rsidRPr="009D52FD">
        <w:rPr>
          <w:sz w:val="20"/>
          <w:szCs w:val="20"/>
          <w:lang w:val="en-US"/>
        </w:rPr>
        <w:t xml:space="preserve"> </w:t>
      </w:r>
      <w:r w:rsidR="00726B1A" w:rsidRPr="009D52FD">
        <w:rPr>
          <w:sz w:val="20"/>
          <w:szCs w:val="20"/>
          <w:lang w:val="en-US"/>
        </w:rPr>
        <w:t xml:space="preserve">does not incorporate a connection to the State, but establishes this separately in its </w:t>
      </w:r>
      <w:r w:rsidR="003630BB" w:rsidRPr="009D52FD">
        <w:rPr>
          <w:sz w:val="20"/>
          <w:szCs w:val="20"/>
          <w:lang w:val="en-US"/>
        </w:rPr>
        <w:t>Article</w:t>
      </w:r>
      <w:r w:rsidR="009E4F6C" w:rsidRPr="009D52FD">
        <w:rPr>
          <w:sz w:val="20"/>
          <w:szCs w:val="20"/>
          <w:lang w:val="en-US"/>
        </w:rPr>
        <w:t xml:space="preserve"> 3 </w:t>
      </w:r>
      <w:r w:rsidR="00726B1A" w:rsidRPr="009D52FD">
        <w:rPr>
          <w:sz w:val="20"/>
          <w:szCs w:val="20"/>
          <w:lang w:val="en-US"/>
        </w:rPr>
        <w:t>when referring to th</w:t>
      </w:r>
      <w:r w:rsidR="007206C1" w:rsidRPr="009D52FD">
        <w:rPr>
          <w:sz w:val="20"/>
          <w:szCs w:val="20"/>
          <w:lang w:val="en-US"/>
        </w:rPr>
        <w:t>ose</w:t>
      </w:r>
      <w:r w:rsidR="00726B1A" w:rsidRPr="009D52FD">
        <w:rPr>
          <w:sz w:val="20"/>
          <w:szCs w:val="20"/>
          <w:lang w:val="en-US"/>
        </w:rPr>
        <w:t xml:space="preserve"> </w:t>
      </w:r>
      <w:r w:rsidR="009E4F6C" w:rsidRPr="009D52FD">
        <w:rPr>
          <w:sz w:val="20"/>
          <w:szCs w:val="20"/>
          <w:lang w:val="en-US"/>
        </w:rPr>
        <w:t>“</w:t>
      </w:r>
      <w:r w:rsidR="007206C1" w:rsidRPr="009D52FD">
        <w:rPr>
          <w:sz w:val="20"/>
          <w:szCs w:val="20"/>
          <w:lang w:val="en-US"/>
        </w:rPr>
        <w:t>guilty of the crime of torture,</w:t>
      </w:r>
      <w:r w:rsidR="009E4F6C" w:rsidRPr="009D52FD">
        <w:rPr>
          <w:sz w:val="20"/>
          <w:szCs w:val="20"/>
          <w:lang w:val="en-US"/>
        </w:rPr>
        <w:t>”</w:t>
      </w:r>
      <w:r w:rsidR="009E4F6C" w:rsidRPr="009D52FD">
        <w:rPr>
          <w:sz w:val="20"/>
          <w:szCs w:val="20"/>
          <w:vertAlign w:val="superscript"/>
          <w:lang w:val="en-US"/>
        </w:rPr>
        <w:footnoteReference w:id="291"/>
      </w:r>
      <w:r w:rsidR="009E4F6C" w:rsidRPr="009D52FD">
        <w:rPr>
          <w:sz w:val="20"/>
          <w:szCs w:val="20"/>
          <w:lang w:val="en-US"/>
        </w:rPr>
        <w:t xml:space="preserve"> </w:t>
      </w:r>
      <w:r w:rsidR="007206C1" w:rsidRPr="009D52FD">
        <w:rPr>
          <w:sz w:val="20"/>
          <w:szCs w:val="20"/>
          <w:lang w:val="en-US"/>
        </w:rPr>
        <w:t xml:space="preserve">in evident reference to the domestic criminal jurisdiction. Thus, this would not be relevant for establishing the State’s </w:t>
      </w:r>
      <w:r w:rsidR="0098665D" w:rsidRPr="009D52FD">
        <w:rPr>
          <w:sz w:val="20"/>
          <w:szCs w:val="20"/>
          <w:lang w:val="en-US"/>
        </w:rPr>
        <w:t>international responsibility</w:t>
      </w:r>
      <w:r w:rsidR="00820496" w:rsidRPr="009D52FD">
        <w:rPr>
          <w:sz w:val="20"/>
          <w:szCs w:val="20"/>
          <w:lang w:val="en-US"/>
        </w:rPr>
        <w:t xml:space="preserve">, </w:t>
      </w:r>
      <w:r w:rsidR="00845B78" w:rsidRPr="009D52FD">
        <w:rPr>
          <w:sz w:val="20"/>
          <w:szCs w:val="20"/>
          <w:lang w:val="en-US"/>
        </w:rPr>
        <w:t xml:space="preserve">which must be governed by the rules of international law. Moreover, if the provisions of Article 3 are considered to be a condition for the definition of torture, it is pertinent to stress that this instrument also refers expressly to situations in which private individuals could participate, if the public officials failed to prevent the acts of torture, </w:t>
      </w:r>
      <w:r w:rsidR="000D1879" w:rsidRPr="009D52FD">
        <w:rPr>
          <w:sz w:val="20"/>
          <w:szCs w:val="20"/>
          <w:lang w:val="en-US"/>
        </w:rPr>
        <w:t xml:space="preserve">while </w:t>
      </w:r>
      <w:r w:rsidR="00845B78" w:rsidRPr="009D52FD">
        <w:rPr>
          <w:sz w:val="20"/>
          <w:szCs w:val="20"/>
          <w:lang w:val="en-US"/>
        </w:rPr>
        <w:t xml:space="preserve">being in a position to do </w:t>
      </w:r>
      <w:r w:rsidR="000D1879" w:rsidRPr="009D52FD">
        <w:rPr>
          <w:sz w:val="20"/>
          <w:szCs w:val="20"/>
          <w:lang w:val="en-US"/>
        </w:rPr>
        <w:t>so</w:t>
      </w:r>
      <w:r w:rsidR="00820496" w:rsidRPr="009D52FD">
        <w:rPr>
          <w:sz w:val="20"/>
          <w:szCs w:val="20"/>
          <w:lang w:val="en-US"/>
        </w:rPr>
        <w:t>.</w:t>
      </w:r>
    </w:p>
    <w:p w14:paraId="0C953D25" w14:textId="77777777" w:rsidR="0054505B" w:rsidRPr="009D52FD" w:rsidRDefault="0054505B" w:rsidP="0054505B">
      <w:pPr>
        <w:tabs>
          <w:tab w:val="left" w:pos="567"/>
        </w:tabs>
        <w:spacing w:line="240" w:lineRule="auto"/>
        <w:rPr>
          <w:sz w:val="20"/>
          <w:szCs w:val="20"/>
          <w:lang w:val="en-US" w:eastAsia="en-US"/>
        </w:rPr>
      </w:pPr>
    </w:p>
    <w:p w14:paraId="54575ABB" w14:textId="0B4CA21C" w:rsidR="007613F3" w:rsidRPr="009D52FD" w:rsidRDefault="00845B78" w:rsidP="007613F3">
      <w:pPr>
        <w:numPr>
          <w:ilvl w:val="0"/>
          <w:numId w:val="1"/>
        </w:numPr>
        <w:tabs>
          <w:tab w:val="left" w:pos="567"/>
        </w:tabs>
        <w:spacing w:line="240" w:lineRule="auto"/>
        <w:ind w:left="0" w:firstLine="0"/>
        <w:rPr>
          <w:sz w:val="20"/>
          <w:szCs w:val="20"/>
          <w:lang w:val="en-US"/>
        </w:rPr>
      </w:pPr>
      <w:r w:rsidRPr="009D52FD">
        <w:rPr>
          <w:sz w:val="20"/>
          <w:szCs w:val="20"/>
          <w:lang w:val="en-US"/>
        </w:rPr>
        <w:lastRenderedPageBreak/>
        <w:t>Meanwhile,</w:t>
      </w:r>
      <w:r w:rsidR="009E4F6C" w:rsidRPr="009D52FD">
        <w:rPr>
          <w:sz w:val="20"/>
          <w:szCs w:val="20"/>
          <w:lang w:val="en-US"/>
        </w:rPr>
        <w:t xml:space="preserve"> </w:t>
      </w:r>
      <w:r w:rsidR="003630BB" w:rsidRPr="009D52FD">
        <w:rPr>
          <w:sz w:val="20"/>
          <w:szCs w:val="20"/>
          <w:lang w:val="en-US"/>
        </w:rPr>
        <w:t xml:space="preserve">the </w:t>
      </w:r>
      <w:r w:rsidRPr="009D52FD">
        <w:rPr>
          <w:sz w:val="20"/>
          <w:szCs w:val="20"/>
          <w:lang w:val="en-US"/>
        </w:rPr>
        <w:t xml:space="preserve">United Nations </w:t>
      </w:r>
      <w:r w:rsidR="003630BB" w:rsidRPr="009D52FD">
        <w:rPr>
          <w:sz w:val="20"/>
          <w:szCs w:val="20"/>
          <w:lang w:val="en-US"/>
        </w:rPr>
        <w:t>Convention</w:t>
      </w:r>
      <w:r w:rsidR="009E4F6C" w:rsidRPr="009D52FD">
        <w:rPr>
          <w:sz w:val="20"/>
          <w:szCs w:val="20"/>
          <w:lang w:val="en-US"/>
        </w:rPr>
        <w:t xml:space="preserve"> </w:t>
      </w:r>
      <w:r w:rsidRPr="009D52FD">
        <w:rPr>
          <w:sz w:val="20"/>
          <w:szCs w:val="20"/>
          <w:lang w:val="en-US"/>
        </w:rPr>
        <w:t xml:space="preserve">against Torture also includes the situation in which a non-state </w:t>
      </w:r>
      <w:r w:rsidR="00002A76" w:rsidRPr="009D52FD">
        <w:rPr>
          <w:sz w:val="20"/>
          <w:szCs w:val="20"/>
          <w:lang w:val="en-US"/>
        </w:rPr>
        <w:t>agent</w:t>
      </w:r>
      <w:r w:rsidRPr="009D52FD">
        <w:rPr>
          <w:sz w:val="20"/>
          <w:szCs w:val="20"/>
          <w:lang w:val="en-US"/>
        </w:rPr>
        <w:t xml:space="preserve"> inflicts torture with the consent or acquiescence of a State agent. In this regard, the </w:t>
      </w:r>
      <w:r w:rsidR="00A56E7D" w:rsidRPr="009D52FD">
        <w:rPr>
          <w:sz w:val="20"/>
          <w:szCs w:val="20"/>
          <w:lang w:val="en-US"/>
        </w:rPr>
        <w:t>Committee against Torture</w:t>
      </w:r>
      <w:r w:rsidR="007613F3" w:rsidRPr="009D52FD">
        <w:rPr>
          <w:sz w:val="20"/>
          <w:szCs w:val="20"/>
          <w:lang w:val="en-US"/>
        </w:rPr>
        <w:t xml:space="preserve"> </w:t>
      </w:r>
      <w:r w:rsidRPr="009D52FD">
        <w:rPr>
          <w:sz w:val="20"/>
          <w:szCs w:val="20"/>
          <w:lang w:val="en-US"/>
        </w:rPr>
        <w:t>has indicated that:</w:t>
      </w:r>
    </w:p>
    <w:p w14:paraId="26CFCE31" w14:textId="77777777" w:rsidR="00845B78" w:rsidRPr="009D52FD" w:rsidRDefault="00845B78" w:rsidP="00845B78">
      <w:pPr>
        <w:pStyle w:val="ListParagraph"/>
        <w:rPr>
          <w:sz w:val="20"/>
          <w:szCs w:val="20"/>
          <w:lang w:val="en-US"/>
        </w:rPr>
      </w:pPr>
    </w:p>
    <w:p w14:paraId="6519D6A0" w14:textId="50DF1995" w:rsidR="007613F3" w:rsidRPr="009D52FD" w:rsidRDefault="00845B78" w:rsidP="00845B78">
      <w:pPr>
        <w:tabs>
          <w:tab w:val="left" w:pos="567"/>
        </w:tabs>
        <w:spacing w:line="240" w:lineRule="auto"/>
        <w:ind w:left="540" w:right="540"/>
        <w:rPr>
          <w:sz w:val="16"/>
          <w:szCs w:val="16"/>
          <w:lang w:val="en-US"/>
        </w:rPr>
      </w:pPr>
      <w:r w:rsidRPr="009D52FD">
        <w:rPr>
          <w:sz w:val="16"/>
          <w:szCs w:val="16"/>
          <w:lang w:val="en-US"/>
        </w:rPr>
        <w:t xml:space="preserve">[…] </w:t>
      </w:r>
      <w:r w:rsidRPr="009D52FD">
        <w:rPr>
          <w:color w:val="000000"/>
          <w:sz w:val="16"/>
          <w:szCs w:val="16"/>
          <w:lang w:val="en-US"/>
        </w:rPr>
        <w:t xml:space="preserve">where State authorities or others acting in official capacity or under colour of law, know or have reasonable grounds to believe that acts of torture or ill-treatment are being committed by non-State officials or private actors and they fail to exercise due diligence to prevent, investigate, prosecute and punish such non-State officials or private actors consistently with the Convention, the State bears responsibility and its officials should be considered as authors, complicit or otherwise responsible under the Convention for consenting to or acquiescing in such impermissible acts. Since the failure of the State to exercise due diligence to intervene to stop, sanction and provide remedies to victims of torture facilitates and enables non-State actors to commit acts impermissible under the Convention with impunity, the State’s indifference or inaction provides a form of encouragement and/or </w:t>
      </w:r>
      <w:r w:rsidRPr="009D52FD">
        <w:rPr>
          <w:i/>
          <w:iCs/>
          <w:color w:val="000000"/>
          <w:sz w:val="16"/>
          <w:szCs w:val="16"/>
          <w:lang w:val="en-US"/>
        </w:rPr>
        <w:t>de facto</w:t>
      </w:r>
      <w:r w:rsidRPr="009D52FD">
        <w:rPr>
          <w:color w:val="000000"/>
          <w:sz w:val="16"/>
          <w:szCs w:val="16"/>
          <w:lang w:val="en-US"/>
        </w:rPr>
        <w:t xml:space="preserve"> permission</w:t>
      </w:r>
      <w:r w:rsidRPr="009D52FD">
        <w:rPr>
          <w:i/>
          <w:iCs/>
          <w:color w:val="000000"/>
          <w:sz w:val="16"/>
          <w:szCs w:val="16"/>
          <w:lang w:val="en-US"/>
        </w:rPr>
        <w:t>. </w:t>
      </w:r>
      <w:r w:rsidRPr="009D52FD">
        <w:rPr>
          <w:color w:val="000000"/>
          <w:sz w:val="16"/>
          <w:szCs w:val="16"/>
          <w:lang w:val="en-US"/>
        </w:rPr>
        <w:t>The Committee has applied this principle to States parties’ failure to prevent and protect victims from gender-based violence, such as rape, domestic violence, female genital mutilation, and trafficking</w:t>
      </w:r>
      <w:r w:rsidRPr="009D52FD">
        <w:rPr>
          <w:sz w:val="16"/>
          <w:szCs w:val="16"/>
          <w:lang w:val="en-US"/>
        </w:rPr>
        <w:t>.</w:t>
      </w:r>
      <w:r w:rsidR="007613F3" w:rsidRPr="009D52FD">
        <w:rPr>
          <w:sz w:val="16"/>
          <w:szCs w:val="16"/>
          <w:vertAlign w:val="superscript"/>
          <w:lang w:val="en-US"/>
        </w:rPr>
        <w:footnoteReference w:id="292"/>
      </w:r>
    </w:p>
    <w:p w14:paraId="2B4BB781" w14:textId="77777777" w:rsidR="0054505B" w:rsidRPr="009D52FD" w:rsidRDefault="0054505B" w:rsidP="0054505B">
      <w:pPr>
        <w:tabs>
          <w:tab w:val="left" w:pos="567"/>
        </w:tabs>
        <w:spacing w:line="240" w:lineRule="auto"/>
        <w:rPr>
          <w:sz w:val="20"/>
          <w:szCs w:val="20"/>
          <w:lang w:val="en-US" w:eastAsia="en-US"/>
        </w:rPr>
      </w:pPr>
    </w:p>
    <w:p w14:paraId="4D19FD3D" w14:textId="3F6C06D8" w:rsidR="00845B78" w:rsidRPr="009D52FD" w:rsidRDefault="00845B78" w:rsidP="003C5989">
      <w:pPr>
        <w:numPr>
          <w:ilvl w:val="0"/>
          <w:numId w:val="1"/>
        </w:numPr>
        <w:tabs>
          <w:tab w:val="left" w:pos="567"/>
        </w:tabs>
        <w:spacing w:line="240" w:lineRule="auto"/>
        <w:ind w:left="0" w:firstLine="0"/>
        <w:rPr>
          <w:sz w:val="20"/>
          <w:szCs w:val="20"/>
          <w:lang w:val="en-US" w:eastAsia="en-US"/>
        </w:rPr>
      </w:pPr>
      <w:r w:rsidRPr="009D52FD">
        <w:rPr>
          <w:sz w:val="20"/>
          <w:szCs w:val="20"/>
          <w:lang w:val="en-US"/>
        </w:rPr>
        <w:t>I</w:t>
      </w:r>
      <w:r w:rsidR="009E4F6C" w:rsidRPr="009D52FD">
        <w:rPr>
          <w:sz w:val="20"/>
          <w:szCs w:val="20"/>
          <w:lang w:val="en-US"/>
        </w:rPr>
        <w:t xml:space="preserve">n sum, </w:t>
      </w:r>
      <w:r w:rsidR="003630BB" w:rsidRPr="009D52FD">
        <w:rPr>
          <w:sz w:val="20"/>
          <w:szCs w:val="20"/>
          <w:lang w:val="en-US"/>
        </w:rPr>
        <w:t>the Court</w:t>
      </w:r>
      <w:r w:rsidR="009E4F6C" w:rsidRPr="009D52FD">
        <w:rPr>
          <w:sz w:val="20"/>
          <w:szCs w:val="20"/>
          <w:lang w:val="en-US"/>
        </w:rPr>
        <w:t xml:space="preserve"> </w:t>
      </w:r>
      <w:r w:rsidRPr="009D52FD">
        <w:rPr>
          <w:sz w:val="20"/>
          <w:szCs w:val="20"/>
          <w:lang w:val="en-US"/>
        </w:rPr>
        <w:t>understands that, from the way in which the said instruments are worded, the constitution of torture is not circumscribed merely to its perpetration by public officials, and the State’s responsibility is not engaged merely by the direct action of its agents; the</w:t>
      </w:r>
      <w:r w:rsidR="00A822EB" w:rsidRPr="009D52FD">
        <w:rPr>
          <w:sz w:val="20"/>
          <w:szCs w:val="20"/>
          <w:lang w:val="en-US"/>
        </w:rPr>
        <w:t xml:space="preserve"> instruments</w:t>
      </w:r>
      <w:r w:rsidRPr="009D52FD">
        <w:rPr>
          <w:sz w:val="20"/>
          <w:szCs w:val="20"/>
          <w:lang w:val="en-US"/>
        </w:rPr>
        <w:t xml:space="preserve"> also </w:t>
      </w:r>
      <w:r w:rsidR="00443970" w:rsidRPr="009D52FD">
        <w:rPr>
          <w:sz w:val="20"/>
          <w:szCs w:val="20"/>
          <w:lang w:val="en-US"/>
        </w:rPr>
        <w:t xml:space="preserve">establish actions of instigation, consent, acquiescence, and failure to act to prevent such acts when </w:t>
      </w:r>
      <w:r w:rsidR="00A822EB" w:rsidRPr="009D52FD">
        <w:rPr>
          <w:sz w:val="20"/>
          <w:szCs w:val="20"/>
          <w:lang w:val="en-US"/>
        </w:rPr>
        <w:t xml:space="preserve">this is </w:t>
      </w:r>
      <w:r w:rsidR="00443970" w:rsidRPr="009D52FD">
        <w:rPr>
          <w:sz w:val="20"/>
          <w:szCs w:val="20"/>
          <w:lang w:val="en-US"/>
        </w:rPr>
        <w:t>possible.</w:t>
      </w:r>
    </w:p>
    <w:p w14:paraId="2903BE08" w14:textId="77777777" w:rsidR="0054505B" w:rsidRPr="009D52FD" w:rsidRDefault="0054505B" w:rsidP="0054505B">
      <w:pPr>
        <w:tabs>
          <w:tab w:val="left" w:pos="567"/>
        </w:tabs>
        <w:spacing w:line="240" w:lineRule="auto"/>
        <w:rPr>
          <w:sz w:val="20"/>
          <w:szCs w:val="20"/>
          <w:lang w:val="en-US" w:eastAsia="en-US"/>
        </w:rPr>
      </w:pPr>
    </w:p>
    <w:p w14:paraId="0F9E0303" w14:textId="3C2BE39A" w:rsidR="009E4F6C" w:rsidRPr="009D52FD" w:rsidRDefault="00443970" w:rsidP="00443970">
      <w:pPr>
        <w:numPr>
          <w:ilvl w:val="0"/>
          <w:numId w:val="1"/>
        </w:numPr>
        <w:tabs>
          <w:tab w:val="left" w:pos="567"/>
        </w:tabs>
        <w:spacing w:line="240" w:lineRule="auto"/>
        <w:ind w:left="0" w:firstLine="0"/>
        <w:rPr>
          <w:sz w:val="20"/>
          <w:szCs w:val="20"/>
          <w:lang w:val="en-US" w:eastAsia="es-ES"/>
        </w:rPr>
      </w:pPr>
      <w:r w:rsidRPr="009D52FD">
        <w:rPr>
          <w:sz w:val="20"/>
          <w:szCs w:val="20"/>
          <w:lang w:val="en-US"/>
        </w:rPr>
        <w:t xml:space="preserve">In addition, it should be emphasized that, when interpreting </w:t>
      </w:r>
      <w:r w:rsidR="00D32B3E" w:rsidRPr="009D52FD">
        <w:rPr>
          <w:sz w:val="20"/>
          <w:szCs w:val="20"/>
          <w:lang w:val="en-US"/>
        </w:rPr>
        <w:t>Article</w:t>
      </w:r>
      <w:r w:rsidR="00483040" w:rsidRPr="009D52FD">
        <w:rPr>
          <w:sz w:val="20"/>
          <w:szCs w:val="20"/>
          <w:lang w:val="en-US"/>
        </w:rPr>
        <w:t xml:space="preserve"> 5(2)</w:t>
      </w:r>
      <w:r w:rsidR="003630BB" w:rsidRPr="009D52FD">
        <w:rPr>
          <w:sz w:val="20"/>
          <w:szCs w:val="20"/>
          <w:lang w:val="en-US"/>
        </w:rPr>
        <w:t xml:space="preserve"> of the Convention</w:t>
      </w:r>
      <w:r w:rsidR="009E4F6C" w:rsidRPr="009D52FD">
        <w:rPr>
          <w:sz w:val="20"/>
          <w:szCs w:val="20"/>
          <w:lang w:val="en-US"/>
        </w:rPr>
        <w:t xml:space="preserve">, </w:t>
      </w:r>
      <w:r w:rsidR="003630BB" w:rsidRPr="009D52FD">
        <w:rPr>
          <w:sz w:val="20"/>
          <w:szCs w:val="20"/>
          <w:lang w:val="en-US"/>
        </w:rPr>
        <w:t>the Court</w:t>
      </w:r>
      <w:r w:rsidR="009E4F6C" w:rsidRPr="009D52FD">
        <w:rPr>
          <w:sz w:val="20"/>
          <w:szCs w:val="20"/>
          <w:lang w:val="en-US"/>
        </w:rPr>
        <w:t xml:space="preserve"> ha</w:t>
      </w:r>
      <w:r w:rsidRPr="009D52FD">
        <w:rPr>
          <w:sz w:val="20"/>
          <w:szCs w:val="20"/>
          <w:lang w:val="en-US"/>
        </w:rPr>
        <w:t xml:space="preserve">s understood that, both the systematic and the evolutive interpretation play a crucial role in upholding the practical effects of the prohibition of torture, based on current </w:t>
      </w:r>
      <w:r w:rsidR="00A822EB" w:rsidRPr="009D52FD">
        <w:rPr>
          <w:sz w:val="20"/>
          <w:szCs w:val="20"/>
          <w:lang w:val="en-US"/>
        </w:rPr>
        <w:t xml:space="preserve">circumstances </w:t>
      </w:r>
      <w:r w:rsidRPr="009D52FD">
        <w:rPr>
          <w:sz w:val="20"/>
          <w:szCs w:val="20"/>
          <w:lang w:val="en-US"/>
        </w:rPr>
        <w:t>in the societies of our hemisphere.</w:t>
      </w:r>
      <w:r w:rsidR="009E4F6C" w:rsidRPr="009D52FD">
        <w:rPr>
          <w:sz w:val="20"/>
          <w:szCs w:val="20"/>
          <w:vertAlign w:val="superscript"/>
          <w:lang w:val="en-US" w:eastAsia="es-ES"/>
        </w:rPr>
        <w:footnoteReference w:id="293"/>
      </w:r>
      <w:r w:rsidRPr="009D52FD">
        <w:rPr>
          <w:sz w:val="20"/>
          <w:szCs w:val="20"/>
          <w:lang w:val="en-US" w:eastAsia="es-ES"/>
        </w:rPr>
        <w:t xml:space="preserve"> This is consequen</w:t>
      </w:r>
      <w:r w:rsidR="00A822EB" w:rsidRPr="009D52FD">
        <w:rPr>
          <w:sz w:val="20"/>
          <w:szCs w:val="20"/>
          <w:lang w:val="en-US" w:eastAsia="es-ES"/>
        </w:rPr>
        <w:t>t</w:t>
      </w:r>
      <w:r w:rsidRPr="009D52FD">
        <w:rPr>
          <w:sz w:val="20"/>
          <w:szCs w:val="20"/>
          <w:lang w:val="en-US" w:eastAsia="es-ES"/>
        </w:rPr>
        <w:t xml:space="preserve"> with the general rules of interpretation established in </w:t>
      </w:r>
      <w:r w:rsidR="003630BB" w:rsidRPr="009D52FD">
        <w:rPr>
          <w:sz w:val="20"/>
          <w:szCs w:val="20"/>
          <w:lang w:val="en-US" w:eastAsia="es-ES"/>
        </w:rPr>
        <w:t>Article</w:t>
      </w:r>
      <w:r w:rsidR="009E4F6C" w:rsidRPr="009D52FD">
        <w:rPr>
          <w:sz w:val="20"/>
          <w:szCs w:val="20"/>
          <w:lang w:val="en-US" w:eastAsia="es-ES"/>
        </w:rPr>
        <w:t xml:space="preserve"> 29</w:t>
      </w:r>
      <w:r w:rsidR="003630BB" w:rsidRPr="009D52FD">
        <w:rPr>
          <w:sz w:val="20"/>
          <w:szCs w:val="20"/>
          <w:lang w:val="en-US" w:eastAsia="es-ES"/>
        </w:rPr>
        <w:t xml:space="preserve"> of the American Convention</w:t>
      </w:r>
      <w:r w:rsidR="009E4F6C" w:rsidRPr="009D52FD">
        <w:rPr>
          <w:sz w:val="20"/>
          <w:szCs w:val="20"/>
          <w:lang w:val="en-US" w:eastAsia="es-ES"/>
        </w:rPr>
        <w:t>, a</w:t>
      </w:r>
      <w:r w:rsidRPr="009D52FD">
        <w:rPr>
          <w:sz w:val="20"/>
          <w:szCs w:val="20"/>
          <w:lang w:val="en-US" w:eastAsia="es-ES"/>
        </w:rPr>
        <w:t>nd in the Vienna Convention on the Law of Treaties.</w:t>
      </w:r>
      <w:r w:rsidR="009E4F6C" w:rsidRPr="009D52FD">
        <w:rPr>
          <w:sz w:val="20"/>
          <w:szCs w:val="20"/>
          <w:vertAlign w:val="superscript"/>
          <w:lang w:val="en-US" w:eastAsia="es-ES"/>
        </w:rPr>
        <w:footnoteReference w:id="294"/>
      </w:r>
    </w:p>
    <w:p w14:paraId="3BE65638" w14:textId="77777777" w:rsidR="009E4F6C" w:rsidRPr="009D52FD" w:rsidRDefault="009E4F6C" w:rsidP="009E4F6C">
      <w:pPr>
        <w:tabs>
          <w:tab w:val="left" w:pos="567"/>
        </w:tabs>
        <w:spacing w:line="240" w:lineRule="auto"/>
        <w:rPr>
          <w:sz w:val="20"/>
          <w:szCs w:val="20"/>
          <w:lang w:val="en-US" w:eastAsia="es-ES"/>
        </w:rPr>
      </w:pPr>
    </w:p>
    <w:p w14:paraId="69994493" w14:textId="319D9EEF" w:rsidR="00443970" w:rsidRPr="009D52FD" w:rsidRDefault="00443970" w:rsidP="00C04008">
      <w:pPr>
        <w:numPr>
          <w:ilvl w:val="0"/>
          <w:numId w:val="1"/>
        </w:numPr>
        <w:tabs>
          <w:tab w:val="left" w:pos="567"/>
        </w:tabs>
        <w:spacing w:line="240" w:lineRule="auto"/>
        <w:ind w:left="0" w:firstLine="0"/>
        <w:rPr>
          <w:sz w:val="20"/>
          <w:szCs w:val="20"/>
          <w:lang w:val="en-US"/>
        </w:rPr>
      </w:pPr>
      <w:r w:rsidRPr="009D52FD">
        <w:rPr>
          <w:sz w:val="20"/>
          <w:szCs w:val="20"/>
          <w:lang w:val="en-US"/>
        </w:rPr>
        <w:t xml:space="preserve">Under the systematic method, it is necessary to consider other inter-American instruments, such as the </w:t>
      </w:r>
      <w:r w:rsidR="003630BB" w:rsidRPr="009D52FD">
        <w:rPr>
          <w:sz w:val="20"/>
          <w:szCs w:val="20"/>
          <w:lang w:val="en-US"/>
        </w:rPr>
        <w:t>Convention</w:t>
      </w:r>
      <w:r w:rsidR="00C04008" w:rsidRPr="009D52FD">
        <w:rPr>
          <w:sz w:val="20"/>
          <w:szCs w:val="20"/>
          <w:lang w:val="en-US"/>
        </w:rPr>
        <w:t xml:space="preserve"> </w:t>
      </w:r>
      <w:r w:rsidR="00483040" w:rsidRPr="009D52FD">
        <w:rPr>
          <w:sz w:val="20"/>
          <w:szCs w:val="20"/>
          <w:lang w:val="en-US"/>
        </w:rPr>
        <w:t>of Belém</w:t>
      </w:r>
      <w:r w:rsidR="00C04008" w:rsidRPr="009D52FD">
        <w:rPr>
          <w:sz w:val="20"/>
          <w:szCs w:val="20"/>
          <w:lang w:val="en-US"/>
        </w:rPr>
        <w:t xml:space="preserve"> do Pará. </w:t>
      </w:r>
      <w:r w:rsidRPr="009D52FD">
        <w:rPr>
          <w:sz w:val="20"/>
          <w:szCs w:val="20"/>
          <w:lang w:val="en-US"/>
        </w:rPr>
        <w:t xml:space="preserve">In this regard, the Court notes that, in certain cases, </w:t>
      </w:r>
      <w:r w:rsidR="005935CA" w:rsidRPr="009D52FD">
        <w:rPr>
          <w:sz w:val="20"/>
          <w:szCs w:val="20"/>
          <w:lang w:val="en-US"/>
        </w:rPr>
        <w:t>violence against women</w:t>
      </w:r>
      <w:r w:rsidR="00C04008" w:rsidRPr="009D52FD">
        <w:rPr>
          <w:sz w:val="20"/>
          <w:szCs w:val="20"/>
          <w:lang w:val="en-US"/>
        </w:rPr>
        <w:t xml:space="preserve"> </w:t>
      </w:r>
      <w:r w:rsidRPr="009D52FD">
        <w:rPr>
          <w:sz w:val="20"/>
          <w:szCs w:val="20"/>
          <w:lang w:val="en-US"/>
        </w:rPr>
        <w:t>may constitute torture and</w:t>
      </w:r>
      <w:r w:rsidR="00A822EB" w:rsidRPr="009D52FD">
        <w:rPr>
          <w:sz w:val="20"/>
          <w:szCs w:val="20"/>
          <w:lang w:val="en-US"/>
        </w:rPr>
        <w:t xml:space="preserve">, moreover, </w:t>
      </w:r>
      <w:r w:rsidR="005935CA" w:rsidRPr="009D52FD">
        <w:rPr>
          <w:sz w:val="20"/>
          <w:szCs w:val="20"/>
          <w:lang w:val="en-US"/>
        </w:rPr>
        <w:t>violence against women</w:t>
      </w:r>
      <w:r w:rsidR="00C04008" w:rsidRPr="009D52FD">
        <w:rPr>
          <w:sz w:val="20"/>
          <w:szCs w:val="20"/>
          <w:lang w:val="en-US"/>
        </w:rPr>
        <w:t xml:space="preserve"> </w:t>
      </w:r>
      <w:r w:rsidRPr="009D52FD">
        <w:rPr>
          <w:sz w:val="20"/>
          <w:szCs w:val="20"/>
          <w:lang w:val="en-US"/>
        </w:rPr>
        <w:t>also encompasses the private sphere. Therefore, based on the postulates</w:t>
      </w:r>
      <w:r w:rsidR="003630BB" w:rsidRPr="009D52FD">
        <w:rPr>
          <w:sz w:val="20"/>
          <w:szCs w:val="20"/>
          <w:lang w:val="en-US"/>
        </w:rPr>
        <w:t xml:space="preserve"> of the Convention</w:t>
      </w:r>
      <w:r w:rsidR="00C04008" w:rsidRPr="009D52FD">
        <w:rPr>
          <w:sz w:val="20"/>
          <w:szCs w:val="20"/>
          <w:lang w:val="en-US"/>
        </w:rPr>
        <w:t xml:space="preserve"> </w:t>
      </w:r>
      <w:r w:rsidR="00483040" w:rsidRPr="009D52FD">
        <w:rPr>
          <w:sz w:val="20"/>
          <w:szCs w:val="20"/>
          <w:lang w:val="en-US"/>
        </w:rPr>
        <w:t>of Belém</w:t>
      </w:r>
      <w:r w:rsidR="00C04008" w:rsidRPr="009D52FD">
        <w:rPr>
          <w:sz w:val="20"/>
          <w:szCs w:val="20"/>
          <w:lang w:val="en-US"/>
        </w:rPr>
        <w:t xml:space="preserve"> do Pará, </w:t>
      </w:r>
      <w:r w:rsidRPr="009D52FD">
        <w:rPr>
          <w:sz w:val="20"/>
          <w:szCs w:val="20"/>
          <w:lang w:val="en-US"/>
        </w:rPr>
        <w:t>it is necessary to recogniz</w:t>
      </w:r>
      <w:r w:rsidR="00C04008" w:rsidRPr="009D52FD">
        <w:rPr>
          <w:sz w:val="20"/>
          <w:szCs w:val="20"/>
          <w:lang w:val="en-US"/>
        </w:rPr>
        <w:t>e</w:t>
      </w:r>
      <w:r w:rsidRPr="009D52FD">
        <w:rPr>
          <w:sz w:val="20"/>
          <w:szCs w:val="20"/>
          <w:lang w:val="en-US"/>
        </w:rPr>
        <w:t xml:space="preserve"> that intentional acts perpetrated by a private individual that cause a woman severe physical, sexual or psychological suffering may constitute acts of torture and deserve a punishment adapted to their severity to achieve the goal of their eradication.</w:t>
      </w:r>
    </w:p>
    <w:p w14:paraId="55BC06C0" w14:textId="77777777" w:rsidR="00C04008" w:rsidRPr="009D52FD" w:rsidRDefault="00C04008" w:rsidP="009E4F6C">
      <w:pPr>
        <w:tabs>
          <w:tab w:val="left" w:pos="567"/>
        </w:tabs>
        <w:spacing w:line="240" w:lineRule="auto"/>
        <w:rPr>
          <w:sz w:val="20"/>
          <w:szCs w:val="20"/>
          <w:lang w:val="en-US" w:eastAsia="es-ES"/>
        </w:rPr>
      </w:pPr>
    </w:p>
    <w:p w14:paraId="295BCA25" w14:textId="4C4F4E29" w:rsidR="009E4F6C" w:rsidRPr="009D52FD" w:rsidRDefault="00443970" w:rsidP="003C5989">
      <w:pPr>
        <w:numPr>
          <w:ilvl w:val="0"/>
          <w:numId w:val="1"/>
        </w:numPr>
        <w:tabs>
          <w:tab w:val="left" w:pos="567"/>
        </w:tabs>
        <w:spacing w:line="240" w:lineRule="auto"/>
        <w:ind w:left="0" w:firstLine="0"/>
        <w:rPr>
          <w:sz w:val="20"/>
          <w:szCs w:val="20"/>
          <w:lang w:val="en-US" w:eastAsia="es-ES"/>
        </w:rPr>
      </w:pPr>
      <w:r w:rsidRPr="009D52FD">
        <w:rPr>
          <w:sz w:val="20"/>
          <w:szCs w:val="20"/>
          <w:lang w:val="en-US" w:eastAsia="es-ES"/>
        </w:rPr>
        <w:t xml:space="preserve">Regarding the </w:t>
      </w:r>
      <w:r w:rsidR="00833898" w:rsidRPr="009D52FD">
        <w:rPr>
          <w:sz w:val="20"/>
          <w:szCs w:val="20"/>
          <w:lang w:val="en-US" w:eastAsia="es-ES"/>
        </w:rPr>
        <w:t>e</w:t>
      </w:r>
      <w:r w:rsidRPr="009D52FD">
        <w:rPr>
          <w:sz w:val="20"/>
          <w:szCs w:val="20"/>
          <w:lang w:val="en-US" w:eastAsia="es-ES"/>
        </w:rPr>
        <w:t>volutive method, the Court has recognized that:</w:t>
      </w:r>
    </w:p>
    <w:p w14:paraId="4166B17A" w14:textId="77777777" w:rsidR="009E4F6C" w:rsidRPr="009D52FD" w:rsidRDefault="009E4F6C" w:rsidP="009E4F6C">
      <w:pPr>
        <w:tabs>
          <w:tab w:val="left" w:pos="567"/>
        </w:tabs>
        <w:spacing w:line="240" w:lineRule="auto"/>
        <w:rPr>
          <w:sz w:val="20"/>
          <w:szCs w:val="20"/>
          <w:lang w:val="en-US" w:eastAsia="es-ES"/>
        </w:rPr>
      </w:pPr>
    </w:p>
    <w:p w14:paraId="1BB36C77" w14:textId="627B5162" w:rsidR="009E4F6C" w:rsidRPr="009D52FD" w:rsidRDefault="00EA7E7A" w:rsidP="00D42998">
      <w:pPr>
        <w:tabs>
          <w:tab w:val="left" w:pos="567"/>
        </w:tabs>
        <w:spacing w:line="240" w:lineRule="auto"/>
        <w:ind w:left="567" w:right="582"/>
        <w:rPr>
          <w:sz w:val="16"/>
          <w:szCs w:val="16"/>
          <w:lang w:val="en-US" w:eastAsia="es-ES"/>
        </w:rPr>
      </w:pPr>
      <w:r w:rsidRPr="009D52FD">
        <w:rPr>
          <w:sz w:val="16"/>
          <w:szCs w:val="16"/>
          <w:lang w:val="en-US" w:eastAsia="es-ES"/>
        </w:rPr>
        <w:t>[h]</w:t>
      </w:r>
      <w:r w:rsidR="009E4F6C" w:rsidRPr="009D52FD">
        <w:rPr>
          <w:sz w:val="16"/>
          <w:szCs w:val="16"/>
          <w:lang w:val="en-US" w:eastAsia="es-ES"/>
        </w:rPr>
        <w:t>ist</w:t>
      </w:r>
      <w:r w:rsidR="008C3265" w:rsidRPr="009D52FD">
        <w:rPr>
          <w:sz w:val="16"/>
          <w:szCs w:val="16"/>
          <w:lang w:val="en-US" w:eastAsia="es-ES"/>
        </w:rPr>
        <w:t xml:space="preserve">orically, the framework of protection against torture and ill-treatment has been developed in response to acts and practices that are mainly verified during interrogations in relation to an inquiry or proceedings regarding the perpetration of a crime, and also in the context of the deprivation of liberty as an instrument of punishment or intimidation. However, the international community has </w:t>
      </w:r>
      <w:r w:rsidR="00D42998" w:rsidRPr="009D52FD">
        <w:rPr>
          <w:sz w:val="16"/>
          <w:szCs w:val="16"/>
          <w:lang w:val="en-US" w:eastAsia="es-ES"/>
        </w:rPr>
        <w:t>gradually been recognizing that torture and other inhuman treatment can also occur in other contexts of custody, dominance or control in which the victims is helpless</w:t>
      </w:r>
      <w:r w:rsidR="00FB06C8" w:rsidRPr="009D52FD">
        <w:rPr>
          <w:sz w:val="16"/>
          <w:szCs w:val="16"/>
          <w:lang w:val="en-US" w:eastAsia="es-ES"/>
        </w:rPr>
        <w:t xml:space="preserve"> </w:t>
      </w:r>
      <w:r w:rsidR="005316CD" w:rsidRPr="009D52FD">
        <w:rPr>
          <w:sz w:val="16"/>
          <w:szCs w:val="16"/>
          <w:lang w:val="en-US" w:eastAsia="es-ES"/>
        </w:rPr>
        <w:t>[…]</w:t>
      </w:r>
      <w:r w:rsidR="00D42998" w:rsidRPr="009D52FD">
        <w:rPr>
          <w:sz w:val="16"/>
          <w:szCs w:val="16"/>
          <w:lang w:val="en-US" w:eastAsia="es-ES"/>
        </w:rPr>
        <w:t>.</w:t>
      </w:r>
      <w:r w:rsidR="009E4F6C" w:rsidRPr="009D52FD">
        <w:rPr>
          <w:sz w:val="16"/>
          <w:szCs w:val="16"/>
          <w:vertAlign w:val="superscript"/>
          <w:lang w:val="en-US" w:eastAsia="es-ES"/>
        </w:rPr>
        <w:footnoteReference w:id="295"/>
      </w:r>
    </w:p>
    <w:p w14:paraId="4D54CE39" w14:textId="77777777" w:rsidR="009E4F6C" w:rsidRPr="009D52FD" w:rsidRDefault="009E4F6C" w:rsidP="009E4F6C">
      <w:pPr>
        <w:tabs>
          <w:tab w:val="left" w:pos="567"/>
        </w:tabs>
        <w:spacing w:line="240" w:lineRule="auto"/>
        <w:rPr>
          <w:sz w:val="20"/>
          <w:szCs w:val="20"/>
          <w:lang w:val="en-US"/>
        </w:rPr>
      </w:pPr>
    </w:p>
    <w:p w14:paraId="49783500" w14:textId="0ED1D72A" w:rsidR="009E4F6C" w:rsidRPr="009D52FD" w:rsidRDefault="00D42998" w:rsidP="003C5989">
      <w:pPr>
        <w:numPr>
          <w:ilvl w:val="0"/>
          <w:numId w:val="1"/>
        </w:numPr>
        <w:tabs>
          <w:tab w:val="left" w:pos="567"/>
        </w:tabs>
        <w:spacing w:line="240" w:lineRule="auto"/>
        <w:ind w:left="0" w:firstLine="0"/>
        <w:rPr>
          <w:sz w:val="20"/>
          <w:szCs w:val="20"/>
          <w:lang w:val="en-US"/>
        </w:rPr>
      </w:pPr>
      <w:r w:rsidRPr="009D52FD">
        <w:rPr>
          <w:sz w:val="20"/>
          <w:szCs w:val="20"/>
          <w:lang w:val="en-US"/>
        </w:rPr>
        <w:t>In this regard, the Special Rapporteur on torture, referring to</w:t>
      </w:r>
      <w:r w:rsidR="009E4F6C" w:rsidRPr="009D52FD">
        <w:rPr>
          <w:sz w:val="20"/>
          <w:szCs w:val="20"/>
          <w:lang w:val="en-US"/>
        </w:rPr>
        <w:t xml:space="preserve"> </w:t>
      </w:r>
      <w:r w:rsidR="003630BB" w:rsidRPr="009D52FD">
        <w:rPr>
          <w:sz w:val="20"/>
          <w:szCs w:val="20"/>
          <w:lang w:val="en-US"/>
        </w:rPr>
        <w:t>Article</w:t>
      </w:r>
      <w:r w:rsidR="009E4F6C" w:rsidRPr="009D52FD">
        <w:rPr>
          <w:sz w:val="20"/>
          <w:szCs w:val="20"/>
          <w:lang w:val="en-US"/>
        </w:rPr>
        <w:t xml:space="preserve"> 1</w:t>
      </w:r>
      <w:r w:rsidR="003630BB" w:rsidRPr="009D52FD">
        <w:rPr>
          <w:sz w:val="20"/>
          <w:szCs w:val="20"/>
          <w:lang w:val="en-US"/>
        </w:rPr>
        <w:t xml:space="preserve"> of the </w:t>
      </w:r>
      <w:r w:rsidRPr="009D52FD">
        <w:rPr>
          <w:sz w:val="20"/>
          <w:szCs w:val="20"/>
          <w:lang w:val="en-US"/>
        </w:rPr>
        <w:t xml:space="preserve">United Nations </w:t>
      </w:r>
      <w:r w:rsidR="003630BB" w:rsidRPr="009D52FD">
        <w:rPr>
          <w:sz w:val="20"/>
          <w:szCs w:val="20"/>
          <w:lang w:val="en-US"/>
        </w:rPr>
        <w:t>Convention</w:t>
      </w:r>
      <w:r w:rsidR="009E4F6C" w:rsidRPr="009D52FD">
        <w:rPr>
          <w:sz w:val="20"/>
          <w:szCs w:val="20"/>
          <w:lang w:val="en-US"/>
        </w:rPr>
        <w:t xml:space="preserve"> </w:t>
      </w:r>
      <w:r w:rsidRPr="009D52FD">
        <w:rPr>
          <w:sz w:val="20"/>
          <w:szCs w:val="20"/>
          <w:lang w:val="en-US"/>
        </w:rPr>
        <w:t>against Torture, noted that</w:t>
      </w:r>
      <w:r w:rsidR="00DD2594" w:rsidRPr="009D52FD">
        <w:rPr>
          <w:sz w:val="20"/>
          <w:szCs w:val="20"/>
          <w:lang w:val="en-US"/>
        </w:rPr>
        <w:t xml:space="preserve"> this article</w:t>
      </w:r>
      <w:r w:rsidRPr="009D52FD">
        <w:rPr>
          <w:sz w:val="20"/>
          <w:szCs w:val="20"/>
          <w:lang w:val="en-US"/>
        </w:rPr>
        <w:t>:</w:t>
      </w:r>
    </w:p>
    <w:p w14:paraId="2396281A" w14:textId="77777777" w:rsidR="009E4F6C" w:rsidRPr="009D52FD" w:rsidRDefault="009E4F6C" w:rsidP="009E4F6C">
      <w:pPr>
        <w:tabs>
          <w:tab w:val="left" w:pos="567"/>
        </w:tabs>
        <w:spacing w:line="240" w:lineRule="auto"/>
        <w:rPr>
          <w:sz w:val="20"/>
          <w:szCs w:val="20"/>
          <w:lang w:val="en-US"/>
        </w:rPr>
      </w:pPr>
    </w:p>
    <w:p w14:paraId="528D44E3" w14:textId="21F89D77" w:rsidR="009E4F6C" w:rsidRPr="009D52FD" w:rsidRDefault="009E4F6C" w:rsidP="00DD2594">
      <w:pPr>
        <w:tabs>
          <w:tab w:val="left" w:pos="567"/>
        </w:tabs>
        <w:spacing w:line="240" w:lineRule="auto"/>
        <w:ind w:left="567" w:right="582"/>
        <w:rPr>
          <w:sz w:val="16"/>
          <w:szCs w:val="16"/>
          <w:lang w:val="en-US"/>
        </w:rPr>
      </w:pPr>
      <w:r w:rsidRPr="009D52FD">
        <w:rPr>
          <w:sz w:val="16"/>
          <w:szCs w:val="16"/>
          <w:lang w:val="en-US"/>
        </w:rPr>
        <w:t xml:space="preserve">[…] </w:t>
      </w:r>
      <w:r w:rsidR="00DD2594" w:rsidRPr="009D52FD">
        <w:rPr>
          <w:sz w:val="16"/>
          <w:szCs w:val="16"/>
          <w:lang w:val="en-US"/>
        </w:rPr>
        <w:t>has frequently been used to exclude violence against women outside direct State control from the scope of protection of [the Convention]</w:t>
      </w:r>
      <w:r w:rsidRPr="009D52FD">
        <w:rPr>
          <w:sz w:val="16"/>
          <w:szCs w:val="16"/>
          <w:lang w:val="en-US"/>
        </w:rPr>
        <w:t xml:space="preserve">. </w:t>
      </w:r>
      <w:r w:rsidR="00DD2594" w:rsidRPr="009D52FD">
        <w:rPr>
          <w:sz w:val="16"/>
          <w:szCs w:val="16"/>
          <w:lang w:val="en-US"/>
        </w:rPr>
        <w:t xml:space="preserve">However, </w:t>
      </w:r>
      <w:r w:rsidR="001306FA" w:rsidRPr="009D52FD">
        <w:rPr>
          <w:sz w:val="16"/>
          <w:szCs w:val="16"/>
          <w:lang w:val="en-US"/>
        </w:rPr>
        <w:t>[…]</w:t>
      </w:r>
      <w:r w:rsidR="00DD2594" w:rsidRPr="009D52FD">
        <w:rPr>
          <w:sz w:val="16"/>
          <w:szCs w:val="16"/>
          <w:lang w:val="en-US"/>
        </w:rPr>
        <w:t xml:space="preserve"> the language used [</w:t>
      </w:r>
      <w:r w:rsidR="00A822EB" w:rsidRPr="009D52FD">
        <w:rPr>
          <w:sz w:val="16"/>
          <w:szCs w:val="16"/>
          <w:lang w:val="en-US"/>
        </w:rPr>
        <w:t xml:space="preserve">in </w:t>
      </w:r>
      <w:r w:rsidR="00DD2594" w:rsidRPr="009D52FD">
        <w:rPr>
          <w:sz w:val="16"/>
          <w:szCs w:val="16"/>
          <w:lang w:val="en-US"/>
        </w:rPr>
        <w:t>this article] concerning consent and acquiescence by a public official clearly extends State obligations into the private sphere and should be interpreted to include State failure to protect persons within its jurisdiction from torture and ill-treatment committed by private individuals.</w:t>
      </w:r>
      <w:r w:rsidRPr="009D52FD">
        <w:rPr>
          <w:sz w:val="16"/>
          <w:szCs w:val="16"/>
          <w:vertAlign w:val="superscript"/>
          <w:lang w:val="en-US"/>
        </w:rPr>
        <w:footnoteReference w:id="296"/>
      </w:r>
    </w:p>
    <w:p w14:paraId="10989155" w14:textId="77777777" w:rsidR="009E4F6C" w:rsidRPr="009D52FD" w:rsidRDefault="009E4F6C" w:rsidP="009E4F6C">
      <w:pPr>
        <w:tabs>
          <w:tab w:val="left" w:pos="567"/>
        </w:tabs>
        <w:spacing w:line="240" w:lineRule="auto"/>
        <w:rPr>
          <w:sz w:val="20"/>
          <w:szCs w:val="20"/>
          <w:lang w:val="en-US"/>
        </w:rPr>
      </w:pPr>
    </w:p>
    <w:p w14:paraId="4E7BE940" w14:textId="0A77AAC6" w:rsidR="00B011D3" w:rsidRPr="009D52FD" w:rsidRDefault="00DD2594" w:rsidP="003A742D">
      <w:pPr>
        <w:numPr>
          <w:ilvl w:val="0"/>
          <w:numId w:val="1"/>
        </w:numPr>
        <w:tabs>
          <w:tab w:val="left" w:pos="567"/>
        </w:tabs>
        <w:spacing w:line="240" w:lineRule="auto"/>
        <w:ind w:left="0" w:firstLine="0"/>
        <w:rPr>
          <w:sz w:val="20"/>
          <w:szCs w:val="20"/>
          <w:lang w:val="en-US"/>
        </w:rPr>
      </w:pPr>
      <w:r w:rsidRPr="009D52FD">
        <w:rPr>
          <w:sz w:val="20"/>
          <w:szCs w:val="20"/>
          <w:lang w:val="en-US"/>
        </w:rPr>
        <w:t>Accordingly, based</w:t>
      </w:r>
      <w:r w:rsidR="00B011D3" w:rsidRPr="009D52FD">
        <w:rPr>
          <w:sz w:val="20"/>
          <w:szCs w:val="20"/>
          <w:lang w:val="en-US"/>
        </w:rPr>
        <w:t xml:space="preserve"> </w:t>
      </w:r>
      <w:r w:rsidRPr="009D52FD">
        <w:rPr>
          <w:sz w:val="20"/>
          <w:szCs w:val="20"/>
          <w:lang w:val="en-US"/>
        </w:rPr>
        <w:t xml:space="preserve">on the normative framework </w:t>
      </w:r>
      <w:r w:rsidR="003630BB" w:rsidRPr="009D52FD">
        <w:rPr>
          <w:sz w:val="20"/>
          <w:szCs w:val="20"/>
          <w:lang w:val="en-US"/>
        </w:rPr>
        <w:t>of the Convention</w:t>
      </w:r>
      <w:r w:rsidR="004600E0" w:rsidRPr="009D52FD">
        <w:rPr>
          <w:sz w:val="20"/>
          <w:szCs w:val="20"/>
          <w:lang w:val="en-US"/>
        </w:rPr>
        <w:t xml:space="preserve"> </w:t>
      </w:r>
      <w:r w:rsidR="00483040" w:rsidRPr="009D52FD">
        <w:rPr>
          <w:sz w:val="20"/>
          <w:szCs w:val="20"/>
          <w:lang w:val="en-US"/>
        </w:rPr>
        <w:t>of Belém</w:t>
      </w:r>
      <w:r w:rsidR="004600E0" w:rsidRPr="009D52FD">
        <w:rPr>
          <w:sz w:val="20"/>
          <w:szCs w:val="20"/>
          <w:lang w:val="en-US"/>
        </w:rPr>
        <w:t xml:space="preserve"> do Pará</w:t>
      </w:r>
      <w:r w:rsidR="00A822EB" w:rsidRPr="009D52FD">
        <w:rPr>
          <w:sz w:val="20"/>
          <w:szCs w:val="20"/>
          <w:lang w:val="en-US"/>
        </w:rPr>
        <w:t>,</w:t>
      </w:r>
      <w:r w:rsidR="004600E0" w:rsidRPr="009D52FD">
        <w:rPr>
          <w:sz w:val="20"/>
          <w:szCs w:val="20"/>
          <w:lang w:val="en-US"/>
        </w:rPr>
        <w:t xml:space="preserve"> </w:t>
      </w:r>
      <w:r w:rsidR="00A822EB" w:rsidRPr="009D52FD">
        <w:rPr>
          <w:sz w:val="20"/>
          <w:szCs w:val="20"/>
          <w:lang w:val="en-US"/>
        </w:rPr>
        <w:t xml:space="preserve">which </w:t>
      </w:r>
      <w:r w:rsidRPr="009D52FD">
        <w:rPr>
          <w:sz w:val="20"/>
          <w:szCs w:val="20"/>
          <w:lang w:val="en-US"/>
        </w:rPr>
        <w:t>should permeate the evolutive interpret</w:t>
      </w:r>
      <w:r w:rsidR="00B011D3" w:rsidRPr="009D52FD">
        <w:rPr>
          <w:sz w:val="20"/>
          <w:szCs w:val="20"/>
          <w:lang w:val="en-US"/>
        </w:rPr>
        <w:t>a</w:t>
      </w:r>
      <w:r w:rsidRPr="009D52FD">
        <w:rPr>
          <w:sz w:val="20"/>
          <w:szCs w:val="20"/>
          <w:lang w:val="en-US"/>
        </w:rPr>
        <w:t>tion of conducts and acts of</w:t>
      </w:r>
      <w:r w:rsidR="004600E0" w:rsidRPr="009D52FD">
        <w:rPr>
          <w:sz w:val="20"/>
          <w:szCs w:val="20"/>
          <w:lang w:val="en-US"/>
        </w:rPr>
        <w:t xml:space="preserve"> </w:t>
      </w:r>
      <w:r w:rsidR="005935CA" w:rsidRPr="009D52FD">
        <w:rPr>
          <w:sz w:val="20"/>
          <w:szCs w:val="20"/>
          <w:lang w:val="en-US"/>
        </w:rPr>
        <w:t>violence against women</w:t>
      </w:r>
      <w:r w:rsidR="004600E0" w:rsidRPr="009D52FD">
        <w:rPr>
          <w:sz w:val="20"/>
          <w:szCs w:val="20"/>
          <w:lang w:val="en-US"/>
        </w:rPr>
        <w:t xml:space="preserve"> </w:t>
      </w:r>
      <w:r w:rsidRPr="009D52FD">
        <w:rPr>
          <w:sz w:val="20"/>
          <w:szCs w:val="20"/>
          <w:lang w:val="en-US"/>
        </w:rPr>
        <w:t xml:space="preserve">that may be categorized as torture, the Court considers that </w:t>
      </w:r>
      <w:r w:rsidR="00B011D3" w:rsidRPr="009D52FD">
        <w:rPr>
          <w:sz w:val="20"/>
          <w:szCs w:val="20"/>
          <w:lang w:val="en-US"/>
        </w:rPr>
        <w:t>acts of violence against women perpetrated by private individuals</w:t>
      </w:r>
      <w:r w:rsidR="00A822EB" w:rsidRPr="009D52FD">
        <w:rPr>
          <w:sz w:val="20"/>
          <w:szCs w:val="20"/>
          <w:lang w:val="en-US"/>
        </w:rPr>
        <w:t xml:space="preserve"> cannot be excluded</w:t>
      </w:r>
      <w:r w:rsidR="00B011D3" w:rsidRPr="009D52FD">
        <w:rPr>
          <w:sz w:val="20"/>
          <w:szCs w:val="20"/>
          <w:lang w:val="en-US"/>
        </w:rPr>
        <w:t>, when they are committed with the State’s tolerance or acquiescence because it has deliberately failed to prevent them, as in this case.</w:t>
      </w:r>
    </w:p>
    <w:p w14:paraId="1641A18A" w14:textId="77777777" w:rsidR="004600E0" w:rsidRPr="009D52FD" w:rsidRDefault="004600E0" w:rsidP="009E4F6C">
      <w:pPr>
        <w:tabs>
          <w:tab w:val="left" w:pos="567"/>
        </w:tabs>
        <w:spacing w:line="240" w:lineRule="auto"/>
        <w:rPr>
          <w:sz w:val="20"/>
          <w:szCs w:val="20"/>
          <w:lang w:val="en-US"/>
        </w:rPr>
      </w:pPr>
    </w:p>
    <w:p w14:paraId="6EDEF47C" w14:textId="1BB0DF28" w:rsidR="00A937FD" w:rsidRPr="009D52FD" w:rsidRDefault="00B011D3" w:rsidP="00A937FD">
      <w:pPr>
        <w:numPr>
          <w:ilvl w:val="0"/>
          <w:numId w:val="1"/>
        </w:numPr>
        <w:tabs>
          <w:tab w:val="left" w:pos="567"/>
        </w:tabs>
        <w:spacing w:line="240" w:lineRule="auto"/>
        <w:ind w:left="0" w:firstLine="0"/>
        <w:rPr>
          <w:color w:val="000000"/>
          <w:sz w:val="20"/>
          <w:szCs w:val="20"/>
          <w:lang w:val="en-US" w:eastAsia="en-US"/>
        </w:rPr>
      </w:pPr>
      <w:r w:rsidRPr="009D52FD">
        <w:rPr>
          <w:color w:val="000000"/>
          <w:sz w:val="20"/>
          <w:szCs w:val="20"/>
          <w:lang w:val="en-US" w:eastAsia="en-US"/>
        </w:rPr>
        <w:t>In this regard, the Court has already affirmed that:</w:t>
      </w:r>
    </w:p>
    <w:p w14:paraId="7A563294" w14:textId="77777777" w:rsidR="00A937FD" w:rsidRPr="009D52FD" w:rsidRDefault="00A937FD" w:rsidP="00A937FD">
      <w:pPr>
        <w:widowControl/>
        <w:tabs>
          <w:tab w:val="left" w:pos="1418"/>
          <w:tab w:val="left" w:pos="1701"/>
        </w:tabs>
        <w:adjustRightInd/>
        <w:spacing w:line="240" w:lineRule="auto"/>
        <w:textAlignment w:val="auto"/>
        <w:rPr>
          <w:color w:val="000000"/>
          <w:sz w:val="20"/>
          <w:szCs w:val="20"/>
          <w:lang w:val="en-US" w:eastAsia="en-US"/>
        </w:rPr>
      </w:pPr>
    </w:p>
    <w:p w14:paraId="57DF4995" w14:textId="0784C0AB" w:rsidR="00A937FD" w:rsidRPr="009D52FD" w:rsidRDefault="00B011D3" w:rsidP="00B011D3">
      <w:pPr>
        <w:widowControl/>
        <w:tabs>
          <w:tab w:val="left" w:pos="1418"/>
          <w:tab w:val="left" w:pos="1701"/>
        </w:tabs>
        <w:adjustRightInd/>
        <w:spacing w:line="240" w:lineRule="auto"/>
        <w:ind w:left="567" w:right="582"/>
        <w:textAlignment w:val="auto"/>
        <w:rPr>
          <w:sz w:val="16"/>
          <w:szCs w:val="16"/>
          <w:lang w:val="en-US"/>
        </w:rPr>
      </w:pPr>
      <w:r w:rsidRPr="009D52FD">
        <w:rPr>
          <w:sz w:val="16"/>
          <w:szCs w:val="16"/>
          <w:lang w:val="en-US"/>
        </w:rPr>
        <w:t>For the purposes of analysis, the intent or motivation of the agent who has violated the rights recognized by the Convention is irrelevant – the violation can be established even if the identity of the individual perpetrator is unknown. What is decisive is whether a violation of the rights recognized by the Convention has occurred with the support or the acquiescence of the public authorities, or whether they have allowed the act to take place without taking measures to prevent it or to punish those responsible. Thus, the Court's task is to determine whether the violation of human rights is the result of a State's failure to fulfill its obligation to respect and to ensure those rights, as required by Article 1 (1) of the Convention.</w:t>
      </w:r>
      <w:r w:rsidR="00A937FD" w:rsidRPr="009D52FD">
        <w:rPr>
          <w:color w:val="000000"/>
          <w:sz w:val="16"/>
          <w:szCs w:val="16"/>
          <w:vertAlign w:val="superscript"/>
          <w:lang w:val="en-US" w:eastAsia="en-US"/>
        </w:rPr>
        <w:footnoteReference w:id="297"/>
      </w:r>
    </w:p>
    <w:p w14:paraId="2C16AFAC" w14:textId="77777777" w:rsidR="00A937FD" w:rsidRPr="009D52FD" w:rsidRDefault="00A937FD" w:rsidP="00A937FD">
      <w:pPr>
        <w:tabs>
          <w:tab w:val="left" w:pos="567"/>
        </w:tabs>
        <w:spacing w:line="240" w:lineRule="auto"/>
        <w:rPr>
          <w:color w:val="000000"/>
          <w:sz w:val="20"/>
          <w:szCs w:val="20"/>
          <w:lang w:val="en-US" w:eastAsia="en-US"/>
        </w:rPr>
      </w:pPr>
    </w:p>
    <w:p w14:paraId="7D5E2B74" w14:textId="6CF2E623" w:rsidR="003A742D" w:rsidRPr="009D52FD" w:rsidRDefault="003630BB" w:rsidP="003A742D">
      <w:pPr>
        <w:numPr>
          <w:ilvl w:val="0"/>
          <w:numId w:val="1"/>
        </w:numPr>
        <w:tabs>
          <w:tab w:val="left" w:pos="567"/>
        </w:tabs>
        <w:spacing w:line="240" w:lineRule="auto"/>
        <w:ind w:left="0" w:firstLine="0"/>
        <w:rPr>
          <w:sz w:val="20"/>
          <w:szCs w:val="20"/>
          <w:lang w:val="en-US"/>
        </w:rPr>
      </w:pPr>
      <w:r w:rsidRPr="009D52FD">
        <w:rPr>
          <w:sz w:val="20"/>
          <w:szCs w:val="20"/>
          <w:lang w:val="en-US"/>
        </w:rPr>
        <w:t>The Court</w:t>
      </w:r>
      <w:r w:rsidR="003A742D" w:rsidRPr="009D52FD">
        <w:rPr>
          <w:sz w:val="20"/>
          <w:szCs w:val="20"/>
          <w:lang w:val="en-US"/>
        </w:rPr>
        <w:t xml:space="preserve"> </w:t>
      </w:r>
      <w:r w:rsidR="006D73E7" w:rsidRPr="009D52FD">
        <w:rPr>
          <w:sz w:val="20"/>
          <w:szCs w:val="20"/>
          <w:lang w:val="en-US"/>
        </w:rPr>
        <w:t>conclu</w:t>
      </w:r>
      <w:r w:rsidR="00B011D3" w:rsidRPr="009D52FD">
        <w:rPr>
          <w:sz w:val="20"/>
          <w:szCs w:val="20"/>
          <w:lang w:val="en-US"/>
        </w:rPr>
        <w:t xml:space="preserve">des that the </w:t>
      </w:r>
      <w:r w:rsidRPr="009D52FD">
        <w:rPr>
          <w:sz w:val="20"/>
          <w:szCs w:val="20"/>
          <w:lang w:val="en-US"/>
        </w:rPr>
        <w:t>State</w:t>
      </w:r>
      <w:r w:rsidR="006D73E7" w:rsidRPr="009D52FD">
        <w:rPr>
          <w:sz w:val="20"/>
          <w:szCs w:val="20"/>
          <w:lang w:val="en-US"/>
        </w:rPr>
        <w:t xml:space="preserve"> </w:t>
      </w:r>
      <w:r w:rsidR="00996337" w:rsidRPr="009D52FD">
        <w:rPr>
          <w:sz w:val="20"/>
          <w:szCs w:val="20"/>
          <w:lang w:val="en-US"/>
        </w:rPr>
        <w:t>is responsible</w:t>
      </w:r>
      <w:r w:rsidR="00B011D3" w:rsidRPr="009D52FD">
        <w:rPr>
          <w:sz w:val="20"/>
          <w:szCs w:val="20"/>
          <w:lang w:val="en-US"/>
        </w:rPr>
        <w:t xml:space="preserve"> because, owing to its gross failure to act, it enable the acts of torture to which </w:t>
      </w:r>
      <w:r w:rsidR="003A742D" w:rsidRPr="009D52FD">
        <w:rPr>
          <w:sz w:val="20"/>
          <w:szCs w:val="20"/>
          <w:lang w:val="en-US"/>
        </w:rPr>
        <w:t>Linda Loaiza López Soto</w:t>
      </w:r>
      <w:r w:rsidR="00B011D3" w:rsidRPr="009D52FD">
        <w:rPr>
          <w:sz w:val="20"/>
          <w:szCs w:val="20"/>
          <w:lang w:val="en-US"/>
        </w:rPr>
        <w:t xml:space="preserve"> was subjected, in the conditions indicated previously, in violation </w:t>
      </w:r>
      <w:r w:rsidR="00D32B3E" w:rsidRPr="009D52FD">
        <w:rPr>
          <w:sz w:val="20"/>
          <w:szCs w:val="20"/>
          <w:lang w:val="en-US"/>
        </w:rPr>
        <w:t>of Article</w:t>
      </w:r>
      <w:r w:rsidR="00483040" w:rsidRPr="009D52FD">
        <w:rPr>
          <w:sz w:val="20"/>
          <w:szCs w:val="20"/>
          <w:lang w:val="en-US"/>
        </w:rPr>
        <w:t xml:space="preserve"> 5(2)</w:t>
      </w:r>
      <w:r w:rsidRPr="009D52FD">
        <w:rPr>
          <w:sz w:val="20"/>
          <w:szCs w:val="20"/>
          <w:lang w:val="en-US"/>
        </w:rPr>
        <w:t xml:space="preserve"> of the American Convention</w:t>
      </w:r>
      <w:r w:rsidR="003A742D" w:rsidRPr="009D52FD">
        <w:rPr>
          <w:sz w:val="20"/>
          <w:szCs w:val="20"/>
          <w:lang w:val="en-US"/>
        </w:rPr>
        <w:t xml:space="preserve">, </w:t>
      </w:r>
      <w:r w:rsidR="00997ADF" w:rsidRPr="009D52FD">
        <w:rPr>
          <w:sz w:val="20"/>
          <w:szCs w:val="20"/>
          <w:lang w:val="en-US"/>
        </w:rPr>
        <w:t>in relation to</w:t>
      </w:r>
      <w:r w:rsidR="003A742D" w:rsidRPr="009D52FD">
        <w:rPr>
          <w:sz w:val="20"/>
          <w:szCs w:val="20"/>
          <w:lang w:val="en-US"/>
        </w:rPr>
        <w:t xml:space="preserve"> </w:t>
      </w:r>
      <w:r w:rsidR="00483040" w:rsidRPr="009D52FD">
        <w:rPr>
          <w:sz w:val="20"/>
          <w:szCs w:val="20"/>
          <w:lang w:val="en-US"/>
        </w:rPr>
        <w:t>Article 1(1)</w:t>
      </w:r>
      <w:r w:rsidR="003A742D" w:rsidRPr="009D52FD">
        <w:rPr>
          <w:sz w:val="20"/>
          <w:szCs w:val="20"/>
          <w:lang w:val="en-US"/>
        </w:rPr>
        <w:t xml:space="preserve"> </w:t>
      </w:r>
      <w:r w:rsidR="00996337" w:rsidRPr="009D52FD">
        <w:rPr>
          <w:sz w:val="20"/>
          <w:szCs w:val="20"/>
          <w:lang w:val="en-US"/>
        </w:rPr>
        <w:t>of this instrument</w:t>
      </w:r>
      <w:r w:rsidRPr="009D52FD">
        <w:rPr>
          <w:sz w:val="20"/>
          <w:szCs w:val="20"/>
          <w:lang w:val="en-US"/>
        </w:rPr>
        <w:t xml:space="preserve"> and Articles</w:t>
      </w:r>
      <w:r w:rsidR="00FB4351" w:rsidRPr="009D52FD">
        <w:rPr>
          <w:sz w:val="20"/>
          <w:szCs w:val="20"/>
          <w:lang w:val="en-US"/>
        </w:rPr>
        <w:t xml:space="preserve"> 1, 6</w:t>
      </w:r>
      <w:r w:rsidRPr="009D52FD">
        <w:rPr>
          <w:sz w:val="20"/>
          <w:szCs w:val="20"/>
          <w:lang w:val="en-US"/>
        </w:rPr>
        <w:t xml:space="preserve"> and </w:t>
      </w:r>
      <w:r w:rsidR="00FB4351" w:rsidRPr="009D52FD">
        <w:rPr>
          <w:sz w:val="20"/>
          <w:szCs w:val="20"/>
          <w:lang w:val="en-US"/>
        </w:rPr>
        <w:t xml:space="preserve">8 </w:t>
      </w:r>
      <w:r w:rsidR="00D32B3E" w:rsidRPr="009D52FD">
        <w:rPr>
          <w:sz w:val="20"/>
          <w:szCs w:val="20"/>
          <w:lang w:val="en-US"/>
        </w:rPr>
        <w:t>of the ICPPT</w:t>
      </w:r>
      <w:r w:rsidR="003A742D" w:rsidRPr="009D52FD">
        <w:rPr>
          <w:sz w:val="20"/>
          <w:szCs w:val="20"/>
          <w:lang w:val="en-US"/>
        </w:rPr>
        <w:t>.</w:t>
      </w:r>
    </w:p>
    <w:p w14:paraId="20B5F668" w14:textId="77777777" w:rsidR="003A742D" w:rsidRPr="009D52FD" w:rsidRDefault="003A742D" w:rsidP="009E4F6C">
      <w:pPr>
        <w:tabs>
          <w:tab w:val="left" w:pos="567"/>
        </w:tabs>
        <w:spacing w:line="240" w:lineRule="auto"/>
        <w:rPr>
          <w:sz w:val="20"/>
          <w:szCs w:val="20"/>
          <w:lang w:val="en-US"/>
        </w:rPr>
      </w:pPr>
    </w:p>
    <w:p w14:paraId="7FBAB198" w14:textId="04B50572" w:rsidR="009E4F6C" w:rsidRPr="009D52FD" w:rsidRDefault="00437D67" w:rsidP="00FF62E0">
      <w:pPr>
        <w:keepNext/>
        <w:keepLines/>
        <w:widowControl/>
        <w:tabs>
          <w:tab w:val="left" w:pos="1134"/>
        </w:tabs>
        <w:autoSpaceDE w:val="0"/>
        <w:autoSpaceDN w:val="0"/>
        <w:spacing w:line="240" w:lineRule="auto"/>
        <w:ind w:left="708" w:hanging="140"/>
        <w:textAlignment w:val="auto"/>
        <w:outlineLvl w:val="1"/>
        <w:rPr>
          <w:rFonts w:eastAsia="MS Mincho" w:cs="Arial"/>
          <w:bCs/>
          <w:i/>
          <w:sz w:val="20"/>
          <w:szCs w:val="20"/>
          <w:lang w:val="en-US" w:eastAsia="en-US"/>
        </w:rPr>
      </w:pPr>
      <w:bookmarkStart w:id="86" w:name="_Toc51400097"/>
      <w:r w:rsidRPr="009D52FD">
        <w:rPr>
          <w:rFonts w:eastAsia="MS Mincho" w:cs="Arial"/>
          <w:bCs/>
          <w:i/>
          <w:sz w:val="20"/>
          <w:szCs w:val="20"/>
          <w:lang w:val="en-US" w:eastAsia="en-US"/>
        </w:rPr>
        <w:t>B.</w:t>
      </w:r>
      <w:r w:rsidR="00216132" w:rsidRPr="009D52FD">
        <w:rPr>
          <w:rFonts w:eastAsia="MS Mincho" w:cs="Arial"/>
          <w:bCs/>
          <w:i/>
          <w:sz w:val="20"/>
          <w:szCs w:val="20"/>
          <w:lang w:val="en-US" w:eastAsia="en-US"/>
        </w:rPr>
        <w:t>6</w:t>
      </w:r>
      <w:r w:rsidR="009E4F6C" w:rsidRPr="009D52FD">
        <w:rPr>
          <w:rFonts w:eastAsia="MS Mincho" w:cs="Arial"/>
          <w:bCs/>
          <w:i/>
          <w:sz w:val="20"/>
          <w:szCs w:val="20"/>
          <w:lang w:val="en-US" w:eastAsia="en-US"/>
        </w:rPr>
        <w:t xml:space="preserve"> </w:t>
      </w:r>
      <w:r w:rsidR="009E4F6C" w:rsidRPr="009D52FD">
        <w:rPr>
          <w:rFonts w:eastAsia="MS Mincho" w:cs="Arial"/>
          <w:bCs/>
          <w:i/>
          <w:sz w:val="20"/>
          <w:szCs w:val="20"/>
          <w:lang w:val="en-US" w:eastAsia="en-US"/>
        </w:rPr>
        <w:tab/>
        <w:t>Conclusi</w:t>
      </w:r>
      <w:r w:rsidR="00256D45" w:rsidRPr="009D52FD">
        <w:rPr>
          <w:rFonts w:eastAsia="MS Mincho" w:cs="Arial"/>
          <w:bCs/>
          <w:i/>
          <w:sz w:val="20"/>
          <w:szCs w:val="20"/>
          <w:lang w:val="en-US" w:eastAsia="en-US"/>
        </w:rPr>
        <w:t>o</w:t>
      </w:r>
      <w:r w:rsidR="009E4F6C" w:rsidRPr="009D52FD">
        <w:rPr>
          <w:rFonts w:eastAsia="MS Mincho" w:cs="Arial"/>
          <w:bCs/>
          <w:i/>
          <w:sz w:val="20"/>
          <w:szCs w:val="20"/>
          <w:lang w:val="en-US" w:eastAsia="en-US"/>
        </w:rPr>
        <w:t>n</w:t>
      </w:r>
      <w:bookmarkEnd w:id="86"/>
    </w:p>
    <w:p w14:paraId="383C0ECD" w14:textId="77777777" w:rsidR="009E4F6C" w:rsidRPr="009D52FD" w:rsidRDefault="009E4F6C" w:rsidP="009E4F6C">
      <w:pPr>
        <w:spacing w:line="240" w:lineRule="auto"/>
        <w:rPr>
          <w:sz w:val="20"/>
          <w:szCs w:val="20"/>
          <w:lang w:val="en-US"/>
        </w:rPr>
      </w:pPr>
    </w:p>
    <w:p w14:paraId="7310AE9A" w14:textId="15F3C6BB" w:rsidR="009E4F6C" w:rsidRPr="009D52FD" w:rsidRDefault="00B011D3" w:rsidP="003C5989">
      <w:pPr>
        <w:numPr>
          <w:ilvl w:val="0"/>
          <w:numId w:val="1"/>
        </w:numPr>
        <w:tabs>
          <w:tab w:val="left" w:pos="567"/>
        </w:tabs>
        <w:spacing w:line="240" w:lineRule="auto"/>
        <w:ind w:left="0" w:firstLine="0"/>
        <w:rPr>
          <w:sz w:val="20"/>
          <w:szCs w:val="20"/>
          <w:lang w:val="en-US"/>
        </w:rPr>
      </w:pPr>
      <w:r w:rsidRPr="009D52FD">
        <w:rPr>
          <w:sz w:val="20"/>
          <w:szCs w:val="20"/>
          <w:lang w:val="en-US"/>
        </w:rPr>
        <w:t xml:space="preserve">Pursuant to the analysis and the determinations made in this chapter, the Court finds that </w:t>
      </w:r>
      <w:r w:rsidR="009E4F6C" w:rsidRPr="009D52FD">
        <w:rPr>
          <w:sz w:val="20"/>
          <w:szCs w:val="20"/>
          <w:lang w:val="en-US"/>
        </w:rPr>
        <w:t xml:space="preserve">Venezuela </w:t>
      </w:r>
      <w:r w:rsidR="00996337" w:rsidRPr="009D52FD">
        <w:rPr>
          <w:sz w:val="20"/>
          <w:szCs w:val="20"/>
          <w:lang w:val="en-US"/>
        </w:rPr>
        <w:t>is responsible for</w:t>
      </w:r>
      <w:r w:rsidR="009E4F6C" w:rsidRPr="009D52FD">
        <w:rPr>
          <w:sz w:val="20"/>
          <w:szCs w:val="20"/>
          <w:lang w:val="en-US"/>
        </w:rPr>
        <w:t xml:space="preserve"> </w:t>
      </w:r>
      <w:r w:rsidR="0064755C" w:rsidRPr="009D52FD">
        <w:rPr>
          <w:sz w:val="20"/>
          <w:szCs w:val="20"/>
          <w:lang w:val="en-US"/>
        </w:rPr>
        <w:t>the violation of</w:t>
      </w:r>
      <w:r w:rsidR="009E4F6C" w:rsidRPr="009D52FD">
        <w:rPr>
          <w:sz w:val="20"/>
          <w:szCs w:val="20"/>
          <w:lang w:val="en-US"/>
        </w:rPr>
        <w:t xml:space="preserve"> </w:t>
      </w:r>
      <w:r w:rsidR="003630BB" w:rsidRPr="009D52FD">
        <w:rPr>
          <w:sz w:val="20"/>
          <w:szCs w:val="20"/>
          <w:lang w:val="en-US"/>
        </w:rPr>
        <w:t>Articles</w:t>
      </w:r>
      <w:r w:rsidR="009E4F6C" w:rsidRPr="009D52FD">
        <w:rPr>
          <w:sz w:val="20"/>
          <w:szCs w:val="20"/>
          <w:lang w:val="en-US"/>
        </w:rPr>
        <w:t xml:space="preserve"> 3,</w:t>
      </w:r>
      <w:r w:rsidR="00483040" w:rsidRPr="009D52FD">
        <w:rPr>
          <w:sz w:val="20"/>
          <w:szCs w:val="20"/>
          <w:lang w:val="en-US"/>
        </w:rPr>
        <w:t xml:space="preserve"> 5(1)</w:t>
      </w:r>
      <w:r w:rsidR="009E4F6C" w:rsidRPr="009D52FD">
        <w:rPr>
          <w:sz w:val="20"/>
          <w:szCs w:val="20"/>
          <w:lang w:val="en-US"/>
        </w:rPr>
        <w:t>,</w:t>
      </w:r>
      <w:r w:rsidR="00483040" w:rsidRPr="009D52FD">
        <w:rPr>
          <w:sz w:val="20"/>
          <w:szCs w:val="20"/>
          <w:lang w:val="en-US"/>
        </w:rPr>
        <w:t xml:space="preserve"> 5(2)</w:t>
      </w:r>
      <w:r w:rsidR="009E4F6C" w:rsidRPr="009D52FD">
        <w:rPr>
          <w:sz w:val="20"/>
          <w:szCs w:val="20"/>
          <w:lang w:val="en-US"/>
        </w:rPr>
        <w:t xml:space="preserve">, </w:t>
      </w:r>
      <w:r w:rsidR="00DC2372" w:rsidRPr="009D52FD">
        <w:rPr>
          <w:sz w:val="20"/>
          <w:szCs w:val="20"/>
          <w:lang w:val="en-US"/>
        </w:rPr>
        <w:t>6(1)</w:t>
      </w:r>
      <w:r w:rsidR="00FB4351" w:rsidRPr="009D52FD">
        <w:rPr>
          <w:sz w:val="20"/>
          <w:szCs w:val="20"/>
          <w:lang w:val="en-US"/>
        </w:rPr>
        <w:t>,</w:t>
      </w:r>
      <w:r w:rsidR="00D32B3E" w:rsidRPr="009D52FD">
        <w:rPr>
          <w:sz w:val="20"/>
          <w:szCs w:val="20"/>
          <w:lang w:val="en-US"/>
        </w:rPr>
        <w:t xml:space="preserve"> 7(1)</w:t>
      </w:r>
      <w:r w:rsidR="00FB4351" w:rsidRPr="009D52FD">
        <w:rPr>
          <w:sz w:val="20"/>
          <w:szCs w:val="20"/>
          <w:lang w:val="en-US"/>
        </w:rPr>
        <w:t>,</w:t>
      </w:r>
      <w:r w:rsidR="00483040" w:rsidRPr="009D52FD">
        <w:rPr>
          <w:sz w:val="20"/>
          <w:szCs w:val="20"/>
          <w:lang w:val="en-US"/>
        </w:rPr>
        <w:t xml:space="preserve"> 11(1)</w:t>
      </w:r>
      <w:r w:rsidR="00ED50EE" w:rsidRPr="009D52FD">
        <w:rPr>
          <w:sz w:val="20"/>
          <w:szCs w:val="20"/>
          <w:lang w:val="en-US"/>
        </w:rPr>
        <w:t>,</w:t>
      </w:r>
      <w:r w:rsidR="00D32B3E" w:rsidRPr="009D52FD">
        <w:rPr>
          <w:sz w:val="20"/>
          <w:szCs w:val="20"/>
          <w:lang w:val="en-US"/>
        </w:rPr>
        <w:t xml:space="preserve"> 11(2)</w:t>
      </w:r>
      <w:r w:rsidR="00112729" w:rsidRPr="009D52FD">
        <w:rPr>
          <w:sz w:val="20"/>
          <w:szCs w:val="20"/>
          <w:lang w:val="en-US"/>
        </w:rPr>
        <w:t>,</w:t>
      </w:r>
      <w:r w:rsidR="009E4F6C" w:rsidRPr="009D52FD">
        <w:rPr>
          <w:sz w:val="20"/>
          <w:szCs w:val="20"/>
          <w:lang w:val="en-US"/>
        </w:rPr>
        <w:t xml:space="preserve"> 22</w:t>
      </w:r>
      <w:r w:rsidR="003630BB" w:rsidRPr="009D52FD">
        <w:rPr>
          <w:sz w:val="20"/>
          <w:szCs w:val="20"/>
          <w:lang w:val="en-US"/>
        </w:rPr>
        <w:t xml:space="preserve"> and </w:t>
      </w:r>
      <w:r w:rsidR="00112729" w:rsidRPr="009D52FD">
        <w:rPr>
          <w:sz w:val="20"/>
          <w:szCs w:val="20"/>
          <w:lang w:val="en-US"/>
        </w:rPr>
        <w:t>24</w:t>
      </w:r>
      <w:r w:rsidR="003630BB" w:rsidRPr="009D52FD">
        <w:rPr>
          <w:sz w:val="20"/>
          <w:szCs w:val="20"/>
          <w:lang w:val="en-US"/>
        </w:rPr>
        <w:t xml:space="preserve"> of the American Convention</w:t>
      </w:r>
      <w:r w:rsidR="009E4F6C" w:rsidRPr="009D52FD">
        <w:rPr>
          <w:sz w:val="20"/>
          <w:szCs w:val="20"/>
          <w:lang w:val="en-US"/>
        </w:rPr>
        <w:t xml:space="preserve">, </w:t>
      </w:r>
      <w:r w:rsidR="00997ADF" w:rsidRPr="009D52FD">
        <w:rPr>
          <w:sz w:val="20"/>
          <w:szCs w:val="20"/>
          <w:lang w:val="en-US"/>
        </w:rPr>
        <w:t>in relation to</w:t>
      </w:r>
      <w:r w:rsidR="009E4F6C" w:rsidRPr="009D52FD">
        <w:rPr>
          <w:sz w:val="20"/>
          <w:szCs w:val="20"/>
          <w:lang w:val="en-US"/>
        </w:rPr>
        <w:t xml:space="preserve"> </w:t>
      </w:r>
      <w:r w:rsidR="00483040" w:rsidRPr="009D52FD">
        <w:rPr>
          <w:sz w:val="20"/>
          <w:szCs w:val="20"/>
          <w:lang w:val="en-US"/>
        </w:rPr>
        <w:t>Article 1(1)</w:t>
      </w:r>
      <w:r w:rsidR="009E4F6C" w:rsidRPr="009D52FD">
        <w:rPr>
          <w:sz w:val="20"/>
          <w:szCs w:val="20"/>
          <w:lang w:val="en-US"/>
        </w:rPr>
        <w:t xml:space="preserve"> </w:t>
      </w:r>
      <w:r w:rsidR="00996337" w:rsidRPr="009D52FD">
        <w:rPr>
          <w:sz w:val="20"/>
          <w:szCs w:val="20"/>
          <w:lang w:val="en-US"/>
        </w:rPr>
        <w:t>of this instrument</w:t>
      </w:r>
      <w:r w:rsidR="00FB4351" w:rsidRPr="009D52FD">
        <w:rPr>
          <w:sz w:val="20"/>
          <w:szCs w:val="20"/>
          <w:lang w:val="en-US"/>
        </w:rPr>
        <w:t>,</w:t>
      </w:r>
      <w:r w:rsidR="009E4F6C" w:rsidRPr="009D52FD">
        <w:rPr>
          <w:sz w:val="20"/>
          <w:szCs w:val="20"/>
          <w:lang w:val="en-US"/>
        </w:rPr>
        <w:t xml:space="preserve"> </w:t>
      </w:r>
      <w:r w:rsidR="003630BB" w:rsidRPr="009D52FD">
        <w:rPr>
          <w:sz w:val="20"/>
          <w:szCs w:val="20"/>
          <w:lang w:val="en-US"/>
        </w:rPr>
        <w:t>Article</w:t>
      </w:r>
      <w:r w:rsidR="009E4F6C" w:rsidRPr="009D52FD">
        <w:rPr>
          <w:sz w:val="20"/>
          <w:szCs w:val="20"/>
          <w:lang w:val="en-US"/>
        </w:rPr>
        <w:t xml:space="preserve"> </w:t>
      </w:r>
      <w:r w:rsidR="00996337" w:rsidRPr="009D52FD">
        <w:rPr>
          <w:sz w:val="20"/>
          <w:szCs w:val="20"/>
          <w:lang w:val="en-US"/>
        </w:rPr>
        <w:t>7(a)</w:t>
      </w:r>
      <w:r w:rsidR="003630BB" w:rsidRPr="009D52FD">
        <w:rPr>
          <w:sz w:val="20"/>
          <w:szCs w:val="20"/>
          <w:lang w:val="en-US"/>
        </w:rPr>
        <w:t xml:space="preserve"> and </w:t>
      </w:r>
      <w:r w:rsidR="00996337" w:rsidRPr="009D52FD">
        <w:rPr>
          <w:sz w:val="20"/>
          <w:szCs w:val="20"/>
          <w:lang w:val="en-US"/>
        </w:rPr>
        <w:t>7(b)</w:t>
      </w:r>
      <w:r w:rsidR="003630BB" w:rsidRPr="009D52FD">
        <w:rPr>
          <w:sz w:val="20"/>
          <w:szCs w:val="20"/>
          <w:lang w:val="en-US"/>
        </w:rPr>
        <w:t xml:space="preserve"> of the Convention</w:t>
      </w:r>
      <w:r w:rsidR="009E4F6C" w:rsidRPr="009D52FD">
        <w:rPr>
          <w:sz w:val="20"/>
          <w:szCs w:val="20"/>
          <w:lang w:val="en-US"/>
        </w:rPr>
        <w:t xml:space="preserve"> </w:t>
      </w:r>
      <w:r w:rsidR="00483040" w:rsidRPr="009D52FD">
        <w:rPr>
          <w:sz w:val="20"/>
          <w:szCs w:val="20"/>
          <w:lang w:val="en-US"/>
        </w:rPr>
        <w:t>of Belém</w:t>
      </w:r>
      <w:r w:rsidR="009E4F6C" w:rsidRPr="009D52FD">
        <w:rPr>
          <w:sz w:val="20"/>
          <w:szCs w:val="20"/>
          <w:lang w:val="en-US"/>
        </w:rPr>
        <w:t xml:space="preserve"> do Pará</w:t>
      </w:r>
      <w:r w:rsidRPr="009D52FD">
        <w:rPr>
          <w:sz w:val="20"/>
          <w:szCs w:val="20"/>
          <w:lang w:val="en-US"/>
        </w:rPr>
        <w:t>,</w:t>
      </w:r>
      <w:r w:rsidR="003630BB" w:rsidRPr="009D52FD">
        <w:rPr>
          <w:sz w:val="20"/>
          <w:szCs w:val="20"/>
          <w:lang w:val="en-US"/>
        </w:rPr>
        <w:t xml:space="preserve"> and Articles</w:t>
      </w:r>
      <w:r w:rsidR="00FB4351" w:rsidRPr="009D52FD">
        <w:rPr>
          <w:sz w:val="20"/>
          <w:szCs w:val="20"/>
          <w:lang w:val="en-US"/>
        </w:rPr>
        <w:t xml:space="preserve"> 1, 6</w:t>
      </w:r>
      <w:r w:rsidR="003630BB" w:rsidRPr="009D52FD">
        <w:rPr>
          <w:sz w:val="20"/>
          <w:szCs w:val="20"/>
          <w:lang w:val="en-US"/>
        </w:rPr>
        <w:t xml:space="preserve"> and </w:t>
      </w:r>
      <w:r w:rsidR="00FB4351" w:rsidRPr="009D52FD">
        <w:rPr>
          <w:sz w:val="20"/>
          <w:szCs w:val="20"/>
          <w:lang w:val="en-US"/>
        </w:rPr>
        <w:t xml:space="preserve">8 </w:t>
      </w:r>
      <w:r w:rsidR="00D32B3E" w:rsidRPr="009D52FD">
        <w:rPr>
          <w:sz w:val="20"/>
          <w:szCs w:val="20"/>
          <w:lang w:val="en-US"/>
        </w:rPr>
        <w:t>of the ICPPT</w:t>
      </w:r>
      <w:r w:rsidR="009E4F6C" w:rsidRPr="009D52FD">
        <w:rPr>
          <w:sz w:val="20"/>
          <w:szCs w:val="20"/>
          <w:lang w:val="en-US"/>
        </w:rPr>
        <w:t xml:space="preserve">, </w:t>
      </w:r>
      <w:r w:rsidR="00483040" w:rsidRPr="009D52FD">
        <w:rPr>
          <w:sz w:val="20"/>
          <w:szCs w:val="20"/>
          <w:lang w:val="en-US"/>
        </w:rPr>
        <w:t>to the detriment of</w:t>
      </w:r>
      <w:r w:rsidR="009E4F6C" w:rsidRPr="009D52FD">
        <w:rPr>
          <w:sz w:val="20"/>
          <w:szCs w:val="20"/>
          <w:lang w:val="en-US"/>
        </w:rPr>
        <w:t xml:space="preserve"> Linda Loaiza López Soto.</w:t>
      </w:r>
    </w:p>
    <w:p w14:paraId="62074BDF" w14:textId="77777777" w:rsidR="009E4F6C" w:rsidRPr="009D52FD" w:rsidRDefault="009E4F6C" w:rsidP="009E4F6C">
      <w:pPr>
        <w:spacing w:line="240" w:lineRule="auto"/>
        <w:rPr>
          <w:sz w:val="20"/>
          <w:szCs w:val="20"/>
          <w:lang w:val="en-US"/>
        </w:rPr>
      </w:pPr>
    </w:p>
    <w:p w14:paraId="4CF682A7" w14:textId="4E821D35" w:rsidR="009E4F6C" w:rsidRPr="009D52FD" w:rsidRDefault="009E4F6C" w:rsidP="00D55048">
      <w:pPr>
        <w:keepNext/>
        <w:keepLines/>
        <w:widowControl/>
        <w:tabs>
          <w:tab w:val="left" w:pos="851"/>
        </w:tabs>
        <w:autoSpaceDE w:val="0"/>
        <w:autoSpaceDN w:val="0"/>
        <w:adjustRightInd/>
        <w:spacing w:line="240" w:lineRule="auto"/>
        <w:jc w:val="center"/>
        <w:textAlignment w:val="auto"/>
        <w:outlineLvl w:val="0"/>
        <w:rPr>
          <w:rFonts w:cs="Arial"/>
          <w:b/>
          <w:bCs/>
          <w:caps/>
          <w:kern w:val="2"/>
          <w:sz w:val="20"/>
          <w:szCs w:val="20"/>
          <w:lang w:val="en-US" w:eastAsia="en-US"/>
        </w:rPr>
      </w:pPr>
      <w:bookmarkStart w:id="87" w:name="_Toc51400098"/>
      <w:r w:rsidRPr="009D52FD">
        <w:rPr>
          <w:rFonts w:cs="Arial"/>
          <w:b/>
          <w:bCs/>
          <w:caps/>
          <w:kern w:val="2"/>
          <w:sz w:val="20"/>
          <w:szCs w:val="20"/>
          <w:lang w:val="en-US" w:eastAsia="en-US"/>
        </w:rPr>
        <w:lastRenderedPageBreak/>
        <w:t>VIII-2</w:t>
      </w:r>
      <w:r w:rsidRPr="009D52FD">
        <w:rPr>
          <w:rFonts w:cs="Arial"/>
          <w:b/>
          <w:bCs/>
          <w:caps/>
          <w:kern w:val="2"/>
          <w:sz w:val="20"/>
          <w:szCs w:val="20"/>
          <w:lang w:val="en-US" w:eastAsia="en-US"/>
        </w:rPr>
        <w:br/>
      </w:r>
      <w:r w:rsidR="00997ADF" w:rsidRPr="009D52FD">
        <w:rPr>
          <w:rFonts w:cs="Arial"/>
          <w:b/>
          <w:bCs/>
          <w:caps/>
          <w:kern w:val="2"/>
          <w:sz w:val="20"/>
          <w:szCs w:val="20"/>
          <w:lang w:val="en-US" w:eastAsia="en-US"/>
        </w:rPr>
        <w:t>rights to</w:t>
      </w:r>
      <w:r w:rsidRPr="009D52FD">
        <w:rPr>
          <w:rFonts w:cs="Arial"/>
          <w:b/>
          <w:bCs/>
          <w:caps/>
          <w:kern w:val="2"/>
          <w:sz w:val="20"/>
          <w:szCs w:val="20"/>
          <w:lang w:val="en-US" w:eastAsia="en-US"/>
        </w:rPr>
        <w:t xml:space="preserve"> </w:t>
      </w:r>
      <w:r w:rsidR="00997ADF" w:rsidRPr="009D52FD">
        <w:rPr>
          <w:rFonts w:cs="Arial"/>
          <w:b/>
          <w:bCs/>
          <w:caps/>
          <w:kern w:val="2"/>
          <w:sz w:val="20"/>
          <w:szCs w:val="20"/>
          <w:lang w:val="en-US" w:eastAsia="en-US"/>
        </w:rPr>
        <w:t>Personal integrity</w:t>
      </w:r>
      <w:r w:rsidR="002831D5" w:rsidRPr="009D52FD">
        <w:rPr>
          <w:rFonts w:cs="Arial"/>
          <w:b/>
          <w:bCs/>
          <w:caps/>
          <w:kern w:val="2"/>
          <w:sz w:val="20"/>
          <w:szCs w:val="20"/>
          <w:lang w:val="en-US" w:eastAsia="en-US"/>
        </w:rPr>
        <w:t xml:space="preserve">, </w:t>
      </w:r>
      <w:r w:rsidR="00D55048" w:rsidRPr="009D52FD">
        <w:rPr>
          <w:rFonts w:cs="Arial"/>
          <w:b/>
          <w:bCs/>
          <w:caps/>
          <w:kern w:val="2"/>
          <w:sz w:val="20"/>
          <w:szCs w:val="20"/>
          <w:lang w:val="en-US" w:eastAsia="en-US"/>
        </w:rPr>
        <w:t>Prohibition of torture and other cruel, inhuman or degrading treatment</w:t>
      </w:r>
      <w:r w:rsidR="002831D5" w:rsidRPr="009D52FD">
        <w:rPr>
          <w:rFonts w:cs="Arial"/>
          <w:b/>
          <w:bCs/>
          <w:caps/>
          <w:kern w:val="2"/>
          <w:sz w:val="20"/>
          <w:szCs w:val="20"/>
          <w:lang w:val="en-US" w:eastAsia="en-US"/>
        </w:rPr>
        <w:t xml:space="preserve">, </w:t>
      </w:r>
      <w:r w:rsidR="00AE580F" w:rsidRPr="009D52FD">
        <w:rPr>
          <w:rFonts w:cs="Arial"/>
          <w:b/>
          <w:bCs/>
          <w:caps/>
          <w:kern w:val="2"/>
          <w:sz w:val="20"/>
          <w:szCs w:val="20"/>
          <w:lang w:val="en-US" w:eastAsia="en-US"/>
        </w:rPr>
        <w:t>DIGNITY</w:t>
      </w:r>
      <w:r w:rsidR="007835BA" w:rsidRPr="009D52FD">
        <w:rPr>
          <w:rFonts w:cs="Arial"/>
          <w:b/>
          <w:bCs/>
          <w:caps/>
          <w:kern w:val="2"/>
          <w:sz w:val="20"/>
          <w:szCs w:val="20"/>
          <w:lang w:val="en-US" w:eastAsia="en-US"/>
        </w:rPr>
        <w:t>,</w:t>
      </w:r>
      <w:r w:rsidR="006E38C6" w:rsidRPr="009D52FD">
        <w:rPr>
          <w:rFonts w:cs="Arial"/>
          <w:b/>
          <w:bCs/>
          <w:caps/>
          <w:kern w:val="2"/>
          <w:sz w:val="20"/>
          <w:szCs w:val="20"/>
          <w:lang w:val="en-US" w:eastAsia="en-US"/>
        </w:rPr>
        <w:t xml:space="preserve"> </w:t>
      </w:r>
      <w:r w:rsidR="00AE580F" w:rsidRPr="009D52FD">
        <w:rPr>
          <w:rFonts w:cs="Arial"/>
          <w:b/>
          <w:bCs/>
          <w:caps/>
          <w:kern w:val="2"/>
          <w:sz w:val="20"/>
          <w:szCs w:val="20"/>
          <w:lang w:val="en-US" w:eastAsia="en-US"/>
        </w:rPr>
        <w:t>AUTONOMY</w:t>
      </w:r>
      <w:r w:rsidR="00D55048" w:rsidRPr="009D52FD">
        <w:rPr>
          <w:rFonts w:cs="Arial"/>
          <w:b/>
          <w:bCs/>
          <w:caps/>
          <w:kern w:val="2"/>
          <w:sz w:val="20"/>
          <w:szCs w:val="20"/>
          <w:lang w:val="en-US" w:eastAsia="en-US"/>
        </w:rPr>
        <w:t xml:space="preserve"> AND</w:t>
      </w:r>
      <w:r w:rsidR="007835BA" w:rsidRPr="009D52FD">
        <w:rPr>
          <w:rFonts w:cs="Arial"/>
          <w:b/>
          <w:bCs/>
          <w:caps/>
          <w:kern w:val="2"/>
          <w:sz w:val="20"/>
          <w:szCs w:val="20"/>
          <w:lang w:val="en-US" w:eastAsia="en-US"/>
        </w:rPr>
        <w:t xml:space="preserve"> </w:t>
      </w:r>
      <w:r w:rsidR="00701F24" w:rsidRPr="009D52FD">
        <w:rPr>
          <w:rFonts w:cs="Arial"/>
          <w:b/>
          <w:bCs/>
          <w:caps/>
          <w:kern w:val="2"/>
          <w:sz w:val="20"/>
          <w:szCs w:val="20"/>
          <w:lang w:val="en-US" w:eastAsia="en-US"/>
        </w:rPr>
        <w:t>privacy</w:t>
      </w:r>
      <w:r w:rsidR="002831D5" w:rsidRPr="009D52FD">
        <w:rPr>
          <w:rFonts w:cs="Arial"/>
          <w:b/>
          <w:bCs/>
          <w:caps/>
          <w:kern w:val="2"/>
          <w:sz w:val="20"/>
          <w:szCs w:val="20"/>
          <w:lang w:val="en-US" w:eastAsia="en-US"/>
        </w:rPr>
        <w:t>,</w:t>
      </w:r>
      <w:r w:rsidR="006E38C6" w:rsidRPr="009D52FD">
        <w:rPr>
          <w:rFonts w:cs="Arial"/>
          <w:b/>
          <w:bCs/>
          <w:caps/>
          <w:kern w:val="2"/>
          <w:sz w:val="20"/>
          <w:szCs w:val="20"/>
          <w:lang w:val="en-US" w:eastAsia="en-US"/>
        </w:rPr>
        <w:t xml:space="preserve"> </w:t>
      </w:r>
      <w:r w:rsidR="00996337" w:rsidRPr="009D52FD">
        <w:rPr>
          <w:rFonts w:cs="Arial"/>
          <w:b/>
          <w:bCs/>
          <w:caps/>
          <w:kern w:val="2"/>
          <w:sz w:val="20"/>
          <w:szCs w:val="20"/>
          <w:lang w:val="en-US" w:eastAsia="en-US"/>
        </w:rPr>
        <w:t>JUDICIAL GUARANTEES</w:t>
      </w:r>
      <w:r w:rsidR="00D55048" w:rsidRPr="009D52FD">
        <w:rPr>
          <w:rFonts w:cs="Arial"/>
          <w:b/>
          <w:bCs/>
          <w:caps/>
          <w:kern w:val="2"/>
          <w:sz w:val="20"/>
          <w:szCs w:val="20"/>
          <w:lang w:val="en-US" w:eastAsia="en-US"/>
        </w:rPr>
        <w:t>,</w:t>
      </w:r>
      <w:r w:rsidRPr="009D52FD">
        <w:rPr>
          <w:rFonts w:cs="Arial"/>
          <w:b/>
          <w:bCs/>
          <w:caps/>
          <w:kern w:val="2"/>
          <w:sz w:val="20"/>
          <w:szCs w:val="20"/>
          <w:vertAlign w:val="superscript"/>
          <w:lang w:val="en-US" w:eastAsia="en-US"/>
        </w:rPr>
        <w:footnoteReference w:id="298"/>
      </w:r>
      <w:r w:rsidRPr="009D52FD">
        <w:rPr>
          <w:rFonts w:cs="Arial"/>
          <w:b/>
          <w:bCs/>
          <w:caps/>
          <w:kern w:val="2"/>
          <w:sz w:val="20"/>
          <w:szCs w:val="20"/>
          <w:lang w:val="en-US" w:eastAsia="en-US"/>
        </w:rPr>
        <w:t xml:space="preserve"> </w:t>
      </w:r>
      <w:r w:rsidR="00996337" w:rsidRPr="009D52FD">
        <w:rPr>
          <w:rFonts w:cs="Arial"/>
          <w:b/>
          <w:bCs/>
          <w:caps/>
          <w:kern w:val="2"/>
          <w:sz w:val="20"/>
          <w:szCs w:val="20"/>
          <w:lang w:val="en-US" w:eastAsia="en-US"/>
        </w:rPr>
        <w:t>Equality before the law</w:t>
      </w:r>
      <w:r w:rsidR="003630BB" w:rsidRPr="009D52FD">
        <w:rPr>
          <w:rFonts w:cs="Arial"/>
          <w:b/>
          <w:bCs/>
          <w:caps/>
          <w:kern w:val="2"/>
          <w:sz w:val="20"/>
          <w:szCs w:val="20"/>
          <w:lang w:val="en-US" w:eastAsia="en-US"/>
        </w:rPr>
        <w:t xml:space="preserve"> and </w:t>
      </w:r>
      <w:r w:rsidRPr="009D52FD">
        <w:rPr>
          <w:rFonts w:cs="Arial"/>
          <w:b/>
          <w:bCs/>
          <w:caps/>
          <w:kern w:val="2"/>
          <w:sz w:val="20"/>
          <w:szCs w:val="20"/>
          <w:lang w:val="en-US" w:eastAsia="en-US"/>
        </w:rPr>
        <w:t>JUDICIAL</w:t>
      </w:r>
      <w:r w:rsidR="00D55048" w:rsidRPr="009D52FD">
        <w:rPr>
          <w:rFonts w:cs="Arial"/>
          <w:b/>
          <w:bCs/>
          <w:caps/>
          <w:kern w:val="2"/>
          <w:sz w:val="20"/>
          <w:szCs w:val="20"/>
          <w:lang w:val="en-US" w:eastAsia="en-US"/>
        </w:rPr>
        <w:t xml:space="preserve"> PROTECTION,</w:t>
      </w:r>
      <w:r w:rsidRPr="009D52FD">
        <w:rPr>
          <w:rFonts w:cs="Arial"/>
          <w:b/>
          <w:bCs/>
          <w:caps/>
          <w:kern w:val="2"/>
          <w:sz w:val="20"/>
          <w:szCs w:val="20"/>
          <w:vertAlign w:val="superscript"/>
          <w:lang w:val="en-US" w:eastAsia="en-US"/>
        </w:rPr>
        <w:footnoteReference w:id="299"/>
      </w:r>
      <w:r w:rsidRPr="009D52FD">
        <w:rPr>
          <w:rFonts w:cs="Arial"/>
          <w:b/>
          <w:bCs/>
          <w:caps/>
          <w:kern w:val="2"/>
          <w:sz w:val="20"/>
          <w:szCs w:val="20"/>
          <w:lang w:val="en-US" w:eastAsia="en-US"/>
        </w:rPr>
        <w:t xml:space="preserve"> </w:t>
      </w:r>
      <w:r w:rsidR="00997ADF" w:rsidRPr="009D52FD">
        <w:rPr>
          <w:rFonts w:cs="Arial"/>
          <w:b/>
          <w:bCs/>
          <w:caps/>
          <w:kern w:val="2"/>
          <w:sz w:val="20"/>
          <w:szCs w:val="20"/>
          <w:lang w:val="en-US" w:eastAsia="en-US"/>
        </w:rPr>
        <w:t>IN RELATION TO</w:t>
      </w:r>
      <w:r w:rsidRPr="009D52FD">
        <w:rPr>
          <w:rFonts w:cs="Arial"/>
          <w:b/>
          <w:bCs/>
          <w:caps/>
          <w:kern w:val="2"/>
          <w:sz w:val="20"/>
          <w:szCs w:val="20"/>
          <w:lang w:val="en-US" w:eastAsia="en-US"/>
        </w:rPr>
        <w:t xml:space="preserve"> </w:t>
      </w:r>
      <w:r w:rsidR="00D55048" w:rsidRPr="009D52FD">
        <w:rPr>
          <w:rFonts w:cs="Arial"/>
          <w:b/>
          <w:bCs/>
          <w:caps/>
          <w:kern w:val="2"/>
          <w:sz w:val="20"/>
          <w:szCs w:val="20"/>
          <w:lang w:val="en-US" w:eastAsia="en-US"/>
        </w:rPr>
        <w:t xml:space="preserve">The obligations to respect and to ensure </w:t>
      </w:r>
      <w:r w:rsidR="006D56BE" w:rsidRPr="009D52FD">
        <w:rPr>
          <w:rFonts w:cs="Arial"/>
          <w:b/>
          <w:bCs/>
          <w:caps/>
          <w:kern w:val="2"/>
          <w:sz w:val="20"/>
          <w:szCs w:val="20"/>
          <w:lang w:val="en-US" w:eastAsia="en-US"/>
        </w:rPr>
        <w:t xml:space="preserve">THESE </w:t>
      </w:r>
      <w:r w:rsidR="00D55048" w:rsidRPr="009D52FD">
        <w:rPr>
          <w:rFonts w:cs="Arial"/>
          <w:b/>
          <w:bCs/>
          <w:caps/>
          <w:kern w:val="2"/>
          <w:sz w:val="20"/>
          <w:szCs w:val="20"/>
          <w:lang w:val="en-US" w:eastAsia="en-US"/>
        </w:rPr>
        <w:t xml:space="preserve">rights WITHOUT DISCRIMINATION, and To adopt domestic </w:t>
      </w:r>
      <w:r w:rsidR="004E1BEA" w:rsidRPr="009D52FD">
        <w:rPr>
          <w:rFonts w:cs="Arial"/>
          <w:b/>
          <w:bCs/>
          <w:caps/>
          <w:kern w:val="2"/>
          <w:sz w:val="20"/>
          <w:szCs w:val="20"/>
          <w:lang w:val="en-US" w:eastAsia="en-US"/>
        </w:rPr>
        <w:t>legal provisions</w:t>
      </w:r>
      <w:r w:rsidR="00D55048" w:rsidRPr="009D52FD">
        <w:rPr>
          <w:rFonts w:cs="Arial"/>
          <w:b/>
          <w:bCs/>
          <w:caps/>
          <w:kern w:val="2"/>
          <w:sz w:val="20"/>
          <w:szCs w:val="20"/>
          <w:lang w:val="en-US" w:eastAsia="en-US"/>
        </w:rPr>
        <w:t>,</w:t>
      </w:r>
      <w:r w:rsidR="00D55048" w:rsidRPr="009D52FD">
        <w:rPr>
          <w:rFonts w:cs="Arial"/>
          <w:b/>
          <w:bCs/>
          <w:caps/>
          <w:kern w:val="2"/>
          <w:sz w:val="20"/>
          <w:szCs w:val="20"/>
          <w:vertAlign w:val="superscript"/>
          <w:lang w:val="en-US" w:eastAsia="en-US"/>
        </w:rPr>
        <w:footnoteReference w:id="300"/>
      </w:r>
      <w:r w:rsidR="00D55048" w:rsidRPr="009D52FD">
        <w:rPr>
          <w:rFonts w:cs="Arial"/>
          <w:b/>
          <w:bCs/>
          <w:caps/>
          <w:kern w:val="2"/>
          <w:sz w:val="20"/>
          <w:szCs w:val="20"/>
          <w:lang w:val="en-US" w:eastAsia="en-US"/>
        </w:rPr>
        <w:t xml:space="preserve"> AS WELL AS to Article 7 of the Convention of Belém do pará and </w:t>
      </w:r>
      <w:r w:rsidR="003630BB" w:rsidRPr="009D52FD">
        <w:rPr>
          <w:rFonts w:cs="Arial"/>
          <w:b/>
          <w:bCs/>
          <w:caps/>
          <w:kern w:val="2"/>
          <w:sz w:val="20"/>
          <w:szCs w:val="20"/>
          <w:lang w:val="en-US" w:eastAsia="en-US"/>
        </w:rPr>
        <w:t>ARTICLES</w:t>
      </w:r>
      <w:r w:rsidR="00B75A3F" w:rsidRPr="009D52FD">
        <w:rPr>
          <w:rFonts w:cs="Arial"/>
          <w:b/>
          <w:bCs/>
          <w:caps/>
          <w:kern w:val="2"/>
          <w:sz w:val="20"/>
          <w:szCs w:val="20"/>
          <w:lang w:val="en-US" w:eastAsia="en-US"/>
        </w:rPr>
        <w:t xml:space="preserve"> 1, 6</w:t>
      </w:r>
      <w:r w:rsidR="003630BB" w:rsidRPr="009D52FD">
        <w:rPr>
          <w:rFonts w:cs="Arial"/>
          <w:b/>
          <w:bCs/>
          <w:caps/>
          <w:kern w:val="2"/>
          <w:sz w:val="20"/>
          <w:szCs w:val="20"/>
          <w:lang w:val="en-US" w:eastAsia="en-US"/>
        </w:rPr>
        <w:t xml:space="preserve"> and </w:t>
      </w:r>
      <w:r w:rsidR="00B75A3F" w:rsidRPr="009D52FD">
        <w:rPr>
          <w:rFonts w:cs="Arial"/>
          <w:b/>
          <w:bCs/>
          <w:caps/>
          <w:kern w:val="2"/>
          <w:sz w:val="20"/>
          <w:szCs w:val="20"/>
          <w:lang w:val="en-US" w:eastAsia="en-US"/>
        </w:rPr>
        <w:t xml:space="preserve">8 </w:t>
      </w:r>
      <w:r w:rsidR="00D32B3E" w:rsidRPr="009D52FD">
        <w:rPr>
          <w:rFonts w:cs="Arial"/>
          <w:b/>
          <w:bCs/>
          <w:caps/>
          <w:kern w:val="2"/>
          <w:sz w:val="20"/>
          <w:szCs w:val="20"/>
          <w:lang w:val="en-US" w:eastAsia="en-US"/>
        </w:rPr>
        <w:t>OF THE ICPPT</w:t>
      </w:r>
      <w:bookmarkEnd w:id="87"/>
    </w:p>
    <w:p w14:paraId="27FF15F0" w14:textId="77777777" w:rsidR="009E4F6C" w:rsidRPr="009D52FD" w:rsidRDefault="009E4F6C" w:rsidP="009E4F6C">
      <w:pPr>
        <w:spacing w:line="240" w:lineRule="auto"/>
        <w:rPr>
          <w:sz w:val="20"/>
          <w:szCs w:val="20"/>
          <w:lang w:val="en-US"/>
        </w:rPr>
      </w:pPr>
    </w:p>
    <w:p w14:paraId="7FF966C9" w14:textId="0BB747AA" w:rsidR="009E4F6C" w:rsidRPr="009D52FD" w:rsidRDefault="009E4F6C" w:rsidP="009E4F6C">
      <w:pPr>
        <w:keepNext/>
        <w:keepLines/>
        <w:widowControl/>
        <w:tabs>
          <w:tab w:val="left" w:pos="1134"/>
        </w:tabs>
        <w:autoSpaceDE w:val="0"/>
        <w:autoSpaceDN w:val="0"/>
        <w:spacing w:line="240" w:lineRule="auto"/>
        <w:ind w:left="567" w:firstLine="1"/>
        <w:textAlignment w:val="auto"/>
        <w:outlineLvl w:val="1"/>
        <w:rPr>
          <w:rFonts w:eastAsia="MS Mincho" w:cs="Arial"/>
          <w:b/>
          <w:bCs/>
          <w:i/>
          <w:sz w:val="20"/>
          <w:szCs w:val="20"/>
          <w:lang w:val="en-US" w:eastAsia="en-US"/>
        </w:rPr>
      </w:pPr>
      <w:bookmarkStart w:id="88" w:name="_Toc51400099"/>
      <w:r w:rsidRPr="009D52FD">
        <w:rPr>
          <w:rFonts w:eastAsia="MS Mincho" w:cs="Arial"/>
          <w:b/>
          <w:bCs/>
          <w:i/>
          <w:sz w:val="20"/>
          <w:szCs w:val="20"/>
          <w:lang w:val="en-US" w:eastAsia="en-US"/>
        </w:rPr>
        <w:t>A.</w:t>
      </w:r>
      <w:r w:rsidRPr="009D52FD">
        <w:rPr>
          <w:rFonts w:eastAsia="MS Mincho" w:cs="Arial"/>
          <w:b/>
          <w:bCs/>
          <w:i/>
          <w:sz w:val="20"/>
          <w:szCs w:val="20"/>
          <w:lang w:val="en-US" w:eastAsia="en-US"/>
        </w:rPr>
        <w:tab/>
      </w:r>
      <w:r w:rsidR="008A6211" w:rsidRPr="009D52FD">
        <w:rPr>
          <w:rFonts w:eastAsia="MS Mincho" w:cs="Arial"/>
          <w:b/>
          <w:bCs/>
          <w:i/>
          <w:sz w:val="20"/>
          <w:szCs w:val="20"/>
          <w:lang w:val="en-US" w:eastAsia="en-US"/>
        </w:rPr>
        <w:t>Arguments of the parties</w:t>
      </w:r>
      <w:r w:rsidR="003630BB" w:rsidRPr="009D52FD">
        <w:rPr>
          <w:rFonts w:eastAsia="MS Mincho" w:cs="Arial"/>
          <w:b/>
          <w:bCs/>
          <w:i/>
          <w:sz w:val="20"/>
          <w:szCs w:val="20"/>
          <w:lang w:val="en-US" w:eastAsia="en-US"/>
        </w:rPr>
        <w:t xml:space="preserve"> and of the Commission</w:t>
      </w:r>
      <w:bookmarkEnd w:id="88"/>
    </w:p>
    <w:p w14:paraId="1DE91B9E" w14:textId="77777777" w:rsidR="009E4F6C" w:rsidRPr="009D52FD" w:rsidRDefault="009E4F6C" w:rsidP="009E4F6C">
      <w:pPr>
        <w:spacing w:line="240" w:lineRule="auto"/>
        <w:rPr>
          <w:sz w:val="20"/>
          <w:szCs w:val="20"/>
          <w:lang w:val="en-US"/>
        </w:rPr>
      </w:pPr>
    </w:p>
    <w:p w14:paraId="720BC7E5" w14:textId="00CDFCE6" w:rsidR="00643931" w:rsidRPr="009D52FD" w:rsidRDefault="003630BB" w:rsidP="005146ED">
      <w:pPr>
        <w:numPr>
          <w:ilvl w:val="0"/>
          <w:numId w:val="1"/>
        </w:numPr>
        <w:tabs>
          <w:tab w:val="left" w:pos="567"/>
        </w:tabs>
        <w:spacing w:line="240" w:lineRule="auto"/>
        <w:ind w:left="0" w:firstLine="0"/>
        <w:rPr>
          <w:b/>
          <w:sz w:val="16"/>
          <w:szCs w:val="20"/>
          <w:lang w:val="en-US"/>
        </w:rPr>
      </w:pPr>
      <w:r w:rsidRPr="009D52FD">
        <w:rPr>
          <w:sz w:val="20"/>
          <w:szCs w:val="20"/>
          <w:lang w:val="en-US"/>
        </w:rPr>
        <w:t xml:space="preserve">The </w:t>
      </w:r>
      <w:r w:rsidRPr="009D52FD">
        <w:rPr>
          <w:b/>
          <w:bCs/>
          <w:i/>
          <w:iCs/>
          <w:sz w:val="20"/>
          <w:szCs w:val="20"/>
          <w:lang w:val="en-US"/>
        </w:rPr>
        <w:t>Commission</w:t>
      </w:r>
      <w:r w:rsidR="00040F1D" w:rsidRPr="009D52FD">
        <w:rPr>
          <w:b/>
          <w:bCs/>
          <w:i/>
          <w:iCs/>
          <w:sz w:val="20"/>
          <w:szCs w:val="20"/>
          <w:lang w:val="en-US"/>
        </w:rPr>
        <w:t xml:space="preserve"> </w:t>
      </w:r>
      <w:r w:rsidR="00643931" w:rsidRPr="009D52FD">
        <w:rPr>
          <w:sz w:val="20"/>
          <w:szCs w:val="20"/>
          <w:lang w:val="en-US"/>
        </w:rPr>
        <w:t>argued that</w:t>
      </w:r>
      <w:r w:rsidR="00B92559" w:rsidRPr="009D52FD">
        <w:rPr>
          <w:sz w:val="20"/>
          <w:szCs w:val="20"/>
          <w:lang w:val="en-US"/>
        </w:rPr>
        <w:t xml:space="preserve"> “</w:t>
      </w:r>
      <w:r w:rsidR="00D25316" w:rsidRPr="009D52FD">
        <w:rPr>
          <w:sz w:val="20"/>
          <w:szCs w:val="20"/>
          <w:lang w:val="en-US"/>
        </w:rPr>
        <w:t>[</w:t>
      </w:r>
      <w:r w:rsidR="00643931" w:rsidRPr="009D52FD">
        <w:rPr>
          <w:sz w:val="20"/>
          <w:szCs w:val="20"/>
          <w:lang w:val="en-US"/>
        </w:rPr>
        <w:t>t</w:t>
      </w:r>
      <w:r w:rsidR="00D25316" w:rsidRPr="009D52FD">
        <w:rPr>
          <w:sz w:val="20"/>
          <w:szCs w:val="20"/>
          <w:lang w:val="en-US"/>
        </w:rPr>
        <w:t>]</w:t>
      </w:r>
      <w:r w:rsidR="00643931" w:rsidRPr="009D52FD">
        <w:rPr>
          <w:sz w:val="20"/>
          <w:szCs w:val="20"/>
          <w:lang w:val="en-US"/>
        </w:rPr>
        <w:t>he Venezuelan authorities committed serious omissions from the first moment of the rescue of Linda [Loaiza] López” because “</w:t>
      </w:r>
      <w:r w:rsidR="005146ED" w:rsidRPr="009D52FD">
        <w:rPr>
          <w:sz w:val="20"/>
          <w:szCs w:val="20"/>
          <w:lang w:val="en-US"/>
        </w:rPr>
        <w:t>that the reports on the rescue and records of her admission to the public hospital where she was taken make no mention that Linda Loaiza López had stated […] that she was a victim of</w:t>
      </w:r>
      <w:r w:rsidR="005146ED" w:rsidRPr="009D52FD">
        <w:rPr>
          <w:b/>
          <w:sz w:val="16"/>
          <w:szCs w:val="20"/>
          <w:lang w:val="en-US"/>
        </w:rPr>
        <w:t xml:space="preserve"> </w:t>
      </w:r>
      <w:r w:rsidR="00643931" w:rsidRPr="009D52FD">
        <w:rPr>
          <w:sz w:val="20"/>
          <w:szCs w:val="20"/>
          <w:lang w:val="en-US"/>
        </w:rPr>
        <w:t>sexual violence.” The Commission also observed “the superficial nature of the initial examinations of Linda Loaiza,” because there was a failure to make a “detailed examination of the a</w:t>
      </w:r>
      <w:r w:rsidR="003A22C1" w:rsidRPr="009D52FD">
        <w:rPr>
          <w:sz w:val="20"/>
          <w:szCs w:val="20"/>
          <w:lang w:val="en-US"/>
        </w:rPr>
        <w:t>ssault</w:t>
      </w:r>
      <w:r w:rsidR="00643931" w:rsidRPr="009D52FD">
        <w:rPr>
          <w:sz w:val="20"/>
          <w:szCs w:val="20"/>
          <w:lang w:val="en-US"/>
        </w:rPr>
        <w:t xml:space="preserve"> that took into account the obligation to establish </w:t>
      </w:r>
      <w:r w:rsidR="003A22C1" w:rsidRPr="009D52FD">
        <w:rPr>
          <w:sz w:val="20"/>
          <w:szCs w:val="20"/>
          <w:lang w:val="en-US"/>
        </w:rPr>
        <w:t>whether gender-based violence had occurred.” The Commission also underscored that the “forensic medical examination […] was performed […] eight days after the rescue of Linda Loaiza López,” which constituted a “delay</w:t>
      </w:r>
      <w:r w:rsidR="00DE7AAC" w:rsidRPr="009D52FD">
        <w:rPr>
          <w:sz w:val="20"/>
          <w:szCs w:val="20"/>
          <w:lang w:val="en-US"/>
        </w:rPr>
        <w:t xml:space="preserve"> that had not been justified</w:t>
      </w:r>
      <w:r w:rsidR="003A22C1" w:rsidRPr="009D52FD">
        <w:rPr>
          <w:sz w:val="20"/>
          <w:szCs w:val="20"/>
          <w:lang w:val="en-US"/>
        </w:rPr>
        <w:t xml:space="preserve"> by the State.”</w:t>
      </w:r>
    </w:p>
    <w:p w14:paraId="182FEF53" w14:textId="77777777" w:rsidR="00B92559" w:rsidRPr="009D52FD" w:rsidRDefault="00B92559" w:rsidP="00B92559">
      <w:pPr>
        <w:tabs>
          <w:tab w:val="left" w:pos="567"/>
        </w:tabs>
        <w:spacing w:line="240" w:lineRule="auto"/>
        <w:rPr>
          <w:b/>
          <w:sz w:val="16"/>
          <w:szCs w:val="20"/>
          <w:lang w:val="en-US"/>
        </w:rPr>
      </w:pPr>
    </w:p>
    <w:p w14:paraId="01FD0611" w14:textId="377CFEB5" w:rsidR="00B92559" w:rsidRPr="009D52FD" w:rsidRDefault="003A22C1" w:rsidP="003A22C1">
      <w:pPr>
        <w:numPr>
          <w:ilvl w:val="0"/>
          <w:numId w:val="1"/>
        </w:numPr>
        <w:tabs>
          <w:tab w:val="left" w:pos="567"/>
        </w:tabs>
        <w:spacing w:line="240" w:lineRule="auto"/>
        <w:ind w:left="0" w:firstLine="0"/>
        <w:rPr>
          <w:b/>
          <w:sz w:val="16"/>
          <w:szCs w:val="20"/>
          <w:lang w:val="en-US"/>
        </w:rPr>
      </w:pPr>
      <w:r w:rsidRPr="009D52FD">
        <w:rPr>
          <w:sz w:val="20"/>
          <w:szCs w:val="20"/>
          <w:lang w:val="en-US"/>
        </w:rPr>
        <w:t>Regarding the</w:t>
      </w:r>
      <w:r w:rsidR="00B92559" w:rsidRPr="009D52FD">
        <w:rPr>
          <w:sz w:val="20"/>
          <w:szCs w:val="20"/>
          <w:lang w:val="en-US"/>
        </w:rPr>
        <w:t xml:space="preserve"> “</w:t>
      </w:r>
      <w:r w:rsidRPr="009D52FD">
        <w:rPr>
          <w:sz w:val="20"/>
          <w:szCs w:val="20"/>
          <w:lang w:val="en-US"/>
        </w:rPr>
        <w:t xml:space="preserve">handling and preservation of the apartment where Linda Loaiza was found,” the Commission argued that “the place was not duly protected […] and the scene was not adequately safeguarded,” which signified that the State had incurred in significant negligence and omissions. As for the evidence, the Commission underscored that “any measure tending to identify the aggressor was omitted,” because neither a “forensic appraisal” nor a “DNA test to identify the aggressor” were conducted, even though there was “evidence [such as] </w:t>
      </w:r>
      <w:r w:rsidR="00065F89" w:rsidRPr="009D52FD">
        <w:rPr>
          <w:sz w:val="20"/>
          <w:szCs w:val="20"/>
          <w:lang w:val="en-US"/>
        </w:rPr>
        <w:t>traces of blood, semen [and] hair</w:t>
      </w:r>
      <w:r w:rsidR="00065F89" w:rsidRPr="009D52FD">
        <w:rPr>
          <w:b/>
          <w:sz w:val="16"/>
          <w:szCs w:val="20"/>
          <w:lang w:val="en-US"/>
        </w:rPr>
        <w:t>.</w:t>
      </w:r>
      <w:r w:rsidR="00B92559" w:rsidRPr="009D52FD">
        <w:rPr>
          <w:sz w:val="20"/>
          <w:szCs w:val="20"/>
          <w:lang w:val="en-US"/>
        </w:rPr>
        <w:t>”</w:t>
      </w:r>
    </w:p>
    <w:p w14:paraId="62DE7584" w14:textId="77777777" w:rsidR="00B92559" w:rsidRPr="009D52FD" w:rsidRDefault="00B92559" w:rsidP="00B92559">
      <w:pPr>
        <w:tabs>
          <w:tab w:val="left" w:pos="567"/>
        </w:tabs>
        <w:spacing w:line="240" w:lineRule="auto"/>
        <w:rPr>
          <w:b/>
          <w:sz w:val="16"/>
          <w:szCs w:val="20"/>
          <w:lang w:val="en-US"/>
        </w:rPr>
      </w:pPr>
    </w:p>
    <w:p w14:paraId="0B4F43C4" w14:textId="4728594C" w:rsidR="00B92559" w:rsidRPr="009D52FD" w:rsidRDefault="00065F89" w:rsidP="00065F89">
      <w:pPr>
        <w:numPr>
          <w:ilvl w:val="0"/>
          <w:numId w:val="1"/>
        </w:numPr>
        <w:tabs>
          <w:tab w:val="left" w:pos="567"/>
        </w:tabs>
        <w:spacing w:line="240" w:lineRule="auto"/>
        <w:ind w:left="0" w:firstLine="0"/>
        <w:rPr>
          <w:b/>
          <w:sz w:val="16"/>
          <w:szCs w:val="20"/>
          <w:lang w:val="en-US"/>
        </w:rPr>
      </w:pPr>
      <w:r w:rsidRPr="009D52FD">
        <w:rPr>
          <w:sz w:val="20"/>
          <w:szCs w:val="20"/>
          <w:lang w:val="en-US"/>
        </w:rPr>
        <w:t>The</w:t>
      </w:r>
      <w:r w:rsidR="003630BB" w:rsidRPr="009D52FD">
        <w:rPr>
          <w:sz w:val="20"/>
          <w:szCs w:val="20"/>
          <w:lang w:val="en-US"/>
        </w:rPr>
        <w:t xml:space="preserve"> Commission</w:t>
      </w:r>
      <w:r w:rsidR="00B92559" w:rsidRPr="009D52FD">
        <w:rPr>
          <w:sz w:val="20"/>
          <w:szCs w:val="20"/>
          <w:lang w:val="en-US"/>
        </w:rPr>
        <w:t xml:space="preserve"> </w:t>
      </w:r>
      <w:r w:rsidRPr="009D52FD">
        <w:rPr>
          <w:sz w:val="20"/>
          <w:szCs w:val="20"/>
          <w:lang w:val="en-US"/>
        </w:rPr>
        <w:t>stressed that the “prosecution focused on taking repeated statements from Linda Loaiza López, without […] justification,” despite a “risk of revictimization.” The Commission also indicated that Linda Loaiza had to “remain in the apartment where she had been deprived of liberty for several hours,” despite “her fear and desperation to leave that place.” The Commission also alleged that “the forensic examinations, the visual inspections […] and the forensic psychiatric evaluation were performed by male officials with no indication that the victim was provided with privacy for these procedures.” On this basis, the Commission argued that Linda Loaiza had “not received appropriate treatment” for her situation as a</w:t>
      </w:r>
      <w:r w:rsidR="00E86FAD" w:rsidRPr="009D52FD">
        <w:rPr>
          <w:sz w:val="20"/>
          <w:szCs w:val="20"/>
          <w:lang w:val="en-US"/>
        </w:rPr>
        <w:t xml:space="preserve"> “</w:t>
      </w:r>
      <w:r w:rsidRPr="009D52FD">
        <w:rPr>
          <w:sz w:val="20"/>
          <w:szCs w:val="20"/>
          <w:lang w:val="en-US"/>
        </w:rPr>
        <w:t>victim of extreme physical, psychological and sexual violence.</w:t>
      </w:r>
      <w:r w:rsidR="00B92559" w:rsidRPr="009D52FD">
        <w:rPr>
          <w:sz w:val="20"/>
          <w:szCs w:val="20"/>
          <w:lang w:val="en-US"/>
        </w:rPr>
        <w:t>”</w:t>
      </w:r>
    </w:p>
    <w:p w14:paraId="7AE77584" w14:textId="77777777" w:rsidR="003049D9" w:rsidRPr="009D52FD" w:rsidRDefault="003049D9" w:rsidP="003049D9">
      <w:pPr>
        <w:tabs>
          <w:tab w:val="left" w:pos="567"/>
        </w:tabs>
        <w:spacing w:line="240" w:lineRule="auto"/>
        <w:rPr>
          <w:sz w:val="20"/>
          <w:szCs w:val="20"/>
          <w:lang w:val="en-US"/>
        </w:rPr>
      </w:pPr>
    </w:p>
    <w:p w14:paraId="43BE8366" w14:textId="11781684" w:rsidR="00454B93" w:rsidRPr="009D52FD" w:rsidRDefault="00065F89" w:rsidP="00D149D2">
      <w:pPr>
        <w:numPr>
          <w:ilvl w:val="0"/>
          <w:numId w:val="1"/>
        </w:numPr>
        <w:tabs>
          <w:tab w:val="left" w:pos="567"/>
        </w:tabs>
        <w:spacing w:line="240" w:lineRule="auto"/>
        <w:ind w:left="0" w:firstLine="0"/>
        <w:rPr>
          <w:sz w:val="20"/>
          <w:szCs w:val="20"/>
          <w:lang w:val="en-US"/>
        </w:rPr>
      </w:pPr>
      <w:r w:rsidRPr="009D52FD">
        <w:rPr>
          <w:sz w:val="20"/>
          <w:szCs w:val="20"/>
          <w:lang w:val="en-US"/>
        </w:rPr>
        <w:t>Regarding the lines of investigation,</w:t>
      </w:r>
      <w:r w:rsidR="00E86FAD" w:rsidRPr="009D52FD">
        <w:rPr>
          <w:sz w:val="20"/>
          <w:szCs w:val="20"/>
          <w:lang w:val="en-US"/>
        </w:rPr>
        <w:t xml:space="preserve"> </w:t>
      </w:r>
      <w:r w:rsidR="003630BB" w:rsidRPr="009D52FD">
        <w:rPr>
          <w:sz w:val="20"/>
          <w:szCs w:val="20"/>
          <w:lang w:val="en-US"/>
        </w:rPr>
        <w:t>the Commission</w:t>
      </w:r>
      <w:r w:rsidR="00B92559" w:rsidRPr="009D52FD">
        <w:rPr>
          <w:sz w:val="20"/>
          <w:szCs w:val="20"/>
          <w:lang w:val="en-US"/>
        </w:rPr>
        <w:t xml:space="preserve"> consider</w:t>
      </w:r>
      <w:r w:rsidRPr="009D52FD">
        <w:rPr>
          <w:sz w:val="20"/>
          <w:szCs w:val="20"/>
          <w:lang w:val="en-US"/>
        </w:rPr>
        <w:t xml:space="preserve">ed that these were not designed </w:t>
      </w:r>
      <w:r w:rsidRPr="009D52FD">
        <w:rPr>
          <w:sz w:val="20"/>
          <w:szCs w:val="20"/>
          <w:lang w:val="en-US"/>
        </w:rPr>
        <w:lastRenderedPageBreak/>
        <w:t>bas</w:t>
      </w:r>
      <w:r w:rsidR="00D149D2" w:rsidRPr="009D52FD">
        <w:rPr>
          <w:sz w:val="20"/>
          <w:szCs w:val="20"/>
          <w:lang w:val="en-US"/>
        </w:rPr>
        <w:t>e</w:t>
      </w:r>
      <w:r w:rsidRPr="009D52FD">
        <w:rPr>
          <w:sz w:val="20"/>
          <w:szCs w:val="20"/>
          <w:lang w:val="en-US"/>
        </w:rPr>
        <w:t>d on the information and details provided by the victim, and were not relat</w:t>
      </w:r>
      <w:r w:rsidR="00D149D2" w:rsidRPr="009D52FD">
        <w:rPr>
          <w:sz w:val="20"/>
          <w:szCs w:val="20"/>
          <w:lang w:val="en-US"/>
        </w:rPr>
        <w:t>e</w:t>
      </w:r>
      <w:r w:rsidRPr="009D52FD">
        <w:rPr>
          <w:sz w:val="20"/>
          <w:szCs w:val="20"/>
          <w:lang w:val="en-US"/>
        </w:rPr>
        <w:t>d “to po</w:t>
      </w:r>
      <w:r w:rsidR="00D149D2" w:rsidRPr="009D52FD">
        <w:rPr>
          <w:sz w:val="20"/>
          <w:szCs w:val="20"/>
          <w:lang w:val="en-US"/>
        </w:rPr>
        <w:t>s</w:t>
      </w:r>
      <w:r w:rsidRPr="009D52FD">
        <w:rPr>
          <w:sz w:val="20"/>
          <w:szCs w:val="20"/>
          <w:lang w:val="en-US"/>
        </w:rPr>
        <w:t>sible acts of concealment by the father of the presumed aggressor</w:t>
      </w:r>
      <w:r w:rsidR="00D149D2" w:rsidRPr="009D52FD">
        <w:rPr>
          <w:sz w:val="20"/>
          <w:szCs w:val="20"/>
          <w:lang w:val="en-US"/>
        </w:rPr>
        <w:t xml:space="preserve">”; nevertheless, “the Public Prosecution Service did conduct detailed follow-up actions and ordered specific evidence to be obtained to investigate the hypothesis put forward by the presumed aggressor.” In this regard, the Commission argued that the judgments of November 5, 2004 and May 22, 2006, ignored the “content of the medical examinations performed on Linda Loaiza López” that revealed “the assaults she had suffered” and the “physical and psychological impact she experienced.” </w:t>
      </w:r>
      <w:r w:rsidR="003B15F1" w:rsidRPr="009D52FD">
        <w:rPr>
          <w:sz w:val="20"/>
          <w:szCs w:val="20"/>
          <w:lang w:val="en-US"/>
        </w:rPr>
        <w:t>However,</w:t>
      </w:r>
      <w:r w:rsidR="00D149D2" w:rsidRPr="009D52FD">
        <w:rPr>
          <w:sz w:val="20"/>
          <w:szCs w:val="20"/>
          <w:lang w:val="en-US"/>
        </w:rPr>
        <w:t xml:space="preserve"> the judgment of May 22, 2006, “did take into account the content of the expert psychiatric appraisal performed on Luis Carrera Almoina.” </w:t>
      </w:r>
      <w:r w:rsidR="003B15F1" w:rsidRPr="009D52FD">
        <w:rPr>
          <w:sz w:val="20"/>
          <w:szCs w:val="20"/>
          <w:lang w:val="en-US"/>
        </w:rPr>
        <w:t>Mor</w:t>
      </w:r>
      <w:r w:rsidR="00D149D2" w:rsidRPr="009D52FD">
        <w:rPr>
          <w:sz w:val="20"/>
          <w:szCs w:val="20"/>
          <w:lang w:val="en-US"/>
        </w:rPr>
        <w:t>e</w:t>
      </w:r>
      <w:r w:rsidR="003B15F1" w:rsidRPr="009D52FD">
        <w:rPr>
          <w:sz w:val="20"/>
          <w:szCs w:val="20"/>
          <w:lang w:val="en-US"/>
        </w:rPr>
        <w:t>over</w:t>
      </w:r>
      <w:r w:rsidR="00D149D2" w:rsidRPr="009D52FD">
        <w:rPr>
          <w:sz w:val="20"/>
          <w:szCs w:val="20"/>
          <w:lang w:val="en-US"/>
        </w:rPr>
        <w:t xml:space="preserve">, </w:t>
      </w:r>
      <w:r w:rsidR="003B15F1" w:rsidRPr="009D52FD">
        <w:rPr>
          <w:sz w:val="20"/>
          <w:szCs w:val="20"/>
          <w:lang w:val="en-US"/>
        </w:rPr>
        <w:t>the Commission</w:t>
      </w:r>
      <w:r w:rsidR="00D149D2" w:rsidRPr="009D52FD">
        <w:rPr>
          <w:sz w:val="20"/>
          <w:szCs w:val="20"/>
          <w:lang w:val="en-US"/>
        </w:rPr>
        <w:t xml:space="preserve"> indicated that those rulings were based “on comparing the statement of the victim with that of the aggressor, and not on a comprehensive analysis </w:t>
      </w:r>
      <w:r w:rsidR="00454B93" w:rsidRPr="009D52FD">
        <w:rPr>
          <w:sz w:val="20"/>
          <w:szCs w:val="20"/>
          <w:lang w:val="en-US"/>
        </w:rPr>
        <w:t>from</w:t>
      </w:r>
      <w:r w:rsidR="00D149D2" w:rsidRPr="009D52FD">
        <w:rPr>
          <w:sz w:val="20"/>
          <w:szCs w:val="20"/>
          <w:lang w:val="en-US"/>
        </w:rPr>
        <w:t xml:space="preserve"> a gender perspective.” </w:t>
      </w:r>
      <w:r w:rsidR="00CD195D" w:rsidRPr="009D52FD">
        <w:rPr>
          <w:sz w:val="20"/>
          <w:szCs w:val="20"/>
          <w:lang w:val="en-US"/>
        </w:rPr>
        <w:t>It</w:t>
      </w:r>
      <w:r w:rsidR="00454B93" w:rsidRPr="009D52FD">
        <w:rPr>
          <w:sz w:val="20"/>
          <w:szCs w:val="20"/>
          <w:lang w:val="en-US"/>
        </w:rPr>
        <w:t xml:space="preserve"> also indicated that the hypotheses “submitted by the defense related to the victim’s supposed activities relating to sex work, and to </w:t>
      </w:r>
      <w:r w:rsidR="00CD195D" w:rsidRPr="009D52FD">
        <w:rPr>
          <w:sz w:val="20"/>
          <w:szCs w:val="20"/>
          <w:lang w:val="en-US"/>
        </w:rPr>
        <w:t xml:space="preserve">a </w:t>
      </w:r>
      <w:r w:rsidR="00454B93" w:rsidRPr="009D52FD">
        <w:rPr>
          <w:sz w:val="20"/>
          <w:szCs w:val="20"/>
          <w:lang w:val="en-US"/>
        </w:rPr>
        <w:t xml:space="preserve">romantic relationship she had allegedly had with Mr. </w:t>
      </w:r>
      <w:r w:rsidR="00B92559" w:rsidRPr="009D52FD">
        <w:rPr>
          <w:sz w:val="20"/>
          <w:szCs w:val="20"/>
          <w:lang w:val="en-US"/>
        </w:rPr>
        <w:t xml:space="preserve">Carrera Almoina” </w:t>
      </w:r>
      <w:r w:rsidR="00454B93" w:rsidRPr="009D52FD">
        <w:rPr>
          <w:sz w:val="20"/>
          <w:szCs w:val="20"/>
          <w:lang w:val="en-US"/>
        </w:rPr>
        <w:t xml:space="preserve">were used “to discredit the testimony of Linda Loaiza López and </w:t>
      </w:r>
      <w:r w:rsidR="00CD195D" w:rsidRPr="009D52FD">
        <w:rPr>
          <w:sz w:val="20"/>
          <w:szCs w:val="20"/>
          <w:lang w:val="en-US"/>
        </w:rPr>
        <w:t xml:space="preserve">to </w:t>
      </w:r>
      <w:r w:rsidR="00454B93" w:rsidRPr="009D52FD">
        <w:rPr>
          <w:sz w:val="20"/>
          <w:szCs w:val="20"/>
          <w:lang w:val="en-US"/>
        </w:rPr>
        <w:t xml:space="preserve">attribute her with a certain prior sexual conduct that, </w:t>
      </w:r>
      <w:r w:rsidR="00CD195D" w:rsidRPr="009D52FD">
        <w:rPr>
          <w:sz w:val="20"/>
          <w:szCs w:val="20"/>
          <w:lang w:val="en-US"/>
        </w:rPr>
        <w:t xml:space="preserve">under </w:t>
      </w:r>
      <w:r w:rsidR="00454B93" w:rsidRPr="009D52FD">
        <w:rPr>
          <w:sz w:val="20"/>
          <w:szCs w:val="20"/>
          <w:lang w:val="en-US"/>
        </w:rPr>
        <w:t>the applicable criminal legislation, devalued her or suggested that she deserved the abuse she received”; all of which constituted “a scenario in which the victim was constantly question</w:t>
      </w:r>
      <w:r w:rsidR="00CD195D" w:rsidRPr="009D52FD">
        <w:rPr>
          <w:sz w:val="20"/>
          <w:szCs w:val="20"/>
          <w:lang w:val="en-US"/>
        </w:rPr>
        <w:t>ed</w:t>
      </w:r>
      <w:r w:rsidR="00454B93" w:rsidRPr="009D52FD">
        <w:rPr>
          <w:sz w:val="20"/>
          <w:szCs w:val="20"/>
          <w:lang w:val="en-US"/>
        </w:rPr>
        <w:t xml:space="preserve"> and stigmatized,” by both the defense counsel and her aggressor.</w:t>
      </w:r>
    </w:p>
    <w:p w14:paraId="7CD35736" w14:textId="77777777" w:rsidR="00B92559" w:rsidRPr="009D52FD" w:rsidRDefault="00B92559" w:rsidP="00B92559">
      <w:pPr>
        <w:tabs>
          <w:tab w:val="left" w:pos="567"/>
        </w:tabs>
        <w:spacing w:line="240" w:lineRule="auto"/>
        <w:rPr>
          <w:sz w:val="20"/>
          <w:szCs w:val="20"/>
          <w:lang w:val="en-US"/>
        </w:rPr>
      </w:pPr>
    </w:p>
    <w:p w14:paraId="4B066B01" w14:textId="441BB8C1" w:rsidR="00021CAD" w:rsidRPr="009D52FD" w:rsidRDefault="00454B93" w:rsidP="00B92559">
      <w:pPr>
        <w:numPr>
          <w:ilvl w:val="0"/>
          <w:numId w:val="1"/>
        </w:numPr>
        <w:tabs>
          <w:tab w:val="left" w:pos="567"/>
        </w:tabs>
        <w:spacing w:line="240" w:lineRule="auto"/>
        <w:ind w:left="0" w:firstLine="0"/>
        <w:rPr>
          <w:sz w:val="20"/>
          <w:szCs w:val="20"/>
          <w:lang w:val="en-US"/>
        </w:rPr>
      </w:pPr>
      <w:r w:rsidRPr="009D52FD">
        <w:rPr>
          <w:sz w:val="20"/>
          <w:szCs w:val="20"/>
          <w:lang w:val="en-US"/>
        </w:rPr>
        <w:t xml:space="preserve">With regard to the irregularities during the proceedings, </w:t>
      </w:r>
      <w:r w:rsidR="003630BB" w:rsidRPr="009D52FD">
        <w:rPr>
          <w:sz w:val="20"/>
          <w:szCs w:val="20"/>
          <w:lang w:val="en-US"/>
        </w:rPr>
        <w:t>the Commission</w:t>
      </w:r>
      <w:r w:rsidR="00B92559" w:rsidRPr="009D52FD">
        <w:rPr>
          <w:sz w:val="20"/>
          <w:szCs w:val="20"/>
          <w:lang w:val="en-US"/>
        </w:rPr>
        <w:t xml:space="preserve"> </w:t>
      </w:r>
      <w:r w:rsidR="00021CAD" w:rsidRPr="009D52FD">
        <w:rPr>
          <w:sz w:val="20"/>
          <w:szCs w:val="20"/>
          <w:lang w:val="en-US"/>
        </w:rPr>
        <w:t>argued that although these were reported by Linda Loaiz</w:t>
      </w:r>
      <w:r w:rsidR="00002A76" w:rsidRPr="009D52FD">
        <w:rPr>
          <w:sz w:val="20"/>
          <w:szCs w:val="20"/>
          <w:lang w:val="en-US"/>
        </w:rPr>
        <w:t>a</w:t>
      </w:r>
      <w:r w:rsidR="00021CAD" w:rsidRPr="009D52FD">
        <w:rPr>
          <w:sz w:val="20"/>
          <w:szCs w:val="20"/>
          <w:lang w:val="en-US"/>
        </w:rPr>
        <w:t xml:space="preserve"> and her lawyer, they did not receive a prompt or effective response, which contributed to “perpetuating and aggravating the said context of impunity,” and “sending a message that violence against women is tolerated.” The Commission considered that “by failing to investigate the reports of the different acts of obstruction throughout the proceedings,” the State failed to provide “the necessary guarantees to avoid […] the creation of a threatening and intimidating climate.”</w:t>
      </w:r>
    </w:p>
    <w:p w14:paraId="06CB8435" w14:textId="77777777" w:rsidR="00B92559" w:rsidRPr="009D52FD" w:rsidRDefault="00B92559" w:rsidP="00B92559">
      <w:pPr>
        <w:tabs>
          <w:tab w:val="left" w:pos="567"/>
        </w:tabs>
        <w:spacing w:line="240" w:lineRule="auto"/>
        <w:rPr>
          <w:sz w:val="20"/>
          <w:szCs w:val="20"/>
          <w:lang w:val="en-US"/>
        </w:rPr>
      </w:pPr>
    </w:p>
    <w:p w14:paraId="4B791DC2" w14:textId="56E8C7E4" w:rsidR="00021CAD" w:rsidRPr="009D52FD" w:rsidRDefault="00021CAD" w:rsidP="00B92559">
      <w:pPr>
        <w:numPr>
          <w:ilvl w:val="0"/>
          <w:numId w:val="1"/>
        </w:numPr>
        <w:tabs>
          <w:tab w:val="left" w:pos="567"/>
        </w:tabs>
        <w:spacing w:line="240" w:lineRule="auto"/>
        <w:ind w:left="0" w:firstLine="0"/>
        <w:rPr>
          <w:b/>
          <w:sz w:val="20"/>
          <w:szCs w:val="20"/>
          <w:lang w:val="en-US"/>
        </w:rPr>
      </w:pPr>
      <w:r w:rsidRPr="009D52FD">
        <w:rPr>
          <w:sz w:val="20"/>
          <w:szCs w:val="20"/>
          <w:lang w:val="en-US"/>
        </w:rPr>
        <w:t xml:space="preserve">Lastly, with reference to the </w:t>
      </w:r>
      <w:r w:rsidR="006B506A" w:rsidRPr="009D52FD">
        <w:rPr>
          <w:sz w:val="20"/>
          <w:szCs w:val="20"/>
          <w:lang w:val="en-US"/>
        </w:rPr>
        <w:t>Criminal Code</w:t>
      </w:r>
      <w:r w:rsidR="00B92559" w:rsidRPr="009D52FD">
        <w:rPr>
          <w:sz w:val="20"/>
          <w:szCs w:val="20"/>
          <w:lang w:val="en-US"/>
        </w:rPr>
        <w:t xml:space="preserve"> </w:t>
      </w:r>
      <w:r w:rsidRPr="009D52FD">
        <w:rPr>
          <w:sz w:val="20"/>
          <w:szCs w:val="20"/>
          <w:lang w:val="en-US"/>
        </w:rPr>
        <w:t xml:space="preserve">in force at the time of the facts, the Commission argued that </w:t>
      </w:r>
      <w:r w:rsidR="00CD195D" w:rsidRPr="009D52FD">
        <w:rPr>
          <w:sz w:val="20"/>
          <w:szCs w:val="20"/>
          <w:lang w:val="en-US"/>
        </w:rPr>
        <w:t xml:space="preserve">it </w:t>
      </w:r>
      <w:r w:rsidRPr="009D52FD">
        <w:rPr>
          <w:sz w:val="20"/>
          <w:szCs w:val="20"/>
          <w:lang w:val="en-US"/>
        </w:rPr>
        <w:t>“did not protect aspects</w:t>
      </w:r>
      <w:r w:rsidR="00CD195D" w:rsidRPr="009D52FD">
        <w:rPr>
          <w:sz w:val="20"/>
          <w:szCs w:val="20"/>
          <w:lang w:val="en-US"/>
        </w:rPr>
        <w:t xml:space="preserve"> such</w:t>
      </w:r>
      <w:r w:rsidRPr="009D52FD">
        <w:rPr>
          <w:sz w:val="20"/>
          <w:szCs w:val="20"/>
          <w:lang w:val="en-US"/>
        </w:rPr>
        <w:t xml:space="preserve"> as the sexual liberty </w:t>
      </w:r>
      <w:r w:rsidR="00CD195D" w:rsidRPr="009D52FD">
        <w:rPr>
          <w:sz w:val="20"/>
          <w:szCs w:val="20"/>
          <w:lang w:val="en-US"/>
        </w:rPr>
        <w:t>and</w:t>
      </w:r>
      <w:r w:rsidRPr="009D52FD">
        <w:rPr>
          <w:sz w:val="20"/>
          <w:szCs w:val="20"/>
          <w:lang w:val="en-US"/>
        </w:rPr>
        <w:t xml:space="preserve"> autonomy of the person</w:t>
      </w:r>
      <w:r w:rsidR="00CD195D" w:rsidRPr="009D52FD">
        <w:rPr>
          <w:sz w:val="20"/>
          <w:szCs w:val="20"/>
          <w:lang w:val="en-US"/>
        </w:rPr>
        <w:t>.</w:t>
      </w:r>
      <w:r w:rsidRPr="009D52FD">
        <w:rPr>
          <w:sz w:val="20"/>
          <w:szCs w:val="20"/>
          <w:lang w:val="en-US"/>
        </w:rPr>
        <w:t xml:space="preserve"> </w:t>
      </w:r>
      <w:r w:rsidR="00CD195D" w:rsidRPr="009D52FD">
        <w:rPr>
          <w:sz w:val="20"/>
          <w:szCs w:val="20"/>
          <w:lang w:val="en-US"/>
        </w:rPr>
        <w:t>R</w:t>
      </w:r>
      <w:r w:rsidRPr="009D52FD">
        <w:rPr>
          <w:sz w:val="20"/>
          <w:szCs w:val="20"/>
          <w:lang w:val="en-US"/>
        </w:rPr>
        <w:t xml:space="preserve">ather, crimes such as rape were considered a violation of inadequate legal rights such as </w:t>
      </w:r>
      <w:r w:rsidR="00E809C7" w:rsidRPr="009D52FD">
        <w:rPr>
          <w:sz w:val="20"/>
          <w:szCs w:val="20"/>
          <w:lang w:val="en-US"/>
        </w:rPr>
        <w:t>‘</w:t>
      </w:r>
      <w:r w:rsidRPr="009D52FD">
        <w:rPr>
          <w:sz w:val="20"/>
          <w:szCs w:val="20"/>
          <w:lang w:val="en-US"/>
        </w:rPr>
        <w:t>the morality and good order of the family.</w:t>
      </w:r>
      <w:r w:rsidR="00E809C7" w:rsidRPr="009D52FD">
        <w:rPr>
          <w:sz w:val="20"/>
          <w:szCs w:val="20"/>
          <w:lang w:val="en-US"/>
        </w:rPr>
        <w:t>’</w:t>
      </w:r>
      <w:r w:rsidRPr="009D52FD">
        <w:rPr>
          <w:sz w:val="20"/>
          <w:szCs w:val="20"/>
          <w:lang w:val="en-US"/>
        </w:rPr>
        <w:t>”</w:t>
      </w:r>
      <w:r w:rsidR="00E809C7" w:rsidRPr="009D52FD">
        <w:rPr>
          <w:sz w:val="20"/>
          <w:szCs w:val="20"/>
          <w:lang w:val="en-US"/>
        </w:rPr>
        <w:t xml:space="preserve"> In this regard, it referred to the “discriminatory </w:t>
      </w:r>
      <w:r w:rsidR="00CD195D" w:rsidRPr="009D52FD">
        <w:rPr>
          <w:sz w:val="20"/>
          <w:szCs w:val="20"/>
          <w:lang w:val="en-US"/>
        </w:rPr>
        <w:t xml:space="preserve">stereotypes and </w:t>
      </w:r>
      <w:r w:rsidR="00E809C7" w:rsidRPr="009D52FD">
        <w:rPr>
          <w:sz w:val="20"/>
          <w:szCs w:val="20"/>
          <w:lang w:val="en-US"/>
        </w:rPr>
        <w:t xml:space="preserve">prejudices” in the laws, </w:t>
      </w:r>
      <w:r w:rsidR="00546109" w:rsidRPr="009D52FD">
        <w:rPr>
          <w:sz w:val="20"/>
          <w:szCs w:val="20"/>
          <w:lang w:val="en-US"/>
        </w:rPr>
        <w:t>which</w:t>
      </w:r>
      <w:r w:rsidR="00E809C7" w:rsidRPr="009D52FD">
        <w:rPr>
          <w:sz w:val="20"/>
          <w:szCs w:val="20"/>
          <w:lang w:val="en-US"/>
        </w:rPr>
        <w:t xml:space="preserve"> established “mitigating circumstances for the punishment based on the personal circumstances of the victim; for example, […] if she was a ‘prostitute,’ ‘single,’ a ‘widow” or an ‘honest’ woman.” It argued that the said omissions, as well as the legal framework at the time</w:t>
      </w:r>
      <w:r w:rsidR="00CD195D" w:rsidRPr="009D52FD">
        <w:rPr>
          <w:sz w:val="20"/>
          <w:szCs w:val="20"/>
          <w:lang w:val="en-US"/>
        </w:rPr>
        <w:t>,</w:t>
      </w:r>
      <w:r w:rsidR="00E809C7" w:rsidRPr="009D52FD">
        <w:rPr>
          <w:sz w:val="20"/>
          <w:szCs w:val="20"/>
          <w:lang w:val="en-US"/>
        </w:rPr>
        <w:t xml:space="preserve"> had resulted in “the failure of the domestic judicial proceedings to acknowledge the sexual violence suffered by Linda Loaiza López and </w:t>
      </w:r>
      <w:r w:rsidR="00546109" w:rsidRPr="009D52FD">
        <w:rPr>
          <w:sz w:val="20"/>
          <w:szCs w:val="20"/>
          <w:lang w:val="en-US"/>
        </w:rPr>
        <w:t xml:space="preserve">also </w:t>
      </w:r>
      <w:r w:rsidR="00E809C7" w:rsidRPr="009D52FD">
        <w:rPr>
          <w:sz w:val="20"/>
          <w:szCs w:val="20"/>
          <w:lang w:val="en-US"/>
        </w:rPr>
        <w:t xml:space="preserve">the absence of criminal responsibility for this violence,” which meant that the “discussions centered on </w:t>
      </w:r>
      <w:r w:rsidR="00CD195D" w:rsidRPr="009D52FD">
        <w:rPr>
          <w:sz w:val="20"/>
          <w:szCs w:val="20"/>
          <w:lang w:val="en-US"/>
        </w:rPr>
        <w:t>the allegations of</w:t>
      </w:r>
      <w:r w:rsidR="00E809C7" w:rsidRPr="009D52FD">
        <w:rPr>
          <w:sz w:val="20"/>
          <w:szCs w:val="20"/>
          <w:lang w:val="en-US"/>
        </w:rPr>
        <w:t xml:space="preserve"> sex work</w:t>
      </w:r>
      <w:r w:rsidR="00CD195D" w:rsidRPr="009D52FD">
        <w:rPr>
          <w:sz w:val="20"/>
          <w:szCs w:val="20"/>
          <w:lang w:val="en-US"/>
        </w:rPr>
        <w:t xml:space="preserve"> made</w:t>
      </w:r>
      <w:r w:rsidR="00E809C7" w:rsidRPr="009D52FD">
        <w:rPr>
          <w:sz w:val="20"/>
          <w:szCs w:val="20"/>
          <w:lang w:val="en-US"/>
        </w:rPr>
        <w:t xml:space="preserve"> by the defense.”</w:t>
      </w:r>
    </w:p>
    <w:p w14:paraId="150B266D" w14:textId="77777777" w:rsidR="00B92559" w:rsidRPr="009D52FD" w:rsidRDefault="00B92559" w:rsidP="00B92559">
      <w:pPr>
        <w:tabs>
          <w:tab w:val="left" w:pos="567"/>
        </w:tabs>
        <w:spacing w:line="240" w:lineRule="auto"/>
        <w:rPr>
          <w:sz w:val="20"/>
          <w:szCs w:val="20"/>
          <w:lang w:val="en-US"/>
        </w:rPr>
      </w:pPr>
    </w:p>
    <w:p w14:paraId="67CDE4EF" w14:textId="2FA9793C" w:rsidR="00B92559" w:rsidRPr="009D52FD" w:rsidRDefault="003630BB" w:rsidP="00E86FAD">
      <w:pPr>
        <w:numPr>
          <w:ilvl w:val="0"/>
          <w:numId w:val="1"/>
        </w:numPr>
        <w:tabs>
          <w:tab w:val="left" w:pos="567"/>
        </w:tabs>
        <w:spacing w:line="240" w:lineRule="auto"/>
        <w:ind w:left="0" w:firstLine="0"/>
        <w:rPr>
          <w:b/>
          <w:sz w:val="16"/>
          <w:szCs w:val="20"/>
          <w:lang w:val="en-US"/>
        </w:rPr>
      </w:pPr>
      <w:r w:rsidRPr="009D52FD">
        <w:rPr>
          <w:sz w:val="20"/>
          <w:szCs w:val="20"/>
          <w:lang w:val="en-US"/>
        </w:rPr>
        <w:t xml:space="preserve">The </w:t>
      </w:r>
      <w:r w:rsidRPr="009D52FD">
        <w:rPr>
          <w:b/>
          <w:bCs/>
          <w:i/>
          <w:iCs/>
          <w:sz w:val="20"/>
          <w:szCs w:val="20"/>
          <w:lang w:val="en-US"/>
        </w:rPr>
        <w:t>representatives</w:t>
      </w:r>
      <w:r w:rsidR="00B92559" w:rsidRPr="009D52FD">
        <w:rPr>
          <w:sz w:val="20"/>
          <w:szCs w:val="20"/>
          <w:lang w:val="en-US"/>
        </w:rPr>
        <w:t xml:space="preserve"> </w:t>
      </w:r>
      <w:r w:rsidR="00E809C7" w:rsidRPr="009D52FD">
        <w:rPr>
          <w:sz w:val="20"/>
          <w:szCs w:val="20"/>
          <w:lang w:val="en-US"/>
        </w:rPr>
        <w:t xml:space="preserve">indicated that the “forensic medical, physical and gynecological examination was performed […] </w:t>
      </w:r>
      <w:r w:rsidR="00546109" w:rsidRPr="009D52FD">
        <w:rPr>
          <w:sz w:val="20"/>
          <w:szCs w:val="20"/>
          <w:lang w:val="en-US"/>
        </w:rPr>
        <w:t>e</w:t>
      </w:r>
      <w:r w:rsidR="00E809C7" w:rsidRPr="009D52FD">
        <w:rPr>
          <w:sz w:val="20"/>
          <w:szCs w:val="20"/>
          <w:lang w:val="en-US"/>
        </w:rPr>
        <w:t>ight days after Linda’s release, even though</w:t>
      </w:r>
      <w:r w:rsidR="00546109" w:rsidRPr="009D52FD">
        <w:rPr>
          <w:sz w:val="20"/>
          <w:szCs w:val="20"/>
          <w:lang w:val="en-US"/>
        </w:rPr>
        <w:t>,</w:t>
      </w:r>
      <w:r w:rsidR="00E809C7" w:rsidRPr="009D52FD">
        <w:rPr>
          <w:sz w:val="20"/>
          <w:szCs w:val="20"/>
          <w:lang w:val="en-US"/>
        </w:rPr>
        <w:t xml:space="preserve"> from the moment she was rescued, Linda stated that she had been a victims of sexual violence”; thus, this delay constituted “non-compliance with the obligation to investigate diligently.” They also argued that “Linda Loaiza</w:t>
      </w:r>
      <w:r w:rsidR="00E86FAD" w:rsidRPr="009D52FD">
        <w:rPr>
          <w:sz w:val="20"/>
          <w:szCs w:val="20"/>
          <w:lang w:val="en-US"/>
        </w:rPr>
        <w:t xml:space="preserve"> did not undergo a rigorous medical evaluation that recorded all the injuries to her body.” </w:t>
      </w:r>
      <w:r w:rsidR="00546109" w:rsidRPr="009D52FD">
        <w:rPr>
          <w:sz w:val="20"/>
          <w:szCs w:val="20"/>
          <w:lang w:val="en-US"/>
        </w:rPr>
        <w:t>In addition, t</w:t>
      </w:r>
      <w:r w:rsidR="00E86FAD" w:rsidRPr="009D52FD">
        <w:rPr>
          <w:sz w:val="20"/>
          <w:szCs w:val="20"/>
          <w:lang w:val="en-US"/>
        </w:rPr>
        <w:t>he representatives referred to the prohibition “for the lawyer,</w:t>
      </w:r>
      <w:r w:rsidR="00E86FAD" w:rsidRPr="009D52FD">
        <w:rPr>
          <w:b/>
          <w:sz w:val="16"/>
          <w:szCs w:val="20"/>
          <w:lang w:val="en-US"/>
        </w:rPr>
        <w:t xml:space="preserve"> </w:t>
      </w:r>
      <w:r w:rsidR="00B92559" w:rsidRPr="009D52FD">
        <w:rPr>
          <w:sz w:val="20"/>
          <w:szCs w:val="20"/>
          <w:lang w:val="en-US"/>
        </w:rPr>
        <w:t>Juan Bernardo Delgado</w:t>
      </w:r>
      <w:r w:rsidR="00E86FAD" w:rsidRPr="009D52FD">
        <w:rPr>
          <w:sz w:val="20"/>
          <w:szCs w:val="20"/>
          <w:lang w:val="en-US"/>
        </w:rPr>
        <w:t>,</w:t>
      </w:r>
      <w:r w:rsidR="00B92559" w:rsidRPr="009D52FD">
        <w:rPr>
          <w:sz w:val="20"/>
          <w:szCs w:val="20"/>
          <w:lang w:val="en-US"/>
        </w:rPr>
        <w:t xml:space="preserve"> </w:t>
      </w:r>
      <w:r w:rsidR="00E86FAD" w:rsidRPr="009D52FD">
        <w:rPr>
          <w:sz w:val="20"/>
          <w:szCs w:val="20"/>
          <w:lang w:val="en-US"/>
        </w:rPr>
        <w:t xml:space="preserve">to attend the interview with </w:t>
      </w:r>
      <w:r w:rsidR="00B92559" w:rsidRPr="009D52FD">
        <w:rPr>
          <w:sz w:val="20"/>
          <w:szCs w:val="20"/>
          <w:lang w:val="en-US"/>
        </w:rPr>
        <w:t>Linda [o</w:t>
      </w:r>
      <w:r w:rsidR="00E86FAD" w:rsidRPr="009D52FD">
        <w:rPr>
          <w:sz w:val="20"/>
          <w:szCs w:val="20"/>
          <w:lang w:val="en-US"/>
        </w:rPr>
        <w:t>r</w:t>
      </w:r>
      <w:r w:rsidR="00B92559" w:rsidRPr="009D52FD">
        <w:rPr>
          <w:sz w:val="20"/>
          <w:szCs w:val="20"/>
          <w:lang w:val="en-US"/>
        </w:rPr>
        <w:t>]</w:t>
      </w:r>
      <w:r w:rsidR="00E86FAD" w:rsidRPr="009D52FD">
        <w:rPr>
          <w:sz w:val="20"/>
          <w:szCs w:val="20"/>
          <w:lang w:val="en-US"/>
        </w:rPr>
        <w:t xml:space="preserve"> </w:t>
      </w:r>
      <w:r w:rsidR="00546109" w:rsidRPr="009D52FD">
        <w:rPr>
          <w:sz w:val="20"/>
          <w:szCs w:val="20"/>
          <w:lang w:val="en-US"/>
        </w:rPr>
        <w:t xml:space="preserve">to </w:t>
      </w:r>
      <w:r w:rsidR="00E86FAD" w:rsidRPr="009D52FD">
        <w:rPr>
          <w:sz w:val="20"/>
          <w:szCs w:val="20"/>
          <w:lang w:val="en-US"/>
        </w:rPr>
        <w:t>have access to the criminal case file despite requesting it several time. Regarding the evidence, the representatives argued that “none of the blood and semen samples found in the apartment were compared with those of the victim or the accused.”</w:t>
      </w:r>
      <w:r w:rsidR="00E86FAD" w:rsidRPr="009D52FD">
        <w:rPr>
          <w:b/>
          <w:sz w:val="16"/>
          <w:szCs w:val="20"/>
          <w:lang w:val="en-US"/>
        </w:rPr>
        <w:t xml:space="preserve"> </w:t>
      </w:r>
      <w:r w:rsidR="00E86FAD" w:rsidRPr="009D52FD">
        <w:rPr>
          <w:sz w:val="20"/>
          <w:szCs w:val="20"/>
          <w:lang w:val="en-US"/>
        </w:rPr>
        <w:t>I</w:t>
      </w:r>
      <w:r w:rsidR="00B92559" w:rsidRPr="009D52FD">
        <w:rPr>
          <w:sz w:val="20"/>
          <w:szCs w:val="20"/>
          <w:lang w:val="en-US"/>
        </w:rPr>
        <w:t>n</w:t>
      </w:r>
      <w:r w:rsidR="00E86FAD" w:rsidRPr="009D52FD">
        <w:rPr>
          <w:sz w:val="20"/>
          <w:szCs w:val="20"/>
          <w:lang w:val="en-US"/>
        </w:rPr>
        <w:t xml:space="preserve"> this regard, they pointed out the failure to document the investigation actions, and the lack of coordination</w:t>
      </w:r>
      <w:r w:rsidR="00546109" w:rsidRPr="009D52FD">
        <w:rPr>
          <w:sz w:val="20"/>
          <w:szCs w:val="20"/>
          <w:lang w:val="en-US"/>
        </w:rPr>
        <w:t xml:space="preserve"> in these actions</w:t>
      </w:r>
      <w:r w:rsidR="00E86FAD" w:rsidRPr="009D52FD">
        <w:rPr>
          <w:sz w:val="20"/>
          <w:szCs w:val="20"/>
          <w:lang w:val="en-US"/>
        </w:rPr>
        <w:t xml:space="preserve"> because “the evidence was not handled diligently and […] insufficient samples were collected to determine the possible perpetrator of the rape suffered by</w:t>
      </w:r>
      <w:r w:rsidR="00B92559" w:rsidRPr="009D52FD">
        <w:rPr>
          <w:sz w:val="20"/>
          <w:szCs w:val="20"/>
          <w:lang w:val="en-US"/>
        </w:rPr>
        <w:t xml:space="preserve"> Linda Loaiza</w:t>
      </w:r>
      <w:r w:rsidR="00E86FAD" w:rsidRPr="009D52FD">
        <w:rPr>
          <w:sz w:val="20"/>
          <w:szCs w:val="20"/>
          <w:lang w:val="en-US"/>
        </w:rPr>
        <w:t>.</w:t>
      </w:r>
      <w:r w:rsidR="00EC5D9A" w:rsidRPr="009D52FD">
        <w:rPr>
          <w:sz w:val="20"/>
          <w:szCs w:val="20"/>
          <w:lang w:val="en-US"/>
        </w:rPr>
        <w:t>”</w:t>
      </w:r>
      <w:r w:rsidR="00B92559" w:rsidRPr="009D52FD">
        <w:rPr>
          <w:sz w:val="20"/>
          <w:szCs w:val="20"/>
          <w:lang w:val="en-US"/>
        </w:rPr>
        <w:t xml:space="preserve"> </w:t>
      </w:r>
      <w:r w:rsidR="00E86FAD" w:rsidRPr="009D52FD">
        <w:rPr>
          <w:sz w:val="20"/>
          <w:szCs w:val="20"/>
          <w:lang w:val="en-US"/>
        </w:rPr>
        <w:t>Also, the State failed to ensure the proper chain of custody, which led to the mislaying of evidence.</w:t>
      </w:r>
    </w:p>
    <w:p w14:paraId="60D48DA6" w14:textId="77777777" w:rsidR="00B92559" w:rsidRPr="009D52FD" w:rsidRDefault="00B92559" w:rsidP="00B92559">
      <w:pPr>
        <w:tabs>
          <w:tab w:val="left" w:pos="567"/>
        </w:tabs>
        <w:spacing w:line="240" w:lineRule="auto"/>
        <w:rPr>
          <w:b/>
          <w:sz w:val="20"/>
          <w:szCs w:val="20"/>
          <w:lang w:val="en-US"/>
        </w:rPr>
      </w:pPr>
    </w:p>
    <w:p w14:paraId="6B2D6489" w14:textId="1A41A301" w:rsidR="0069378E" w:rsidRPr="009D52FD" w:rsidRDefault="00E86FAD" w:rsidP="00B92559">
      <w:pPr>
        <w:numPr>
          <w:ilvl w:val="0"/>
          <w:numId w:val="1"/>
        </w:numPr>
        <w:tabs>
          <w:tab w:val="left" w:pos="567"/>
        </w:tabs>
        <w:autoSpaceDE w:val="0"/>
        <w:autoSpaceDN w:val="0"/>
        <w:spacing w:line="240" w:lineRule="auto"/>
        <w:ind w:left="0" w:firstLine="0"/>
        <w:rPr>
          <w:sz w:val="20"/>
          <w:szCs w:val="20"/>
          <w:lang w:val="en-US"/>
        </w:rPr>
      </w:pPr>
      <w:r w:rsidRPr="009D52FD">
        <w:rPr>
          <w:sz w:val="20"/>
          <w:szCs w:val="20"/>
          <w:lang w:val="en-US"/>
        </w:rPr>
        <w:lastRenderedPageBreak/>
        <w:t>In addition</w:t>
      </w:r>
      <w:r w:rsidR="00B92559" w:rsidRPr="009D52FD">
        <w:rPr>
          <w:sz w:val="20"/>
          <w:szCs w:val="20"/>
          <w:lang w:val="en-US"/>
        </w:rPr>
        <w:t xml:space="preserve">, </w:t>
      </w:r>
      <w:r w:rsidR="003630BB" w:rsidRPr="009D52FD">
        <w:rPr>
          <w:sz w:val="20"/>
          <w:szCs w:val="20"/>
          <w:lang w:val="en-US"/>
        </w:rPr>
        <w:t>the representatives</w:t>
      </w:r>
      <w:r w:rsidR="00B92559" w:rsidRPr="009D52FD">
        <w:rPr>
          <w:sz w:val="20"/>
          <w:szCs w:val="20"/>
          <w:lang w:val="en-US"/>
        </w:rPr>
        <w:t xml:space="preserve"> </w:t>
      </w:r>
      <w:r w:rsidRPr="009D52FD">
        <w:rPr>
          <w:sz w:val="20"/>
          <w:szCs w:val="20"/>
          <w:lang w:val="en-US"/>
        </w:rPr>
        <w:t>argued that</w:t>
      </w:r>
      <w:r w:rsidR="00DF3FA6" w:rsidRPr="009D52FD">
        <w:rPr>
          <w:sz w:val="20"/>
          <w:szCs w:val="20"/>
          <w:lang w:val="en-US"/>
        </w:rPr>
        <w:t>,</w:t>
      </w:r>
      <w:r w:rsidR="0069378E" w:rsidRPr="009D52FD">
        <w:rPr>
          <w:sz w:val="20"/>
          <w:szCs w:val="20"/>
          <w:lang w:val="en-US"/>
        </w:rPr>
        <w:t xml:space="preserve"> even though a complaint had been filed based on the intimidati</w:t>
      </w:r>
      <w:r w:rsidR="00546109" w:rsidRPr="009D52FD">
        <w:rPr>
          <w:sz w:val="20"/>
          <w:szCs w:val="20"/>
          <w:lang w:val="en-US"/>
        </w:rPr>
        <w:t>ng</w:t>
      </w:r>
      <w:r w:rsidR="0069378E" w:rsidRPr="009D52FD">
        <w:rPr>
          <w:sz w:val="20"/>
          <w:szCs w:val="20"/>
          <w:lang w:val="en-US"/>
        </w:rPr>
        <w:t xml:space="preserve"> and harass</w:t>
      </w:r>
      <w:r w:rsidR="00546109" w:rsidRPr="009D52FD">
        <w:rPr>
          <w:sz w:val="20"/>
          <w:szCs w:val="20"/>
          <w:lang w:val="en-US"/>
        </w:rPr>
        <w:t>ing conditions</w:t>
      </w:r>
      <w:r w:rsidR="0069378E" w:rsidRPr="009D52FD">
        <w:rPr>
          <w:sz w:val="20"/>
          <w:szCs w:val="20"/>
          <w:lang w:val="en-US"/>
        </w:rPr>
        <w:t xml:space="preserve"> under which the prosecutor had interviewed</w:t>
      </w:r>
      <w:r w:rsidR="00B92559" w:rsidRPr="009D52FD">
        <w:rPr>
          <w:sz w:val="20"/>
          <w:szCs w:val="20"/>
          <w:lang w:val="en-US"/>
        </w:rPr>
        <w:t xml:space="preserve"> Linda</w:t>
      </w:r>
      <w:r w:rsidR="00EC5D9A" w:rsidRPr="009D52FD">
        <w:rPr>
          <w:sz w:val="20"/>
          <w:szCs w:val="20"/>
          <w:lang w:val="en-US"/>
        </w:rPr>
        <w:t xml:space="preserve"> Loaiza</w:t>
      </w:r>
      <w:r w:rsidR="00B92559" w:rsidRPr="009D52FD">
        <w:rPr>
          <w:sz w:val="20"/>
          <w:szCs w:val="20"/>
          <w:lang w:val="en-US"/>
        </w:rPr>
        <w:t xml:space="preserve"> </w:t>
      </w:r>
      <w:r w:rsidR="0069378E" w:rsidRPr="009D52FD">
        <w:rPr>
          <w:sz w:val="20"/>
          <w:szCs w:val="20"/>
          <w:lang w:val="en-US"/>
        </w:rPr>
        <w:t>while she was in the</w:t>
      </w:r>
      <w:r w:rsidR="00B92559" w:rsidRPr="009D52FD">
        <w:rPr>
          <w:sz w:val="20"/>
          <w:szCs w:val="20"/>
          <w:lang w:val="en-US"/>
        </w:rPr>
        <w:t xml:space="preserve"> </w:t>
      </w:r>
      <w:r w:rsidR="000C6475" w:rsidRPr="009D52FD">
        <w:rPr>
          <w:rFonts w:eastAsiaTheme="minorHAnsi" w:cstheme="minorBidi"/>
          <w:sz w:val="20"/>
          <w:szCs w:val="20"/>
          <w:lang w:val="en-US" w:eastAsia="en-US"/>
        </w:rPr>
        <w:t>Caracas University Hospital</w:t>
      </w:r>
      <w:r w:rsidR="00B92559" w:rsidRPr="009D52FD">
        <w:rPr>
          <w:sz w:val="20"/>
          <w:szCs w:val="20"/>
          <w:lang w:val="en-US"/>
        </w:rPr>
        <w:t>,</w:t>
      </w:r>
      <w:r w:rsidR="0069378E" w:rsidRPr="009D52FD">
        <w:rPr>
          <w:sz w:val="20"/>
          <w:szCs w:val="20"/>
          <w:lang w:val="en-US"/>
        </w:rPr>
        <w:t xml:space="preserve"> no disciplinary procedure </w:t>
      </w:r>
      <w:r w:rsidR="00546109" w:rsidRPr="009D52FD">
        <w:rPr>
          <w:sz w:val="20"/>
          <w:szCs w:val="20"/>
          <w:lang w:val="en-US"/>
        </w:rPr>
        <w:t>of any kind</w:t>
      </w:r>
      <w:r w:rsidR="0069378E" w:rsidRPr="009D52FD">
        <w:rPr>
          <w:sz w:val="20"/>
          <w:szCs w:val="20"/>
          <w:lang w:val="en-US"/>
        </w:rPr>
        <w:t xml:space="preserve"> was undertaken. They also alleged that the judge in charge of the proceedings had treated Linda Loaiza in a similar way. The representatives argued that, “to avoid the immediate revictimization,” the medical examination should have been performed by “suitable and qualified personnel </w:t>
      </w:r>
      <w:r w:rsidR="0069378E" w:rsidRPr="009D52FD">
        <w:rPr>
          <w:rFonts w:cs="Arial"/>
          <w:sz w:val="20"/>
          <w:szCs w:val="20"/>
          <w:lang w:val="en-US"/>
        </w:rPr>
        <w:t>[…] in a comfortable and safe place.” They indicated that “a victim of sexual violence has the right to be assisted by personnel of the gender of her preference” and this did not occur in the instant case, because all the professionals who treated her were men. Lastly, they underlined that, without any justification by the State and without it being reflected in the lines of investigation, Linda Loaiza had to make her statements three times during the proceedings.</w:t>
      </w:r>
    </w:p>
    <w:p w14:paraId="38083C7C" w14:textId="77777777" w:rsidR="00B92559" w:rsidRPr="009D52FD" w:rsidRDefault="00B92559" w:rsidP="00B92559">
      <w:pPr>
        <w:tabs>
          <w:tab w:val="left" w:pos="567"/>
        </w:tabs>
        <w:autoSpaceDE w:val="0"/>
        <w:autoSpaceDN w:val="0"/>
        <w:spacing w:line="240" w:lineRule="auto"/>
        <w:rPr>
          <w:sz w:val="20"/>
          <w:szCs w:val="20"/>
          <w:lang w:val="en-US"/>
        </w:rPr>
      </w:pPr>
    </w:p>
    <w:p w14:paraId="572F3BE2" w14:textId="5D5F63DC" w:rsidR="009A541B" w:rsidRPr="009D52FD" w:rsidRDefault="0069378E" w:rsidP="0069378E">
      <w:pPr>
        <w:numPr>
          <w:ilvl w:val="0"/>
          <w:numId w:val="1"/>
        </w:numPr>
        <w:tabs>
          <w:tab w:val="left" w:pos="567"/>
        </w:tabs>
        <w:autoSpaceDE w:val="0"/>
        <w:autoSpaceDN w:val="0"/>
        <w:spacing w:line="240" w:lineRule="auto"/>
        <w:ind w:left="0" w:firstLine="0"/>
        <w:rPr>
          <w:sz w:val="20"/>
          <w:szCs w:val="20"/>
          <w:lang w:val="en-US"/>
        </w:rPr>
      </w:pPr>
      <w:r w:rsidRPr="009D52FD">
        <w:rPr>
          <w:sz w:val="20"/>
          <w:szCs w:val="20"/>
          <w:lang w:val="en-US"/>
        </w:rPr>
        <w:t xml:space="preserve">Regarding the stereotypes used during the proceedings, </w:t>
      </w:r>
      <w:r w:rsidR="003630BB" w:rsidRPr="009D52FD">
        <w:rPr>
          <w:sz w:val="20"/>
          <w:szCs w:val="20"/>
          <w:lang w:val="en-US"/>
        </w:rPr>
        <w:t>the representatives</w:t>
      </w:r>
      <w:r w:rsidR="00B92559" w:rsidRPr="009D52FD">
        <w:rPr>
          <w:sz w:val="20"/>
          <w:szCs w:val="20"/>
          <w:lang w:val="en-US"/>
        </w:rPr>
        <w:t xml:space="preserve"> </w:t>
      </w:r>
      <w:r w:rsidRPr="009D52FD">
        <w:rPr>
          <w:sz w:val="20"/>
          <w:szCs w:val="20"/>
          <w:lang w:val="en-US"/>
        </w:rPr>
        <w:t>alleged that</w:t>
      </w:r>
      <w:r w:rsidR="00B92559" w:rsidRPr="009D52FD">
        <w:rPr>
          <w:sz w:val="20"/>
          <w:szCs w:val="20"/>
          <w:lang w:val="en-US"/>
        </w:rPr>
        <w:t xml:space="preserve"> “</w:t>
      </w:r>
      <w:r w:rsidRPr="009D52FD">
        <w:rPr>
          <w:sz w:val="20"/>
          <w:szCs w:val="20"/>
          <w:lang w:val="en-US"/>
        </w:rPr>
        <w:t>officials involved in the proceedings referred to</w:t>
      </w:r>
      <w:r w:rsidR="00B92559" w:rsidRPr="009D52FD">
        <w:rPr>
          <w:sz w:val="20"/>
          <w:szCs w:val="20"/>
          <w:lang w:val="en-US"/>
        </w:rPr>
        <w:t xml:space="preserve"> Linda Loaiza </w:t>
      </w:r>
      <w:r w:rsidRPr="009D52FD">
        <w:rPr>
          <w:sz w:val="20"/>
          <w:szCs w:val="20"/>
          <w:lang w:val="en-US"/>
        </w:rPr>
        <w:t>as the aggressor’s partner, minimizing the situation.” This resulted in the authorities</w:t>
      </w:r>
      <w:r w:rsidR="00546109" w:rsidRPr="009D52FD">
        <w:rPr>
          <w:sz w:val="20"/>
          <w:szCs w:val="20"/>
          <w:lang w:val="en-US"/>
        </w:rPr>
        <w:t>’ failure to comply</w:t>
      </w:r>
      <w:r w:rsidRPr="009D52FD">
        <w:rPr>
          <w:sz w:val="20"/>
          <w:szCs w:val="20"/>
          <w:lang w:val="en-US"/>
        </w:rPr>
        <w:t xml:space="preserve"> </w:t>
      </w:r>
      <w:r w:rsidR="00546109" w:rsidRPr="009D52FD">
        <w:rPr>
          <w:sz w:val="20"/>
          <w:szCs w:val="20"/>
          <w:lang w:val="en-US"/>
        </w:rPr>
        <w:t>with</w:t>
      </w:r>
      <w:r w:rsidRPr="009D52FD">
        <w:rPr>
          <w:sz w:val="20"/>
          <w:szCs w:val="20"/>
          <w:lang w:val="en-US"/>
        </w:rPr>
        <w:t xml:space="preserve"> enhanced</w:t>
      </w:r>
      <w:r w:rsidR="00546109" w:rsidRPr="009D52FD">
        <w:rPr>
          <w:sz w:val="20"/>
          <w:szCs w:val="20"/>
          <w:lang w:val="en-US"/>
        </w:rPr>
        <w:t xml:space="preserve"> due</w:t>
      </w:r>
      <w:r w:rsidRPr="009D52FD">
        <w:rPr>
          <w:sz w:val="20"/>
          <w:szCs w:val="20"/>
          <w:lang w:val="en-US"/>
        </w:rPr>
        <w:t xml:space="preserve"> d</w:t>
      </w:r>
      <w:r w:rsidR="00546109" w:rsidRPr="009D52FD">
        <w:rPr>
          <w:sz w:val="20"/>
          <w:szCs w:val="20"/>
          <w:lang w:val="en-US"/>
        </w:rPr>
        <w:t>iligence</w:t>
      </w:r>
      <w:r w:rsidRPr="009D52FD">
        <w:rPr>
          <w:sz w:val="20"/>
          <w:szCs w:val="20"/>
          <w:lang w:val="en-US"/>
        </w:rPr>
        <w:t xml:space="preserve"> in the investigation, </w:t>
      </w:r>
      <w:r w:rsidR="00546109" w:rsidRPr="009D52FD">
        <w:rPr>
          <w:sz w:val="20"/>
          <w:szCs w:val="20"/>
          <w:lang w:val="en-US"/>
        </w:rPr>
        <w:t>as</w:t>
      </w:r>
      <w:r w:rsidRPr="009D52FD">
        <w:rPr>
          <w:sz w:val="20"/>
          <w:szCs w:val="20"/>
          <w:lang w:val="en-US"/>
        </w:rPr>
        <w:t xml:space="preserve"> required in this type of case. The representatives indicated that “the first judgment</w:t>
      </w:r>
      <w:r w:rsidR="009A541B" w:rsidRPr="009D52FD">
        <w:rPr>
          <w:sz w:val="20"/>
          <w:szCs w:val="20"/>
          <w:lang w:val="en-US"/>
        </w:rPr>
        <w:t xml:space="preserve"> […] determined that there was insufficient evidence to conclude that the accused was responsible for the offenses he had been charged</w:t>
      </w:r>
      <w:r w:rsidR="00546109" w:rsidRPr="009D52FD">
        <w:rPr>
          <w:sz w:val="20"/>
          <w:szCs w:val="20"/>
          <w:lang w:val="en-US"/>
        </w:rPr>
        <w:t xml:space="preserve"> with</w:t>
      </w:r>
      <w:r w:rsidR="009A541B" w:rsidRPr="009D52FD">
        <w:rPr>
          <w:sz w:val="20"/>
          <w:szCs w:val="20"/>
          <w:lang w:val="en-US"/>
        </w:rPr>
        <w:t xml:space="preserve">, including torture and </w:t>
      </w:r>
      <w:r w:rsidR="0081578D" w:rsidRPr="009D52FD">
        <w:rPr>
          <w:sz w:val="20"/>
          <w:szCs w:val="20"/>
          <w:lang w:val="en-US"/>
        </w:rPr>
        <w:t>sexual violence</w:t>
      </w:r>
      <w:r w:rsidR="009A541B" w:rsidRPr="009D52FD">
        <w:rPr>
          <w:sz w:val="20"/>
          <w:szCs w:val="20"/>
          <w:lang w:val="en-US"/>
        </w:rPr>
        <w:t>,</w:t>
      </w:r>
      <w:r w:rsidR="00B92559" w:rsidRPr="009D52FD">
        <w:rPr>
          <w:sz w:val="20"/>
          <w:szCs w:val="20"/>
          <w:lang w:val="en-US"/>
        </w:rPr>
        <w:t>”</w:t>
      </w:r>
      <w:r w:rsidR="003630BB" w:rsidRPr="009D52FD">
        <w:rPr>
          <w:sz w:val="20"/>
          <w:szCs w:val="20"/>
          <w:lang w:val="en-US"/>
        </w:rPr>
        <w:t xml:space="preserve"> and </w:t>
      </w:r>
      <w:r w:rsidR="00B92559" w:rsidRPr="009D52FD">
        <w:rPr>
          <w:sz w:val="20"/>
          <w:szCs w:val="20"/>
          <w:lang w:val="en-US"/>
        </w:rPr>
        <w:t>“establ</w:t>
      </w:r>
      <w:r w:rsidR="009A541B" w:rsidRPr="009D52FD">
        <w:rPr>
          <w:sz w:val="20"/>
          <w:szCs w:val="20"/>
          <w:lang w:val="en-US"/>
        </w:rPr>
        <w:t>ished that it was necessary that the victim’s statement be corroborated by additional evidence”;  while, “the second judgment […] also acquitted him of that offense based on lack of evidence, discrediting the probative value of Linda Loaiza’s statement.” They also indicated that the State had “not provided the victims and their lawyer with measures of protection in view of the threats they suffered.”</w:t>
      </w:r>
    </w:p>
    <w:p w14:paraId="74AE5F48" w14:textId="77777777" w:rsidR="00B92559" w:rsidRPr="009D52FD" w:rsidRDefault="00B92559" w:rsidP="00B92559">
      <w:pPr>
        <w:widowControl/>
        <w:adjustRightInd/>
        <w:spacing w:line="240" w:lineRule="auto"/>
        <w:textAlignment w:val="auto"/>
        <w:rPr>
          <w:b/>
          <w:sz w:val="20"/>
          <w:szCs w:val="20"/>
          <w:lang w:val="en-US"/>
        </w:rPr>
      </w:pPr>
    </w:p>
    <w:p w14:paraId="631E1159" w14:textId="1374F3BC" w:rsidR="009A541B" w:rsidRPr="009D52FD" w:rsidRDefault="009A541B" w:rsidP="00B92559">
      <w:pPr>
        <w:numPr>
          <w:ilvl w:val="0"/>
          <w:numId w:val="1"/>
        </w:numPr>
        <w:tabs>
          <w:tab w:val="left" w:pos="567"/>
        </w:tabs>
        <w:spacing w:line="240" w:lineRule="auto"/>
        <w:ind w:left="0" w:firstLine="0"/>
        <w:rPr>
          <w:sz w:val="16"/>
          <w:szCs w:val="16"/>
          <w:lang w:val="en-US"/>
        </w:rPr>
      </w:pPr>
      <w:r w:rsidRPr="009D52FD">
        <w:rPr>
          <w:sz w:val="20"/>
          <w:szCs w:val="20"/>
          <w:lang w:val="en-US"/>
        </w:rPr>
        <w:t xml:space="preserve">Regarding the legal framework in force at the time, </w:t>
      </w:r>
      <w:r w:rsidR="003630BB" w:rsidRPr="009D52FD">
        <w:rPr>
          <w:sz w:val="20"/>
          <w:szCs w:val="20"/>
          <w:lang w:val="en-US"/>
        </w:rPr>
        <w:t>the representatives</w:t>
      </w:r>
      <w:r w:rsidR="00B92559" w:rsidRPr="009D52FD">
        <w:rPr>
          <w:sz w:val="20"/>
          <w:szCs w:val="20"/>
          <w:lang w:val="en-US"/>
        </w:rPr>
        <w:t xml:space="preserve"> </w:t>
      </w:r>
      <w:r w:rsidRPr="009D52FD">
        <w:rPr>
          <w:sz w:val="20"/>
          <w:szCs w:val="20"/>
          <w:lang w:val="en-US"/>
        </w:rPr>
        <w:t xml:space="preserve">argued that “various errors in the investigation procedure resulted from the lack of an appropriate legal framework and the absence of protocols.” They alleged that the State, “by permitting its domestic laws [to contain] discriminatory articles, failed to comply with the obligations of the international instruments and </w:t>
      </w:r>
      <w:r w:rsidR="00546109" w:rsidRPr="009D52FD">
        <w:rPr>
          <w:sz w:val="20"/>
          <w:szCs w:val="20"/>
          <w:lang w:val="en-US"/>
        </w:rPr>
        <w:t>jurisprudence</w:t>
      </w:r>
      <w:r w:rsidRPr="009D52FD">
        <w:rPr>
          <w:sz w:val="20"/>
          <w:szCs w:val="20"/>
          <w:lang w:val="en-US"/>
        </w:rPr>
        <w:t>.” They indicated that article 383 of the Criminal Code, on the reduction of the penalty if the victim was a prostitute, had a significant impact in this case, because the strategy of the accused’s defense consisted in alleging supposed sex work by the victim. As a result, the Twentieth Trial Court ordered the opening of an investigation against the victim’s father and one of her sisters for presumably committing perjury. In addition, the</w:t>
      </w:r>
      <w:r w:rsidR="00252930" w:rsidRPr="009D52FD">
        <w:rPr>
          <w:sz w:val="20"/>
          <w:szCs w:val="20"/>
          <w:lang w:val="en-US"/>
        </w:rPr>
        <w:t xml:space="preserve"> representatives</w:t>
      </w:r>
      <w:r w:rsidRPr="009D52FD">
        <w:rPr>
          <w:sz w:val="20"/>
          <w:szCs w:val="20"/>
          <w:lang w:val="en-US"/>
        </w:rPr>
        <w:t xml:space="preserve"> pointed out that, at the time of the facts, since the Criminal Code did not specifically define the crime of torture pursuant to international standards, it was not possible to charge the accused with the crime of torture, but only of extremely serious injuries. They clarified that it was only in 2013 that the State enacted the “Law to punish torture,” which did comply with international standards.</w:t>
      </w:r>
    </w:p>
    <w:p w14:paraId="3605A5E4" w14:textId="77777777" w:rsidR="00B92559" w:rsidRPr="009D52FD" w:rsidRDefault="00B92559" w:rsidP="00B92559">
      <w:pPr>
        <w:widowControl/>
        <w:autoSpaceDE w:val="0"/>
        <w:autoSpaceDN w:val="0"/>
        <w:spacing w:line="240" w:lineRule="auto"/>
        <w:jc w:val="left"/>
        <w:textAlignment w:val="auto"/>
        <w:rPr>
          <w:rFonts w:eastAsiaTheme="minorHAnsi" w:cs="Verdana"/>
          <w:color w:val="000000"/>
          <w:sz w:val="20"/>
          <w:szCs w:val="20"/>
          <w:lang w:val="en-US" w:eastAsia="en-US"/>
        </w:rPr>
      </w:pPr>
    </w:p>
    <w:p w14:paraId="11B9DFB7" w14:textId="701FE869" w:rsidR="00B92559" w:rsidRPr="009D52FD" w:rsidRDefault="009A541B" w:rsidP="00B95DDC">
      <w:pPr>
        <w:widowControl/>
        <w:numPr>
          <w:ilvl w:val="0"/>
          <w:numId w:val="1"/>
        </w:numPr>
        <w:tabs>
          <w:tab w:val="left" w:pos="567"/>
        </w:tabs>
        <w:autoSpaceDE w:val="0"/>
        <w:autoSpaceDN w:val="0"/>
        <w:spacing w:line="240" w:lineRule="auto"/>
        <w:ind w:left="0" w:firstLine="0"/>
        <w:textAlignment w:val="auto"/>
        <w:rPr>
          <w:lang w:val="en-US"/>
        </w:rPr>
      </w:pPr>
      <w:r w:rsidRPr="009D52FD">
        <w:rPr>
          <w:sz w:val="20"/>
          <w:szCs w:val="20"/>
          <w:lang w:val="en-US"/>
        </w:rPr>
        <w:t>Lastly</w:t>
      </w:r>
      <w:r w:rsidR="00B92559" w:rsidRPr="009D52FD">
        <w:rPr>
          <w:sz w:val="20"/>
          <w:szCs w:val="20"/>
          <w:lang w:val="en-US"/>
        </w:rPr>
        <w:t xml:space="preserve">, </w:t>
      </w:r>
      <w:r w:rsidR="003630BB" w:rsidRPr="009D52FD">
        <w:rPr>
          <w:sz w:val="20"/>
          <w:szCs w:val="20"/>
          <w:lang w:val="en-US"/>
        </w:rPr>
        <w:t>the representatives</w:t>
      </w:r>
      <w:r w:rsidR="00B92559" w:rsidRPr="009D52FD">
        <w:rPr>
          <w:sz w:val="20"/>
          <w:szCs w:val="20"/>
          <w:lang w:val="en-US"/>
        </w:rPr>
        <w:t xml:space="preserve"> </w:t>
      </w:r>
      <w:r w:rsidR="00B95DDC" w:rsidRPr="009D52FD">
        <w:rPr>
          <w:sz w:val="20"/>
          <w:szCs w:val="20"/>
          <w:lang w:val="en-US"/>
        </w:rPr>
        <w:t>argued that</w:t>
      </w:r>
      <w:r w:rsidR="00B92559" w:rsidRPr="009D52FD">
        <w:rPr>
          <w:sz w:val="20"/>
          <w:szCs w:val="20"/>
          <w:lang w:val="en-US"/>
        </w:rPr>
        <w:t xml:space="preserve">, </w:t>
      </w:r>
      <w:r w:rsidR="00025297" w:rsidRPr="009D52FD">
        <w:rPr>
          <w:sz w:val="20"/>
          <w:szCs w:val="20"/>
          <w:lang w:val="en-US"/>
        </w:rPr>
        <w:t>“[</w:t>
      </w:r>
      <w:r w:rsidR="00B95DDC" w:rsidRPr="009D52FD">
        <w:rPr>
          <w:sz w:val="20"/>
          <w:szCs w:val="20"/>
          <w:lang w:val="en-US"/>
        </w:rPr>
        <w:t>s</w:t>
      </w:r>
      <w:r w:rsidR="00025297" w:rsidRPr="009D52FD">
        <w:rPr>
          <w:sz w:val="20"/>
          <w:szCs w:val="20"/>
          <w:lang w:val="en-US"/>
        </w:rPr>
        <w:t>]</w:t>
      </w:r>
      <w:r w:rsidR="00B95DDC" w:rsidRPr="009D52FD">
        <w:rPr>
          <w:sz w:val="20"/>
          <w:szCs w:val="20"/>
          <w:lang w:val="en-US"/>
        </w:rPr>
        <w:t xml:space="preserve">ince the State lacked adequate protocols for the investigation and documentation of sexual violence, it did not have the necessary guidelines and tools to clarify what had occurred effectively and to ensure the appropriate punishment,” and this encouraged a tendency of the courts to request evidence to confirm the victim’s statement. They also argued that the </w:t>
      </w:r>
      <w:r w:rsidR="00252930" w:rsidRPr="009D52FD">
        <w:rPr>
          <w:sz w:val="20"/>
          <w:szCs w:val="20"/>
          <w:lang w:val="en-US"/>
        </w:rPr>
        <w:t>various</w:t>
      </w:r>
      <w:r w:rsidR="00B95DDC" w:rsidRPr="009D52FD">
        <w:rPr>
          <w:sz w:val="20"/>
          <w:szCs w:val="20"/>
          <w:lang w:val="en-US"/>
        </w:rPr>
        <w:t xml:space="preserve"> </w:t>
      </w:r>
      <w:r w:rsidR="00252930" w:rsidRPr="009D52FD">
        <w:rPr>
          <w:sz w:val="20"/>
          <w:szCs w:val="20"/>
          <w:lang w:val="en-US"/>
        </w:rPr>
        <w:t>flaws</w:t>
      </w:r>
      <w:r w:rsidR="00B95DDC" w:rsidRPr="009D52FD">
        <w:rPr>
          <w:sz w:val="20"/>
          <w:szCs w:val="20"/>
          <w:lang w:val="en-US"/>
        </w:rPr>
        <w:t xml:space="preserve"> in the investigation process resulted from the lack of an appropriate legal framework and the absence of protocols that regulated the reception of complaints, the performance of medical examinations in keeping with the international standards, and the execution of procedures for the investigation of sexual violence. Furthermore, they indicated that the State had no medical protocols establishing how medical examinations that would be used as expert evidence in cases of rape should be performed. According to </w:t>
      </w:r>
      <w:r w:rsidR="003630BB" w:rsidRPr="009D52FD">
        <w:rPr>
          <w:sz w:val="20"/>
          <w:szCs w:val="20"/>
          <w:lang w:val="en-US"/>
        </w:rPr>
        <w:t>the representatives</w:t>
      </w:r>
      <w:r w:rsidR="0039078F" w:rsidRPr="009D52FD">
        <w:rPr>
          <w:sz w:val="20"/>
          <w:szCs w:val="20"/>
          <w:lang w:val="en-US"/>
        </w:rPr>
        <w:t>,</w:t>
      </w:r>
      <w:r w:rsidR="00252930" w:rsidRPr="009D52FD">
        <w:rPr>
          <w:sz w:val="20"/>
          <w:szCs w:val="20"/>
          <w:lang w:val="en-US"/>
        </w:rPr>
        <w:t xml:space="preserve"> the examinations performed</w:t>
      </w:r>
      <w:r w:rsidR="0039078F" w:rsidRPr="009D52FD">
        <w:rPr>
          <w:sz w:val="20"/>
          <w:szCs w:val="20"/>
          <w:lang w:val="en-US"/>
        </w:rPr>
        <w:t xml:space="preserve"> </w:t>
      </w:r>
      <w:r w:rsidR="00B95DDC" w:rsidRPr="009D52FD">
        <w:rPr>
          <w:sz w:val="20"/>
          <w:szCs w:val="20"/>
          <w:lang w:val="en-US"/>
        </w:rPr>
        <w:t>in the instant case did not comply with the relevant international standards and</w:t>
      </w:r>
      <w:r w:rsidR="00252930" w:rsidRPr="009D52FD">
        <w:rPr>
          <w:sz w:val="20"/>
          <w:szCs w:val="20"/>
          <w:lang w:val="en-US"/>
        </w:rPr>
        <w:t xml:space="preserve"> </w:t>
      </w:r>
      <w:r w:rsidR="00B95DDC" w:rsidRPr="009D52FD">
        <w:rPr>
          <w:sz w:val="20"/>
          <w:szCs w:val="20"/>
          <w:lang w:val="en-US"/>
        </w:rPr>
        <w:t>were</w:t>
      </w:r>
      <w:r w:rsidR="00252930" w:rsidRPr="009D52FD">
        <w:rPr>
          <w:sz w:val="20"/>
          <w:szCs w:val="20"/>
          <w:lang w:val="en-US"/>
        </w:rPr>
        <w:t xml:space="preserve"> subsequently</w:t>
      </w:r>
      <w:r w:rsidR="00B95DDC" w:rsidRPr="009D52FD">
        <w:rPr>
          <w:sz w:val="20"/>
          <w:szCs w:val="20"/>
          <w:lang w:val="en-US"/>
        </w:rPr>
        <w:t xml:space="preserve"> used in the trial as expert evidence</w:t>
      </w:r>
      <w:r w:rsidR="00B92559" w:rsidRPr="009D52FD">
        <w:rPr>
          <w:sz w:val="20"/>
          <w:szCs w:val="20"/>
          <w:lang w:val="en-US"/>
        </w:rPr>
        <w:t>.</w:t>
      </w:r>
    </w:p>
    <w:p w14:paraId="22C838B0" w14:textId="77777777" w:rsidR="009E4F6C" w:rsidRPr="009D52FD" w:rsidRDefault="009E4F6C" w:rsidP="009E4F6C">
      <w:pPr>
        <w:tabs>
          <w:tab w:val="left" w:pos="567"/>
        </w:tabs>
        <w:spacing w:line="240" w:lineRule="auto"/>
        <w:rPr>
          <w:sz w:val="20"/>
          <w:szCs w:val="20"/>
          <w:lang w:val="en-US"/>
        </w:rPr>
      </w:pPr>
    </w:p>
    <w:p w14:paraId="76337D2B" w14:textId="57335E55" w:rsidR="009E4F6C" w:rsidRPr="009D52FD" w:rsidRDefault="003630BB" w:rsidP="00C34F37">
      <w:pPr>
        <w:numPr>
          <w:ilvl w:val="0"/>
          <w:numId w:val="1"/>
        </w:numPr>
        <w:tabs>
          <w:tab w:val="left" w:pos="567"/>
        </w:tabs>
        <w:spacing w:line="240" w:lineRule="auto"/>
        <w:ind w:left="0" w:firstLine="0"/>
        <w:rPr>
          <w:sz w:val="20"/>
          <w:szCs w:val="20"/>
          <w:lang w:val="en-US"/>
        </w:rPr>
      </w:pPr>
      <w:r w:rsidRPr="009D52FD">
        <w:rPr>
          <w:sz w:val="20"/>
          <w:szCs w:val="20"/>
          <w:lang w:val="en-US"/>
        </w:rPr>
        <w:t xml:space="preserve">The </w:t>
      </w:r>
      <w:r w:rsidRPr="009D52FD">
        <w:rPr>
          <w:b/>
          <w:bCs/>
          <w:i/>
          <w:iCs/>
          <w:sz w:val="20"/>
          <w:szCs w:val="20"/>
          <w:lang w:val="en-US"/>
        </w:rPr>
        <w:t>State</w:t>
      </w:r>
      <w:r w:rsidR="006D5B07" w:rsidRPr="009D52FD">
        <w:rPr>
          <w:sz w:val="20"/>
          <w:szCs w:val="20"/>
          <w:lang w:val="en-US"/>
        </w:rPr>
        <w:t xml:space="preserve"> acknowledged responsibility for </w:t>
      </w:r>
      <w:r w:rsidR="006E1F8F" w:rsidRPr="009D52FD">
        <w:rPr>
          <w:sz w:val="20"/>
          <w:szCs w:val="20"/>
          <w:lang w:val="en-US"/>
        </w:rPr>
        <w:t xml:space="preserve">the </w:t>
      </w:r>
      <w:r w:rsidR="0064755C" w:rsidRPr="009D52FD">
        <w:rPr>
          <w:sz w:val="20"/>
          <w:szCs w:val="20"/>
          <w:lang w:val="en-US"/>
        </w:rPr>
        <w:t>violation of</w:t>
      </w:r>
      <w:r w:rsidR="009E4F6C" w:rsidRPr="009D52FD">
        <w:rPr>
          <w:sz w:val="20"/>
          <w:szCs w:val="20"/>
          <w:lang w:val="en-US"/>
        </w:rPr>
        <w:t xml:space="preserve"> </w:t>
      </w:r>
      <w:r w:rsidR="00997ADF" w:rsidRPr="009D52FD">
        <w:rPr>
          <w:sz w:val="20"/>
          <w:szCs w:val="20"/>
          <w:lang w:val="en-US"/>
        </w:rPr>
        <w:t>the rights to</w:t>
      </w:r>
      <w:r w:rsidR="009E4F6C" w:rsidRPr="009D52FD">
        <w:rPr>
          <w:sz w:val="20"/>
          <w:szCs w:val="20"/>
          <w:lang w:val="en-US"/>
        </w:rPr>
        <w:t xml:space="preserve"> </w:t>
      </w:r>
      <w:r w:rsidR="00996337" w:rsidRPr="009D52FD">
        <w:rPr>
          <w:sz w:val="20"/>
          <w:szCs w:val="20"/>
          <w:lang w:val="en-US"/>
        </w:rPr>
        <w:t>judicial guarantees</w:t>
      </w:r>
      <w:r w:rsidR="009E4F6C" w:rsidRPr="009D52FD">
        <w:rPr>
          <w:sz w:val="20"/>
          <w:szCs w:val="20"/>
          <w:lang w:val="en-US"/>
        </w:rPr>
        <w:t xml:space="preserve">, </w:t>
      </w:r>
      <w:r w:rsidR="00996337" w:rsidRPr="009D52FD">
        <w:rPr>
          <w:sz w:val="20"/>
          <w:szCs w:val="20"/>
          <w:lang w:val="en-US"/>
        </w:rPr>
        <w:t>judicial protection</w:t>
      </w:r>
      <w:r w:rsidRPr="009D52FD">
        <w:rPr>
          <w:sz w:val="20"/>
          <w:szCs w:val="20"/>
          <w:lang w:val="en-US"/>
        </w:rPr>
        <w:t xml:space="preserve"> and </w:t>
      </w:r>
      <w:r w:rsidR="006D5B07" w:rsidRPr="009D52FD">
        <w:rPr>
          <w:sz w:val="20"/>
          <w:szCs w:val="20"/>
          <w:lang w:val="en-US"/>
        </w:rPr>
        <w:t xml:space="preserve">the obligation to investigate acts of </w:t>
      </w:r>
      <w:r w:rsidR="005935CA" w:rsidRPr="009D52FD">
        <w:rPr>
          <w:sz w:val="20"/>
          <w:szCs w:val="20"/>
          <w:lang w:val="en-US"/>
        </w:rPr>
        <w:t>violence against women</w:t>
      </w:r>
      <w:r w:rsidR="009E4F6C" w:rsidRPr="009D52FD">
        <w:rPr>
          <w:sz w:val="20"/>
          <w:szCs w:val="20"/>
          <w:lang w:val="en-US"/>
        </w:rPr>
        <w:t xml:space="preserve"> </w:t>
      </w:r>
      <w:r w:rsidR="00252930" w:rsidRPr="009D52FD">
        <w:rPr>
          <w:sz w:val="20"/>
          <w:szCs w:val="20"/>
          <w:lang w:val="en-US"/>
        </w:rPr>
        <w:t>recognized</w:t>
      </w:r>
      <w:r w:rsidR="006D5B07" w:rsidRPr="009D52FD">
        <w:rPr>
          <w:sz w:val="20"/>
          <w:szCs w:val="20"/>
          <w:lang w:val="en-US"/>
        </w:rPr>
        <w:t xml:space="preserve"> in</w:t>
      </w:r>
      <w:r w:rsidR="009E4F6C" w:rsidRPr="009D52FD">
        <w:rPr>
          <w:sz w:val="20"/>
          <w:szCs w:val="20"/>
          <w:lang w:val="en-US"/>
        </w:rPr>
        <w:t xml:space="preserve"> </w:t>
      </w:r>
      <w:r w:rsidRPr="009D52FD">
        <w:rPr>
          <w:sz w:val="20"/>
          <w:szCs w:val="20"/>
          <w:lang w:val="en-US"/>
        </w:rPr>
        <w:lastRenderedPageBreak/>
        <w:t>Articles</w:t>
      </w:r>
      <w:r w:rsidR="00483040" w:rsidRPr="009D52FD">
        <w:rPr>
          <w:sz w:val="20"/>
          <w:szCs w:val="20"/>
          <w:lang w:val="en-US"/>
        </w:rPr>
        <w:t xml:space="preserve"> 8(1)</w:t>
      </w:r>
      <w:r w:rsidR="009E4F6C" w:rsidRPr="009D52FD">
        <w:rPr>
          <w:sz w:val="20"/>
          <w:szCs w:val="20"/>
          <w:lang w:val="en-US"/>
        </w:rPr>
        <w:t>,</w:t>
      </w:r>
      <w:r w:rsidR="00D32B3E" w:rsidRPr="009D52FD">
        <w:rPr>
          <w:sz w:val="20"/>
          <w:szCs w:val="20"/>
          <w:lang w:val="en-US"/>
        </w:rPr>
        <w:t xml:space="preserve"> 25(1)</w:t>
      </w:r>
      <w:r w:rsidR="009E4F6C" w:rsidRPr="009D52FD">
        <w:rPr>
          <w:sz w:val="20"/>
          <w:szCs w:val="20"/>
          <w:lang w:val="en-US"/>
        </w:rPr>
        <w:t>,</w:t>
      </w:r>
      <w:r w:rsidR="00483040" w:rsidRPr="009D52FD">
        <w:rPr>
          <w:sz w:val="20"/>
          <w:szCs w:val="20"/>
          <w:lang w:val="en-US"/>
        </w:rPr>
        <w:t xml:space="preserve"> 5(1)</w:t>
      </w:r>
      <w:r w:rsidR="009E4F6C" w:rsidRPr="009D52FD">
        <w:rPr>
          <w:sz w:val="20"/>
          <w:szCs w:val="20"/>
          <w:lang w:val="en-US"/>
        </w:rPr>
        <w:t>, 11, 24</w:t>
      </w:r>
      <w:r w:rsidRPr="009D52FD">
        <w:rPr>
          <w:sz w:val="20"/>
          <w:szCs w:val="20"/>
          <w:lang w:val="en-US"/>
        </w:rPr>
        <w:t xml:space="preserve"> and </w:t>
      </w:r>
      <w:r w:rsidR="009E4F6C" w:rsidRPr="009D52FD">
        <w:rPr>
          <w:sz w:val="20"/>
          <w:szCs w:val="20"/>
          <w:lang w:val="en-US"/>
        </w:rPr>
        <w:t>2</w:t>
      </w:r>
      <w:r w:rsidRPr="009D52FD">
        <w:rPr>
          <w:sz w:val="20"/>
          <w:szCs w:val="20"/>
          <w:lang w:val="en-US"/>
        </w:rPr>
        <w:t xml:space="preserve"> of the American Convention</w:t>
      </w:r>
      <w:r w:rsidR="009E4F6C" w:rsidRPr="009D52FD">
        <w:rPr>
          <w:sz w:val="20"/>
          <w:szCs w:val="20"/>
          <w:lang w:val="en-US"/>
        </w:rPr>
        <w:t xml:space="preserve">, </w:t>
      </w:r>
      <w:r w:rsidR="006D5B07" w:rsidRPr="009D52FD">
        <w:rPr>
          <w:sz w:val="20"/>
          <w:szCs w:val="20"/>
          <w:lang w:val="en-US"/>
        </w:rPr>
        <w:t>because</w:t>
      </w:r>
      <w:r w:rsidR="009E4F6C" w:rsidRPr="009D52FD">
        <w:rPr>
          <w:sz w:val="20"/>
          <w:szCs w:val="20"/>
          <w:lang w:val="en-US"/>
        </w:rPr>
        <w:t xml:space="preserve"> </w:t>
      </w:r>
      <w:r w:rsidR="00527F6E" w:rsidRPr="009D52FD">
        <w:rPr>
          <w:sz w:val="20"/>
          <w:szCs w:val="20"/>
          <w:lang w:val="en-US"/>
        </w:rPr>
        <w:t>“</w:t>
      </w:r>
      <w:r w:rsidR="009E4F6C" w:rsidRPr="009D52FD">
        <w:rPr>
          <w:sz w:val="20"/>
          <w:szCs w:val="20"/>
          <w:lang w:val="en-US"/>
        </w:rPr>
        <w:t xml:space="preserve">Linda Loaiza López </w:t>
      </w:r>
      <w:r w:rsidR="006D5B07" w:rsidRPr="009D52FD">
        <w:rPr>
          <w:sz w:val="20"/>
          <w:szCs w:val="20"/>
          <w:lang w:val="en-US"/>
        </w:rPr>
        <w:t xml:space="preserve">did not receive </w:t>
      </w:r>
      <w:r w:rsidR="00C34F37" w:rsidRPr="009D52FD">
        <w:rPr>
          <w:sz w:val="20"/>
          <w:szCs w:val="20"/>
          <w:lang w:val="en-US"/>
        </w:rPr>
        <w:t xml:space="preserve">the assistance and treatment that was required by her condition </w:t>
      </w:r>
      <w:r w:rsidR="00252930" w:rsidRPr="009D52FD">
        <w:rPr>
          <w:sz w:val="20"/>
          <w:szCs w:val="20"/>
          <w:lang w:val="en-US"/>
        </w:rPr>
        <w:t>as a</w:t>
      </w:r>
      <w:r w:rsidR="00C34F37" w:rsidRPr="009D52FD">
        <w:rPr>
          <w:sz w:val="20"/>
          <w:szCs w:val="20"/>
          <w:lang w:val="en-US"/>
        </w:rPr>
        <w:t xml:space="preserve"> victim of </w:t>
      </w:r>
      <w:r w:rsidR="005935CA" w:rsidRPr="009D52FD">
        <w:rPr>
          <w:sz w:val="20"/>
          <w:szCs w:val="20"/>
          <w:lang w:val="en-US"/>
        </w:rPr>
        <w:t>violence against women</w:t>
      </w:r>
      <w:r w:rsidR="009E4F6C" w:rsidRPr="009D52FD">
        <w:rPr>
          <w:sz w:val="20"/>
          <w:szCs w:val="20"/>
          <w:lang w:val="en-US"/>
        </w:rPr>
        <w:t xml:space="preserve"> </w:t>
      </w:r>
      <w:r w:rsidR="00C34F37" w:rsidRPr="009D52FD">
        <w:rPr>
          <w:sz w:val="20"/>
          <w:szCs w:val="20"/>
          <w:lang w:val="en-US"/>
        </w:rPr>
        <w:t xml:space="preserve">from the time of her rescue and in the following moments, and it was evident that the severe acts of violence that she had experienced were investigated and tried under a legal framework that could even be categorized as discriminatory. All these situations affected not only her right of access to justice, but also constituted additional forms of revictimization that could evidently have violated both her privacy and dignity as well as her mental and moral integrity.” Despite the foregoing, the State indicated that, both the </w:t>
      </w:r>
      <w:r w:rsidR="00252930" w:rsidRPr="009D52FD">
        <w:rPr>
          <w:sz w:val="20"/>
          <w:szCs w:val="20"/>
          <w:lang w:val="en-US"/>
        </w:rPr>
        <w:t>guidelines</w:t>
      </w:r>
      <w:r w:rsidR="00C34F37" w:rsidRPr="009D52FD">
        <w:rPr>
          <w:sz w:val="20"/>
          <w:szCs w:val="20"/>
          <w:lang w:val="en-US"/>
        </w:rPr>
        <w:t xml:space="preserve"> for the actions of officials responsible for processing similar situations, and the legal framework applicable in cases of gender-based violence had been modified substantially in Venezuela, adapting them to the highest international standards in this regard. It also indicated that, in March 2007, the </w:t>
      </w:r>
      <w:r w:rsidR="00C34F37" w:rsidRPr="009D52FD">
        <w:rPr>
          <w:rFonts w:eastAsiaTheme="minorHAnsi" w:cstheme="minorBidi"/>
          <w:sz w:val="20"/>
          <w:szCs w:val="20"/>
          <w:lang w:val="en-US" w:eastAsia="en-US"/>
        </w:rPr>
        <w:t>Law on the Right of Women to a Life Free of Violence</w:t>
      </w:r>
      <w:r w:rsidR="00C34F37" w:rsidRPr="009D52FD">
        <w:rPr>
          <w:sz w:val="20"/>
          <w:szCs w:val="20"/>
          <w:lang w:val="en-US"/>
        </w:rPr>
        <w:t xml:space="preserve"> had entered into force, and this increased the forms of violence against women defined by law, and created the courts for violence against women in Caracas and in each state capital, </w:t>
      </w:r>
      <w:r w:rsidR="00252930" w:rsidRPr="009D52FD">
        <w:rPr>
          <w:sz w:val="20"/>
          <w:szCs w:val="20"/>
          <w:lang w:val="en-US"/>
        </w:rPr>
        <w:t>as well as in</w:t>
      </w:r>
      <w:r w:rsidR="00C34F37" w:rsidRPr="009D52FD">
        <w:rPr>
          <w:sz w:val="20"/>
          <w:szCs w:val="20"/>
          <w:lang w:val="en-US"/>
        </w:rPr>
        <w:t xml:space="preserve"> places determined by </w:t>
      </w:r>
      <w:r w:rsidRPr="009D52FD">
        <w:rPr>
          <w:sz w:val="20"/>
          <w:szCs w:val="20"/>
          <w:lang w:val="en-US"/>
        </w:rPr>
        <w:t xml:space="preserve">the </w:t>
      </w:r>
      <w:r w:rsidR="00D43515" w:rsidRPr="009D52FD">
        <w:rPr>
          <w:sz w:val="20"/>
          <w:szCs w:val="20"/>
          <w:lang w:val="en-US"/>
        </w:rPr>
        <w:t>Supreme Court of Justice</w:t>
      </w:r>
      <w:r w:rsidR="009E4F6C" w:rsidRPr="009D52FD">
        <w:rPr>
          <w:sz w:val="20"/>
          <w:szCs w:val="20"/>
          <w:lang w:val="en-US"/>
        </w:rPr>
        <w:t>.</w:t>
      </w:r>
    </w:p>
    <w:p w14:paraId="3055D488" w14:textId="77777777" w:rsidR="009E4F6C" w:rsidRPr="009D52FD" w:rsidRDefault="009E4F6C" w:rsidP="009E4F6C">
      <w:pPr>
        <w:tabs>
          <w:tab w:val="left" w:pos="567"/>
        </w:tabs>
        <w:spacing w:line="240" w:lineRule="auto"/>
        <w:rPr>
          <w:sz w:val="20"/>
          <w:szCs w:val="20"/>
          <w:lang w:val="en-US"/>
        </w:rPr>
      </w:pPr>
    </w:p>
    <w:p w14:paraId="67C72D43" w14:textId="1BCA9D85" w:rsidR="009E4F6C" w:rsidRPr="009D52FD" w:rsidRDefault="009E4F6C" w:rsidP="009E4F6C">
      <w:pPr>
        <w:keepNext/>
        <w:keepLines/>
        <w:widowControl/>
        <w:tabs>
          <w:tab w:val="left" w:pos="1134"/>
        </w:tabs>
        <w:autoSpaceDE w:val="0"/>
        <w:autoSpaceDN w:val="0"/>
        <w:spacing w:line="240" w:lineRule="auto"/>
        <w:ind w:left="567" w:firstLine="1"/>
        <w:textAlignment w:val="auto"/>
        <w:outlineLvl w:val="1"/>
        <w:rPr>
          <w:rFonts w:eastAsia="MS Mincho" w:cs="Arial"/>
          <w:b/>
          <w:bCs/>
          <w:i/>
          <w:sz w:val="20"/>
          <w:szCs w:val="20"/>
          <w:lang w:val="en-US" w:eastAsia="en-US"/>
        </w:rPr>
      </w:pPr>
      <w:bookmarkStart w:id="89" w:name="_Toc51400100"/>
      <w:r w:rsidRPr="009D52FD">
        <w:rPr>
          <w:rFonts w:eastAsia="MS Mincho" w:cs="Arial"/>
          <w:b/>
          <w:bCs/>
          <w:i/>
          <w:sz w:val="20"/>
          <w:szCs w:val="20"/>
          <w:lang w:val="en-US" w:eastAsia="en-US"/>
        </w:rPr>
        <w:t>B.</w:t>
      </w:r>
      <w:r w:rsidRPr="009D52FD">
        <w:rPr>
          <w:rFonts w:eastAsia="MS Mincho" w:cs="Arial"/>
          <w:b/>
          <w:bCs/>
          <w:i/>
          <w:sz w:val="20"/>
          <w:szCs w:val="20"/>
          <w:lang w:val="en-US" w:eastAsia="en-US"/>
        </w:rPr>
        <w:tab/>
      </w:r>
      <w:r w:rsidR="00997ADF" w:rsidRPr="009D52FD">
        <w:rPr>
          <w:rFonts w:eastAsia="MS Mincho" w:cs="Arial"/>
          <w:b/>
          <w:bCs/>
          <w:i/>
          <w:sz w:val="20"/>
          <w:szCs w:val="20"/>
          <w:lang w:val="en-US" w:eastAsia="en-US"/>
        </w:rPr>
        <w:t>Considerations</w:t>
      </w:r>
      <w:r w:rsidR="003630BB" w:rsidRPr="009D52FD">
        <w:rPr>
          <w:rFonts w:eastAsia="MS Mincho" w:cs="Arial"/>
          <w:b/>
          <w:bCs/>
          <w:i/>
          <w:sz w:val="20"/>
          <w:szCs w:val="20"/>
          <w:lang w:val="en-US" w:eastAsia="en-US"/>
        </w:rPr>
        <w:t xml:space="preserve"> of the Court</w:t>
      </w:r>
      <w:bookmarkEnd w:id="89"/>
    </w:p>
    <w:p w14:paraId="5F204498" w14:textId="77777777" w:rsidR="009E4F6C" w:rsidRPr="009D52FD" w:rsidRDefault="009E4F6C" w:rsidP="009E4F6C">
      <w:pPr>
        <w:spacing w:line="240" w:lineRule="auto"/>
        <w:rPr>
          <w:sz w:val="20"/>
          <w:szCs w:val="20"/>
          <w:lang w:val="en-US"/>
        </w:rPr>
      </w:pPr>
    </w:p>
    <w:p w14:paraId="73F47294" w14:textId="48A25A8A" w:rsidR="009E4F6C" w:rsidRPr="009D52FD" w:rsidRDefault="003630BB" w:rsidP="002935DD">
      <w:pPr>
        <w:widowControl/>
        <w:numPr>
          <w:ilvl w:val="0"/>
          <w:numId w:val="1"/>
        </w:numPr>
        <w:tabs>
          <w:tab w:val="left" w:pos="567"/>
        </w:tabs>
        <w:adjustRightInd/>
        <w:spacing w:line="240" w:lineRule="auto"/>
        <w:ind w:left="0" w:firstLine="0"/>
        <w:textAlignment w:val="auto"/>
        <w:rPr>
          <w:rFonts w:cs="Verdana"/>
          <w:sz w:val="20"/>
          <w:szCs w:val="20"/>
          <w:lang w:val="en-US"/>
        </w:rPr>
      </w:pPr>
      <w:r w:rsidRPr="009D52FD">
        <w:rPr>
          <w:rFonts w:eastAsiaTheme="minorHAnsi" w:cstheme="minorBidi"/>
          <w:sz w:val="20"/>
          <w:szCs w:val="20"/>
          <w:lang w:val="en-US" w:eastAsia="en-US"/>
        </w:rPr>
        <w:t>The Court</w:t>
      </w:r>
      <w:r w:rsidR="00C34F37" w:rsidRPr="009D52FD">
        <w:rPr>
          <w:rFonts w:eastAsiaTheme="minorHAnsi" w:cstheme="minorBidi"/>
          <w:sz w:val="20"/>
          <w:szCs w:val="20"/>
          <w:lang w:val="en-US" w:eastAsia="en-US"/>
        </w:rPr>
        <w:t xml:space="preserve"> </w:t>
      </w:r>
      <w:r w:rsidR="00252930" w:rsidRPr="009D52FD">
        <w:rPr>
          <w:rFonts w:eastAsiaTheme="minorHAnsi" w:cstheme="minorBidi"/>
          <w:sz w:val="20"/>
          <w:szCs w:val="20"/>
          <w:lang w:val="en-US" w:eastAsia="en-US"/>
        </w:rPr>
        <w:t xml:space="preserve">has </w:t>
      </w:r>
      <w:r w:rsidR="00C34F37" w:rsidRPr="009D52FD">
        <w:rPr>
          <w:rFonts w:eastAsiaTheme="minorHAnsi" w:cstheme="minorBidi"/>
          <w:sz w:val="20"/>
          <w:szCs w:val="20"/>
          <w:lang w:val="en-US" w:eastAsia="en-US"/>
        </w:rPr>
        <w:t xml:space="preserve">admitted the acknowledgement of responsibility made by the State and, therefore, finds that it has been established that Venezuela incurred </w:t>
      </w:r>
      <w:r w:rsidR="0098665D" w:rsidRPr="009D52FD">
        <w:rPr>
          <w:rFonts w:eastAsiaTheme="minorHAnsi" w:cstheme="minorBidi"/>
          <w:sz w:val="20"/>
          <w:szCs w:val="20"/>
          <w:lang w:val="en-US" w:eastAsia="en-US"/>
        </w:rPr>
        <w:t>international responsibility</w:t>
      </w:r>
      <w:r w:rsidR="009E4F6C" w:rsidRPr="009D52FD">
        <w:rPr>
          <w:rFonts w:eastAsiaTheme="minorHAnsi" w:cstheme="minorBidi"/>
          <w:sz w:val="20"/>
          <w:szCs w:val="20"/>
          <w:lang w:val="en-US" w:eastAsia="en-US"/>
        </w:rPr>
        <w:t xml:space="preserve"> </w:t>
      </w:r>
      <w:r w:rsidR="002935DD" w:rsidRPr="009D52FD">
        <w:rPr>
          <w:rFonts w:eastAsiaTheme="minorHAnsi" w:cstheme="minorBidi"/>
          <w:sz w:val="20"/>
          <w:szCs w:val="20"/>
          <w:lang w:val="en-US" w:eastAsia="en-US"/>
        </w:rPr>
        <w:t>f</w:t>
      </w:r>
      <w:r w:rsidR="009E4F6C" w:rsidRPr="009D52FD">
        <w:rPr>
          <w:rFonts w:eastAsiaTheme="minorHAnsi" w:cstheme="minorBidi"/>
          <w:sz w:val="20"/>
          <w:szCs w:val="20"/>
          <w:lang w:val="en-US" w:eastAsia="en-US"/>
        </w:rPr>
        <w:t xml:space="preserve">or </w:t>
      </w:r>
      <w:r w:rsidR="0064755C" w:rsidRPr="009D52FD">
        <w:rPr>
          <w:rFonts w:eastAsiaTheme="minorHAnsi" w:cstheme="minorBidi"/>
          <w:sz w:val="20"/>
          <w:szCs w:val="20"/>
          <w:lang w:val="en-US" w:eastAsia="en-US"/>
        </w:rPr>
        <w:t>the violation of</w:t>
      </w:r>
      <w:r w:rsidR="009E4F6C" w:rsidRPr="009D52FD">
        <w:rPr>
          <w:rFonts w:eastAsiaTheme="minorHAnsi" w:cstheme="minorBidi"/>
          <w:sz w:val="20"/>
          <w:szCs w:val="20"/>
          <w:lang w:val="en-US" w:eastAsia="en-US"/>
        </w:rPr>
        <w:t xml:space="preserve"> </w:t>
      </w:r>
      <w:r w:rsidR="00997ADF" w:rsidRPr="009D52FD">
        <w:rPr>
          <w:rFonts w:eastAsia="Calibri" w:cs="Verdana"/>
          <w:snapToGrid w:val="0"/>
          <w:sz w:val="20"/>
          <w:szCs w:val="20"/>
          <w:lang w:val="en-US" w:eastAsia="es-ES"/>
        </w:rPr>
        <w:t>the rights to</w:t>
      </w:r>
      <w:r w:rsidR="009E4F6C" w:rsidRPr="009D52FD">
        <w:rPr>
          <w:rFonts w:eastAsia="Calibri" w:cs="Verdana"/>
          <w:snapToGrid w:val="0"/>
          <w:sz w:val="20"/>
          <w:szCs w:val="20"/>
          <w:lang w:val="en-US" w:eastAsia="es-ES"/>
        </w:rPr>
        <w:t xml:space="preserve"> </w:t>
      </w:r>
      <w:r w:rsidR="00996337" w:rsidRPr="009D52FD">
        <w:rPr>
          <w:rFonts w:eastAsia="Calibri" w:cs="Verdana"/>
          <w:snapToGrid w:val="0"/>
          <w:sz w:val="20"/>
          <w:szCs w:val="20"/>
          <w:lang w:val="en-US" w:eastAsia="es-ES"/>
        </w:rPr>
        <w:t>judicial guarantees</w:t>
      </w:r>
      <w:r w:rsidRPr="009D52FD">
        <w:rPr>
          <w:rFonts w:eastAsia="Calibri" w:cs="Verdana"/>
          <w:snapToGrid w:val="0"/>
          <w:sz w:val="20"/>
          <w:szCs w:val="20"/>
          <w:lang w:val="en-US" w:eastAsia="es-ES"/>
        </w:rPr>
        <w:t xml:space="preserve"> and </w:t>
      </w:r>
      <w:r w:rsidR="00996337" w:rsidRPr="009D52FD">
        <w:rPr>
          <w:rFonts w:eastAsia="Calibri" w:cs="Verdana"/>
          <w:snapToGrid w:val="0"/>
          <w:sz w:val="20"/>
          <w:szCs w:val="20"/>
          <w:lang w:val="en-US" w:eastAsia="es-ES"/>
        </w:rPr>
        <w:t>judicial protection</w:t>
      </w:r>
      <w:r w:rsidR="009E4F6C" w:rsidRPr="009D52FD">
        <w:rPr>
          <w:rFonts w:eastAsia="Calibri" w:cs="Verdana"/>
          <w:snapToGrid w:val="0"/>
          <w:sz w:val="20"/>
          <w:szCs w:val="20"/>
          <w:lang w:val="en-US" w:eastAsia="es-ES"/>
        </w:rPr>
        <w:t xml:space="preserve">, </w:t>
      </w:r>
      <w:r w:rsidR="002935DD" w:rsidRPr="009D52FD">
        <w:rPr>
          <w:rFonts w:eastAsia="Calibri" w:cs="Verdana"/>
          <w:snapToGrid w:val="0"/>
          <w:sz w:val="20"/>
          <w:szCs w:val="20"/>
          <w:lang w:val="en-US" w:eastAsia="es-ES"/>
        </w:rPr>
        <w:t xml:space="preserve">as well as of the obligation to investigate acts of </w:t>
      </w:r>
      <w:r w:rsidR="005935CA" w:rsidRPr="009D52FD">
        <w:rPr>
          <w:rFonts w:eastAsia="Calibri" w:cs="Verdana"/>
          <w:snapToGrid w:val="0"/>
          <w:sz w:val="20"/>
          <w:szCs w:val="20"/>
          <w:lang w:val="en-US" w:eastAsia="es-ES"/>
        </w:rPr>
        <w:t>violence against women</w:t>
      </w:r>
      <w:r w:rsidR="009E4F6C" w:rsidRPr="009D52FD">
        <w:rPr>
          <w:rFonts w:eastAsia="Calibri" w:cs="Verdana"/>
          <w:snapToGrid w:val="0"/>
          <w:sz w:val="20"/>
          <w:szCs w:val="20"/>
          <w:lang w:val="en-US" w:eastAsia="es-ES"/>
        </w:rPr>
        <w:t xml:space="preserve">, </w:t>
      </w:r>
      <w:r w:rsidR="002935DD" w:rsidRPr="009D52FD">
        <w:rPr>
          <w:rFonts w:eastAsia="Calibri" w:cs="Verdana"/>
          <w:snapToGrid w:val="0"/>
          <w:sz w:val="20"/>
          <w:szCs w:val="20"/>
          <w:lang w:val="en-US" w:eastAsia="es-ES"/>
        </w:rPr>
        <w:t>established in</w:t>
      </w:r>
      <w:r w:rsidR="009E4F6C" w:rsidRPr="009D52FD">
        <w:rPr>
          <w:rFonts w:eastAsia="Calibri" w:cs="Verdana"/>
          <w:snapToGrid w:val="0"/>
          <w:sz w:val="20"/>
          <w:szCs w:val="20"/>
          <w:lang w:val="en-US" w:eastAsia="es-ES"/>
        </w:rPr>
        <w:t xml:space="preserve"> </w:t>
      </w:r>
      <w:r w:rsidRPr="009D52FD">
        <w:rPr>
          <w:rFonts w:eastAsia="Calibri" w:cs="Verdana"/>
          <w:snapToGrid w:val="0"/>
          <w:sz w:val="20"/>
          <w:szCs w:val="20"/>
          <w:lang w:val="en-US" w:eastAsia="es-ES"/>
        </w:rPr>
        <w:t>Articles</w:t>
      </w:r>
      <w:r w:rsidR="00483040" w:rsidRPr="009D52FD">
        <w:rPr>
          <w:rFonts w:eastAsia="Calibri" w:cs="Verdana"/>
          <w:snapToGrid w:val="0"/>
          <w:sz w:val="20"/>
          <w:szCs w:val="20"/>
          <w:lang w:val="en-US" w:eastAsia="es-ES"/>
        </w:rPr>
        <w:t xml:space="preserve"> 8(1)</w:t>
      </w:r>
      <w:r w:rsidRPr="009D52FD">
        <w:rPr>
          <w:rFonts w:eastAsia="Calibri" w:cs="Verdana"/>
          <w:snapToGrid w:val="0"/>
          <w:sz w:val="20"/>
          <w:szCs w:val="20"/>
          <w:lang w:val="en-US" w:eastAsia="es-ES"/>
        </w:rPr>
        <w:t xml:space="preserve"> and</w:t>
      </w:r>
      <w:r w:rsidR="00D32B3E" w:rsidRPr="009D52FD">
        <w:rPr>
          <w:rFonts w:eastAsia="Calibri" w:cs="Verdana"/>
          <w:snapToGrid w:val="0"/>
          <w:sz w:val="20"/>
          <w:szCs w:val="20"/>
          <w:lang w:val="en-US" w:eastAsia="es-ES"/>
        </w:rPr>
        <w:t xml:space="preserve"> 25(1)</w:t>
      </w:r>
      <w:r w:rsidRPr="009D52FD">
        <w:rPr>
          <w:rFonts w:eastAsia="Calibri" w:cs="Verdana"/>
          <w:snapToGrid w:val="0"/>
          <w:sz w:val="20"/>
          <w:szCs w:val="20"/>
          <w:lang w:val="en-US" w:eastAsia="es-ES"/>
        </w:rPr>
        <w:t xml:space="preserve"> of the American Convention and Article</w:t>
      </w:r>
      <w:r w:rsidR="009E4F6C" w:rsidRPr="009D52FD">
        <w:rPr>
          <w:rFonts w:eastAsia="Calibri" w:cs="Verdana"/>
          <w:snapToGrid w:val="0"/>
          <w:sz w:val="20"/>
          <w:szCs w:val="20"/>
          <w:lang w:val="en-US" w:eastAsia="es-ES"/>
        </w:rPr>
        <w:t xml:space="preserve"> 7</w:t>
      </w:r>
      <w:r w:rsidR="002935DD" w:rsidRPr="009D52FD">
        <w:rPr>
          <w:rFonts w:eastAsia="Calibri" w:cs="Verdana"/>
          <w:snapToGrid w:val="0"/>
          <w:sz w:val="20"/>
          <w:szCs w:val="20"/>
          <w:lang w:val="en-US" w:eastAsia="es-ES"/>
        </w:rPr>
        <w:t>(</w:t>
      </w:r>
      <w:r w:rsidR="009E4F6C" w:rsidRPr="009D52FD">
        <w:rPr>
          <w:sz w:val="20"/>
          <w:szCs w:val="20"/>
          <w:lang w:val="en-US"/>
        </w:rPr>
        <w:t>a)</w:t>
      </w:r>
      <w:r w:rsidRPr="009D52FD">
        <w:rPr>
          <w:sz w:val="20"/>
          <w:szCs w:val="20"/>
          <w:lang w:val="en-US"/>
        </w:rPr>
        <w:t xml:space="preserve"> and </w:t>
      </w:r>
      <w:r w:rsidR="00252930" w:rsidRPr="009D52FD">
        <w:rPr>
          <w:sz w:val="20"/>
          <w:szCs w:val="20"/>
          <w:lang w:val="en-US"/>
        </w:rPr>
        <w:t>(</w:t>
      </w:r>
      <w:r w:rsidR="009E4F6C" w:rsidRPr="009D52FD">
        <w:rPr>
          <w:sz w:val="20"/>
          <w:szCs w:val="20"/>
          <w:lang w:val="en-US"/>
        </w:rPr>
        <w:t>b)</w:t>
      </w:r>
      <w:r w:rsidRPr="009D52FD">
        <w:rPr>
          <w:sz w:val="20"/>
          <w:szCs w:val="20"/>
          <w:lang w:val="en-US"/>
        </w:rPr>
        <w:t xml:space="preserve"> of the </w:t>
      </w:r>
      <w:r w:rsidRPr="009D52FD">
        <w:rPr>
          <w:rFonts w:eastAsia="Calibri" w:cs="Verdana"/>
          <w:snapToGrid w:val="0"/>
          <w:sz w:val="20"/>
          <w:szCs w:val="20"/>
          <w:lang w:val="en-US" w:eastAsia="es-ES"/>
        </w:rPr>
        <w:t>Convention</w:t>
      </w:r>
      <w:r w:rsidR="009E4F6C" w:rsidRPr="009D52FD">
        <w:rPr>
          <w:rFonts w:eastAsia="Calibri" w:cs="Verdana"/>
          <w:snapToGrid w:val="0"/>
          <w:sz w:val="20"/>
          <w:szCs w:val="20"/>
          <w:lang w:val="en-US" w:eastAsia="es-ES"/>
        </w:rPr>
        <w:t xml:space="preserve"> </w:t>
      </w:r>
      <w:r w:rsidR="00483040" w:rsidRPr="009D52FD">
        <w:rPr>
          <w:rFonts w:eastAsia="Calibri" w:cs="Verdana"/>
          <w:snapToGrid w:val="0"/>
          <w:sz w:val="20"/>
          <w:szCs w:val="20"/>
          <w:lang w:val="en-US" w:eastAsia="es-ES"/>
        </w:rPr>
        <w:t>of Belém</w:t>
      </w:r>
      <w:r w:rsidR="009E4F6C" w:rsidRPr="009D52FD">
        <w:rPr>
          <w:rFonts w:eastAsia="Calibri" w:cs="Verdana"/>
          <w:snapToGrid w:val="0"/>
          <w:sz w:val="20"/>
          <w:szCs w:val="20"/>
          <w:lang w:val="en-US" w:eastAsia="es-ES"/>
        </w:rPr>
        <w:t xml:space="preserve"> do Pará, </w:t>
      </w:r>
      <w:r w:rsidR="00483040" w:rsidRPr="009D52FD">
        <w:rPr>
          <w:rFonts w:eastAsia="Calibri" w:cs="Verdana"/>
          <w:snapToGrid w:val="0"/>
          <w:sz w:val="20"/>
          <w:szCs w:val="20"/>
          <w:lang w:val="en-US" w:eastAsia="es-ES"/>
        </w:rPr>
        <w:t>to the detriment of</w:t>
      </w:r>
      <w:r w:rsidR="009E4F6C" w:rsidRPr="009D52FD">
        <w:rPr>
          <w:rFonts w:eastAsia="Calibri" w:cs="Verdana"/>
          <w:snapToGrid w:val="0"/>
          <w:sz w:val="20"/>
          <w:szCs w:val="20"/>
          <w:lang w:val="en-US" w:eastAsia="es-ES"/>
        </w:rPr>
        <w:t xml:space="preserve"> Linda Loaiza López Soto, </w:t>
      </w:r>
      <w:r w:rsidR="002935DD" w:rsidRPr="009D52FD">
        <w:rPr>
          <w:rFonts w:eastAsia="Calibri" w:cs="Verdana"/>
          <w:snapToGrid w:val="0"/>
          <w:sz w:val="20"/>
          <w:szCs w:val="20"/>
          <w:lang w:val="en-US" w:eastAsia="es-ES"/>
        </w:rPr>
        <w:t>owing to the</w:t>
      </w:r>
      <w:r w:rsidR="009E4F6C" w:rsidRPr="009D52FD">
        <w:rPr>
          <w:rFonts w:eastAsia="Calibri" w:cs="Verdana"/>
          <w:snapToGrid w:val="0"/>
          <w:sz w:val="20"/>
          <w:szCs w:val="20"/>
          <w:lang w:val="en-US" w:eastAsia="es-ES"/>
        </w:rPr>
        <w:t xml:space="preserve"> “</w:t>
      </w:r>
      <w:r w:rsidR="002935DD" w:rsidRPr="009D52FD">
        <w:rPr>
          <w:rFonts w:eastAsia="Calibri" w:cs="Verdana"/>
          <w:snapToGrid w:val="0"/>
          <w:sz w:val="20"/>
          <w:szCs w:val="20"/>
          <w:lang w:val="en-US" w:eastAsia="es-ES"/>
        </w:rPr>
        <w:t xml:space="preserve">omissions and inadequate actions, as well as to </w:t>
      </w:r>
      <w:r w:rsidR="00252930" w:rsidRPr="009D52FD">
        <w:rPr>
          <w:rFonts w:eastAsia="Calibri" w:cs="Verdana"/>
          <w:snapToGrid w:val="0"/>
          <w:sz w:val="20"/>
          <w:szCs w:val="20"/>
          <w:lang w:val="en-US" w:eastAsia="es-ES"/>
        </w:rPr>
        <w:t xml:space="preserve">the </w:t>
      </w:r>
      <w:r w:rsidR="002935DD" w:rsidRPr="009D52FD">
        <w:rPr>
          <w:rFonts w:eastAsia="Calibri" w:cs="Verdana"/>
          <w:snapToGrid w:val="0"/>
          <w:sz w:val="20"/>
          <w:szCs w:val="20"/>
          <w:lang w:val="en-US" w:eastAsia="es-ES"/>
        </w:rPr>
        <w:t xml:space="preserve">unjustified delays that resulted in a failure to comply with the obligation to investigate with due diligence within a reasonable time,” as well as </w:t>
      </w:r>
      <w:r w:rsidR="00997ADF" w:rsidRPr="009D52FD">
        <w:rPr>
          <w:rFonts w:eastAsia="Calibri" w:cs="Verdana"/>
          <w:snapToGrid w:val="0"/>
          <w:sz w:val="20"/>
          <w:szCs w:val="20"/>
          <w:lang w:val="en-US" w:eastAsia="es-ES"/>
        </w:rPr>
        <w:t>the rights to</w:t>
      </w:r>
      <w:r w:rsidR="009E4F6C" w:rsidRPr="009D52FD">
        <w:rPr>
          <w:rFonts w:eastAsia="Calibri" w:cs="Verdana"/>
          <w:snapToGrid w:val="0"/>
          <w:sz w:val="20"/>
          <w:szCs w:val="20"/>
          <w:lang w:val="en-US" w:eastAsia="es-ES"/>
        </w:rPr>
        <w:t xml:space="preserve"> </w:t>
      </w:r>
      <w:r w:rsidR="00996337" w:rsidRPr="009D52FD">
        <w:rPr>
          <w:rFonts w:eastAsia="Calibri" w:cs="Verdana"/>
          <w:snapToGrid w:val="0"/>
          <w:sz w:val="20"/>
          <w:szCs w:val="20"/>
          <w:lang w:val="en-US" w:eastAsia="es-ES"/>
        </w:rPr>
        <w:t>judicial guarantees</w:t>
      </w:r>
      <w:r w:rsidR="009E4F6C" w:rsidRPr="009D52FD">
        <w:rPr>
          <w:rFonts w:eastAsia="Calibri" w:cs="Verdana"/>
          <w:snapToGrid w:val="0"/>
          <w:sz w:val="20"/>
          <w:szCs w:val="20"/>
          <w:lang w:val="en-US" w:eastAsia="es-ES"/>
        </w:rPr>
        <w:t xml:space="preserve">, </w:t>
      </w:r>
      <w:r w:rsidR="00996337" w:rsidRPr="009D52FD">
        <w:rPr>
          <w:rFonts w:eastAsia="Calibri" w:cs="Verdana"/>
          <w:snapToGrid w:val="0"/>
          <w:sz w:val="20"/>
          <w:szCs w:val="20"/>
          <w:lang w:val="en-US" w:eastAsia="es-ES"/>
        </w:rPr>
        <w:t>judicial protection</w:t>
      </w:r>
      <w:r w:rsidR="009E4F6C" w:rsidRPr="009D52FD">
        <w:rPr>
          <w:rFonts w:eastAsia="Calibri" w:cs="Verdana"/>
          <w:snapToGrid w:val="0"/>
          <w:sz w:val="20"/>
          <w:szCs w:val="20"/>
          <w:lang w:val="en-US" w:eastAsia="es-ES"/>
        </w:rPr>
        <w:t xml:space="preserve">, </w:t>
      </w:r>
      <w:r w:rsidR="00997ADF" w:rsidRPr="009D52FD">
        <w:rPr>
          <w:rFonts w:eastAsia="Calibri" w:cs="Verdana"/>
          <w:snapToGrid w:val="0"/>
          <w:sz w:val="20"/>
          <w:szCs w:val="20"/>
          <w:lang w:val="en-US" w:eastAsia="es-ES"/>
        </w:rPr>
        <w:t>personal integrity</w:t>
      </w:r>
      <w:r w:rsidR="009E4F6C" w:rsidRPr="009D52FD">
        <w:rPr>
          <w:rFonts w:eastAsia="Calibri" w:cs="Verdana"/>
          <w:snapToGrid w:val="0"/>
          <w:sz w:val="20"/>
          <w:szCs w:val="20"/>
          <w:lang w:val="en-US" w:eastAsia="es-ES"/>
        </w:rPr>
        <w:t xml:space="preserve">, </w:t>
      </w:r>
      <w:r w:rsidR="00701F24" w:rsidRPr="009D52FD">
        <w:rPr>
          <w:rFonts w:eastAsia="Calibri" w:cs="Verdana"/>
          <w:snapToGrid w:val="0"/>
          <w:sz w:val="20"/>
          <w:szCs w:val="20"/>
          <w:lang w:val="en-US" w:eastAsia="es-ES"/>
        </w:rPr>
        <w:t>privacy</w:t>
      </w:r>
      <w:r w:rsidR="00252930" w:rsidRPr="009D52FD">
        <w:rPr>
          <w:rFonts w:eastAsia="Calibri" w:cs="Verdana"/>
          <w:snapToGrid w:val="0"/>
          <w:sz w:val="20"/>
          <w:szCs w:val="20"/>
          <w:lang w:val="en-US" w:eastAsia="es-ES"/>
        </w:rPr>
        <w:t>,</w:t>
      </w:r>
      <w:r w:rsidR="009E4F6C" w:rsidRPr="009D52FD">
        <w:rPr>
          <w:rFonts w:eastAsia="Calibri" w:cs="Verdana"/>
          <w:snapToGrid w:val="0"/>
          <w:sz w:val="20"/>
          <w:szCs w:val="20"/>
          <w:lang w:val="en-US" w:eastAsia="es-ES"/>
        </w:rPr>
        <w:t xml:space="preserve"> </w:t>
      </w:r>
      <w:r w:rsidR="00701F24" w:rsidRPr="009D52FD">
        <w:rPr>
          <w:rFonts w:eastAsia="Calibri" w:cs="Verdana"/>
          <w:snapToGrid w:val="0"/>
          <w:sz w:val="20"/>
          <w:szCs w:val="20"/>
          <w:lang w:val="en-US" w:eastAsia="es-ES"/>
        </w:rPr>
        <w:t>and equality and non-</w:t>
      </w:r>
      <w:r w:rsidR="00AE580F" w:rsidRPr="009D52FD">
        <w:rPr>
          <w:rFonts w:eastAsia="Calibri" w:cs="Verdana"/>
          <w:snapToGrid w:val="0"/>
          <w:sz w:val="20"/>
          <w:szCs w:val="20"/>
          <w:lang w:val="en-US" w:eastAsia="es-ES"/>
        </w:rPr>
        <w:t>discrimination</w:t>
      </w:r>
      <w:r w:rsidR="009E4F6C" w:rsidRPr="009D52FD">
        <w:rPr>
          <w:rFonts w:eastAsia="Calibri" w:cs="Verdana"/>
          <w:snapToGrid w:val="0"/>
          <w:sz w:val="20"/>
          <w:szCs w:val="20"/>
          <w:lang w:val="en-US" w:eastAsia="es-ES"/>
        </w:rPr>
        <w:t xml:space="preserve">, </w:t>
      </w:r>
      <w:r w:rsidR="002935DD" w:rsidRPr="009D52FD">
        <w:rPr>
          <w:rFonts w:eastAsia="Calibri" w:cs="Verdana"/>
          <w:snapToGrid w:val="0"/>
          <w:sz w:val="20"/>
          <w:szCs w:val="20"/>
          <w:lang w:val="en-US" w:eastAsia="es-ES"/>
        </w:rPr>
        <w:t>established in</w:t>
      </w:r>
      <w:r w:rsidR="009E4F6C" w:rsidRPr="009D52FD">
        <w:rPr>
          <w:rFonts w:eastAsia="Calibri" w:cs="Verdana"/>
          <w:snapToGrid w:val="0"/>
          <w:sz w:val="20"/>
          <w:szCs w:val="20"/>
          <w:lang w:val="en-US" w:eastAsia="es-ES"/>
        </w:rPr>
        <w:t xml:space="preserve"> </w:t>
      </w:r>
      <w:r w:rsidRPr="009D52FD">
        <w:rPr>
          <w:rFonts w:eastAsia="Calibri" w:cs="Verdana"/>
          <w:snapToGrid w:val="0"/>
          <w:sz w:val="20"/>
          <w:szCs w:val="20"/>
          <w:lang w:val="en-US" w:eastAsia="es-ES"/>
        </w:rPr>
        <w:t>Articles</w:t>
      </w:r>
      <w:r w:rsidR="00483040" w:rsidRPr="009D52FD">
        <w:rPr>
          <w:rFonts w:eastAsia="Calibri" w:cs="Verdana"/>
          <w:snapToGrid w:val="0"/>
          <w:sz w:val="20"/>
          <w:szCs w:val="20"/>
          <w:lang w:val="en-US" w:eastAsia="es-ES"/>
        </w:rPr>
        <w:t xml:space="preserve"> 8(1)</w:t>
      </w:r>
      <w:r w:rsidR="009E4F6C" w:rsidRPr="009D52FD">
        <w:rPr>
          <w:rFonts w:eastAsia="Calibri" w:cs="Verdana"/>
          <w:snapToGrid w:val="0"/>
          <w:sz w:val="20"/>
          <w:szCs w:val="20"/>
          <w:lang w:val="en-US" w:eastAsia="es-ES"/>
        </w:rPr>
        <w:t>,</w:t>
      </w:r>
      <w:r w:rsidR="00D32B3E" w:rsidRPr="009D52FD">
        <w:rPr>
          <w:rFonts w:eastAsia="Calibri" w:cs="Verdana"/>
          <w:snapToGrid w:val="0"/>
          <w:sz w:val="20"/>
          <w:szCs w:val="20"/>
          <w:lang w:val="en-US" w:eastAsia="es-ES"/>
        </w:rPr>
        <w:t xml:space="preserve"> 25(1)</w:t>
      </w:r>
      <w:r w:rsidR="009E4F6C" w:rsidRPr="009D52FD">
        <w:rPr>
          <w:rFonts w:eastAsia="Calibri" w:cs="Verdana"/>
          <w:snapToGrid w:val="0"/>
          <w:sz w:val="20"/>
          <w:szCs w:val="20"/>
          <w:lang w:val="en-US" w:eastAsia="es-ES"/>
        </w:rPr>
        <w:t>,</w:t>
      </w:r>
      <w:r w:rsidR="00483040" w:rsidRPr="009D52FD">
        <w:rPr>
          <w:rFonts w:eastAsia="Calibri" w:cs="Verdana"/>
          <w:snapToGrid w:val="0"/>
          <w:sz w:val="20"/>
          <w:szCs w:val="20"/>
          <w:lang w:val="en-US" w:eastAsia="es-ES"/>
        </w:rPr>
        <w:t xml:space="preserve"> 5(1)</w:t>
      </w:r>
      <w:r w:rsidR="009E4F6C" w:rsidRPr="009D52FD">
        <w:rPr>
          <w:rFonts w:eastAsia="Calibri" w:cs="Verdana"/>
          <w:snapToGrid w:val="0"/>
          <w:sz w:val="20"/>
          <w:szCs w:val="20"/>
          <w:lang w:val="en-US" w:eastAsia="es-ES"/>
        </w:rPr>
        <w:t>, 11</w:t>
      </w:r>
      <w:r w:rsidRPr="009D52FD">
        <w:rPr>
          <w:rFonts w:eastAsia="Calibri" w:cs="Verdana"/>
          <w:snapToGrid w:val="0"/>
          <w:sz w:val="20"/>
          <w:szCs w:val="20"/>
          <w:lang w:val="en-US" w:eastAsia="es-ES"/>
        </w:rPr>
        <w:t xml:space="preserve"> and </w:t>
      </w:r>
      <w:r w:rsidR="009E4F6C" w:rsidRPr="009D52FD">
        <w:rPr>
          <w:rFonts w:eastAsia="Calibri" w:cs="Verdana"/>
          <w:snapToGrid w:val="0"/>
          <w:sz w:val="20"/>
          <w:szCs w:val="20"/>
          <w:lang w:val="en-US" w:eastAsia="es-ES"/>
        </w:rPr>
        <w:t>24</w:t>
      </w:r>
      <w:r w:rsidRPr="009D52FD">
        <w:rPr>
          <w:rFonts w:eastAsia="Calibri" w:cs="Verdana"/>
          <w:snapToGrid w:val="0"/>
          <w:sz w:val="20"/>
          <w:szCs w:val="20"/>
          <w:lang w:val="en-US" w:eastAsia="es-ES"/>
        </w:rPr>
        <w:t xml:space="preserve"> of the American Convention</w:t>
      </w:r>
      <w:r w:rsidR="009E4F6C" w:rsidRPr="009D52FD">
        <w:rPr>
          <w:rFonts w:eastAsia="Calibri" w:cs="Verdana"/>
          <w:snapToGrid w:val="0"/>
          <w:sz w:val="20"/>
          <w:szCs w:val="20"/>
          <w:lang w:val="en-US" w:eastAsia="es-ES"/>
        </w:rPr>
        <w:t xml:space="preserve">, </w:t>
      </w:r>
      <w:r w:rsidR="00997ADF" w:rsidRPr="009D52FD">
        <w:rPr>
          <w:rFonts w:eastAsia="Calibri" w:cs="Verdana"/>
          <w:snapToGrid w:val="0"/>
          <w:sz w:val="20"/>
          <w:szCs w:val="20"/>
          <w:lang w:val="en-US" w:eastAsia="es-ES"/>
        </w:rPr>
        <w:t>in relation to</w:t>
      </w:r>
      <w:r w:rsidR="002935DD" w:rsidRPr="009D52FD">
        <w:rPr>
          <w:rFonts w:eastAsia="Calibri" w:cs="Verdana"/>
          <w:snapToGrid w:val="0"/>
          <w:sz w:val="20"/>
          <w:szCs w:val="20"/>
          <w:lang w:val="en-US" w:eastAsia="es-ES"/>
        </w:rPr>
        <w:t xml:space="preserve"> the obligation to adopt domestic legal provisions</w:t>
      </w:r>
      <w:r w:rsidR="009E4F6C" w:rsidRPr="009D52FD">
        <w:rPr>
          <w:rFonts w:eastAsia="Calibri" w:cs="Verdana"/>
          <w:snapToGrid w:val="0"/>
          <w:sz w:val="20"/>
          <w:szCs w:val="20"/>
          <w:lang w:val="en-US" w:eastAsia="es-ES"/>
        </w:rPr>
        <w:t xml:space="preserve"> </w:t>
      </w:r>
      <w:r w:rsidR="007D3D4F" w:rsidRPr="009D52FD">
        <w:rPr>
          <w:rFonts w:eastAsia="Calibri" w:cs="Verdana"/>
          <w:snapToGrid w:val="0"/>
          <w:sz w:val="20"/>
          <w:szCs w:val="20"/>
          <w:lang w:val="en-US" w:eastAsia="es-ES"/>
        </w:rPr>
        <w:t>recognized in</w:t>
      </w:r>
      <w:r w:rsidR="009E4F6C" w:rsidRPr="009D52FD">
        <w:rPr>
          <w:rFonts w:eastAsia="Calibri" w:cs="Verdana"/>
          <w:snapToGrid w:val="0"/>
          <w:sz w:val="20"/>
          <w:szCs w:val="20"/>
          <w:lang w:val="en-US" w:eastAsia="es-ES"/>
        </w:rPr>
        <w:t xml:space="preserve"> </w:t>
      </w:r>
      <w:r w:rsidRPr="009D52FD">
        <w:rPr>
          <w:rFonts w:eastAsia="Calibri" w:cs="Verdana"/>
          <w:snapToGrid w:val="0"/>
          <w:sz w:val="20"/>
          <w:szCs w:val="20"/>
          <w:lang w:val="en-US" w:eastAsia="es-ES"/>
        </w:rPr>
        <w:t>Article</w:t>
      </w:r>
      <w:r w:rsidR="009E4F6C" w:rsidRPr="009D52FD">
        <w:rPr>
          <w:rFonts w:eastAsia="Calibri" w:cs="Verdana"/>
          <w:snapToGrid w:val="0"/>
          <w:sz w:val="20"/>
          <w:szCs w:val="20"/>
          <w:lang w:val="en-US" w:eastAsia="es-ES"/>
        </w:rPr>
        <w:t xml:space="preserve"> 2 </w:t>
      </w:r>
      <w:r w:rsidR="00483040" w:rsidRPr="009D52FD">
        <w:rPr>
          <w:rFonts w:eastAsia="Calibri" w:cs="Verdana"/>
          <w:snapToGrid w:val="0"/>
          <w:sz w:val="20"/>
          <w:szCs w:val="20"/>
          <w:lang w:val="en-US" w:eastAsia="es-ES"/>
        </w:rPr>
        <w:t>of this instrument</w:t>
      </w:r>
      <w:r w:rsidR="009E4F6C" w:rsidRPr="009D52FD">
        <w:rPr>
          <w:rFonts w:eastAsia="Calibri" w:cs="Verdana"/>
          <w:snapToGrid w:val="0"/>
          <w:sz w:val="20"/>
          <w:szCs w:val="20"/>
          <w:lang w:val="en-US" w:eastAsia="es-ES"/>
        </w:rPr>
        <w:t xml:space="preserve">, </w:t>
      </w:r>
      <w:r w:rsidR="00252930" w:rsidRPr="009D52FD">
        <w:rPr>
          <w:rFonts w:eastAsia="Calibri" w:cs="Verdana"/>
          <w:snapToGrid w:val="0"/>
          <w:sz w:val="20"/>
          <w:szCs w:val="20"/>
          <w:lang w:val="en-US" w:eastAsia="es-ES"/>
        </w:rPr>
        <w:t>in view of the fact that</w:t>
      </w:r>
      <w:r w:rsidR="009E4F6C" w:rsidRPr="009D52FD">
        <w:rPr>
          <w:rFonts w:eastAsia="Calibri" w:cs="Verdana"/>
          <w:snapToGrid w:val="0"/>
          <w:sz w:val="20"/>
          <w:szCs w:val="20"/>
          <w:lang w:val="en-US" w:eastAsia="es-ES"/>
        </w:rPr>
        <w:t xml:space="preserve"> Linda Loaiza López Soto “</w:t>
      </w:r>
      <w:r w:rsidR="002935DD" w:rsidRPr="009D52FD">
        <w:rPr>
          <w:rFonts w:eastAsia="Calibri" w:cs="Verdana"/>
          <w:snapToGrid w:val="0"/>
          <w:sz w:val="20"/>
          <w:szCs w:val="20"/>
          <w:lang w:val="en-US" w:eastAsia="es-ES"/>
        </w:rPr>
        <w:t xml:space="preserve">did not have access to justice in equal conditions, </w:t>
      </w:r>
      <w:r w:rsidR="00252930" w:rsidRPr="009D52FD">
        <w:rPr>
          <w:rFonts w:eastAsia="Calibri" w:cs="Verdana"/>
          <w:snapToGrid w:val="0"/>
          <w:sz w:val="20"/>
          <w:szCs w:val="20"/>
          <w:lang w:val="en-US" w:eastAsia="es-ES"/>
        </w:rPr>
        <w:t>because</w:t>
      </w:r>
      <w:r w:rsidR="002935DD" w:rsidRPr="009D52FD">
        <w:rPr>
          <w:rFonts w:eastAsia="Calibri" w:cs="Verdana"/>
          <w:snapToGrid w:val="0"/>
          <w:sz w:val="20"/>
          <w:szCs w:val="20"/>
          <w:lang w:val="en-US" w:eastAsia="es-ES"/>
        </w:rPr>
        <w:t xml:space="preserve"> she received treatment that was inappropriate for her condition </w:t>
      </w:r>
      <w:r w:rsidR="00252930" w:rsidRPr="009D52FD">
        <w:rPr>
          <w:rFonts w:eastAsia="Calibri" w:cs="Verdana"/>
          <w:snapToGrid w:val="0"/>
          <w:sz w:val="20"/>
          <w:szCs w:val="20"/>
          <w:lang w:val="en-US" w:eastAsia="es-ES"/>
        </w:rPr>
        <w:t>as a</w:t>
      </w:r>
      <w:r w:rsidR="002935DD" w:rsidRPr="009D52FD">
        <w:rPr>
          <w:rFonts w:eastAsia="Calibri" w:cs="Verdana"/>
          <w:snapToGrid w:val="0"/>
          <w:sz w:val="20"/>
          <w:szCs w:val="20"/>
          <w:lang w:val="en-US" w:eastAsia="es-ES"/>
        </w:rPr>
        <w:t xml:space="preserve"> victim of</w:t>
      </w:r>
      <w:r w:rsidR="002935DD" w:rsidRPr="009D52FD">
        <w:rPr>
          <w:rFonts w:cs="Verdana"/>
          <w:sz w:val="20"/>
          <w:szCs w:val="20"/>
          <w:lang w:val="en-US"/>
        </w:rPr>
        <w:t xml:space="preserve"> </w:t>
      </w:r>
      <w:r w:rsidR="005935CA" w:rsidRPr="009D52FD">
        <w:rPr>
          <w:rFonts w:eastAsia="Calibri" w:cs="Verdana"/>
          <w:snapToGrid w:val="0"/>
          <w:sz w:val="20"/>
          <w:szCs w:val="20"/>
          <w:lang w:val="en-US" w:eastAsia="es-ES"/>
        </w:rPr>
        <w:t>violence against women</w:t>
      </w:r>
      <w:r w:rsidR="002935DD" w:rsidRPr="009D52FD">
        <w:rPr>
          <w:rFonts w:eastAsia="Calibri" w:cs="Verdana"/>
          <w:snapToGrid w:val="0"/>
          <w:sz w:val="20"/>
          <w:szCs w:val="20"/>
          <w:lang w:val="en-US" w:eastAsia="es-ES"/>
        </w:rPr>
        <w:t>.</w:t>
      </w:r>
      <w:r w:rsidR="003C23AB" w:rsidRPr="009D52FD">
        <w:rPr>
          <w:rFonts w:eastAsia="Calibri" w:cs="Verdana"/>
          <w:snapToGrid w:val="0"/>
          <w:sz w:val="20"/>
          <w:szCs w:val="20"/>
          <w:lang w:val="en-US" w:eastAsia="es-ES"/>
        </w:rPr>
        <w:t>”</w:t>
      </w:r>
    </w:p>
    <w:p w14:paraId="03DC7F2C" w14:textId="77777777" w:rsidR="0087515D" w:rsidRPr="009D52FD" w:rsidRDefault="0087515D" w:rsidP="0087515D">
      <w:pPr>
        <w:widowControl/>
        <w:tabs>
          <w:tab w:val="left" w:pos="567"/>
        </w:tabs>
        <w:adjustRightInd/>
        <w:spacing w:line="240" w:lineRule="auto"/>
        <w:textAlignment w:val="auto"/>
        <w:rPr>
          <w:rFonts w:cs="Verdana"/>
          <w:sz w:val="20"/>
          <w:szCs w:val="20"/>
          <w:lang w:val="en-US"/>
        </w:rPr>
      </w:pPr>
    </w:p>
    <w:p w14:paraId="3D076193" w14:textId="5ED09211" w:rsidR="00F34BA9" w:rsidRPr="009D52FD" w:rsidRDefault="002935DD" w:rsidP="00B11D87">
      <w:pPr>
        <w:widowControl/>
        <w:numPr>
          <w:ilvl w:val="0"/>
          <w:numId w:val="1"/>
        </w:numPr>
        <w:tabs>
          <w:tab w:val="left" w:pos="567"/>
        </w:tabs>
        <w:adjustRightInd/>
        <w:spacing w:line="240" w:lineRule="auto"/>
        <w:ind w:left="0" w:firstLine="0"/>
        <w:textAlignment w:val="auto"/>
        <w:rPr>
          <w:rFonts w:cs="Verdana"/>
          <w:sz w:val="20"/>
          <w:szCs w:val="20"/>
          <w:lang w:val="en-US"/>
        </w:rPr>
      </w:pPr>
      <w:r w:rsidRPr="009D52FD">
        <w:rPr>
          <w:rFonts w:cs="Verdana"/>
          <w:sz w:val="20"/>
          <w:szCs w:val="20"/>
          <w:lang w:val="en-US"/>
        </w:rPr>
        <w:t>The case file reveals that there w</w:t>
      </w:r>
      <w:r w:rsidR="000E4F2D" w:rsidRPr="009D52FD">
        <w:rPr>
          <w:rFonts w:cs="Verdana"/>
          <w:sz w:val="20"/>
          <w:szCs w:val="20"/>
          <w:lang w:val="en-US"/>
        </w:rPr>
        <w:t>ere</w:t>
      </w:r>
      <w:r w:rsidRPr="009D52FD">
        <w:rPr>
          <w:rFonts w:cs="Verdana"/>
          <w:sz w:val="20"/>
          <w:szCs w:val="20"/>
          <w:lang w:val="en-US"/>
        </w:rPr>
        <w:t xml:space="preserve"> repeated </w:t>
      </w:r>
      <w:r w:rsidR="000E4F2D" w:rsidRPr="009D52FD">
        <w:rPr>
          <w:rFonts w:cs="Verdana"/>
          <w:sz w:val="20"/>
          <w:szCs w:val="20"/>
          <w:lang w:val="en-US"/>
        </w:rPr>
        <w:t>postponement</w:t>
      </w:r>
      <w:r w:rsidRPr="009D52FD">
        <w:rPr>
          <w:rFonts w:cs="Verdana"/>
          <w:sz w:val="20"/>
          <w:szCs w:val="20"/>
          <w:lang w:val="en-US"/>
        </w:rPr>
        <w:t>s</w:t>
      </w:r>
      <w:r w:rsidR="000E4F2D" w:rsidRPr="009D52FD">
        <w:rPr>
          <w:rFonts w:cs="Verdana"/>
          <w:sz w:val="20"/>
          <w:szCs w:val="20"/>
          <w:lang w:val="en-US"/>
        </w:rPr>
        <w:t xml:space="preserve"> and an unjustified delay</w:t>
      </w:r>
      <w:r w:rsidRPr="009D52FD">
        <w:rPr>
          <w:rFonts w:cs="Verdana"/>
          <w:sz w:val="20"/>
          <w:szCs w:val="20"/>
          <w:lang w:val="en-US"/>
        </w:rPr>
        <w:t xml:space="preserve"> in the </w:t>
      </w:r>
      <w:r w:rsidR="000E4F2D" w:rsidRPr="009D52FD">
        <w:rPr>
          <w:rFonts w:cs="Verdana"/>
          <w:sz w:val="20"/>
          <w:szCs w:val="20"/>
          <w:lang w:val="en-US"/>
        </w:rPr>
        <w:t>judicial</w:t>
      </w:r>
      <w:r w:rsidRPr="009D52FD">
        <w:rPr>
          <w:rFonts w:cs="Verdana"/>
          <w:sz w:val="20"/>
          <w:szCs w:val="20"/>
          <w:lang w:val="en-US"/>
        </w:rPr>
        <w:t xml:space="preserve"> proceedings. In addition, the Court has noted </w:t>
      </w:r>
      <w:r w:rsidR="000E4F2D" w:rsidRPr="009D52FD">
        <w:rPr>
          <w:rFonts w:cs="Verdana"/>
          <w:sz w:val="20"/>
          <w:szCs w:val="20"/>
          <w:lang w:val="en-US"/>
        </w:rPr>
        <w:t>various</w:t>
      </w:r>
      <w:r w:rsidRPr="009D52FD">
        <w:rPr>
          <w:rFonts w:cs="Verdana"/>
          <w:sz w:val="20"/>
          <w:szCs w:val="20"/>
          <w:lang w:val="en-US"/>
        </w:rPr>
        <w:t xml:space="preserve"> irregularities in the initial investigation procedures. These included: (a) a luminol test was no</w:t>
      </w:r>
      <w:r w:rsidR="000E4F2D" w:rsidRPr="009D52FD">
        <w:rPr>
          <w:rFonts w:cs="Verdana"/>
          <w:sz w:val="20"/>
          <w:szCs w:val="20"/>
          <w:lang w:val="en-US"/>
        </w:rPr>
        <w:t>t</w:t>
      </w:r>
      <w:r w:rsidRPr="009D52FD">
        <w:rPr>
          <w:rFonts w:cs="Verdana"/>
          <w:sz w:val="20"/>
          <w:szCs w:val="20"/>
          <w:lang w:val="en-US"/>
        </w:rPr>
        <w:t xml:space="preserve"> conducted to establish whether blood was present at the scene of the crime; (b) the blood and the blood stains located in the apartment from which </w:t>
      </w:r>
      <w:r w:rsidRPr="009D52FD">
        <w:rPr>
          <w:rFonts w:eastAsiaTheme="minorHAnsi" w:cstheme="minorBidi"/>
          <w:sz w:val="20"/>
          <w:szCs w:val="20"/>
          <w:lang w:val="en-US" w:eastAsia="en-US"/>
        </w:rPr>
        <w:t xml:space="preserve">Linda Loaiza López Soto was rescued were not photographed, or subjected to legal recognition or forensic appraisal, or </w:t>
      </w:r>
      <w:r w:rsidR="000E4F2D" w:rsidRPr="009D52FD">
        <w:rPr>
          <w:rFonts w:eastAsiaTheme="minorHAnsi" w:cstheme="minorBidi"/>
          <w:sz w:val="20"/>
          <w:szCs w:val="20"/>
          <w:lang w:val="en-US" w:eastAsia="en-US"/>
        </w:rPr>
        <w:t>to</w:t>
      </w:r>
      <w:r w:rsidRPr="009D52FD">
        <w:rPr>
          <w:rFonts w:eastAsiaTheme="minorHAnsi" w:cstheme="minorBidi"/>
          <w:sz w:val="20"/>
          <w:szCs w:val="20"/>
          <w:lang w:val="en-US" w:eastAsia="en-US"/>
        </w:rPr>
        <w:t xml:space="preserve"> comparative DNA testing; (c) </w:t>
      </w:r>
      <w:r w:rsidR="00B11D87" w:rsidRPr="009D52FD">
        <w:rPr>
          <w:rFonts w:eastAsiaTheme="minorHAnsi" w:cstheme="minorBidi"/>
          <w:sz w:val="20"/>
          <w:szCs w:val="20"/>
          <w:lang w:val="en-US" w:eastAsia="en-US"/>
        </w:rPr>
        <w:t>blood samples were not taken from</w:t>
      </w:r>
      <w:r w:rsidR="00B11D87" w:rsidRPr="009D52FD">
        <w:rPr>
          <w:rFonts w:cs="Verdana"/>
          <w:sz w:val="20"/>
          <w:szCs w:val="20"/>
          <w:lang w:val="en-US"/>
        </w:rPr>
        <w:t xml:space="preserve"> either </w:t>
      </w:r>
      <w:r w:rsidR="00073AD4" w:rsidRPr="009D52FD">
        <w:rPr>
          <w:rFonts w:eastAsiaTheme="minorHAnsi" w:cstheme="minorBidi"/>
          <w:sz w:val="20"/>
          <w:szCs w:val="20"/>
          <w:lang w:val="en-US" w:eastAsia="en-US"/>
        </w:rPr>
        <w:t xml:space="preserve">Luis </w:t>
      </w:r>
      <w:r w:rsidR="006141EE" w:rsidRPr="009D52FD">
        <w:rPr>
          <w:rFonts w:eastAsiaTheme="minorHAnsi" w:cstheme="minorBidi"/>
          <w:sz w:val="20"/>
          <w:szCs w:val="20"/>
          <w:lang w:val="en-US" w:eastAsia="en-US"/>
        </w:rPr>
        <w:t xml:space="preserve">Antonio </w:t>
      </w:r>
      <w:r w:rsidR="00073AD4" w:rsidRPr="009D52FD">
        <w:rPr>
          <w:rFonts w:eastAsiaTheme="minorHAnsi" w:cstheme="minorBidi"/>
          <w:sz w:val="20"/>
          <w:szCs w:val="20"/>
          <w:lang w:val="en-US" w:eastAsia="en-US"/>
        </w:rPr>
        <w:t xml:space="preserve">Carrera Almoina </w:t>
      </w:r>
      <w:r w:rsidR="00B11D87" w:rsidRPr="009D52FD">
        <w:rPr>
          <w:rFonts w:eastAsiaTheme="minorHAnsi" w:cstheme="minorBidi"/>
          <w:sz w:val="20"/>
          <w:szCs w:val="20"/>
          <w:lang w:val="en-US" w:eastAsia="en-US"/>
        </w:rPr>
        <w:t>or</w:t>
      </w:r>
      <w:r w:rsidR="00073AD4" w:rsidRPr="009D52FD">
        <w:rPr>
          <w:rFonts w:eastAsiaTheme="minorHAnsi" w:cstheme="minorBidi"/>
          <w:sz w:val="20"/>
          <w:szCs w:val="20"/>
          <w:lang w:val="en-US" w:eastAsia="en-US"/>
        </w:rPr>
        <w:t xml:space="preserve"> Linda Loaiza López Soto </w:t>
      </w:r>
      <w:r w:rsidR="00B11D87" w:rsidRPr="009D52FD">
        <w:rPr>
          <w:rFonts w:eastAsiaTheme="minorHAnsi" w:cstheme="minorBidi"/>
          <w:sz w:val="20"/>
          <w:szCs w:val="20"/>
          <w:lang w:val="en-US" w:eastAsia="en-US"/>
        </w:rPr>
        <w:t>to compare them to the samples collected; also, the semen was not analyzed to determine whether it belonged to the accused or to another person; (d) the chain of custody record w</w:t>
      </w:r>
      <w:r w:rsidR="000E4F2D" w:rsidRPr="009D52FD">
        <w:rPr>
          <w:rFonts w:eastAsiaTheme="minorHAnsi" w:cstheme="minorBidi"/>
          <w:sz w:val="20"/>
          <w:szCs w:val="20"/>
          <w:lang w:val="en-US" w:eastAsia="en-US"/>
        </w:rPr>
        <w:t>as</w:t>
      </w:r>
      <w:r w:rsidR="00B11D87" w:rsidRPr="009D52FD">
        <w:rPr>
          <w:rFonts w:eastAsiaTheme="minorHAnsi" w:cstheme="minorBidi"/>
          <w:sz w:val="20"/>
          <w:szCs w:val="20"/>
          <w:lang w:val="en-US" w:eastAsia="en-US"/>
        </w:rPr>
        <w:t xml:space="preserve"> not </w:t>
      </w:r>
      <w:r w:rsidR="000E4F2D" w:rsidRPr="009D52FD">
        <w:rPr>
          <w:rFonts w:eastAsiaTheme="minorHAnsi" w:cstheme="minorBidi"/>
          <w:sz w:val="20"/>
          <w:szCs w:val="20"/>
          <w:lang w:val="en-US" w:eastAsia="en-US"/>
        </w:rPr>
        <w:t>completed</w:t>
      </w:r>
      <w:r w:rsidR="00B11D87" w:rsidRPr="009D52FD">
        <w:rPr>
          <w:rFonts w:eastAsiaTheme="minorHAnsi" w:cstheme="minorBidi"/>
          <w:sz w:val="20"/>
          <w:szCs w:val="20"/>
          <w:lang w:val="en-US" w:eastAsia="en-US"/>
        </w:rPr>
        <w:t xml:space="preserve"> appropriately,</w:t>
      </w:r>
      <w:r w:rsidR="00073AD4" w:rsidRPr="009D52FD">
        <w:rPr>
          <w:rFonts w:eastAsiaTheme="minorHAnsi" w:cstheme="minorBidi"/>
          <w:sz w:val="20"/>
          <w:szCs w:val="20"/>
          <w:vertAlign w:val="superscript"/>
          <w:lang w:val="en-US" w:eastAsia="en-US"/>
        </w:rPr>
        <w:footnoteReference w:id="301"/>
      </w:r>
      <w:r w:rsidR="003630BB" w:rsidRPr="009D52FD">
        <w:rPr>
          <w:rFonts w:eastAsiaTheme="minorHAnsi" w:cstheme="minorBidi"/>
          <w:sz w:val="20"/>
          <w:szCs w:val="20"/>
          <w:lang w:val="en-US" w:eastAsia="en-US"/>
        </w:rPr>
        <w:t xml:space="preserve"> and </w:t>
      </w:r>
      <w:r w:rsidR="00B11D87" w:rsidRPr="009D52FD">
        <w:rPr>
          <w:rFonts w:eastAsiaTheme="minorHAnsi" w:cstheme="minorBidi"/>
          <w:sz w:val="20"/>
          <w:szCs w:val="20"/>
          <w:lang w:val="en-US" w:eastAsia="en-US"/>
        </w:rPr>
        <w:t>(</w:t>
      </w:r>
      <w:r w:rsidR="00073AD4" w:rsidRPr="009D52FD">
        <w:rPr>
          <w:rFonts w:eastAsiaTheme="minorHAnsi" w:cstheme="minorBidi"/>
          <w:sz w:val="20"/>
          <w:szCs w:val="20"/>
          <w:lang w:val="en-US" w:eastAsia="en-US"/>
        </w:rPr>
        <w:t xml:space="preserve">e) </w:t>
      </w:r>
      <w:r w:rsidR="00B11D87" w:rsidRPr="009D52FD">
        <w:rPr>
          <w:rFonts w:eastAsiaTheme="minorHAnsi" w:cstheme="minorBidi"/>
          <w:sz w:val="20"/>
          <w:szCs w:val="20"/>
          <w:lang w:val="en-US" w:eastAsia="en-US"/>
        </w:rPr>
        <w:t xml:space="preserve">the order given by the Public Prosecution Service to seal the apartment was not complied with; consequently, the </w:t>
      </w:r>
      <w:r w:rsidR="000E4F2D" w:rsidRPr="009D52FD">
        <w:rPr>
          <w:rFonts w:eastAsiaTheme="minorHAnsi" w:cstheme="minorBidi"/>
          <w:sz w:val="20"/>
          <w:szCs w:val="20"/>
          <w:lang w:val="en-US" w:eastAsia="en-US"/>
        </w:rPr>
        <w:t xml:space="preserve">crime </w:t>
      </w:r>
      <w:r w:rsidR="00B11D87" w:rsidRPr="009D52FD">
        <w:rPr>
          <w:rFonts w:eastAsiaTheme="minorHAnsi" w:cstheme="minorBidi"/>
          <w:sz w:val="20"/>
          <w:szCs w:val="20"/>
          <w:lang w:val="en-US" w:eastAsia="en-US"/>
        </w:rPr>
        <w:t xml:space="preserve">scene was altered and </w:t>
      </w:r>
      <w:r w:rsidR="000E4F2D" w:rsidRPr="009D52FD">
        <w:rPr>
          <w:rFonts w:eastAsiaTheme="minorHAnsi" w:cstheme="minorBidi"/>
          <w:sz w:val="20"/>
          <w:szCs w:val="20"/>
          <w:lang w:val="en-US" w:eastAsia="en-US"/>
        </w:rPr>
        <w:t xml:space="preserve">it </w:t>
      </w:r>
      <w:r w:rsidR="00B11D87" w:rsidRPr="009D52FD">
        <w:rPr>
          <w:rFonts w:eastAsiaTheme="minorHAnsi" w:cstheme="minorBidi"/>
          <w:sz w:val="20"/>
          <w:szCs w:val="20"/>
          <w:lang w:val="en-US" w:eastAsia="en-US"/>
        </w:rPr>
        <w:t>was not possible to conduct any subsequent procedures in relation to th</w:t>
      </w:r>
      <w:r w:rsidR="000E4F2D" w:rsidRPr="009D52FD">
        <w:rPr>
          <w:rFonts w:eastAsiaTheme="minorHAnsi" w:cstheme="minorBidi"/>
          <w:sz w:val="20"/>
          <w:szCs w:val="20"/>
          <w:lang w:val="en-US" w:eastAsia="en-US"/>
        </w:rPr>
        <w:t>e</w:t>
      </w:r>
      <w:r w:rsidR="00B11D87" w:rsidRPr="009D52FD">
        <w:rPr>
          <w:rFonts w:eastAsiaTheme="minorHAnsi" w:cstheme="minorBidi"/>
          <w:sz w:val="20"/>
          <w:szCs w:val="20"/>
          <w:lang w:val="en-US" w:eastAsia="en-US"/>
        </w:rPr>
        <w:t xml:space="preserve"> scene.</w:t>
      </w:r>
      <w:r w:rsidR="00073AD4" w:rsidRPr="009D52FD">
        <w:rPr>
          <w:rFonts w:eastAsiaTheme="minorHAnsi" w:cstheme="minorBidi"/>
          <w:sz w:val="20"/>
          <w:szCs w:val="20"/>
          <w:vertAlign w:val="superscript"/>
          <w:lang w:val="en-US" w:eastAsia="en-US"/>
        </w:rPr>
        <w:footnoteReference w:id="302"/>
      </w:r>
      <w:r w:rsidR="00F34BA9" w:rsidRPr="009D52FD">
        <w:rPr>
          <w:rFonts w:cs="Verdana"/>
          <w:sz w:val="20"/>
          <w:szCs w:val="20"/>
          <w:lang w:val="en-US"/>
        </w:rPr>
        <w:t xml:space="preserve"> </w:t>
      </w:r>
      <w:r w:rsidR="003630BB" w:rsidRPr="009D52FD">
        <w:rPr>
          <w:rFonts w:eastAsiaTheme="minorHAnsi" w:cstheme="minorBidi"/>
          <w:sz w:val="20"/>
          <w:szCs w:val="20"/>
          <w:lang w:val="en-US" w:eastAsia="en-US"/>
        </w:rPr>
        <w:t>The Court</w:t>
      </w:r>
      <w:r w:rsidR="00F34BA9" w:rsidRPr="009D52FD">
        <w:rPr>
          <w:rFonts w:eastAsiaTheme="minorHAnsi" w:cstheme="minorBidi"/>
          <w:sz w:val="20"/>
          <w:szCs w:val="20"/>
          <w:lang w:val="en-US" w:eastAsia="en-US"/>
        </w:rPr>
        <w:t xml:space="preserve"> </w:t>
      </w:r>
      <w:r w:rsidR="00B11D87" w:rsidRPr="009D52FD">
        <w:rPr>
          <w:rFonts w:eastAsiaTheme="minorHAnsi" w:cstheme="minorBidi"/>
          <w:sz w:val="20"/>
          <w:szCs w:val="20"/>
          <w:lang w:val="en-US" w:eastAsia="en-US"/>
        </w:rPr>
        <w:t xml:space="preserve">notes that several complaints were filed as a result of the irregularities in the conduct of the judicial proceedings, specifically as a result of the </w:t>
      </w:r>
      <w:r w:rsidR="000E4F2D" w:rsidRPr="009D52FD">
        <w:rPr>
          <w:rFonts w:eastAsiaTheme="minorHAnsi" w:cstheme="minorBidi"/>
          <w:sz w:val="20"/>
          <w:szCs w:val="20"/>
          <w:lang w:val="en-US" w:eastAsia="en-US"/>
        </w:rPr>
        <w:t>postponements</w:t>
      </w:r>
      <w:r w:rsidR="00B11D87" w:rsidRPr="009D52FD">
        <w:rPr>
          <w:rFonts w:eastAsiaTheme="minorHAnsi" w:cstheme="minorBidi"/>
          <w:sz w:val="20"/>
          <w:szCs w:val="20"/>
          <w:lang w:val="en-US" w:eastAsia="en-US"/>
        </w:rPr>
        <w:t xml:space="preserve"> owing to the </w:t>
      </w:r>
      <w:r w:rsidR="00982404" w:rsidRPr="009D52FD">
        <w:rPr>
          <w:rFonts w:eastAsiaTheme="minorHAnsi" w:cstheme="minorBidi"/>
          <w:sz w:val="20"/>
          <w:szCs w:val="20"/>
          <w:lang w:val="en-US" w:eastAsia="en-US"/>
        </w:rPr>
        <w:t xml:space="preserve">recusals </w:t>
      </w:r>
      <w:r w:rsidR="00B11D87" w:rsidRPr="009D52FD">
        <w:rPr>
          <w:rFonts w:eastAsiaTheme="minorHAnsi" w:cstheme="minorBidi"/>
          <w:sz w:val="20"/>
          <w:szCs w:val="20"/>
          <w:lang w:val="en-US" w:eastAsia="en-US"/>
        </w:rPr>
        <w:t xml:space="preserve">of judges, the delay in holding the hearing, and the unjustified suspension of hearings; one of these complaints was found </w:t>
      </w:r>
      <w:r w:rsidR="00B11D87" w:rsidRPr="009D52FD">
        <w:rPr>
          <w:rFonts w:eastAsiaTheme="minorHAnsi" w:cstheme="minorBidi"/>
          <w:sz w:val="20"/>
          <w:szCs w:val="20"/>
          <w:lang w:val="en-US" w:eastAsia="en-US"/>
        </w:rPr>
        <w:lastRenderedPageBreak/>
        <w:t>inadmissible, and the Court is unaware of the result of the others</w:t>
      </w:r>
      <w:r w:rsidR="0002534F" w:rsidRPr="009D52FD">
        <w:rPr>
          <w:rFonts w:eastAsiaTheme="minorHAnsi" w:cstheme="minorBidi"/>
          <w:sz w:val="20"/>
          <w:szCs w:val="20"/>
          <w:lang w:val="en-US" w:eastAsia="en-US"/>
        </w:rPr>
        <w:t xml:space="preserve"> (</w:t>
      </w:r>
      <w:r w:rsidR="0002534F" w:rsidRPr="009D52FD">
        <w:rPr>
          <w:rFonts w:eastAsiaTheme="minorHAnsi" w:cstheme="minorBidi"/>
          <w:i/>
          <w:sz w:val="20"/>
          <w:szCs w:val="20"/>
          <w:lang w:val="en-US" w:eastAsia="en-US"/>
        </w:rPr>
        <w:t>supra</w:t>
      </w:r>
      <w:r w:rsidR="0002534F" w:rsidRPr="009D52FD">
        <w:rPr>
          <w:rFonts w:eastAsiaTheme="minorHAnsi" w:cstheme="minorBidi"/>
          <w:sz w:val="20"/>
          <w:szCs w:val="20"/>
          <w:lang w:val="en-US" w:eastAsia="en-US"/>
        </w:rPr>
        <w:t xml:space="preserve"> </w:t>
      </w:r>
      <w:r w:rsidR="009459E7" w:rsidRPr="009D52FD">
        <w:rPr>
          <w:rFonts w:eastAsiaTheme="minorHAnsi" w:cstheme="minorBidi"/>
          <w:sz w:val="20"/>
          <w:szCs w:val="20"/>
          <w:lang w:val="en-US" w:eastAsia="en-US"/>
        </w:rPr>
        <w:t>paras.</w:t>
      </w:r>
      <w:r w:rsidR="0002534F" w:rsidRPr="009D52FD">
        <w:rPr>
          <w:rFonts w:eastAsiaTheme="minorHAnsi" w:cstheme="minorBidi"/>
          <w:sz w:val="20"/>
          <w:szCs w:val="20"/>
          <w:lang w:val="en-US" w:eastAsia="en-US"/>
        </w:rPr>
        <w:t xml:space="preserve"> 77, 83, 85,</w:t>
      </w:r>
      <w:r w:rsidR="00AF6103" w:rsidRPr="009D52FD">
        <w:rPr>
          <w:rFonts w:eastAsiaTheme="minorHAnsi" w:cstheme="minorBidi"/>
          <w:sz w:val="20"/>
          <w:szCs w:val="20"/>
          <w:lang w:val="en-US" w:eastAsia="en-US"/>
        </w:rPr>
        <w:t xml:space="preserve"> 86,</w:t>
      </w:r>
      <w:r w:rsidR="0002534F" w:rsidRPr="009D52FD">
        <w:rPr>
          <w:rFonts w:eastAsiaTheme="minorHAnsi" w:cstheme="minorBidi"/>
          <w:sz w:val="20"/>
          <w:szCs w:val="20"/>
          <w:lang w:val="en-US" w:eastAsia="en-US"/>
        </w:rPr>
        <w:t xml:space="preserve"> 90</w:t>
      </w:r>
      <w:r w:rsidR="003630BB" w:rsidRPr="009D52FD">
        <w:rPr>
          <w:rFonts w:eastAsiaTheme="minorHAnsi" w:cstheme="minorBidi"/>
          <w:sz w:val="20"/>
          <w:szCs w:val="20"/>
          <w:lang w:val="en-US" w:eastAsia="en-US"/>
        </w:rPr>
        <w:t xml:space="preserve"> and </w:t>
      </w:r>
      <w:r w:rsidR="0002534F" w:rsidRPr="009D52FD">
        <w:rPr>
          <w:rFonts w:eastAsiaTheme="minorHAnsi" w:cstheme="minorBidi"/>
          <w:sz w:val="20"/>
          <w:szCs w:val="20"/>
          <w:lang w:val="en-US" w:eastAsia="en-US"/>
        </w:rPr>
        <w:t>91)</w:t>
      </w:r>
      <w:r w:rsidR="00F34BA9" w:rsidRPr="009D52FD">
        <w:rPr>
          <w:rFonts w:eastAsiaTheme="minorHAnsi" w:cstheme="minorBidi"/>
          <w:sz w:val="20"/>
          <w:szCs w:val="20"/>
          <w:lang w:val="en-US" w:eastAsia="en-US"/>
        </w:rPr>
        <w:t>.</w:t>
      </w:r>
    </w:p>
    <w:p w14:paraId="5F370CC8" w14:textId="77777777" w:rsidR="00F34BA9" w:rsidRPr="009D52FD" w:rsidRDefault="00F34BA9" w:rsidP="00073AD4">
      <w:pPr>
        <w:widowControl/>
        <w:tabs>
          <w:tab w:val="left" w:pos="567"/>
        </w:tabs>
        <w:adjustRightInd/>
        <w:spacing w:line="240" w:lineRule="auto"/>
        <w:textAlignment w:val="auto"/>
        <w:rPr>
          <w:rFonts w:cs="Verdana"/>
          <w:sz w:val="20"/>
          <w:szCs w:val="20"/>
          <w:lang w:val="en-US"/>
        </w:rPr>
      </w:pPr>
    </w:p>
    <w:p w14:paraId="5DF24054" w14:textId="62BE9AC3" w:rsidR="009871F8" w:rsidRPr="009D52FD" w:rsidRDefault="003630BB" w:rsidP="00BA52FA">
      <w:pPr>
        <w:widowControl/>
        <w:numPr>
          <w:ilvl w:val="0"/>
          <w:numId w:val="1"/>
        </w:numPr>
        <w:tabs>
          <w:tab w:val="left" w:pos="567"/>
        </w:tabs>
        <w:adjustRightInd/>
        <w:spacing w:line="240" w:lineRule="auto"/>
        <w:ind w:left="0" w:firstLine="0"/>
        <w:textAlignment w:val="auto"/>
        <w:rPr>
          <w:rFonts w:eastAsia="Calibri" w:cs="Verdana"/>
          <w:snapToGrid w:val="0"/>
          <w:sz w:val="20"/>
          <w:szCs w:val="20"/>
          <w:lang w:val="en-US" w:eastAsia="es-ES"/>
        </w:rPr>
      </w:pPr>
      <w:r w:rsidRPr="009D52FD">
        <w:rPr>
          <w:rFonts w:eastAsia="Calibri" w:cs="Verdana"/>
          <w:snapToGrid w:val="0"/>
          <w:sz w:val="20"/>
          <w:szCs w:val="20"/>
          <w:lang w:val="en-US" w:eastAsia="es-ES"/>
        </w:rPr>
        <w:t>The Court</w:t>
      </w:r>
      <w:r w:rsidR="009871F8" w:rsidRPr="009D52FD">
        <w:rPr>
          <w:rFonts w:eastAsia="Calibri" w:cs="Verdana"/>
          <w:snapToGrid w:val="0"/>
          <w:sz w:val="20"/>
          <w:szCs w:val="20"/>
          <w:lang w:val="en-US" w:eastAsia="es-ES"/>
        </w:rPr>
        <w:t xml:space="preserve"> </w:t>
      </w:r>
      <w:r w:rsidR="00BA52FA" w:rsidRPr="009D52FD">
        <w:rPr>
          <w:rFonts w:eastAsia="Calibri" w:cs="Verdana"/>
          <w:snapToGrid w:val="0"/>
          <w:sz w:val="20"/>
          <w:szCs w:val="20"/>
          <w:lang w:val="en-US" w:eastAsia="es-ES"/>
        </w:rPr>
        <w:t xml:space="preserve">does not find it pertinent to include further considerations on these aspects; rather, it will concentrate its analysis on: (i) developing the components of the right of access to justice in equal conditions for women victims of violence; (ii) the lack of a special legal framework and the absence of guidelines for the agents </w:t>
      </w:r>
      <w:r w:rsidR="00F30E38" w:rsidRPr="009D52FD">
        <w:rPr>
          <w:rFonts w:eastAsia="Calibri" w:cs="Verdana"/>
          <w:snapToGrid w:val="0"/>
          <w:sz w:val="20"/>
          <w:szCs w:val="20"/>
          <w:lang w:val="en-US" w:eastAsia="es-ES"/>
        </w:rPr>
        <w:t>involved</w:t>
      </w:r>
      <w:r w:rsidR="00BA52FA" w:rsidRPr="009D52FD">
        <w:rPr>
          <w:rFonts w:eastAsia="Calibri" w:cs="Verdana"/>
          <w:snapToGrid w:val="0"/>
          <w:sz w:val="20"/>
          <w:szCs w:val="20"/>
          <w:lang w:val="en-US" w:eastAsia="es-ES"/>
        </w:rPr>
        <w:t xml:space="preserve">; (iii) the criminal legal framework that established an unjustified unequal treatment; (iv) highlighting, recognizing and rejecting the use of prejudicial gender stereotypes during the investigations and court proceedings in this case; (v) the factors that led to the revictimization of Linda Loaiza owing to the inadequate treatment </w:t>
      </w:r>
      <w:r w:rsidR="00F30E38" w:rsidRPr="009D52FD">
        <w:rPr>
          <w:rFonts w:eastAsia="Calibri" w:cs="Verdana"/>
          <w:snapToGrid w:val="0"/>
          <w:sz w:val="20"/>
          <w:szCs w:val="20"/>
          <w:lang w:val="en-US" w:eastAsia="es-ES"/>
        </w:rPr>
        <w:t>by the authorities in view of</w:t>
      </w:r>
      <w:r w:rsidR="00BA52FA" w:rsidRPr="009D52FD">
        <w:rPr>
          <w:rFonts w:eastAsia="Calibri" w:cs="Verdana"/>
          <w:snapToGrid w:val="0"/>
          <w:sz w:val="20"/>
          <w:szCs w:val="20"/>
          <w:lang w:val="en-US" w:eastAsia="es-ES"/>
        </w:rPr>
        <w:t xml:space="preserve"> her condition as a victim of violence against women, and (vi) the lack of adequate measures of protection and investigation in light of the threats and harassment of </w:t>
      </w:r>
      <w:r w:rsidR="004E6B6D" w:rsidRPr="009D52FD">
        <w:rPr>
          <w:rFonts w:eastAsia="Calibri" w:cs="Verdana"/>
          <w:snapToGrid w:val="0"/>
          <w:sz w:val="20"/>
          <w:szCs w:val="20"/>
          <w:lang w:val="en-US" w:eastAsia="es-ES"/>
        </w:rPr>
        <w:t>Linda Loaiza</w:t>
      </w:r>
      <w:r w:rsidR="0002534F" w:rsidRPr="009D52FD">
        <w:rPr>
          <w:rFonts w:eastAsia="Calibri" w:cs="Verdana"/>
          <w:snapToGrid w:val="0"/>
          <w:sz w:val="20"/>
          <w:szCs w:val="20"/>
          <w:lang w:val="en-US" w:eastAsia="es-ES"/>
        </w:rPr>
        <w:t xml:space="preserve"> López Soto</w:t>
      </w:r>
      <w:r w:rsidR="004E6B6D" w:rsidRPr="009D52FD">
        <w:rPr>
          <w:rFonts w:eastAsia="Calibri" w:cs="Verdana"/>
          <w:snapToGrid w:val="0"/>
          <w:sz w:val="20"/>
          <w:szCs w:val="20"/>
          <w:lang w:val="en-US" w:eastAsia="es-ES"/>
        </w:rPr>
        <w:t xml:space="preserve">, </w:t>
      </w:r>
      <w:r w:rsidR="00BA52FA" w:rsidRPr="009D52FD">
        <w:rPr>
          <w:rFonts w:eastAsia="Calibri" w:cs="Verdana"/>
          <w:snapToGrid w:val="0"/>
          <w:sz w:val="20"/>
          <w:szCs w:val="20"/>
          <w:lang w:val="en-US" w:eastAsia="es-ES"/>
        </w:rPr>
        <w:t>her family and her lawyer.</w:t>
      </w:r>
    </w:p>
    <w:p w14:paraId="319AB108" w14:textId="77777777" w:rsidR="009871F8" w:rsidRPr="009D52FD" w:rsidRDefault="009871F8" w:rsidP="009871F8">
      <w:pPr>
        <w:widowControl/>
        <w:tabs>
          <w:tab w:val="left" w:pos="567"/>
        </w:tabs>
        <w:adjustRightInd/>
        <w:spacing w:line="240" w:lineRule="auto"/>
        <w:textAlignment w:val="auto"/>
        <w:rPr>
          <w:rFonts w:cs="Verdana"/>
          <w:sz w:val="20"/>
          <w:szCs w:val="20"/>
          <w:lang w:val="en-US"/>
        </w:rPr>
      </w:pPr>
    </w:p>
    <w:p w14:paraId="282D1035" w14:textId="2047CF93" w:rsidR="00BA52FA" w:rsidRPr="009D52FD" w:rsidRDefault="00BA52FA" w:rsidP="009871F8">
      <w:pPr>
        <w:numPr>
          <w:ilvl w:val="0"/>
          <w:numId w:val="1"/>
        </w:numPr>
        <w:tabs>
          <w:tab w:val="left" w:pos="567"/>
        </w:tabs>
        <w:spacing w:line="240" w:lineRule="auto"/>
        <w:ind w:left="0" w:firstLine="0"/>
        <w:rPr>
          <w:rFonts w:cs="Verdana"/>
          <w:sz w:val="20"/>
          <w:szCs w:val="20"/>
          <w:lang w:val="en-US"/>
        </w:rPr>
      </w:pPr>
      <w:r w:rsidRPr="009D52FD">
        <w:rPr>
          <w:rFonts w:eastAsia="Calibri" w:cs="Verdana"/>
          <w:snapToGrid w:val="0"/>
          <w:sz w:val="20"/>
          <w:szCs w:val="20"/>
          <w:lang w:val="en-US" w:eastAsia="es-ES"/>
        </w:rPr>
        <w:t>The Court also notes that the State did not acknowledge the duty to investigate acts of torture</w:t>
      </w:r>
      <w:r w:rsidR="009871F8" w:rsidRPr="009D52FD">
        <w:rPr>
          <w:rFonts w:eastAsia="Calibri" w:cs="Verdana"/>
          <w:snapToGrid w:val="0"/>
          <w:sz w:val="20"/>
          <w:szCs w:val="20"/>
          <w:lang w:val="en-US" w:eastAsia="es-ES"/>
        </w:rPr>
        <w:t xml:space="preserve">. </w:t>
      </w:r>
      <w:r w:rsidRPr="009D52FD">
        <w:rPr>
          <w:rFonts w:eastAsia="Calibri" w:cs="Verdana"/>
          <w:snapToGrid w:val="0"/>
          <w:sz w:val="20"/>
          <w:szCs w:val="20"/>
          <w:lang w:val="en-US" w:eastAsia="es-ES"/>
        </w:rPr>
        <w:t xml:space="preserve">However, since the Court concluded in the previous chapter that acts of torture had been perpetrated in this case, it finds it relevant to also address the duty to investigate torture and </w:t>
      </w:r>
      <w:r w:rsidR="003B698B" w:rsidRPr="009D52FD">
        <w:rPr>
          <w:rFonts w:eastAsia="Calibri" w:cs="Verdana"/>
          <w:snapToGrid w:val="0"/>
          <w:sz w:val="20"/>
          <w:szCs w:val="20"/>
          <w:lang w:val="en-US" w:eastAsia="es-ES"/>
        </w:rPr>
        <w:t>ensure that</w:t>
      </w:r>
      <w:r w:rsidR="00F30E38" w:rsidRPr="009D52FD">
        <w:rPr>
          <w:rFonts w:eastAsia="Calibri" w:cs="Verdana"/>
          <w:snapToGrid w:val="0"/>
          <w:sz w:val="20"/>
          <w:szCs w:val="20"/>
          <w:lang w:val="en-US" w:eastAsia="es-ES"/>
        </w:rPr>
        <w:t xml:space="preserve"> criminal law defines it appropriately.</w:t>
      </w:r>
    </w:p>
    <w:p w14:paraId="37DAEC57" w14:textId="77777777" w:rsidR="009871F8" w:rsidRPr="009D52FD" w:rsidRDefault="009871F8" w:rsidP="003C23AB">
      <w:pPr>
        <w:widowControl/>
        <w:tabs>
          <w:tab w:val="left" w:pos="567"/>
        </w:tabs>
        <w:adjustRightInd/>
        <w:spacing w:line="240" w:lineRule="auto"/>
        <w:textAlignment w:val="auto"/>
        <w:rPr>
          <w:rFonts w:cs="Verdana"/>
          <w:sz w:val="20"/>
          <w:szCs w:val="20"/>
          <w:lang w:val="en-US"/>
        </w:rPr>
      </w:pPr>
    </w:p>
    <w:p w14:paraId="64A99733" w14:textId="0ABEAEB9" w:rsidR="009E4F6C" w:rsidRPr="009D52FD" w:rsidRDefault="009E4F6C" w:rsidP="00153ECC">
      <w:pPr>
        <w:keepNext/>
        <w:keepLines/>
        <w:widowControl/>
        <w:tabs>
          <w:tab w:val="left" w:pos="1418"/>
        </w:tabs>
        <w:autoSpaceDE w:val="0"/>
        <w:autoSpaceDN w:val="0"/>
        <w:spacing w:line="240" w:lineRule="auto"/>
        <w:ind w:left="708" w:firstLine="1"/>
        <w:textAlignment w:val="auto"/>
        <w:outlineLvl w:val="1"/>
        <w:rPr>
          <w:rFonts w:eastAsia="MS Mincho" w:cs="Arial"/>
          <w:bCs/>
          <w:i/>
          <w:sz w:val="20"/>
          <w:szCs w:val="20"/>
          <w:lang w:val="en-US" w:eastAsia="en-US"/>
        </w:rPr>
      </w:pPr>
      <w:bookmarkStart w:id="90" w:name="_Toc51400101"/>
      <w:r w:rsidRPr="009D52FD">
        <w:rPr>
          <w:rFonts w:eastAsia="MS Mincho" w:cs="Arial"/>
          <w:bCs/>
          <w:i/>
          <w:sz w:val="20"/>
          <w:szCs w:val="20"/>
          <w:lang w:val="en-US" w:eastAsia="en-US"/>
        </w:rPr>
        <w:t xml:space="preserve">B.1 </w:t>
      </w:r>
      <w:r w:rsidRPr="009D52FD">
        <w:rPr>
          <w:rFonts w:eastAsia="MS Mincho" w:cs="Arial"/>
          <w:bCs/>
          <w:i/>
          <w:sz w:val="20"/>
          <w:szCs w:val="20"/>
          <w:lang w:val="en-US" w:eastAsia="en-US"/>
        </w:rPr>
        <w:tab/>
      </w:r>
      <w:r w:rsidR="003B698B" w:rsidRPr="009D52FD">
        <w:rPr>
          <w:rFonts w:eastAsia="MS Mincho" w:cs="Arial"/>
          <w:bCs/>
          <w:i/>
          <w:sz w:val="20"/>
          <w:szCs w:val="20"/>
          <w:lang w:val="en-US" w:eastAsia="en-US"/>
        </w:rPr>
        <w:t>Access to justice in equal conditions for women victims of violence</w:t>
      </w:r>
      <w:bookmarkEnd w:id="90"/>
    </w:p>
    <w:p w14:paraId="591A784F" w14:textId="77777777" w:rsidR="009E4F6C" w:rsidRPr="009D52FD" w:rsidRDefault="009E4F6C" w:rsidP="009E4F6C">
      <w:pPr>
        <w:widowControl/>
        <w:tabs>
          <w:tab w:val="left" w:pos="567"/>
        </w:tabs>
        <w:adjustRightInd/>
        <w:spacing w:line="240" w:lineRule="auto"/>
        <w:textAlignment w:val="auto"/>
        <w:rPr>
          <w:rFonts w:cs="Verdana"/>
          <w:b/>
          <w:i/>
          <w:sz w:val="20"/>
          <w:szCs w:val="20"/>
          <w:lang w:val="en-US"/>
        </w:rPr>
      </w:pPr>
    </w:p>
    <w:p w14:paraId="67866768" w14:textId="1A553208" w:rsidR="009E4F6C" w:rsidRPr="009D52FD" w:rsidRDefault="003630BB" w:rsidP="003B698B">
      <w:pPr>
        <w:widowControl/>
        <w:numPr>
          <w:ilvl w:val="0"/>
          <w:numId w:val="1"/>
        </w:numPr>
        <w:tabs>
          <w:tab w:val="left" w:pos="567"/>
        </w:tabs>
        <w:adjustRightInd/>
        <w:spacing w:line="240" w:lineRule="auto"/>
        <w:ind w:left="0" w:firstLine="0"/>
        <w:textAlignment w:val="auto"/>
        <w:rPr>
          <w:rFonts w:eastAsia="Calibri"/>
          <w:b/>
          <w:kern w:val="2"/>
          <w:sz w:val="20"/>
          <w:szCs w:val="20"/>
          <w:lang w:val="en-US" w:eastAsia="en-US"/>
        </w:rPr>
      </w:pPr>
      <w:r w:rsidRPr="009D52FD">
        <w:rPr>
          <w:kern w:val="2"/>
          <w:sz w:val="20"/>
          <w:szCs w:val="20"/>
          <w:lang w:val="en-US" w:eastAsia="en-US"/>
        </w:rPr>
        <w:t>The Court</w:t>
      </w:r>
      <w:r w:rsidR="009E4F6C" w:rsidRPr="009D52FD">
        <w:rPr>
          <w:rFonts w:eastAsia="Calibri"/>
          <w:kern w:val="2"/>
          <w:sz w:val="20"/>
          <w:szCs w:val="20"/>
          <w:lang w:val="en-US" w:eastAsia="en-US"/>
        </w:rPr>
        <w:t xml:space="preserve"> ha</w:t>
      </w:r>
      <w:r w:rsidR="003B698B" w:rsidRPr="009D52FD">
        <w:rPr>
          <w:rFonts w:eastAsia="Calibri"/>
          <w:kern w:val="2"/>
          <w:sz w:val="20"/>
          <w:szCs w:val="20"/>
          <w:lang w:val="en-US" w:eastAsia="en-US"/>
        </w:rPr>
        <w:t>s established that, pursuant to</w:t>
      </w:r>
      <w:r w:rsidR="009E4F6C" w:rsidRPr="009D52FD">
        <w:rPr>
          <w:rFonts w:eastAsia="Calibri"/>
          <w:kern w:val="2"/>
          <w:sz w:val="20"/>
          <w:szCs w:val="20"/>
          <w:lang w:val="en-US" w:eastAsia="en-US"/>
        </w:rPr>
        <w:t xml:space="preserve"> </w:t>
      </w:r>
      <w:r w:rsidRPr="009D52FD">
        <w:rPr>
          <w:rFonts w:eastAsia="Calibri"/>
          <w:kern w:val="2"/>
          <w:sz w:val="20"/>
          <w:szCs w:val="20"/>
          <w:lang w:val="en-US" w:eastAsia="en-US"/>
        </w:rPr>
        <w:t>the American Convention</w:t>
      </w:r>
      <w:r w:rsidR="009E4F6C" w:rsidRPr="009D52FD">
        <w:rPr>
          <w:rFonts w:eastAsia="Calibri"/>
          <w:kern w:val="2"/>
          <w:sz w:val="20"/>
          <w:szCs w:val="20"/>
          <w:lang w:val="en-US" w:eastAsia="en-US"/>
        </w:rPr>
        <w:t xml:space="preserve">, </w:t>
      </w:r>
      <w:r w:rsidR="003B698B" w:rsidRPr="009D52FD">
        <w:rPr>
          <w:rFonts w:eastAsia="Calibri"/>
          <w:kern w:val="2"/>
          <w:sz w:val="20"/>
          <w:szCs w:val="20"/>
          <w:lang w:val="en-US" w:eastAsia="en-US"/>
        </w:rPr>
        <w:t>the States Parties are obliged to provide effective judicial remedies to victims of human rights violations</w:t>
      </w:r>
      <w:r w:rsidR="009E4F6C" w:rsidRPr="009D52FD">
        <w:rPr>
          <w:rFonts w:eastAsia="Calibri"/>
          <w:kern w:val="2"/>
          <w:sz w:val="20"/>
          <w:szCs w:val="20"/>
          <w:lang w:val="en-US" w:eastAsia="en-US"/>
        </w:rPr>
        <w:t xml:space="preserve"> (</w:t>
      </w:r>
      <w:r w:rsidRPr="009D52FD">
        <w:rPr>
          <w:rFonts w:eastAsia="Calibri"/>
          <w:kern w:val="2"/>
          <w:sz w:val="20"/>
          <w:szCs w:val="20"/>
          <w:lang w:val="en-US" w:eastAsia="en-US"/>
        </w:rPr>
        <w:t>Article</w:t>
      </w:r>
      <w:r w:rsidR="009E4F6C" w:rsidRPr="009D52FD">
        <w:rPr>
          <w:rFonts w:eastAsia="Calibri"/>
          <w:kern w:val="2"/>
          <w:sz w:val="20"/>
          <w:szCs w:val="20"/>
          <w:lang w:val="en-US" w:eastAsia="en-US"/>
        </w:rPr>
        <w:t xml:space="preserve"> 25), </w:t>
      </w:r>
      <w:r w:rsidR="003B698B" w:rsidRPr="009D52FD">
        <w:rPr>
          <w:rFonts w:eastAsia="Calibri"/>
          <w:kern w:val="2"/>
          <w:sz w:val="20"/>
          <w:szCs w:val="20"/>
          <w:lang w:val="en-US" w:eastAsia="en-US"/>
        </w:rPr>
        <w:t>and these remedies must be substantiated in accordance with the rule of due process of law</w:t>
      </w:r>
      <w:r w:rsidR="009E4F6C" w:rsidRPr="009D52FD">
        <w:rPr>
          <w:rFonts w:eastAsia="Calibri"/>
          <w:kern w:val="2"/>
          <w:sz w:val="20"/>
          <w:szCs w:val="20"/>
          <w:lang w:val="en-US" w:eastAsia="en-US"/>
        </w:rPr>
        <w:t xml:space="preserve"> (</w:t>
      </w:r>
      <w:r w:rsidRPr="009D52FD">
        <w:rPr>
          <w:rFonts w:eastAsia="Calibri"/>
          <w:kern w:val="2"/>
          <w:sz w:val="20"/>
          <w:szCs w:val="20"/>
          <w:lang w:val="en-US" w:eastAsia="en-US"/>
        </w:rPr>
        <w:t>Article</w:t>
      </w:r>
      <w:r w:rsidR="00483040" w:rsidRPr="009D52FD">
        <w:rPr>
          <w:rFonts w:eastAsia="Calibri"/>
          <w:kern w:val="2"/>
          <w:sz w:val="20"/>
          <w:szCs w:val="20"/>
          <w:lang w:val="en-US" w:eastAsia="en-US"/>
        </w:rPr>
        <w:t xml:space="preserve"> 8(1)</w:t>
      </w:r>
      <w:r w:rsidR="009E4F6C" w:rsidRPr="009D52FD">
        <w:rPr>
          <w:rFonts w:eastAsia="Calibri"/>
          <w:kern w:val="2"/>
          <w:sz w:val="20"/>
          <w:szCs w:val="20"/>
          <w:lang w:val="en-US" w:eastAsia="en-US"/>
        </w:rPr>
        <w:t xml:space="preserve">), </w:t>
      </w:r>
      <w:r w:rsidR="003B698B" w:rsidRPr="009D52FD">
        <w:rPr>
          <w:rFonts w:eastAsia="Calibri"/>
          <w:kern w:val="2"/>
          <w:sz w:val="20"/>
          <w:szCs w:val="20"/>
          <w:lang w:val="en-US" w:eastAsia="en-US"/>
        </w:rPr>
        <w:t>all of this within the general obligation of these States to ensure the free and full exercise of the rights recognized by the Convention to all persons subject to th</w:t>
      </w:r>
      <w:r w:rsidR="00CB7BC1" w:rsidRPr="009D52FD">
        <w:rPr>
          <w:rFonts w:eastAsia="Calibri"/>
          <w:kern w:val="2"/>
          <w:sz w:val="20"/>
          <w:szCs w:val="20"/>
          <w:lang w:val="en-US" w:eastAsia="en-US"/>
        </w:rPr>
        <w:t>eir</w:t>
      </w:r>
      <w:r w:rsidR="003B698B" w:rsidRPr="009D52FD">
        <w:rPr>
          <w:rFonts w:eastAsia="Calibri"/>
          <w:kern w:val="2"/>
          <w:sz w:val="20"/>
          <w:szCs w:val="20"/>
          <w:lang w:val="en-US" w:eastAsia="en-US"/>
        </w:rPr>
        <w:t xml:space="preserve"> jurisdiction (Article 1(1)).</w:t>
      </w:r>
      <w:r w:rsidR="003B698B" w:rsidRPr="009D52FD">
        <w:rPr>
          <w:rFonts w:eastAsia="Calibri"/>
          <w:kern w:val="2"/>
          <w:sz w:val="20"/>
          <w:szCs w:val="20"/>
          <w:vertAlign w:val="superscript"/>
          <w:lang w:val="en-US" w:eastAsia="en-US"/>
        </w:rPr>
        <w:footnoteReference w:id="303"/>
      </w:r>
      <w:r w:rsidR="003B698B" w:rsidRPr="009D52FD">
        <w:rPr>
          <w:rFonts w:eastAsia="Calibri"/>
          <w:kern w:val="2"/>
          <w:sz w:val="20"/>
          <w:szCs w:val="20"/>
          <w:lang w:val="en-US" w:eastAsia="en-US"/>
        </w:rPr>
        <w:t xml:space="preserve"> The Court has also indicated that the right of access to justice must ensure, within a reasonable time, the right of the presumed victims or their families that everything necessary is done to know the truth of what happened and to investigate, prosecute and punish, as appropriate, those eventually found responsible.</w:t>
      </w:r>
      <w:r w:rsidR="009E4F6C" w:rsidRPr="009D52FD">
        <w:rPr>
          <w:rFonts w:eastAsia="Calibri"/>
          <w:kern w:val="2"/>
          <w:sz w:val="20"/>
          <w:szCs w:val="20"/>
          <w:vertAlign w:val="superscript"/>
          <w:lang w:val="en-US" w:eastAsia="en-US"/>
        </w:rPr>
        <w:footnoteReference w:id="304"/>
      </w:r>
      <w:r w:rsidR="003B698B" w:rsidRPr="009D52FD">
        <w:rPr>
          <w:rFonts w:eastAsia="Calibri"/>
          <w:kern w:val="2"/>
          <w:sz w:val="20"/>
          <w:szCs w:val="20"/>
          <w:lang w:val="en-US" w:eastAsia="en-US"/>
        </w:rPr>
        <w:t xml:space="preserve"> In cases of</w:t>
      </w:r>
      <w:r w:rsidR="00FE09C9" w:rsidRPr="009D52FD">
        <w:rPr>
          <w:rFonts w:eastAsia="Calibri"/>
          <w:kern w:val="2"/>
          <w:sz w:val="20"/>
          <w:szCs w:val="20"/>
          <w:lang w:val="en-US" w:eastAsia="en-US"/>
        </w:rPr>
        <w:t xml:space="preserve"> </w:t>
      </w:r>
      <w:r w:rsidR="005935CA" w:rsidRPr="009D52FD">
        <w:rPr>
          <w:bCs/>
          <w:kern w:val="2"/>
          <w:sz w:val="20"/>
          <w:szCs w:val="20"/>
          <w:lang w:val="en-US" w:eastAsia="en-US"/>
        </w:rPr>
        <w:t>violence against women</w:t>
      </w:r>
      <w:r w:rsidR="00FE09C9" w:rsidRPr="009D52FD">
        <w:rPr>
          <w:bCs/>
          <w:kern w:val="2"/>
          <w:sz w:val="20"/>
          <w:szCs w:val="20"/>
          <w:lang w:val="en-US" w:eastAsia="en-US"/>
        </w:rPr>
        <w:t xml:space="preserve">, </w:t>
      </w:r>
      <w:r w:rsidR="003B698B" w:rsidRPr="009D52FD">
        <w:rPr>
          <w:bCs/>
          <w:kern w:val="2"/>
          <w:sz w:val="20"/>
          <w:szCs w:val="20"/>
          <w:lang w:val="en-US" w:eastAsia="en-US"/>
        </w:rPr>
        <w:t xml:space="preserve">the general obligations established in </w:t>
      </w:r>
      <w:r w:rsidRPr="009D52FD">
        <w:rPr>
          <w:bCs/>
          <w:kern w:val="2"/>
          <w:sz w:val="20"/>
          <w:szCs w:val="20"/>
          <w:lang w:val="en-US" w:eastAsia="en-US"/>
        </w:rPr>
        <w:t>Articles</w:t>
      </w:r>
      <w:r w:rsidR="00FE09C9" w:rsidRPr="009D52FD">
        <w:rPr>
          <w:bCs/>
          <w:kern w:val="2"/>
          <w:sz w:val="20"/>
          <w:szCs w:val="20"/>
          <w:lang w:val="en-US" w:eastAsia="en-US"/>
        </w:rPr>
        <w:t xml:space="preserve"> 8</w:t>
      </w:r>
      <w:r w:rsidRPr="009D52FD">
        <w:rPr>
          <w:bCs/>
          <w:kern w:val="2"/>
          <w:sz w:val="20"/>
          <w:szCs w:val="20"/>
          <w:lang w:val="en-US" w:eastAsia="en-US"/>
        </w:rPr>
        <w:t xml:space="preserve"> and </w:t>
      </w:r>
      <w:r w:rsidR="00FE09C9" w:rsidRPr="009D52FD">
        <w:rPr>
          <w:bCs/>
          <w:kern w:val="2"/>
          <w:sz w:val="20"/>
          <w:szCs w:val="20"/>
          <w:lang w:val="en-US" w:eastAsia="en-US"/>
        </w:rPr>
        <w:t>25</w:t>
      </w:r>
      <w:r w:rsidRPr="009D52FD">
        <w:rPr>
          <w:bCs/>
          <w:kern w:val="2"/>
          <w:sz w:val="20"/>
          <w:szCs w:val="20"/>
          <w:lang w:val="en-US" w:eastAsia="en-US"/>
        </w:rPr>
        <w:t xml:space="preserve"> of the American Convention</w:t>
      </w:r>
      <w:r w:rsidR="00FE09C9" w:rsidRPr="009D52FD">
        <w:rPr>
          <w:bCs/>
          <w:kern w:val="2"/>
          <w:sz w:val="20"/>
          <w:szCs w:val="20"/>
          <w:lang w:val="en-US" w:eastAsia="en-US"/>
        </w:rPr>
        <w:t xml:space="preserve"> </w:t>
      </w:r>
      <w:r w:rsidR="003B698B" w:rsidRPr="009D52FD">
        <w:rPr>
          <w:bCs/>
          <w:kern w:val="2"/>
          <w:sz w:val="20"/>
          <w:szCs w:val="20"/>
          <w:lang w:val="en-US" w:eastAsia="en-US"/>
        </w:rPr>
        <w:t xml:space="preserve">are supplemented and reinforced for those States that are Parties by the obligations derived from the specific inter-American treaty, </w:t>
      </w:r>
      <w:r w:rsidRPr="009D52FD">
        <w:rPr>
          <w:bCs/>
          <w:kern w:val="2"/>
          <w:sz w:val="20"/>
          <w:szCs w:val="20"/>
          <w:lang w:val="en-US" w:eastAsia="en-US"/>
        </w:rPr>
        <w:t>the Convention</w:t>
      </w:r>
      <w:r w:rsidR="00FE09C9" w:rsidRPr="009D52FD">
        <w:rPr>
          <w:bCs/>
          <w:kern w:val="2"/>
          <w:sz w:val="20"/>
          <w:szCs w:val="20"/>
          <w:lang w:val="en-US" w:eastAsia="en-US"/>
        </w:rPr>
        <w:t xml:space="preserve"> </w:t>
      </w:r>
      <w:r w:rsidR="00483040" w:rsidRPr="009D52FD">
        <w:rPr>
          <w:bCs/>
          <w:kern w:val="2"/>
          <w:sz w:val="20"/>
          <w:szCs w:val="20"/>
          <w:lang w:val="en-US" w:eastAsia="en-US"/>
        </w:rPr>
        <w:t>of Belém</w:t>
      </w:r>
      <w:r w:rsidR="00FE09C9" w:rsidRPr="009D52FD">
        <w:rPr>
          <w:bCs/>
          <w:kern w:val="2"/>
          <w:sz w:val="20"/>
          <w:szCs w:val="20"/>
          <w:lang w:val="en-US" w:eastAsia="en-US"/>
        </w:rPr>
        <w:t xml:space="preserve"> do Pará</w:t>
      </w:r>
      <w:r w:rsidR="003B698B" w:rsidRPr="009D52FD">
        <w:rPr>
          <w:bCs/>
          <w:kern w:val="2"/>
          <w:sz w:val="20"/>
          <w:szCs w:val="20"/>
          <w:lang w:val="en-US" w:eastAsia="en-US"/>
        </w:rPr>
        <w:t>.</w:t>
      </w:r>
      <w:r w:rsidR="003F3B73" w:rsidRPr="009D52FD">
        <w:rPr>
          <w:rStyle w:val="FootnoteReference"/>
          <w:bCs/>
          <w:kern w:val="2"/>
          <w:sz w:val="20"/>
          <w:szCs w:val="20"/>
          <w:lang w:val="en-US" w:eastAsia="en-US"/>
        </w:rPr>
        <w:footnoteReference w:id="305"/>
      </w:r>
    </w:p>
    <w:p w14:paraId="2A39F286" w14:textId="77777777" w:rsidR="00CC51E5" w:rsidRPr="009D52FD" w:rsidRDefault="00CC51E5" w:rsidP="00CC51E5">
      <w:pPr>
        <w:widowControl/>
        <w:tabs>
          <w:tab w:val="left" w:pos="567"/>
        </w:tabs>
        <w:adjustRightInd/>
        <w:spacing w:line="240" w:lineRule="auto"/>
        <w:textAlignment w:val="auto"/>
        <w:rPr>
          <w:rFonts w:eastAsia="Calibri"/>
          <w:b/>
          <w:kern w:val="2"/>
          <w:sz w:val="20"/>
          <w:szCs w:val="20"/>
          <w:lang w:val="en-US" w:eastAsia="en-US"/>
        </w:rPr>
      </w:pPr>
    </w:p>
    <w:p w14:paraId="0C19CE2F" w14:textId="68D7C98E" w:rsidR="00CC51E5" w:rsidRPr="009D52FD" w:rsidRDefault="003B698B" w:rsidP="003B698B">
      <w:pPr>
        <w:numPr>
          <w:ilvl w:val="0"/>
          <w:numId w:val="1"/>
        </w:numPr>
        <w:tabs>
          <w:tab w:val="left" w:pos="567"/>
        </w:tabs>
        <w:spacing w:line="240" w:lineRule="auto"/>
        <w:ind w:left="0" w:firstLine="0"/>
        <w:rPr>
          <w:bCs/>
          <w:kern w:val="2"/>
          <w:sz w:val="20"/>
          <w:szCs w:val="20"/>
          <w:lang w:val="en-US" w:eastAsia="en-US"/>
        </w:rPr>
      </w:pPr>
      <w:r w:rsidRPr="009D52FD">
        <w:rPr>
          <w:rFonts w:eastAsia="Batang"/>
          <w:sz w:val="20"/>
          <w:szCs w:val="20"/>
          <w:lang w:val="en-US" w:eastAsia="es-MX"/>
        </w:rPr>
        <w:t>In addition</w:t>
      </w:r>
      <w:r w:rsidR="00CC51E5" w:rsidRPr="009D52FD">
        <w:rPr>
          <w:rFonts w:eastAsia="Batang"/>
          <w:sz w:val="20"/>
          <w:szCs w:val="20"/>
          <w:lang w:val="en-US" w:eastAsia="es-MX"/>
        </w:rPr>
        <w:t xml:space="preserve">, </w:t>
      </w:r>
      <w:r w:rsidR="003630BB" w:rsidRPr="009D52FD">
        <w:rPr>
          <w:rFonts w:eastAsia="Batang"/>
          <w:sz w:val="20"/>
          <w:szCs w:val="20"/>
          <w:lang w:val="en-US" w:eastAsia="es-MX"/>
        </w:rPr>
        <w:t>the Court</w:t>
      </w:r>
      <w:r w:rsidR="00CC51E5" w:rsidRPr="009D52FD">
        <w:rPr>
          <w:rFonts w:eastAsia="Batang"/>
          <w:sz w:val="20"/>
          <w:szCs w:val="20"/>
          <w:lang w:val="en-US" w:eastAsia="es-MX"/>
        </w:rPr>
        <w:t xml:space="preserve"> </w:t>
      </w:r>
      <w:r w:rsidR="007F2188" w:rsidRPr="009D52FD">
        <w:rPr>
          <w:rFonts w:eastAsia="Batang"/>
          <w:sz w:val="20"/>
          <w:szCs w:val="20"/>
          <w:lang w:val="en-US" w:eastAsia="es-MX"/>
        </w:rPr>
        <w:t>rec</w:t>
      </w:r>
      <w:r w:rsidRPr="009D52FD">
        <w:rPr>
          <w:rFonts w:eastAsia="Batang"/>
          <w:sz w:val="20"/>
          <w:szCs w:val="20"/>
          <w:lang w:val="en-US" w:eastAsia="es-MX"/>
        </w:rPr>
        <w:t xml:space="preserve">alls that, pursuant to Article 2 of the American Convention and Article 7(c) of the Convention of Belém do Pará, </w:t>
      </w:r>
      <w:r w:rsidR="00A32000" w:rsidRPr="009D52FD">
        <w:rPr>
          <w:rFonts w:eastAsia="Batang"/>
          <w:sz w:val="20"/>
          <w:szCs w:val="20"/>
          <w:lang w:val="en-US" w:eastAsia="es-MX"/>
        </w:rPr>
        <w:t xml:space="preserve">the States are obliged to adopt norms or implement the necessary measures </w:t>
      </w:r>
      <w:r w:rsidRPr="009D52FD">
        <w:rPr>
          <w:rFonts w:eastAsia="Batang"/>
          <w:sz w:val="20"/>
          <w:szCs w:val="20"/>
          <w:lang w:val="en-US" w:eastAsia="es-MX"/>
        </w:rPr>
        <w:t>t</w:t>
      </w:r>
      <w:r w:rsidR="00A32000" w:rsidRPr="009D52FD">
        <w:rPr>
          <w:rFonts w:eastAsia="Batang"/>
          <w:sz w:val="20"/>
          <w:szCs w:val="20"/>
          <w:lang w:val="en-US" w:eastAsia="es-MX"/>
        </w:rPr>
        <w:t>o</w:t>
      </w:r>
      <w:r w:rsidRPr="009D52FD">
        <w:rPr>
          <w:rFonts w:eastAsia="Batang"/>
          <w:sz w:val="20"/>
          <w:szCs w:val="20"/>
          <w:lang w:val="en-US" w:eastAsia="es-MX"/>
        </w:rPr>
        <w:t xml:space="preserve"> permit the authorities to conduct an investigation with due diligence in cases of</w:t>
      </w:r>
      <w:r w:rsidRPr="009D52FD">
        <w:rPr>
          <w:bCs/>
          <w:kern w:val="2"/>
          <w:sz w:val="20"/>
          <w:szCs w:val="20"/>
          <w:lang w:val="en-US" w:eastAsia="en-US"/>
        </w:rPr>
        <w:t xml:space="preserve"> </w:t>
      </w:r>
      <w:r w:rsidR="005935CA" w:rsidRPr="009D52FD">
        <w:rPr>
          <w:rFonts w:eastAsia="Batang"/>
          <w:sz w:val="20"/>
          <w:szCs w:val="20"/>
          <w:lang w:val="en-US" w:eastAsia="es-MX"/>
        </w:rPr>
        <w:t>violence against women</w:t>
      </w:r>
      <w:r w:rsidR="00481B94" w:rsidRPr="009D52FD">
        <w:rPr>
          <w:rFonts w:eastAsia="Batang"/>
          <w:sz w:val="20"/>
          <w:szCs w:val="20"/>
          <w:lang w:val="en-US" w:eastAsia="es-MX"/>
        </w:rPr>
        <w:t xml:space="preserve"> (</w:t>
      </w:r>
      <w:r w:rsidR="00481B94" w:rsidRPr="009D52FD">
        <w:rPr>
          <w:rFonts w:eastAsia="Batang"/>
          <w:i/>
          <w:sz w:val="20"/>
          <w:szCs w:val="20"/>
          <w:lang w:val="en-US" w:eastAsia="es-MX"/>
        </w:rPr>
        <w:t xml:space="preserve">supra </w:t>
      </w:r>
      <w:r w:rsidR="009459E7" w:rsidRPr="009D52FD">
        <w:rPr>
          <w:rFonts w:eastAsia="Batang"/>
          <w:sz w:val="20"/>
          <w:szCs w:val="20"/>
          <w:lang w:val="en-US" w:eastAsia="es-MX"/>
        </w:rPr>
        <w:t>para.</w:t>
      </w:r>
      <w:r w:rsidR="00481B94" w:rsidRPr="009D52FD">
        <w:rPr>
          <w:rFonts w:eastAsia="Batang"/>
          <w:sz w:val="20"/>
          <w:szCs w:val="20"/>
          <w:lang w:val="en-US" w:eastAsia="es-MX"/>
        </w:rPr>
        <w:t xml:space="preserve"> 131)</w:t>
      </w:r>
      <w:r w:rsidR="00CC51E5" w:rsidRPr="009D52FD">
        <w:rPr>
          <w:rFonts w:eastAsia="Batang"/>
          <w:sz w:val="20"/>
          <w:szCs w:val="20"/>
          <w:lang w:val="en-US" w:eastAsia="es-MX"/>
        </w:rPr>
        <w:t xml:space="preserve">. </w:t>
      </w:r>
      <w:r w:rsidR="00DE1BA0" w:rsidRPr="009D52FD">
        <w:rPr>
          <w:rFonts w:eastAsiaTheme="minorHAnsi" w:cstheme="minorBidi"/>
          <w:sz w:val="20"/>
          <w:szCs w:val="20"/>
          <w:lang w:val="en-US" w:eastAsia="en-US"/>
        </w:rPr>
        <w:t>Moreover</w:t>
      </w:r>
      <w:r w:rsidR="00CC51E5" w:rsidRPr="009D52FD">
        <w:rPr>
          <w:rFonts w:eastAsiaTheme="minorHAnsi" w:cstheme="minorBidi"/>
          <w:sz w:val="20"/>
          <w:szCs w:val="20"/>
          <w:lang w:val="en-US" w:eastAsia="en-US"/>
        </w:rPr>
        <w:t xml:space="preserve">, </w:t>
      </w:r>
      <w:r w:rsidR="003630BB" w:rsidRPr="009D52FD">
        <w:rPr>
          <w:rFonts w:eastAsiaTheme="minorHAnsi" w:cstheme="minorBidi"/>
          <w:sz w:val="20"/>
          <w:szCs w:val="20"/>
          <w:lang w:val="en-US" w:eastAsia="en-US"/>
        </w:rPr>
        <w:t>Articl</w:t>
      </w:r>
      <w:r w:rsidR="00DE1BA0" w:rsidRPr="009D52FD">
        <w:rPr>
          <w:rFonts w:eastAsiaTheme="minorHAnsi" w:cstheme="minorBidi"/>
          <w:sz w:val="20"/>
          <w:szCs w:val="20"/>
          <w:lang w:val="en-US" w:eastAsia="en-US"/>
        </w:rPr>
        <w:t>e</w:t>
      </w:r>
      <w:r w:rsidR="00CC51E5" w:rsidRPr="009D52FD">
        <w:rPr>
          <w:rFonts w:eastAsiaTheme="minorHAnsi" w:cstheme="minorBidi"/>
          <w:sz w:val="20"/>
          <w:szCs w:val="20"/>
          <w:lang w:val="en-US" w:eastAsia="en-US"/>
        </w:rPr>
        <w:t xml:space="preserve"> 2</w:t>
      </w:r>
      <w:r w:rsidR="003630BB" w:rsidRPr="009D52FD">
        <w:rPr>
          <w:rFonts w:eastAsiaTheme="minorHAnsi" w:cstheme="minorBidi"/>
          <w:sz w:val="20"/>
          <w:szCs w:val="20"/>
          <w:lang w:val="en-US" w:eastAsia="en-US"/>
        </w:rPr>
        <w:t xml:space="preserve"> of the Convention</w:t>
      </w:r>
      <w:r w:rsidR="00CC51E5" w:rsidRPr="009D52FD">
        <w:rPr>
          <w:rFonts w:eastAsiaTheme="minorHAnsi" w:cstheme="minorBidi"/>
          <w:sz w:val="20"/>
          <w:szCs w:val="20"/>
          <w:lang w:val="en-US" w:eastAsia="en-US"/>
        </w:rPr>
        <w:t xml:space="preserve"> require</w:t>
      </w:r>
      <w:r w:rsidR="00DE1BA0" w:rsidRPr="009D52FD">
        <w:rPr>
          <w:rFonts w:eastAsiaTheme="minorHAnsi" w:cstheme="minorBidi"/>
          <w:sz w:val="20"/>
          <w:szCs w:val="20"/>
          <w:lang w:val="en-US" w:eastAsia="en-US"/>
        </w:rPr>
        <w:t xml:space="preserve">s the elimination of norms and practices of any nature that entail a violation of the guarantees established in </w:t>
      </w:r>
      <w:r w:rsidR="003630BB" w:rsidRPr="009D52FD">
        <w:rPr>
          <w:rFonts w:eastAsiaTheme="minorHAnsi" w:cstheme="minorBidi"/>
          <w:sz w:val="20"/>
          <w:szCs w:val="20"/>
          <w:lang w:val="en-US" w:eastAsia="en-US"/>
        </w:rPr>
        <w:t>the Convention</w:t>
      </w:r>
      <w:r w:rsidR="00DE1BA0" w:rsidRPr="009D52FD">
        <w:rPr>
          <w:rFonts w:eastAsiaTheme="minorHAnsi" w:cstheme="minorBidi"/>
          <w:sz w:val="20"/>
          <w:szCs w:val="20"/>
          <w:lang w:val="en-US" w:eastAsia="en-US"/>
        </w:rPr>
        <w:t>.</w:t>
      </w:r>
      <w:r w:rsidR="00CC51E5" w:rsidRPr="009D52FD">
        <w:rPr>
          <w:rFonts w:eastAsiaTheme="minorHAnsi"/>
          <w:sz w:val="20"/>
          <w:szCs w:val="20"/>
          <w:vertAlign w:val="superscript"/>
          <w:lang w:val="en-US" w:eastAsia="en-US"/>
        </w:rPr>
        <w:footnoteReference w:id="306"/>
      </w:r>
    </w:p>
    <w:p w14:paraId="550789D6" w14:textId="77777777" w:rsidR="00FE09C9" w:rsidRPr="009D52FD" w:rsidRDefault="00FE09C9" w:rsidP="00FE09C9">
      <w:pPr>
        <w:widowControl/>
        <w:tabs>
          <w:tab w:val="left" w:pos="567"/>
        </w:tabs>
        <w:adjustRightInd/>
        <w:spacing w:line="240" w:lineRule="auto"/>
        <w:textAlignment w:val="auto"/>
        <w:rPr>
          <w:rFonts w:eastAsia="Calibri"/>
          <w:b/>
          <w:kern w:val="2"/>
          <w:sz w:val="20"/>
          <w:szCs w:val="20"/>
          <w:lang w:val="en-US" w:eastAsia="en-US"/>
        </w:rPr>
      </w:pPr>
    </w:p>
    <w:p w14:paraId="1D3FA964" w14:textId="288BEDCB" w:rsidR="005F58B8" w:rsidRPr="009D52FD" w:rsidRDefault="00DE1BA0" w:rsidP="00DE1BA0">
      <w:pPr>
        <w:numPr>
          <w:ilvl w:val="0"/>
          <w:numId w:val="1"/>
        </w:numPr>
        <w:tabs>
          <w:tab w:val="left" w:pos="567"/>
          <w:tab w:val="num" w:pos="1427"/>
        </w:tabs>
        <w:spacing w:line="240" w:lineRule="auto"/>
        <w:ind w:left="0" w:firstLine="0"/>
        <w:rPr>
          <w:rFonts w:eastAsia="Batang"/>
          <w:spacing w:val="-2"/>
          <w:sz w:val="20"/>
          <w:szCs w:val="20"/>
          <w:lang w:val="en-US"/>
        </w:rPr>
      </w:pPr>
      <w:bookmarkStart w:id="91" w:name="_Ref375008252"/>
      <w:r w:rsidRPr="009D52FD">
        <w:rPr>
          <w:rFonts w:eastAsia="Batang"/>
          <w:spacing w:val="-2"/>
          <w:sz w:val="20"/>
          <w:szCs w:val="20"/>
          <w:lang w:val="en-US"/>
        </w:rPr>
        <w:t>In this case,</w:t>
      </w:r>
      <w:r w:rsidR="005F58B8" w:rsidRPr="009D52FD">
        <w:rPr>
          <w:rFonts w:eastAsia="Batang"/>
          <w:spacing w:val="-2"/>
          <w:sz w:val="20"/>
          <w:szCs w:val="20"/>
          <w:lang w:val="en-US"/>
        </w:rPr>
        <w:t xml:space="preserve"> </w:t>
      </w:r>
      <w:r w:rsidR="003630BB" w:rsidRPr="009D52FD">
        <w:rPr>
          <w:rFonts w:eastAsia="Batang"/>
          <w:spacing w:val="-2"/>
          <w:sz w:val="20"/>
          <w:szCs w:val="20"/>
          <w:lang w:val="en-US"/>
        </w:rPr>
        <w:t>the Court</w:t>
      </w:r>
      <w:r w:rsidR="005F58B8" w:rsidRPr="009D52FD">
        <w:rPr>
          <w:rFonts w:eastAsia="Batang"/>
          <w:spacing w:val="-2"/>
          <w:sz w:val="20"/>
          <w:szCs w:val="20"/>
          <w:lang w:val="en-US"/>
        </w:rPr>
        <w:t xml:space="preserve"> </w:t>
      </w:r>
      <w:r w:rsidRPr="009D52FD">
        <w:rPr>
          <w:rFonts w:eastAsia="Batang"/>
          <w:spacing w:val="-2"/>
          <w:sz w:val="20"/>
          <w:szCs w:val="20"/>
          <w:lang w:val="en-US"/>
        </w:rPr>
        <w:t xml:space="preserve">has determined that the acts suffered by Linda Loaiza López Soto relate to different human rights violations that were classified not only as violations of her </w:t>
      </w:r>
      <w:r w:rsidR="00997ADF" w:rsidRPr="009D52FD">
        <w:rPr>
          <w:rFonts w:eastAsia="Batang"/>
          <w:spacing w:val="-2"/>
          <w:sz w:val="20"/>
          <w:szCs w:val="20"/>
          <w:lang w:val="en-US"/>
        </w:rPr>
        <w:t>personal integrity</w:t>
      </w:r>
      <w:r w:rsidR="00890854" w:rsidRPr="009D52FD">
        <w:rPr>
          <w:rFonts w:eastAsia="Batang"/>
          <w:spacing w:val="-2"/>
          <w:sz w:val="20"/>
          <w:szCs w:val="20"/>
          <w:lang w:val="en-US"/>
        </w:rPr>
        <w:t xml:space="preserve">, </w:t>
      </w:r>
      <w:r w:rsidR="00996337" w:rsidRPr="009D52FD">
        <w:rPr>
          <w:rFonts w:eastAsia="Batang"/>
          <w:spacing w:val="-2"/>
          <w:sz w:val="20"/>
          <w:szCs w:val="20"/>
          <w:lang w:val="en-US"/>
        </w:rPr>
        <w:t>dignity, autonomy and privacy</w:t>
      </w:r>
      <w:r w:rsidR="005F58B8" w:rsidRPr="009D52FD">
        <w:rPr>
          <w:rFonts w:eastAsia="Batang"/>
          <w:spacing w:val="-2"/>
          <w:sz w:val="20"/>
          <w:szCs w:val="20"/>
          <w:lang w:val="en-US"/>
        </w:rPr>
        <w:t xml:space="preserve">, </w:t>
      </w:r>
      <w:r w:rsidRPr="009D52FD">
        <w:rPr>
          <w:rFonts w:eastAsia="Batang"/>
          <w:spacing w:val="-2"/>
          <w:sz w:val="20"/>
          <w:szCs w:val="20"/>
          <w:lang w:val="en-US"/>
        </w:rPr>
        <w:t>but also as acts of torture</w:t>
      </w:r>
      <w:r w:rsidR="003630BB" w:rsidRPr="009D52FD">
        <w:rPr>
          <w:rFonts w:eastAsia="Batang"/>
          <w:spacing w:val="-2"/>
          <w:sz w:val="20"/>
          <w:szCs w:val="20"/>
          <w:lang w:val="en-US"/>
        </w:rPr>
        <w:t xml:space="preserve"> and </w:t>
      </w:r>
      <w:r w:rsidR="00CE1F61" w:rsidRPr="009D52FD">
        <w:rPr>
          <w:rFonts w:eastAsia="Batang"/>
          <w:spacing w:val="-2"/>
          <w:sz w:val="20"/>
          <w:szCs w:val="20"/>
          <w:lang w:val="en-US"/>
        </w:rPr>
        <w:t>sexual slavery</w:t>
      </w:r>
      <w:r w:rsidR="005F58B8" w:rsidRPr="009D52FD">
        <w:rPr>
          <w:rFonts w:eastAsia="Batang"/>
          <w:spacing w:val="-2"/>
          <w:sz w:val="20"/>
          <w:szCs w:val="20"/>
          <w:lang w:val="en-US"/>
        </w:rPr>
        <w:t xml:space="preserve">, </w:t>
      </w:r>
      <w:r w:rsidRPr="009D52FD">
        <w:rPr>
          <w:rFonts w:eastAsia="Batang"/>
          <w:spacing w:val="-2"/>
          <w:sz w:val="20"/>
          <w:szCs w:val="20"/>
          <w:lang w:val="en-US"/>
        </w:rPr>
        <w:t>pursuant to</w:t>
      </w:r>
      <w:r w:rsidR="005F58B8" w:rsidRPr="009D52FD">
        <w:rPr>
          <w:rFonts w:eastAsia="Batang"/>
          <w:spacing w:val="-2"/>
          <w:sz w:val="20"/>
          <w:szCs w:val="20"/>
          <w:lang w:val="en-US"/>
        </w:rPr>
        <w:t xml:space="preserve"> </w:t>
      </w:r>
      <w:r w:rsidR="003630BB" w:rsidRPr="009D52FD">
        <w:rPr>
          <w:rFonts w:eastAsia="Batang"/>
          <w:spacing w:val="-2"/>
          <w:sz w:val="20"/>
          <w:szCs w:val="20"/>
          <w:lang w:val="en-US"/>
        </w:rPr>
        <w:lastRenderedPageBreak/>
        <w:t>the American Convention</w:t>
      </w:r>
      <w:r w:rsidR="005F58B8" w:rsidRPr="009D52FD">
        <w:rPr>
          <w:rFonts w:eastAsia="Batang"/>
          <w:spacing w:val="-2"/>
          <w:sz w:val="20"/>
          <w:szCs w:val="20"/>
          <w:lang w:val="en-US"/>
        </w:rPr>
        <w:t xml:space="preserve">. </w:t>
      </w:r>
      <w:r w:rsidRPr="009D52FD">
        <w:rPr>
          <w:rFonts w:eastAsia="Batang"/>
          <w:spacing w:val="-2"/>
          <w:sz w:val="20"/>
          <w:szCs w:val="20"/>
          <w:lang w:val="en-US"/>
        </w:rPr>
        <w:t xml:space="preserve">Consequently, when addressing the obligation to investigate, the </w:t>
      </w:r>
      <w:r w:rsidR="00A32000" w:rsidRPr="009D52FD">
        <w:rPr>
          <w:rFonts w:eastAsia="Batang"/>
          <w:spacing w:val="-2"/>
          <w:sz w:val="20"/>
          <w:szCs w:val="20"/>
          <w:lang w:val="en-US"/>
        </w:rPr>
        <w:t>relevant</w:t>
      </w:r>
      <w:r w:rsidRPr="009D52FD">
        <w:rPr>
          <w:rFonts w:eastAsia="Batang"/>
          <w:spacing w:val="-2"/>
          <w:sz w:val="20"/>
          <w:szCs w:val="20"/>
          <w:lang w:val="en-US"/>
        </w:rPr>
        <w:t xml:space="preserve"> </w:t>
      </w:r>
      <w:r w:rsidR="00A32000" w:rsidRPr="009D52FD">
        <w:rPr>
          <w:rFonts w:eastAsia="Batang"/>
          <w:spacing w:val="-2"/>
          <w:sz w:val="20"/>
          <w:szCs w:val="20"/>
          <w:lang w:val="en-US"/>
        </w:rPr>
        <w:t xml:space="preserve">standards </w:t>
      </w:r>
      <w:r w:rsidRPr="009D52FD">
        <w:rPr>
          <w:rFonts w:eastAsia="Batang"/>
          <w:spacing w:val="-2"/>
          <w:sz w:val="20"/>
          <w:szCs w:val="20"/>
          <w:lang w:val="en-US"/>
        </w:rPr>
        <w:t>developed by the Court in th</w:t>
      </w:r>
      <w:r w:rsidR="00A32000" w:rsidRPr="009D52FD">
        <w:rPr>
          <w:rFonts w:eastAsia="Batang"/>
          <w:spacing w:val="-2"/>
          <w:sz w:val="20"/>
          <w:szCs w:val="20"/>
          <w:lang w:val="en-US"/>
        </w:rPr>
        <w:t>os</w:t>
      </w:r>
      <w:r w:rsidRPr="009D52FD">
        <w:rPr>
          <w:rFonts w:eastAsia="Batang"/>
          <w:spacing w:val="-2"/>
          <w:sz w:val="20"/>
          <w:szCs w:val="20"/>
          <w:lang w:val="en-US"/>
        </w:rPr>
        <w:t>e different spheres must be taken into account to ensure that the investigations and criminal proceedings are executed with due diligence.</w:t>
      </w:r>
      <w:r w:rsidR="009D0F87" w:rsidRPr="009D52FD">
        <w:rPr>
          <w:rFonts w:eastAsia="Batang"/>
          <w:kern w:val="2"/>
          <w:sz w:val="20"/>
          <w:szCs w:val="20"/>
          <w:vertAlign w:val="superscript"/>
          <w:lang w:val="en-US" w:eastAsia="en-US"/>
        </w:rPr>
        <w:footnoteReference w:id="307"/>
      </w:r>
    </w:p>
    <w:bookmarkEnd w:id="91"/>
    <w:p w14:paraId="2E522238" w14:textId="77777777" w:rsidR="009E4F6C" w:rsidRPr="009D52FD" w:rsidRDefault="009E4F6C" w:rsidP="009E4F6C">
      <w:pPr>
        <w:widowControl/>
        <w:tabs>
          <w:tab w:val="left" w:pos="567"/>
        </w:tabs>
        <w:adjustRightInd/>
        <w:spacing w:line="240" w:lineRule="auto"/>
        <w:textAlignment w:val="auto"/>
        <w:rPr>
          <w:bCs/>
          <w:kern w:val="2"/>
          <w:sz w:val="20"/>
          <w:szCs w:val="20"/>
          <w:lang w:val="en-US" w:eastAsia="en-US"/>
        </w:rPr>
      </w:pPr>
    </w:p>
    <w:p w14:paraId="1FF77D5C" w14:textId="7D715B59" w:rsidR="00D47C98" w:rsidRPr="009D52FD" w:rsidRDefault="00DE1BA0" w:rsidP="00DE1BA0">
      <w:pPr>
        <w:numPr>
          <w:ilvl w:val="0"/>
          <w:numId w:val="1"/>
        </w:numPr>
        <w:tabs>
          <w:tab w:val="left" w:pos="567"/>
        </w:tabs>
        <w:spacing w:line="240" w:lineRule="auto"/>
        <w:ind w:left="0" w:firstLine="0"/>
        <w:rPr>
          <w:spacing w:val="-2"/>
          <w:sz w:val="20"/>
          <w:szCs w:val="20"/>
          <w:lang w:val="en-US"/>
        </w:rPr>
      </w:pPr>
      <w:r w:rsidRPr="009D52FD">
        <w:rPr>
          <w:rFonts w:eastAsia="Batang"/>
          <w:bCs/>
          <w:spacing w:val="-2"/>
          <w:sz w:val="20"/>
          <w:szCs w:val="20"/>
          <w:lang w:val="en-US"/>
        </w:rPr>
        <w:t>The</w:t>
      </w:r>
      <w:r w:rsidR="003630BB" w:rsidRPr="009D52FD">
        <w:rPr>
          <w:rFonts w:eastAsia="Batang"/>
          <w:bCs/>
          <w:spacing w:val="-2"/>
          <w:sz w:val="20"/>
          <w:szCs w:val="20"/>
          <w:lang w:val="en-US"/>
        </w:rPr>
        <w:t xml:space="preserve"> Court</w:t>
      </w:r>
      <w:r w:rsidR="00D47C98" w:rsidRPr="009D52FD">
        <w:rPr>
          <w:rFonts w:eastAsia="Batang"/>
          <w:bCs/>
          <w:spacing w:val="-2"/>
          <w:sz w:val="20"/>
          <w:szCs w:val="20"/>
          <w:lang w:val="en-US"/>
        </w:rPr>
        <w:t xml:space="preserve"> </w:t>
      </w:r>
      <w:r w:rsidRPr="009D52FD">
        <w:rPr>
          <w:rFonts w:eastAsia="Batang"/>
          <w:bCs/>
          <w:spacing w:val="-2"/>
          <w:sz w:val="20"/>
          <w:szCs w:val="20"/>
          <w:lang w:val="en-US"/>
        </w:rPr>
        <w:t xml:space="preserve">also notes that, with regard to </w:t>
      </w:r>
      <w:r w:rsidR="005935CA" w:rsidRPr="009D52FD">
        <w:rPr>
          <w:rFonts w:eastAsia="Batang"/>
          <w:bCs/>
          <w:spacing w:val="-2"/>
          <w:sz w:val="20"/>
          <w:szCs w:val="20"/>
          <w:lang w:val="en-US"/>
        </w:rPr>
        <w:t>violence against women</w:t>
      </w:r>
      <w:r w:rsidR="00D47C98" w:rsidRPr="009D52FD">
        <w:rPr>
          <w:rFonts w:eastAsia="Batang"/>
          <w:bCs/>
          <w:spacing w:val="-2"/>
          <w:sz w:val="20"/>
          <w:szCs w:val="20"/>
          <w:lang w:val="en-US"/>
        </w:rPr>
        <w:t>,</w:t>
      </w:r>
      <w:r w:rsidRPr="009D52FD">
        <w:rPr>
          <w:rFonts w:eastAsia="Batang"/>
          <w:bCs/>
          <w:spacing w:val="-2"/>
          <w:sz w:val="20"/>
          <w:szCs w:val="20"/>
          <w:lang w:val="en-US"/>
        </w:rPr>
        <w:t xml:space="preserve"> women face certain obstacles and restrictions when having recourse to the state authorities that </w:t>
      </w:r>
      <w:r w:rsidR="005A5018" w:rsidRPr="009D52FD">
        <w:rPr>
          <w:rFonts w:eastAsia="Batang"/>
          <w:bCs/>
          <w:spacing w:val="-2"/>
          <w:sz w:val="20"/>
          <w:szCs w:val="20"/>
          <w:lang w:val="en-US"/>
        </w:rPr>
        <w:t>impede</w:t>
      </w:r>
      <w:r w:rsidRPr="009D52FD">
        <w:rPr>
          <w:rFonts w:eastAsia="Batang"/>
          <w:bCs/>
          <w:spacing w:val="-2"/>
          <w:sz w:val="20"/>
          <w:szCs w:val="20"/>
          <w:lang w:val="en-US"/>
        </w:rPr>
        <w:t xml:space="preserve"> the effective </w:t>
      </w:r>
      <w:r w:rsidR="005A5018" w:rsidRPr="009D52FD">
        <w:rPr>
          <w:rFonts w:eastAsia="Batang"/>
          <w:bCs/>
          <w:spacing w:val="-2"/>
          <w:sz w:val="20"/>
          <w:szCs w:val="20"/>
          <w:lang w:val="en-US"/>
        </w:rPr>
        <w:t>realization</w:t>
      </w:r>
      <w:r w:rsidRPr="009D52FD">
        <w:rPr>
          <w:rFonts w:eastAsia="Batang"/>
          <w:bCs/>
          <w:spacing w:val="-2"/>
          <w:sz w:val="20"/>
          <w:szCs w:val="20"/>
          <w:lang w:val="en-US"/>
        </w:rPr>
        <w:t xml:space="preserve"> of their right of access to justice.</w:t>
      </w:r>
      <w:r w:rsidRPr="009D52FD">
        <w:rPr>
          <w:rFonts w:eastAsiaTheme="minorHAnsi" w:cstheme="minorBidi"/>
          <w:sz w:val="20"/>
          <w:szCs w:val="20"/>
          <w:vertAlign w:val="superscript"/>
          <w:lang w:val="en-US"/>
        </w:rPr>
        <w:footnoteReference w:id="308"/>
      </w:r>
      <w:r w:rsidRPr="009D52FD">
        <w:rPr>
          <w:rFonts w:eastAsia="Batang"/>
          <w:bCs/>
          <w:spacing w:val="-2"/>
          <w:sz w:val="20"/>
          <w:szCs w:val="20"/>
          <w:lang w:val="en-US"/>
        </w:rPr>
        <w:t xml:space="preserve"> In this regard, the absence of gender training and awareness of the state agents in the institutions involved in the investigation</w:t>
      </w:r>
      <w:r w:rsidR="00A32000" w:rsidRPr="009D52FD">
        <w:rPr>
          <w:rFonts w:eastAsia="Batang"/>
          <w:bCs/>
          <w:spacing w:val="-2"/>
          <w:sz w:val="20"/>
          <w:szCs w:val="20"/>
          <w:lang w:val="en-US"/>
        </w:rPr>
        <w:t>s</w:t>
      </w:r>
      <w:r w:rsidRPr="009D52FD">
        <w:rPr>
          <w:rFonts w:eastAsia="Batang"/>
          <w:bCs/>
          <w:spacing w:val="-2"/>
          <w:sz w:val="20"/>
          <w:szCs w:val="20"/>
          <w:lang w:val="en-US"/>
        </w:rPr>
        <w:t xml:space="preserve"> and the administration of justice, a</w:t>
      </w:r>
      <w:r w:rsidR="00A32000" w:rsidRPr="009D52FD">
        <w:rPr>
          <w:rFonts w:eastAsia="Batang"/>
          <w:bCs/>
          <w:spacing w:val="-2"/>
          <w:sz w:val="20"/>
          <w:szCs w:val="20"/>
          <w:lang w:val="en-US"/>
        </w:rPr>
        <w:t>s well as</w:t>
      </w:r>
      <w:r w:rsidRPr="009D52FD">
        <w:rPr>
          <w:rFonts w:eastAsia="Batang"/>
          <w:bCs/>
          <w:spacing w:val="-2"/>
          <w:sz w:val="20"/>
          <w:szCs w:val="20"/>
          <w:lang w:val="en-US"/>
        </w:rPr>
        <w:t xml:space="preserve"> the existence of stereotypes that </w:t>
      </w:r>
      <w:r w:rsidR="00E510B3" w:rsidRPr="009D52FD">
        <w:rPr>
          <w:rFonts w:eastAsia="Batang"/>
          <w:bCs/>
          <w:spacing w:val="-2"/>
          <w:sz w:val="20"/>
          <w:szCs w:val="20"/>
          <w:lang w:val="en-US"/>
        </w:rPr>
        <w:t xml:space="preserve">detract from the credibility of the statements made by women victims, constitute fundamental factors that, together with the </w:t>
      </w:r>
      <w:r w:rsidR="00A32000" w:rsidRPr="009D52FD">
        <w:rPr>
          <w:rFonts w:eastAsia="Batang"/>
          <w:bCs/>
          <w:spacing w:val="-2"/>
          <w:sz w:val="20"/>
          <w:szCs w:val="20"/>
          <w:lang w:val="en-US"/>
        </w:rPr>
        <w:t>high</w:t>
      </w:r>
      <w:r w:rsidR="00E510B3" w:rsidRPr="009D52FD">
        <w:rPr>
          <w:rFonts w:eastAsia="Batang"/>
          <w:bCs/>
          <w:spacing w:val="-2"/>
          <w:sz w:val="20"/>
          <w:szCs w:val="20"/>
          <w:lang w:val="en-US"/>
        </w:rPr>
        <w:t xml:space="preserve"> rates of impunity in cases of this nature,</w:t>
      </w:r>
      <w:r w:rsidR="00D47C98" w:rsidRPr="009D52FD">
        <w:rPr>
          <w:rStyle w:val="FootnoteReference"/>
          <w:rFonts w:eastAsiaTheme="minorHAnsi" w:cstheme="minorBidi"/>
          <w:sz w:val="20"/>
          <w:szCs w:val="20"/>
          <w:lang w:val="en-US"/>
        </w:rPr>
        <w:footnoteReference w:id="309"/>
      </w:r>
      <w:r w:rsidR="00E510B3" w:rsidRPr="009D52FD">
        <w:rPr>
          <w:rFonts w:eastAsiaTheme="minorHAnsi" w:cstheme="minorBidi"/>
          <w:sz w:val="20"/>
          <w:szCs w:val="20"/>
          <w:lang w:val="en-US"/>
        </w:rPr>
        <w:t xml:space="preserve"> lead women to decide not to report acts </w:t>
      </w:r>
      <w:r w:rsidR="00544F92" w:rsidRPr="009D52FD">
        <w:rPr>
          <w:rFonts w:eastAsiaTheme="minorHAnsi" w:cstheme="minorBidi"/>
          <w:sz w:val="20"/>
          <w:szCs w:val="20"/>
          <w:lang w:val="en-US"/>
        </w:rPr>
        <w:t>of</w:t>
      </w:r>
      <w:r w:rsidR="00E510B3" w:rsidRPr="009D52FD">
        <w:rPr>
          <w:rFonts w:eastAsiaTheme="minorHAnsi" w:cstheme="minorBidi"/>
          <w:sz w:val="20"/>
          <w:szCs w:val="20"/>
          <w:lang w:val="en-US"/>
        </w:rPr>
        <w:t xml:space="preserve"> violence or not to continue with</w:t>
      </w:r>
      <w:r w:rsidR="00A32000" w:rsidRPr="009D52FD">
        <w:rPr>
          <w:rFonts w:eastAsiaTheme="minorHAnsi" w:cstheme="minorBidi"/>
          <w:sz w:val="20"/>
          <w:szCs w:val="20"/>
          <w:lang w:val="en-US"/>
        </w:rPr>
        <w:t xml:space="preserve"> the</w:t>
      </w:r>
      <w:r w:rsidR="00E510B3" w:rsidRPr="009D52FD">
        <w:rPr>
          <w:rFonts w:eastAsiaTheme="minorHAnsi" w:cstheme="minorBidi"/>
          <w:sz w:val="20"/>
          <w:szCs w:val="20"/>
          <w:lang w:val="en-US"/>
        </w:rPr>
        <w:t xml:space="preserve"> legal proceedings undertaken.</w:t>
      </w:r>
      <w:r w:rsidR="00D47C98" w:rsidRPr="009D52FD">
        <w:rPr>
          <w:rStyle w:val="FootnoteReference"/>
          <w:rFonts w:eastAsiaTheme="minorHAnsi" w:cstheme="minorBidi"/>
          <w:sz w:val="20"/>
          <w:szCs w:val="20"/>
          <w:lang w:val="en-US"/>
        </w:rPr>
        <w:footnoteReference w:id="310"/>
      </w:r>
      <w:r w:rsidR="00E510B3" w:rsidRPr="009D52FD">
        <w:rPr>
          <w:rFonts w:eastAsiaTheme="minorHAnsi" w:cstheme="minorBidi"/>
          <w:sz w:val="20"/>
          <w:szCs w:val="20"/>
          <w:lang w:val="en-US"/>
        </w:rPr>
        <w:t xml:space="preserve"> To these factors should be added the lack of access to quality legal assistance and </w:t>
      </w:r>
      <w:r w:rsidR="00A32000" w:rsidRPr="009D52FD">
        <w:rPr>
          <w:rFonts w:eastAsiaTheme="minorHAnsi" w:cstheme="minorBidi"/>
          <w:sz w:val="20"/>
          <w:szCs w:val="20"/>
          <w:lang w:val="en-US"/>
        </w:rPr>
        <w:t xml:space="preserve">the </w:t>
      </w:r>
      <w:r w:rsidR="00E510B3" w:rsidRPr="009D52FD">
        <w:rPr>
          <w:rFonts w:eastAsiaTheme="minorHAnsi" w:cstheme="minorBidi"/>
          <w:sz w:val="20"/>
          <w:szCs w:val="20"/>
          <w:lang w:val="en-US"/>
        </w:rPr>
        <w:t xml:space="preserve">services able to provide social assistance and care to victims, and also the failure of the state authorities who intervene in this type of </w:t>
      </w:r>
      <w:r w:rsidR="00A32000" w:rsidRPr="009D52FD">
        <w:rPr>
          <w:rFonts w:eastAsiaTheme="minorHAnsi" w:cstheme="minorBidi"/>
          <w:sz w:val="20"/>
          <w:szCs w:val="20"/>
          <w:lang w:val="en-US"/>
        </w:rPr>
        <w:t xml:space="preserve">incident </w:t>
      </w:r>
      <w:r w:rsidR="00E510B3" w:rsidRPr="009D52FD">
        <w:rPr>
          <w:rFonts w:eastAsiaTheme="minorHAnsi" w:cstheme="minorBidi"/>
          <w:sz w:val="20"/>
          <w:szCs w:val="20"/>
          <w:lang w:val="en-US"/>
        </w:rPr>
        <w:t>to adopt immediate measures of protection.</w:t>
      </w:r>
      <w:r w:rsidR="00D47C98" w:rsidRPr="009D52FD">
        <w:rPr>
          <w:rStyle w:val="FootnoteReference"/>
          <w:rFonts w:eastAsiaTheme="minorHAnsi" w:cstheme="minorBidi"/>
          <w:sz w:val="20"/>
          <w:szCs w:val="20"/>
          <w:lang w:val="en-US"/>
        </w:rPr>
        <w:footnoteReference w:id="311"/>
      </w:r>
    </w:p>
    <w:p w14:paraId="7491030B" w14:textId="77777777" w:rsidR="00D47C98" w:rsidRPr="009D52FD" w:rsidRDefault="00D47C98" w:rsidP="00D47C98">
      <w:pPr>
        <w:spacing w:line="240" w:lineRule="auto"/>
        <w:contextualSpacing/>
        <w:rPr>
          <w:spacing w:val="-2"/>
          <w:sz w:val="20"/>
          <w:szCs w:val="20"/>
          <w:lang w:val="en-US"/>
        </w:rPr>
      </w:pPr>
    </w:p>
    <w:p w14:paraId="7A2EA7EA" w14:textId="4AC8E3B2" w:rsidR="004F5346" w:rsidRPr="009D52FD" w:rsidRDefault="00E510B3" w:rsidP="004F5346">
      <w:pPr>
        <w:numPr>
          <w:ilvl w:val="0"/>
          <w:numId w:val="1"/>
        </w:numPr>
        <w:tabs>
          <w:tab w:val="left" w:pos="567"/>
        </w:tabs>
        <w:spacing w:line="240" w:lineRule="auto"/>
        <w:ind w:left="0" w:firstLine="0"/>
        <w:rPr>
          <w:spacing w:val="-2"/>
          <w:sz w:val="20"/>
          <w:szCs w:val="20"/>
          <w:lang w:val="en-US"/>
        </w:rPr>
      </w:pPr>
      <w:r w:rsidRPr="009D52FD">
        <w:rPr>
          <w:spacing w:val="-2"/>
          <w:sz w:val="20"/>
          <w:szCs w:val="20"/>
          <w:lang w:val="en-US"/>
        </w:rPr>
        <w:t>I</w:t>
      </w:r>
      <w:r w:rsidR="004F5346" w:rsidRPr="009D52FD">
        <w:rPr>
          <w:spacing w:val="-2"/>
          <w:sz w:val="20"/>
          <w:szCs w:val="20"/>
          <w:lang w:val="en-US"/>
        </w:rPr>
        <w:t xml:space="preserve">n </w:t>
      </w:r>
      <w:r w:rsidR="004F5346" w:rsidRPr="009D52FD">
        <w:rPr>
          <w:rFonts w:eastAsia="Batang"/>
          <w:spacing w:val="-2"/>
          <w:sz w:val="20"/>
          <w:szCs w:val="20"/>
          <w:lang w:val="en-US"/>
        </w:rPr>
        <w:t>particular</w:t>
      </w:r>
      <w:r w:rsidR="004F5346" w:rsidRPr="009D52FD">
        <w:rPr>
          <w:spacing w:val="-2"/>
          <w:sz w:val="20"/>
          <w:szCs w:val="20"/>
          <w:lang w:val="en-US"/>
        </w:rPr>
        <w:t xml:space="preserve">, </w:t>
      </w:r>
      <w:r w:rsidRPr="009D52FD">
        <w:rPr>
          <w:spacing w:val="-2"/>
          <w:sz w:val="20"/>
          <w:szCs w:val="20"/>
          <w:lang w:val="en-US"/>
        </w:rPr>
        <w:t xml:space="preserve">regarding victims of </w:t>
      </w:r>
      <w:r w:rsidR="0081578D" w:rsidRPr="009D52FD">
        <w:rPr>
          <w:spacing w:val="-2"/>
          <w:sz w:val="20"/>
          <w:szCs w:val="20"/>
          <w:lang w:val="en-US"/>
        </w:rPr>
        <w:t>sexual violence</w:t>
      </w:r>
      <w:r w:rsidR="004F5346" w:rsidRPr="009D52FD">
        <w:rPr>
          <w:spacing w:val="-2"/>
          <w:sz w:val="20"/>
          <w:szCs w:val="20"/>
          <w:lang w:val="en-US"/>
        </w:rPr>
        <w:t xml:space="preserve">, </w:t>
      </w:r>
      <w:r w:rsidRPr="009D52FD">
        <w:rPr>
          <w:spacing w:val="-2"/>
          <w:sz w:val="20"/>
          <w:szCs w:val="20"/>
          <w:lang w:val="en-US"/>
        </w:rPr>
        <w:t>expert witness</w:t>
      </w:r>
      <w:r w:rsidR="004F5346" w:rsidRPr="009D52FD">
        <w:rPr>
          <w:spacing w:val="-2"/>
          <w:sz w:val="20"/>
          <w:szCs w:val="20"/>
          <w:lang w:val="en-US"/>
        </w:rPr>
        <w:t xml:space="preserve"> Kravetz </w:t>
      </w:r>
      <w:r w:rsidRPr="009D52FD">
        <w:rPr>
          <w:spacing w:val="-2"/>
          <w:sz w:val="20"/>
          <w:szCs w:val="20"/>
          <w:lang w:val="en-US"/>
        </w:rPr>
        <w:t>indicated that</w:t>
      </w:r>
      <w:r w:rsidR="004F5346" w:rsidRPr="009D52FD">
        <w:rPr>
          <w:spacing w:val="-2"/>
          <w:sz w:val="20"/>
          <w:szCs w:val="20"/>
          <w:lang w:val="en-US"/>
        </w:rPr>
        <w:t>:</w:t>
      </w:r>
    </w:p>
    <w:p w14:paraId="6AECC400" w14:textId="77777777" w:rsidR="004F5346" w:rsidRPr="009D52FD" w:rsidRDefault="004F5346" w:rsidP="004F5346">
      <w:pPr>
        <w:spacing w:line="240" w:lineRule="auto"/>
        <w:ind w:left="708" w:right="582"/>
        <w:contextualSpacing/>
        <w:rPr>
          <w:spacing w:val="-2"/>
          <w:sz w:val="16"/>
          <w:szCs w:val="16"/>
          <w:lang w:val="en-US"/>
        </w:rPr>
      </w:pPr>
    </w:p>
    <w:p w14:paraId="182827EB" w14:textId="2A5C4A41" w:rsidR="004F5346" w:rsidRPr="009D52FD" w:rsidRDefault="00E510B3" w:rsidP="0078486F">
      <w:pPr>
        <w:pStyle w:val="Default"/>
        <w:ind w:left="567" w:right="582"/>
        <w:jc w:val="both"/>
        <w:rPr>
          <w:sz w:val="16"/>
          <w:szCs w:val="16"/>
          <w:lang w:val="en-US"/>
        </w:rPr>
      </w:pPr>
      <w:r w:rsidRPr="009D52FD">
        <w:rPr>
          <w:sz w:val="16"/>
          <w:szCs w:val="16"/>
          <w:lang w:val="en-US"/>
        </w:rPr>
        <w:t>In cases of sexual violence, the activities of investigation and prosecution should adopt an approach centered on the victim. This means that the agents of justice must prioritize the safety, privacy and well-being of the victims, verifying the risks, the conditions of special vulnerability, and the differentiated needs they may have to ensure their effective participation in the investigation and in the eventual criminal proceedings. This approach also requires the agents of justice to understand the differentiated impacts, reactions and needs that victims of sexual violence may have in relation to traumatic acts, and adapt their procedures in order to act with sensitivity and professionalism towards the victims, avoiding their revictimization. Lastly, it requires</w:t>
      </w:r>
      <w:r w:rsidR="0078486F" w:rsidRPr="009D52FD">
        <w:rPr>
          <w:sz w:val="16"/>
          <w:szCs w:val="16"/>
          <w:lang w:val="en-US"/>
        </w:rPr>
        <w:t xml:space="preserve"> that victims </w:t>
      </w:r>
      <w:r w:rsidR="00544F92" w:rsidRPr="009D52FD">
        <w:rPr>
          <w:sz w:val="16"/>
          <w:szCs w:val="16"/>
          <w:lang w:val="en-US"/>
        </w:rPr>
        <w:t>be</w:t>
      </w:r>
      <w:r w:rsidR="0078486F" w:rsidRPr="009D52FD">
        <w:rPr>
          <w:sz w:val="16"/>
          <w:szCs w:val="16"/>
          <w:lang w:val="en-US"/>
        </w:rPr>
        <w:t xml:space="preserve"> kept informed of the progress of the investigation and of the proceedings so that they may take free and informed decisions regarding their participation in the different procedural stages.</w:t>
      </w:r>
      <w:r w:rsidR="004F5346" w:rsidRPr="009D52FD">
        <w:rPr>
          <w:rStyle w:val="FootnoteReference"/>
          <w:sz w:val="16"/>
          <w:szCs w:val="16"/>
          <w:lang w:val="en-US"/>
        </w:rPr>
        <w:footnoteReference w:id="312"/>
      </w:r>
    </w:p>
    <w:p w14:paraId="579015D9" w14:textId="77777777" w:rsidR="004F5346" w:rsidRPr="009D52FD" w:rsidRDefault="004F5346" w:rsidP="00D47C98">
      <w:pPr>
        <w:spacing w:line="240" w:lineRule="auto"/>
        <w:contextualSpacing/>
        <w:rPr>
          <w:spacing w:val="-2"/>
          <w:sz w:val="20"/>
          <w:szCs w:val="20"/>
          <w:lang w:val="en-US"/>
        </w:rPr>
      </w:pPr>
    </w:p>
    <w:p w14:paraId="4DA2F781" w14:textId="3CA0F902" w:rsidR="00D47C98" w:rsidRPr="009D52FD" w:rsidRDefault="0078486F" w:rsidP="0078486F">
      <w:pPr>
        <w:numPr>
          <w:ilvl w:val="0"/>
          <w:numId w:val="1"/>
        </w:numPr>
        <w:tabs>
          <w:tab w:val="left" w:pos="567"/>
        </w:tabs>
        <w:spacing w:line="240" w:lineRule="auto"/>
        <w:ind w:left="0" w:firstLine="0"/>
        <w:rPr>
          <w:spacing w:val="-2"/>
          <w:sz w:val="20"/>
          <w:szCs w:val="20"/>
          <w:lang w:val="en-US"/>
        </w:rPr>
      </w:pPr>
      <w:r w:rsidRPr="009D52FD">
        <w:rPr>
          <w:rFonts w:eastAsia="Batang"/>
          <w:spacing w:val="-2"/>
          <w:sz w:val="20"/>
          <w:szCs w:val="20"/>
          <w:lang w:val="en-US"/>
        </w:rPr>
        <w:t xml:space="preserve">Based on the foregoing, certain international instruments are useful to clarify and provide content to the state obligation of protection for women victims of violence, in order to ensure effective </w:t>
      </w:r>
      <w:r w:rsidR="00A32000" w:rsidRPr="009D52FD">
        <w:rPr>
          <w:rFonts w:eastAsia="Batang"/>
          <w:spacing w:val="-2"/>
          <w:sz w:val="20"/>
          <w:szCs w:val="20"/>
          <w:lang w:val="en-US"/>
        </w:rPr>
        <w:t>a</w:t>
      </w:r>
      <w:r w:rsidRPr="009D52FD">
        <w:rPr>
          <w:rFonts w:eastAsia="Batang"/>
          <w:spacing w:val="-2"/>
          <w:sz w:val="20"/>
          <w:szCs w:val="20"/>
          <w:lang w:val="en-US"/>
        </w:rPr>
        <w:t>ccess to the services of both justice and health. The appropriate measures to this end include: (i) facilitate safe and accessible surrounding</w:t>
      </w:r>
      <w:r w:rsidR="00A32000" w:rsidRPr="009D52FD">
        <w:rPr>
          <w:rFonts w:eastAsia="Batang"/>
          <w:spacing w:val="-2"/>
          <w:sz w:val="20"/>
          <w:szCs w:val="20"/>
          <w:lang w:val="en-US"/>
        </w:rPr>
        <w:t>s</w:t>
      </w:r>
      <w:r w:rsidRPr="009D52FD">
        <w:rPr>
          <w:rFonts w:eastAsia="Batang"/>
          <w:spacing w:val="-2"/>
          <w:sz w:val="20"/>
          <w:szCs w:val="20"/>
          <w:lang w:val="en-US"/>
        </w:rPr>
        <w:t xml:space="preserve"> so that</w:t>
      </w:r>
      <w:r w:rsidR="00A32000" w:rsidRPr="009D52FD">
        <w:rPr>
          <w:rFonts w:eastAsia="Batang"/>
          <w:spacing w:val="-2"/>
          <w:sz w:val="20"/>
          <w:szCs w:val="20"/>
          <w:lang w:val="en-US"/>
        </w:rPr>
        <w:t xml:space="preserve"> </w:t>
      </w:r>
      <w:r w:rsidRPr="009D52FD">
        <w:rPr>
          <w:rFonts w:eastAsia="Batang"/>
          <w:spacing w:val="-2"/>
          <w:sz w:val="20"/>
          <w:szCs w:val="20"/>
          <w:lang w:val="en-US"/>
        </w:rPr>
        <w:t xml:space="preserve">victims are able to report acts of violence; (ii) possess a system of immediate measures of protection in order to safeguard the </w:t>
      </w:r>
      <w:r w:rsidR="00A32000" w:rsidRPr="009D52FD">
        <w:rPr>
          <w:rFonts w:eastAsia="Batang"/>
          <w:spacing w:val="-2"/>
          <w:sz w:val="20"/>
          <w:szCs w:val="20"/>
          <w:lang w:val="en-US"/>
        </w:rPr>
        <w:lastRenderedPageBreak/>
        <w:t xml:space="preserve">integrity of </w:t>
      </w:r>
      <w:r w:rsidRPr="009D52FD">
        <w:rPr>
          <w:rFonts w:eastAsia="Batang"/>
          <w:spacing w:val="-2"/>
          <w:sz w:val="20"/>
          <w:szCs w:val="20"/>
          <w:lang w:val="en-US"/>
        </w:rPr>
        <w:t>victim</w:t>
      </w:r>
      <w:r w:rsidR="00A32000" w:rsidRPr="009D52FD">
        <w:rPr>
          <w:rFonts w:eastAsia="Batang"/>
          <w:spacing w:val="-2"/>
          <w:sz w:val="20"/>
          <w:szCs w:val="20"/>
          <w:lang w:val="en-US"/>
        </w:rPr>
        <w:t>s</w:t>
      </w:r>
      <w:r w:rsidR="00D47C98" w:rsidRPr="009D52FD">
        <w:rPr>
          <w:rFonts w:eastAsia="Batang"/>
          <w:spacing w:val="-2"/>
          <w:sz w:val="20"/>
          <w:szCs w:val="20"/>
          <w:lang w:val="en-US"/>
        </w:rPr>
        <w:t xml:space="preserve">; </w:t>
      </w:r>
      <w:r w:rsidRPr="009D52FD">
        <w:rPr>
          <w:rFonts w:eastAsia="Batang"/>
          <w:spacing w:val="-2"/>
          <w:sz w:val="20"/>
          <w:szCs w:val="20"/>
          <w:lang w:val="en-US"/>
        </w:rPr>
        <w:t>(i</w:t>
      </w:r>
      <w:r w:rsidR="00D47C98" w:rsidRPr="009D52FD">
        <w:rPr>
          <w:rFonts w:eastAsia="Batang"/>
          <w:spacing w:val="-2"/>
          <w:sz w:val="20"/>
          <w:szCs w:val="20"/>
          <w:lang w:val="en-US"/>
        </w:rPr>
        <w:t xml:space="preserve">ii) </w:t>
      </w:r>
      <w:r w:rsidRPr="009D52FD">
        <w:rPr>
          <w:rFonts w:eastAsia="Batang"/>
          <w:spacing w:val="-2"/>
          <w:sz w:val="20"/>
          <w:szCs w:val="20"/>
          <w:lang w:val="en-US"/>
        </w:rPr>
        <w:t>provide victim</w:t>
      </w:r>
      <w:r w:rsidR="00A32000" w:rsidRPr="009D52FD">
        <w:rPr>
          <w:rFonts w:eastAsia="Batang"/>
          <w:spacing w:val="-2"/>
          <w:sz w:val="20"/>
          <w:szCs w:val="20"/>
          <w:lang w:val="en-US"/>
        </w:rPr>
        <w:t>s</w:t>
      </w:r>
      <w:r w:rsidRPr="009D52FD">
        <w:rPr>
          <w:rFonts w:eastAsia="Batang"/>
          <w:spacing w:val="-2"/>
          <w:sz w:val="20"/>
          <w:szCs w:val="20"/>
          <w:lang w:val="en-US"/>
        </w:rPr>
        <w:t xml:space="preserve"> with access to free legal assistance at all stages of the proceedings; (iv) facilitate medical and psychological care to victim</w:t>
      </w:r>
      <w:r w:rsidR="00A32000" w:rsidRPr="009D52FD">
        <w:rPr>
          <w:rFonts w:eastAsia="Batang"/>
          <w:spacing w:val="-2"/>
          <w:sz w:val="20"/>
          <w:szCs w:val="20"/>
          <w:lang w:val="en-US"/>
        </w:rPr>
        <w:t>s</w:t>
      </w:r>
      <w:r w:rsidRPr="009D52FD">
        <w:rPr>
          <w:rFonts w:eastAsia="Batang"/>
          <w:spacing w:val="-2"/>
          <w:sz w:val="20"/>
          <w:szCs w:val="20"/>
          <w:lang w:val="en-US"/>
        </w:rPr>
        <w:t>, and (v) implement short-  and medium-term material and social support mechanisms (through shelters or safe houses)</w:t>
      </w:r>
      <w:r w:rsidRPr="009D52FD">
        <w:rPr>
          <w:spacing w:val="-2"/>
          <w:sz w:val="20"/>
          <w:szCs w:val="20"/>
          <w:lang w:val="en-US"/>
        </w:rPr>
        <w:t>.</w:t>
      </w:r>
      <w:r w:rsidR="00D47C98" w:rsidRPr="009D52FD">
        <w:rPr>
          <w:rStyle w:val="FootnoteReference"/>
          <w:rFonts w:eastAsia="Batang"/>
          <w:spacing w:val="-2"/>
          <w:sz w:val="20"/>
          <w:szCs w:val="20"/>
          <w:lang w:val="en-US"/>
        </w:rPr>
        <w:footnoteReference w:id="313"/>
      </w:r>
    </w:p>
    <w:p w14:paraId="7FFDE940" w14:textId="77777777" w:rsidR="00A75EDF" w:rsidRPr="009D52FD" w:rsidRDefault="00A75EDF" w:rsidP="00A75EDF">
      <w:pPr>
        <w:tabs>
          <w:tab w:val="left" w:pos="567"/>
        </w:tabs>
        <w:spacing w:line="240" w:lineRule="auto"/>
        <w:rPr>
          <w:spacing w:val="-2"/>
          <w:sz w:val="20"/>
          <w:szCs w:val="20"/>
          <w:lang w:val="en-US"/>
        </w:rPr>
      </w:pPr>
    </w:p>
    <w:p w14:paraId="4AEA30D7" w14:textId="7804015B" w:rsidR="00A75EDF" w:rsidRPr="009D52FD" w:rsidRDefault="003630BB" w:rsidP="00324E4A">
      <w:pPr>
        <w:numPr>
          <w:ilvl w:val="0"/>
          <w:numId w:val="1"/>
        </w:numPr>
        <w:tabs>
          <w:tab w:val="left" w:pos="567"/>
          <w:tab w:val="num" w:pos="12305"/>
        </w:tabs>
        <w:spacing w:line="240" w:lineRule="auto"/>
        <w:ind w:left="0" w:firstLine="0"/>
        <w:rPr>
          <w:spacing w:val="-2"/>
          <w:sz w:val="20"/>
          <w:szCs w:val="20"/>
          <w:lang w:val="en-US"/>
        </w:rPr>
      </w:pPr>
      <w:r w:rsidRPr="009D52FD">
        <w:rPr>
          <w:spacing w:val="-2"/>
          <w:sz w:val="20"/>
          <w:szCs w:val="20"/>
          <w:lang w:val="en-US"/>
        </w:rPr>
        <w:t>The Court</w:t>
      </w:r>
      <w:r w:rsidR="00A75EDF" w:rsidRPr="009D52FD">
        <w:rPr>
          <w:spacing w:val="-2"/>
          <w:sz w:val="20"/>
          <w:szCs w:val="20"/>
          <w:lang w:val="en-US"/>
        </w:rPr>
        <w:t xml:space="preserve"> reitera</w:t>
      </w:r>
      <w:r w:rsidR="004F41A2" w:rsidRPr="009D52FD">
        <w:rPr>
          <w:spacing w:val="-2"/>
          <w:sz w:val="20"/>
          <w:szCs w:val="20"/>
          <w:lang w:val="en-US"/>
        </w:rPr>
        <w:t>tes that the ineffectiveness of the courts in individual cases of violence against women promotes an environment of impunity and facilitates and encourages the repetition of acts of violence in general</w:t>
      </w:r>
      <w:r w:rsidR="00637F3A" w:rsidRPr="009D52FD">
        <w:rPr>
          <w:spacing w:val="-2"/>
          <w:sz w:val="20"/>
          <w:szCs w:val="20"/>
          <w:lang w:val="en-US"/>
        </w:rPr>
        <w:t>. It also</w:t>
      </w:r>
      <w:r w:rsidR="004F41A2" w:rsidRPr="009D52FD">
        <w:rPr>
          <w:spacing w:val="-2"/>
          <w:sz w:val="20"/>
          <w:szCs w:val="20"/>
          <w:lang w:val="en-US"/>
        </w:rPr>
        <w:t xml:space="preserve"> sends a message that violence against women may be tolerated and accepted, which leads to its perpetuation and the social acceptance of the phenomenon, </w:t>
      </w:r>
      <w:r w:rsidR="00E5092C" w:rsidRPr="009D52FD">
        <w:rPr>
          <w:spacing w:val="-2"/>
          <w:sz w:val="20"/>
          <w:szCs w:val="20"/>
          <w:lang w:val="en-US"/>
        </w:rPr>
        <w:t>and results in women feeling unsafe and having a persistent lack of trust in the system for the administration of justice.</w:t>
      </w:r>
      <w:r w:rsidR="00A75EDF" w:rsidRPr="009D52FD">
        <w:rPr>
          <w:spacing w:val="-2"/>
          <w:sz w:val="20"/>
          <w:szCs w:val="20"/>
          <w:vertAlign w:val="superscript"/>
          <w:lang w:val="en-US"/>
        </w:rPr>
        <w:footnoteReference w:id="314"/>
      </w:r>
      <w:r w:rsidR="00E5092C" w:rsidRPr="009D52FD">
        <w:rPr>
          <w:spacing w:val="-2"/>
          <w:sz w:val="20"/>
          <w:szCs w:val="20"/>
          <w:lang w:val="en-US"/>
        </w:rPr>
        <w:t xml:space="preserve"> This ineffectiveness or indifferences constitutes, in itself, discrimination against women in access to justice.</w:t>
      </w:r>
      <w:r w:rsidR="00324E4A" w:rsidRPr="009D52FD">
        <w:rPr>
          <w:spacing w:val="-2"/>
          <w:sz w:val="20"/>
          <w:szCs w:val="20"/>
          <w:lang w:val="en-US"/>
        </w:rPr>
        <w:t xml:space="preserve"> Consequently, when indications or more specific suspicions exist of gender-based violence, the failure of the authorities to investigate the possible discriminatory motives for the act of </w:t>
      </w:r>
      <w:r w:rsidR="005935CA" w:rsidRPr="009D52FD">
        <w:rPr>
          <w:spacing w:val="-2"/>
          <w:sz w:val="20"/>
          <w:szCs w:val="20"/>
          <w:lang w:val="en-US"/>
        </w:rPr>
        <w:t>violence against women</w:t>
      </w:r>
      <w:r w:rsidR="00324E4A" w:rsidRPr="009D52FD">
        <w:rPr>
          <w:spacing w:val="-2"/>
          <w:sz w:val="20"/>
          <w:szCs w:val="20"/>
          <w:lang w:val="en-US"/>
        </w:rPr>
        <w:t xml:space="preserve"> may constitute, in itself, a form of gender-based discrimination.</w:t>
      </w:r>
      <w:r w:rsidR="00A75EDF" w:rsidRPr="009D52FD">
        <w:rPr>
          <w:spacing w:val="-2"/>
          <w:sz w:val="20"/>
          <w:szCs w:val="20"/>
          <w:vertAlign w:val="superscript"/>
          <w:lang w:val="en-US"/>
        </w:rPr>
        <w:footnoteReference w:id="315"/>
      </w:r>
    </w:p>
    <w:p w14:paraId="156073DC" w14:textId="77777777" w:rsidR="00064278" w:rsidRPr="009D52FD" w:rsidRDefault="00064278" w:rsidP="009E4F6C">
      <w:pPr>
        <w:widowControl/>
        <w:tabs>
          <w:tab w:val="left" w:pos="567"/>
        </w:tabs>
        <w:adjustRightInd/>
        <w:spacing w:line="240" w:lineRule="auto"/>
        <w:contextualSpacing/>
        <w:textAlignment w:val="auto"/>
        <w:rPr>
          <w:b/>
          <w:spacing w:val="-2"/>
          <w:sz w:val="20"/>
          <w:szCs w:val="20"/>
          <w:lang w:val="en-US"/>
        </w:rPr>
      </w:pPr>
    </w:p>
    <w:p w14:paraId="122956BC" w14:textId="18638C7B" w:rsidR="001737E6" w:rsidRPr="009D52FD" w:rsidRDefault="00324E4A" w:rsidP="00A518F8">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 xml:space="preserve">This is why, </w:t>
      </w:r>
      <w:r w:rsidR="00637F3A" w:rsidRPr="009D52FD">
        <w:rPr>
          <w:rFonts w:eastAsiaTheme="minorHAnsi" w:cstheme="minorBidi"/>
          <w:sz w:val="20"/>
          <w:szCs w:val="20"/>
          <w:lang w:val="en-US" w:eastAsia="en-US"/>
        </w:rPr>
        <w:t>in cases of</w:t>
      </w:r>
      <w:r w:rsidRPr="009D52FD">
        <w:rPr>
          <w:rFonts w:eastAsiaTheme="minorHAnsi" w:cstheme="minorBidi"/>
          <w:sz w:val="20"/>
          <w:szCs w:val="20"/>
          <w:lang w:val="en-US" w:eastAsia="en-US"/>
        </w:rPr>
        <w:t xml:space="preserve"> </w:t>
      </w:r>
      <w:r w:rsidR="005935CA" w:rsidRPr="009D52FD">
        <w:rPr>
          <w:rFonts w:eastAsiaTheme="minorHAnsi" w:cstheme="minorBidi"/>
          <w:sz w:val="20"/>
          <w:szCs w:val="20"/>
          <w:lang w:val="en-US" w:eastAsia="en-US"/>
        </w:rPr>
        <w:t>violence against women</w:t>
      </w:r>
      <w:r w:rsidR="009E4F6C" w:rsidRPr="009D52FD">
        <w:rPr>
          <w:rFonts w:eastAsiaTheme="minorHAnsi" w:cstheme="minorBidi"/>
          <w:sz w:val="20"/>
          <w:szCs w:val="20"/>
          <w:lang w:val="en-US" w:eastAsia="en-US"/>
        </w:rPr>
        <w:t xml:space="preserve">, </w:t>
      </w:r>
      <w:r w:rsidR="001737E6" w:rsidRPr="009D52FD">
        <w:rPr>
          <w:rFonts w:eastAsiaTheme="minorHAnsi" w:cstheme="minorBidi"/>
          <w:sz w:val="20"/>
          <w:szCs w:val="20"/>
          <w:lang w:val="en-US" w:eastAsia="en-US"/>
        </w:rPr>
        <w:t>the due diligence of the state organs to ensure access to justice signifies that States must have a legal</w:t>
      </w:r>
      <w:r w:rsidR="00637F3A" w:rsidRPr="009D52FD">
        <w:rPr>
          <w:rFonts w:eastAsiaTheme="minorHAnsi" w:cstheme="minorBidi"/>
          <w:sz w:val="20"/>
          <w:szCs w:val="20"/>
          <w:lang w:val="en-US" w:eastAsia="en-US"/>
        </w:rPr>
        <w:t xml:space="preserve"> protection</w:t>
      </w:r>
      <w:r w:rsidR="001737E6" w:rsidRPr="009D52FD">
        <w:rPr>
          <w:rFonts w:eastAsiaTheme="minorHAnsi" w:cstheme="minorBidi"/>
          <w:sz w:val="20"/>
          <w:szCs w:val="20"/>
          <w:lang w:val="en-US" w:eastAsia="en-US"/>
        </w:rPr>
        <w:t xml:space="preserve"> framework and practices that permit an effective response to reports of acts of this nature. In this regard, the reinforcement of the institutions that intervene in this type of case </w:t>
      </w:r>
      <w:r w:rsidR="00637F3A" w:rsidRPr="009D52FD">
        <w:rPr>
          <w:rFonts w:eastAsiaTheme="minorHAnsi" w:cstheme="minorBidi"/>
          <w:sz w:val="20"/>
          <w:szCs w:val="20"/>
          <w:lang w:val="en-US" w:eastAsia="en-US"/>
        </w:rPr>
        <w:t>is also</w:t>
      </w:r>
      <w:r w:rsidR="001737E6" w:rsidRPr="009D52FD">
        <w:rPr>
          <w:rFonts w:eastAsiaTheme="minorHAnsi" w:cstheme="minorBidi"/>
          <w:sz w:val="20"/>
          <w:szCs w:val="20"/>
          <w:lang w:val="en-US" w:eastAsia="en-US"/>
        </w:rPr>
        <w:t xml:space="preserve"> </w:t>
      </w:r>
      <w:r w:rsidR="00637F3A" w:rsidRPr="009D52FD">
        <w:rPr>
          <w:rFonts w:eastAsiaTheme="minorHAnsi" w:cstheme="minorBidi"/>
          <w:sz w:val="20"/>
          <w:szCs w:val="20"/>
          <w:lang w:val="en-US" w:eastAsia="en-US"/>
        </w:rPr>
        <w:t xml:space="preserve">essential </w:t>
      </w:r>
      <w:r w:rsidR="001737E6" w:rsidRPr="009D52FD">
        <w:rPr>
          <w:rFonts w:eastAsiaTheme="minorHAnsi" w:cstheme="minorBidi"/>
          <w:sz w:val="20"/>
          <w:szCs w:val="20"/>
          <w:lang w:val="en-US" w:eastAsia="en-US"/>
        </w:rPr>
        <w:t>to ensure effective and non-revictimizing state responses.</w:t>
      </w:r>
    </w:p>
    <w:p w14:paraId="10627A71" w14:textId="77777777" w:rsidR="009E4F6C" w:rsidRPr="009D52FD" w:rsidRDefault="009E4F6C" w:rsidP="009E4F6C">
      <w:pPr>
        <w:tabs>
          <w:tab w:val="left" w:pos="567"/>
        </w:tabs>
        <w:spacing w:line="240" w:lineRule="auto"/>
        <w:rPr>
          <w:rFonts w:eastAsiaTheme="minorHAnsi" w:cstheme="minorBidi"/>
          <w:sz w:val="20"/>
          <w:szCs w:val="20"/>
          <w:lang w:val="en-US" w:eastAsia="en-US"/>
        </w:rPr>
      </w:pPr>
    </w:p>
    <w:p w14:paraId="18DE0B1C" w14:textId="30EE485E" w:rsidR="00242A03" w:rsidRPr="009D52FD" w:rsidRDefault="00242A03" w:rsidP="003861A1">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 xml:space="preserve">The Court notes that even though, at the time of the facts, a special law </w:t>
      </w:r>
      <w:r w:rsidR="00637F3A" w:rsidRPr="009D52FD">
        <w:rPr>
          <w:rFonts w:eastAsiaTheme="minorHAnsi" w:cstheme="minorBidi"/>
          <w:sz w:val="20"/>
          <w:szCs w:val="20"/>
          <w:lang w:val="en-US" w:eastAsia="en-US"/>
        </w:rPr>
        <w:t xml:space="preserve">on intrafamily violence </w:t>
      </w:r>
      <w:r w:rsidRPr="009D52FD">
        <w:rPr>
          <w:rFonts w:eastAsiaTheme="minorHAnsi" w:cstheme="minorBidi"/>
          <w:sz w:val="20"/>
          <w:szCs w:val="20"/>
          <w:lang w:val="en-US" w:eastAsia="en-US"/>
        </w:rPr>
        <w:t>was in force in Venezuela that established the intervention of specialized agencies, both to receive complaints</w:t>
      </w:r>
      <w:r w:rsidR="00637F3A" w:rsidRPr="009D52FD">
        <w:rPr>
          <w:rFonts w:eastAsiaTheme="minorHAnsi" w:cstheme="minorBidi"/>
          <w:sz w:val="20"/>
          <w:szCs w:val="20"/>
          <w:lang w:val="en-US" w:eastAsia="en-US"/>
        </w:rPr>
        <w:t>,</w:t>
      </w:r>
      <w:r w:rsidRPr="009D52FD">
        <w:rPr>
          <w:rFonts w:eastAsiaTheme="minorHAnsi" w:cstheme="minorBidi"/>
          <w:sz w:val="20"/>
          <w:szCs w:val="20"/>
          <w:lang w:val="en-US" w:eastAsia="en-US"/>
        </w:rPr>
        <w:t xml:space="preserve"> and </w:t>
      </w:r>
      <w:r w:rsidR="00637F3A" w:rsidRPr="009D52FD">
        <w:rPr>
          <w:rFonts w:eastAsiaTheme="minorHAnsi" w:cstheme="minorBidi"/>
          <w:sz w:val="20"/>
          <w:szCs w:val="20"/>
          <w:lang w:val="en-US" w:eastAsia="en-US"/>
        </w:rPr>
        <w:t>to</w:t>
      </w:r>
      <w:r w:rsidR="002627DB" w:rsidRPr="009D52FD">
        <w:rPr>
          <w:rFonts w:eastAsiaTheme="minorHAnsi" w:cstheme="minorBidi"/>
          <w:sz w:val="20"/>
          <w:szCs w:val="20"/>
          <w:lang w:val="en-US" w:eastAsia="en-US"/>
        </w:rPr>
        <w:t xml:space="preserve"> investigat</w:t>
      </w:r>
      <w:r w:rsidR="00637F3A" w:rsidRPr="009D52FD">
        <w:rPr>
          <w:rFonts w:eastAsiaTheme="minorHAnsi" w:cstheme="minorBidi"/>
          <w:sz w:val="20"/>
          <w:szCs w:val="20"/>
          <w:lang w:val="en-US" w:eastAsia="en-US"/>
        </w:rPr>
        <w:t>e</w:t>
      </w:r>
      <w:r w:rsidR="002627DB" w:rsidRPr="009D52FD">
        <w:rPr>
          <w:rFonts w:eastAsiaTheme="minorHAnsi" w:cstheme="minorBidi"/>
          <w:sz w:val="20"/>
          <w:szCs w:val="20"/>
          <w:lang w:val="en-US" w:eastAsia="en-US"/>
        </w:rPr>
        <w:t xml:space="preserve"> and </w:t>
      </w:r>
      <w:r w:rsidR="00637F3A" w:rsidRPr="009D52FD">
        <w:rPr>
          <w:rFonts w:eastAsiaTheme="minorHAnsi" w:cstheme="minorBidi"/>
          <w:sz w:val="20"/>
          <w:szCs w:val="20"/>
          <w:lang w:val="en-US" w:eastAsia="en-US"/>
        </w:rPr>
        <w:t>prosecute</w:t>
      </w:r>
      <w:r w:rsidRPr="009D52FD">
        <w:rPr>
          <w:rFonts w:eastAsiaTheme="minorHAnsi" w:cstheme="minorBidi"/>
          <w:sz w:val="20"/>
          <w:szCs w:val="20"/>
          <w:lang w:val="en-US" w:eastAsia="en-US"/>
        </w:rPr>
        <w:t xml:space="preserve"> those cases, </w:t>
      </w:r>
      <w:r w:rsidR="00637F3A" w:rsidRPr="009D52FD">
        <w:rPr>
          <w:rFonts w:eastAsiaTheme="minorHAnsi" w:cstheme="minorBidi"/>
          <w:sz w:val="20"/>
          <w:szCs w:val="20"/>
          <w:lang w:val="en-US" w:eastAsia="en-US"/>
        </w:rPr>
        <w:t>and</w:t>
      </w:r>
      <w:r w:rsidRPr="009D52FD">
        <w:rPr>
          <w:rFonts w:eastAsiaTheme="minorHAnsi" w:cstheme="minorBidi"/>
          <w:sz w:val="20"/>
          <w:szCs w:val="20"/>
          <w:lang w:val="en-US" w:eastAsia="en-US"/>
        </w:rPr>
        <w:t xml:space="preserve"> that those agencies should be composed of personnel </w:t>
      </w:r>
      <w:r w:rsidR="00637F3A" w:rsidRPr="009D52FD">
        <w:rPr>
          <w:rFonts w:eastAsiaTheme="minorHAnsi" w:cstheme="minorBidi"/>
          <w:sz w:val="20"/>
          <w:szCs w:val="20"/>
          <w:lang w:val="en-US" w:eastAsia="en-US"/>
        </w:rPr>
        <w:t>who had received</w:t>
      </w:r>
      <w:r w:rsidRPr="009D52FD">
        <w:rPr>
          <w:rFonts w:eastAsiaTheme="minorHAnsi" w:cstheme="minorBidi"/>
          <w:sz w:val="20"/>
          <w:szCs w:val="20"/>
          <w:lang w:val="en-US" w:eastAsia="en-US"/>
        </w:rPr>
        <w:t xml:space="preserve"> training on violence against women, the State did not have a protocol </w:t>
      </w:r>
      <w:r w:rsidR="00637F3A" w:rsidRPr="009D52FD">
        <w:rPr>
          <w:rFonts w:eastAsiaTheme="minorHAnsi" w:cstheme="minorBidi"/>
          <w:sz w:val="20"/>
          <w:szCs w:val="20"/>
          <w:lang w:val="en-US" w:eastAsia="en-US"/>
        </w:rPr>
        <w:t>to</w:t>
      </w:r>
      <w:r w:rsidRPr="009D52FD">
        <w:rPr>
          <w:rFonts w:eastAsiaTheme="minorHAnsi" w:cstheme="minorBidi"/>
          <w:sz w:val="20"/>
          <w:szCs w:val="20"/>
          <w:lang w:val="en-US" w:eastAsia="en-US"/>
        </w:rPr>
        <w:t xml:space="preserve"> guide the investigation of cases of sexual violence, or similar instruments with rules for addressing cases of women victims of violence comprehensively.</w:t>
      </w:r>
    </w:p>
    <w:p w14:paraId="718899E5" w14:textId="77777777" w:rsidR="009E4F6C" w:rsidRPr="009D52FD" w:rsidRDefault="009E4F6C" w:rsidP="009E4F6C">
      <w:pPr>
        <w:tabs>
          <w:tab w:val="left" w:pos="567"/>
        </w:tabs>
        <w:spacing w:line="240" w:lineRule="auto"/>
        <w:rPr>
          <w:rFonts w:eastAsiaTheme="minorHAnsi" w:cstheme="minorBidi"/>
          <w:sz w:val="20"/>
          <w:szCs w:val="20"/>
          <w:lang w:val="en-US" w:eastAsia="en-US"/>
        </w:rPr>
      </w:pPr>
    </w:p>
    <w:p w14:paraId="2084D7A3" w14:textId="656C39B3" w:rsidR="009E4F6C" w:rsidRPr="009D52FD" w:rsidRDefault="003630BB" w:rsidP="00242A03">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The Court</w:t>
      </w:r>
      <w:r w:rsidR="009E4F6C" w:rsidRPr="009D52FD">
        <w:rPr>
          <w:rFonts w:eastAsiaTheme="minorHAnsi" w:cstheme="minorBidi"/>
          <w:sz w:val="20"/>
          <w:szCs w:val="20"/>
          <w:lang w:val="en-US" w:eastAsia="en-US"/>
        </w:rPr>
        <w:t xml:space="preserve"> </w:t>
      </w:r>
      <w:r w:rsidR="00DA6794" w:rsidRPr="009D52FD">
        <w:rPr>
          <w:rFonts w:eastAsiaTheme="minorHAnsi" w:cstheme="minorBidi"/>
          <w:sz w:val="20"/>
          <w:szCs w:val="20"/>
          <w:lang w:val="en-US" w:eastAsia="en-US"/>
        </w:rPr>
        <w:t>not</w:t>
      </w:r>
      <w:r w:rsidR="00242A03" w:rsidRPr="009D52FD">
        <w:rPr>
          <w:rFonts w:eastAsiaTheme="minorHAnsi" w:cstheme="minorBidi"/>
          <w:sz w:val="20"/>
          <w:szCs w:val="20"/>
          <w:lang w:val="en-US" w:eastAsia="en-US"/>
        </w:rPr>
        <w:t xml:space="preserve">es that the lack of a </w:t>
      </w:r>
      <w:r w:rsidR="00592C8A" w:rsidRPr="009D52FD">
        <w:rPr>
          <w:rFonts w:eastAsiaTheme="minorHAnsi" w:cstheme="minorBidi"/>
          <w:sz w:val="20"/>
          <w:szCs w:val="20"/>
          <w:lang w:val="en-US" w:eastAsia="en-US"/>
        </w:rPr>
        <w:t>special</w:t>
      </w:r>
      <w:r w:rsidR="00242A03" w:rsidRPr="009D52FD">
        <w:rPr>
          <w:rFonts w:eastAsiaTheme="minorHAnsi" w:cstheme="minorBidi"/>
          <w:sz w:val="20"/>
          <w:szCs w:val="20"/>
          <w:lang w:val="en-US" w:eastAsia="en-US"/>
        </w:rPr>
        <w:t xml:space="preserve"> legal framework that ensure</w:t>
      </w:r>
      <w:r w:rsidR="00637F3A" w:rsidRPr="009D52FD">
        <w:rPr>
          <w:rFonts w:eastAsiaTheme="minorHAnsi" w:cstheme="minorBidi"/>
          <w:sz w:val="20"/>
          <w:szCs w:val="20"/>
          <w:lang w:val="en-US" w:eastAsia="en-US"/>
        </w:rPr>
        <w:t>d</w:t>
      </w:r>
      <w:r w:rsidR="00242A03" w:rsidRPr="009D52FD">
        <w:rPr>
          <w:rFonts w:eastAsiaTheme="minorHAnsi" w:cstheme="minorBidi"/>
          <w:sz w:val="20"/>
          <w:szCs w:val="20"/>
          <w:lang w:val="en-US" w:eastAsia="en-US"/>
        </w:rPr>
        <w:t xml:space="preserve"> the intervention of police and judicial agents who were duly trained to process and investigate complaints of </w:t>
      </w:r>
      <w:r w:rsidR="00637F3A" w:rsidRPr="009D52FD">
        <w:rPr>
          <w:rFonts w:eastAsiaTheme="minorHAnsi" w:cstheme="minorBidi"/>
          <w:sz w:val="20"/>
          <w:szCs w:val="20"/>
          <w:lang w:val="en-US" w:eastAsia="en-US"/>
        </w:rPr>
        <w:t xml:space="preserve">every type of </w:t>
      </w:r>
      <w:r w:rsidR="00242A03" w:rsidRPr="009D52FD">
        <w:rPr>
          <w:rFonts w:eastAsiaTheme="minorHAnsi" w:cstheme="minorBidi"/>
          <w:sz w:val="20"/>
          <w:szCs w:val="20"/>
          <w:lang w:val="en-US" w:eastAsia="en-US"/>
        </w:rPr>
        <w:t>violence against women</w:t>
      </w:r>
      <w:r w:rsidR="00637F3A" w:rsidRPr="009D52FD">
        <w:rPr>
          <w:rFonts w:eastAsiaTheme="minorHAnsi" w:cstheme="minorBidi"/>
          <w:sz w:val="20"/>
          <w:szCs w:val="20"/>
          <w:lang w:val="en-US" w:eastAsia="en-US"/>
        </w:rPr>
        <w:t xml:space="preserve">, </w:t>
      </w:r>
      <w:r w:rsidR="00242A03" w:rsidRPr="009D52FD">
        <w:rPr>
          <w:rFonts w:eastAsiaTheme="minorHAnsi" w:cstheme="minorBidi"/>
          <w:sz w:val="20"/>
          <w:szCs w:val="20"/>
          <w:lang w:val="en-US" w:eastAsia="en-US"/>
        </w:rPr>
        <w:t xml:space="preserve">wherever it </w:t>
      </w:r>
      <w:r w:rsidR="00637F3A" w:rsidRPr="009D52FD">
        <w:rPr>
          <w:rFonts w:eastAsiaTheme="minorHAnsi" w:cstheme="minorBidi"/>
          <w:sz w:val="20"/>
          <w:szCs w:val="20"/>
          <w:lang w:val="en-US" w:eastAsia="en-US"/>
        </w:rPr>
        <w:t>occurred</w:t>
      </w:r>
      <w:r w:rsidR="00242A03" w:rsidRPr="009D52FD">
        <w:rPr>
          <w:rFonts w:eastAsiaTheme="minorHAnsi" w:cstheme="minorBidi"/>
          <w:sz w:val="20"/>
          <w:szCs w:val="20"/>
          <w:lang w:val="en-US" w:eastAsia="en-US"/>
        </w:rPr>
        <w:t xml:space="preserve">, as well as the inexistence of specific </w:t>
      </w:r>
      <w:r w:rsidR="00637F3A" w:rsidRPr="009D52FD">
        <w:rPr>
          <w:rFonts w:eastAsiaTheme="minorHAnsi" w:cstheme="minorBidi"/>
          <w:sz w:val="20"/>
          <w:szCs w:val="20"/>
          <w:lang w:val="en-US" w:eastAsia="en-US"/>
        </w:rPr>
        <w:t xml:space="preserve">guidelines for </w:t>
      </w:r>
      <w:r w:rsidR="00242A03" w:rsidRPr="009D52FD">
        <w:rPr>
          <w:rFonts w:eastAsiaTheme="minorHAnsi" w:cstheme="minorBidi"/>
          <w:sz w:val="20"/>
          <w:szCs w:val="20"/>
          <w:lang w:val="en-US" w:eastAsia="en-US"/>
        </w:rPr>
        <w:t xml:space="preserve">agents </w:t>
      </w:r>
      <w:r w:rsidR="00637F3A" w:rsidRPr="009D52FD">
        <w:rPr>
          <w:rFonts w:eastAsiaTheme="minorHAnsi" w:cstheme="minorBidi"/>
          <w:sz w:val="20"/>
          <w:szCs w:val="20"/>
          <w:lang w:val="en-US" w:eastAsia="en-US"/>
        </w:rPr>
        <w:t>o</w:t>
      </w:r>
      <w:r w:rsidR="00242A03" w:rsidRPr="009D52FD">
        <w:rPr>
          <w:rFonts w:eastAsiaTheme="minorHAnsi" w:cstheme="minorBidi"/>
          <w:sz w:val="20"/>
          <w:szCs w:val="20"/>
          <w:lang w:val="en-US" w:eastAsia="en-US"/>
        </w:rPr>
        <w:t xml:space="preserve">n both the collection of evidence and the treatment of victims, constituted fundamental factors that contributed to both the errors and </w:t>
      </w:r>
      <w:r w:rsidR="00637F3A" w:rsidRPr="009D52FD">
        <w:rPr>
          <w:rFonts w:eastAsiaTheme="minorHAnsi" w:cstheme="minorBidi"/>
          <w:sz w:val="20"/>
          <w:szCs w:val="20"/>
          <w:lang w:val="en-US" w:eastAsia="en-US"/>
        </w:rPr>
        <w:t xml:space="preserve">the </w:t>
      </w:r>
      <w:r w:rsidR="00242A03" w:rsidRPr="009D52FD">
        <w:rPr>
          <w:rFonts w:eastAsiaTheme="minorHAnsi" w:cstheme="minorBidi"/>
          <w:sz w:val="20"/>
          <w:szCs w:val="20"/>
          <w:lang w:val="en-US" w:eastAsia="en-US"/>
        </w:rPr>
        <w:t>omissions verified in the investigation procedure</w:t>
      </w:r>
      <w:r w:rsidR="009E4F6C" w:rsidRPr="009D52FD">
        <w:rPr>
          <w:rFonts w:eastAsiaTheme="minorHAnsi" w:cstheme="minorBidi"/>
          <w:sz w:val="20"/>
          <w:szCs w:val="20"/>
          <w:lang w:val="en-US" w:eastAsia="en-US"/>
        </w:rPr>
        <w:t xml:space="preserve"> (</w:t>
      </w:r>
      <w:r w:rsidR="00984C70" w:rsidRPr="009D52FD">
        <w:rPr>
          <w:rFonts w:eastAsiaTheme="minorHAnsi" w:cstheme="minorBidi"/>
          <w:i/>
          <w:sz w:val="20"/>
          <w:szCs w:val="20"/>
          <w:lang w:val="en-US" w:eastAsia="en-US"/>
        </w:rPr>
        <w:t>supra</w:t>
      </w:r>
      <w:r w:rsidR="009E4F6C" w:rsidRPr="009D52FD">
        <w:rPr>
          <w:rFonts w:eastAsiaTheme="minorHAnsi" w:cstheme="minorBidi"/>
          <w:sz w:val="20"/>
          <w:szCs w:val="20"/>
          <w:lang w:val="en-US" w:eastAsia="en-US"/>
        </w:rPr>
        <w:t xml:space="preserve"> </w:t>
      </w:r>
      <w:r w:rsidR="009459E7" w:rsidRPr="009D52FD">
        <w:rPr>
          <w:rFonts w:eastAsiaTheme="minorHAnsi" w:cstheme="minorBidi"/>
          <w:sz w:val="20"/>
          <w:szCs w:val="20"/>
          <w:lang w:val="en-US" w:eastAsia="en-US"/>
        </w:rPr>
        <w:t>para.</w:t>
      </w:r>
      <w:r w:rsidR="009E4F6C" w:rsidRPr="009D52FD">
        <w:rPr>
          <w:rFonts w:eastAsiaTheme="minorHAnsi" w:cstheme="minorBidi"/>
          <w:sz w:val="20"/>
          <w:szCs w:val="20"/>
          <w:lang w:val="en-US" w:eastAsia="en-US"/>
        </w:rPr>
        <w:t xml:space="preserve"> </w:t>
      </w:r>
      <w:r w:rsidR="00A2032A" w:rsidRPr="009D52FD">
        <w:rPr>
          <w:rFonts w:eastAsiaTheme="minorHAnsi" w:cstheme="minorBidi"/>
          <w:sz w:val="20"/>
          <w:szCs w:val="20"/>
          <w:lang w:val="en-US" w:eastAsia="en-US"/>
        </w:rPr>
        <w:t>214</w:t>
      </w:r>
      <w:r w:rsidR="009E4F6C" w:rsidRPr="009D52FD">
        <w:rPr>
          <w:rFonts w:eastAsiaTheme="minorHAnsi" w:cstheme="minorBidi"/>
          <w:sz w:val="20"/>
          <w:szCs w:val="20"/>
          <w:lang w:val="en-US" w:eastAsia="en-US"/>
        </w:rPr>
        <w:t xml:space="preserve">), </w:t>
      </w:r>
      <w:r w:rsidR="00242A03" w:rsidRPr="009D52FD">
        <w:rPr>
          <w:rFonts w:eastAsiaTheme="minorHAnsi" w:cstheme="minorBidi"/>
          <w:sz w:val="20"/>
          <w:szCs w:val="20"/>
          <w:lang w:val="en-US" w:eastAsia="en-US"/>
        </w:rPr>
        <w:t xml:space="preserve">and also the revictimization of </w:t>
      </w:r>
      <w:r w:rsidR="009E4F6C" w:rsidRPr="009D52FD">
        <w:rPr>
          <w:rFonts w:eastAsiaTheme="minorHAnsi" w:cstheme="minorBidi"/>
          <w:sz w:val="20"/>
          <w:szCs w:val="20"/>
          <w:lang w:val="en-US" w:eastAsia="en-US"/>
        </w:rPr>
        <w:t>Linda Loaiza</w:t>
      </w:r>
      <w:r w:rsidR="00BB3FE8" w:rsidRPr="009D52FD">
        <w:rPr>
          <w:rFonts w:eastAsiaTheme="minorHAnsi" w:cstheme="minorBidi"/>
          <w:sz w:val="20"/>
          <w:szCs w:val="20"/>
          <w:lang w:val="en-US" w:eastAsia="en-US"/>
        </w:rPr>
        <w:t xml:space="preserve"> López Soto</w:t>
      </w:r>
      <w:r w:rsidR="00984C70" w:rsidRPr="009D52FD">
        <w:rPr>
          <w:rFonts w:eastAsiaTheme="minorHAnsi" w:cstheme="minorBidi"/>
          <w:sz w:val="20"/>
          <w:szCs w:val="20"/>
          <w:lang w:val="en-US" w:eastAsia="en-US"/>
        </w:rPr>
        <w:t xml:space="preserve"> (</w:t>
      </w:r>
      <w:r w:rsidR="00984C70" w:rsidRPr="009D52FD">
        <w:rPr>
          <w:rFonts w:eastAsiaTheme="minorHAnsi" w:cstheme="minorBidi"/>
          <w:i/>
          <w:sz w:val="20"/>
          <w:szCs w:val="20"/>
          <w:lang w:val="en-US" w:eastAsia="en-US"/>
        </w:rPr>
        <w:t>infra</w:t>
      </w:r>
      <w:r w:rsidR="00984C70" w:rsidRPr="009D52FD">
        <w:rPr>
          <w:rFonts w:eastAsiaTheme="minorHAnsi" w:cstheme="minorBidi"/>
          <w:sz w:val="20"/>
          <w:szCs w:val="20"/>
          <w:lang w:val="en-US" w:eastAsia="en-US"/>
        </w:rPr>
        <w:t xml:space="preserve"> </w:t>
      </w:r>
      <w:r w:rsidR="009459E7" w:rsidRPr="009D52FD">
        <w:rPr>
          <w:rFonts w:eastAsiaTheme="minorHAnsi" w:cstheme="minorBidi"/>
          <w:sz w:val="20"/>
          <w:szCs w:val="20"/>
          <w:lang w:val="en-US" w:eastAsia="en-US"/>
        </w:rPr>
        <w:t>paras.</w:t>
      </w:r>
      <w:r w:rsidR="00984C70" w:rsidRPr="009D52FD">
        <w:rPr>
          <w:rFonts w:eastAsiaTheme="minorHAnsi" w:cstheme="minorBidi"/>
          <w:sz w:val="20"/>
          <w:szCs w:val="20"/>
          <w:lang w:val="en-US" w:eastAsia="en-US"/>
        </w:rPr>
        <w:t xml:space="preserve"> </w:t>
      </w:r>
      <w:r w:rsidR="0094457E" w:rsidRPr="009D52FD">
        <w:rPr>
          <w:rFonts w:eastAsiaTheme="minorHAnsi" w:cstheme="minorBidi"/>
          <w:sz w:val="20"/>
          <w:szCs w:val="20"/>
          <w:lang w:val="en-US" w:eastAsia="en-US"/>
        </w:rPr>
        <w:t xml:space="preserve">241 </w:t>
      </w:r>
      <w:r w:rsidR="00242A03" w:rsidRPr="009D52FD">
        <w:rPr>
          <w:rFonts w:eastAsiaTheme="minorHAnsi" w:cstheme="minorBidi"/>
          <w:sz w:val="20"/>
          <w:szCs w:val="20"/>
          <w:lang w:val="en-US" w:eastAsia="en-US"/>
        </w:rPr>
        <w:t xml:space="preserve">to </w:t>
      </w:r>
      <w:r w:rsidR="0094457E" w:rsidRPr="009D52FD">
        <w:rPr>
          <w:rFonts w:eastAsiaTheme="minorHAnsi" w:cstheme="minorBidi"/>
          <w:sz w:val="20"/>
          <w:szCs w:val="20"/>
          <w:lang w:val="en-US" w:eastAsia="en-US"/>
        </w:rPr>
        <w:t>245</w:t>
      </w:r>
      <w:r w:rsidR="00984C70" w:rsidRPr="009D52FD">
        <w:rPr>
          <w:rFonts w:eastAsiaTheme="minorHAnsi" w:cstheme="minorBidi"/>
          <w:sz w:val="20"/>
          <w:szCs w:val="20"/>
          <w:lang w:val="en-US" w:eastAsia="en-US"/>
        </w:rPr>
        <w:t>)</w:t>
      </w:r>
      <w:r w:rsidR="009E4F6C" w:rsidRPr="009D52FD">
        <w:rPr>
          <w:rFonts w:eastAsiaTheme="minorHAnsi" w:cstheme="minorBidi"/>
          <w:sz w:val="20"/>
          <w:szCs w:val="20"/>
          <w:lang w:val="en-US" w:eastAsia="en-US"/>
        </w:rPr>
        <w:t>.</w:t>
      </w:r>
    </w:p>
    <w:p w14:paraId="23513BFE" w14:textId="77777777" w:rsidR="009E4F6C" w:rsidRPr="009D52FD" w:rsidRDefault="009E4F6C" w:rsidP="009E4F6C">
      <w:pPr>
        <w:tabs>
          <w:tab w:val="left" w:pos="567"/>
        </w:tabs>
        <w:spacing w:line="240" w:lineRule="auto"/>
        <w:rPr>
          <w:rFonts w:eastAsiaTheme="minorHAnsi" w:cstheme="minorBidi"/>
          <w:sz w:val="20"/>
          <w:szCs w:val="20"/>
          <w:lang w:val="en-US" w:eastAsia="en-US"/>
        </w:rPr>
      </w:pPr>
    </w:p>
    <w:p w14:paraId="7E774674" w14:textId="1BEF6ADB" w:rsidR="009E4F6C" w:rsidRPr="009D52FD" w:rsidRDefault="00984C70" w:rsidP="00153ECC">
      <w:pPr>
        <w:keepNext/>
        <w:keepLines/>
        <w:widowControl/>
        <w:tabs>
          <w:tab w:val="left" w:pos="1418"/>
        </w:tabs>
        <w:autoSpaceDE w:val="0"/>
        <w:autoSpaceDN w:val="0"/>
        <w:spacing w:line="240" w:lineRule="auto"/>
        <w:ind w:left="708" w:firstLine="1"/>
        <w:textAlignment w:val="auto"/>
        <w:outlineLvl w:val="1"/>
        <w:rPr>
          <w:rFonts w:eastAsia="MS Mincho" w:cs="Arial"/>
          <w:bCs/>
          <w:i/>
          <w:sz w:val="20"/>
          <w:szCs w:val="20"/>
          <w:lang w:val="en-US" w:eastAsia="en-US"/>
        </w:rPr>
      </w:pPr>
      <w:bookmarkStart w:id="92" w:name="_Toc51400102"/>
      <w:r w:rsidRPr="009D52FD">
        <w:rPr>
          <w:rFonts w:eastAsia="MS Mincho" w:cs="Arial"/>
          <w:bCs/>
          <w:i/>
          <w:sz w:val="20"/>
          <w:szCs w:val="20"/>
          <w:lang w:val="en-US" w:eastAsia="en-US"/>
        </w:rPr>
        <w:t xml:space="preserve">B.2 </w:t>
      </w:r>
      <w:r w:rsidRPr="009D52FD">
        <w:rPr>
          <w:rFonts w:eastAsia="MS Mincho" w:cs="Arial"/>
          <w:bCs/>
          <w:i/>
          <w:sz w:val="20"/>
          <w:szCs w:val="20"/>
          <w:lang w:val="en-US" w:eastAsia="en-US"/>
        </w:rPr>
        <w:tab/>
      </w:r>
      <w:r w:rsidR="00242A03" w:rsidRPr="009D52FD">
        <w:rPr>
          <w:rFonts w:eastAsia="MS Mincho" w:cs="Arial"/>
          <w:bCs/>
          <w:i/>
          <w:sz w:val="20"/>
          <w:szCs w:val="20"/>
          <w:lang w:val="en-US" w:eastAsia="en-US"/>
        </w:rPr>
        <w:t>Unjustified unequal treatment in the Venezuelan Criminal Code</w:t>
      </w:r>
      <w:bookmarkEnd w:id="92"/>
    </w:p>
    <w:p w14:paraId="40D6BF69" w14:textId="77777777" w:rsidR="009E4F6C" w:rsidRPr="009D52FD" w:rsidRDefault="009E4F6C" w:rsidP="009E4F6C">
      <w:pPr>
        <w:tabs>
          <w:tab w:val="left" w:pos="567"/>
        </w:tabs>
        <w:spacing w:line="240" w:lineRule="auto"/>
        <w:rPr>
          <w:rFonts w:eastAsiaTheme="minorHAnsi" w:cstheme="minorBidi"/>
          <w:sz w:val="20"/>
          <w:szCs w:val="20"/>
          <w:lang w:val="en-US" w:eastAsia="en-US"/>
        </w:rPr>
      </w:pPr>
    </w:p>
    <w:p w14:paraId="0979EEF2" w14:textId="20866791" w:rsidR="00A303CD" w:rsidRPr="009D52FD" w:rsidRDefault="003630BB" w:rsidP="00A31305">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The Court</w:t>
      </w:r>
      <w:r w:rsidR="00A303CD" w:rsidRPr="009D52FD">
        <w:rPr>
          <w:rFonts w:eastAsiaTheme="minorHAnsi" w:cstheme="minorBidi"/>
          <w:sz w:val="20"/>
          <w:szCs w:val="20"/>
          <w:lang w:val="en-US" w:eastAsia="en-US"/>
        </w:rPr>
        <w:t xml:space="preserve"> </w:t>
      </w:r>
      <w:r w:rsidR="00242A03" w:rsidRPr="009D52FD">
        <w:rPr>
          <w:rFonts w:eastAsiaTheme="minorHAnsi" w:cstheme="minorBidi"/>
          <w:sz w:val="20"/>
          <w:szCs w:val="20"/>
          <w:lang w:val="en-US" w:eastAsia="en-US"/>
        </w:rPr>
        <w:t>recalls that the Venezuelan</w:t>
      </w:r>
      <w:r w:rsidR="00A303CD" w:rsidRPr="009D52FD">
        <w:rPr>
          <w:rFonts w:eastAsiaTheme="minorHAnsi" w:cstheme="minorBidi"/>
          <w:sz w:val="20"/>
          <w:szCs w:val="20"/>
          <w:lang w:val="en-US" w:eastAsia="en-US"/>
        </w:rPr>
        <w:t xml:space="preserve"> </w:t>
      </w:r>
      <w:r w:rsidR="006B506A" w:rsidRPr="009D52FD">
        <w:rPr>
          <w:rFonts w:eastAsiaTheme="minorHAnsi" w:cstheme="minorBidi"/>
          <w:sz w:val="20"/>
          <w:szCs w:val="20"/>
          <w:lang w:val="en-US" w:eastAsia="en-US"/>
        </w:rPr>
        <w:t>Criminal Code</w:t>
      </w:r>
      <w:r w:rsidR="00A303CD" w:rsidRPr="009D52FD">
        <w:rPr>
          <w:rFonts w:eastAsiaTheme="minorHAnsi" w:cstheme="minorBidi"/>
          <w:sz w:val="20"/>
          <w:szCs w:val="20"/>
          <w:lang w:val="en-US" w:eastAsia="en-US"/>
        </w:rPr>
        <w:t xml:space="preserve"> </w:t>
      </w:r>
      <w:r w:rsidR="00242A03" w:rsidRPr="009D52FD">
        <w:rPr>
          <w:rFonts w:eastAsiaTheme="minorHAnsi" w:cstheme="minorBidi"/>
          <w:sz w:val="20"/>
          <w:szCs w:val="20"/>
          <w:lang w:val="en-US" w:eastAsia="en-US"/>
        </w:rPr>
        <w:t xml:space="preserve">in force at the time of the facts was extremely discriminatory against women </w:t>
      </w:r>
      <w:r w:rsidR="00A303CD" w:rsidRPr="009D52FD">
        <w:rPr>
          <w:rFonts w:eastAsiaTheme="minorHAnsi" w:cstheme="minorBidi"/>
          <w:sz w:val="20"/>
          <w:szCs w:val="20"/>
          <w:lang w:val="en-US" w:eastAsia="en-US"/>
        </w:rPr>
        <w:t>(</w:t>
      </w:r>
      <w:r w:rsidR="00A303CD" w:rsidRPr="009D52FD">
        <w:rPr>
          <w:rFonts w:eastAsiaTheme="minorHAnsi" w:cstheme="minorBidi"/>
          <w:i/>
          <w:sz w:val="20"/>
          <w:szCs w:val="20"/>
          <w:lang w:val="en-US" w:eastAsia="en-US"/>
        </w:rPr>
        <w:t>supra</w:t>
      </w:r>
      <w:r w:rsidR="00A303CD" w:rsidRPr="009D52FD">
        <w:rPr>
          <w:rFonts w:eastAsiaTheme="minorHAnsi" w:cstheme="minorBidi"/>
          <w:sz w:val="20"/>
          <w:szCs w:val="20"/>
          <w:lang w:val="en-US" w:eastAsia="en-US"/>
        </w:rPr>
        <w:t xml:space="preserve"> </w:t>
      </w:r>
      <w:r w:rsidR="009459E7" w:rsidRPr="009D52FD">
        <w:rPr>
          <w:rFonts w:eastAsiaTheme="minorHAnsi" w:cstheme="minorBidi"/>
          <w:sz w:val="20"/>
          <w:szCs w:val="20"/>
          <w:lang w:val="en-US" w:eastAsia="en-US"/>
        </w:rPr>
        <w:t>para.</w:t>
      </w:r>
      <w:r w:rsidR="00A303CD" w:rsidRPr="009D52FD">
        <w:rPr>
          <w:rFonts w:eastAsiaTheme="minorHAnsi" w:cstheme="minorBidi"/>
          <w:sz w:val="20"/>
          <w:szCs w:val="20"/>
          <w:lang w:val="en-US" w:eastAsia="en-US"/>
        </w:rPr>
        <w:t xml:space="preserve"> </w:t>
      </w:r>
      <w:r w:rsidR="0094457E" w:rsidRPr="009D52FD">
        <w:rPr>
          <w:rFonts w:eastAsiaTheme="minorHAnsi" w:cstheme="minorBidi"/>
          <w:sz w:val="20"/>
          <w:szCs w:val="20"/>
          <w:lang w:val="en-US" w:eastAsia="en-US"/>
        </w:rPr>
        <w:t>152</w:t>
      </w:r>
      <w:r w:rsidR="00A303CD" w:rsidRPr="009D52FD">
        <w:rPr>
          <w:rFonts w:eastAsiaTheme="minorHAnsi" w:cstheme="minorBidi"/>
          <w:sz w:val="20"/>
          <w:szCs w:val="20"/>
          <w:lang w:val="en-US" w:eastAsia="en-US"/>
        </w:rPr>
        <w:t xml:space="preserve">). </w:t>
      </w:r>
      <w:r w:rsidR="00242A03" w:rsidRPr="009D52FD">
        <w:rPr>
          <w:rFonts w:eastAsiaTheme="minorHAnsi" w:cstheme="minorBidi"/>
          <w:sz w:val="20"/>
          <w:szCs w:val="20"/>
          <w:lang w:val="en-US" w:eastAsia="en-US"/>
        </w:rPr>
        <w:t>I</w:t>
      </w:r>
      <w:r w:rsidR="00A303CD" w:rsidRPr="009D52FD">
        <w:rPr>
          <w:rFonts w:eastAsiaTheme="minorHAnsi" w:cstheme="minorBidi"/>
          <w:sz w:val="20"/>
          <w:szCs w:val="20"/>
          <w:lang w:val="en-US" w:eastAsia="en-US"/>
        </w:rPr>
        <w:t xml:space="preserve">n particular, </w:t>
      </w:r>
      <w:r w:rsidR="00242A03" w:rsidRPr="009D52FD">
        <w:rPr>
          <w:rFonts w:eastAsiaTheme="minorHAnsi" w:cstheme="minorBidi"/>
          <w:sz w:val="20"/>
          <w:szCs w:val="20"/>
          <w:lang w:val="en-US" w:eastAsia="en-US"/>
        </w:rPr>
        <w:t>as regard the definition of sexual offenses as crimes – they were contained in a chapter that did not protect the essential rights of the person individually, but rather collective aspects such as morality and decency.</w:t>
      </w:r>
    </w:p>
    <w:p w14:paraId="25D07E8D" w14:textId="77777777" w:rsidR="00A303CD" w:rsidRPr="009D52FD" w:rsidRDefault="00A303CD" w:rsidP="009E4F6C">
      <w:pPr>
        <w:tabs>
          <w:tab w:val="left" w:pos="567"/>
        </w:tabs>
        <w:spacing w:line="240" w:lineRule="auto"/>
        <w:rPr>
          <w:rFonts w:eastAsiaTheme="minorHAnsi" w:cstheme="minorBidi"/>
          <w:sz w:val="20"/>
          <w:szCs w:val="20"/>
          <w:lang w:val="en-US" w:eastAsia="en-US"/>
        </w:rPr>
      </w:pPr>
    </w:p>
    <w:p w14:paraId="4A93A962" w14:textId="5C22F1E2" w:rsidR="009E4F6C" w:rsidRPr="009D52FD" w:rsidRDefault="00242A03" w:rsidP="00A518F8">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The</w:t>
      </w:r>
      <w:r w:rsidR="003630BB" w:rsidRPr="009D52FD">
        <w:rPr>
          <w:rFonts w:eastAsiaTheme="minorHAnsi" w:cstheme="minorBidi"/>
          <w:sz w:val="20"/>
          <w:szCs w:val="20"/>
          <w:lang w:val="en-US" w:eastAsia="en-US"/>
        </w:rPr>
        <w:t xml:space="preserve"> Court</w:t>
      </w:r>
      <w:r w:rsidR="00984C70"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 xml:space="preserve">also </w:t>
      </w:r>
      <w:r w:rsidR="00984C70" w:rsidRPr="009D52FD">
        <w:rPr>
          <w:rFonts w:eastAsiaTheme="minorHAnsi" w:cstheme="minorBidi"/>
          <w:sz w:val="20"/>
          <w:szCs w:val="20"/>
          <w:lang w:val="en-US" w:eastAsia="en-US"/>
        </w:rPr>
        <w:t>not</w:t>
      </w:r>
      <w:r w:rsidRPr="009D52FD">
        <w:rPr>
          <w:rFonts w:eastAsiaTheme="minorHAnsi" w:cstheme="minorBidi"/>
          <w:sz w:val="20"/>
          <w:szCs w:val="20"/>
          <w:lang w:val="en-US" w:eastAsia="en-US"/>
        </w:rPr>
        <w:t>es that the Venezuelan</w:t>
      </w:r>
      <w:r w:rsidR="009E4F6C" w:rsidRPr="009D52FD">
        <w:rPr>
          <w:rFonts w:eastAsiaTheme="minorHAnsi" w:cstheme="minorBidi"/>
          <w:sz w:val="20"/>
          <w:szCs w:val="20"/>
          <w:lang w:val="en-US" w:eastAsia="en-US"/>
        </w:rPr>
        <w:t xml:space="preserve"> </w:t>
      </w:r>
      <w:r w:rsidR="006B506A" w:rsidRPr="009D52FD">
        <w:rPr>
          <w:rFonts w:eastAsiaTheme="minorHAnsi" w:cstheme="minorBidi"/>
          <w:sz w:val="20"/>
          <w:szCs w:val="20"/>
          <w:lang w:val="en-US" w:eastAsia="en-US"/>
        </w:rPr>
        <w:t>Criminal Code</w:t>
      </w:r>
      <w:r w:rsidR="005C268D" w:rsidRPr="009D52FD">
        <w:rPr>
          <w:rFonts w:eastAsiaTheme="minorHAnsi" w:cstheme="minorBidi"/>
          <w:sz w:val="20"/>
          <w:szCs w:val="20"/>
          <w:lang w:val="en-US" w:eastAsia="en-US"/>
        </w:rPr>
        <w:t>, in a c</w:t>
      </w:r>
      <w:r w:rsidR="00EB0EB6" w:rsidRPr="009D52FD">
        <w:rPr>
          <w:rFonts w:eastAsiaTheme="minorHAnsi" w:cstheme="minorBidi"/>
          <w:sz w:val="20"/>
          <w:szCs w:val="20"/>
          <w:lang w:val="en-US" w:eastAsia="en-US"/>
        </w:rPr>
        <w:t>hapter</w:t>
      </w:r>
      <w:r w:rsidR="005C268D" w:rsidRPr="009D52FD">
        <w:rPr>
          <w:rFonts w:eastAsiaTheme="minorHAnsi" w:cstheme="minorBidi"/>
          <w:sz w:val="20"/>
          <w:szCs w:val="20"/>
          <w:lang w:val="en-US" w:eastAsia="en-US"/>
        </w:rPr>
        <w:t xml:space="preserve"> on common provisions of Title VIII “Crimes against morality and the good order of the family,</w:t>
      </w:r>
      <w:r w:rsidR="009E4F6C" w:rsidRPr="009D52FD">
        <w:rPr>
          <w:rFonts w:eastAsiaTheme="minorHAnsi" w:cstheme="minorBidi"/>
          <w:sz w:val="20"/>
          <w:szCs w:val="20"/>
          <w:lang w:val="en-US" w:eastAsia="en-US"/>
        </w:rPr>
        <w:t xml:space="preserve">” </w:t>
      </w:r>
      <w:r w:rsidR="005C268D" w:rsidRPr="009D52FD">
        <w:rPr>
          <w:rFonts w:eastAsiaTheme="minorHAnsi" w:cstheme="minorBidi"/>
          <w:sz w:val="20"/>
          <w:szCs w:val="20"/>
          <w:lang w:val="en-US" w:eastAsia="en-US"/>
        </w:rPr>
        <w:t xml:space="preserve">established the following in </w:t>
      </w:r>
      <w:r w:rsidR="005C268D" w:rsidRPr="009D52FD">
        <w:rPr>
          <w:rFonts w:eastAsiaTheme="minorHAnsi" w:cstheme="minorBidi"/>
          <w:sz w:val="20"/>
          <w:szCs w:val="20"/>
          <w:lang w:val="en-US" w:eastAsia="en-US"/>
        </w:rPr>
        <w:lastRenderedPageBreak/>
        <w:t>is</w:t>
      </w:r>
      <w:r w:rsidR="009E4F6C" w:rsidRPr="009D52FD">
        <w:rPr>
          <w:rFonts w:eastAsiaTheme="minorHAnsi" w:cstheme="minorBidi"/>
          <w:sz w:val="20"/>
          <w:szCs w:val="20"/>
          <w:lang w:val="en-US" w:eastAsia="en-US"/>
        </w:rPr>
        <w:t xml:space="preserve"> </w:t>
      </w:r>
      <w:r w:rsidR="005C268D" w:rsidRPr="009D52FD">
        <w:rPr>
          <w:rFonts w:eastAsiaTheme="minorHAnsi" w:cstheme="minorBidi"/>
          <w:sz w:val="20"/>
          <w:szCs w:val="20"/>
          <w:lang w:val="en-US" w:eastAsia="en-US"/>
        </w:rPr>
        <w:t>a</w:t>
      </w:r>
      <w:r w:rsidR="003630BB" w:rsidRPr="009D52FD">
        <w:rPr>
          <w:rFonts w:eastAsiaTheme="minorHAnsi" w:cstheme="minorBidi"/>
          <w:sz w:val="20"/>
          <w:szCs w:val="20"/>
          <w:lang w:val="en-US" w:eastAsia="en-US"/>
        </w:rPr>
        <w:t>rticle</w:t>
      </w:r>
      <w:r w:rsidR="009E4F6C" w:rsidRPr="009D52FD">
        <w:rPr>
          <w:rFonts w:eastAsiaTheme="minorHAnsi" w:cstheme="minorBidi"/>
          <w:sz w:val="20"/>
          <w:szCs w:val="20"/>
          <w:lang w:val="en-US" w:eastAsia="en-US"/>
        </w:rPr>
        <w:t xml:space="preserve"> 393: “[</w:t>
      </w:r>
      <w:r w:rsidR="005C268D" w:rsidRPr="009D52FD">
        <w:rPr>
          <w:rFonts w:eastAsiaTheme="minorHAnsi" w:cstheme="minorBidi"/>
          <w:sz w:val="20"/>
          <w:szCs w:val="20"/>
          <w:lang w:val="en-US" w:eastAsia="en-US"/>
        </w:rPr>
        <w:t>w]hen any of the offenses established in</w:t>
      </w:r>
      <w:r w:rsidR="009E4F6C" w:rsidRPr="009D52FD">
        <w:rPr>
          <w:rFonts w:eastAsiaTheme="minorHAnsi" w:cstheme="minorBidi"/>
          <w:sz w:val="20"/>
          <w:szCs w:val="20"/>
          <w:lang w:val="en-US" w:eastAsia="en-US"/>
        </w:rPr>
        <w:t xml:space="preserve"> </w:t>
      </w:r>
      <w:r w:rsidR="005C268D" w:rsidRPr="009D52FD">
        <w:rPr>
          <w:rFonts w:eastAsiaTheme="minorHAnsi" w:cstheme="minorBidi"/>
          <w:sz w:val="20"/>
          <w:szCs w:val="20"/>
          <w:lang w:val="en-US" w:eastAsia="en-US"/>
        </w:rPr>
        <w:t>a</w:t>
      </w:r>
      <w:r w:rsidR="003630BB" w:rsidRPr="009D52FD">
        <w:rPr>
          <w:rFonts w:eastAsiaTheme="minorHAnsi" w:cstheme="minorBidi"/>
          <w:sz w:val="20"/>
          <w:szCs w:val="20"/>
          <w:lang w:val="en-US" w:eastAsia="en-US"/>
        </w:rPr>
        <w:t>rticles</w:t>
      </w:r>
      <w:r w:rsidR="009E4F6C" w:rsidRPr="009D52FD">
        <w:rPr>
          <w:rFonts w:eastAsiaTheme="minorHAnsi" w:cstheme="minorBidi"/>
          <w:sz w:val="20"/>
          <w:szCs w:val="20"/>
          <w:lang w:val="en-US" w:eastAsia="en-US"/>
        </w:rPr>
        <w:t xml:space="preserve"> 375, 376, 377, 384</w:t>
      </w:r>
      <w:r w:rsidR="003630BB" w:rsidRPr="009D52FD">
        <w:rPr>
          <w:rFonts w:eastAsiaTheme="minorHAnsi" w:cstheme="minorBidi"/>
          <w:sz w:val="20"/>
          <w:szCs w:val="20"/>
          <w:lang w:val="en-US" w:eastAsia="en-US"/>
        </w:rPr>
        <w:t xml:space="preserve"> and </w:t>
      </w:r>
      <w:r w:rsidR="009E4F6C" w:rsidRPr="009D52FD">
        <w:rPr>
          <w:rFonts w:eastAsiaTheme="minorHAnsi" w:cstheme="minorBidi"/>
          <w:sz w:val="20"/>
          <w:szCs w:val="20"/>
          <w:lang w:val="en-US" w:eastAsia="en-US"/>
        </w:rPr>
        <w:t>385</w:t>
      </w:r>
      <w:r w:rsidR="005C268D" w:rsidRPr="009D52FD">
        <w:rPr>
          <w:rFonts w:eastAsiaTheme="minorHAnsi" w:cstheme="minorBidi"/>
          <w:sz w:val="20"/>
          <w:szCs w:val="20"/>
          <w:lang w:val="en-US" w:eastAsia="en-US"/>
        </w:rPr>
        <w:t xml:space="preserve"> have been committed with a prostitute, the penalties established by law shall be reduced to one-fifth.”</w:t>
      </w:r>
      <w:r w:rsidR="009E4F6C" w:rsidRPr="009D52FD">
        <w:rPr>
          <w:rFonts w:eastAsiaTheme="minorHAnsi" w:cstheme="minorBidi"/>
          <w:sz w:val="20"/>
          <w:szCs w:val="20"/>
          <w:vertAlign w:val="superscript"/>
          <w:lang w:val="en-US" w:eastAsia="en-US"/>
        </w:rPr>
        <w:footnoteReference w:id="316"/>
      </w:r>
      <w:r w:rsidR="009E4F6C" w:rsidRPr="009D52FD">
        <w:rPr>
          <w:rFonts w:eastAsiaTheme="minorHAnsi" w:cstheme="minorBidi"/>
          <w:sz w:val="20"/>
          <w:szCs w:val="20"/>
          <w:lang w:val="en-US" w:eastAsia="en-US"/>
        </w:rPr>
        <w:t xml:space="preserve"> </w:t>
      </w:r>
      <w:r w:rsidR="005C268D" w:rsidRPr="009D52FD">
        <w:rPr>
          <w:rFonts w:eastAsiaTheme="minorHAnsi" w:cstheme="minorBidi"/>
          <w:sz w:val="20"/>
          <w:szCs w:val="20"/>
          <w:lang w:val="en-US" w:eastAsia="en-US"/>
        </w:rPr>
        <w:t>These articles defined the offenses of rape, seduction</w:t>
      </w:r>
      <w:r w:rsidR="00C45678" w:rsidRPr="009D52FD">
        <w:rPr>
          <w:rFonts w:eastAsiaTheme="minorHAnsi" w:cstheme="minorBidi"/>
          <w:sz w:val="20"/>
          <w:szCs w:val="20"/>
          <w:lang w:val="en-US" w:eastAsia="en-US"/>
        </w:rPr>
        <w:t>,</w:t>
      </w:r>
      <w:r w:rsidR="005C268D" w:rsidRPr="009D52FD">
        <w:rPr>
          <w:rFonts w:eastAsiaTheme="minorHAnsi" w:cstheme="minorBidi"/>
          <w:sz w:val="20"/>
          <w:szCs w:val="20"/>
          <w:lang w:val="en-US" w:eastAsia="en-US"/>
        </w:rPr>
        <w:t xml:space="preserve"> and the prostitution or corruption of minors, and also kidnapping.</w:t>
      </w:r>
    </w:p>
    <w:p w14:paraId="1DD5FD5B" w14:textId="77777777" w:rsidR="009E4F6C" w:rsidRPr="009D52FD" w:rsidRDefault="009E4F6C" w:rsidP="009E4F6C">
      <w:pPr>
        <w:tabs>
          <w:tab w:val="left" w:pos="567"/>
        </w:tabs>
        <w:spacing w:line="240" w:lineRule="auto"/>
        <w:rPr>
          <w:rFonts w:eastAsiaTheme="minorHAnsi" w:cstheme="minorBidi"/>
          <w:sz w:val="20"/>
          <w:szCs w:val="20"/>
          <w:lang w:val="en-US" w:eastAsia="en-US"/>
        </w:rPr>
      </w:pPr>
    </w:p>
    <w:p w14:paraId="35653CFD" w14:textId="08EFE03A" w:rsidR="009E4F6C" w:rsidRPr="009D52FD" w:rsidRDefault="003630BB" w:rsidP="00A518F8">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The State</w:t>
      </w:r>
      <w:r w:rsidR="009E4F6C" w:rsidRPr="009D52FD">
        <w:rPr>
          <w:rFonts w:eastAsiaTheme="minorHAnsi" w:cstheme="minorBidi"/>
          <w:sz w:val="20"/>
          <w:szCs w:val="20"/>
          <w:lang w:val="en-US" w:eastAsia="en-US"/>
        </w:rPr>
        <w:t xml:space="preserve"> </w:t>
      </w:r>
      <w:r w:rsidR="005C268D" w:rsidRPr="009D52FD">
        <w:rPr>
          <w:rFonts w:eastAsiaTheme="minorHAnsi" w:cstheme="minorBidi"/>
          <w:sz w:val="20"/>
          <w:szCs w:val="20"/>
          <w:lang w:val="en-US" w:eastAsia="en-US"/>
        </w:rPr>
        <w:t>acknowledged that</w:t>
      </w:r>
      <w:r w:rsidR="009E4F6C" w:rsidRPr="009D52FD">
        <w:rPr>
          <w:rFonts w:eastAsiaTheme="minorHAnsi" w:cstheme="minorBidi"/>
          <w:sz w:val="20"/>
          <w:szCs w:val="20"/>
          <w:lang w:val="en-US" w:eastAsia="en-US"/>
        </w:rPr>
        <w:t xml:space="preserve"> “</w:t>
      </w:r>
      <w:r w:rsidR="005C268D" w:rsidRPr="009D52FD">
        <w:rPr>
          <w:rFonts w:eastAsiaTheme="minorHAnsi" w:cstheme="minorBidi"/>
          <w:sz w:val="20"/>
          <w:szCs w:val="20"/>
          <w:lang w:val="en-US" w:eastAsia="en-US"/>
        </w:rPr>
        <w:t>the facts were investigated and prosecuted in light of a discriminatory normative framework that has now been</w:t>
      </w:r>
      <w:r w:rsidR="00C45678" w:rsidRPr="009D52FD">
        <w:rPr>
          <w:rFonts w:eastAsiaTheme="minorHAnsi" w:cstheme="minorBidi"/>
          <w:sz w:val="20"/>
          <w:szCs w:val="20"/>
          <w:lang w:val="en-US" w:eastAsia="en-US"/>
        </w:rPr>
        <w:t xml:space="preserve"> rectified</w:t>
      </w:r>
      <w:r w:rsidR="005C268D" w:rsidRPr="009D52FD">
        <w:rPr>
          <w:rFonts w:eastAsiaTheme="minorHAnsi" w:cstheme="minorBidi"/>
          <w:sz w:val="20"/>
          <w:szCs w:val="20"/>
          <w:lang w:val="en-US" w:eastAsia="en-US"/>
        </w:rPr>
        <w:t xml:space="preserve">.’’ The Court has taken noted that, on March 16, 2005, Venezuela adopted </w:t>
      </w:r>
      <w:r w:rsidR="00C45678" w:rsidRPr="009D52FD">
        <w:rPr>
          <w:rFonts w:eastAsiaTheme="minorHAnsi" w:cstheme="minorBidi"/>
          <w:sz w:val="20"/>
          <w:szCs w:val="20"/>
          <w:lang w:val="en-US" w:eastAsia="en-US"/>
        </w:rPr>
        <w:t>a</w:t>
      </w:r>
      <w:r w:rsidR="005C268D" w:rsidRPr="009D52FD">
        <w:rPr>
          <w:rFonts w:eastAsiaTheme="minorHAnsi" w:cstheme="minorBidi"/>
          <w:sz w:val="20"/>
          <w:szCs w:val="20"/>
          <w:lang w:val="en-US" w:eastAsia="en-US"/>
        </w:rPr>
        <w:t xml:space="preserve"> </w:t>
      </w:r>
      <w:r w:rsidR="00C45678" w:rsidRPr="009D52FD">
        <w:rPr>
          <w:rFonts w:eastAsiaTheme="minorHAnsi" w:cstheme="minorBidi"/>
          <w:sz w:val="20"/>
          <w:szCs w:val="20"/>
          <w:lang w:val="en-US" w:eastAsia="en-US"/>
        </w:rPr>
        <w:t>l</w:t>
      </w:r>
      <w:r w:rsidR="005C268D" w:rsidRPr="009D52FD">
        <w:rPr>
          <w:rFonts w:eastAsiaTheme="minorHAnsi" w:cstheme="minorBidi"/>
          <w:sz w:val="20"/>
          <w:szCs w:val="20"/>
          <w:lang w:val="en-US" w:eastAsia="en-US"/>
        </w:rPr>
        <w:t xml:space="preserve">aw </w:t>
      </w:r>
      <w:r w:rsidR="00C45678" w:rsidRPr="009D52FD">
        <w:rPr>
          <w:rFonts w:eastAsiaTheme="minorHAnsi" w:cstheme="minorBidi"/>
          <w:sz w:val="20"/>
          <w:szCs w:val="20"/>
          <w:lang w:val="en-US" w:eastAsia="en-US"/>
        </w:rPr>
        <w:t>partially</w:t>
      </w:r>
      <w:r w:rsidR="005C268D" w:rsidRPr="009D52FD">
        <w:rPr>
          <w:rFonts w:eastAsiaTheme="minorHAnsi" w:cstheme="minorBidi"/>
          <w:sz w:val="20"/>
          <w:szCs w:val="20"/>
          <w:lang w:val="en-US" w:eastAsia="en-US"/>
        </w:rPr>
        <w:t xml:space="preserve"> amend</w:t>
      </w:r>
      <w:r w:rsidR="00C45678" w:rsidRPr="009D52FD">
        <w:rPr>
          <w:rFonts w:eastAsiaTheme="minorHAnsi" w:cstheme="minorBidi"/>
          <w:sz w:val="20"/>
          <w:szCs w:val="20"/>
          <w:lang w:val="en-US" w:eastAsia="en-US"/>
        </w:rPr>
        <w:t>ing</w:t>
      </w:r>
      <w:r w:rsidR="005C268D" w:rsidRPr="009D52FD">
        <w:rPr>
          <w:rFonts w:eastAsiaTheme="minorHAnsi" w:cstheme="minorBidi"/>
          <w:sz w:val="20"/>
          <w:szCs w:val="20"/>
          <w:lang w:val="en-US" w:eastAsia="en-US"/>
        </w:rPr>
        <w:t xml:space="preserve"> the </w:t>
      </w:r>
      <w:r w:rsidR="006B506A" w:rsidRPr="009D52FD">
        <w:rPr>
          <w:rFonts w:eastAsiaTheme="minorHAnsi" w:cstheme="minorBidi"/>
          <w:sz w:val="20"/>
          <w:szCs w:val="20"/>
          <w:lang w:val="en-US" w:eastAsia="en-US"/>
        </w:rPr>
        <w:t>Criminal Code</w:t>
      </w:r>
      <w:r w:rsidR="009E4F6C" w:rsidRPr="009D52FD">
        <w:rPr>
          <w:rFonts w:eastAsiaTheme="minorHAnsi" w:cstheme="minorBidi"/>
          <w:sz w:val="20"/>
          <w:szCs w:val="20"/>
          <w:lang w:val="en-US" w:eastAsia="en-US"/>
        </w:rPr>
        <w:t xml:space="preserve">, </w:t>
      </w:r>
      <w:r w:rsidR="005C268D" w:rsidRPr="009D52FD">
        <w:rPr>
          <w:rFonts w:eastAsiaTheme="minorHAnsi" w:cstheme="minorBidi"/>
          <w:sz w:val="20"/>
          <w:szCs w:val="20"/>
          <w:lang w:val="en-US" w:eastAsia="en-US"/>
        </w:rPr>
        <w:t>which eliminated the said a</w:t>
      </w:r>
      <w:r w:rsidRPr="009D52FD">
        <w:rPr>
          <w:rFonts w:eastAsiaTheme="minorHAnsi" w:cstheme="minorBidi"/>
          <w:sz w:val="20"/>
          <w:szCs w:val="20"/>
          <w:lang w:val="en-US" w:eastAsia="en-US"/>
        </w:rPr>
        <w:t>rticle</w:t>
      </w:r>
      <w:r w:rsidR="009E4F6C" w:rsidRPr="009D52FD">
        <w:rPr>
          <w:rFonts w:eastAsiaTheme="minorHAnsi" w:cstheme="minorBidi"/>
          <w:sz w:val="20"/>
          <w:szCs w:val="20"/>
          <w:lang w:val="en-US" w:eastAsia="en-US"/>
        </w:rPr>
        <w:t xml:space="preserve"> 393</w:t>
      </w:r>
      <w:r w:rsidR="005C268D" w:rsidRPr="009D52FD">
        <w:rPr>
          <w:rFonts w:eastAsiaTheme="minorHAnsi" w:cstheme="minorBidi"/>
          <w:sz w:val="20"/>
          <w:szCs w:val="20"/>
          <w:lang w:val="en-US" w:eastAsia="en-US"/>
        </w:rPr>
        <w:t>.</w:t>
      </w:r>
      <w:r w:rsidR="009E4F6C" w:rsidRPr="009D52FD">
        <w:rPr>
          <w:rFonts w:eastAsiaTheme="minorHAnsi" w:cstheme="minorBidi"/>
          <w:sz w:val="20"/>
          <w:szCs w:val="20"/>
          <w:vertAlign w:val="superscript"/>
          <w:lang w:val="en-US" w:eastAsia="en-US"/>
        </w:rPr>
        <w:footnoteReference w:id="317"/>
      </w:r>
      <w:r w:rsidR="005C268D" w:rsidRPr="009D52FD">
        <w:rPr>
          <w:rFonts w:eastAsiaTheme="minorHAnsi" w:cstheme="minorBidi"/>
          <w:sz w:val="20"/>
          <w:szCs w:val="20"/>
          <w:lang w:val="en-US" w:eastAsia="en-US"/>
        </w:rPr>
        <w:t xml:space="preserve"> Nevertheless, the Title</w:t>
      </w:r>
      <w:r w:rsidR="00C45678" w:rsidRPr="009D52FD">
        <w:rPr>
          <w:rFonts w:eastAsiaTheme="minorHAnsi" w:cstheme="minorBidi"/>
          <w:sz w:val="20"/>
          <w:szCs w:val="20"/>
          <w:lang w:val="en-US" w:eastAsia="en-US"/>
        </w:rPr>
        <w:t xml:space="preserve"> on</w:t>
      </w:r>
      <w:r w:rsidR="005C268D" w:rsidRPr="009D52FD">
        <w:rPr>
          <w:rFonts w:eastAsiaTheme="minorHAnsi" w:cstheme="minorBidi"/>
          <w:sz w:val="20"/>
          <w:szCs w:val="20"/>
          <w:lang w:val="en-US" w:eastAsia="en-US"/>
        </w:rPr>
        <w:t xml:space="preserve"> </w:t>
      </w:r>
      <w:r w:rsidR="00C45678" w:rsidRPr="009D52FD">
        <w:rPr>
          <w:rFonts w:eastAsiaTheme="minorHAnsi" w:cstheme="minorBidi"/>
          <w:sz w:val="20"/>
          <w:szCs w:val="20"/>
          <w:lang w:val="en-US" w:eastAsia="en-US"/>
        </w:rPr>
        <w:t>“</w:t>
      </w:r>
      <w:r w:rsidR="005C268D" w:rsidRPr="009D52FD">
        <w:rPr>
          <w:rFonts w:eastAsiaTheme="minorHAnsi" w:cstheme="minorBidi"/>
          <w:sz w:val="20"/>
          <w:szCs w:val="20"/>
          <w:lang w:val="en-US" w:eastAsia="en-US"/>
        </w:rPr>
        <w:t>Crimes against morality and the good order of the family” remains in force, as well as other provisions that have been challenged.</w:t>
      </w:r>
      <w:r w:rsidR="009E4F6C" w:rsidRPr="009D52FD">
        <w:rPr>
          <w:sz w:val="20"/>
          <w:szCs w:val="20"/>
          <w:vertAlign w:val="superscript"/>
          <w:lang w:val="en-US"/>
        </w:rPr>
        <w:footnoteReference w:id="318"/>
      </w:r>
    </w:p>
    <w:p w14:paraId="07E180D8" w14:textId="5D489E02" w:rsidR="009E4F6C" w:rsidRPr="009D52FD" w:rsidRDefault="009E4F6C" w:rsidP="009E4F6C">
      <w:pPr>
        <w:widowControl/>
        <w:tabs>
          <w:tab w:val="left" w:pos="567"/>
        </w:tabs>
        <w:adjustRightInd/>
        <w:spacing w:line="240" w:lineRule="auto"/>
        <w:textAlignment w:val="auto"/>
        <w:rPr>
          <w:rFonts w:eastAsiaTheme="minorHAnsi" w:cstheme="minorBidi"/>
          <w:sz w:val="20"/>
          <w:szCs w:val="20"/>
          <w:lang w:val="en-US" w:eastAsia="en-US"/>
        </w:rPr>
      </w:pPr>
    </w:p>
    <w:p w14:paraId="71188428" w14:textId="433233BB" w:rsidR="009E4F6C" w:rsidRPr="009D52FD" w:rsidRDefault="00C45678" w:rsidP="001E0CD8">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In the case of the said</w:t>
      </w:r>
      <w:r w:rsidR="009E4F6C" w:rsidRPr="009D52FD">
        <w:rPr>
          <w:rFonts w:eastAsiaTheme="minorHAnsi" w:cstheme="minorBidi"/>
          <w:sz w:val="20"/>
          <w:szCs w:val="20"/>
          <w:lang w:val="en-US" w:eastAsia="en-US"/>
        </w:rPr>
        <w:t xml:space="preserve"> </w:t>
      </w:r>
      <w:r w:rsidR="005C268D" w:rsidRPr="009D52FD">
        <w:rPr>
          <w:rFonts w:eastAsiaTheme="minorHAnsi" w:cstheme="minorBidi"/>
          <w:sz w:val="20"/>
          <w:szCs w:val="20"/>
          <w:lang w:val="en-US" w:eastAsia="en-US"/>
        </w:rPr>
        <w:t>a</w:t>
      </w:r>
      <w:r w:rsidR="003630BB" w:rsidRPr="009D52FD">
        <w:rPr>
          <w:rFonts w:eastAsiaTheme="minorHAnsi" w:cstheme="minorBidi"/>
          <w:sz w:val="20"/>
          <w:szCs w:val="20"/>
          <w:lang w:val="en-US" w:eastAsia="en-US"/>
        </w:rPr>
        <w:t>rticle</w:t>
      </w:r>
      <w:r w:rsidR="009E4F6C" w:rsidRPr="009D52FD">
        <w:rPr>
          <w:rFonts w:eastAsiaTheme="minorHAnsi" w:cstheme="minorBidi"/>
          <w:sz w:val="20"/>
          <w:szCs w:val="20"/>
          <w:lang w:val="en-US" w:eastAsia="en-US"/>
        </w:rPr>
        <w:t xml:space="preserve"> 393, </w:t>
      </w:r>
      <w:r w:rsidR="001E0CD8" w:rsidRPr="009D52FD">
        <w:rPr>
          <w:rFonts w:eastAsiaTheme="minorHAnsi" w:cstheme="minorBidi"/>
          <w:sz w:val="20"/>
          <w:szCs w:val="20"/>
          <w:lang w:val="en-US" w:eastAsia="en-US"/>
        </w:rPr>
        <w:t xml:space="preserve">at the time of the facts, the Criminal Code was in force that established a distinction in treatment if the offense of sexual violence was committed “with a prostitute,” in other words </w:t>
      </w:r>
      <w:r w:rsidRPr="009D52FD">
        <w:rPr>
          <w:rFonts w:eastAsiaTheme="minorHAnsi" w:cstheme="minorBidi"/>
          <w:sz w:val="20"/>
          <w:szCs w:val="20"/>
          <w:lang w:val="en-US" w:eastAsia="en-US"/>
        </w:rPr>
        <w:t xml:space="preserve">with </w:t>
      </w:r>
      <w:r w:rsidR="001E0CD8" w:rsidRPr="009D52FD">
        <w:rPr>
          <w:rFonts w:eastAsiaTheme="minorHAnsi" w:cstheme="minorBidi"/>
          <w:sz w:val="20"/>
          <w:szCs w:val="20"/>
          <w:lang w:val="en-US" w:eastAsia="en-US"/>
        </w:rPr>
        <w:t xml:space="preserve">women engaged in prostitution, and this was used during the criminal proceedings to </w:t>
      </w:r>
      <w:r w:rsidRPr="009D52FD">
        <w:rPr>
          <w:rFonts w:eastAsiaTheme="minorHAnsi" w:cstheme="minorBidi"/>
          <w:sz w:val="20"/>
          <w:szCs w:val="20"/>
          <w:lang w:val="en-US" w:eastAsia="en-US"/>
        </w:rPr>
        <w:t xml:space="preserve">discredit her testimony and to </w:t>
      </w:r>
      <w:r w:rsidR="001E0CD8" w:rsidRPr="009D52FD">
        <w:rPr>
          <w:rFonts w:eastAsiaTheme="minorHAnsi" w:cstheme="minorBidi"/>
          <w:sz w:val="20"/>
          <w:szCs w:val="20"/>
          <w:lang w:val="en-US" w:eastAsia="en-US"/>
        </w:rPr>
        <w:t xml:space="preserve">focus the discussion on aspects that had no relevance to </w:t>
      </w:r>
      <w:r w:rsidRPr="009D52FD">
        <w:rPr>
          <w:rFonts w:eastAsiaTheme="minorHAnsi" w:cstheme="minorBidi"/>
          <w:sz w:val="20"/>
          <w:szCs w:val="20"/>
          <w:lang w:val="en-US" w:eastAsia="en-US"/>
        </w:rPr>
        <w:t xml:space="preserve">demonstrate </w:t>
      </w:r>
      <w:r w:rsidR="001E0CD8" w:rsidRPr="009D52FD">
        <w:rPr>
          <w:rFonts w:eastAsiaTheme="minorHAnsi" w:cstheme="minorBidi"/>
          <w:sz w:val="20"/>
          <w:szCs w:val="20"/>
          <w:lang w:val="en-US" w:eastAsia="en-US"/>
        </w:rPr>
        <w:t>the harm to Linda Loaiza’s integrity and liberty</w:t>
      </w:r>
      <w:r w:rsidRPr="009D52FD">
        <w:rPr>
          <w:rFonts w:eastAsiaTheme="minorHAnsi" w:cstheme="minorBidi"/>
          <w:sz w:val="20"/>
          <w:szCs w:val="20"/>
          <w:lang w:val="en-US" w:eastAsia="en-US"/>
        </w:rPr>
        <w:t>. Therefore,</w:t>
      </w:r>
      <w:r w:rsidR="001E0CD8" w:rsidRPr="009D52FD">
        <w:rPr>
          <w:rFonts w:eastAsiaTheme="minorHAnsi" w:cstheme="minorBidi"/>
          <w:sz w:val="20"/>
          <w:szCs w:val="20"/>
          <w:lang w:val="en-US" w:eastAsia="en-US"/>
        </w:rPr>
        <w:t xml:space="preserve"> the Court will now describe how the fact that this article was in force at the time of the proceedings in this case entailed a violation of the right to equal protection of the law and the obligation </w:t>
      </w:r>
      <w:r w:rsidR="00996337" w:rsidRPr="009D52FD">
        <w:rPr>
          <w:rFonts w:eastAsiaTheme="minorHAnsi" w:cstheme="minorBidi"/>
          <w:sz w:val="20"/>
          <w:szCs w:val="20"/>
          <w:lang w:val="en-US" w:eastAsia="en-US"/>
        </w:rPr>
        <w:t xml:space="preserve">to adopt domestic </w:t>
      </w:r>
      <w:r w:rsidR="004E1BEA" w:rsidRPr="009D52FD">
        <w:rPr>
          <w:rFonts w:eastAsiaTheme="minorHAnsi" w:cstheme="minorBidi"/>
          <w:sz w:val="20"/>
          <w:szCs w:val="20"/>
          <w:lang w:val="en-US" w:eastAsia="en-US"/>
        </w:rPr>
        <w:t>legal provisions</w:t>
      </w:r>
      <w:r w:rsidR="009E4F6C" w:rsidRPr="009D52FD">
        <w:rPr>
          <w:rFonts w:eastAsiaTheme="minorHAnsi" w:cstheme="minorBidi"/>
          <w:sz w:val="20"/>
          <w:szCs w:val="20"/>
          <w:lang w:val="en-US" w:eastAsia="en-US"/>
        </w:rPr>
        <w:t xml:space="preserve">, </w:t>
      </w:r>
      <w:r w:rsidR="001E0CD8" w:rsidRPr="009D52FD">
        <w:rPr>
          <w:rFonts w:eastAsiaTheme="minorHAnsi" w:cstheme="minorBidi"/>
          <w:sz w:val="20"/>
          <w:szCs w:val="20"/>
          <w:lang w:val="en-US" w:eastAsia="en-US"/>
        </w:rPr>
        <w:t>established in</w:t>
      </w:r>
      <w:r w:rsidR="009E4F6C" w:rsidRPr="009D52FD">
        <w:rPr>
          <w:rFonts w:eastAsiaTheme="minorHAnsi" w:cstheme="minorBidi"/>
          <w:sz w:val="20"/>
          <w:szCs w:val="20"/>
          <w:lang w:val="en-US" w:eastAsia="en-US"/>
        </w:rPr>
        <w:t xml:space="preserve"> </w:t>
      </w:r>
      <w:r w:rsidR="003630BB" w:rsidRPr="009D52FD">
        <w:rPr>
          <w:rFonts w:eastAsiaTheme="minorHAnsi" w:cstheme="minorBidi"/>
          <w:sz w:val="20"/>
          <w:szCs w:val="20"/>
          <w:lang w:val="en-US" w:eastAsia="en-US"/>
        </w:rPr>
        <w:t>Articles</w:t>
      </w:r>
      <w:r w:rsidR="009E4F6C" w:rsidRPr="009D52FD">
        <w:rPr>
          <w:rFonts w:eastAsiaTheme="minorHAnsi" w:cstheme="minorBidi"/>
          <w:sz w:val="20"/>
          <w:szCs w:val="20"/>
          <w:lang w:val="en-US" w:eastAsia="en-US"/>
        </w:rPr>
        <w:t xml:space="preserve"> 24</w:t>
      </w:r>
      <w:r w:rsidR="003630BB" w:rsidRPr="009D52FD">
        <w:rPr>
          <w:rFonts w:eastAsiaTheme="minorHAnsi" w:cstheme="minorBidi"/>
          <w:sz w:val="20"/>
          <w:szCs w:val="20"/>
          <w:lang w:val="en-US" w:eastAsia="en-US"/>
        </w:rPr>
        <w:t xml:space="preserve"> and </w:t>
      </w:r>
      <w:r w:rsidR="009E4F6C" w:rsidRPr="009D52FD">
        <w:rPr>
          <w:rFonts w:eastAsiaTheme="minorHAnsi" w:cstheme="minorBidi"/>
          <w:sz w:val="20"/>
          <w:szCs w:val="20"/>
          <w:lang w:val="en-US" w:eastAsia="en-US"/>
        </w:rPr>
        <w:t>2</w:t>
      </w:r>
      <w:r w:rsidR="00767BF7" w:rsidRPr="009D52FD">
        <w:rPr>
          <w:rFonts w:eastAsiaTheme="minorHAnsi" w:cstheme="minorBidi"/>
          <w:sz w:val="20"/>
          <w:szCs w:val="20"/>
          <w:lang w:val="en-US" w:eastAsia="en-US"/>
        </w:rPr>
        <w:t>,</w:t>
      </w:r>
      <w:r w:rsidR="009E4F6C" w:rsidRPr="009D52FD">
        <w:rPr>
          <w:rFonts w:eastAsiaTheme="minorHAnsi" w:cstheme="minorBidi"/>
          <w:sz w:val="20"/>
          <w:szCs w:val="20"/>
          <w:lang w:val="en-US" w:eastAsia="en-US"/>
        </w:rPr>
        <w:t xml:space="preserve"> </w:t>
      </w:r>
      <w:r w:rsidR="00997ADF" w:rsidRPr="009D52FD">
        <w:rPr>
          <w:rFonts w:eastAsiaTheme="minorHAnsi" w:cstheme="minorBidi"/>
          <w:sz w:val="20"/>
          <w:szCs w:val="20"/>
          <w:lang w:val="en-US" w:eastAsia="en-US"/>
        </w:rPr>
        <w:t>in relation to</w:t>
      </w:r>
      <w:r w:rsidR="00C13959" w:rsidRPr="009D52FD">
        <w:rPr>
          <w:rFonts w:eastAsiaTheme="minorHAnsi" w:cstheme="minorBidi"/>
          <w:sz w:val="20"/>
          <w:szCs w:val="20"/>
          <w:lang w:val="en-US" w:eastAsia="en-US"/>
        </w:rPr>
        <w:t xml:space="preserve"> </w:t>
      </w:r>
      <w:r w:rsidR="003630BB" w:rsidRPr="009D52FD">
        <w:rPr>
          <w:rFonts w:eastAsiaTheme="minorHAnsi" w:cstheme="minorBidi"/>
          <w:sz w:val="20"/>
          <w:szCs w:val="20"/>
          <w:lang w:val="en-US" w:eastAsia="en-US"/>
        </w:rPr>
        <w:t>Articles</w:t>
      </w:r>
      <w:r w:rsidR="00C13959" w:rsidRPr="009D52FD">
        <w:rPr>
          <w:rFonts w:eastAsiaTheme="minorHAnsi" w:cstheme="minorBidi"/>
          <w:sz w:val="20"/>
          <w:szCs w:val="20"/>
          <w:lang w:val="en-US" w:eastAsia="en-US"/>
        </w:rPr>
        <w:t xml:space="preserve"> 5</w:t>
      </w:r>
      <w:r w:rsidR="003630BB" w:rsidRPr="009D52FD">
        <w:rPr>
          <w:rFonts w:eastAsiaTheme="minorHAnsi" w:cstheme="minorBidi"/>
          <w:sz w:val="20"/>
          <w:szCs w:val="20"/>
          <w:lang w:val="en-US" w:eastAsia="en-US"/>
        </w:rPr>
        <w:t xml:space="preserve"> and </w:t>
      </w:r>
      <w:r w:rsidR="00C13959" w:rsidRPr="009D52FD">
        <w:rPr>
          <w:rFonts w:eastAsiaTheme="minorHAnsi" w:cstheme="minorBidi"/>
          <w:sz w:val="20"/>
          <w:szCs w:val="20"/>
          <w:lang w:val="en-US" w:eastAsia="en-US"/>
        </w:rPr>
        <w:t>11</w:t>
      </w:r>
      <w:r w:rsidR="003630BB" w:rsidRPr="009D52FD">
        <w:rPr>
          <w:rFonts w:eastAsiaTheme="minorHAnsi" w:cstheme="minorBidi"/>
          <w:sz w:val="20"/>
          <w:szCs w:val="20"/>
          <w:lang w:val="en-US" w:eastAsia="en-US"/>
        </w:rPr>
        <w:t xml:space="preserve"> of the American Convention</w:t>
      </w:r>
      <w:r w:rsidR="009E4F6C" w:rsidRPr="009D52FD">
        <w:rPr>
          <w:rFonts w:eastAsiaTheme="minorHAnsi" w:cstheme="minorBidi"/>
          <w:sz w:val="20"/>
          <w:szCs w:val="20"/>
          <w:lang w:val="en-US" w:eastAsia="en-US"/>
        </w:rPr>
        <w:t>.</w:t>
      </w:r>
    </w:p>
    <w:p w14:paraId="5492DA62" w14:textId="77777777" w:rsidR="009E4F6C" w:rsidRPr="009D52FD" w:rsidRDefault="009E4F6C" w:rsidP="009E4F6C">
      <w:pPr>
        <w:widowControl/>
        <w:tabs>
          <w:tab w:val="left" w:pos="567"/>
        </w:tabs>
        <w:adjustRightInd/>
        <w:spacing w:line="240" w:lineRule="auto"/>
        <w:textAlignment w:val="auto"/>
        <w:rPr>
          <w:rFonts w:eastAsiaTheme="minorHAnsi" w:cstheme="minorBidi"/>
          <w:sz w:val="20"/>
          <w:szCs w:val="20"/>
          <w:lang w:val="en-US" w:eastAsia="en-US"/>
        </w:rPr>
      </w:pPr>
    </w:p>
    <w:p w14:paraId="20D0B227" w14:textId="43442083" w:rsidR="009E4F6C" w:rsidRPr="009D52FD" w:rsidRDefault="003630BB" w:rsidP="001E0CD8">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The Court</w:t>
      </w:r>
      <w:r w:rsidR="009E4F6C" w:rsidRPr="009D52FD">
        <w:rPr>
          <w:rFonts w:eastAsiaTheme="minorHAnsi" w:cstheme="minorBidi"/>
          <w:sz w:val="20"/>
          <w:szCs w:val="20"/>
          <w:lang w:val="en-US" w:eastAsia="en-US"/>
        </w:rPr>
        <w:t xml:space="preserve"> </w:t>
      </w:r>
      <w:r w:rsidR="001E0CD8" w:rsidRPr="009D52FD">
        <w:rPr>
          <w:rFonts w:eastAsiaTheme="minorHAnsi" w:cstheme="minorBidi"/>
          <w:sz w:val="20"/>
          <w:szCs w:val="20"/>
          <w:lang w:val="en-US" w:eastAsia="en-US"/>
        </w:rPr>
        <w:t>has determined that a difference in treatment is discriminatory when it has no objective and reasonable justification;</w:t>
      </w:r>
      <w:r w:rsidR="001E0CD8" w:rsidRPr="009D52FD">
        <w:rPr>
          <w:rFonts w:eastAsiaTheme="minorHAnsi" w:cstheme="minorBidi"/>
          <w:sz w:val="20"/>
          <w:szCs w:val="20"/>
          <w:vertAlign w:val="superscript"/>
          <w:lang w:val="en-US" w:eastAsia="en-US"/>
        </w:rPr>
        <w:footnoteReference w:id="319"/>
      </w:r>
      <w:r w:rsidR="001E0CD8" w:rsidRPr="009D52FD">
        <w:rPr>
          <w:rFonts w:eastAsiaTheme="minorHAnsi" w:cstheme="minorBidi"/>
          <w:sz w:val="20"/>
          <w:szCs w:val="20"/>
          <w:lang w:val="en-US" w:eastAsia="en-US"/>
        </w:rPr>
        <w:t xml:space="preserve"> in other words, when it does not seek a legitimate purpose and there is no reasonable proportionality between the means used and the end sought.</w:t>
      </w:r>
      <w:r w:rsidR="009E4F6C" w:rsidRPr="009D52FD">
        <w:rPr>
          <w:rFonts w:eastAsiaTheme="minorHAnsi" w:cstheme="minorBidi"/>
          <w:sz w:val="20"/>
          <w:szCs w:val="20"/>
          <w:vertAlign w:val="superscript"/>
          <w:lang w:val="en-US" w:eastAsia="en-US"/>
        </w:rPr>
        <w:footnoteReference w:id="320"/>
      </w:r>
      <w:r w:rsidR="009E4F6C" w:rsidRPr="009D52FD">
        <w:rPr>
          <w:rFonts w:eastAsiaTheme="minorHAnsi" w:cstheme="minorBidi"/>
          <w:sz w:val="20"/>
          <w:szCs w:val="20"/>
          <w:lang w:val="en-US" w:eastAsia="en-US"/>
        </w:rPr>
        <w:t xml:space="preserve"> </w:t>
      </w:r>
      <w:r w:rsidR="001E0CD8" w:rsidRPr="009D52FD">
        <w:rPr>
          <w:rFonts w:eastAsiaTheme="minorHAnsi" w:cstheme="minorBidi"/>
          <w:sz w:val="20"/>
          <w:szCs w:val="20"/>
          <w:lang w:val="en-US" w:eastAsia="en-US"/>
        </w:rPr>
        <w:t xml:space="preserve">Thus, the State has the burden of proof to demonstrate that the difference in </w:t>
      </w:r>
      <w:r w:rsidR="008104E6" w:rsidRPr="009D52FD">
        <w:rPr>
          <w:rFonts w:eastAsiaTheme="minorHAnsi" w:cstheme="minorBidi"/>
          <w:sz w:val="20"/>
          <w:szCs w:val="20"/>
          <w:lang w:val="en-US" w:eastAsia="en-US"/>
        </w:rPr>
        <w:t xml:space="preserve">the </w:t>
      </w:r>
      <w:r w:rsidR="001E0CD8" w:rsidRPr="009D52FD">
        <w:rPr>
          <w:rFonts w:eastAsiaTheme="minorHAnsi" w:cstheme="minorBidi"/>
          <w:sz w:val="20"/>
          <w:szCs w:val="20"/>
          <w:lang w:val="en-US" w:eastAsia="en-US"/>
        </w:rPr>
        <w:t xml:space="preserve">treatment </w:t>
      </w:r>
      <w:r w:rsidR="008104E6" w:rsidRPr="009D52FD">
        <w:rPr>
          <w:rFonts w:eastAsiaTheme="minorHAnsi" w:cstheme="minorBidi"/>
          <w:sz w:val="20"/>
          <w:szCs w:val="20"/>
          <w:lang w:val="en-US" w:eastAsia="en-US"/>
        </w:rPr>
        <w:t>accorded to</w:t>
      </w:r>
      <w:r w:rsidR="001E0CD8" w:rsidRPr="009D52FD">
        <w:rPr>
          <w:rFonts w:eastAsiaTheme="minorHAnsi" w:cstheme="minorBidi"/>
          <w:sz w:val="20"/>
          <w:szCs w:val="20"/>
          <w:lang w:val="en-US" w:eastAsia="en-US"/>
        </w:rPr>
        <w:t xml:space="preserve"> the victim of a crime who engages in prostitu</w:t>
      </w:r>
      <w:r w:rsidR="007467C6" w:rsidRPr="009D52FD">
        <w:rPr>
          <w:rFonts w:eastAsiaTheme="minorHAnsi" w:cstheme="minorBidi"/>
          <w:sz w:val="20"/>
          <w:szCs w:val="20"/>
          <w:lang w:val="en-US" w:eastAsia="en-US"/>
        </w:rPr>
        <w:t>t</w:t>
      </w:r>
      <w:r w:rsidR="001E0CD8" w:rsidRPr="009D52FD">
        <w:rPr>
          <w:rFonts w:eastAsiaTheme="minorHAnsi" w:cstheme="minorBidi"/>
          <w:sz w:val="20"/>
          <w:szCs w:val="20"/>
          <w:lang w:val="en-US" w:eastAsia="en-US"/>
        </w:rPr>
        <w:t>ion a</w:t>
      </w:r>
      <w:r w:rsidR="008104E6" w:rsidRPr="009D52FD">
        <w:rPr>
          <w:rFonts w:eastAsiaTheme="minorHAnsi" w:cstheme="minorBidi"/>
          <w:sz w:val="20"/>
          <w:szCs w:val="20"/>
          <w:lang w:val="en-US" w:eastAsia="en-US"/>
        </w:rPr>
        <w:t>s compared to</w:t>
      </w:r>
      <w:r w:rsidR="001E0CD8" w:rsidRPr="009D52FD">
        <w:rPr>
          <w:rFonts w:eastAsiaTheme="minorHAnsi" w:cstheme="minorBidi"/>
          <w:sz w:val="20"/>
          <w:szCs w:val="20"/>
          <w:lang w:val="en-US" w:eastAsia="en-US"/>
        </w:rPr>
        <w:t xml:space="preserve"> another who does not is justified, without basing its decision on stereotypes.</w:t>
      </w:r>
      <w:r w:rsidR="009E4F6C" w:rsidRPr="009D52FD">
        <w:rPr>
          <w:rFonts w:eastAsiaTheme="minorHAnsi" w:cstheme="minorBidi"/>
          <w:sz w:val="20"/>
          <w:szCs w:val="20"/>
          <w:vertAlign w:val="superscript"/>
          <w:lang w:val="en-US" w:eastAsia="en-US"/>
        </w:rPr>
        <w:footnoteReference w:id="321"/>
      </w:r>
    </w:p>
    <w:p w14:paraId="014F3FC3" w14:textId="77777777" w:rsidR="009E4F6C" w:rsidRPr="009D52FD" w:rsidRDefault="009E4F6C" w:rsidP="009E4F6C">
      <w:pPr>
        <w:tabs>
          <w:tab w:val="left" w:pos="567"/>
        </w:tabs>
        <w:spacing w:line="240" w:lineRule="auto"/>
        <w:rPr>
          <w:rFonts w:eastAsiaTheme="minorHAnsi" w:cstheme="minorBidi"/>
          <w:sz w:val="20"/>
          <w:szCs w:val="20"/>
          <w:lang w:val="en-US" w:eastAsia="en-US"/>
        </w:rPr>
      </w:pPr>
    </w:p>
    <w:p w14:paraId="584DDB27" w14:textId="66ED2442" w:rsidR="009E4F6C" w:rsidRPr="009D52FD" w:rsidRDefault="007467C6" w:rsidP="00A518F8">
      <w:pPr>
        <w:numPr>
          <w:ilvl w:val="0"/>
          <w:numId w:val="1"/>
        </w:numPr>
        <w:tabs>
          <w:tab w:val="left" w:pos="567"/>
        </w:tabs>
        <w:spacing w:line="240" w:lineRule="auto"/>
        <w:ind w:left="0" w:firstLine="0"/>
        <w:rPr>
          <w:rFonts w:eastAsiaTheme="minorHAnsi" w:cstheme="minorBidi"/>
          <w:sz w:val="20"/>
          <w:szCs w:val="20"/>
          <w:lang w:val="en-US" w:eastAsia="en-US"/>
        </w:rPr>
      </w:pPr>
      <w:bookmarkStart w:id="93" w:name="_Ref453716165"/>
      <w:r w:rsidRPr="009D52FD">
        <w:rPr>
          <w:rFonts w:eastAsiaTheme="minorHAnsi" w:cstheme="minorBidi"/>
          <w:sz w:val="20"/>
          <w:szCs w:val="20"/>
          <w:lang w:val="en-US" w:eastAsia="en-US"/>
        </w:rPr>
        <w:t>In this case</w:t>
      </w:r>
      <w:r w:rsidR="009E4F6C" w:rsidRPr="009D52FD">
        <w:rPr>
          <w:rFonts w:eastAsiaTheme="minorHAnsi" w:cstheme="minorBidi"/>
          <w:sz w:val="20"/>
          <w:szCs w:val="20"/>
          <w:lang w:val="en-US" w:eastAsia="en-US"/>
        </w:rPr>
        <w:t xml:space="preserve">, </w:t>
      </w:r>
      <w:r w:rsidR="003630BB" w:rsidRPr="009D52FD">
        <w:rPr>
          <w:rFonts w:eastAsiaTheme="minorHAnsi" w:cstheme="minorBidi"/>
          <w:sz w:val="20"/>
          <w:szCs w:val="20"/>
          <w:lang w:val="en-US" w:eastAsia="en-US"/>
        </w:rPr>
        <w:t>the State</w:t>
      </w:r>
      <w:r w:rsidR="009E4F6C"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 xml:space="preserve">has acknowledged that this provision was discriminatory. Indeed, the differences in the scale of the punishment revealed an unjustified difference in treatment. This difference, only addressed at women who engaged in prostitution, </w:t>
      </w:r>
      <w:bookmarkEnd w:id="93"/>
      <w:r w:rsidR="009E4F6C" w:rsidRPr="009D52FD">
        <w:rPr>
          <w:rFonts w:eastAsiaTheme="minorHAnsi" w:cstheme="minorBidi"/>
          <w:sz w:val="20"/>
          <w:szCs w:val="20"/>
          <w:lang w:val="en-US" w:eastAsia="en-US"/>
        </w:rPr>
        <w:t>respond</w:t>
      </w:r>
      <w:r w:rsidRPr="009D52FD">
        <w:rPr>
          <w:rFonts w:eastAsiaTheme="minorHAnsi" w:cstheme="minorBidi"/>
          <w:sz w:val="20"/>
          <w:szCs w:val="20"/>
          <w:lang w:val="en-US" w:eastAsia="en-US"/>
        </w:rPr>
        <w:t xml:space="preserve">ed to negative or prejudicial gender stereotypes and, ultimately legitimized </w:t>
      </w:r>
      <w:r w:rsidR="0081578D" w:rsidRPr="009D52FD">
        <w:rPr>
          <w:rFonts w:eastAsiaTheme="minorHAnsi" w:cstheme="minorBidi"/>
          <w:sz w:val="20"/>
          <w:szCs w:val="20"/>
          <w:lang w:val="en-US" w:eastAsia="en-US"/>
        </w:rPr>
        <w:t>sexual violence</w:t>
      </w:r>
      <w:r w:rsidR="009E4F6C"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 xml:space="preserve">against them and displaced the discussion from the criminal action and its result to the </w:t>
      </w:r>
      <w:r w:rsidR="008104E6" w:rsidRPr="009D52FD">
        <w:rPr>
          <w:rFonts w:eastAsiaTheme="minorHAnsi" w:cstheme="minorBidi"/>
          <w:sz w:val="20"/>
          <w:szCs w:val="20"/>
          <w:lang w:val="en-US" w:eastAsia="en-US"/>
        </w:rPr>
        <w:t xml:space="preserve">victim’s </w:t>
      </w:r>
      <w:r w:rsidR="00AE580F" w:rsidRPr="009D52FD">
        <w:rPr>
          <w:rFonts w:eastAsiaTheme="minorHAnsi" w:cstheme="minorBidi"/>
          <w:sz w:val="20"/>
          <w:szCs w:val="20"/>
          <w:lang w:val="en-US" w:eastAsia="en-US"/>
        </w:rPr>
        <w:t>priva</w:t>
      </w:r>
      <w:r w:rsidRPr="009D52FD">
        <w:rPr>
          <w:rFonts w:eastAsiaTheme="minorHAnsi" w:cstheme="minorBidi"/>
          <w:sz w:val="20"/>
          <w:szCs w:val="20"/>
          <w:lang w:val="en-US" w:eastAsia="en-US"/>
        </w:rPr>
        <w:t xml:space="preserve">te life and </w:t>
      </w:r>
      <w:r w:rsidRPr="009D52FD">
        <w:rPr>
          <w:rFonts w:eastAsiaTheme="minorHAnsi" w:cstheme="minorBidi"/>
          <w:sz w:val="20"/>
          <w:szCs w:val="20"/>
          <w:lang w:val="en-US" w:eastAsia="en-US"/>
        </w:rPr>
        <w:lastRenderedPageBreak/>
        <w:t xml:space="preserve">sexual conduct. In this case, this resulted in a discussion as to whether or not </w:t>
      </w:r>
      <w:r w:rsidR="005F2BA3" w:rsidRPr="009D52FD">
        <w:rPr>
          <w:rFonts w:eastAsiaTheme="minorHAnsi" w:cstheme="minorBidi"/>
          <w:sz w:val="20"/>
          <w:szCs w:val="20"/>
          <w:lang w:val="en-US" w:eastAsia="en-US"/>
        </w:rPr>
        <w:t>Linda Loaiza</w:t>
      </w:r>
      <w:r w:rsidR="003630BB" w:rsidRPr="009D52FD">
        <w:rPr>
          <w:rFonts w:eastAsiaTheme="minorHAnsi" w:cstheme="minorBidi"/>
          <w:sz w:val="20"/>
          <w:szCs w:val="20"/>
          <w:lang w:val="en-US" w:eastAsia="en-US"/>
        </w:rPr>
        <w:t xml:space="preserve"> and </w:t>
      </w:r>
      <w:r w:rsidRPr="009D52FD">
        <w:rPr>
          <w:rFonts w:eastAsiaTheme="minorHAnsi" w:cstheme="minorBidi"/>
          <w:sz w:val="20"/>
          <w:szCs w:val="20"/>
          <w:lang w:val="en-US" w:eastAsia="en-US"/>
        </w:rPr>
        <w:t>her sister provided “escort services.” In this Court’s opinion, this aspect was completely irrelevant as there are no circumstances under which acts of violence can be justified.</w:t>
      </w:r>
    </w:p>
    <w:p w14:paraId="3DDD53AA" w14:textId="77777777" w:rsidR="009E4F6C" w:rsidRPr="009D52FD" w:rsidRDefault="009E4F6C" w:rsidP="009E4F6C">
      <w:pPr>
        <w:tabs>
          <w:tab w:val="left" w:pos="567"/>
        </w:tabs>
        <w:spacing w:line="240" w:lineRule="auto"/>
        <w:rPr>
          <w:rFonts w:eastAsiaTheme="minorHAnsi" w:cstheme="minorBidi"/>
          <w:sz w:val="20"/>
          <w:szCs w:val="20"/>
          <w:lang w:val="en-US" w:eastAsia="en-US"/>
        </w:rPr>
      </w:pPr>
    </w:p>
    <w:p w14:paraId="6EDF86A8" w14:textId="0F6FB368" w:rsidR="009E4F6C" w:rsidRPr="009D52FD" w:rsidRDefault="007467C6" w:rsidP="007467C6">
      <w:pPr>
        <w:numPr>
          <w:ilvl w:val="0"/>
          <w:numId w:val="1"/>
        </w:numPr>
        <w:tabs>
          <w:tab w:val="left" w:pos="567"/>
        </w:tabs>
        <w:spacing w:line="240" w:lineRule="auto"/>
        <w:ind w:left="0" w:firstLine="0"/>
        <w:rPr>
          <w:sz w:val="20"/>
          <w:szCs w:val="20"/>
          <w:lang w:val="en-US"/>
        </w:rPr>
      </w:pPr>
      <w:r w:rsidRPr="009D52FD">
        <w:rPr>
          <w:rFonts w:eastAsiaTheme="minorHAnsi" w:cstheme="minorBidi"/>
          <w:sz w:val="20"/>
          <w:szCs w:val="20"/>
          <w:lang w:val="en-US" w:eastAsia="en-US"/>
        </w:rPr>
        <w:t>In this regard,</w:t>
      </w:r>
      <w:r w:rsidR="009E4F6C" w:rsidRPr="009D52FD">
        <w:rPr>
          <w:rFonts w:eastAsiaTheme="minorHAnsi" w:cstheme="minorBidi"/>
          <w:sz w:val="20"/>
          <w:szCs w:val="20"/>
          <w:lang w:val="en-US" w:eastAsia="en-US"/>
        </w:rPr>
        <w:t xml:space="preserve"> </w:t>
      </w:r>
      <w:r w:rsidR="00E510B3" w:rsidRPr="009D52FD">
        <w:rPr>
          <w:rFonts w:eastAsiaTheme="minorHAnsi" w:cstheme="minorBidi"/>
          <w:sz w:val="20"/>
          <w:szCs w:val="20"/>
          <w:lang w:val="en-US" w:eastAsia="en-US"/>
        </w:rPr>
        <w:t>expert witness</w:t>
      </w:r>
      <w:r w:rsidR="00FC1A75" w:rsidRPr="009D52FD">
        <w:rPr>
          <w:rFonts w:eastAsiaTheme="minorHAnsi" w:cstheme="minorBidi"/>
          <w:sz w:val="20"/>
          <w:szCs w:val="20"/>
          <w:lang w:val="en-US" w:eastAsia="en-US"/>
        </w:rPr>
        <w:t xml:space="preserve"> Chinkin </w:t>
      </w:r>
      <w:r w:rsidRPr="009D52FD">
        <w:rPr>
          <w:rFonts w:eastAsiaTheme="minorHAnsi" w:cstheme="minorBidi"/>
          <w:sz w:val="20"/>
          <w:szCs w:val="20"/>
          <w:lang w:val="en-US" w:eastAsia="en-US"/>
        </w:rPr>
        <w:t xml:space="preserve">indicated that the inclusion in criminal law of a reduction of the punishment if the victims is a sex worker – “a </w:t>
      </w:r>
      <w:r w:rsidR="00381797" w:rsidRPr="009D52FD">
        <w:rPr>
          <w:rFonts w:eastAsiaTheme="minorHAnsi" w:cstheme="minorBidi"/>
          <w:sz w:val="20"/>
          <w:szCs w:val="20"/>
          <w:lang w:val="en-US" w:eastAsia="en-US"/>
        </w:rPr>
        <w:t>prostitute” – signifies that some women are less deserving of the protection of the law than others. Th</w:t>
      </w:r>
      <w:r w:rsidR="008104E6" w:rsidRPr="009D52FD">
        <w:rPr>
          <w:rFonts w:eastAsiaTheme="minorHAnsi" w:cstheme="minorBidi"/>
          <w:sz w:val="20"/>
          <w:szCs w:val="20"/>
          <w:lang w:val="en-US" w:eastAsia="en-US"/>
        </w:rPr>
        <w:t>is</w:t>
      </w:r>
      <w:r w:rsidR="00381797" w:rsidRPr="009D52FD">
        <w:rPr>
          <w:rFonts w:eastAsiaTheme="minorHAnsi" w:cstheme="minorBidi"/>
          <w:sz w:val="20"/>
          <w:szCs w:val="20"/>
          <w:lang w:val="en-US" w:eastAsia="en-US"/>
        </w:rPr>
        <w:t xml:space="preserve"> minimizes the severity of the offense and also allows arguments to be introduced concerning prostitution, which relate to previously sexual conduct</w:t>
      </w:r>
      <w:r w:rsidR="008104E6" w:rsidRPr="009D52FD">
        <w:rPr>
          <w:rFonts w:eastAsiaTheme="minorHAnsi" w:cstheme="minorBidi"/>
          <w:sz w:val="20"/>
          <w:szCs w:val="20"/>
          <w:lang w:val="en-US" w:eastAsia="en-US"/>
        </w:rPr>
        <w:t>, and</w:t>
      </w:r>
      <w:r w:rsidR="00381797" w:rsidRPr="009D52FD">
        <w:rPr>
          <w:rFonts w:eastAsiaTheme="minorHAnsi" w:cstheme="minorBidi"/>
          <w:sz w:val="20"/>
          <w:szCs w:val="20"/>
          <w:lang w:val="en-US" w:eastAsia="en-US"/>
        </w:rPr>
        <w:t xml:space="preserve"> that </w:t>
      </w:r>
      <w:r w:rsidR="008104E6" w:rsidRPr="009D52FD">
        <w:rPr>
          <w:rFonts w:eastAsiaTheme="minorHAnsi" w:cstheme="minorBidi"/>
          <w:sz w:val="20"/>
          <w:szCs w:val="20"/>
          <w:lang w:val="en-US" w:eastAsia="en-US"/>
        </w:rPr>
        <w:t>focus on</w:t>
      </w:r>
      <w:r w:rsidR="00381797" w:rsidRPr="009D52FD">
        <w:rPr>
          <w:rFonts w:eastAsiaTheme="minorHAnsi" w:cstheme="minorBidi"/>
          <w:sz w:val="20"/>
          <w:szCs w:val="20"/>
          <w:lang w:val="en-US" w:eastAsia="en-US"/>
        </w:rPr>
        <w:t xml:space="preserve"> a stereotype </w:t>
      </w:r>
      <w:r w:rsidR="008104E6" w:rsidRPr="009D52FD">
        <w:rPr>
          <w:rFonts w:eastAsiaTheme="minorHAnsi" w:cstheme="minorBidi"/>
          <w:sz w:val="20"/>
          <w:szCs w:val="20"/>
          <w:lang w:val="en-US" w:eastAsia="en-US"/>
        </w:rPr>
        <w:t>that</w:t>
      </w:r>
      <w:r w:rsidR="00381797" w:rsidRPr="009D52FD">
        <w:rPr>
          <w:rFonts w:eastAsiaTheme="minorHAnsi" w:cstheme="minorBidi"/>
          <w:sz w:val="20"/>
          <w:szCs w:val="20"/>
          <w:lang w:val="en-US" w:eastAsia="en-US"/>
        </w:rPr>
        <w:t xml:space="preserve"> </w:t>
      </w:r>
      <w:r w:rsidR="008104E6" w:rsidRPr="009D52FD">
        <w:rPr>
          <w:rFonts w:eastAsiaTheme="minorHAnsi" w:cstheme="minorBidi"/>
          <w:sz w:val="20"/>
          <w:szCs w:val="20"/>
          <w:lang w:val="en-US" w:eastAsia="en-US"/>
        </w:rPr>
        <w:t xml:space="preserve">casts </w:t>
      </w:r>
      <w:r w:rsidR="00381797" w:rsidRPr="009D52FD">
        <w:rPr>
          <w:rFonts w:eastAsiaTheme="minorHAnsi" w:cstheme="minorBidi"/>
          <w:sz w:val="20"/>
          <w:szCs w:val="20"/>
          <w:lang w:val="en-US" w:eastAsia="en-US"/>
        </w:rPr>
        <w:t xml:space="preserve">doubts </w:t>
      </w:r>
      <w:r w:rsidR="008104E6" w:rsidRPr="009D52FD">
        <w:rPr>
          <w:rFonts w:eastAsiaTheme="minorHAnsi" w:cstheme="minorBidi"/>
          <w:sz w:val="20"/>
          <w:szCs w:val="20"/>
          <w:lang w:val="en-US" w:eastAsia="en-US"/>
        </w:rPr>
        <w:t xml:space="preserve">on </w:t>
      </w:r>
      <w:r w:rsidR="00381797" w:rsidRPr="009D52FD">
        <w:rPr>
          <w:rFonts w:eastAsiaTheme="minorHAnsi" w:cstheme="minorBidi"/>
          <w:sz w:val="20"/>
          <w:szCs w:val="20"/>
          <w:lang w:val="en-US" w:eastAsia="en-US"/>
        </w:rPr>
        <w:t xml:space="preserve">the evidence provided by the woman, thus discrediting and humiliating her. </w:t>
      </w:r>
      <w:r w:rsidR="008104E6" w:rsidRPr="009D52FD">
        <w:rPr>
          <w:rFonts w:eastAsiaTheme="minorHAnsi" w:cstheme="minorBidi"/>
          <w:sz w:val="20"/>
          <w:szCs w:val="20"/>
          <w:lang w:val="en-US" w:eastAsia="en-US"/>
        </w:rPr>
        <w:t>In this way</w:t>
      </w:r>
      <w:r w:rsidR="00381797" w:rsidRPr="009D52FD">
        <w:rPr>
          <w:rFonts w:eastAsiaTheme="minorHAnsi" w:cstheme="minorBidi"/>
          <w:sz w:val="20"/>
          <w:szCs w:val="20"/>
          <w:lang w:val="en-US" w:eastAsia="en-US"/>
        </w:rPr>
        <w:t xml:space="preserve">, criminal law can shape the way in which proceedings advance, including the possibility of a potential revictimization. For example, provisions of criminal law that establish a lesser punishment when acts of sexual violence are committed against a prostitute permits revictimization by considering that crimes of sexual violence are less severe when they are committed against sex workers, denying them the same rights to </w:t>
      </w:r>
      <w:r w:rsidR="007C1840" w:rsidRPr="009D52FD">
        <w:rPr>
          <w:sz w:val="20"/>
          <w:szCs w:val="20"/>
          <w:lang w:val="en-US"/>
        </w:rPr>
        <w:t>physical and mental integrity</w:t>
      </w:r>
      <w:r w:rsidR="00FC1A75" w:rsidRPr="009D52FD">
        <w:rPr>
          <w:sz w:val="20"/>
          <w:szCs w:val="20"/>
          <w:lang w:val="en-US"/>
        </w:rPr>
        <w:t xml:space="preserve">, </w:t>
      </w:r>
      <w:r w:rsidR="00381797" w:rsidRPr="009D52FD">
        <w:rPr>
          <w:sz w:val="20"/>
          <w:szCs w:val="20"/>
          <w:lang w:val="en-US"/>
        </w:rPr>
        <w:t>sexual</w:t>
      </w:r>
      <w:r w:rsidR="00FC1A75" w:rsidRPr="009D52FD">
        <w:rPr>
          <w:sz w:val="20"/>
          <w:szCs w:val="20"/>
          <w:lang w:val="en-US"/>
        </w:rPr>
        <w:t xml:space="preserve"> </w:t>
      </w:r>
      <w:r w:rsidR="00AE580F" w:rsidRPr="009D52FD">
        <w:rPr>
          <w:sz w:val="20"/>
          <w:szCs w:val="20"/>
          <w:lang w:val="en-US"/>
        </w:rPr>
        <w:t>autonomy</w:t>
      </w:r>
      <w:r w:rsidR="00FC1A75" w:rsidRPr="009D52FD">
        <w:rPr>
          <w:sz w:val="20"/>
          <w:szCs w:val="20"/>
          <w:lang w:val="en-US"/>
        </w:rPr>
        <w:t xml:space="preserve"> </w:t>
      </w:r>
      <w:r w:rsidR="003630BB" w:rsidRPr="009D52FD">
        <w:rPr>
          <w:sz w:val="20"/>
          <w:szCs w:val="20"/>
          <w:lang w:val="en-US"/>
        </w:rPr>
        <w:t xml:space="preserve">and </w:t>
      </w:r>
      <w:r w:rsidR="00381797" w:rsidRPr="009D52FD">
        <w:rPr>
          <w:sz w:val="20"/>
          <w:szCs w:val="20"/>
          <w:lang w:val="en-US"/>
        </w:rPr>
        <w:t>to live free of violence as all the other women.</w:t>
      </w:r>
      <w:r w:rsidR="009E4F6C" w:rsidRPr="009D52FD">
        <w:rPr>
          <w:sz w:val="20"/>
          <w:szCs w:val="20"/>
          <w:vertAlign w:val="superscript"/>
          <w:lang w:val="en-US"/>
        </w:rPr>
        <w:footnoteReference w:id="322"/>
      </w:r>
    </w:p>
    <w:p w14:paraId="103DDC70" w14:textId="77777777" w:rsidR="009E4F6C" w:rsidRPr="009D52FD" w:rsidRDefault="009E4F6C" w:rsidP="009E4F6C">
      <w:pPr>
        <w:tabs>
          <w:tab w:val="left" w:pos="567"/>
        </w:tabs>
        <w:spacing w:line="240" w:lineRule="auto"/>
        <w:rPr>
          <w:rFonts w:eastAsiaTheme="minorHAnsi" w:cstheme="minorBidi"/>
          <w:sz w:val="20"/>
          <w:szCs w:val="20"/>
          <w:lang w:val="en-US" w:eastAsia="en-US"/>
        </w:rPr>
      </w:pPr>
    </w:p>
    <w:p w14:paraId="303E5C7A" w14:textId="37F11B39" w:rsidR="009E4F6C" w:rsidRPr="009D52FD" w:rsidRDefault="00381797" w:rsidP="00381797">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In s</w:t>
      </w:r>
      <w:r w:rsidR="008104E6" w:rsidRPr="009D52FD">
        <w:rPr>
          <w:rFonts w:eastAsiaTheme="minorHAnsi" w:cstheme="minorBidi"/>
          <w:sz w:val="20"/>
          <w:szCs w:val="20"/>
          <w:lang w:val="en-US" w:eastAsia="en-US"/>
        </w:rPr>
        <w:t>hort</w:t>
      </w:r>
      <w:r w:rsidRPr="009D52FD">
        <w:rPr>
          <w:rFonts w:eastAsiaTheme="minorHAnsi" w:cstheme="minorBidi"/>
          <w:sz w:val="20"/>
          <w:szCs w:val="20"/>
          <w:lang w:val="en-US" w:eastAsia="en-US"/>
        </w:rPr>
        <w:t xml:space="preserve">, based on the </w:t>
      </w:r>
      <w:r w:rsidR="005B6C50" w:rsidRPr="009D52FD">
        <w:rPr>
          <w:rFonts w:eastAsiaTheme="minorHAnsi" w:cstheme="minorBidi"/>
          <w:sz w:val="20"/>
          <w:szCs w:val="20"/>
          <w:lang w:val="en-US" w:eastAsia="en-US"/>
        </w:rPr>
        <w:t>State’s acknowledgement of responsibility</w:t>
      </w:r>
      <w:r w:rsidR="003630BB" w:rsidRPr="009D52FD">
        <w:rPr>
          <w:rFonts w:eastAsiaTheme="minorHAnsi" w:cstheme="minorBidi"/>
          <w:sz w:val="20"/>
          <w:szCs w:val="20"/>
          <w:lang w:val="en-US" w:eastAsia="en-US"/>
        </w:rPr>
        <w:t xml:space="preserve"> and </w:t>
      </w:r>
      <w:r w:rsidRPr="009D52FD">
        <w:rPr>
          <w:rFonts w:eastAsiaTheme="minorHAnsi" w:cstheme="minorBidi"/>
          <w:sz w:val="20"/>
          <w:szCs w:val="20"/>
          <w:lang w:val="en-US" w:eastAsia="en-US"/>
        </w:rPr>
        <w:t xml:space="preserve">the foregoing considerations, the Court concludes that the legal framework contained provisions that established an unjustified unequal treatment. Therefore, the use of article 393 of the Criminal Code that was in force until 2005 in </w:t>
      </w:r>
      <w:r w:rsidR="002627DB" w:rsidRPr="009D52FD">
        <w:rPr>
          <w:rFonts w:eastAsiaTheme="minorHAnsi" w:cstheme="minorBidi"/>
          <w:sz w:val="20"/>
          <w:szCs w:val="20"/>
          <w:lang w:val="en-US" w:eastAsia="en-US"/>
        </w:rPr>
        <w:t xml:space="preserve">the investigation and the </w:t>
      </w:r>
      <w:r w:rsidR="008104E6" w:rsidRPr="009D52FD">
        <w:rPr>
          <w:rFonts w:eastAsiaTheme="minorHAnsi" w:cstheme="minorBidi"/>
          <w:sz w:val="20"/>
          <w:szCs w:val="20"/>
          <w:lang w:val="en-US" w:eastAsia="en-US"/>
        </w:rPr>
        <w:t xml:space="preserve">judicial proceedings </w:t>
      </w:r>
      <w:r w:rsidRPr="009D52FD">
        <w:rPr>
          <w:rFonts w:eastAsiaTheme="minorHAnsi" w:cstheme="minorBidi"/>
          <w:sz w:val="20"/>
          <w:szCs w:val="20"/>
          <w:lang w:val="en-US" w:eastAsia="en-US"/>
        </w:rPr>
        <w:t>o</w:t>
      </w:r>
      <w:r w:rsidR="008104E6" w:rsidRPr="009D52FD">
        <w:rPr>
          <w:rFonts w:eastAsiaTheme="minorHAnsi" w:cstheme="minorBidi"/>
          <w:sz w:val="20"/>
          <w:szCs w:val="20"/>
          <w:lang w:val="en-US" w:eastAsia="en-US"/>
        </w:rPr>
        <w:t>n</w:t>
      </w:r>
      <w:r w:rsidRPr="009D52FD">
        <w:rPr>
          <w:rFonts w:eastAsiaTheme="minorHAnsi" w:cstheme="minorBidi"/>
          <w:sz w:val="20"/>
          <w:szCs w:val="20"/>
          <w:lang w:val="en-US" w:eastAsia="en-US"/>
        </w:rPr>
        <w:t xml:space="preserve"> the facts of this case engaged the State’s international responsibility for failing to comply with its obligation to adapt its legislation as a way of ensuring </w:t>
      </w:r>
      <w:r w:rsidR="00996337" w:rsidRPr="009D52FD">
        <w:rPr>
          <w:rFonts w:eastAsiaTheme="minorHAnsi" w:cstheme="minorBidi"/>
          <w:sz w:val="20"/>
          <w:szCs w:val="20"/>
          <w:lang w:val="en-US" w:eastAsia="en-US"/>
        </w:rPr>
        <w:t>equality before the law</w:t>
      </w:r>
      <w:r w:rsidR="009E4F6C" w:rsidRPr="009D52FD">
        <w:rPr>
          <w:rFonts w:eastAsiaTheme="minorHAnsi" w:cstheme="minorBidi"/>
          <w:sz w:val="20"/>
          <w:szCs w:val="20"/>
          <w:lang w:val="en-US" w:eastAsia="en-US"/>
        </w:rPr>
        <w:t>.</w:t>
      </w:r>
    </w:p>
    <w:p w14:paraId="636E791A" w14:textId="77777777" w:rsidR="009E4F6C" w:rsidRPr="009D52FD" w:rsidRDefault="009E4F6C" w:rsidP="009E4F6C">
      <w:pPr>
        <w:tabs>
          <w:tab w:val="left" w:pos="567"/>
        </w:tabs>
        <w:spacing w:line="240" w:lineRule="auto"/>
        <w:rPr>
          <w:rFonts w:eastAsiaTheme="minorHAnsi" w:cstheme="minorBidi"/>
          <w:sz w:val="20"/>
          <w:szCs w:val="20"/>
          <w:lang w:val="en-US" w:eastAsia="en-US"/>
        </w:rPr>
      </w:pPr>
    </w:p>
    <w:p w14:paraId="2028D0E9" w14:textId="5847F1F8" w:rsidR="009E4F6C" w:rsidRPr="009D52FD" w:rsidRDefault="00E458CC" w:rsidP="00153ECC">
      <w:pPr>
        <w:keepNext/>
        <w:keepLines/>
        <w:widowControl/>
        <w:tabs>
          <w:tab w:val="left" w:pos="1418"/>
        </w:tabs>
        <w:autoSpaceDE w:val="0"/>
        <w:autoSpaceDN w:val="0"/>
        <w:spacing w:line="240" w:lineRule="auto"/>
        <w:ind w:left="708" w:firstLine="1"/>
        <w:textAlignment w:val="auto"/>
        <w:outlineLvl w:val="1"/>
        <w:rPr>
          <w:rFonts w:eastAsia="MS Mincho" w:cs="Arial"/>
          <w:bCs/>
          <w:i/>
          <w:sz w:val="20"/>
          <w:szCs w:val="20"/>
          <w:lang w:val="en-US" w:eastAsia="en-US"/>
        </w:rPr>
      </w:pPr>
      <w:bookmarkStart w:id="94" w:name="_Toc51400103"/>
      <w:r w:rsidRPr="009D52FD">
        <w:rPr>
          <w:rFonts w:eastAsia="MS Mincho" w:cs="Arial"/>
          <w:bCs/>
          <w:i/>
          <w:sz w:val="20"/>
          <w:szCs w:val="20"/>
          <w:lang w:val="en-US" w:eastAsia="en-US"/>
        </w:rPr>
        <w:t>B.3</w:t>
      </w:r>
      <w:r w:rsidR="009E4F6C" w:rsidRPr="009D52FD">
        <w:rPr>
          <w:rFonts w:eastAsia="MS Mincho" w:cs="Arial"/>
          <w:bCs/>
          <w:i/>
          <w:sz w:val="20"/>
          <w:szCs w:val="20"/>
          <w:lang w:val="en-US" w:eastAsia="en-US"/>
        </w:rPr>
        <w:t xml:space="preserve"> </w:t>
      </w:r>
      <w:r w:rsidR="009E4F6C" w:rsidRPr="009D52FD">
        <w:rPr>
          <w:rFonts w:eastAsia="MS Mincho" w:cs="Arial"/>
          <w:bCs/>
          <w:i/>
          <w:sz w:val="20"/>
          <w:szCs w:val="20"/>
          <w:lang w:val="en-US" w:eastAsia="en-US"/>
        </w:rPr>
        <w:tab/>
      </w:r>
      <w:r w:rsidR="00381797" w:rsidRPr="009D52FD">
        <w:rPr>
          <w:rFonts w:eastAsia="MS Mincho" w:cs="Arial"/>
          <w:bCs/>
          <w:i/>
          <w:sz w:val="20"/>
          <w:szCs w:val="20"/>
          <w:lang w:val="en-US" w:eastAsia="en-US"/>
        </w:rPr>
        <w:t xml:space="preserve">Use of prejudicial gender stereotypes during </w:t>
      </w:r>
      <w:r w:rsidR="002627DB" w:rsidRPr="009D52FD">
        <w:rPr>
          <w:rFonts w:eastAsia="MS Mincho" w:cs="Arial"/>
          <w:bCs/>
          <w:i/>
          <w:sz w:val="20"/>
          <w:szCs w:val="20"/>
          <w:lang w:val="en-US" w:eastAsia="en-US"/>
        </w:rPr>
        <w:t>the investigation and the trial</w:t>
      </w:r>
      <w:bookmarkEnd w:id="94"/>
    </w:p>
    <w:p w14:paraId="58E334CA" w14:textId="77777777" w:rsidR="009E4F6C" w:rsidRPr="009D52FD" w:rsidRDefault="009E4F6C" w:rsidP="009E4F6C">
      <w:pPr>
        <w:widowControl/>
        <w:tabs>
          <w:tab w:val="left" w:pos="567"/>
        </w:tabs>
        <w:adjustRightInd/>
        <w:spacing w:line="240" w:lineRule="auto"/>
        <w:ind w:left="567"/>
        <w:textAlignment w:val="auto"/>
        <w:rPr>
          <w:rFonts w:cs="Verdana"/>
          <w:i/>
          <w:sz w:val="20"/>
          <w:szCs w:val="20"/>
          <w:lang w:val="en-US"/>
        </w:rPr>
      </w:pPr>
    </w:p>
    <w:p w14:paraId="1F6D016D" w14:textId="7A4FEA39" w:rsidR="009E4F6C" w:rsidRPr="009D52FD" w:rsidRDefault="003630BB" w:rsidP="002627DB">
      <w:pPr>
        <w:numPr>
          <w:ilvl w:val="0"/>
          <w:numId w:val="1"/>
        </w:numPr>
        <w:tabs>
          <w:tab w:val="left" w:pos="567"/>
        </w:tabs>
        <w:spacing w:line="240" w:lineRule="auto"/>
        <w:ind w:left="0" w:firstLine="0"/>
        <w:rPr>
          <w:rFonts w:eastAsia="Calibri"/>
          <w:sz w:val="20"/>
          <w:szCs w:val="20"/>
          <w:lang w:val="en-US" w:eastAsia="es-MX"/>
        </w:rPr>
      </w:pPr>
      <w:r w:rsidRPr="009D52FD">
        <w:rPr>
          <w:rFonts w:eastAsia="Batang"/>
          <w:sz w:val="20"/>
          <w:szCs w:val="20"/>
          <w:lang w:val="en-US" w:eastAsia="es-MX"/>
        </w:rPr>
        <w:t>The Court</w:t>
      </w:r>
      <w:r w:rsidR="009E4F6C" w:rsidRPr="009D52FD">
        <w:rPr>
          <w:rFonts w:eastAsia="Batang"/>
          <w:sz w:val="20"/>
          <w:szCs w:val="20"/>
          <w:lang w:val="en-US" w:eastAsia="es-MX"/>
        </w:rPr>
        <w:t xml:space="preserve"> reitera</w:t>
      </w:r>
      <w:r w:rsidR="002627DB" w:rsidRPr="009D52FD">
        <w:rPr>
          <w:rFonts w:eastAsia="Batang"/>
          <w:sz w:val="20"/>
          <w:szCs w:val="20"/>
          <w:lang w:val="en-US" w:eastAsia="es-MX"/>
        </w:rPr>
        <w:t>tes that gender stereotyping refers to a preconception of the attributes, conducts or characteristics or the roles that are or should be played by men and women, respectively, and that it is possible to associate the subordination of women to practices based on socially dominant and socially persistent gender stereotypes. Their creation and use becomes one of the causes and consequences of gender-based violence against women, conditions that are exacerbated when they are implicitly or explicitly reflected in policies and practices, particularly in the rationale and language used by the state authorities.</w:t>
      </w:r>
      <w:r w:rsidR="009E4F6C" w:rsidRPr="009D52FD">
        <w:rPr>
          <w:rFonts w:eastAsia="Batang"/>
          <w:sz w:val="20"/>
          <w:szCs w:val="20"/>
          <w:vertAlign w:val="superscript"/>
          <w:lang w:val="en-US" w:eastAsia="es-MX"/>
        </w:rPr>
        <w:footnoteReference w:id="323"/>
      </w:r>
    </w:p>
    <w:p w14:paraId="33DC767C" w14:textId="77777777" w:rsidR="009E4F6C" w:rsidRPr="009D52FD" w:rsidRDefault="009E4F6C" w:rsidP="009E4F6C">
      <w:pPr>
        <w:widowControl/>
        <w:tabs>
          <w:tab w:val="left" w:pos="567"/>
        </w:tabs>
        <w:adjustRightInd/>
        <w:spacing w:line="240" w:lineRule="auto"/>
        <w:textAlignment w:val="auto"/>
        <w:rPr>
          <w:rFonts w:eastAsia="Batang" w:cs="Arial"/>
          <w:sz w:val="20"/>
          <w:szCs w:val="20"/>
          <w:lang w:val="en-US" w:eastAsia="es-MX"/>
        </w:rPr>
      </w:pPr>
    </w:p>
    <w:p w14:paraId="2BBA3C41" w14:textId="04D8EB4A" w:rsidR="009E4F6C" w:rsidRPr="009D52FD" w:rsidRDefault="002627DB" w:rsidP="0004275A">
      <w:pPr>
        <w:numPr>
          <w:ilvl w:val="0"/>
          <w:numId w:val="1"/>
        </w:numPr>
        <w:tabs>
          <w:tab w:val="left" w:pos="567"/>
        </w:tabs>
        <w:spacing w:line="240" w:lineRule="auto"/>
        <w:ind w:left="0" w:firstLine="0"/>
        <w:rPr>
          <w:sz w:val="20"/>
          <w:szCs w:val="20"/>
          <w:lang w:val="en-US"/>
        </w:rPr>
      </w:pPr>
      <w:r w:rsidRPr="009D52FD">
        <w:rPr>
          <w:rFonts w:eastAsia="Calibri"/>
          <w:sz w:val="20"/>
          <w:szCs w:val="20"/>
          <w:lang w:val="en-US" w:eastAsia="en-US"/>
        </w:rPr>
        <w:t>I</w:t>
      </w:r>
      <w:r w:rsidR="009E4F6C" w:rsidRPr="009D52FD">
        <w:rPr>
          <w:rFonts w:eastAsia="Calibri"/>
          <w:sz w:val="20"/>
          <w:szCs w:val="20"/>
          <w:lang w:val="en-US" w:eastAsia="en-US"/>
        </w:rPr>
        <w:t xml:space="preserve">n particular, </w:t>
      </w:r>
      <w:r w:rsidR="003630BB" w:rsidRPr="009D52FD">
        <w:rPr>
          <w:rFonts w:eastAsia="Calibri"/>
          <w:sz w:val="20"/>
          <w:szCs w:val="20"/>
          <w:lang w:val="en-US" w:eastAsia="en-US"/>
        </w:rPr>
        <w:t>the Court</w:t>
      </w:r>
      <w:r w:rsidR="009E4F6C" w:rsidRPr="009D52FD">
        <w:rPr>
          <w:sz w:val="20"/>
          <w:szCs w:val="20"/>
          <w:lang w:val="en-US"/>
        </w:rPr>
        <w:t xml:space="preserve"> ha</w:t>
      </w:r>
      <w:r w:rsidRPr="009D52FD">
        <w:rPr>
          <w:sz w:val="20"/>
          <w:szCs w:val="20"/>
          <w:lang w:val="en-US"/>
        </w:rPr>
        <w:t>s recognized that personal prejudices and gender stereotypes affect the objectivity of the state officials responsible for investigating the complaints filed before them, influencing their perception</w:t>
      </w:r>
      <w:r w:rsidR="00B44F34" w:rsidRPr="009D52FD">
        <w:rPr>
          <w:sz w:val="20"/>
          <w:szCs w:val="20"/>
          <w:lang w:val="en-US"/>
        </w:rPr>
        <w:t>s</w:t>
      </w:r>
      <w:r w:rsidRPr="009D52FD">
        <w:rPr>
          <w:sz w:val="20"/>
          <w:szCs w:val="20"/>
          <w:lang w:val="en-US"/>
        </w:rPr>
        <w:t xml:space="preserve"> when determining whether an act of violence occurred, and their evaluation of the credibility of the witnesses and the victim herself. Stereotyp</w:t>
      </w:r>
      <w:r w:rsidR="0004275A" w:rsidRPr="009D52FD">
        <w:rPr>
          <w:sz w:val="20"/>
          <w:szCs w:val="20"/>
          <w:lang w:val="en-US"/>
        </w:rPr>
        <w:t>ing</w:t>
      </w:r>
      <w:r w:rsidRPr="009D52FD">
        <w:rPr>
          <w:sz w:val="20"/>
          <w:szCs w:val="20"/>
          <w:lang w:val="en-US"/>
        </w:rPr>
        <w:t xml:space="preserve"> “distort</w:t>
      </w:r>
      <w:r w:rsidR="0004275A" w:rsidRPr="009D52FD">
        <w:rPr>
          <w:sz w:val="20"/>
          <w:szCs w:val="20"/>
          <w:lang w:val="en-US"/>
        </w:rPr>
        <w:t>s</w:t>
      </w:r>
      <w:r w:rsidRPr="009D52FD">
        <w:rPr>
          <w:sz w:val="20"/>
          <w:szCs w:val="20"/>
          <w:lang w:val="en-US"/>
        </w:rPr>
        <w:t xml:space="preserve"> perceptions and result</w:t>
      </w:r>
      <w:r w:rsidR="0004275A" w:rsidRPr="009D52FD">
        <w:rPr>
          <w:sz w:val="20"/>
          <w:szCs w:val="20"/>
          <w:lang w:val="en-US"/>
        </w:rPr>
        <w:t>s</w:t>
      </w:r>
      <w:r w:rsidRPr="009D52FD">
        <w:rPr>
          <w:sz w:val="20"/>
          <w:szCs w:val="20"/>
          <w:lang w:val="en-US"/>
        </w:rPr>
        <w:t xml:space="preserve"> in decisions based on preconceived beliefs and myths</w:t>
      </w:r>
      <w:r w:rsidR="0004275A" w:rsidRPr="009D52FD">
        <w:rPr>
          <w:sz w:val="20"/>
          <w:szCs w:val="20"/>
          <w:lang w:val="en-US"/>
        </w:rPr>
        <w:t xml:space="preserve"> rather than relevant</w:t>
      </w:r>
      <w:r w:rsidRPr="009D52FD">
        <w:rPr>
          <w:sz w:val="20"/>
          <w:szCs w:val="20"/>
          <w:lang w:val="en-US"/>
        </w:rPr>
        <w:t xml:space="preserve"> facts</w:t>
      </w:r>
      <w:r w:rsidR="0004275A" w:rsidRPr="009D52FD">
        <w:rPr>
          <w:sz w:val="20"/>
          <w:szCs w:val="20"/>
          <w:lang w:val="en-US"/>
        </w:rPr>
        <w:t>,</w:t>
      </w:r>
      <w:r w:rsidRPr="009D52FD">
        <w:rPr>
          <w:sz w:val="20"/>
          <w:szCs w:val="20"/>
          <w:lang w:val="en-US"/>
        </w:rPr>
        <w:t>”</w:t>
      </w:r>
      <w:r w:rsidR="0004275A" w:rsidRPr="009D52FD">
        <w:rPr>
          <w:sz w:val="20"/>
          <w:szCs w:val="20"/>
          <w:lang w:val="en-US"/>
        </w:rPr>
        <w:t xml:space="preserve"> which</w:t>
      </w:r>
      <w:r w:rsidRPr="009D52FD">
        <w:rPr>
          <w:sz w:val="20"/>
          <w:szCs w:val="20"/>
          <w:lang w:val="en-US"/>
        </w:rPr>
        <w:t xml:space="preserve"> may </w:t>
      </w:r>
      <w:r w:rsidR="0004275A" w:rsidRPr="009D52FD">
        <w:rPr>
          <w:sz w:val="20"/>
          <w:szCs w:val="20"/>
          <w:lang w:val="en-US"/>
        </w:rPr>
        <w:t>lead to</w:t>
      </w:r>
      <w:r w:rsidRPr="009D52FD">
        <w:rPr>
          <w:sz w:val="20"/>
          <w:szCs w:val="20"/>
          <w:lang w:val="en-US"/>
        </w:rPr>
        <w:t xml:space="preserve"> the denial of justice, </w:t>
      </w:r>
      <w:r w:rsidR="0004275A" w:rsidRPr="009D52FD">
        <w:rPr>
          <w:sz w:val="20"/>
          <w:szCs w:val="20"/>
          <w:lang w:val="en-US"/>
        </w:rPr>
        <w:t>“</w:t>
      </w:r>
      <w:r w:rsidRPr="009D52FD">
        <w:rPr>
          <w:sz w:val="20"/>
          <w:szCs w:val="20"/>
          <w:lang w:val="en-US"/>
        </w:rPr>
        <w:t>including the revictimization of complainants.</w:t>
      </w:r>
      <w:r w:rsidR="0004275A" w:rsidRPr="009D52FD">
        <w:rPr>
          <w:sz w:val="20"/>
          <w:szCs w:val="20"/>
          <w:lang w:val="en-US"/>
        </w:rPr>
        <w:t>”</w:t>
      </w:r>
      <w:r w:rsidR="009E4F6C" w:rsidRPr="009D52FD">
        <w:rPr>
          <w:rFonts w:eastAsia="Calibri" w:cs="Cambria"/>
          <w:color w:val="1A1A1A"/>
          <w:sz w:val="20"/>
          <w:szCs w:val="20"/>
          <w:vertAlign w:val="superscript"/>
          <w:lang w:val="en-US" w:eastAsia="en-US"/>
        </w:rPr>
        <w:footnoteReference w:id="324"/>
      </w:r>
      <w:r w:rsidR="009E4F6C" w:rsidRPr="009D52FD">
        <w:rPr>
          <w:rFonts w:eastAsia="Calibri"/>
          <w:color w:val="1A1A1A"/>
          <w:sz w:val="20"/>
          <w:szCs w:val="20"/>
          <w:lang w:val="en-US" w:eastAsia="en-US"/>
        </w:rPr>
        <w:t xml:space="preserve"> </w:t>
      </w:r>
      <w:r w:rsidRPr="009D52FD">
        <w:rPr>
          <w:rFonts w:eastAsia="Calibri"/>
          <w:color w:val="1A1A1A"/>
          <w:sz w:val="20"/>
          <w:szCs w:val="20"/>
          <w:lang w:val="en-US" w:eastAsia="en-US"/>
        </w:rPr>
        <w:t xml:space="preserve">When stereotypes are used in the investigation of </w:t>
      </w:r>
      <w:r w:rsidR="005935CA" w:rsidRPr="009D52FD">
        <w:rPr>
          <w:rFonts w:eastAsia="Calibri"/>
          <w:color w:val="1A1A1A"/>
          <w:sz w:val="20"/>
          <w:szCs w:val="20"/>
          <w:lang w:val="en-US" w:eastAsia="en-US"/>
        </w:rPr>
        <w:t>violence against women</w:t>
      </w:r>
      <w:r w:rsidR="009E4F6C" w:rsidRPr="009D52FD">
        <w:rPr>
          <w:rFonts w:eastAsia="Calibri"/>
          <w:color w:val="1A1A1A"/>
          <w:sz w:val="20"/>
          <w:szCs w:val="20"/>
          <w:lang w:val="en-US" w:eastAsia="en-US"/>
        </w:rPr>
        <w:t xml:space="preserve"> </w:t>
      </w:r>
      <w:r w:rsidRPr="009D52FD">
        <w:rPr>
          <w:rFonts w:eastAsia="Calibri"/>
          <w:color w:val="1A1A1A"/>
          <w:sz w:val="20"/>
          <w:szCs w:val="20"/>
          <w:lang w:val="en-US" w:eastAsia="en-US"/>
        </w:rPr>
        <w:t xml:space="preserve">the right to a life free of violence is infringed, especially in those cases when </w:t>
      </w:r>
      <w:r w:rsidR="0004275A" w:rsidRPr="009D52FD">
        <w:rPr>
          <w:rFonts w:eastAsia="Calibri"/>
          <w:color w:val="1A1A1A"/>
          <w:sz w:val="20"/>
          <w:szCs w:val="20"/>
          <w:lang w:val="en-US" w:eastAsia="en-US"/>
        </w:rPr>
        <w:t>its</w:t>
      </w:r>
      <w:r w:rsidRPr="009D52FD">
        <w:rPr>
          <w:rFonts w:eastAsia="Calibri"/>
          <w:color w:val="1A1A1A"/>
          <w:sz w:val="20"/>
          <w:szCs w:val="20"/>
          <w:lang w:val="en-US" w:eastAsia="en-US"/>
        </w:rPr>
        <w:t xml:space="preserve"> use by law enforcement agents </w:t>
      </w:r>
      <w:r w:rsidR="0004275A" w:rsidRPr="009D52FD">
        <w:rPr>
          <w:rFonts w:eastAsia="Calibri"/>
          <w:color w:val="1A1A1A"/>
          <w:sz w:val="20"/>
          <w:szCs w:val="20"/>
          <w:lang w:val="en-US" w:eastAsia="en-US"/>
        </w:rPr>
        <w:t xml:space="preserve">prevents the </w:t>
      </w:r>
      <w:r w:rsidR="00B44F34" w:rsidRPr="009D52FD">
        <w:rPr>
          <w:rFonts w:eastAsia="Calibri"/>
          <w:color w:val="1A1A1A"/>
          <w:sz w:val="20"/>
          <w:szCs w:val="20"/>
          <w:lang w:val="en-US" w:eastAsia="en-US"/>
        </w:rPr>
        <w:t>implementation</w:t>
      </w:r>
      <w:r w:rsidR="0004275A" w:rsidRPr="009D52FD">
        <w:rPr>
          <w:rFonts w:eastAsia="Calibri"/>
          <w:color w:val="1A1A1A"/>
          <w:sz w:val="20"/>
          <w:szCs w:val="20"/>
          <w:lang w:val="en-US" w:eastAsia="en-US"/>
        </w:rPr>
        <w:t xml:space="preserve"> of appropriate investigations, </w:t>
      </w:r>
      <w:r w:rsidR="00B44F34" w:rsidRPr="009D52FD">
        <w:rPr>
          <w:rFonts w:eastAsia="Calibri"/>
          <w:color w:val="1A1A1A"/>
          <w:sz w:val="20"/>
          <w:szCs w:val="20"/>
          <w:lang w:val="en-US" w:eastAsia="en-US"/>
        </w:rPr>
        <w:t>and this</w:t>
      </w:r>
      <w:r w:rsidR="0004275A" w:rsidRPr="009D52FD">
        <w:rPr>
          <w:rFonts w:eastAsia="Calibri"/>
          <w:color w:val="1A1A1A"/>
          <w:sz w:val="20"/>
          <w:szCs w:val="20"/>
          <w:lang w:val="en-US" w:eastAsia="en-US"/>
        </w:rPr>
        <w:t xml:space="preserve"> also denies women the right of access to justice. </w:t>
      </w:r>
      <w:r w:rsidR="00B44F34" w:rsidRPr="009D52FD">
        <w:rPr>
          <w:rFonts w:eastAsia="Calibri"/>
          <w:color w:val="1A1A1A"/>
          <w:sz w:val="20"/>
          <w:szCs w:val="20"/>
          <w:lang w:val="en-US" w:eastAsia="en-US"/>
        </w:rPr>
        <w:t>Moreover,</w:t>
      </w:r>
      <w:r w:rsidR="0004275A" w:rsidRPr="009D52FD">
        <w:rPr>
          <w:rFonts w:eastAsia="Calibri"/>
          <w:color w:val="1A1A1A"/>
          <w:sz w:val="20"/>
          <w:szCs w:val="20"/>
          <w:lang w:val="en-US" w:eastAsia="en-US"/>
        </w:rPr>
        <w:t xml:space="preserve"> when the State fails to take concrete actions to eradicate </w:t>
      </w:r>
      <w:r w:rsidR="00B44F34" w:rsidRPr="009D52FD">
        <w:rPr>
          <w:rFonts w:eastAsia="Calibri"/>
          <w:color w:val="1A1A1A"/>
          <w:sz w:val="20"/>
          <w:szCs w:val="20"/>
          <w:lang w:val="en-US" w:eastAsia="en-US"/>
        </w:rPr>
        <w:t>stereotypes,</w:t>
      </w:r>
      <w:r w:rsidR="0004275A" w:rsidRPr="009D52FD">
        <w:rPr>
          <w:rFonts w:eastAsia="Calibri"/>
          <w:color w:val="1A1A1A"/>
          <w:sz w:val="20"/>
          <w:szCs w:val="20"/>
          <w:lang w:val="en-US" w:eastAsia="en-US"/>
        </w:rPr>
        <w:t xml:space="preserve"> it reinforces and institutionalizes them, which generates and reproduces</w:t>
      </w:r>
      <w:r w:rsidR="0004275A" w:rsidRPr="009D52FD">
        <w:rPr>
          <w:sz w:val="20"/>
          <w:szCs w:val="20"/>
          <w:lang w:val="en-US"/>
        </w:rPr>
        <w:t xml:space="preserve"> </w:t>
      </w:r>
      <w:r w:rsidR="005935CA" w:rsidRPr="009D52FD">
        <w:rPr>
          <w:rFonts w:eastAsia="Calibri"/>
          <w:color w:val="1A1A1A"/>
          <w:sz w:val="20"/>
          <w:szCs w:val="20"/>
          <w:lang w:val="en-US" w:eastAsia="en-US"/>
        </w:rPr>
        <w:t>violence against women</w:t>
      </w:r>
      <w:r w:rsidR="0004275A" w:rsidRPr="009D52FD">
        <w:rPr>
          <w:rFonts w:eastAsia="Calibri"/>
          <w:color w:val="1A1A1A"/>
          <w:sz w:val="20"/>
          <w:szCs w:val="20"/>
          <w:lang w:val="en-US" w:eastAsia="en-US"/>
        </w:rPr>
        <w:t>.</w:t>
      </w:r>
      <w:r w:rsidR="009E4F6C" w:rsidRPr="009D52FD">
        <w:rPr>
          <w:rFonts w:eastAsia="Calibri" w:cs="Cambria"/>
          <w:color w:val="1A1A1A"/>
          <w:sz w:val="20"/>
          <w:szCs w:val="20"/>
          <w:vertAlign w:val="superscript"/>
          <w:lang w:val="en-US" w:eastAsia="en-US"/>
        </w:rPr>
        <w:footnoteReference w:id="325"/>
      </w:r>
    </w:p>
    <w:p w14:paraId="22A64ED9" w14:textId="77777777" w:rsidR="009E4F6C" w:rsidRPr="009D52FD" w:rsidRDefault="009E4F6C" w:rsidP="009E4F6C">
      <w:pPr>
        <w:widowControl/>
        <w:tabs>
          <w:tab w:val="left" w:pos="567"/>
        </w:tabs>
        <w:adjustRightInd/>
        <w:spacing w:line="240" w:lineRule="auto"/>
        <w:textAlignment w:val="auto"/>
        <w:rPr>
          <w:rFonts w:eastAsia="Batang"/>
          <w:sz w:val="20"/>
          <w:szCs w:val="20"/>
          <w:lang w:val="en-US" w:eastAsia="es-MX"/>
        </w:rPr>
      </w:pPr>
    </w:p>
    <w:p w14:paraId="612BAE60" w14:textId="51070D8A" w:rsidR="009E4F6C" w:rsidRPr="009D52FD" w:rsidRDefault="0004275A" w:rsidP="00F717B9">
      <w:pPr>
        <w:numPr>
          <w:ilvl w:val="0"/>
          <w:numId w:val="1"/>
        </w:numPr>
        <w:tabs>
          <w:tab w:val="left" w:pos="567"/>
        </w:tabs>
        <w:spacing w:line="240" w:lineRule="auto"/>
        <w:ind w:left="0" w:firstLine="0"/>
        <w:rPr>
          <w:rFonts w:eastAsia="Batang" w:cs="Arial"/>
          <w:sz w:val="20"/>
          <w:szCs w:val="20"/>
          <w:lang w:val="en-US" w:eastAsia="es-MX"/>
        </w:rPr>
      </w:pPr>
      <w:r w:rsidRPr="009D52FD">
        <w:rPr>
          <w:rFonts w:eastAsia="Batang" w:cs="Arial"/>
          <w:sz w:val="20"/>
          <w:szCs w:val="20"/>
          <w:lang w:val="en-US" w:eastAsia="es-MX"/>
        </w:rPr>
        <w:t>In the instant case, the Court has verified that the fact that, on repeated occasions, it was mentioned that Linda Loaiza was in a romantic relationship with her aggressor (</w:t>
      </w:r>
      <w:r w:rsidRPr="009D52FD">
        <w:rPr>
          <w:rFonts w:eastAsia="Batang" w:cs="Arial"/>
          <w:i/>
          <w:sz w:val="20"/>
          <w:szCs w:val="20"/>
          <w:lang w:val="en-US" w:eastAsia="es-MX"/>
        </w:rPr>
        <w:t>supra</w:t>
      </w:r>
      <w:r w:rsidRPr="009D52FD">
        <w:rPr>
          <w:rFonts w:eastAsia="Batang" w:cs="Arial"/>
          <w:sz w:val="20"/>
          <w:szCs w:val="20"/>
          <w:lang w:val="en-US" w:eastAsia="es-MX"/>
        </w:rPr>
        <w:t xml:space="preserve"> paras. 68, 157 and 168), meant that, in practice, the authorities failed to provide an opportune and immediate response, minimized</w:t>
      </w:r>
      <w:r w:rsidR="00B44F34" w:rsidRPr="009D52FD">
        <w:rPr>
          <w:rFonts w:eastAsia="Batang" w:cs="Arial"/>
          <w:sz w:val="20"/>
          <w:szCs w:val="20"/>
          <w:lang w:val="en-US" w:eastAsia="es-MX"/>
        </w:rPr>
        <w:t xml:space="preserve"> – in</w:t>
      </w:r>
      <w:r w:rsidRPr="009D52FD">
        <w:rPr>
          <w:rFonts w:eastAsia="Batang" w:cs="Arial"/>
          <w:sz w:val="20"/>
          <w:szCs w:val="20"/>
          <w:lang w:val="en-US" w:eastAsia="es-MX"/>
        </w:rPr>
        <w:t xml:space="preserve">stitutionally </w:t>
      </w:r>
      <w:r w:rsidR="00B44F34" w:rsidRPr="009D52FD">
        <w:rPr>
          <w:rFonts w:eastAsia="Batang" w:cs="Arial"/>
          <w:sz w:val="20"/>
          <w:szCs w:val="20"/>
          <w:lang w:val="en-US" w:eastAsia="es-MX"/>
        </w:rPr>
        <w:t>– th</w:t>
      </w:r>
      <w:r w:rsidRPr="009D52FD">
        <w:rPr>
          <w:rFonts w:eastAsia="Batang" w:cs="Arial"/>
          <w:sz w:val="20"/>
          <w:szCs w:val="20"/>
          <w:lang w:val="en-US" w:eastAsia="es-MX"/>
        </w:rPr>
        <w:t xml:space="preserve">e gravity of the situation and the violations of her </w:t>
      </w:r>
      <w:r w:rsidR="00997ADF" w:rsidRPr="009D52FD">
        <w:rPr>
          <w:rFonts w:eastAsia="Batang" w:cs="Arial"/>
          <w:sz w:val="20"/>
          <w:szCs w:val="20"/>
          <w:lang w:val="en-US" w:eastAsia="es-MX"/>
        </w:rPr>
        <w:t>personal integrity</w:t>
      </w:r>
      <w:r w:rsidRPr="009D52FD">
        <w:rPr>
          <w:rFonts w:eastAsia="Batang" w:cs="Arial"/>
          <w:sz w:val="20"/>
          <w:szCs w:val="20"/>
          <w:lang w:val="en-US" w:eastAsia="es-MX"/>
        </w:rPr>
        <w:t xml:space="preserve"> and, during the initial sta</w:t>
      </w:r>
      <w:r w:rsidR="00B44F34" w:rsidRPr="009D52FD">
        <w:rPr>
          <w:rFonts w:eastAsia="Batang" w:cs="Arial"/>
          <w:sz w:val="20"/>
          <w:szCs w:val="20"/>
          <w:lang w:val="en-US" w:eastAsia="es-MX"/>
        </w:rPr>
        <w:t>g</w:t>
      </w:r>
      <w:r w:rsidRPr="009D52FD">
        <w:rPr>
          <w:rFonts w:eastAsia="Batang" w:cs="Arial"/>
          <w:sz w:val="20"/>
          <w:szCs w:val="20"/>
          <w:lang w:val="en-US" w:eastAsia="es-MX"/>
        </w:rPr>
        <w:t xml:space="preserve">es, did not treat the case with the thoroughness that it called for. </w:t>
      </w:r>
      <w:r w:rsidR="00F717B9" w:rsidRPr="009D52FD">
        <w:rPr>
          <w:rFonts w:eastAsia="Batang" w:cs="Arial"/>
          <w:sz w:val="20"/>
          <w:szCs w:val="20"/>
          <w:lang w:val="en-US" w:eastAsia="es-MX"/>
        </w:rPr>
        <w:t>It has not gone unnoticed by the Court that, traditionally, the sphere of couples and the family was considered exempt from public scrutiny; that is, it was circumscribed to the private sphere and was, therefore, less serious or did not warrant the attention of the authorities.</w:t>
      </w:r>
      <w:r w:rsidR="00A640CA" w:rsidRPr="009D52FD">
        <w:rPr>
          <w:rStyle w:val="FootnoteReference"/>
          <w:rFonts w:eastAsia="Batang" w:cs="Arial"/>
          <w:sz w:val="20"/>
          <w:szCs w:val="20"/>
          <w:lang w:val="en-US" w:eastAsia="es-MX"/>
        </w:rPr>
        <w:footnoteReference w:id="326"/>
      </w:r>
      <w:r w:rsidR="00F717B9" w:rsidRPr="009D52FD">
        <w:rPr>
          <w:rFonts w:eastAsia="Batang" w:cs="Arial"/>
          <w:sz w:val="20"/>
          <w:szCs w:val="20"/>
          <w:lang w:val="en-US" w:eastAsia="es-MX"/>
        </w:rPr>
        <w:t xml:space="preserve"> Moreover, </w:t>
      </w:r>
      <w:r w:rsidR="009E4F6C" w:rsidRPr="009D52FD">
        <w:rPr>
          <w:rFonts w:eastAsia="Batang" w:cs="Arial"/>
          <w:sz w:val="20"/>
          <w:szCs w:val="20"/>
          <w:lang w:val="en-US" w:eastAsia="es-MX"/>
        </w:rPr>
        <w:t xml:space="preserve"> </w:t>
      </w:r>
      <w:r w:rsidR="00F717B9" w:rsidRPr="009D52FD">
        <w:rPr>
          <w:rFonts w:eastAsia="Batang" w:cs="Arial"/>
          <w:sz w:val="20"/>
          <w:szCs w:val="20"/>
          <w:lang w:val="en-US" w:eastAsia="es-MX"/>
        </w:rPr>
        <w:t xml:space="preserve">owing to the discriminatory criminal legislation that existed </w:t>
      </w:r>
      <w:r w:rsidR="009E4F6C" w:rsidRPr="009D52FD">
        <w:rPr>
          <w:rFonts w:eastAsia="Batang" w:cs="Arial"/>
          <w:sz w:val="20"/>
          <w:szCs w:val="20"/>
          <w:lang w:val="en-US" w:eastAsia="es-MX"/>
        </w:rPr>
        <w:t>(</w:t>
      </w:r>
      <w:r w:rsidR="009E4F6C" w:rsidRPr="009D52FD">
        <w:rPr>
          <w:rFonts w:eastAsia="Batang" w:cs="Arial"/>
          <w:i/>
          <w:sz w:val="20"/>
          <w:szCs w:val="20"/>
          <w:lang w:val="en-US" w:eastAsia="es-MX"/>
        </w:rPr>
        <w:t>supra</w:t>
      </w:r>
      <w:r w:rsidR="009E4F6C" w:rsidRPr="009D52FD">
        <w:rPr>
          <w:rFonts w:eastAsia="Batang" w:cs="Arial"/>
          <w:sz w:val="20"/>
          <w:szCs w:val="20"/>
          <w:lang w:val="en-US" w:eastAsia="es-MX"/>
        </w:rPr>
        <w:t xml:space="preserve"> </w:t>
      </w:r>
      <w:r w:rsidR="009459E7" w:rsidRPr="009D52FD">
        <w:rPr>
          <w:rFonts w:eastAsia="Batang" w:cs="Arial"/>
          <w:sz w:val="20"/>
          <w:szCs w:val="20"/>
          <w:lang w:val="en-US" w:eastAsia="es-MX"/>
        </w:rPr>
        <w:t>paras.</w:t>
      </w:r>
      <w:r w:rsidR="009E4F6C" w:rsidRPr="009D52FD">
        <w:rPr>
          <w:rFonts w:eastAsia="Batang" w:cs="Arial"/>
          <w:sz w:val="20"/>
          <w:szCs w:val="20"/>
          <w:lang w:val="en-US" w:eastAsia="es-MX"/>
        </w:rPr>
        <w:t xml:space="preserve"> </w:t>
      </w:r>
      <w:r w:rsidR="003B1E05" w:rsidRPr="009D52FD">
        <w:rPr>
          <w:rFonts w:eastAsia="Batang" w:cs="Arial"/>
          <w:sz w:val="20"/>
          <w:szCs w:val="20"/>
          <w:lang w:val="en-US" w:eastAsia="es-MX"/>
        </w:rPr>
        <w:t>232</w:t>
      </w:r>
      <w:r w:rsidR="003630BB" w:rsidRPr="009D52FD">
        <w:rPr>
          <w:rFonts w:eastAsia="Batang" w:cs="Arial"/>
          <w:sz w:val="20"/>
          <w:szCs w:val="20"/>
          <w:lang w:val="en-US" w:eastAsia="es-MX"/>
        </w:rPr>
        <w:t xml:space="preserve"> and </w:t>
      </w:r>
      <w:r w:rsidR="00E0159F" w:rsidRPr="009D52FD">
        <w:rPr>
          <w:rFonts w:eastAsia="Batang" w:cs="Arial"/>
          <w:sz w:val="20"/>
          <w:szCs w:val="20"/>
          <w:lang w:val="en-US" w:eastAsia="es-MX"/>
        </w:rPr>
        <w:t>234</w:t>
      </w:r>
      <w:r w:rsidR="009E4F6C" w:rsidRPr="009D52FD">
        <w:rPr>
          <w:rFonts w:eastAsia="Batang" w:cs="Arial"/>
          <w:sz w:val="20"/>
          <w:szCs w:val="20"/>
          <w:lang w:val="en-US" w:eastAsia="es-MX"/>
        </w:rPr>
        <w:t>), dur</w:t>
      </w:r>
      <w:r w:rsidR="00F717B9" w:rsidRPr="009D52FD">
        <w:rPr>
          <w:rFonts w:eastAsia="Batang" w:cs="Arial"/>
          <w:sz w:val="20"/>
          <w:szCs w:val="20"/>
          <w:lang w:val="en-US" w:eastAsia="es-MX"/>
        </w:rPr>
        <w:t>ing the investigation and prosecution of this case, opinions were expressed on the supposed promiscuity of the victim that blamed her for what had happened.</w:t>
      </w:r>
      <w:r w:rsidR="009E4F6C" w:rsidRPr="009D52FD">
        <w:rPr>
          <w:rFonts w:eastAsia="Batang" w:cs="Arial"/>
          <w:sz w:val="20"/>
          <w:szCs w:val="20"/>
          <w:vertAlign w:val="superscript"/>
          <w:lang w:val="en-US" w:eastAsia="es-MX"/>
        </w:rPr>
        <w:footnoteReference w:id="327"/>
      </w:r>
    </w:p>
    <w:p w14:paraId="63CD8705" w14:textId="77777777" w:rsidR="009E4F6C" w:rsidRPr="009D52FD" w:rsidRDefault="009E4F6C" w:rsidP="009E4F6C">
      <w:pPr>
        <w:widowControl/>
        <w:tabs>
          <w:tab w:val="left" w:pos="567"/>
        </w:tabs>
        <w:adjustRightInd/>
        <w:spacing w:line="240" w:lineRule="auto"/>
        <w:textAlignment w:val="auto"/>
        <w:rPr>
          <w:rFonts w:eastAsia="Batang" w:cs="Arial"/>
          <w:sz w:val="20"/>
          <w:szCs w:val="20"/>
          <w:lang w:val="en-US" w:eastAsia="es-MX"/>
        </w:rPr>
      </w:pPr>
    </w:p>
    <w:p w14:paraId="5EC1A51A" w14:textId="4490E3E4" w:rsidR="00D4029C" w:rsidRPr="009D52FD" w:rsidRDefault="00F717B9" w:rsidP="00F717B9">
      <w:pPr>
        <w:numPr>
          <w:ilvl w:val="0"/>
          <w:numId w:val="1"/>
        </w:numPr>
        <w:tabs>
          <w:tab w:val="left" w:pos="567"/>
        </w:tabs>
        <w:spacing w:line="240" w:lineRule="auto"/>
        <w:ind w:left="0" w:firstLine="0"/>
        <w:rPr>
          <w:rFonts w:eastAsia="Batang"/>
          <w:spacing w:val="-2"/>
          <w:sz w:val="20"/>
          <w:szCs w:val="20"/>
          <w:lang w:val="en-US"/>
        </w:rPr>
      </w:pPr>
      <w:r w:rsidRPr="009D52FD">
        <w:rPr>
          <w:rFonts w:eastAsia="Batang"/>
          <w:spacing w:val="-2"/>
          <w:sz w:val="20"/>
          <w:szCs w:val="20"/>
          <w:lang w:val="en-US"/>
        </w:rPr>
        <w:t>In this regard, the Court notes that, in the first judgment, the judicial authorities determined that there was insufficient evidence to conclude that the accused was responsible for the offenses he was charged with, including torture and sexual violence and</w:t>
      </w:r>
      <w:r w:rsidR="00B44F34" w:rsidRPr="009D52FD">
        <w:rPr>
          <w:rFonts w:eastAsia="Batang"/>
          <w:spacing w:val="-2"/>
          <w:sz w:val="20"/>
          <w:szCs w:val="20"/>
          <w:lang w:val="en-US"/>
        </w:rPr>
        <w:t>,</w:t>
      </w:r>
      <w:r w:rsidRPr="009D52FD">
        <w:rPr>
          <w:rFonts w:eastAsia="Batang"/>
          <w:spacing w:val="-2"/>
          <w:sz w:val="20"/>
          <w:szCs w:val="20"/>
          <w:lang w:val="en-US"/>
        </w:rPr>
        <w:t xml:space="preserve"> in the second judgment</w:t>
      </w:r>
      <w:r w:rsidR="00B44F34" w:rsidRPr="009D52FD">
        <w:rPr>
          <w:rFonts w:eastAsia="Batang"/>
          <w:spacing w:val="-2"/>
          <w:sz w:val="20"/>
          <w:szCs w:val="20"/>
          <w:lang w:val="en-US"/>
        </w:rPr>
        <w:t>,</w:t>
      </w:r>
      <w:r w:rsidRPr="009D52FD">
        <w:rPr>
          <w:rFonts w:eastAsia="Batang"/>
          <w:spacing w:val="-2"/>
          <w:sz w:val="20"/>
          <w:szCs w:val="20"/>
          <w:lang w:val="en-US"/>
        </w:rPr>
        <w:t xml:space="preserve"> they also acquitted him of the crime of rape based on lack of evidence, discrediting the probative value of Linda Loaiza’s statement, requiring </w:t>
      </w:r>
      <w:r w:rsidR="00B44F34" w:rsidRPr="009D52FD">
        <w:rPr>
          <w:rFonts w:eastAsia="Batang"/>
          <w:spacing w:val="-2"/>
          <w:sz w:val="20"/>
          <w:szCs w:val="20"/>
          <w:lang w:val="en-US"/>
        </w:rPr>
        <w:t>its</w:t>
      </w:r>
      <w:r w:rsidRPr="009D52FD">
        <w:rPr>
          <w:rFonts w:eastAsia="Batang"/>
          <w:spacing w:val="-2"/>
          <w:sz w:val="20"/>
          <w:szCs w:val="20"/>
          <w:lang w:val="en-US"/>
        </w:rPr>
        <w:t xml:space="preserve"> corroborat</w:t>
      </w:r>
      <w:r w:rsidR="00B44F34" w:rsidRPr="009D52FD">
        <w:rPr>
          <w:rFonts w:eastAsia="Batang"/>
          <w:spacing w:val="-2"/>
          <w:sz w:val="20"/>
          <w:szCs w:val="20"/>
          <w:lang w:val="en-US"/>
        </w:rPr>
        <w:t>ion</w:t>
      </w:r>
      <w:r w:rsidRPr="009D52FD">
        <w:rPr>
          <w:rFonts w:eastAsia="Batang"/>
          <w:spacing w:val="-2"/>
          <w:sz w:val="20"/>
          <w:szCs w:val="20"/>
          <w:lang w:val="en-US"/>
        </w:rPr>
        <w:t xml:space="preserve"> by additional evidence, or that supposed background information on the victim’s sexual life be assessed, contravening international standards.</w:t>
      </w:r>
      <w:r w:rsidR="008A718B" w:rsidRPr="009D52FD">
        <w:rPr>
          <w:rFonts w:eastAsia="Batang"/>
          <w:spacing w:val="-2"/>
          <w:sz w:val="20"/>
          <w:szCs w:val="20"/>
          <w:vertAlign w:val="superscript"/>
          <w:lang w:val="en-US"/>
        </w:rPr>
        <w:footnoteReference w:id="328"/>
      </w:r>
      <w:r w:rsidR="00D4029C" w:rsidRPr="009D52FD">
        <w:rPr>
          <w:rFonts w:eastAsia="Calibri"/>
          <w:spacing w:val="-2"/>
          <w:sz w:val="20"/>
          <w:szCs w:val="20"/>
          <w:lang w:val="en-US"/>
        </w:rPr>
        <w:t xml:space="preserve"> </w:t>
      </w:r>
      <w:r w:rsidR="003630BB" w:rsidRPr="009D52FD">
        <w:rPr>
          <w:rFonts w:eastAsia="Calibri"/>
          <w:spacing w:val="-2"/>
          <w:sz w:val="20"/>
          <w:szCs w:val="20"/>
          <w:lang w:val="en-US"/>
        </w:rPr>
        <w:t>The Court</w:t>
      </w:r>
      <w:r w:rsidR="00D4029C" w:rsidRPr="009D52FD">
        <w:rPr>
          <w:rFonts w:eastAsia="Calibri"/>
          <w:spacing w:val="-2"/>
          <w:sz w:val="20"/>
          <w:szCs w:val="20"/>
          <w:lang w:val="en-US"/>
        </w:rPr>
        <w:t xml:space="preserve"> rec</w:t>
      </w:r>
      <w:r w:rsidRPr="009D52FD">
        <w:rPr>
          <w:rFonts w:eastAsia="Calibri"/>
          <w:spacing w:val="-2"/>
          <w:sz w:val="20"/>
          <w:szCs w:val="20"/>
          <w:lang w:val="en-US"/>
        </w:rPr>
        <w:t xml:space="preserve">alls that a guarantee for the access to justice of women victims of sexual violence </w:t>
      </w:r>
      <w:r w:rsidR="00B44F34" w:rsidRPr="009D52FD">
        <w:rPr>
          <w:rFonts w:eastAsia="Calibri"/>
          <w:spacing w:val="-2"/>
          <w:sz w:val="20"/>
          <w:szCs w:val="20"/>
          <w:lang w:val="en-US"/>
        </w:rPr>
        <w:t>is</w:t>
      </w:r>
      <w:r w:rsidRPr="009D52FD">
        <w:rPr>
          <w:rFonts w:eastAsia="Calibri"/>
          <w:spacing w:val="-2"/>
          <w:sz w:val="20"/>
          <w:szCs w:val="20"/>
          <w:lang w:val="en-US"/>
        </w:rPr>
        <w:t xml:space="preserve"> the establishment of rules for the assessment of evidence that avoids stereotypical affirmations, insinuations and allusions.</w:t>
      </w:r>
      <w:r w:rsidR="00D4029C" w:rsidRPr="009D52FD">
        <w:rPr>
          <w:rFonts w:eastAsia="Calibri"/>
          <w:spacing w:val="-2"/>
          <w:sz w:val="20"/>
          <w:szCs w:val="20"/>
          <w:vertAlign w:val="superscript"/>
          <w:lang w:val="en-US"/>
        </w:rPr>
        <w:footnoteReference w:id="329"/>
      </w:r>
    </w:p>
    <w:p w14:paraId="45E7D1ED" w14:textId="3D862FC8" w:rsidR="00D4029C" w:rsidRPr="009D52FD" w:rsidRDefault="00D4029C" w:rsidP="009E4F6C">
      <w:pPr>
        <w:widowControl/>
        <w:tabs>
          <w:tab w:val="left" w:pos="567"/>
        </w:tabs>
        <w:adjustRightInd/>
        <w:spacing w:line="240" w:lineRule="auto"/>
        <w:textAlignment w:val="auto"/>
        <w:rPr>
          <w:rFonts w:eastAsia="Batang" w:cs="Arial"/>
          <w:sz w:val="20"/>
          <w:szCs w:val="20"/>
          <w:lang w:val="en-US" w:eastAsia="es-MX"/>
        </w:rPr>
      </w:pPr>
    </w:p>
    <w:p w14:paraId="696D581F" w14:textId="046BBD63" w:rsidR="009E4F6C" w:rsidRPr="009D52FD" w:rsidRDefault="003630BB" w:rsidP="00B26D93">
      <w:pPr>
        <w:numPr>
          <w:ilvl w:val="0"/>
          <w:numId w:val="1"/>
        </w:numPr>
        <w:tabs>
          <w:tab w:val="left" w:pos="567"/>
        </w:tabs>
        <w:spacing w:line="240" w:lineRule="auto"/>
        <w:ind w:left="0" w:firstLine="0"/>
        <w:rPr>
          <w:rFonts w:eastAsia="Calibri"/>
          <w:sz w:val="20"/>
          <w:szCs w:val="20"/>
          <w:lang w:val="en-US" w:eastAsia="de-DE"/>
        </w:rPr>
      </w:pPr>
      <w:r w:rsidRPr="009D52FD">
        <w:rPr>
          <w:sz w:val="20"/>
          <w:szCs w:val="20"/>
          <w:lang w:val="en-US"/>
        </w:rPr>
        <w:t>The Court</w:t>
      </w:r>
      <w:r w:rsidR="009E4F6C" w:rsidRPr="009D52FD">
        <w:rPr>
          <w:sz w:val="20"/>
          <w:szCs w:val="20"/>
          <w:lang w:val="en-US"/>
        </w:rPr>
        <w:t xml:space="preserve"> reaf</w:t>
      </w:r>
      <w:r w:rsidR="00F717B9" w:rsidRPr="009D52FD">
        <w:rPr>
          <w:sz w:val="20"/>
          <w:szCs w:val="20"/>
          <w:lang w:val="en-US"/>
        </w:rPr>
        <w:t>firms that practices such as those indicated</w:t>
      </w:r>
      <w:r w:rsidR="00B44F34" w:rsidRPr="009D52FD">
        <w:rPr>
          <w:sz w:val="20"/>
          <w:szCs w:val="20"/>
          <w:lang w:val="en-US"/>
        </w:rPr>
        <w:t>, which</w:t>
      </w:r>
      <w:r w:rsidR="00F717B9" w:rsidRPr="009D52FD">
        <w:rPr>
          <w:sz w:val="20"/>
          <w:szCs w:val="20"/>
          <w:lang w:val="en-US"/>
        </w:rPr>
        <w:t xml:space="preserve"> tend to </w:t>
      </w:r>
      <w:r w:rsidR="00B44F34" w:rsidRPr="009D52FD">
        <w:rPr>
          <w:sz w:val="20"/>
          <w:szCs w:val="20"/>
          <w:lang w:val="en-US"/>
        </w:rPr>
        <w:t xml:space="preserve">belittle </w:t>
      </w:r>
      <w:r w:rsidR="00F717B9" w:rsidRPr="009D52FD">
        <w:rPr>
          <w:sz w:val="20"/>
          <w:szCs w:val="20"/>
          <w:lang w:val="en-US"/>
        </w:rPr>
        <w:t>the victim</w:t>
      </w:r>
      <w:r w:rsidR="00B26D93" w:rsidRPr="009D52FD">
        <w:rPr>
          <w:sz w:val="20"/>
          <w:szCs w:val="20"/>
          <w:lang w:val="en-US"/>
        </w:rPr>
        <w:t xml:space="preserve"> based on any negative stereotype and to</w:t>
      </w:r>
      <w:r w:rsidR="009844BA" w:rsidRPr="009D52FD">
        <w:rPr>
          <w:sz w:val="20"/>
          <w:szCs w:val="20"/>
          <w:lang w:val="en-US"/>
        </w:rPr>
        <w:t xml:space="preserve"> offset the</w:t>
      </w:r>
      <w:r w:rsidR="00B26D93" w:rsidRPr="009D52FD">
        <w:rPr>
          <w:sz w:val="20"/>
          <w:szCs w:val="20"/>
          <w:lang w:val="en-US"/>
        </w:rPr>
        <w:t xml:space="preserve"> </w:t>
      </w:r>
      <w:r w:rsidR="009844BA" w:rsidRPr="009D52FD">
        <w:rPr>
          <w:sz w:val="20"/>
          <w:szCs w:val="20"/>
          <w:lang w:val="en-US"/>
        </w:rPr>
        <w:t>downgrading of</w:t>
      </w:r>
      <w:r w:rsidR="00B26D93" w:rsidRPr="009D52FD">
        <w:rPr>
          <w:sz w:val="20"/>
          <w:szCs w:val="20"/>
          <w:lang w:val="en-US"/>
        </w:rPr>
        <w:t xml:space="preserve"> eventual responsibilities should be rejected and considered incompatible with international human rights law.</w:t>
      </w:r>
      <w:r w:rsidR="009E4F6C" w:rsidRPr="009D52FD">
        <w:rPr>
          <w:sz w:val="20"/>
          <w:szCs w:val="20"/>
          <w:vertAlign w:val="superscript"/>
          <w:lang w:val="en-US"/>
        </w:rPr>
        <w:footnoteReference w:id="330"/>
      </w:r>
      <w:r w:rsidR="009E4F6C" w:rsidRPr="009D52FD">
        <w:rPr>
          <w:sz w:val="20"/>
          <w:szCs w:val="20"/>
          <w:lang w:val="en-US"/>
        </w:rPr>
        <w:t xml:space="preserve"> </w:t>
      </w:r>
      <w:r w:rsidR="00B26D93" w:rsidRPr="009D52FD">
        <w:rPr>
          <w:sz w:val="20"/>
          <w:szCs w:val="20"/>
          <w:lang w:val="en-US"/>
        </w:rPr>
        <w:t xml:space="preserve">The Court rejects any state practice used to justify violence against women and to blame them for such acts, because </w:t>
      </w:r>
      <w:r w:rsidR="009844BA" w:rsidRPr="009D52FD">
        <w:rPr>
          <w:sz w:val="20"/>
          <w:szCs w:val="20"/>
          <w:lang w:val="en-US"/>
        </w:rPr>
        <w:t xml:space="preserve">an </w:t>
      </w:r>
      <w:r w:rsidR="00B26D93" w:rsidRPr="009D52FD">
        <w:rPr>
          <w:sz w:val="20"/>
          <w:szCs w:val="20"/>
          <w:lang w:val="en-US"/>
        </w:rPr>
        <w:t>assessment of this nature reveal a discretionary and discriminatory standard based on the victim’s conduct merely because she is a woman.</w:t>
      </w:r>
      <w:r w:rsidR="009E4F6C" w:rsidRPr="009D52FD">
        <w:rPr>
          <w:rFonts w:eastAsia="Calibri" w:cs="Cambria"/>
          <w:color w:val="1A1A1A"/>
          <w:sz w:val="20"/>
          <w:szCs w:val="20"/>
          <w:vertAlign w:val="superscript"/>
          <w:lang w:val="en-US" w:eastAsia="en-US"/>
        </w:rPr>
        <w:footnoteReference w:id="331"/>
      </w:r>
    </w:p>
    <w:p w14:paraId="22DA941A" w14:textId="77777777" w:rsidR="009E4F6C" w:rsidRPr="009D52FD" w:rsidRDefault="009E4F6C" w:rsidP="009E4F6C">
      <w:pPr>
        <w:widowControl/>
        <w:tabs>
          <w:tab w:val="left" w:pos="567"/>
        </w:tabs>
        <w:adjustRightInd/>
        <w:spacing w:line="240" w:lineRule="auto"/>
        <w:textAlignment w:val="auto"/>
        <w:rPr>
          <w:rFonts w:eastAsia="Batang" w:cs="Arial"/>
          <w:sz w:val="20"/>
          <w:szCs w:val="20"/>
          <w:lang w:val="en-US" w:eastAsia="es-MX"/>
        </w:rPr>
      </w:pPr>
    </w:p>
    <w:p w14:paraId="3EA54F63" w14:textId="53627CD1" w:rsidR="00B26D93" w:rsidRPr="009D52FD" w:rsidRDefault="00B26D93" w:rsidP="00A518F8">
      <w:pPr>
        <w:numPr>
          <w:ilvl w:val="0"/>
          <w:numId w:val="1"/>
        </w:numPr>
        <w:tabs>
          <w:tab w:val="left" w:pos="567"/>
        </w:tabs>
        <w:spacing w:line="240" w:lineRule="auto"/>
        <w:ind w:left="0" w:firstLine="0"/>
        <w:rPr>
          <w:rFonts w:eastAsia="Batang" w:cs="Arial"/>
          <w:sz w:val="20"/>
          <w:szCs w:val="20"/>
          <w:lang w:val="en-US" w:eastAsia="es-MX"/>
        </w:rPr>
      </w:pPr>
      <w:r w:rsidRPr="009D52FD">
        <w:rPr>
          <w:rFonts w:eastAsia="Batang" w:cs="Arial"/>
          <w:sz w:val="20"/>
          <w:szCs w:val="20"/>
          <w:lang w:val="en-US" w:eastAsia="es-MX"/>
        </w:rPr>
        <w:t>Consequently</w:t>
      </w:r>
      <w:r w:rsidR="009E4F6C" w:rsidRPr="009D52FD">
        <w:rPr>
          <w:rFonts w:eastAsia="Batang" w:cs="Arial"/>
          <w:sz w:val="20"/>
          <w:szCs w:val="20"/>
          <w:lang w:val="en-US" w:eastAsia="es-MX"/>
        </w:rPr>
        <w:t xml:space="preserve">, </w:t>
      </w:r>
      <w:r w:rsidR="003630BB" w:rsidRPr="009D52FD">
        <w:rPr>
          <w:rFonts w:eastAsia="Batang" w:cs="Arial"/>
          <w:sz w:val="20"/>
          <w:szCs w:val="20"/>
          <w:lang w:val="en-US" w:eastAsia="es-MX"/>
        </w:rPr>
        <w:t>the Court</w:t>
      </w:r>
      <w:r w:rsidR="009E4F6C" w:rsidRPr="009D52FD">
        <w:rPr>
          <w:rFonts w:eastAsia="Batang" w:cs="Arial"/>
          <w:sz w:val="20"/>
          <w:szCs w:val="20"/>
          <w:lang w:val="en-US" w:eastAsia="es-MX"/>
        </w:rPr>
        <w:t xml:space="preserve"> </w:t>
      </w:r>
      <w:r w:rsidR="007A24B8" w:rsidRPr="009D52FD">
        <w:rPr>
          <w:rFonts w:eastAsia="Batang" w:cs="Arial"/>
          <w:sz w:val="20"/>
          <w:szCs w:val="20"/>
          <w:lang w:val="en-US" w:eastAsia="es-MX"/>
        </w:rPr>
        <w:t>establishes</w:t>
      </w:r>
      <w:r w:rsidR="009E4F6C" w:rsidRPr="009D52FD">
        <w:rPr>
          <w:rFonts w:eastAsia="Batang" w:cs="Arial"/>
          <w:sz w:val="20"/>
          <w:szCs w:val="20"/>
          <w:lang w:val="en-US" w:eastAsia="es-MX"/>
        </w:rPr>
        <w:t xml:space="preserve"> </w:t>
      </w:r>
      <w:r w:rsidRPr="009D52FD">
        <w:rPr>
          <w:rFonts w:eastAsia="Batang" w:cs="Arial"/>
          <w:sz w:val="20"/>
          <w:szCs w:val="20"/>
          <w:lang w:val="en-US" w:eastAsia="es-MX"/>
        </w:rPr>
        <w:t xml:space="preserve">that, during the initial stage and also during the trials, various public officials resorted to the use of stereotypes, </w:t>
      </w:r>
      <w:r w:rsidR="009844BA" w:rsidRPr="009D52FD">
        <w:rPr>
          <w:rFonts w:eastAsia="Batang" w:cs="Arial"/>
          <w:sz w:val="20"/>
          <w:szCs w:val="20"/>
          <w:lang w:val="en-US" w:eastAsia="es-MX"/>
        </w:rPr>
        <w:t>and this</w:t>
      </w:r>
      <w:r w:rsidRPr="009D52FD">
        <w:rPr>
          <w:rFonts w:eastAsia="Batang" w:cs="Arial"/>
          <w:sz w:val="20"/>
          <w:szCs w:val="20"/>
          <w:lang w:val="en-US" w:eastAsia="es-MX"/>
        </w:rPr>
        <w:t xml:space="preserve"> had a negative impact and became</w:t>
      </w:r>
      <w:r w:rsidR="009844BA" w:rsidRPr="009D52FD">
        <w:rPr>
          <w:rFonts w:eastAsia="Batang" w:cs="Arial"/>
          <w:sz w:val="20"/>
          <w:szCs w:val="20"/>
          <w:lang w:val="en-US" w:eastAsia="es-MX"/>
        </w:rPr>
        <w:t xml:space="preserve"> a</w:t>
      </w:r>
      <w:r w:rsidRPr="009D52FD">
        <w:rPr>
          <w:rFonts w:eastAsia="Batang" w:cs="Arial"/>
          <w:sz w:val="20"/>
          <w:szCs w:val="20"/>
          <w:lang w:val="en-US" w:eastAsia="es-MX"/>
        </w:rPr>
        <w:t xml:space="preserve"> barrier to access to justice and the effective investigation and prosecution of the facts of this case.</w:t>
      </w:r>
    </w:p>
    <w:p w14:paraId="102255FA" w14:textId="77777777" w:rsidR="009E4F6C" w:rsidRPr="009D52FD" w:rsidRDefault="009E4F6C" w:rsidP="009E4F6C">
      <w:pPr>
        <w:widowControl/>
        <w:tabs>
          <w:tab w:val="left" w:pos="567"/>
        </w:tabs>
        <w:adjustRightInd/>
        <w:spacing w:line="240" w:lineRule="auto"/>
        <w:textAlignment w:val="auto"/>
        <w:rPr>
          <w:rFonts w:eastAsia="Batang" w:cs="Arial"/>
          <w:sz w:val="20"/>
          <w:szCs w:val="20"/>
          <w:lang w:val="en-US" w:eastAsia="es-MX"/>
        </w:rPr>
      </w:pPr>
    </w:p>
    <w:p w14:paraId="10491D95" w14:textId="7EBF3482" w:rsidR="009E4F6C" w:rsidRPr="009D52FD" w:rsidRDefault="009E4F6C" w:rsidP="00153ECC">
      <w:pPr>
        <w:keepNext/>
        <w:keepLines/>
        <w:widowControl/>
        <w:tabs>
          <w:tab w:val="left" w:pos="1418"/>
        </w:tabs>
        <w:autoSpaceDE w:val="0"/>
        <w:autoSpaceDN w:val="0"/>
        <w:spacing w:line="240" w:lineRule="auto"/>
        <w:ind w:left="708" w:firstLine="1"/>
        <w:textAlignment w:val="auto"/>
        <w:outlineLvl w:val="1"/>
        <w:rPr>
          <w:rFonts w:eastAsia="MS Mincho" w:cs="Arial"/>
          <w:bCs/>
          <w:i/>
          <w:sz w:val="20"/>
          <w:szCs w:val="20"/>
          <w:lang w:val="en-US" w:eastAsia="en-US"/>
        </w:rPr>
      </w:pPr>
      <w:bookmarkStart w:id="95" w:name="_Toc51400104"/>
      <w:r w:rsidRPr="009D52FD">
        <w:rPr>
          <w:rFonts w:eastAsia="MS Mincho" w:cs="Arial"/>
          <w:bCs/>
          <w:i/>
          <w:sz w:val="20"/>
          <w:szCs w:val="20"/>
          <w:lang w:val="en-US" w:eastAsia="en-US"/>
        </w:rPr>
        <w:t>B.</w:t>
      </w:r>
      <w:r w:rsidR="00D4029C" w:rsidRPr="009D52FD">
        <w:rPr>
          <w:rFonts w:eastAsia="MS Mincho" w:cs="Arial"/>
          <w:bCs/>
          <w:i/>
          <w:sz w:val="20"/>
          <w:szCs w:val="20"/>
          <w:lang w:val="en-US" w:eastAsia="en-US"/>
        </w:rPr>
        <w:t>4</w:t>
      </w:r>
      <w:r w:rsidRPr="009D52FD">
        <w:rPr>
          <w:rFonts w:eastAsia="MS Mincho" w:cs="Arial"/>
          <w:bCs/>
          <w:i/>
          <w:sz w:val="20"/>
          <w:szCs w:val="20"/>
          <w:lang w:val="en-US" w:eastAsia="en-US"/>
        </w:rPr>
        <w:t xml:space="preserve"> </w:t>
      </w:r>
      <w:r w:rsidRPr="009D52FD">
        <w:rPr>
          <w:rFonts w:eastAsia="MS Mincho" w:cs="Arial"/>
          <w:bCs/>
          <w:i/>
          <w:sz w:val="20"/>
          <w:szCs w:val="20"/>
          <w:lang w:val="en-US" w:eastAsia="en-US"/>
        </w:rPr>
        <w:tab/>
      </w:r>
      <w:r w:rsidR="00B26D93" w:rsidRPr="009D52FD">
        <w:rPr>
          <w:rFonts w:eastAsia="MS Mincho" w:cs="Arial"/>
          <w:bCs/>
          <w:i/>
          <w:sz w:val="20"/>
          <w:szCs w:val="20"/>
          <w:lang w:val="en-US" w:eastAsia="en-US"/>
        </w:rPr>
        <w:t>Violations of personal</w:t>
      </w:r>
      <w:r w:rsidR="00997ADF" w:rsidRPr="009D52FD">
        <w:rPr>
          <w:rFonts w:eastAsia="MS Mincho" w:cs="Arial"/>
          <w:bCs/>
          <w:i/>
          <w:sz w:val="20"/>
          <w:szCs w:val="20"/>
          <w:lang w:val="en-US" w:eastAsia="en-US"/>
        </w:rPr>
        <w:t xml:space="preserve"> integrity</w:t>
      </w:r>
      <w:r w:rsidR="003630BB" w:rsidRPr="009D52FD">
        <w:rPr>
          <w:rFonts w:eastAsia="MS Mincho" w:cs="Arial"/>
          <w:bCs/>
          <w:i/>
          <w:sz w:val="20"/>
          <w:szCs w:val="20"/>
          <w:lang w:val="en-US" w:eastAsia="en-US"/>
        </w:rPr>
        <w:t xml:space="preserve"> and </w:t>
      </w:r>
      <w:r w:rsidR="00B26D93" w:rsidRPr="009D52FD">
        <w:rPr>
          <w:rFonts w:eastAsia="MS Mincho" w:cs="Arial"/>
          <w:bCs/>
          <w:i/>
          <w:sz w:val="20"/>
          <w:szCs w:val="20"/>
          <w:lang w:val="en-US" w:eastAsia="en-US"/>
        </w:rPr>
        <w:t>revictimization</w:t>
      </w:r>
      <w:bookmarkEnd w:id="95"/>
    </w:p>
    <w:p w14:paraId="600094B9" w14:textId="77777777" w:rsidR="009E4F6C" w:rsidRPr="009D52FD" w:rsidRDefault="009E4F6C" w:rsidP="009E4F6C">
      <w:pPr>
        <w:widowControl/>
        <w:tabs>
          <w:tab w:val="left" w:pos="567"/>
        </w:tabs>
        <w:adjustRightInd/>
        <w:spacing w:line="240" w:lineRule="auto"/>
        <w:textAlignment w:val="auto"/>
        <w:rPr>
          <w:rFonts w:cs="Verdana"/>
          <w:b/>
          <w:i/>
          <w:sz w:val="20"/>
          <w:szCs w:val="20"/>
          <w:lang w:val="en-US"/>
        </w:rPr>
      </w:pPr>
    </w:p>
    <w:p w14:paraId="115674DF" w14:textId="5DBE42E3" w:rsidR="003426B1" w:rsidRPr="009D52FD" w:rsidRDefault="00454017" w:rsidP="00454017">
      <w:pPr>
        <w:numPr>
          <w:ilvl w:val="0"/>
          <w:numId w:val="1"/>
        </w:numPr>
        <w:tabs>
          <w:tab w:val="left" w:pos="567"/>
        </w:tabs>
        <w:spacing w:line="240" w:lineRule="auto"/>
        <w:ind w:left="0" w:firstLine="0"/>
        <w:rPr>
          <w:b/>
          <w:spacing w:val="-2"/>
          <w:sz w:val="20"/>
          <w:szCs w:val="20"/>
          <w:lang w:val="en-US"/>
        </w:rPr>
      </w:pPr>
      <w:r w:rsidRPr="009D52FD">
        <w:rPr>
          <w:rFonts w:eastAsiaTheme="minorHAnsi" w:cstheme="minorBidi"/>
          <w:sz w:val="20"/>
          <w:szCs w:val="20"/>
          <w:lang w:val="en-US" w:eastAsia="en-US"/>
        </w:rPr>
        <w:t xml:space="preserve">In cases of </w:t>
      </w:r>
      <w:r w:rsidR="0081578D" w:rsidRPr="009D52FD">
        <w:rPr>
          <w:rFonts w:eastAsiaTheme="minorHAnsi" w:cstheme="minorBidi"/>
          <w:sz w:val="20"/>
          <w:szCs w:val="20"/>
          <w:lang w:val="en-US" w:eastAsia="en-US"/>
        </w:rPr>
        <w:t>sexual violence</w:t>
      </w:r>
      <w:r w:rsidR="003426B1" w:rsidRPr="009D52FD">
        <w:rPr>
          <w:rFonts w:eastAsiaTheme="minorHAnsi" w:cstheme="minorBidi"/>
          <w:sz w:val="20"/>
          <w:szCs w:val="20"/>
          <w:lang w:val="en-US" w:eastAsia="en-US"/>
        </w:rPr>
        <w:t xml:space="preserve">, </w:t>
      </w:r>
      <w:r w:rsidR="003630BB" w:rsidRPr="009D52FD">
        <w:rPr>
          <w:rFonts w:eastAsiaTheme="minorHAnsi" w:cstheme="minorBidi"/>
          <w:sz w:val="20"/>
          <w:szCs w:val="20"/>
          <w:lang w:val="en-US" w:eastAsia="en-US"/>
        </w:rPr>
        <w:t>the Court</w:t>
      </w:r>
      <w:r w:rsidR="003426B1" w:rsidRPr="009D52FD">
        <w:rPr>
          <w:rFonts w:eastAsiaTheme="minorHAnsi" w:cstheme="minorBidi"/>
          <w:sz w:val="20"/>
          <w:szCs w:val="20"/>
          <w:lang w:val="en-US" w:eastAsia="en-US"/>
        </w:rPr>
        <w:t xml:space="preserve"> ha</w:t>
      </w:r>
      <w:r w:rsidRPr="009D52FD">
        <w:rPr>
          <w:rFonts w:eastAsiaTheme="minorHAnsi" w:cstheme="minorBidi"/>
          <w:sz w:val="20"/>
          <w:szCs w:val="20"/>
          <w:lang w:val="en-US" w:eastAsia="en-US"/>
        </w:rPr>
        <w:t xml:space="preserve">s emphasized that the investigation should try, </w:t>
      </w:r>
      <w:r w:rsidRPr="009D52FD">
        <w:rPr>
          <w:rFonts w:eastAsiaTheme="minorHAnsi" w:cstheme="minorBidi"/>
          <w:sz w:val="20"/>
          <w:szCs w:val="20"/>
          <w:lang w:val="en-US" w:eastAsia="en-US"/>
        </w:rPr>
        <w:lastRenderedPageBreak/>
        <w:t xml:space="preserve">insofar as possible, to avoid </w:t>
      </w:r>
      <w:r w:rsidR="00B26D93" w:rsidRPr="009D52FD">
        <w:rPr>
          <w:spacing w:val="-2"/>
          <w:sz w:val="20"/>
          <w:szCs w:val="20"/>
          <w:lang w:val="en-US"/>
        </w:rPr>
        <w:t>revictimization</w:t>
      </w:r>
      <w:r w:rsidR="003426B1" w:rsidRPr="009D52FD">
        <w:rPr>
          <w:rFonts w:eastAsiaTheme="minorHAnsi" w:cstheme="minorBidi"/>
          <w:sz w:val="20"/>
          <w:szCs w:val="20"/>
          <w:lang w:val="en-US" w:eastAsia="en-US"/>
        </w:rPr>
        <w:t xml:space="preserve"> o</w:t>
      </w:r>
      <w:r w:rsidRPr="009D52FD">
        <w:rPr>
          <w:rFonts w:eastAsiaTheme="minorHAnsi" w:cstheme="minorBidi"/>
          <w:sz w:val="20"/>
          <w:szCs w:val="20"/>
          <w:lang w:val="en-US" w:eastAsia="en-US"/>
        </w:rPr>
        <w:t>r</w:t>
      </w:r>
      <w:r w:rsidR="003426B1"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 xml:space="preserve">the </w:t>
      </w:r>
      <w:r w:rsidR="003426B1" w:rsidRPr="009D52FD">
        <w:rPr>
          <w:rFonts w:eastAsiaTheme="minorHAnsi" w:cstheme="minorBidi"/>
          <w:sz w:val="20"/>
          <w:szCs w:val="20"/>
          <w:lang w:val="en-US" w:eastAsia="en-US"/>
        </w:rPr>
        <w:t>re</w:t>
      </w:r>
      <w:r w:rsidR="00DD0223" w:rsidRPr="009D52FD">
        <w:rPr>
          <w:rFonts w:eastAsiaTheme="minorHAnsi" w:cstheme="minorBidi"/>
          <w:sz w:val="20"/>
          <w:szCs w:val="20"/>
          <w:lang w:val="en-US" w:eastAsia="en-US"/>
        </w:rPr>
        <w:t>-</w:t>
      </w:r>
      <w:r w:rsidR="003426B1" w:rsidRPr="009D52FD">
        <w:rPr>
          <w:rFonts w:eastAsiaTheme="minorHAnsi" w:cstheme="minorBidi"/>
          <w:sz w:val="20"/>
          <w:szCs w:val="20"/>
          <w:lang w:val="en-US" w:eastAsia="en-US"/>
        </w:rPr>
        <w:t>experi</w:t>
      </w:r>
      <w:r w:rsidRPr="009D52FD">
        <w:rPr>
          <w:rFonts w:eastAsiaTheme="minorHAnsi" w:cstheme="minorBidi"/>
          <w:sz w:val="20"/>
          <w:szCs w:val="20"/>
          <w:lang w:val="en-US" w:eastAsia="en-US"/>
        </w:rPr>
        <w:t>encing of the victim’s severely traumatic experience.</w:t>
      </w:r>
      <w:r w:rsidR="003426B1" w:rsidRPr="009D52FD">
        <w:rPr>
          <w:rFonts w:eastAsiaTheme="minorHAnsi" w:cstheme="minorBidi"/>
          <w:sz w:val="20"/>
          <w:szCs w:val="20"/>
          <w:vertAlign w:val="superscript"/>
          <w:lang w:val="en-US" w:eastAsia="en-US"/>
        </w:rPr>
        <w:footnoteReference w:id="332"/>
      </w:r>
      <w:r w:rsidRPr="009D52FD">
        <w:rPr>
          <w:rFonts w:eastAsiaTheme="minorHAnsi" w:cstheme="minorBidi"/>
          <w:sz w:val="20"/>
          <w:szCs w:val="20"/>
          <w:lang w:val="en-US" w:eastAsia="en-US"/>
        </w:rPr>
        <w:t xml:space="preserve"> To this end, in cases of </w:t>
      </w:r>
      <w:r w:rsidR="005935CA" w:rsidRPr="009D52FD">
        <w:rPr>
          <w:rFonts w:eastAsiaTheme="minorHAnsi" w:cstheme="minorBidi"/>
          <w:sz w:val="20"/>
          <w:szCs w:val="20"/>
          <w:lang w:val="en-US" w:eastAsia="en-US"/>
        </w:rPr>
        <w:t>violence against women</w:t>
      </w:r>
      <w:r w:rsidR="003426B1"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 xml:space="preserve">certain safeguards </w:t>
      </w:r>
      <w:r w:rsidR="009844BA" w:rsidRPr="009D52FD">
        <w:rPr>
          <w:rFonts w:eastAsiaTheme="minorHAnsi" w:cstheme="minorBidi"/>
          <w:sz w:val="20"/>
          <w:szCs w:val="20"/>
          <w:lang w:val="en-US" w:eastAsia="en-US"/>
        </w:rPr>
        <w:t xml:space="preserve">should be put in place </w:t>
      </w:r>
      <w:r w:rsidRPr="009D52FD">
        <w:rPr>
          <w:rFonts w:eastAsiaTheme="minorHAnsi" w:cstheme="minorBidi"/>
          <w:sz w:val="20"/>
          <w:szCs w:val="20"/>
          <w:lang w:val="en-US" w:eastAsia="en-US"/>
        </w:rPr>
        <w:t xml:space="preserve">when taking the victims’ statements during the investigations and the </w:t>
      </w:r>
      <w:r w:rsidR="009844BA" w:rsidRPr="009D52FD">
        <w:rPr>
          <w:rFonts w:eastAsiaTheme="minorHAnsi" w:cstheme="minorBidi"/>
          <w:sz w:val="20"/>
          <w:szCs w:val="20"/>
          <w:lang w:val="en-US" w:eastAsia="en-US"/>
        </w:rPr>
        <w:t xml:space="preserve">judicial </w:t>
      </w:r>
      <w:r w:rsidRPr="009D52FD">
        <w:rPr>
          <w:rFonts w:eastAsiaTheme="minorHAnsi" w:cstheme="minorBidi"/>
          <w:sz w:val="20"/>
          <w:szCs w:val="20"/>
          <w:lang w:val="en-US" w:eastAsia="en-US"/>
        </w:rPr>
        <w:t>proceedings</w:t>
      </w:r>
      <w:r w:rsidR="009844BA" w:rsidRPr="009D52FD">
        <w:rPr>
          <w:rFonts w:eastAsiaTheme="minorHAnsi" w:cstheme="minorBidi"/>
          <w:sz w:val="20"/>
          <w:szCs w:val="20"/>
          <w:lang w:val="en-US" w:eastAsia="en-US"/>
        </w:rPr>
        <w:t>;</w:t>
      </w:r>
      <w:r w:rsidR="004E6B6D" w:rsidRPr="009D52FD">
        <w:rPr>
          <w:rFonts w:eastAsia="Batang"/>
          <w:spacing w:val="-2"/>
          <w:sz w:val="20"/>
          <w:szCs w:val="20"/>
          <w:vertAlign w:val="superscript"/>
          <w:lang w:val="en-US"/>
        </w:rPr>
        <w:footnoteReference w:id="333"/>
      </w:r>
      <w:r w:rsidRPr="009D52FD">
        <w:rPr>
          <w:rFonts w:eastAsiaTheme="minorHAnsi" w:cstheme="minorBidi"/>
          <w:sz w:val="20"/>
          <w:szCs w:val="20"/>
          <w:lang w:val="en-US" w:eastAsia="en-US"/>
        </w:rPr>
        <w:t xml:space="preserve"> also</w:t>
      </w:r>
      <w:r w:rsidR="009844B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when medical or psychological forensic examinations are conducted, especially in the case of victims of</w:t>
      </w:r>
      <w:r w:rsidR="003426B1" w:rsidRPr="009D52FD">
        <w:rPr>
          <w:rFonts w:eastAsiaTheme="minorHAnsi" w:cstheme="minorBidi"/>
          <w:sz w:val="20"/>
          <w:szCs w:val="20"/>
          <w:lang w:val="en-US" w:eastAsia="en-US"/>
        </w:rPr>
        <w:t xml:space="preserve"> </w:t>
      </w:r>
      <w:r w:rsidR="0081578D" w:rsidRPr="009D52FD">
        <w:rPr>
          <w:rFonts w:eastAsiaTheme="minorHAnsi" w:cstheme="minorBidi"/>
          <w:sz w:val="20"/>
          <w:szCs w:val="20"/>
          <w:lang w:val="en-US" w:eastAsia="en-US"/>
        </w:rPr>
        <w:t>sexual violence</w:t>
      </w:r>
      <w:r w:rsidRPr="009D52FD">
        <w:rPr>
          <w:rFonts w:eastAsiaTheme="minorHAnsi" w:cstheme="minorBidi"/>
          <w:sz w:val="20"/>
          <w:szCs w:val="20"/>
          <w:lang w:val="en-US" w:eastAsia="en-US"/>
        </w:rPr>
        <w:t>.</w:t>
      </w:r>
      <w:r w:rsidR="004E6B6D" w:rsidRPr="009D52FD">
        <w:rPr>
          <w:rFonts w:eastAsia="Batang"/>
          <w:spacing w:val="-2"/>
          <w:sz w:val="20"/>
          <w:szCs w:val="20"/>
          <w:vertAlign w:val="superscript"/>
          <w:lang w:val="en-US"/>
        </w:rPr>
        <w:footnoteReference w:id="334"/>
      </w:r>
    </w:p>
    <w:p w14:paraId="3CCE458F" w14:textId="58BF19EF" w:rsidR="003426B1" w:rsidRPr="009D52FD" w:rsidRDefault="00454017" w:rsidP="00454017">
      <w:pPr>
        <w:widowControl/>
        <w:tabs>
          <w:tab w:val="right" w:pos="10080"/>
        </w:tabs>
        <w:adjustRightInd/>
        <w:spacing w:line="240" w:lineRule="auto"/>
        <w:textAlignment w:val="auto"/>
        <w:rPr>
          <w:b/>
          <w:spacing w:val="-2"/>
          <w:sz w:val="20"/>
          <w:szCs w:val="20"/>
          <w:lang w:val="en-US"/>
        </w:rPr>
      </w:pPr>
      <w:r w:rsidRPr="009D52FD">
        <w:rPr>
          <w:b/>
          <w:spacing w:val="-2"/>
          <w:sz w:val="20"/>
          <w:szCs w:val="20"/>
          <w:lang w:val="en-US"/>
        </w:rPr>
        <w:t xml:space="preserve"> </w:t>
      </w:r>
      <w:r w:rsidRPr="009D52FD">
        <w:rPr>
          <w:b/>
          <w:spacing w:val="-2"/>
          <w:sz w:val="20"/>
          <w:szCs w:val="20"/>
          <w:lang w:val="en-US"/>
        </w:rPr>
        <w:tab/>
      </w:r>
    </w:p>
    <w:p w14:paraId="3D1A22F0" w14:textId="1C25F3A6" w:rsidR="006308BE" w:rsidRPr="009D52FD" w:rsidRDefault="003630BB" w:rsidP="00454017">
      <w:pPr>
        <w:widowControl/>
        <w:numPr>
          <w:ilvl w:val="0"/>
          <w:numId w:val="1"/>
        </w:numPr>
        <w:tabs>
          <w:tab w:val="left" w:pos="567"/>
          <w:tab w:val="num" w:pos="12305"/>
        </w:tabs>
        <w:adjustRightInd/>
        <w:spacing w:line="240" w:lineRule="auto"/>
        <w:ind w:left="0" w:firstLine="0"/>
        <w:textAlignment w:val="auto"/>
        <w:rPr>
          <w:rFonts w:eastAsiaTheme="minorHAnsi" w:cstheme="minorBidi"/>
          <w:sz w:val="20"/>
          <w:szCs w:val="20"/>
          <w:lang w:val="en-US" w:eastAsia="en-US"/>
        </w:rPr>
      </w:pPr>
      <w:r w:rsidRPr="009D52FD">
        <w:rPr>
          <w:rFonts w:eastAsiaTheme="minorHAnsi" w:cstheme="minorBidi"/>
          <w:sz w:val="20"/>
          <w:szCs w:val="20"/>
          <w:lang w:val="en-US" w:eastAsia="en-US"/>
        </w:rPr>
        <w:t>The Court</w:t>
      </w:r>
      <w:r w:rsidR="003426B1" w:rsidRPr="009D52FD">
        <w:rPr>
          <w:rFonts w:eastAsiaTheme="minorHAnsi" w:cstheme="minorBidi"/>
          <w:sz w:val="20"/>
          <w:szCs w:val="20"/>
          <w:lang w:val="en-US" w:eastAsia="en-US"/>
        </w:rPr>
        <w:t xml:space="preserve"> not</w:t>
      </w:r>
      <w:r w:rsidR="00454017" w:rsidRPr="009D52FD">
        <w:rPr>
          <w:rFonts w:eastAsiaTheme="minorHAnsi" w:cstheme="minorBidi"/>
          <w:sz w:val="20"/>
          <w:szCs w:val="20"/>
          <w:lang w:val="en-US" w:eastAsia="en-US"/>
        </w:rPr>
        <w:t>es that, following her rescue,</w:t>
      </w:r>
      <w:r w:rsidR="003426B1" w:rsidRPr="009D52FD">
        <w:rPr>
          <w:rFonts w:eastAsiaTheme="minorHAnsi" w:cstheme="minorBidi"/>
          <w:sz w:val="20"/>
          <w:szCs w:val="20"/>
          <w:lang w:val="en-US" w:eastAsia="en-US"/>
        </w:rPr>
        <w:t xml:space="preserve"> Linda Loaiza López Soto </w:t>
      </w:r>
      <w:r w:rsidR="00454017" w:rsidRPr="009D52FD">
        <w:rPr>
          <w:rFonts w:eastAsiaTheme="minorHAnsi" w:cstheme="minorBidi"/>
          <w:sz w:val="20"/>
          <w:szCs w:val="20"/>
          <w:lang w:val="en-US" w:eastAsia="en-US"/>
        </w:rPr>
        <w:t>was transferred to the</w:t>
      </w:r>
      <w:r w:rsidR="003426B1" w:rsidRPr="009D52FD">
        <w:rPr>
          <w:rFonts w:eastAsiaTheme="minorHAnsi" w:cstheme="minorBidi"/>
          <w:sz w:val="20"/>
          <w:szCs w:val="20"/>
          <w:lang w:val="en-US" w:eastAsia="en-US"/>
        </w:rPr>
        <w:t xml:space="preserve"> </w:t>
      </w:r>
      <w:r w:rsidR="000C6475" w:rsidRPr="009D52FD">
        <w:rPr>
          <w:rFonts w:eastAsiaTheme="minorHAnsi" w:cstheme="minorBidi"/>
          <w:sz w:val="20"/>
          <w:szCs w:val="20"/>
          <w:lang w:val="en-US" w:eastAsia="en-US"/>
        </w:rPr>
        <w:t>Caracas University Hospital</w:t>
      </w:r>
      <w:r w:rsidR="00454017" w:rsidRPr="009D52FD">
        <w:rPr>
          <w:rFonts w:eastAsiaTheme="minorHAnsi" w:cstheme="minorBidi"/>
          <w:sz w:val="20"/>
          <w:szCs w:val="20"/>
          <w:lang w:val="en-US" w:eastAsia="en-US"/>
        </w:rPr>
        <w:t xml:space="preserve"> where, in addition to receiving emergency medical care, the first medical examinations were performed.</w:t>
      </w:r>
      <w:r w:rsidR="00454017" w:rsidRPr="009D52FD">
        <w:rPr>
          <w:rFonts w:eastAsiaTheme="minorHAnsi" w:cstheme="minorBidi"/>
          <w:sz w:val="20"/>
          <w:szCs w:val="20"/>
          <w:vertAlign w:val="superscript"/>
          <w:lang w:val="en-US" w:eastAsia="en-US"/>
        </w:rPr>
        <w:footnoteReference w:id="335"/>
      </w:r>
      <w:r w:rsidR="00454017" w:rsidRPr="009D52FD">
        <w:rPr>
          <w:rFonts w:eastAsiaTheme="minorHAnsi" w:cstheme="minorBidi"/>
          <w:sz w:val="20"/>
          <w:szCs w:val="20"/>
          <w:lang w:val="en-US" w:eastAsia="en-US"/>
        </w:rPr>
        <w:t xml:space="preserve"> Approximately one week after her rescue, at the request of Prosecutor No. 33 who was conducting the investigation, Linda Loaiza was again examined by a </w:t>
      </w:r>
      <w:r w:rsidR="006308BE" w:rsidRPr="009D52FD">
        <w:rPr>
          <w:rFonts w:eastAsiaTheme="minorHAnsi" w:cstheme="minorBidi"/>
          <w:sz w:val="20"/>
          <w:szCs w:val="20"/>
          <w:lang w:val="en-US" w:eastAsia="en-US"/>
        </w:rPr>
        <w:t xml:space="preserve">male </w:t>
      </w:r>
      <w:r w:rsidR="00454017" w:rsidRPr="009D52FD">
        <w:rPr>
          <w:rFonts w:eastAsiaTheme="minorHAnsi" w:cstheme="minorBidi"/>
          <w:sz w:val="20"/>
          <w:szCs w:val="20"/>
          <w:lang w:val="en-US" w:eastAsia="en-US"/>
        </w:rPr>
        <w:t>gynecologist attached to the Forensic Medicine Unit, who verified her injuries resulting from the sexual violence she had undergone during her captivity.</w:t>
      </w:r>
      <w:r w:rsidR="00454017" w:rsidRPr="009D52FD">
        <w:rPr>
          <w:rFonts w:eastAsiaTheme="minorHAnsi" w:cstheme="minorBidi"/>
          <w:sz w:val="20"/>
          <w:szCs w:val="20"/>
          <w:vertAlign w:val="superscript"/>
          <w:lang w:val="en-US" w:eastAsia="en-US"/>
        </w:rPr>
        <w:footnoteReference w:id="336"/>
      </w:r>
      <w:r w:rsidR="00454017" w:rsidRPr="009D52FD">
        <w:rPr>
          <w:rFonts w:eastAsiaTheme="minorHAnsi" w:cstheme="minorBidi"/>
          <w:sz w:val="20"/>
          <w:szCs w:val="20"/>
          <w:lang w:val="en-US" w:eastAsia="en-US"/>
        </w:rPr>
        <w:t xml:space="preserve"> Also, at the request of this Prosecutor, a psychiatric examination was carried out to ascertain her mental health, and this was performed by a </w:t>
      </w:r>
      <w:r w:rsidR="006308BE" w:rsidRPr="009D52FD">
        <w:rPr>
          <w:rFonts w:eastAsiaTheme="minorHAnsi" w:cstheme="minorBidi"/>
          <w:sz w:val="20"/>
          <w:szCs w:val="20"/>
          <w:lang w:val="en-US" w:eastAsia="en-US"/>
        </w:rPr>
        <w:t xml:space="preserve">male </w:t>
      </w:r>
      <w:r w:rsidR="00454017" w:rsidRPr="009D52FD">
        <w:rPr>
          <w:rFonts w:eastAsiaTheme="minorHAnsi" w:cstheme="minorBidi"/>
          <w:sz w:val="20"/>
          <w:szCs w:val="20"/>
          <w:lang w:val="en-US" w:eastAsia="en-US"/>
        </w:rPr>
        <w:t>psychiatrist and a</w:t>
      </w:r>
      <w:r w:rsidR="006308BE" w:rsidRPr="009D52FD">
        <w:rPr>
          <w:rFonts w:eastAsiaTheme="minorHAnsi" w:cstheme="minorBidi"/>
          <w:sz w:val="20"/>
          <w:szCs w:val="20"/>
          <w:lang w:val="en-US" w:eastAsia="en-US"/>
        </w:rPr>
        <w:t xml:space="preserve"> male</w:t>
      </w:r>
      <w:r w:rsidR="00454017" w:rsidRPr="009D52FD">
        <w:rPr>
          <w:rFonts w:eastAsiaTheme="minorHAnsi" w:cstheme="minorBidi"/>
          <w:sz w:val="20"/>
          <w:szCs w:val="20"/>
          <w:lang w:val="en-US" w:eastAsia="en-US"/>
        </w:rPr>
        <w:t xml:space="preserve"> neurologist, both attached to the Forensic Medicine Division of the </w:t>
      </w:r>
      <w:r w:rsidR="006308BE" w:rsidRPr="009D52FD">
        <w:rPr>
          <w:rFonts w:eastAsiaTheme="minorHAnsi" w:cstheme="minorBidi"/>
          <w:sz w:val="20"/>
          <w:szCs w:val="20"/>
          <w:lang w:val="en-US" w:eastAsia="en-US"/>
        </w:rPr>
        <w:t>Judicial Technical Police.</w:t>
      </w:r>
      <w:r w:rsidR="003426B1" w:rsidRPr="009D52FD">
        <w:rPr>
          <w:rFonts w:eastAsiaTheme="minorHAnsi" w:cstheme="minorBidi"/>
          <w:sz w:val="20"/>
          <w:szCs w:val="20"/>
          <w:vertAlign w:val="superscript"/>
          <w:lang w:val="en-US" w:eastAsia="en-US"/>
        </w:rPr>
        <w:footnoteReference w:id="337"/>
      </w:r>
      <w:r w:rsidR="006308BE" w:rsidRPr="009D52FD">
        <w:rPr>
          <w:rFonts w:eastAsiaTheme="minorHAnsi" w:cstheme="minorBidi"/>
          <w:sz w:val="20"/>
          <w:szCs w:val="20"/>
          <w:lang w:val="en-US" w:eastAsia="en-US"/>
        </w:rPr>
        <w:t xml:space="preserve"> Then, when she was transferred to the Military Hospital, </w:t>
      </w:r>
      <w:r w:rsidR="003426B1" w:rsidRPr="009D52FD">
        <w:rPr>
          <w:rFonts w:eastAsiaTheme="minorHAnsi" w:cstheme="minorBidi"/>
          <w:sz w:val="20"/>
          <w:szCs w:val="20"/>
          <w:lang w:val="en-US" w:eastAsia="en-US"/>
        </w:rPr>
        <w:t xml:space="preserve">Linda </w:t>
      </w:r>
      <w:r w:rsidR="002319CF" w:rsidRPr="009D52FD">
        <w:rPr>
          <w:rFonts w:eastAsiaTheme="minorHAnsi" w:cstheme="minorBidi"/>
          <w:sz w:val="20"/>
          <w:szCs w:val="20"/>
          <w:lang w:val="en-US" w:eastAsia="en-US"/>
        </w:rPr>
        <w:t xml:space="preserve">Loaiza </w:t>
      </w:r>
      <w:r w:rsidR="006308BE" w:rsidRPr="009D52FD">
        <w:rPr>
          <w:rFonts w:eastAsiaTheme="minorHAnsi" w:cstheme="minorBidi"/>
          <w:sz w:val="20"/>
          <w:szCs w:val="20"/>
          <w:lang w:val="en-US" w:eastAsia="en-US"/>
        </w:rPr>
        <w:t xml:space="preserve">was subjected to other psychiatric examinations, which were also performed by male physicians, even though she had asked to be treated by a female expert. In </w:t>
      </w:r>
      <w:r w:rsidR="009844BA" w:rsidRPr="009D52FD">
        <w:rPr>
          <w:rFonts w:eastAsiaTheme="minorHAnsi" w:cstheme="minorBidi"/>
          <w:sz w:val="20"/>
          <w:szCs w:val="20"/>
          <w:lang w:val="en-US" w:eastAsia="en-US"/>
        </w:rPr>
        <w:t>short</w:t>
      </w:r>
      <w:r w:rsidR="006308BE" w:rsidRPr="009D52FD">
        <w:rPr>
          <w:rFonts w:eastAsiaTheme="minorHAnsi" w:cstheme="minorBidi"/>
          <w:sz w:val="20"/>
          <w:szCs w:val="20"/>
          <w:lang w:val="en-US" w:eastAsia="en-US"/>
        </w:rPr>
        <w:t xml:space="preserve">, most of the examinations performed on Linda Loaiza following her rescue were </w:t>
      </w:r>
      <w:r w:rsidR="009844BA" w:rsidRPr="009D52FD">
        <w:rPr>
          <w:rFonts w:eastAsiaTheme="minorHAnsi" w:cstheme="minorBidi"/>
          <w:sz w:val="20"/>
          <w:szCs w:val="20"/>
          <w:lang w:val="en-US" w:eastAsia="en-US"/>
        </w:rPr>
        <w:t>conducted</w:t>
      </w:r>
      <w:r w:rsidR="006308BE" w:rsidRPr="009D52FD">
        <w:rPr>
          <w:rFonts w:eastAsiaTheme="minorHAnsi" w:cstheme="minorBidi"/>
          <w:sz w:val="20"/>
          <w:szCs w:val="20"/>
          <w:lang w:val="en-US" w:eastAsia="en-US"/>
        </w:rPr>
        <w:t xml:space="preserve"> by men, and she was not given the opportunity to choose a female professional.</w:t>
      </w:r>
    </w:p>
    <w:p w14:paraId="1066FF8A" w14:textId="77777777" w:rsidR="005F196B" w:rsidRPr="009D52FD" w:rsidRDefault="005F196B" w:rsidP="005F196B">
      <w:pPr>
        <w:widowControl/>
        <w:tabs>
          <w:tab w:val="left" w:pos="567"/>
        </w:tabs>
        <w:adjustRightInd/>
        <w:spacing w:line="240" w:lineRule="auto"/>
        <w:textAlignment w:val="auto"/>
        <w:rPr>
          <w:rFonts w:eastAsiaTheme="minorHAnsi" w:cstheme="minorBidi"/>
          <w:b/>
          <w:sz w:val="20"/>
          <w:szCs w:val="20"/>
          <w:lang w:val="en-US" w:eastAsia="en-US"/>
        </w:rPr>
      </w:pPr>
    </w:p>
    <w:p w14:paraId="5A66085B" w14:textId="73F6BB18" w:rsidR="003426B1" w:rsidRPr="009D52FD" w:rsidRDefault="006308BE" w:rsidP="00F12CF2">
      <w:pPr>
        <w:numPr>
          <w:ilvl w:val="0"/>
          <w:numId w:val="1"/>
        </w:numPr>
        <w:tabs>
          <w:tab w:val="left" w:pos="567"/>
          <w:tab w:val="num" w:pos="12305"/>
        </w:tabs>
        <w:spacing w:line="240" w:lineRule="auto"/>
        <w:ind w:left="0" w:firstLine="0"/>
        <w:rPr>
          <w:rFonts w:eastAsiaTheme="minorHAnsi" w:cstheme="minorBidi"/>
          <w:b/>
          <w:sz w:val="20"/>
          <w:szCs w:val="20"/>
          <w:lang w:val="en-US" w:eastAsia="en-US"/>
        </w:rPr>
      </w:pPr>
      <w:r w:rsidRPr="009D52FD">
        <w:rPr>
          <w:rFonts w:eastAsiaTheme="minorHAnsi" w:cstheme="minorBidi"/>
          <w:sz w:val="20"/>
          <w:szCs w:val="20"/>
          <w:lang w:val="en-US" w:eastAsia="en-US"/>
        </w:rPr>
        <w:t>The</w:t>
      </w:r>
      <w:r w:rsidR="0002239A" w:rsidRPr="009D52FD">
        <w:rPr>
          <w:rFonts w:eastAsiaTheme="minorHAnsi" w:cstheme="minorBidi"/>
          <w:sz w:val="20"/>
          <w:szCs w:val="20"/>
          <w:lang w:val="en-US" w:eastAsia="en-US"/>
        </w:rPr>
        <w:t xml:space="preserve"> Court</w:t>
      </w:r>
      <w:r w:rsidR="003426B1" w:rsidRPr="009D52FD">
        <w:rPr>
          <w:rFonts w:eastAsiaTheme="minorHAnsi" w:cstheme="minorBidi"/>
          <w:sz w:val="20"/>
          <w:szCs w:val="20"/>
          <w:lang w:val="en-US" w:eastAsia="en-US"/>
        </w:rPr>
        <w:t xml:space="preserve"> a</w:t>
      </w:r>
      <w:r w:rsidRPr="009D52FD">
        <w:rPr>
          <w:rFonts w:eastAsiaTheme="minorHAnsi" w:cstheme="minorBidi"/>
          <w:sz w:val="20"/>
          <w:szCs w:val="20"/>
          <w:lang w:val="en-US" w:eastAsia="en-US"/>
        </w:rPr>
        <w:t xml:space="preserve">lso notes that, in the domestic sphere, </w:t>
      </w:r>
      <w:r w:rsidR="003426B1" w:rsidRPr="009D52FD">
        <w:rPr>
          <w:rFonts w:eastAsiaTheme="minorHAnsi" w:cstheme="minorBidi"/>
          <w:sz w:val="20"/>
          <w:szCs w:val="20"/>
          <w:lang w:val="en-US" w:eastAsia="en-US"/>
        </w:rPr>
        <w:t>Linda</w:t>
      </w:r>
      <w:r w:rsidR="00073A7F" w:rsidRPr="009D52FD">
        <w:rPr>
          <w:rFonts w:eastAsiaTheme="minorHAnsi" w:cstheme="minorBidi"/>
          <w:sz w:val="20"/>
          <w:szCs w:val="20"/>
          <w:lang w:val="en-US" w:eastAsia="en-US"/>
        </w:rPr>
        <w:t xml:space="preserve"> Loaiza</w:t>
      </w:r>
      <w:r w:rsidRPr="009D52FD">
        <w:rPr>
          <w:rFonts w:eastAsiaTheme="minorHAnsi" w:cstheme="minorBidi"/>
          <w:sz w:val="20"/>
          <w:szCs w:val="20"/>
          <w:lang w:val="en-US" w:eastAsia="en-US"/>
        </w:rPr>
        <w:t xml:space="preserve"> had to provide her statement on the acts of violence perpetrated against her twice and, on both occasions, she had to describe the details of the acts of sexual abuse.</w:t>
      </w:r>
      <w:r w:rsidR="003426B1" w:rsidRPr="009D52FD">
        <w:rPr>
          <w:rFonts w:eastAsiaTheme="minorHAnsi" w:cstheme="minorBidi"/>
          <w:sz w:val="20"/>
          <w:szCs w:val="20"/>
          <w:vertAlign w:val="superscript"/>
          <w:lang w:val="en-US" w:eastAsia="en-US"/>
        </w:rPr>
        <w:footnoteReference w:id="338"/>
      </w:r>
      <w:r w:rsidR="003426B1"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The first of these statements was taken le</w:t>
      </w:r>
      <w:r w:rsidR="00544F92" w:rsidRPr="009D52FD">
        <w:rPr>
          <w:rFonts w:eastAsiaTheme="minorHAnsi" w:cstheme="minorBidi"/>
          <w:sz w:val="20"/>
          <w:szCs w:val="20"/>
          <w:lang w:val="en-US" w:eastAsia="en-US"/>
        </w:rPr>
        <w:t>s</w:t>
      </w:r>
      <w:r w:rsidRPr="009D52FD">
        <w:rPr>
          <w:rFonts w:eastAsiaTheme="minorHAnsi" w:cstheme="minorBidi"/>
          <w:sz w:val="20"/>
          <w:szCs w:val="20"/>
          <w:lang w:val="en-US" w:eastAsia="en-US"/>
        </w:rPr>
        <w:t>s t</w:t>
      </w:r>
      <w:r w:rsidR="00544F92" w:rsidRPr="009D52FD">
        <w:rPr>
          <w:rFonts w:eastAsiaTheme="minorHAnsi" w:cstheme="minorBidi"/>
          <w:sz w:val="20"/>
          <w:szCs w:val="20"/>
          <w:lang w:val="en-US" w:eastAsia="en-US"/>
        </w:rPr>
        <w:t>h</w:t>
      </w:r>
      <w:r w:rsidRPr="009D52FD">
        <w:rPr>
          <w:rFonts w:eastAsiaTheme="minorHAnsi" w:cstheme="minorBidi"/>
          <w:sz w:val="20"/>
          <w:szCs w:val="20"/>
          <w:lang w:val="en-US" w:eastAsia="en-US"/>
        </w:rPr>
        <w:t xml:space="preserve">an a week </w:t>
      </w:r>
      <w:r w:rsidRPr="009D52FD">
        <w:rPr>
          <w:rFonts w:eastAsiaTheme="minorHAnsi" w:cstheme="minorBidi"/>
          <w:sz w:val="20"/>
          <w:szCs w:val="20"/>
          <w:lang w:val="en-US" w:eastAsia="en-US"/>
        </w:rPr>
        <w:lastRenderedPageBreak/>
        <w:t>after her rescue, in her bed in the University Hospital</w:t>
      </w:r>
      <w:r w:rsidR="009844BA" w:rsidRPr="009D52FD">
        <w:rPr>
          <w:rFonts w:eastAsiaTheme="minorHAnsi" w:cstheme="minorBidi"/>
          <w:sz w:val="20"/>
          <w:szCs w:val="20"/>
          <w:lang w:val="en-US" w:eastAsia="en-US"/>
        </w:rPr>
        <w:t>,</w:t>
      </w:r>
      <w:r w:rsidRPr="009D52FD">
        <w:rPr>
          <w:rFonts w:eastAsiaTheme="minorHAnsi" w:cstheme="minorBidi"/>
          <w:sz w:val="20"/>
          <w:szCs w:val="20"/>
          <w:lang w:val="en-US" w:eastAsia="en-US"/>
        </w:rPr>
        <w:t xml:space="preserve"> after she had undergone an operation on her jaw that made it difficult fo</w:t>
      </w:r>
      <w:r w:rsidR="009844BA" w:rsidRPr="009D52FD">
        <w:rPr>
          <w:rFonts w:eastAsiaTheme="minorHAnsi" w:cstheme="minorBidi"/>
          <w:sz w:val="20"/>
          <w:szCs w:val="20"/>
          <w:lang w:val="en-US" w:eastAsia="en-US"/>
        </w:rPr>
        <w:t>r</w:t>
      </w:r>
      <w:r w:rsidRPr="009D52FD">
        <w:rPr>
          <w:rFonts w:eastAsiaTheme="minorHAnsi" w:cstheme="minorBidi"/>
          <w:sz w:val="20"/>
          <w:szCs w:val="20"/>
          <w:lang w:val="en-US" w:eastAsia="en-US"/>
        </w:rPr>
        <w:t xml:space="preserve"> her to talk,</w:t>
      </w:r>
      <w:r w:rsidR="003426B1" w:rsidRPr="009D52FD">
        <w:rPr>
          <w:rFonts w:eastAsiaTheme="minorHAnsi" w:cstheme="minorBidi"/>
          <w:sz w:val="20"/>
          <w:szCs w:val="20"/>
          <w:vertAlign w:val="superscript"/>
          <w:lang w:val="en-US" w:eastAsia="en-US"/>
        </w:rPr>
        <w:footnoteReference w:id="339"/>
      </w:r>
      <w:r w:rsidR="003630BB" w:rsidRPr="009D52FD">
        <w:rPr>
          <w:rFonts w:eastAsiaTheme="minorHAnsi" w:cstheme="minorBidi"/>
          <w:sz w:val="20"/>
          <w:szCs w:val="20"/>
          <w:lang w:val="en-US" w:eastAsia="en-US"/>
        </w:rPr>
        <w:t xml:space="preserve"> and </w:t>
      </w:r>
      <w:r w:rsidRPr="009D52FD">
        <w:rPr>
          <w:rFonts w:eastAsiaTheme="minorHAnsi" w:cstheme="minorBidi"/>
          <w:sz w:val="20"/>
          <w:szCs w:val="20"/>
          <w:lang w:val="en-US" w:eastAsia="en-US"/>
        </w:rPr>
        <w:t xml:space="preserve">in the presence of male security personnel from the Technical Judicial Police who accompanied an </w:t>
      </w:r>
      <w:r w:rsidR="009844BA" w:rsidRPr="009D52FD">
        <w:rPr>
          <w:rFonts w:eastAsiaTheme="minorHAnsi" w:cstheme="minorBidi"/>
          <w:sz w:val="20"/>
          <w:szCs w:val="20"/>
          <w:lang w:val="en-US" w:eastAsia="en-US"/>
        </w:rPr>
        <w:t>assistant to</w:t>
      </w:r>
      <w:r w:rsidRPr="009D52FD">
        <w:rPr>
          <w:rFonts w:eastAsiaTheme="minorHAnsi" w:cstheme="minorBidi"/>
          <w:sz w:val="20"/>
          <w:szCs w:val="20"/>
          <w:lang w:val="en-US" w:eastAsia="en-US"/>
        </w:rPr>
        <w:t xml:space="preserve"> </w:t>
      </w:r>
      <w:r w:rsidR="0066603B" w:rsidRPr="009D52FD">
        <w:rPr>
          <w:rFonts w:eastAsiaTheme="minorHAnsi" w:cstheme="minorBidi"/>
          <w:sz w:val="20"/>
          <w:szCs w:val="20"/>
          <w:lang w:val="en-US" w:eastAsia="en-US"/>
        </w:rPr>
        <w:t>Prosecutor No. 33</w:t>
      </w:r>
      <w:r w:rsidR="003426B1"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in charge of the procedure</w:t>
      </w:r>
      <w:r w:rsidR="003426B1" w:rsidRPr="009D52FD">
        <w:rPr>
          <w:rFonts w:eastAsiaTheme="minorHAnsi" w:cstheme="minorBidi"/>
          <w:sz w:val="20"/>
          <w:szCs w:val="20"/>
          <w:lang w:val="en-US" w:eastAsia="en-US"/>
        </w:rPr>
        <w:t xml:space="preserve">, </w:t>
      </w:r>
      <w:r w:rsidR="006A4255" w:rsidRPr="009D52FD">
        <w:rPr>
          <w:rFonts w:eastAsiaTheme="minorHAnsi" w:cstheme="minorBidi"/>
          <w:sz w:val="20"/>
          <w:szCs w:val="20"/>
          <w:lang w:val="en-US" w:eastAsia="en-US"/>
        </w:rPr>
        <w:t>who was also male</w:t>
      </w:r>
      <w:r w:rsidR="003426B1" w:rsidRPr="009D52FD">
        <w:rPr>
          <w:rFonts w:eastAsiaTheme="minorHAnsi" w:cstheme="minorBidi"/>
          <w:sz w:val="20"/>
          <w:szCs w:val="20"/>
          <w:vertAlign w:val="superscript"/>
          <w:lang w:val="en-US" w:eastAsia="en-US"/>
        </w:rPr>
        <w:footnoteReference w:id="340"/>
      </w:r>
      <w:r w:rsidR="003426B1" w:rsidRPr="009D52FD">
        <w:rPr>
          <w:rFonts w:eastAsiaTheme="minorHAnsi" w:cstheme="minorBidi"/>
          <w:sz w:val="20"/>
          <w:szCs w:val="20"/>
          <w:lang w:val="en-US" w:eastAsia="en-US"/>
        </w:rPr>
        <w:t xml:space="preserve"> </w:t>
      </w:r>
      <w:r w:rsidR="006A4255" w:rsidRPr="009D52FD">
        <w:rPr>
          <w:rFonts w:eastAsiaTheme="minorHAnsi" w:cstheme="minorBidi"/>
          <w:sz w:val="20"/>
          <w:szCs w:val="20"/>
          <w:lang w:val="en-US" w:eastAsia="en-US"/>
        </w:rPr>
        <w:t xml:space="preserve">- and this, despite the fact that, at that time, it had already been verified that she had experienced injuries compatible with </w:t>
      </w:r>
      <w:r w:rsidR="0081578D" w:rsidRPr="009D52FD">
        <w:rPr>
          <w:rFonts w:eastAsiaTheme="minorHAnsi" w:cstheme="minorBidi"/>
          <w:sz w:val="20"/>
          <w:szCs w:val="20"/>
          <w:lang w:val="en-US" w:eastAsia="en-US"/>
        </w:rPr>
        <w:t>sexual violence</w:t>
      </w:r>
      <w:r w:rsidR="003426B1" w:rsidRPr="009D52FD">
        <w:rPr>
          <w:rFonts w:eastAsiaTheme="minorHAnsi" w:cstheme="minorBidi"/>
          <w:sz w:val="20"/>
          <w:szCs w:val="20"/>
          <w:lang w:val="en-US" w:eastAsia="en-US"/>
        </w:rPr>
        <w:t xml:space="preserve">. </w:t>
      </w:r>
      <w:r w:rsidR="006A4255" w:rsidRPr="009D52FD">
        <w:rPr>
          <w:rFonts w:eastAsiaTheme="minorHAnsi" w:cstheme="minorBidi"/>
          <w:sz w:val="20"/>
          <w:szCs w:val="20"/>
          <w:lang w:val="en-US" w:eastAsia="en-US"/>
        </w:rPr>
        <w:t xml:space="preserve">Regarding the second statement, it took place during the first </w:t>
      </w:r>
      <w:r w:rsidR="00F848CC" w:rsidRPr="009D52FD">
        <w:rPr>
          <w:rFonts w:eastAsiaTheme="minorHAnsi" w:cstheme="minorBidi"/>
          <w:sz w:val="20"/>
          <w:szCs w:val="20"/>
          <w:lang w:val="en-US" w:eastAsia="en-US"/>
        </w:rPr>
        <w:t>public oral hearing</w:t>
      </w:r>
      <w:r w:rsidR="003426B1" w:rsidRPr="009D52FD">
        <w:rPr>
          <w:rFonts w:eastAsiaTheme="minorHAnsi" w:cstheme="minorBidi"/>
          <w:sz w:val="20"/>
          <w:szCs w:val="20"/>
          <w:lang w:val="en-US" w:eastAsia="en-US"/>
        </w:rPr>
        <w:t xml:space="preserve"> </w:t>
      </w:r>
      <w:r w:rsidR="006A4255" w:rsidRPr="009D52FD">
        <w:rPr>
          <w:rFonts w:eastAsiaTheme="minorHAnsi" w:cstheme="minorBidi"/>
          <w:sz w:val="20"/>
          <w:szCs w:val="20"/>
          <w:lang w:val="en-US" w:eastAsia="en-US"/>
        </w:rPr>
        <w:t xml:space="preserve">in the domestic proceedings, in the presence of her aggressor. On completing her statement, </w:t>
      </w:r>
      <w:r w:rsidR="003426B1" w:rsidRPr="009D52FD">
        <w:rPr>
          <w:rFonts w:eastAsiaTheme="minorHAnsi" w:cstheme="minorBidi"/>
          <w:sz w:val="20"/>
          <w:szCs w:val="20"/>
          <w:lang w:val="en-US" w:eastAsia="en-US"/>
        </w:rPr>
        <w:t>Linda</w:t>
      </w:r>
      <w:r w:rsidR="00073A7F" w:rsidRPr="009D52FD">
        <w:rPr>
          <w:rFonts w:eastAsiaTheme="minorHAnsi" w:cstheme="minorBidi"/>
          <w:sz w:val="20"/>
          <w:szCs w:val="20"/>
          <w:lang w:val="en-US" w:eastAsia="en-US"/>
        </w:rPr>
        <w:t xml:space="preserve"> Loaiza</w:t>
      </w:r>
      <w:r w:rsidR="003426B1" w:rsidRPr="009D52FD">
        <w:rPr>
          <w:rFonts w:eastAsiaTheme="minorHAnsi" w:cstheme="minorBidi"/>
          <w:sz w:val="20"/>
          <w:szCs w:val="20"/>
          <w:lang w:val="en-US" w:eastAsia="en-US"/>
        </w:rPr>
        <w:t xml:space="preserve"> </w:t>
      </w:r>
      <w:r w:rsidR="006A4255" w:rsidRPr="009D52FD">
        <w:rPr>
          <w:rFonts w:eastAsiaTheme="minorHAnsi" w:cstheme="minorBidi"/>
          <w:sz w:val="20"/>
          <w:szCs w:val="20"/>
          <w:lang w:val="en-US" w:eastAsia="en-US"/>
        </w:rPr>
        <w:t>indicated that she was “extremely exhausted by the interrogation,” which led to the suspension of the hearing.</w:t>
      </w:r>
      <w:r w:rsidR="003426B1" w:rsidRPr="009D52FD">
        <w:rPr>
          <w:rFonts w:eastAsiaTheme="minorHAnsi" w:cstheme="minorBidi"/>
          <w:sz w:val="20"/>
          <w:szCs w:val="20"/>
          <w:vertAlign w:val="superscript"/>
          <w:lang w:val="en-US" w:eastAsia="en-US"/>
        </w:rPr>
        <w:footnoteReference w:id="341"/>
      </w:r>
      <w:r w:rsidR="006A4255" w:rsidRPr="009D52FD">
        <w:rPr>
          <w:rFonts w:eastAsiaTheme="minorHAnsi" w:cstheme="minorBidi"/>
          <w:sz w:val="20"/>
          <w:szCs w:val="20"/>
          <w:lang w:val="en-US" w:eastAsia="en-US"/>
        </w:rPr>
        <w:t xml:space="preserve"> </w:t>
      </w:r>
      <w:r w:rsidR="00B83DF6" w:rsidRPr="009D52FD">
        <w:rPr>
          <w:rFonts w:eastAsiaTheme="minorHAnsi" w:cstheme="minorBidi"/>
          <w:sz w:val="20"/>
          <w:szCs w:val="20"/>
          <w:lang w:val="en-US" w:eastAsia="en-US"/>
        </w:rPr>
        <w:t>The evidence does</w:t>
      </w:r>
      <w:r w:rsidR="009844BA" w:rsidRPr="009D52FD">
        <w:rPr>
          <w:rFonts w:eastAsiaTheme="minorHAnsi" w:cstheme="minorBidi"/>
          <w:sz w:val="20"/>
          <w:szCs w:val="20"/>
          <w:lang w:val="en-US" w:eastAsia="en-US"/>
        </w:rPr>
        <w:t xml:space="preserve"> not</w:t>
      </w:r>
      <w:r w:rsidR="00B83DF6" w:rsidRPr="009D52FD">
        <w:rPr>
          <w:rFonts w:eastAsiaTheme="minorHAnsi" w:cstheme="minorBidi"/>
          <w:sz w:val="20"/>
          <w:szCs w:val="20"/>
          <w:lang w:val="en-US" w:eastAsia="en-US"/>
        </w:rPr>
        <w:t xml:space="preserve"> </w:t>
      </w:r>
      <w:r w:rsidR="008A6A82" w:rsidRPr="009D52FD">
        <w:rPr>
          <w:rFonts w:eastAsiaTheme="minorHAnsi" w:cstheme="minorBidi"/>
          <w:sz w:val="20"/>
          <w:szCs w:val="20"/>
          <w:lang w:val="en-US" w:eastAsia="en-US"/>
        </w:rPr>
        <w:t>show that she received or had been offered professional assistance or support at any time before, during or after any of these actions.</w:t>
      </w:r>
    </w:p>
    <w:p w14:paraId="175B5FE1" w14:textId="77777777" w:rsidR="005F196B" w:rsidRPr="009D52FD" w:rsidRDefault="005F196B" w:rsidP="005F196B">
      <w:pPr>
        <w:widowControl/>
        <w:tabs>
          <w:tab w:val="left" w:pos="567"/>
        </w:tabs>
        <w:adjustRightInd/>
        <w:spacing w:line="240" w:lineRule="auto"/>
        <w:textAlignment w:val="auto"/>
        <w:rPr>
          <w:rFonts w:eastAsiaTheme="minorHAnsi" w:cstheme="minorBidi"/>
          <w:b/>
          <w:sz w:val="20"/>
          <w:szCs w:val="20"/>
          <w:lang w:val="en-US" w:eastAsia="en-US"/>
        </w:rPr>
      </w:pPr>
    </w:p>
    <w:p w14:paraId="277A05E5" w14:textId="69F2694C" w:rsidR="003A453C" w:rsidRPr="009D52FD" w:rsidRDefault="008A6A82" w:rsidP="008A6A82">
      <w:pPr>
        <w:numPr>
          <w:ilvl w:val="0"/>
          <w:numId w:val="1"/>
        </w:numPr>
        <w:tabs>
          <w:tab w:val="left" w:pos="567"/>
          <w:tab w:val="num" w:pos="12305"/>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After examining Linda Loaiza, expert witness</w:t>
      </w:r>
      <w:r w:rsidR="003426B1" w:rsidRPr="009D52FD">
        <w:rPr>
          <w:rFonts w:eastAsiaTheme="minorHAnsi" w:cstheme="minorBidi"/>
          <w:sz w:val="20"/>
          <w:szCs w:val="20"/>
          <w:lang w:val="en-US" w:eastAsia="en-US"/>
        </w:rPr>
        <w:t xml:space="preserve"> Ramírez Velasco</w:t>
      </w:r>
      <w:r w:rsidRPr="009D52FD">
        <w:rPr>
          <w:rFonts w:eastAsiaTheme="minorHAnsi" w:cstheme="minorBidi"/>
          <w:sz w:val="20"/>
          <w:szCs w:val="20"/>
          <w:lang w:val="en-US" w:eastAsia="en-US"/>
        </w:rPr>
        <w:t xml:space="preserve"> indicated that, “the tests revealed a person who feels that she has been exposed to the world, and observed by it […] during which she felt she had been judge inappropriately by the authorities and others in that </w:t>
      </w:r>
      <w:r w:rsidR="007B347F" w:rsidRPr="009D52FD">
        <w:rPr>
          <w:rFonts w:eastAsiaTheme="minorHAnsi" w:cstheme="minorBidi"/>
          <w:sz w:val="20"/>
          <w:szCs w:val="20"/>
          <w:lang w:val="en-US" w:eastAsia="en-US"/>
        </w:rPr>
        <w:t>setting</w:t>
      </w:r>
      <w:r w:rsidRPr="009D52FD">
        <w:rPr>
          <w:rFonts w:eastAsiaTheme="minorHAnsi" w:cstheme="minorBidi"/>
          <w:sz w:val="20"/>
          <w:szCs w:val="20"/>
          <w:lang w:val="en-US" w:eastAsia="en-US"/>
        </w:rPr>
        <w:t>, making her feel vulnerable.</w:t>
      </w:r>
      <w:r w:rsidR="000A63FD" w:rsidRPr="009D52FD">
        <w:rPr>
          <w:rFonts w:eastAsiaTheme="minorHAnsi" w:cstheme="minorBidi"/>
          <w:sz w:val="20"/>
          <w:szCs w:val="20"/>
          <w:lang w:val="en-US" w:eastAsia="en-US"/>
        </w:rPr>
        <w:t>”</w:t>
      </w:r>
      <w:r w:rsidR="003426B1" w:rsidRPr="009D52FD">
        <w:rPr>
          <w:rFonts w:eastAsiaTheme="minorHAnsi" w:cstheme="minorBidi"/>
          <w:sz w:val="20"/>
          <w:szCs w:val="20"/>
          <w:vertAlign w:val="superscript"/>
          <w:lang w:val="en-US" w:eastAsia="en-US"/>
        </w:rPr>
        <w:footnoteReference w:id="342"/>
      </w:r>
      <w:r w:rsidRPr="009D52FD">
        <w:rPr>
          <w:rFonts w:eastAsiaTheme="minorHAnsi" w:cstheme="minorBidi"/>
          <w:sz w:val="20"/>
          <w:szCs w:val="20"/>
          <w:lang w:val="en-US" w:eastAsia="en-US"/>
        </w:rPr>
        <w:t xml:space="preserve"> She also indicated that the psychological harm and</w:t>
      </w:r>
      <w:r w:rsidR="007B347F" w:rsidRPr="009D52FD">
        <w:rPr>
          <w:rFonts w:eastAsiaTheme="minorHAnsi" w:cstheme="minorBidi"/>
          <w:sz w:val="20"/>
          <w:szCs w:val="20"/>
          <w:lang w:val="en-US" w:eastAsia="en-US"/>
        </w:rPr>
        <w:t xml:space="preserve"> the harm</w:t>
      </w:r>
      <w:r w:rsidRPr="009D52FD">
        <w:rPr>
          <w:rFonts w:eastAsiaTheme="minorHAnsi" w:cstheme="minorBidi"/>
          <w:sz w:val="20"/>
          <w:szCs w:val="20"/>
          <w:lang w:val="en-US" w:eastAsia="en-US"/>
        </w:rPr>
        <w:t xml:space="preserve"> to her cognitive functions owing to what happened had increased “due to the permanent emotional stress associated with the fear of new abuse by the perpetrator and the flaws in the due process of law by the State’s legal representatives in charge of the case.</w:t>
      </w:r>
      <w:r w:rsidR="003A453C" w:rsidRPr="009D52FD">
        <w:rPr>
          <w:rFonts w:eastAsiaTheme="minorHAnsi" w:cstheme="minorBidi"/>
          <w:sz w:val="20"/>
          <w:szCs w:val="20"/>
          <w:lang w:val="en-US" w:eastAsia="en-US"/>
        </w:rPr>
        <w:t>”</w:t>
      </w:r>
      <w:r w:rsidR="003A453C" w:rsidRPr="009D52FD">
        <w:rPr>
          <w:rFonts w:eastAsiaTheme="minorHAnsi" w:cstheme="minorBidi"/>
          <w:sz w:val="20"/>
          <w:szCs w:val="20"/>
          <w:vertAlign w:val="superscript"/>
          <w:lang w:val="en-US" w:eastAsia="en-US"/>
        </w:rPr>
        <w:footnoteReference w:id="343"/>
      </w:r>
    </w:p>
    <w:p w14:paraId="0F40DCCA" w14:textId="77777777" w:rsidR="003A453C" w:rsidRPr="009D52FD" w:rsidRDefault="003A453C" w:rsidP="003A453C">
      <w:pPr>
        <w:tabs>
          <w:tab w:val="left" w:pos="567"/>
        </w:tabs>
        <w:spacing w:line="240" w:lineRule="auto"/>
        <w:rPr>
          <w:rFonts w:eastAsiaTheme="minorHAnsi" w:cstheme="minorBidi"/>
          <w:sz w:val="20"/>
          <w:szCs w:val="20"/>
          <w:lang w:val="en-US" w:eastAsia="en-US"/>
        </w:rPr>
      </w:pPr>
    </w:p>
    <w:p w14:paraId="4662E682" w14:textId="3CBB2B15" w:rsidR="003426B1" w:rsidRPr="009D52FD" w:rsidRDefault="003630BB" w:rsidP="008A6A82">
      <w:pPr>
        <w:numPr>
          <w:ilvl w:val="0"/>
          <w:numId w:val="1"/>
        </w:numPr>
        <w:tabs>
          <w:tab w:val="left" w:pos="567"/>
          <w:tab w:val="num" w:pos="12305"/>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The Court</w:t>
      </w:r>
      <w:r w:rsidR="004E6B6D" w:rsidRPr="009D52FD">
        <w:rPr>
          <w:rFonts w:eastAsiaTheme="minorHAnsi" w:cstheme="minorBidi"/>
          <w:sz w:val="20"/>
          <w:szCs w:val="20"/>
          <w:lang w:val="en-US" w:eastAsia="en-US"/>
        </w:rPr>
        <w:t xml:space="preserve"> conclu</w:t>
      </w:r>
      <w:r w:rsidR="008A6A82" w:rsidRPr="009D52FD">
        <w:rPr>
          <w:rFonts w:eastAsiaTheme="minorHAnsi" w:cstheme="minorBidi"/>
          <w:sz w:val="20"/>
          <w:szCs w:val="20"/>
          <w:lang w:val="en-US" w:eastAsia="en-US"/>
        </w:rPr>
        <w:t xml:space="preserve">des that the circumstances surrounding the different statements made by Linda Loaiza in the domestic proceedings, especially the first one, and the fact that the authorities in charge of the investigation failed to ensure the intervention and support of female professionals in the medical </w:t>
      </w:r>
      <w:r w:rsidR="007B347F" w:rsidRPr="009D52FD">
        <w:rPr>
          <w:rFonts w:eastAsiaTheme="minorHAnsi" w:cstheme="minorBidi"/>
          <w:sz w:val="20"/>
          <w:szCs w:val="20"/>
          <w:lang w:val="en-US" w:eastAsia="en-US"/>
        </w:rPr>
        <w:t xml:space="preserve">examinations </w:t>
      </w:r>
      <w:r w:rsidR="008A6A82" w:rsidRPr="009D52FD">
        <w:rPr>
          <w:rFonts w:eastAsiaTheme="minorHAnsi" w:cstheme="minorBidi"/>
          <w:sz w:val="20"/>
          <w:szCs w:val="20"/>
          <w:lang w:val="en-US" w:eastAsia="en-US"/>
        </w:rPr>
        <w:t xml:space="preserve">performed on Linda Loaiza constituted acts of </w:t>
      </w:r>
      <w:r w:rsidR="00B26D93" w:rsidRPr="009D52FD">
        <w:rPr>
          <w:rFonts w:eastAsiaTheme="minorHAnsi" w:cstheme="minorBidi"/>
          <w:sz w:val="20"/>
          <w:szCs w:val="20"/>
          <w:lang w:val="en-US" w:eastAsia="en-US"/>
        </w:rPr>
        <w:t>revictimization</w:t>
      </w:r>
      <w:r w:rsidR="004E6B6D" w:rsidRPr="009D52FD">
        <w:rPr>
          <w:rFonts w:eastAsiaTheme="minorHAnsi" w:cstheme="minorBidi"/>
          <w:sz w:val="20"/>
          <w:szCs w:val="20"/>
          <w:lang w:val="en-US" w:eastAsia="en-US"/>
        </w:rPr>
        <w:t xml:space="preserve"> </w:t>
      </w:r>
      <w:r w:rsidR="008A6A82" w:rsidRPr="009D52FD">
        <w:rPr>
          <w:rFonts w:eastAsiaTheme="minorHAnsi" w:cstheme="minorBidi"/>
          <w:sz w:val="20"/>
          <w:szCs w:val="20"/>
          <w:lang w:val="en-US" w:eastAsia="en-US"/>
        </w:rPr>
        <w:t xml:space="preserve">that violated her </w:t>
      </w:r>
      <w:r w:rsidR="00997ADF" w:rsidRPr="009D52FD">
        <w:rPr>
          <w:rFonts w:eastAsiaTheme="minorHAnsi" w:cstheme="minorBidi"/>
          <w:sz w:val="20"/>
          <w:szCs w:val="20"/>
          <w:lang w:val="en-US" w:eastAsia="en-US"/>
        </w:rPr>
        <w:t>personal integrity</w:t>
      </w:r>
      <w:r w:rsidR="003426B1" w:rsidRPr="009D52FD">
        <w:rPr>
          <w:rFonts w:eastAsiaTheme="minorHAnsi" w:cstheme="minorBidi"/>
          <w:sz w:val="20"/>
          <w:szCs w:val="20"/>
          <w:lang w:val="en-US" w:eastAsia="en-US"/>
        </w:rPr>
        <w:t>.</w:t>
      </w:r>
    </w:p>
    <w:p w14:paraId="5B31DABF" w14:textId="77777777" w:rsidR="003426B1" w:rsidRPr="009D52FD" w:rsidRDefault="003426B1" w:rsidP="009E4F6C">
      <w:pPr>
        <w:spacing w:line="240" w:lineRule="auto"/>
        <w:contextualSpacing/>
        <w:rPr>
          <w:b/>
          <w:spacing w:val="-2"/>
          <w:sz w:val="20"/>
          <w:szCs w:val="20"/>
          <w:lang w:val="en-US"/>
        </w:rPr>
      </w:pPr>
    </w:p>
    <w:p w14:paraId="22A1C334" w14:textId="3D42AC5B" w:rsidR="009E4F6C" w:rsidRPr="009D52FD" w:rsidRDefault="009E4F6C" w:rsidP="00153ECC">
      <w:pPr>
        <w:keepNext/>
        <w:keepLines/>
        <w:widowControl/>
        <w:tabs>
          <w:tab w:val="left" w:pos="1418"/>
        </w:tabs>
        <w:autoSpaceDE w:val="0"/>
        <w:autoSpaceDN w:val="0"/>
        <w:spacing w:line="240" w:lineRule="auto"/>
        <w:ind w:left="708" w:firstLine="1"/>
        <w:textAlignment w:val="auto"/>
        <w:outlineLvl w:val="1"/>
        <w:rPr>
          <w:rFonts w:eastAsia="MS Mincho" w:cs="Arial"/>
          <w:bCs/>
          <w:i/>
          <w:sz w:val="20"/>
          <w:szCs w:val="20"/>
          <w:lang w:val="en-US" w:eastAsia="en-US"/>
        </w:rPr>
      </w:pPr>
      <w:bookmarkStart w:id="96" w:name="_Toc51400105"/>
      <w:r w:rsidRPr="009D52FD">
        <w:rPr>
          <w:rFonts w:eastAsia="MS Mincho" w:cs="Arial"/>
          <w:bCs/>
          <w:i/>
          <w:sz w:val="20"/>
          <w:szCs w:val="20"/>
          <w:lang w:val="en-US" w:eastAsia="en-US"/>
        </w:rPr>
        <w:t>B.</w:t>
      </w:r>
      <w:r w:rsidR="004E6B6D" w:rsidRPr="009D52FD">
        <w:rPr>
          <w:rFonts w:eastAsia="MS Mincho" w:cs="Arial"/>
          <w:bCs/>
          <w:i/>
          <w:sz w:val="20"/>
          <w:szCs w:val="20"/>
          <w:lang w:val="en-US" w:eastAsia="en-US"/>
        </w:rPr>
        <w:t>5</w:t>
      </w:r>
      <w:r w:rsidRPr="009D52FD">
        <w:rPr>
          <w:rFonts w:eastAsia="MS Mincho" w:cs="Arial"/>
          <w:bCs/>
          <w:i/>
          <w:sz w:val="20"/>
          <w:szCs w:val="20"/>
          <w:lang w:val="en-US" w:eastAsia="en-US"/>
        </w:rPr>
        <w:t xml:space="preserve"> </w:t>
      </w:r>
      <w:r w:rsidRPr="009D52FD">
        <w:rPr>
          <w:rFonts w:eastAsia="MS Mincho" w:cs="Arial"/>
          <w:bCs/>
          <w:i/>
          <w:sz w:val="20"/>
          <w:szCs w:val="20"/>
          <w:lang w:val="en-US" w:eastAsia="en-US"/>
        </w:rPr>
        <w:tab/>
      </w:r>
      <w:r w:rsidR="008A6A82" w:rsidRPr="009D52FD">
        <w:rPr>
          <w:rFonts w:eastAsia="MS Mincho" w:cs="Arial"/>
          <w:bCs/>
          <w:i/>
          <w:sz w:val="20"/>
          <w:szCs w:val="20"/>
          <w:lang w:val="en-US" w:eastAsia="en-US"/>
        </w:rPr>
        <w:t>Lack of adequate measures of protection and investigation of the threats and harassment of</w:t>
      </w:r>
      <w:r w:rsidRPr="009D52FD">
        <w:rPr>
          <w:rFonts w:eastAsia="MS Mincho" w:cs="Arial"/>
          <w:bCs/>
          <w:i/>
          <w:sz w:val="20"/>
          <w:szCs w:val="20"/>
          <w:lang w:val="en-US" w:eastAsia="en-US"/>
        </w:rPr>
        <w:t xml:space="preserve"> Linda Loaiza</w:t>
      </w:r>
      <w:r w:rsidR="000C5787" w:rsidRPr="009D52FD">
        <w:rPr>
          <w:rFonts w:eastAsia="MS Mincho" w:cs="Arial"/>
          <w:bCs/>
          <w:i/>
          <w:sz w:val="20"/>
          <w:szCs w:val="20"/>
          <w:lang w:val="en-US" w:eastAsia="en-US"/>
        </w:rPr>
        <w:t xml:space="preserve"> López Soto</w:t>
      </w:r>
      <w:r w:rsidR="002516A3" w:rsidRPr="009D52FD">
        <w:rPr>
          <w:rFonts w:eastAsia="MS Mincho" w:cs="Arial"/>
          <w:bCs/>
          <w:i/>
          <w:sz w:val="20"/>
          <w:szCs w:val="20"/>
          <w:lang w:val="en-US" w:eastAsia="en-US"/>
        </w:rPr>
        <w:t>,</w:t>
      </w:r>
      <w:r w:rsidRPr="009D52FD">
        <w:rPr>
          <w:rFonts w:eastAsia="MS Mincho" w:cs="Arial"/>
          <w:bCs/>
          <w:i/>
          <w:sz w:val="20"/>
          <w:szCs w:val="20"/>
          <w:lang w:val="en-US" w:eastAsia="en-US"/>
        </w:rPr>
        <w:t xml:space="preserve"> </w:t>
      </w:r>
      <w:r w:rsidR="008A6A82" w:rsidRPr="009D52FD">
        <w:rPr>
          <w:rFonts w:eastAsia="MS Mincho" w:cs="Arial"/>
          <w:bCs/>
          <w:i/>
          <w:sz w:val="20"/>
          <w:szCs w:val="20"/>
          <w:lang w:val="en-US" w:eastAsia="en-US"/>
        </w:rPr>
        <w:t>her family and her lawyer</w:t>
      </w:r>
      <w:bookmarkEnd w:id="96"/>
    </w:p>
    <w:p w14:paraId="32CA785C" w14:textId="77777777" w:rsidR="009E4F6C" w:rsidRPr="009D52FD" w:rsidRDefault="009E4F6C" w:rsidP="009E4F6C">
      <w:pPr>
        <w:widowControl/>
        <w:tabs>
          <w:tab w:val="left" w:pos="567"/>
        </w:tabs>
        <w:adjustRightInd/>
        <w:spacing w:line="240" w:lineRule="auto"/>
        <w:textAlignment w:val="auto"/>
        <w:rPr>
          <w:rFonts w:cs="Verdana"/>
          <w:b/>
          <w:i/>
          <w:sz w:val="20"/>
          <w:szCs w:val="20"/>
          <w:lang w:val="en-US"/>
        </w:rPr>
      </w:pPr>
    </w:p>
    <w:p w14:paraId="1C782C6D" w14:textId="6B41D951" w:rsidR="0074622A" w:rsidRPr="009D52FD" w:rsidRDefault="0074622A" w:rsidP="003E508A">
      <w:pPr>
        <w:numPr>
          <w:ilvl w:val="0"/>
          <w:numId w:val="1"/>
        </w:numPr>
        <w:tabs>
          <w:tab w:val="left" w:pos="567"/>
          <w:tab w:val="num" w:pos="12305"/>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Dur</w:t>
      </w:r>
      <w:r w:rsidR="003E508A" w:rsidRPr="009D52FD">
        <w:rPr>
          <w:rFonts w:eastAsiaTheme="minorHAnsi" w:cstheme="minorBidi"/>
          <w:sz w:val="20"/>
          <w:szCs w:val="20"/>
          <w:lang w:val="en-US" w:eastAsia="en-US"/>
        </w:rPr>
        <w:t xml:space="preserve">ing the domestic judicial proceedings, </w:t>
      </w:r>
      <w:r w:rsidRPr="009D52FD">
        <w:rPr>
          <w:rFonts w:eastAsiaTheme="minorHAnsi" w:cstheme="minorBidi"/>
          <w:sz w:val="20"/>
          <w:szCs w:val="20"/>
          <w:lang w:val="en-US" w:eastAsia="en-US"/>
        </w:rPr>
        <w:t>Linda Loaiza</w:t>
      </w:r>
      <w:r w:rsidR="003630BB" w:rsidRPr="009D52FD">
        <w:rPr>
          <w:rFonts w:eastAsiaTheme="minorHAnsi" w:cstheme="minorBidi"/>
          <w:sz w:val="20"/>
          <w:szCs w:val="20"/>
          <w:lang w:val="en-US" w:eastAsia="en-US"/>
        </w:rPr>
        <w:t xml:space="preserve"> and </w:t>
      </w:r>
      <w:r w:rsidR="003E508A" w:rsidRPr="009D52FD">
        <w:rPr>
          <w:rFonts w:eastAsiaTheme="minorHAnsi" w:cstheme="minorBidi"/>
          <w:sz w:val="20"/>
          <w:szCs w:val="20"/>
          <w:lang w:val="en-US" w:eastAsia="en-US"/>
        </w:rPr>
        <w:t>the members of her family were subjected to threats and harassment that resulted in a request to the domestic jurisdictional organs for measures of protection (</w:t>
      </w:r>
      <w:r w:rsidR="003E508A" w:rsidRPr="009D52FD">
        <w:rPr>
          <w:rFonts w:eastAsiaTheme="minorHAnsi" w:cstheme="minorBidi"/>
          <w:i/>
          <w:sz w:val="20"/>
          <w:szCs w:val="20"/>
          <w:lang w:val="en-US" w:eastAsia="en-US"/>
        </w:rPr>
        <w:t>supra</w:t>
      </w:r>
      <w:r w:rsidR="003E508A" w:rsidRPr="009D52FD">
        <w:rPr>
          <w:rFonts w:eastAsiaTheme="minorHAnsi" w:cstheme="minorBidi"/>
          <w:sz w:val="20"/>
          <w:szCs w:val="20"/>
          <w:lang w:val="en-US" w:eastAsia="en-US"/>
        </w:rPr>
        <w:t xml:space="preserve"> paras. 101 to 106). Regarding the measures established during the processing of the first criminal proceedings, this Court notes that they were initially ordered by</w:t>
      </w:r>
      <w:r w:rsidRPr="009D52FD">
        <w:rPr>
          <w:rFonts w:eastAsiaTheme="minorHAnsi" w:cstheme="minorBidi"/>
          <w:sz w:val="20"/>
          <w:szCs w:val="20"/>
          <w:lang w:val="en-US" w:eastAsia="en-US"/>
        </w:rPr>
        <w:t xml:space="preserve"> </w:t>
      </w:r>
      <w:r w:rsidR="000F4116" w:rsidRPr="009D52FD">
        <w:rPr>
          <w:rFonts w:eastAsiaTheme="minorHAnsi" w:cstheme="minorBidi"/>
          <w:sz w:val="20"/>
          <w:szCs w:val="20"/>
          <w:lang w:val="en-US" w:eastAsia="en-US"/>
        </w:rPr>
        <w:t>the Forty-first Trial Court</w:t>
      </w:r>
      <w:r w:rsidRPr="009D52FD">
        <w:rPr>
          <w:rFonts w:eastAsiaTheme="minorHAnsi" w:cstheme="minorBidi"/>
          <w:sz w:val="20"/>
          <w:szCs w:val="20"/>
          <w:lang w:val="en-US" w:eastAsia="en-US"/>
        </w:rPr>
        <w:t xml:space="preserve"> </w:t>
      </w:r>
      <w:r w:rsidR="00565380" w:rsidRPr="009D52FD">
        <w:rPr>
          <w:rFonts w:eastAsiaTheme="minorHAnsi" w:cstheme="minorBidi"/>
          <w:sz w:val="20"/>
          <w:szCs w:val="20"/>
          <w:lang w:val="en-US" w:eastAsia="en-US"/>
        </w:rPr>
        <w:t>of the Caracas Metropolitan Area</w:t>
      </w:r>
      <w:r w:rsidRPr="009D52FD">
        <w:rPr>
          <w:rFonts w:eastAsiaTheme="minorHAnsi" w:cstheme="minorBidi"/>
          <w:sz w:val="20"/>
          <w:szCs w:val="20"/>
          <w:lang w:val="en-US" w:eastAsia="en-US"/>
        </w:rPr>
        <w:t xml:space="preserve"> </w:t>
      </w:r>
      <w:r w:rsidR="003E508A" w:rsidRPr="009D52FD">
        <w:rPr>
          <w:rFonts w:eastAsiaTheme="minorHAnsi" w:cstheme="minorBidi"/>
          <w:sz w:val="20"/>
          <w:szCs w:val="20"/>
          <w:lang w:val="en-US" w:eastAsia="en-US"/>
        </w:rPr>
        <w:t>on October 30,</w:t>
      </w:r>
      <w:r w:rsidRPr="009D52FD">
        <w:rPr>
          <w:rFonts w:eastAsiaTheme="minorHAnsi" w:cstheme="minorBidi"/>
          <w:sz w:val="20"/>
          <w:szCs w:val="20"/>
          <w:lang w:val="en-US" w:eastAsia="en-US"/>
        </w:rPr>
        <w:t xml:space="preserve"> 2003</w:t>
      </w:r>
      <w:r w:rsidR="006C2489" w:rsidRPr="009D52FD">
        <w:rPr>
          <w:rFonts w:eastAsiaTheme="minorHAnsi" w:cstheme="minorBidi"/>
          <w:sz w:val="20"/>
          <w:szCs w:val="20"/>
          <w:lang w:val="en-US" w:eastAsia="en-US"/>
        </w:rPr>
        <w:t>,</w:t>
      </w:r>
      <w:r w:rsidRPr="009D52FD">
        <w:rPr>
          <w:rFonts w:eastAsiaTheme="minorHAnsi" w:cstheme="minorBidi"/>
          <w:sz w:val="20"/>
          <w:szCs w:val="20"/>
          <w:lang w:val="en-US" w:eastAsia="en-US"/>
        </w:rPr>
        <w:t xml:space="preserve"> </w:t>
      </w:r>
      <w:r w:rsidR="003E508A" w:rsidRPr="009D52FD">
        <w:rPr>
          <w:rFonts w:eastAsiaTheme="minorHAnsi" w:cstheme="minorBidi"/>
          <w:sz w:val="20"/>
          <w:szCs w:val="20"/>
          <w:lang w:val="en-US" w:eastAsia="en-US"/>
        </w:rPr>
        <w:t xml:space="preserve">but were not put in place until December 26, </w:t>
      </w:r>
      <w:r w:rsidR="008E0D8B" w:rsidRPr="009D52FD">
        <w:rPr>
          <w:rFonts w:eastAsiaTheme="minorHAnsi" w:cstheme="minorBidi"/>
          <w:sz w:val="20"/>
          <w:szCs w:val="20"/>
          <w:lang w:val="en-US" w:eastAsia="en-US"/>
        </w:rPr>
        <w:t>2003</w:t>
      </w:r>
      <w:r w:rsidRPr="009D52FD">
        <w:rPr>
          <w:rFonts w:eastAsiaTheme="minorHAnsi" w:cstheme="minorBidi"/>
          <w:sz w:val="20"/>
          <w:szCs w:val="20"/>
          <w:lang w:val="en-US" w:eastAsia="en-US"/>
        </w:rPr>
        <w:t xml:space="preserve">, </w:t>
      </w:r>
      <w:r w:rsidR="003E508A" w:rsidRPr="009D52FD">
        <w:rPr>
          <w:rFonts w:eastAsiaTheme="minorHAnsi" w:cstheme="minorBidi"/>
          <w:sz w:val="20"/>
          <w:szCs w:val="20"/>
          <w:lang w:val="en-US" w:eastAsia="en-US"/>
        </w:rPr>
        <w:t>owing to the lack of coordination with the security agency assigned to carry out the measure.</w:t>
      </w:r>
      <w:r w:rsidRPr="009D52FD">
        <w:rPr>
          <w:rFonts w:eastAsiaTheme="minorHAnsi" w:cstheme="minorBidi"/>
          <w:sz w:val="20"/>
          <w:szCs w:val="20"/>
          <w:vertAlign w:val="superscript"/>
          <w:lang w:val="en-US" w:eastAsia="en-US"/>
        </w:rPr>
        <w:footnoteReference w:id="344"/>
      </w:r>
      <w:r w:rsidRPr="009D52FD">
        <w:rPr>
          <w:rFonts w:eastAsiaTheme="minorHAnsi" w:cstheme="minorBidi"/>
          <w:sz w:val="20"/>
          <w:szCs w:val="20"/>
          <w:lang w:val="en-US" w:eastAsia="en-US"/>
        </w:rPr>
        <w:t xml:space="preserve"> </w:t>
      </w:r>
      <w:r w:rsidR="003E508A" w:rsidRPr="009D52FD">
        <w:rPr>
          <w:rFonts w:eastAsiaTheme="minorHAnsi" w:cstheme="minorBidi"/>
          <w:sz w:val="20"/>
          <w:szCs w:val="20"/>
          <w:lang w:val="en-US" w:eastAsia="en-US"/>
        </w:rPr>
        <w:t xml:space="preserve">Subsequently, in May </w:t>
      </w:r>
      <w:r w:rsidRPr="009D52FD">
        <w:rPr>
          <w:rFonts w:eastAsiaTheme="minorHAnsi" w:cstheme="minorBidi"/>
          <w:sz w:val="20"/>
          <w:szCs w:val="20"/>
          <w:lang w:val="en-US" w:eastAsia="en-US"/>
        </w:rPr>
        <w:t xml:space="preserve">2004, Linda </w:t>
      </w:r>
      <w:r w:rsidR="00AA1B63" w:rsidRPr="009D52FD">
        <w:rPr>
          <w:rFonts w:eastAsiaTheme="minorHAnsi" w:cstheme="minorBidi"/>
          <w:sz w:val="20"/>
          <w:szCs w:val="20"/>
          <w:lang w:val="en-US" w:eastAsia="en-US"/>
        </w:rPr>
        <w:t>Loaiza</w:t>
      </w:r>
      <w:r w:rsidR="003E508A" w:rsidRPr="009D52FD">
        <w:rPr>
          <w:rFonts w:eastAsiaTheme="minorHAnsi" w:cstheme="minorBidi"/>
          <w:sz w:val="20"/>
          <w:szCs w:val="20"/>
          <w:lang w:val="en-US" w:eastAsia="en-US"/>
        </w:rPr>
        <w:t xml:space="preserve">’s lawyer </w:t>
      </w:r>
      <w:r w:rsidR="003E508A" w:rsidRPr="009D52FD">
        <w:rPr>
          <w:rFonts w:eastAsiaTheme="minorHAnsi" w:cstheme="minorBidi"/>
          <w:sz w:val="20"/>
          <w:szCs w:val="20"/>
          <w:lang w:val="en-US" w:eastAsia="en-US"/>
        </w:rPr>
        <w:lastRenderedPageBreak/>
        <w:t xml:space="preserve">again requested measures of protection because those initially ordered </w:t>
      </w:r>
      <w:r w:rsidR="007B347F" w:rsidRPr="009D52FD">
        <w:rPr>
          <w:rFonts w:eastAsiaTheme="minorHAnsi" w:cstheme="minorBidi"/>
          <w:sz w:val="20"/>
          <w:szCs w:val="20"/>
          <w:lang w:val="en-US" w:eastAsia="en-US"/>
        </w:rPr>
        <w:t>h</w:t>
      </w:r>
      <w:r w:rsidR="003E508A" w:rsidRPr="009D52FD">
        <w:rPr>
          <w:rFonts w:eastAsiaTheme="minorHAnsi" w:cstheme="minorBidi"/>
          <w:sz w:val="20"/>
          <w:szCs w:val="20"/>
          <w:lang w:val="en-US" w:eastAsia="en-US"/>
        </w:rPr>
        <w:t>ad been suspended.</w:t>
      </w:r>
      <w:r w:rsidRPr="009D52FD">
        <w:rPr>
          <w:rFonts w:eastAsiaTheme="minorHAnsi" w:cstheme="minorBidi"/>
          <w:sz w:val="20"/>
          <w:szCs w:val="20"/>
          <w:vertAlign w:val="superscript"/>
          <w:lang w:val="en-US" w:eastAsia="en-US"/>
        </w:rPr>
        <w:footnoteReference w:id="345"/>
      </w:r>
      <w:r w:rsidR="003E508A" w:rsidRPr="009D52FD">
        <w:rPr>
          <w:rFonts w:eastAsiaTheme="minorHAnsi" w:cstheme="minorBidi"/>
          <w:sz w:val="20"/>
          <w:szCs w:val="20"/>
          <w:lang w:val="en-US" w:eastAsia="en-US"/>
        </w:rPr>
        <w:t xml:space="preserve"> This petition had to be repeated on several occasions</w:t>
      </w:r>
      <w:r w:rsidR="007B347F" w:rsidRPr="009D52FD">
        <w:rPr>
          <w:rFonts w:eastAsiaTheme="minorHAnsi" w:cstheme="minorBidi"/>
          <w:sz w:val="20"/>
          <w:szCs w:val="20"/>
          <w:lang w:val="en-US" w:eastAsia="en-US"/>
        </w:rPr>
        <w:t>,</w:t>
      </w:r>
      <w:r w:rsidRPr="009D52FD">
        <w:rPr>
          <w:rFonts w:eastAsiaTheme="minorHAnsi" w:cstheme="minorBidi"/>
          <w:sz w:val="20"/>
          <w:szCs w:val="20"/>
          <w:vertAlign w:val="superscript"/>
          <w:lang w:val="en-US" w:eastAsia="en-US"/>
        </w:rPr>
        <w:footnoteReference w:id="346"/>
      </w:r>
      <w:r w:rsidRPr="009D52FD">
        <w:rPr>
          <w:rFonts w:eastAsiaTheme="minorHAnsi" w:cstheme="minorBidi"/>
          <w:sz w:val="20"/>
          <w:szCs w:val="20"/>
          <w:lang w:val="en-US" w:eastAsia="en-US"/>
        </w:rPr>
        <w:t xml:space="preserve"> </w:t>
      </w:r>
      <w:r w:rsidR="003E508A" w:rsidRPr="009D52FD">
        <w:rPr>
          <w:rFonts w:eastAsiaTheme="minorHAnsi" w:cstheme="minorBidi"/>
          <w:sz w:val="20"/>
          <w:szCs w:val="20"/>
          <w:lang w:val="en-US" w:eastAsia="en-US"/>
        </w:rPr>
        <w:t xml:space="preserve">and although the judge ordered the continuation of the measures of protection their implementation was delayed because the office responsible for this task failed to obey the judicial order; also, other offices alleged a lack of available personnel and </w:t>
      </w:r>
      <w:r w:rsidR="007B347F" w:rsidRPr="009D52FD">
        <w:rPr>
          <w:rFonts w:eastAsiaTheme="minorHAnsi" w:cstheme="minorBidi"/>
          <w:sz w:val="20"/>
          <w:szCs w:val="20"/>
          <w:lang w:val="en-US" w:eastAsia="en-US"/>
        </w:rPr>
        <w:t>resources</w:t>
      </w:r>
      <w:r w:rsidR="003E508A" w:rsidRPr="009D52FD">
        <w:rPr>
          <w:rFonts w:eastAsiaTheme="minorHAnsi" w:cstheme="minorBidi"/>
          <w:sz w:val="20"/>
          <w:szCs w:val="20"/>
          <w:lang w:val="en-US" w:eastAsia="en-US"/>
        </w:rPr>
        <w:t>.</w:t>
      </w:r>
      <w:r w:rsidRPr="009D52FD">
        <w:rPr>
          <w:rFonts w:eastAsiaTheme="minorHAnsi" w:cstheme="minorBidi"/>
          <w:sz w:val="20"/>
          <w:szCs w:val="20"/>
          <w:vertAlign w:val="superscript"/>
          <w:lang w:val="en-US" w:eastAsia="en-US"/>
        </w:rPr>
        <w:footnoteReference w:id="347"/>
      </w:r>
      <w:r w:rsidR="003E508A" w:rsidRPr="009D52FD">
        <w:rPr>
          <w:rFonts w:eastAsiaTheme="minorHAnsi" w:cstheme="minorBidi"/>
          <w:sz w:val="20"/>
          <w:szCs w:val="20"/>
          <w:lang w:val="en-US" w:eastAsia="en-US"/>
        </w:rPr>
        <w:t xml:space="preserve"> Furthermore, while awaiting the implementation of these measures of protection, </w:t>
      </w:r>
      <w:r w:rsidRPr="009D52FD">
        <w:rPr>
          <w:rFonts w:eastAsiaTheme="minorHAnsi" w:cstheme="minorBidi"/>
          <w:sz w:val="20"/>
          <w:szCs w:val="20"/>
          <w:lang w:val="en-US" w:eastAsia="en-US"/>
        </w:rPr>
        <w:t xml:space="preserve">Linda Loaiza </w:t>
      </w:r>
      <w:r w:rsidR="003E508A" w:rsidRPr="009D52FD">
        <w:rPr>
          <w:rFonts w:eastAsiaTheme="minorHAnsi" w:cstheme="minorBidi"/>
          <w:sz w:val="20"/>
          <w:szCs w:val="20"/>
          <w:lang w:val="en-US" w:eastAsia="en-US"/>
        </w:rPr>
        <w:t xml:space="preserve">reported to the </w:t>
      </w:r>
      <w:r w:rsidR="003E508A" w:rsidRPr="009D52FD">
        <w:rPr>
          <w:sz w:val="20"/>
          <w:szCs w:val="20"/>
          <w:lang w:val="en-US"/>
        </w:rPr>
        <w:t>Scientific, Criminal and Criminalistic Investigations Unit that, after one of the days of the ora</w:t>
      </w:r>
      <w:r w:rsidR="007B347F" w:rsidRPr="009D52FD">
        <w:rPr>
          <w:sz w:val="20"/>
          <w:szCs w:val="20"/>
          <w:lang w:val="en-US"/>
        </w:rPr>
        <w:t>l</w:t>
      </w:r>
      <w:r w:rsidR="003E508A" w:rsidRPr="009D52FD">
        <w:rPr>
          <w:sz w:val="20"/>
          <w:szCs w:val="20"/>
          <w:lang w:val="en-US"/>
        </w:rPr>
        <w:t xml:space="preserve"> public hearing, unknown men on a motorcycle injured her father and another two people who were with him.</w:t>
      </w:r>
      <w:r w:rsidRPr="009D52FD">
        <w:rPr>
          <w:rFonts w:eastAsiaTheme="minorHAnsi" w:cstheme="minorBidi"/>
          <w:sz w:val="20"/>
          <w:szCs w:val="20"/>
          <w:vertAlign w:val="superscript"/>
          <w:lang w:val="en-US" w:eastAsia="en-US"/>
        </w:rPr>
        <w:footnoteReference w:id="348"/>
      </w:r>
    </w:p>
    <w:p w14:paraId="494D249E" w14:textId="77777777" w:rsidR="00B825BF" w:rsidRPr="009D52FD" w:rsidRDefault="00B825BF" w:rsidP="00B825BF">
      <w:pPr>
        <w:tabs>
          <w:tab w:val="left" w:pos="567"/>
        </w:tabs>
        <w:spacing w:line="240" w:lineRule="auto"/>
        <w:rPr>
          <w:rFonts w:eastAsiaTheme="minorHAnsi" w:cstheme="minorBidi"/>
          <w:sz w:val="20"/>
          <w:szCs w:val="20"/>
          <w:lang w:val="en-US" w:eastAsia="en-US"/>
        </w:rPr>
      </w:pPr>
    </w:p>
    <w:p w14:paraId="2F82A521" w14:textId="22060121" w:rsidR="0074622A" w:rsidRPr="009D52FD" w:rsidRDefault="003E508A" w:rsidP="003E508A">
      <w:pPr>
        <w:numPr>
          <w:ilvl w:val="0"/>
          <w:numId w:val="1"/>
        </w:numPr>
        <w:tabs>
          <w:tab w:val="left" w:pos="567"/>
          <w:tab w:val="num" w:pos="12305"/>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The</w:t>
      </w:r>
      <w:r w:rsidR="003630BB" w:rsidRPr="009D52FD">
        <w:rPr>
          <w:rFonts w:eastAsiaTheme="minorHAnsi" w:cstheme="minorBidi"/>
          <w:sz w:val="20"/>
          <w:szCs w:val="20"/>
          <w:lang w:val="en-US" w:eastAsia="en-US"/>
        </w:rPr>
        <w:t xml:space="preserve"> Court</w:t>
      </w:r>
      <w:r w:rsidR="0074622A" w:rsidRPr="009D52FD">
        <w:rPr>
          <w:rFonts w:eastAsiaTheme="minorHAnsi" w:cstheme="minorBidi"/>
          <w:sz w:val="20"/>
          <w:szCs w:val="20"/>
          <w:lang w:val="en-US" w:eastAsia="en-US"/>
        </w:rPr>
        <w:t xml:space="preserve"> a</w:t>
      </w:r>
      <w:r w:rsidRPr="009D52FD">
        <w:rPr>
          <w:rFonts w:eastAsiaTheme="minorHAnsi" w:cstheme="minorBidi"/>
          <w:sz w:val="20"/>
          <w:szCs w:val="20"/>
          <w:lang w:val="en-US" w:eastAsia="en-US"/>
        </w:rPr>
        <w:t xml:space="preserve">lso notes that, during the processing of the domestic proceedings, </w:t>
      </w:r>
      <w:r w:rsidR="007B347F" w:rsidRPr="009D52FD">
        <w:rPr>
          <w:rFonts w:eastAsiaTheme="minorHAnsi" w:cstheme="minorBidi"/>
          <w:sz w:val="20"/>
          <w:szCs w:val="20"/>
          <w:lang w:val="en-US" w:eastAsia="en-US"/>
        </w:rPr>
        <w:t xml:space="preserve">and </w:t>
      </w:r>
      <w:r w:rsidRPr="009D52FD">
        <w:rPr>
          <w:rFonts w:eastAsiaTheme="minorHAnsi" w:cstheme="minorBidi"/>
          <w:sz w:val="20"/>
          <w:szCs w:val="20"/>
          <w:lang w:val="en-US" w:eastAsia="en-US"/>
        </w:rPr>
        <w:t xml:space="preserve">after the first judgment </w:t>
      </w:r>
      <w:r w:rsidR="004717EB" w:rsidRPr="009D52FD">
        <w:rPr>
          <w:rFonts w:eastAsiaTheme="minorHAnsi" w:cstheme="minorBidi"/>
          <w:sz w:val="20"/>
          <w:szCs w:val="20"/>
          <w:lang w:val="en-US" w:eastAsia="en-US"/>
        </w:rPr>
        <w:t xml:space="preserve">acquitting the aggressor </w:t>
      </w:r>
      <w:r w:rsidRPr="009D52FD">
        <w:rPr>
          <w:rFonts w:eastAsiaTheme="minorHAnsi" w:cstheme="minorBidi"/>
          <w:sz w:val="20"/>
          <w:szCs w:val="20"/>
          <w:lang w:val="en-US" w:eastAsia="en-US"/>
        </w:rPr>
        <w:t xml:space="preserve">had been delivered, </w:t>
      </w:r>
      <w:r w:rsidR="004717EB" w:rsidRPr="009D52FD">
        <w:rPr>
          <w:rFonts w:eastAsiaTheme="minorHAnsi" w:cstheme="minorBidi"/>
          <w:sz w:val="20"/>
          <w:szCs w:val="20"/>
          <w:lang w:val="en-US" w:eastAsia="en-US"/>
        </w:rPr>
        <w:t>Linda Loaiza’s lawyer received e-mails with threatening and offensive messages and had to request measures of protection, and these were also inadequate</w:t>
      </w:r>
      <w:r w:rsidR="00382EE2" w:rsidRPr="009D52FD">
        <w:rPr>
          <w:rFonts w:eastAsiaTheme="minorHAnsi" w:cstheme="minorBidi"/>
          <w:sz w:val="20"/>
          <w:szCs w:val="20"/>
          <w:lang w:val="en-US" w:eastAsia="en-US"/>
        </w:rPr>
        <w:t xml:space="preserve"> </w:t>
      </w:r>
      <w:r w:rsidR="0074622A" w:rsidRPr="009D52FD">
        <w:rPr>
          <w:rFonts w:eastAsiaTheme="minorHAnsi" w:cstheme="minorBidi"/>
          <w:sz w:val="20"/>
          <w:szCs w:val="20"/>
          <w:lang w:val="en-US" w:eastAsia="en-US"/>
        </w:rPr>
        <w:t>(</w:t>
      </w:r>
      <w:r w:rsidR="0074622A" w:rsidRPr="009D52FD">
        <w:rPr>
          <w:rFonts w:eastAsiaTheme="minorHAnsi" w:cstheme="minorBidi"/>
          <w:i/>
          <w:sz w:val="20"/>
          <w:szCs w:val="20"/>
          <w:lang w:val="en-US" w:eastAsia="en-US"/>
        </w:rPr>
        <w:t>supra</w:t>
      </w:r>
      <w:r w:rsidR="0074622A" w:rsidRPr="009D52FD">
        <w:rPr>
          <w:rFonts w:eastAsiaTheme="minorHAnsi" w:cstheme="minorBidi"/>
          <w:sz w:val="20"/>
          <w:szCs w:val="20"/>
          <w:lang w:val="en-US" w:eastAsia="en-US"/>
        </w:rPr>
        <w:t xml:space="preserve"> </w:t>
      </w:r>
      <w:r w:rsidR="009459E7" w:rsidRPr="009D52FD">
        <w:rPr>
          <w:rFonts w:eastAsiaTheme="minorHAnsi" w:cstheme="minorBidi"/>
          <w:sz w:val="20"/>
          <w:szCs w:val="20"/>
          <w:lang w:val="en-US" w:eastAsia="en-US"/>
        </w:rPr>
        <w:t>para.</w:t>
      </w:r>
      <w:r w:rsidR="00382EE2" w:rsidRPr="009D52FD">
        <w:rPr>
          <w:rFonts w:eastAsiaTheme="minorHAnsi" w:cstheme="minorBidi"/>
          <w:sz w:val="20"/>
          <w:szCs w:val="20"/>
          <w:lang w:val="en-US" w:eastAsia="en-US"/>
        </w:rPr>
        <w:t xml:space="preserve"> </w:t>
      </w:r>
      <w:r w:rsidR="009F73C5" w:rsidRPr="009D52FD">
        <w:rPr>
          <w:rFonts w:eastAsiaTheme="minorHAnsi" w:cstheme="minorBidi"/>
          <w:sz w:val="20"/>
          <w:szCs w:val="20"/>
          <w:lang w:val="en-US" w:eastAsia="en-US"/>
        </w:rPr>
        <w:t>106).</w:t>
      </w:r>
    </w:p>
    <w:p w14:paraId="4205B3C3" w14:textId="77777777" w:rsidR="00382EE2" w:rsidRPr="009D52FD" w:rsidRDefault="00382EE2" w:rsidP="00382EE2">
      <w:pPr>
        <w:tabs>
          <w:tab w:val="left" w:pos="567"/>
        </w:tabs>
        <w:spacing w:line="240" w:lineRule="auto"/>
        <w:rPr>
          <w:rFonts w:eastAsiaTheme="minorHAnsi" w:cstheme="minorBidi"/>
          <w:sz w:val="20"/>
          <w:szCs w:val="20"/>
          <w:lang w:val="en-US" w:eastAsia="en-US"/>
        </w:rPr>
      </w:pPr>
    </w:p>
    <w:p w14:paraId="6FCE1255" w14:textId="6969D080" w:rsidR="0074622A" w:rsidRPr="009D52FD" w:rsidRDefault="004717EB" w:rsidP="004717EB">
      <w:pPr>
        <w:numPr>
          <w:ilvl w:val="0"/>
          <w:numId w:val="1"/>
        </w:numPr>
        <w:tabs>
          <w:tab w:val="left" w:pos="567"/>
          <w:tab w:val="num" w:pos="12305"/>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The</w:t>
      </w:r>
      <w:r w:rsidR="003630BB" w:rsidRPr="009D52FD">
        <w:rPr>
          <w:rFonts w:eastAsiaTheme="minorHAnsi" w:cstheme="minorBidi"/>
          <w:sz w:val="20"/>
          <w:szCs w:val="20"/>
          <w:lang w:val="en-US" w:eastAsia="en-US"/>
        </w:rPr>
        <w:t xml:space="preserve"> Court</w:t>
      </w:r>
      <w:r w:rsidR="0074622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 xml:space="preserve">has no information on the processing of three </w:t>
      </w:r>
      <w:r w:rsidR="007B347F" w:rsidRPr="009D52FD">
        <w:rPr>
          <w:rFonts w:eastAsiaTheme="minorHAnsi" w:cstheme="minorBidi"/>
          <w:sz w:val="20"/>
          <w:szCs w:val="20"/>
          <w:lang w:val="en-US" w:eastAsia="en-US"/>
        </w:rPr>
        <w:t>reports</w:t>
      </w:r>
      <w:r w:rsidRPr="009D52FD">
        <w:rPr>
          <w:rFonts w:eastAsiaTheme="minorHAnsi" w:cstheme="minorBidi"/>
          <w:sz w:val="20"/>
          <w:szCs w:val="20"/>
          <w:lang w:val="en-US" w:eastAsia="en-US"/>
        </w:rPr>
        <w:t xml:space="preserve"> filed by Linda Loaiza </w:t>
      </w:r>
      <w:r w:rsidR="007B347F" w:rsidRPr="009D52FD">
        <w:rPr>
          <w:rFonts w:eastAsiaTheme="minorHAnsi" w:cstheme="minorBidi"/>
          <w:sz w:val="20"/>
          <w:szCs w:val="20"/>
          <w:lang w:val="en-US" w:eastAsia="en-US"/>
        </w:rPr>
        <w:t>on</w:t>
      </w:r>
      <w:r w:rsidRPr="009D52FD">
        <w:rPr>
          <w:rFonts w:eastAsiaTheme="minorHAnsi" w:cstheme="minorBidi"/>
          <w:sz w:val="20"/>
          <w:szCs w:val="20"/>
          <w:lang w:val="en-US" w:eastAsia="en-US"/>
        </w:rPr>
        <w:t xml:space="preserve"> acts of intimidation and injuries against her and her family or whether, following th</w:t>
      </w:r>
      <w:r w:rsidR="007B347F" w:rsidRPr="009D52FD">
        <w:rPr>
          <w:rFonts w:eastAsiaTheme="minorHAnsi" w:cstheme="minorBidi"/>
          <w:sz w:val="20"/>
          <w:szCs w:val="20"/>
          <w:lang w:val="en-US" w:eastAsia="en-US"/>
        </w:rPr>
        <w:t>o</w:t>
      </w:r>
      <w:r w:rsidRPr="009D52FD">
        <w:rPr>
          <w:rFonts w:eastAsiaTheme="minorHAnsi" w:cstheme="minorBidi"/>
          <w:sz w:val="20"/>
          <w:szCs w:val="20"/>
          <w:lang w:val="en-US" w:eastAsia="en-US"/>
        </w:rPr>
        <w:t xml:space="preserve">se incidents, the authorities took any additional measure of protection. In addition, it does not know whether the  corresponding court ordered any type of measure after a witness reported that he had been threatened after testifying in the first </w:t>
      </w:r>
      <w:r w:rsidR="00F848CC" w:rsidRPr="009D52FD">
        <w:rPr>
          <w:rFonts w:eastAsiaTheme="minorHAnsi" w:cstheme="minorBidi"/>
          <w:sz w:val="20"/>
          <w:szCs w:val="20"/>
          <w:lang w:val="en-US" w:eastAsia="en-US"/>
        </w:rPr>
        <w:t>public oral hearing</w:t>
      </w:r>
      <w:r w:rsidR="0074622A"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against the aggressor.</w:t>
      </w:r>
      <w:r w:rsidR="0074622A" w:rsidRPr="009D52FD">
        <w:rPr>
          <w:rFonts w:eastAsiaTheme="minorHAnsi" w:cstheme="minorBidi"/>
          <w:sz w:val="20"/>
          <w:szCs w:val="20"/>
          <w:vertAlign w:val="superscript"/>
          <w:lang w:val="en-US" w:eastAsia="en-US"/>
        </w:rPr>
        <w:footnoteReference w:id="349"/>
      </w:r>
    </w:p>
    <w:p w14:paraId="4FA2468E" w14:textId="77777777" w:rsidR="007D7935" w:rsidRPr="009D52FD" w:rsidRDefault="007D7935" w:rsidP="007D7935">
      <w:pPr>
        <w:widowControl/>
        <w:tabs>
          <w:tab w:val="left" w:pos="567"/>
        </w:tabs>
        <w:adjustRightInd/>
        <w:spacing w:line="240" w:lineRule="auto"/>
        <w:textAlignment w:val="auto"/>
        <w:rPr>
          <w:spacing w:val="-2"/>
          <w:sz w:val="20"/>
          <w:szCs w:val="20"/>
          <w:lang w:val="en-US"/>
        </w:rPr>
      </w:pPr>
    </w:p>
    <w:p w14:paraId="1F79A335" w14:textId="18760260" w:rsidR="00365A6E" w:rsidRPr="009D52FD" w:rsidRDefault="00F12CF2" w:rsidP="00365A6E">
      <w:pPr>
        <w:numPr>
          <w:ilvl w:val="0"/>
          <w:numId w:val="1"/>
        </w:numPr>
        <w:tabs>
          <w:tab w:val="left" w:pos="567"/>
          <w:tab w:val="num" w:pos="12305"/>
        </w:tabs>
        <w:spacing w:line="240" w:lineRule="auto"/>
        <w:ind w:left="0" w:firstLine="0"/>
        <w:rPr>
          <w:spacing w:val="-2"/>
          <w:sz w:val="20"/>
          <w:szCs w:val="20"/>
          <w:lang w:val="en-US"/>
        </w:rPr>
      </w:pPr>
      <w:r w:rsidRPr="009D52FD">
        <w:rPr>
          <w:spacing w:val="-2"/>
          <w:sz w:val="20"/>
          <w:szCs w:val="20"/>
          <w:lang w:val="en-US"/>
        </w:rPr>
        <w:t>In summary</w:t>
      </w:r>
      <w:r w:rsidR="00365A6E" w:rsidRPr="009D52FD">
        <w:rPr>
          <w:spacing w:val="-2"/>
          <w:sz w:val="20"/>
          <w:szCs w:val="20"/>
          <w:lang w:val="en-US"/>
        </w:rPr>
        <w:t xml:space="preserve">, </w:t>
      </w:r>
      <w:r w:rsidR="003630BB" w:rsidRPr="009D52FD">
        <w:rPr>
          <w:spacing w:val="-2"/>
          <w:sz w:val="20"/>
          <w:szCs w:val="20"/>
          <w:lang w:val="en-US"/>
        </w:rPr>
        <w:t>the Court</w:t>
      </w:r>
      <w:r w:rsidR="00365A6E" w:rsidRPr="009D52FD">
        <w:rPr>
          <w:spacing w:val="-2"/>
          <w:sz w:val="20"/>
          <w:szCs w:val="20"/>
          <w:lang w:val="en-US"/>
        </w:rPr>
        <w:t xml:space="preserve"> conclu</w:t>
      </w:r>
      <w:r w:rsidRPr="009D52FD">
        <w:rPr>
          <w:spacing w:val="-2"/>
          <w:sz w:val="20"/>
          <w:szCs w:val="20"/>
          <w:lang w:val="en-US"/>
        </w:rPr>
        <w:t>des that, although measures of  protection were adopted for</w:t>
      </w:r>
      <w:r w:rsidR="00365A6E" w:rsidRPr="009D52FD">
        <w:rPr>
          <w:spacing w:val="-2"/>
          <w:sz w:val="20"/>
          <w:szCs w:val="20"/>
          <w:lang w:val="en-US"/>
        </w:rPr>
        <w:t xml:space="preserve"> </w:t>
      </w:r>
      <w:r w:rsidR="00365A6E" w:rsidRPr="009D52FD">
        <w:rPr>
          <w:spacing w:val="-2"/>
          <w:sz w:val="20"/>
          <w:szCs w:val="20"/>
          <w:lang w:val="en-US"/>
        </w:rPr>
        <w:lastRenderedPageBreak/>
        <w:t xml:space="preserve">Linda Loaiza, </w:t>
      </w:r>
      <w:r w:rsidRPr="009D52FD">
        <w:rPr>
          <w:spacing w:val="-2"/>
          <w:sz w:val="20"/>
          <w:szCs w:val="20"/>
          <w:lang w:val="en-US"/>
        </w:rPr>
        <w:t>some members of</w:t>
      </w:r>
      <w:r w:rsidR="00365A6E" w:rsidRPr="009D52FD">
        <w:rPr>
          <w:spacing w:val="-2"/>
          <w:sz w:val="20"/>
          <w:szCs w:val="20"/>
          <w:lang w:val="en-US"/>
        </w:rPr>
        <w:t xml:space="preserve"> </w:t>
      </w:r>
      <w:r w:rsidR="008A6A82" w:rsidRPr="009D52FD">
        <w:rPr>
          <w:spacing w:val="-2"/>
          <w:sz w:val="20"/>
          <w:szCs w:val="20"/>
          <w:lang w:val="en-US"/>
        </w:rPr>
        <w:t>her family and her lawyer</w:t>
      </w:r>
      <w:r w:rsidR="00365A6E" w:rsidRPr="009D52FD">
        <w:rPr>
          <w:spacing w:val="-2"/>
          <w:sz w:val="20"/>
          <w:szCs w:val="20"/>
          <w:lang w:val="en-US"/>
        </w:rPr>
        <w:t xml:space="preserve"> </w:t>
      </w:r>
      <w:r w:rsidRPr="009D52FD">
        <w:rPr>
          <w:spacing w:val="-2"/>
          <w:sz w:val="20"/>
          <w:szCs w:val="20"/>
          <w:lang w:val="en-US"/>
        </w:rPr>
        <w:t xml:space="preserve">in the domestic sphere, they were not implemented either immediately or constantly, and they were therefore ineffective to </w:t>
      </w:r>
      <w:r w:rsidR="00CA2E6E" w:rsidRPr="009D52FD">
        <w:rPr>
          <w:spacing w:val="-2"/>
          <w:sz w:val="20"/>
          <w:szCs w:val="20"/>
          <w:lang w:val="en-US"/>
        </w:rPr>
        <w:t>prevent situations of intimidation and harassment during the proceedings.</w:t>
      </w:r>
    </w:p>
    <w:p w14:paraId="1876F821" w14:textId="77777777" w:rsidR="00365A6E" w:rsidRPr="009D52FD" w:rsidRDefault="00365A6E" w:rsidP="007D7935">
      <w:pPr>
        <w:widowControl/>
        <w:tabs>
          <w:tab w:val="left" w:pos="567"/>
        </w:tabs>
        <w:adjustRightInd/>
        <w:spacing w:line="240" w:lineRule="auto"/>
        <w:textAlignment w:val="auto"/>
        <w:rPr>
          <w:spacing w:val="-2"/>
          <w:sz w:val="20"/>
          <w:szCs w:val="20"/>
          <w:lang w:val="en-US"/>
        </w:rPr>
      </w:pPr>
    </w:p>
    <w:p w14:paraId="2719D598" w14:textId="008F0D8C" w:rsidR="00A94818" w:rsidRPr="009D52FD" w:rsidRDefault="00332EA2" w:rsidP="00153ECC">
      <w:pPr>
        <w:keepNext/>
        <w:keepLines/>
        <w:widowControl/>
        <w:tabs>
          <w:tab w:val="left" w:pos="1418"/>
        </w:tabs>
        <w:autoSpaceDE w:val="0"/>
        <w:autoSpaceDN w:val="0"/>
        <w:spacing w:line="240" w:lineRule="auto"/>
        <w:ind w:left="708" w:firstLine="1"/>
        <w:textAlignment w:val="auto"/>
        <w:outlineLvl w:val="1"/>
        <w:rPr>
          <w:rFonts w:eastAsia="MS Mincho" w:cs="Arial"/>
          <w:bCs/>
          <w:i/>
          <w:sz w:val="20"/>
          <w:szCs w:val="20"/>
          <w:lang w:val="en-US" w:eastAsia="en-US"/>
        </w:rPr>
      </w:pPr>
      <w:bookmarkStart w:id="97" w:name="_Toc51400106"/>
      <w:r w:rsidRPr="009D52FD">
        <w:rPr>
          <w:rFonts w:eastAsia="MS Mincho" w:cs="Arial"/>
          <w:bCs/>
          <w:i/>
          <w:sz w:val="20"/>
          <w:szCs w:val="20"/>
          <w:lang w:val="en-US" w:eastAsia="en-US"/>
        </w:rPr>
        <w:t xml:space="preserve">B.6 </w:t>
      </w:r>
      <w:r w:rsidRPr="009D52FD">
        <w:rPr>
          <w:rFonts w:eastAsia="MS Mincho" w:cs="Arial"/>
          <w:bCs/>
          <w:i/>
          <w:sz w:val="20"/>
          <w:szCs w:val="20"/>
          <w:lang w:val="en-US" w:eastAsia="en-US"/>
        </w:rPr>
        <w:tab/>
      </w:r>
      <w:r w:rsidR="00CA2E6E" w:rsidRPr="009D52FD">
        <w:rPr>
          <w:rFonts w:eastAsia="MS Mincho" w:cs="Arial"/>
          <w:bCs/>
          <w:i/>
          <w:sz w:val="20"/>
          <w:szCs w:val="20"/>
          <w:lang w:val="en-US" w:eastAsia="en-US"/>
        </w:rPr>
        <w:t>Inadequate legal definition of the crime of torture</w:t>
      </w:r>
      <w:bookmarkEnd w:id="97"/>
    </w:p>
    <w:p w14:paraId="2523E643" w14:textId="77777777" w:rsidR="00A94818" w:rsidRPr="009D52FD" w:rsidRDefault="00A94818" w:rsidP="00A94818">
      <w:pPr>
        <w:widowControl/>
        <w:tabs>
          <w:tab w:val="left" w:pos="567"/>
        </w:tabs>
        <w:adjustRightInd/>
        <w:spacing w:line="240" w:lineRule="auto"/>
        <w:textAlignment w:val="auto"/>
        <w:rPr>
          <w:rFonts w:eastAsiaTheme="minorHAnsi" w:cstheme="minorBidi"/>
          <w:sz w:val="20"/>
          <w:szCs w:val="20"/>
          <w:lang w:val="en-US" w:eastAsia="en-US"/>
        </w:rPr>
      </w:pPr>
    </w:p>
    <w:p w14:paraId="6D455B19" w14:textId="0DF5C322" w:rsidR="00332EA2" w:rsidRPr="009D52FD" w:rsidRDefault="00CA2E6E" w:rsidP="0039645E">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Batang"/>
          <w:spacing w:val="-2"/>
          <w:sz w:val="20"/>
          <w:szCs w:val="20"/>
          <w:lang w:val="en-US"/>
        </w:rPr>
        <w:t xml:space="preserve">In view of the fact that some acts </w:t>
      </w:r>
      <w:r w:rsidR="005935CA" w:rsidRPr="009D52FD">
        <w:rPr>
          <w:rFonts w:eastAsia="Batang"/>
          <w:spacing w:val="-2"/>
          <w:sz w:val="20"/>
          <w:szCs w:val="20"/>
          <w:lang w:val="en-US"/>
        </w:rPr>
        <w:t>violence against women</w:t>
      </w:r>
      <w:r w:rsidR="00A94818" w:rsidRPr="009D52FD">
        <w:rPr>
          <w:rFonts w:eastAsia="Batang"/>
          <w:spacing w:val="-2"/>
          <w:sz w:val="20"/>
          <w:szCs w:val="20"/>
          <w:lang w:val="en-US"/>
        </w:rPr>
        <w:t xml:space="preserve"> </w:t>
      </w:r>
      <w:r w:rsidR="0039645E" w:rsidRPr="009D52FD">
        <w:rPr>
          <w:rFonts w:eastAsia="Batang"/>
          <w:spacing w:val="-2"/>
          <w:sz w:val="20"/>
          <w:szCs w:val="20"/>
          <w:lang w:val="en-US"/>
        </w:rPr>
        <w:t xml:space="preserve">may constitute acts of torture or other </w:t>
      </w:r>
      <w:r w:rsidR="007C1840" w:rsidRPr="009D52FD">
        <w:rPr>
          <w:rFonts w:eastAsia="Batang"/>
          <w:spacing w:val="-2"/>
          <w:sz w:val="20"/>
          <w:szCs w:val="20"/>
          <w:lang w:val="en-US"/>
        </w:rPr>
        <w:t>cruel, inhuman or degrading treatment</w:t>
      </w:r>
      <w:r w:rsidR="00A94818" w:rsidRPr="009D52FD">
        <w:rPr>
          <w:rFonts w:eastAsia="Batang"/>
          <w:spacing w:val="-2"/>
          <w:sz w:val="20"/>
          <w:szCs w:val="20"/>
          <w:lang w:val="en-US"/>
        </w:rPr>
        <w:t xml:space="preserve">, </w:t>
      </w:r>
      <w:r w:rsidR="003630BB" w:rsidRPr="009D52FD">
        <w:rPr>
          <w:rFonts w:eastAsia="Batang"/>
          <w:spacing w:val="-2"/>
          <w:sz w:val="20"/>
          <w:szCs w:val="20"/>
          <w:lang w:val="en-US"/>
        </w:rPr>
        <w:t>the Court</w:t>
      </w:r>
      <w:r w:rsidR="00A94818" w:rsidRPr="009D52FD">
        <w:rPr>
          <w:rFonts w:eastAsia="Batang"/>
          <w:spacing w:val="-2"/>
          <w:sz w:val="20"/>
          <w:szCs w:val="20"/>
          <w:lang w:val="en-US"/>
        </w:rPr>
        <w:t xml:space="preserve"> re</w:t>
      </w:r>
      <w:r w:rsidR="0039645E" w:rsidRPr="009D52FD">
        <w:rPr>
          <w:rFonts w:eastAsia="Batang"/>
          <w:spacing w:val="-2"/>
          <w:sz w:val="20"/>
          <w:szCs w:val="20"/>
          <w:lang w:val="en-US"/>
        </w:rPr>
        <w:t>affirms the</w:t>
      </w:r>
      <w:r w:rsidR="0022333D" w:rsidRPr="009D52FD">
        <w:rPr>
          <w:rFonts w:eastAsia="Batang"/>
          <w:spacing w:val="-2"/>
          <w:sz w:val="20"/>
          <w:szCs w:val="20"/>
          <w:lang w:val="en-US"/>
        </w:rPr>
        <w:t xml:space="preserve"> State’s</w:t>
      </w:r>
      <w:r w:rsidR="0039645E" w:rsidRPr="009D52FD">
        <w:rPr>
          <w:rFonts w:eastAsia="Batang"/>
          <w:spacing w:val="-2"/>
          <w:sz w:val="20"/>
          <w:szCs w:val="20"/>
          <w:lang w:val="en-US"/>
        </w:rPr>
        <w:t xml:space="preserve"> obligation to investigate such acts. </w:t>
      </w:r>
      <w:r w:rsidR="007A24B8" w:rsidRPr="009D52FD">
        <w:rPr>
          <w:rFonts w:eastAsiaTheme="minorHAnsi" w:cstheme="minorBidi"/>
          <w:sz w:val="20"/>
          <w:szCs w:val="20"/>
          <w:lang w:val="en-US" w:eastAsia="en-US"/>
        </w:rPr>
        <w:t>Article</w:t>
      </w:r>
      <w:r w:rsidR="00332EA2" w:rsidRPr="009D52FD">
        <w:rPr>
          <w:rFonts w:eastAsiaTheme="minorHAnsi" w:cstheme="minorBidi"/>
          <w:sz w:val="20"/>
          <w:szCs w:val="20"/>
          <w:lang w:val="en-US" w:eastAsia="en-US"/>
        </w:rPr>
        <w:t xml:space="preserve"> 6 </w:t>
      </w:r>
      <w:r w:rsidR="00D32B3E" w:rsidRPr="009D52FD">
        <w:rPr>
          <w:rFonts w:eastAsiaTheme="minorHAnsi" w:cstheme="minorBidi"/>
          <w:sz w:val="20"/>
          <w:szCs w:val="20"/>
          <w:lang w:val="en-US" w:eastAsia="en-US"/>
        </w:rPr>
        <w:t>of the ICPPT</w:t>
      </w:r>
      <w:r w:rsidR="00332EA2" w:rsidRPr="009D52FD">
        <w:rPr>
          <w:rFonts w:eastAsiaTheme="minorHAnsi" w:cstheme="minorBidi"/>
          <w:sz w:val="20"/>
          <w:szCs w:val="20"/>
          <w:lang w:val="en-US" w:eastAsia="en-US"/>
        </w:rPr>
        <w:t xml:space="preserve"> </w:t>
      </w:r>
      <w:r w:rsidR="0039645E" w:rsidRPr="009D52FD">
        <w:rPr>
          <w:rFonts w:eastAsiaTheme="minorHAnsi" w:cstheme="minorBidi"/>
          <w:sz w:val="20"/>
          <w:szCs w:val="20"/>
          <w:lang w:val="en-US" w:eastAsia="en-US"/>
        </w:rPr>
        <w:t>establishes the obligation of the States Parties to “</w:t>
      </w:r>
      <w:r w:rsidR="0039645E" w:rsidRPr="009D52FD">
        <w:rPr>
          <w:rFonts w:cs="Tahoma"/>
          <w:sz w:val="20"/>
          <w:szCs w:val="20"/>
          <w:lang w:val="en-US"/>
        </w:rPr>
        <w:t xml:space="preserve">take effective measures to prevent and punish” such conducts “within their jurisdiction.” This reflects the absolute prohibition of </w:t>
      </w:r>
      <w:r w:rsidR="00332EA2" w:rsidRPr="009D52FD">
        <w:rPr>
          <w:rFonts w:eastAsiaTheme="minorHAnsi" w:cstheme="minorBidi"/>
          <w:sz w:val="20"/>
          <w:szCs w:val="20"/>
          <w:lang w:val="en-US" w:eastAsia="en-US"/>
        </w:rPr>
        <w:t>tortur</w:t>
      </w:r>
      <w:r w:rsidR="0039645E" w:rsidRPr="009D52FD">
        <w:rPr>
          <w:rFonts w:eastAsiaTheme="minorHAnsi" w:cstheme="minorBidi"/>
          <w:sz w:val="20"/>
          <w:szCs w:val="20"/>
          <w:lang w:val="en-US" w:eastAsia="en-US"/>
        </w:rPr>
        <w:t>e</w:t>
      </w:r>
      <w:r w:rsidR="003630BB" w:rsidRPr="009D52FD">
        <w:rPr>
          <w:rFonts w:eastAsiaTheme="minorHAnsi" w:cstheme="minorBidi"/>
          <w:sz w:val="20"/>
          <w:szCs w:val="20"/>
          <w:lang w:val="en-US" w:eastAsia="en-US"/>
        </w:rPr>
        <w:t xml:space="preserve"> and</w:t>
      </w:r>
      <w:r w:rsidR="00332EA2" w:rsidRPr="009D52FD">
        <w:rPr>
          <w:rFonts w:eastAsiaTheme="minorHAnsi" w:cstheme="minorBidi"/>
          <w:sz w:val="20"/>
          <w:szCs w:val="20"/>
          <w:lang w:val="en-US" w:eastAsia="en-US"/>
        </w:rPr>
        <w:t xml:space="preserve"> </w:t>
      </w:r>
      <w:r w:rsidR="007C1840" w:rsidRPr="009D52FD">
        <w:rPr>
          <w:rFonts w:eastAsiaTheme="minorHAnsi" w:cstheme="minorBidi"/>
          <w:sz w:val="20"/>
          <w:szCs w:val="20"/>
          <w:lang w:val="en-US" w:eastAsia="en-US"/>
        </w:rPr>
        <w:t>cruel, inhuman or degrading treatment</w:t>
      </w:r>
      <w:r w:rsidR="0039645E" w:rsidRPr="009D52FD">
        <w:rPr>
          <w:rFonts w:eastAsiaTheme="minorHAnsi" w:cstheme="minorBidi"/>
          <w:sz w:val="20"/>
          <w:szCs w:val="20"/>
          <w:lang w:val="en-US" w:eastAsia="en-US"/>
        </w:rPr>
        <w:t xml:space="preserve"> in international law. The second </w:t>
      </w:r>
      <w:r w:rsidR="009459E7" w:rsidRPr="009D52FD">
        <w:rPr>
          <w:rFonts w:eastAsiaTheme="minorHAnsi" w:cstheme="minorBidi"/>
          <w:sz w:val="20"/>
          <w:szCs w:val="20"/>
          <w:lang w:val="en-US" w:eastAsia="en-US"/>
        </w:rPr>
        <w:t>paragraph</w:t>
      </w:r>
      <w:r w:rsidR="00332EA2" w:rsidRPr="009D52FD">
        <w:rPr>
          <w:rFonts w:eastAsiaTheme="minorHAnsi" w:cstheme="minorBidi"/>
          <w:sz w:val="20"/>
          <w:szCs w:val="20"/>
          <w:lang w:val="en-US" w:eastAsia="en-US"/>
        </w:rPr>
        <w:t xml:space="preserve"> </w:t>
      </w:r>
      <w:r w:rsidR="00D32B3E" w:rsidRPr="009D52FD">
        <w:rPr>
          <w:rFonts w:eastAsiaTheme="minorHAnsi" w:cstheme="minorBidi"/>
          <w:sz w:val="20"/>
          <w:szCs w:val="20"/>
          <w:lang w:val="en-US" w:eastAsia="en-US"/>
        </w:rPr>
        <w:t>of Article</w:t>
      </w:r>
      <w:r w:rsidR="003630BB" w:rsidRPr="009D52FD">
        <w:rPr>
          <w:rFonts w:eastAsiaTheme="minorHAnsi" w:cstheme="minorBidi"/>
          <w:sz w:val="20"/>
          <w:szCs w:val="20"/>
          <w:lang w:val="en-US" w:eastAsia="en-US"/>
        </w:rPr>
        <w:t>s</w:t>
      </w:r>
      <w:r w:rsidR="00332EA2" w:rsidRPr="009D52FD">
        <w:rPr>
          <w:rFonts w:eastAsiaTheme="minorHAnsi" w:cstheme="minorBidi"/>
          <w:sz w:val="20"/>
          <w:szCs w:val="20"/>
          <w:lang w:val="en-US" w:eastAsia="en-US"/>
        </w:rPr>
        <w:t xml:space="preserve"> 6 </w:t>
      </w:r>
      <w:r w:rsidR="0039645E" w:rsidRPr="009D52FD">
        <w:rPr>
          <w:rFonts w:eastAsiaTheme="minorHAnsi" w:cstheme="minorBidi"/>
          <w:sz w:val="20"/>
          <w:szCs w:val="20"/>
          <w:lang w:val="en-US" w:eastAsia="en-US"/>
        </w:rPr>
        <w:t xml:space="preserve">imposes on </w:t>
      </w:r>
      <w:r w:rsidR="0022333D" w:rsidRPr="009D52FD">
        <w:rPr>
          <w:rFonts w:eastAsiaTheme="minorHAnsi" w:cstheme="minorBidi"/>
          <w:sz w:val="20"/>
          <w:szCs w:val="20"/>
          <w:lang w:val="en-US" w:eastAsia="en-US"/>
        </w:rPr>
        <w:t xml:space="preserve">the </w:t>
      </w:r>
      <w:r w:rsidR="0039645E" w:rsidRPr="009D52FD">
        <w:rPr>
          <w:rFonts w:eastAsiaTheme="minorHAnsi" w:cstheme="minorBidi"/>
          <w:sz w:val="20"/>
          <w:szCs w:val="20"/>
          <w:lang w:val="en-US" w:eastAsia="en-US"/>
        </w:rPr>
        <w:t>State</w:t>
      </w:r>
      <w:r w:rsidR="0022333D" w:rsidRPr="009D52FD">
        <w:rPr>
          <w:rFonts w:eastAsiaTheme="minorHAnsi" w:cstheme="minorBidi"/>
          <w:sz w:val="20"/>
          <w:szCs w:val="20"/>
          <w:lang w:val="en-US" w:eastAsia="en-US"/>
        </w:rPr>
        <w:t>s</w:t>
      </w:r>
      <w:r w:rsidR="0039645E" w:rsidRPr="009D52FD">
        <w:rPr>
          <w:rFonts w:eastAsiaTheme="minorHAnsi" w:cstheme="minorBidi"/>
          <w:sz w:val="20"/>
          <w:szCs w:val="20"/>
          <w:lang w:val="en-US" w:eastAsia="en-US"/>
        </w:rPr>
        <w:t xml:space="preserve"> the explicit obligation to adapt their laws so that acts of torture are</w:t>
      </w:r>
      <w:r w:rsidR="0022333D" w:rsidRPr="009D52FD">
        <w:rPr>
          <w:rFonts w:eastAsiaTheme="minorHAnsi" w:cstheme="minorBidi"/>
          <w:sz w:val="20"/>
          <w:szCs w:val="20"/>
          <w:lang w:val="en-US" w:eastAsia="en-US"/>
        </w:rPr>
        <w:t xml:space="preserve"> defined as criminal</w:t>
      </w:r>
      <w:r w:rsidR="0039645E" w:rsidRPr="009D52FD">
        <w:rPr>
          <w:rFonts w:eastAsiaTheme="minorHAnsi" w:cstheme="minorBidi"/>
          <w:sz w:val="20"/>
          <w:szCs w:val="20"/>
          <w:lang w:val="en-US" w:eastAsia="en-US"/>
        </w:rPr>
        <w:t xml:space="preserve"> offenses in a way that accords with the definition contained in this instrument.</w:t>
      </w:r>
      <w:r w:rsidR="00332EA2" w:rsidRPr="009D52FD">
        <w:rPr>
          <w:rFonts w:eastAsiaTheme="minorHAnsi" w:cstheme="minorBidi"/>
          <w:sz w:val="20"/>
          <w:szCs w:val="20"/>
          <w:vertAlign w:val="superscript"/>
          <w:lang w:val="en-US" w:eastAsia="en-US"/>
        </w:rPr>
        <w:footnoteReference w:id="350"/>
      </w:r>
      <w:r w:rsidR="00332EA2" w:rsidRPr="009D52FD">
        <w:rPr>
          <w:rFonts w:eastAsiaTheme="minorHAnsi" w:cstheme="minorBidi"/>
          <w:sz w:val="20"/>
          <w:szCs w:val="20"/>
          <w:lang w:val="en-US" w:eastAsia="en-US"/>
        </w:rPr>
        <w:t xml:space="preserve"> </w:t>
      </w:r>
      <w:r w:rsidR="0039645E" w:rsidRPr="009D52FD">
        <w:rPr>
          <w:rFonts w:eastAsiaTheme="minorHAnsi" w:cstheme="minorBidi"/>
          <w:sz w:val="20"/>
          <w:szCs w:val="20"/>
          <w:lang w:val="en-US" w:eastAsia="en-US"/>
        </w:rPr>
        <w:t xml:space="preserve">In this regard, the Court has determined that international law establishes a minimum standard for a correct legal definition of this type of conduct and the </w:t>
      </w:r>
      <w:r w:rsidR="0022333D" w:rsidRPr="009D52FD">
        <w:rPr>
          <w:rFonts w:eastAsiaTheme="minorHAnsi" w:cstheme="minorBidi"/>
          <w:sz w:val="20"/>
          <w:szCs w:val="20"/>
          <w:lang w:val="en-US" w:eastAsia="en-US"/>
        </w:rPr>
        <w:t>basic</w:t>
      </w:r>
      <w:r w:rsidR="0039645E" w:rsidRPr="009D52FD">
        <w:rPr>
          <w:rFonts w:eastAsiaTheme="minorHAnsi" w:cstheme="minorBidi"/>
          <w:sz w:val="20"/>
          <w:szCs w:val="20"/>
          <w:lang w:val="en-US" w:eastAsia="en-US"/>
        </w:rPr>
        <w:t xml:space="preserve"> elements that this must </w:t>
      </w:r>
      <w:r w:rsidR="0022333D" w:rsidRPr="009D52FD">
        <w:rPr>
          <w:rFonts w:eastAsiaTheme="minorHAnsi" w:cstheme="minorBidi"/>
          <w:sz w:val="20"/>
          <w:szCs w:val="20"/>
          <w:lang w:val="en-US" w:eastAsia="en-US"/>
        </w:rPr>
        <w:t xml:space="preserve">include </w:t>
      </w:r>
      <w:r w:rsidR="0039645E" w:rsidRPr="009D52FD">
        <w:rPr>
          <w:rFonts w:eastAsiaTheme="minorHAnsi" w:cstheme="minorBidi"/>
          <w:sz w:val="20"/>
          <w:szCs w:val="20"/>
          <w:lang w:val="en-US" w:eastAsia="en-US"/>
        </w:rPr>
        <w:t>in light of</w:t>
      </w:r>
      <w:r w:rsidR="00332EA2" w:rsidRPr="009D52FD">
        <w:rPr>
          <w:sz w:val="20"/>
          <w:lang w:val="en-US"/>
        </w:rPr>
        <w:t xml:space="preserve"> </w:t>
      </w:r>
      <w:r w:rsidR="003630BB" w:rsidRPr="009D52FD">
        <w:rPr>
          <w:sz w:val="20"/>
          <w:lang w:val="en-US"/>
        </w:rPr>
        <w:t>Article</w:t>
      </w:r>
      <w:r w:rsidR="00332EA2" w:rsidRPr="009D52FD">
        <w:rPr>
          <w:sz w:val="20"/>
          <w:lang w:val="en-US"/>
        </w:rPr>
        <w:t xml:space="preserve"> 1 </w:t>
      </w:r>
      <w:r w:rsidR="00D32B3E" w:rsidRPr="009D52FD">
        <w:rPr>
          <w:sz w:val="20"/>
          <w:lang w:val="en-US"/>
        </w:rPr>
        <w:t>of the ICPPT</w:t>
      </w:r>
      <w:r w:rsidR="00332EA2" w:rsidRPr="009D52FD">
        <w:rPr>
          <w:sz w:val="20"/>
          <w:lang w:val="en-US"/>
        </w:rPr>
        <w:t>,</w:t>
      </w:r>
      <w:r w:rsidR="0039645E" w:rsidRPr="009D52FD">
        <w:rPr>
          <w:sz w:val="20"/>
          <w:lang w:val="en-US"/>
        </w:rPr>
        <w:t xml:space="preserve"> in the understanding that criminal prosecution is fundamental to prevent future human rights violations.</w:t>
      </w:r>
      <w:r w:rsidR="00332EA2" w:rsidRPr="009D52FD">
        <w:rPr>
          <w:sz w:val="20"/>
          <w:vertAlign w:val="superscript"/>
          <w:lang w:val="en-US"/>
        </w:rPr>
        <w:footnoteReference w:id="351"/>
      </w:r>
    </w:p>
    <w:p w14:paraId="18C4C838" w14:textId="77777777" w:rsidR="00332EA2" w:rsidRPr="009D52FD" w:rsidRDefault="00332EA2" w:rsidP="00332EA2">
      <w:pPr>
        <w:tabs>
          <w:tab w:val="left" w:pos="567"/>
        </w:tabs>
        <w:spacing w:line="240" w:lineRule="auto"/>
        <w:rPr>
          <w:rFonts w:eastAsiaTheme="minorHAnsi" w:cstheme="minorBidi"/>
          <w:sz w:val="20"/>
          <w:szCs w:val="20"/>
          <w:lang w:val="en-US" w:eastAsia="en-US"/>
        </w:rPr>
      </w:pPr>
    </w:p>
    <w:p w14:paraId="5041C2D1" w14:textId="3A327E51" w:rsidR="00A94818" w:rsidRPr="009D52FD" w:rsidRDefault="0039645E" w:rsidP="00A94818">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 xml:space="preserve">The second part of </w:t>
      </w:r>
      <w:r w:rsidR="007A24B8" w:rsidRPr="009D52FD">
        <w:rPr>
          <w:rFonts w:eastAsiaTheme="minorHAnsi" w:cstheme="minorBidi"/>
          <w:sz w:val="20"/>
          <w:szCs w:val="20"/>
          <w:lang w:val="en-US" w:eastAsia="en-US"/>
        </w:rPr>
        <w:t>Article</w:t>
      </w:r>
      <w:r w:rsidR="00A94818" w:rsidRPr="009D52FD">
        <w:rPr>
          <w:rFonts w:eastAsiaTheme="minorHAnsi" w:cstheme="minorBidi"/>
          <w:sz w:val="20"/>
          <w:szCs w:val="20"/>
          <w:lang w:val="en-US" w:eastAsia="en-US"/>
        </w:rPr>
        <w:t xml:space="preserve"> 182</w:t>
      </w:r>
      <w:r w:rsidRPr="009D52FD">
        <w:rPr>
          <w:rFonts w:eastAsiaTheme="minorHAnsi" w:cstheme="minorBidi"/>
          <w:sz w:val="20"/>
          <w:szCs w:val="20"/>
          <w:lang w:val="en-US" w:eastAsia="en-US"/>
        </w:rPr>
        <w:t xml:space="preserve"> of the </w:t>
      </w:r>
      <w:r w:rsidR="006B506A" w:rsidRPr="009D52FD">
        <w:rPr>
          <w:rFonts w:eastAsiaTheme="minorHAnsi" w:cstheme="minorBidi"/>
          <w:sz w:val="20"/>
          <w:szCs w:val="20"/>
          <w:lang w:val="en-US" w:eastAsia="en-US"/>
        </w:rPr>
        <w:t>Criminal Code</w:t>
      </w:r>
      <w:r w:rsidR="00A94818"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in force in</w:t>
      </w:r>
      <w:r w:rsidR="00A94818" w:rsidRPr="009D52FD">
        <w:rPr>
          <w:rFonts w:eastAsiaTheme="minorHAnsi" w:cstheme="minorBidi"/>
          <w:sz w:val="20"/>
          <w:szCs w:val="20"/>
          <w:lang w:val="en-US" w:eastAsia="en-US"/>
        </w:rPr>
        <w:t xml:space="preserve"> Venezuela establ</w:t>
      </w:r>
      <w:r w:rsidRPr="009D52FD">
        <w:rPr>
          <w:rFonts w:eastAsiaTheme="minorHAnsi" w:cstheme="minorBidi"/>
          <w:sz w:val="20"/>
          <w:szCs w:val="20"/>
          <w:lang w:val="en-US" w:eastAsia="en-US"/>
        </w:rPr>
        <w:t xml:space="preserve">ished the following: </w:t>
      </w:r>
    </w:p>
    <w:p w14:paraId="05DBA7CB" w14:textId="77777777" w:rsidR="00A94818" w:rsidRPr="009D52FD" w:rsidRDefault="00A94818" w:rsidP="00A94818">
      <w:pPr>
        <w:widowControl/>
        <w:tabs>
          <w:tab w:val="left" w:pos="567"/>
        </w:tabs>
        <w:adjustRightInd/>
        <w:spacing w:line="240" w:lineRule="auto"/>
        <w:textAlignment w:val="auto"/>
        <w:rPr>
          <w:rFonts w:eastAsiaTheme="minorHAnsi" w:cstheme="minorBidi"/>
          <w:sz w:val="20"/>
          <w:szCs w:val="20"/>
          <w:lang w:val="en-US" w:eastAsia="en-US"/>
        </w:rPr>
      </w:pPr>
    </w:p>
    <w:p w14:paraId="56C0BE62" w14:textId="23F32944" w:rsidR="00A94818" w:rsidRPr="009D52FD" w:rsidRDefault="0039645E" w:rsidP="00FE519F">
      <w:pPr>
        <w:widowControl/>
        <w:tabs>
          <w:tab w:val="left" w:pos="567"/>
        </w:tabs>
        <w:adjustRightInd/>
        <w:spacing w:line="240" w:lineRule="auto"/>
        <w:ind w:left="567" w:right="582"/>
        <w:textAlignment w:val="auto"/>
        <w:rPr>
          <w:rFonts w:eastAsiaTheme="minorHAnsi" w:cstheme="minorBidi"/>
          <w:sz w:val="16"/>
          <w:szCs w:val="16"/>
          <w:lang w:val="en-US" w:eastAsia="en-US"/>
        </w:rPr>
      </w:pPr>
      <w:r w:rsidRPr="009D52FD">
        <w:rPr>
          <w:rFonts w:eastAsiaTheme="minorHAnsi" w:cstheme="minorBidi"/>
          <w:sz w:val="16"/>
          <w:szCs w:val="16"/>
          <w:lang w:val="en-US" w:eastAsia="en-US"/>
        </w:rPr>
        <w:t xml:space="preserve">Suffering, offenses against human dignity, </w:t>
      </w:r>
      <w:r w:rsidR="00FE519F" w:rsidRPr="009D52FD">
        <w:rPr>
          <w:rFonts w:eastAsiaTheme="minorHAnsi" w:cstheme="minorBidi"/>
          <w:sz w:val="16"/>
          <w:szCs w:val="16"/>
          <w:lang w:val="en-US" w:eastAsia="en-US"/>
        </w:rPr>
        <w:t>ill-treatment</w:t>
      </w:r>
      <w:r w:rsidRPr="009D52FD">
        <w:rPr>
          <w:rFonts w:eastAsiaTheme="minorHAnsi" w:cstheme="minorBidi"/>
          <w:sz w:val="16"/>
          <w:szCs w:val="16"/>
          <w:lang w:val="en-US" w:eastAsia="en-US"/>
        </w:rPr>
        <w:t>, torture or physical or moral</w:t>
      </w:r>
      <w:r w:rsidR="00FE519F" w:rsidRPr="009D52FD">
        <w:rPr>
          <w:rFonts w:eastAsiaTheme="minorHAnsi" w:cstheme="minorBidi"/>
          <w:sz w:val="16"/>
          <w:szCs w:val="16"/>
          <w:lang w:val="en-US" w:eastAsia="en-US"/>
        </w:rPr>
        <w:t xml:space="preserve"> abuse committed </w:t>
      </w:r>
      <w:r w:rsidR="0022333D" w:rsidRPr="009D52FD">
        <w:rPr>
          <w:rFonts w:eastAsiaTheme="minorHAnsi" w:cstheme="minorBidi"/>
          <w:sz w:val="16"/>
          <w:szCs w:val="16"/>
          <w:lang w:val="en-US" w:eastAsia="en-US"/>
        </w:rPr>
        <w:t>against</w:t>
      </w:r>
      <w:r w:rsidR="00FE519F" w:rsidRPr="009D52FD">
        <w:rPr>
          <w:rFonts w:eastAsiaTheme="minorHAnsi" w:cstheme="minorBidi"/>
          <w:sz w:val="16"/>
          <w:szCs w:val="16"/>
          <w:lang w:val="en-US" w:eastAsia="en-US"/>
        </w:rPr>
        <w:t xml:space="preserve"> a person who is detained by his custodians or prison guards, or the person who gives the order to execute such treatment, in contravention of the individual rights recognized in paragraph 3 of article 60 of the Constitution</w:t>
      </w:r>
      <w:r w:rsidR="0022333D" w:rsidRPr="009D52FD">
        <w:rPr>
          <w:rFonts w:eastAsiaTheme="minorHAnsi" w:cstheme="minorBidi"/>
          <w:sz w:val="16"/>
          <w:szCs w:val="16"/>
          <w:lang w:val="en-US" w:eastAsia="en-US"/>
        </w:rPr>
        <w:t>,</w:t>
      </w:r>
      <w:r w:rsidR="00FE519F" w:rsidRPr="009D52FD">
        <w:rPr>
          <w:rFonts w:eastAsiaTheme="minorHAnsi" w:cstheme="minorBidi"/>
          <w:sz w:val="16"/>
          <w:szCs w:val="16"/>
          <w:lang w:val="en-US" w:eastAsia="en-US"/>
        </w:rPr>
        <w:t xml:space="preserve"> shall be punished by 3 to 6 years’ imprisonment.</w:t>
      </w:r>
      <w:r w:rsidR="00C01515" w:rsidRPr="009D52FD">
        <w:rPr>
          <w:rFonts w:eastAsiaTheme="minorHAnsi" w:cstheme="minorBidi"/>
          <w:sz w:val="16"/>
          <w:szCs w:val="16"/>
          <w:vertAlign w:val="superscript"/>
          <w:lang w:val="en-US" w:eastAsia="en-US"/>
        </w:rPr>
        <w:footnoteReference w:id="352"/>
      </w:r>
    </w:p>
    <w:p w14:paraId="3B5492D0" w14:textId="77777777" w:rsidR="00A94818" w:rsidRPr="009D52FD" w:rsidRDefault="00A94818" w:rsidP="00A94818">
      <w:pPr>
        <w:widowControl/>
        <w:tabs>
          <w:tab w:val="left" w:pos="567"/>
        </w:tabs>
        <w:adjustRightInd/>
        <w:spacing w:line="240" w:lineRule="auto"/>
        <w:textAlignment w:val="auto"/>
        <w:rPr>
          <w:rFonts w:eastAsiaTheme="minorHAnsi" w:cstheme="minorBidi"/>
          <w:sz w:val="20"/>
          <w:szCs w:val="20"/>
          <w:lang w:val="en-US" w:eastAsia="en-US"/>
        </w:rPr>
      </w:pPr>
    </w:p>
    <w:p w14:paraId="36910DE7" w14:textId="3D455B57" w:rsidR="00A94818" w:rsidRPr="009D52FD" w:rsidRDefault="00FE519F" w:rsidP="00FE519F">
      <w:pPr>
        <w:numPr>
          <w:ilvl w:val="0"/>
          <w:numId w:val="1"/>
        </w:numPr>
        <w:tabs>
          <w:tab w:val="left" w:pos="567"/>
        </w:tabs>
        <w:spacing w:line="240" w:lineRule="auto"/>
        <w:ind w:left="0" w:firstLine="0"/>
        <w:rPr>
          <w:rFonts w:eastAsiaTheme="minorHAnsi" w:cstheme="minorBidi"/>
          <w:sz w:val="20"/>
          <w:szCs w:val="20"/>
          <w:lang w:val="en-US" w:eastAsia="en-US"/>
        </w:rPr>
      </w:pPr>
      <w:r w:rsidRPr="009D52FD">
        <w:rPr>
          <w:rFonts w:eastAsiaTheme="minorHAnsi" w:cstheme="minorBidi"/>
          <w:sz w:val="20"/>
          <w:szCs w:val="20"/>
          <w:lang w:val="en-US" w:eastAsia="en-US"/>
        </w:rPr>
        <w:t xml:space="preserve">As </w:t>
      </w:r>
      <w:r w:rsidR="0022333D" w:rsidRPr="009D52FD">
        <w:rPr>
          <w:rFonts w:eastAsiaTheme="minorHAnsi" w:cstheme="minorBidi"/>
          <w:sz w:val="20"/>
          <w:szCs w:val="20"/>
          <w:lang w:val="en-US" w:eastAsia="en-US"/>
        </w:rPr>
        <w:t>noted,</w:t>
      </w:r>
      <w:r w:rsidRPr="009D52FD">
        <w:rPr>
          <w:rFonts w:eastAsiaTheme="minorHAnsi" w:cstheme="minorBidi"/>
          <w:sz w:val="20"/>
          <w:szCs w:val="20"/>
          <w:lang w:val="en-US" w:eastAsia="en-US"/>
        </w:rPr>
        <w:t xml:space="preserve"> the fact that the legal definition of the crime </w:t>
      </w:r>
      <w:r w:rsidR="0022333D" w:rsidRPr="009D52FD">
        <w:rPr>
          <w:rFonts w:eastAsiaTheme="minorHAnsi" w:cstheme="minorBidi"/>
          <w:sz w:val="20"/>
          <w:szCs w:val="20"/>
          <w:lang w:val="en-US" w:eastAsia="en-US"/>
        </w:rPr>
        <w:t>wa</w:t>
      </w:r>
      <w:r w:rsidRPr="009D52FD">
        <w:rPr>
          <w:rFonts w:eastAsiaTheme="minorHAnsi" w:cstheme="minorBidi"/>
          <w:sz w:val="20"/>
          <w:szCs w:val="20"/>
          <w:lang w:val="en-US" w:eastAsia="en-US"/>
        </w:rPr>
        <w:t xml:space="preserve">s circumscribed to a situation in which a person </w:t>
      </w:r>
      <w:r w:rsidR="0022333D" w:rsidRPr="009D52FD">
        <w:rPr>
          <w:rFonts w:eastAsiaTheme="minorHAnsi" w:cstheme="minorBidi"/>
          <w:sz w:val="20"/>
          <w:szCs w:val="20"/>
          <w:lang w:val="en-US" w:eastAsia="en-US"/>
        </w:rPr>
        <w:t>wa</w:t>
      </w:r>
      <w:r w:rsidRPr="009D52FD">
        <w:rPr>
          <w:rFonts w:eastAsiaTheme="minorHAnsi" w:cstheme="minorBidi"/>
          <w:sz w:val="20"/>
          <w:szCs w:val="20"/>
          <w:lang w:val="en-US" w:eastAsia="en-US"/>
        </w:rPr>
        <w:t>s detained did not allow the facts to be considered under th</w:t>
      </w:r>
      <w:r w:rsidR="0022333D" w:rsidRPr="009D52FD">
        <w:rPr>
          <w:rFonts w:eastAsiaTheme="minorHAnsi" w:cstheme="minorBidi"/>
          <w:sz w:val="20"/>
          <w:szCs w:val="20"/>
          <w:lang w:val="en-US" w:eastAsia="en-US"/>
        </w:rPr>
        <w:t>at</w:t>
      </w:r>
      <w:r w:rsidRPr="009D52FD">
        <w:rPr>
          <w:rFonts w:eastAsiaTheme="minorHAnsi" w:cstheme="minorBidi"/>
          <w:sz w:val="20"/>
          <w:szCs w:val="20"/>
          <w:lang w:val="en-US" w:eastAsia="en-US"/>
        </w:rPr>
        <w:t xml:space="preserve"> criminal offense in this specific case. In addition, when the </w:t>
      </w:r>
      <w:r w:rsidR="0022333D" w:rsidRPr="009D52FD">
        <w:rPr>
          <w:rFonts w:eastAsiaTheme="minorHAnsi" w:cstheme="minorBidi"/>
          <w:sz w:val="20"/>
          <w:szCs w:val="20"/>
          <w:lang w:val="en-US" w:eastAsia="en-US"/>
        </w:rPr>
        <w:t>plaintiff</w:t>
      </w:r>
      <w:r w:rsidRPr="009D52FD">
        <w:rPr>
          <w:rFonts w:eastAsiaTheme="minorHAnsi" w:cstheme="minorBidi"/>
          <w:sz w:val="20"/>
          <w:szCs w:val="20"/>
          <w:lang w:val="en-US" w:eastAsia="en-US"/>
        </w:rPr>
        <w:t xml:space="preserve"> alleged this crime under the Rome Statute, the court in charge of the case did not admit this charge because</w:t>
      </w:r>
      <w:r w:rsidR="0022333D" w:rsidRPr="009D52FD">
        <w:rPr>
          <w:rFonts w:eastAsiaTheme="minorHAnsi" w:cstheme="minorBidi"/>
          <w:sz w:val="20"/>
          <w:szCs w:val="20"/>
          <w:lang w:val="en-US" w:eastAsia="en-US"/>
        </w:rPr>
        <w:t xml:space="preserve"> </w:t>
      </w:r>
      <w:r w:rsidRPr="009D52FD">
        <w:rPr>
          <w:rFonts w:eastAsiaTheme="minorHAnsi" w:cstheme="minorBidi"/>
          <w:sz w:val="20"/>
          <w:szCs w:val="20"/>
          <w:lang w:val="en-US" w:eastAsia="en-US"/>
        </w:rPr>
        <w:t xml:space="preserve">it </w:t>
      </w:r>
      <w:r w:rsidR="0022333D" w:rsidRPr="009D52FD">
        <w:rPr>
          <w:rFonts w:eastAsiaTheme="minorHAnsi" w:cstheme="minorBidi"/>
          <w:sz w:val="20"/>
          <w:szCs w:val="20"/>
          <w:lang w:val="en-US" w:eastAsia="en-US"/>
        </w:rPr>
        <w:t>did</w:t>
      </w:r>
      <w:r w:rsidRPr="009D52FD">
        <w:rPr>
          <w:rFonts w:eastAsiaTheme="minorHAnsi" w:cstheme="minorBidi"/>
          <w:sz w:val="20"/>
          <w:szCs w:val="20"/>
          <w:lang w:val="en-US" w:eastAsia="en-US"/>
        </w:rPr>
        <w:t xml:space="preserve"> not meet the specific requirements</w:t>
      </w:r>
      <w:r w:rsidR="00A94818" w:rsidRPr="009D52FD">
        <w:rPr>
          <w:rFonts w:eastAsiaTheme="minorHAnsi" w:cstheme="minorBidi"/>
          <w:sz w:val="20"/>
          <w:szCs w:val="20"/>
          <w:lang w:val="en-US" w:eastAsia="en-US"/>
        </w:rPr>
        <w:t xml:space="preserve"> (</w:t>
      </w:r>
      <w:r w:rsidR="00A94818" w:rsidRPr="009D52FD">
        <w:rPr>
          <w:rFonts w:eastAsiaTheme="minorHAnsi" w:cstheme="minorBidi"/>
          <w:i/>
          <w:sz w:val="20"/>
          <w:szCs w:val="20"/>
          <w:lang w:val="en-US" w:eastAsia="en-US"/>
        </w:rPr>
        <w:t>supra</w:t>
      </w:r>
      <w:r w:rsidR="00A94818" w:rsidRPr="009D52FD">
        <w:rPr>
          <w:rFonts w:eastAsiaTheme="minorHAnsi" w:cstheme="minorBidi"/>
          <w:sz w:val="20"/>
          <w:szCs w:val="20"/>
          <w:lang w:val="en-US" w:eastAsia="en-US"/>
        </w:rPr>
        <w:t xml:space="preserve"> </w:t>
      </w:r>
      <w:r w:rsidR="009459E7" w:rsidRPr="009D52FD">
        <w:rPr>
          <w:rFonts w:eastAsiaTheme="minorHAnsi" w:cstheme="minorBidi"/>
          <w:sz w:val="20"/>
          <w:szCs w:val="20"/>
          <w:lang w:val="en-US" w:eastAsia="en-US"/>
        </w:rPr>
        <w:t>para.</w:t>
      </w:r>
      <w:r w:rsidR="00A94818" w:rsidRPr="009D52FD">
        <w:rPr>
          <w:rFonts w:eastAsiaTheme="minorHAnsi" w:cstheme="minorBidi"/>
          <w:sz w:val="20"/>
          <w:szCs w:val="20"/>
          <w:lang w:val="en-US" w:eastAsia="en-US"/>
        </w:rPr>
        <w:t xml:space="preserve"> </w:t>
      </w:r>
      <w:r w:rsidR="00B719AD" w:rsidRPr="009D52FD">
        <w:rPr>
          <w:rFonts w:eastAsiaTheme="minorHAnsi" w:cstheme="minorBidi"/>
          <w:sz w:val="20"/>
          <w:szCs w:val="20"/>
          <w:lang w:val="en-US" w:eastAsia="en-US"/>
        </w:rPr>
        <w:t>89</w:t>
      </w:r>
      <w:r w:rsidR="00A94818" w:rsidRPr="009D52FD">
        <w:rPr>
          <w:rFonts w:eastAsiaTheme="minorHAnsi" w:cstheme="minorBidi"/>
          <w:sz w:val="20"/>
          <w:szCs w:val="20"/>
          <w:lang w:val="en-US" w:eastAsia="en-US"/>
        </w:rPr>
        <w:t>).</w:t>
      </w:r>
    </w:p>
    <w:p w14:paraId="75CF36AC" w14:textId="77777777" w:rsidR="00A94818" w:rsidRPr="009D52FD" w:rsidRDefault="00A94818" w:rsidP="00A94818">
      <w:pPr>
        <w:widowControl/>
        <w:tabs>
          <w:tab w:val="left" w:pos="567"/>
        </w:tabs>
        <w:adjustRightInd/>
        <w:spacing w:line="240" w:lineRule="auto"/>
        <w:textAlignment w:val="auto"/>
        <w:rPr>
          <w:rFonts w:eastAsiaTheme="minorHAnsi" w:cstheme="minorBidi"/>
          <w:sz w:val="20"/>
          <w:szCs w:val="20"/>
          <w:lang w:val="en-US" w:eastAsia="en-US"/>
        </w:rPr>
      </w:pPr>
    </w:p>
    <w:p w14:paraId="297169EF" w14:textId="05D3A09E" w:rsidR="00A94818" w:rsidRPr="009D52FD" w:rsidRDefault="003630BB" w:rsidP="00FE519F">
      <w:pPr>
        <w:numPr>
          <w:ilvl w:val="0"/>
          <w:numId w:val="1"/>
        </w:numPr>
        <w:tabs>
          <w:tab w:val="left" w:pos="567"/>
        </w:tabs>
        <w:spacing w:line="240" w:lineRule="auto"/>
        <w:ind w:left="0" w:firstLine="0"/>
        <w:rPr>
          <w:sz w:val="20"/>
          <w:lang w:val="en-US"/>
        </w:rPr>
      </w:pPr>
      <w:r w:rsidRPr="009D52FD">
        <w:rPr>
          <w:sz w:val="20"/>
          <w:szCs w:val="20"/>
          <w:lang w:val="en-US"/>
        </w:rPr>
        <w:t>The Court</w:t>
      </w:r>
      <w:r w:rsidR="00A94818" w:rsidRPr="009D52FD">
        <w:rPr>
          <w:sz w:val="20"/>
          <w:szCs w:val="20"/>
          <w:lang w:val="en-US"/>
        </w:rPr>
        <w:t xml:space="preserve"> not</w:t>
      </w:r>
      <w:r w:rsidR="00FE519F" w:rsidRPr="009D52FD">
        <w:rPr>
          <w:sz w:val="20"/>
          <w:szCs w:val="20"/>
          <w:lang w:val="en-US"/>
        </w:rPr>
        <w:t>es that the</w:t>
      </w:r>
      <w:r w:rsidR="00A94818" w:rsidRPr="009D52FD">
        <w:rPr>
          <w:sz w:val="20"/>
          <w:szCs w:val="20"/>
          <w:lang w:val="en-US"/>
        </w:rPr>
        <w:t xml:space="preserve"> </w:t>
      </w:r>
      <w:r w:rsidR="006B506A" w:rsidRPr="009D52FD">
        <w:rPr>
          <w:sz w:val="20"/>
          <w:szCs w:val="20"/>
          <w:lang w:val="en-US"/>
        </w:rPr>
        <w:t>Criminal Code</w:t>
      </w:r>
      <w:r w:rsidR="00FE519F" w:rsidRPr="009D52FD">
        <w:rPr>
          <w:sz w:val="20"/>
          <w:szCs w:val="20"/>
          <w:lang w:val="en-US"/>
        </w:rPr>
        <w:t xml:space="preserve"> in </w:t>
      </w:r>
      <w:r w:rsidR="00002A76" w:rsidRPr="009D52FD">
        <w:rPr>
          <w:sz w:val="20"/>
          <w:szCs w:val="20"/>
          <w:lang w:val="en-US"/>
        </w:rPr>
        <w:t>force</w:t>
      </w:r>
      <w:r w:rsidR="00FE519F" w:rsidRPr="009D52FD">
        <w:rPr>
          <w:sz w:val="20"/>
          <w:szCs w:val="20"/>
          <w:lang w:val="en-US"/>
        </w:rPr>
        <w:t xml:space="preserve"> at the time of the facts</w:t>
      </w:r>
      <w:r w:rsidR="00006F24" w:rsidRPr="009D52FD">
        <w:rPr>
          <w:rStyle w:val="FootnoteReference"/>
          <w:sz w:val="20"/>
          <w:szCs w:val="20"/>
          <w:lang w:val="en-US"/>
        </w:rPr>
        <w:footnoteReference w:id="353"/>
      </w:r>
      <w:r w:rsidR="00A94818" w:rsidRPr="009D52FD">
        <w:rPr>
          <w:sz w:val="20"/>
          <w:szCs w:val="20"/>
          <w:lang w:val="en-US"/>
        </w:rPr>
        <w:t xml:space="preserve"> (</w:t>
      </w:r>
      <w:r w:rsidR="00A94818" w:rsidRPr="009D52FD">
        <w:rPr>
          <w:i/>
          <w:sz w:val="20"/>
          <w:szCs w:val="20"/>
          <w:lang w:val="en-US"/>
        </w:rPr>
        <w:t>supra</w:t>
      </w:r>
      <w:r w:rsidR="00A94818" w:rsidRPr="009D52FD">
        <w:rPr>
          <w:sz w:val="20"/>
          <w:szCs w:val="20"/>
          <w:lang w:val="en-US"/>
        </w:rPr>
        <w:t xml:space="preserve"> </w:t>
      </w:r>
      <w:r w:rsidR="009459E7" w:rsidRPr="009D52FD">
        <w:rPr>
          <w:sz w:val="20"/>
          <w:szCs w:val="20"/>
          <w:lang w:val="en-US"/>
        </w:rPr>
        <w:t>para.</w:t>
      </w:r>
      <w:r w:rsidR="00A94818" w:rsidRPr="009D52FD">
        <w:rPr>
          <w:sz w:val="20"/>
          <w:szCs w:val="20"/>
          <w:lang w:val="en-US"/>
        </w:rPr>
        <w:t xml:space="preserve"> </w:t>
      </w:r>
      <w:r w:rsidR="00B719AD" w:rsidRPr="009D52FD">
        <w:rPr>
          <w:sz w:val="20"/>
          <w:szCs w:val="20"/>
          <w:lang w:val="en-US"/>
        </w:rPr>
        <w:t>109</w:t>
      </w:r>
      <w:r w:rsidR="00A94818" w:rsidRPr="009D52FD">
        <w:rPr>
          <w:sz w:val="20"/>
          <w:szCs w:val="20"/>
          <w:lang w:val="en-US"/>
        </w:rPr>
        <w:t>) establ</w:t>
      </w:r>
      <w:r w:rsidR="00FE519F" w:rsidRPr="009D52FD">
        <w:rPr>
          <w:sz w:val="20"/>
          <w:szCs w:val="20"/>
          <w:lang w:val="en-US"/>
        </w:rPr>
        <w:t>ished prison sentences for those who perpetrated “</w:t>
      </w:r>
      <w:r w:rsidR="00FE519F" w:rsidRPr="009D52FD">
        <w:rPr>
          <w:rFonts w:eastAsiaTheme="minorHAnsi" w:cstheme="minorBidi"/>
          <w:sz w:val="20"/>
          <w:szCs w:val="20"/>
          <w:lang w:val="en-US" w:eastAsia="en-US"/>
        </w:rPr>
        <w:t xml:space="preserve">suffering, offenses against human dignity, ill-treatment, torture or physical or moral abuse,” without specifying the elements that constituted such acts or the purpose of the conduct. In addition, it circumscribed the application </w:t>
      </w:r>
      <w:r w:rsidR="0022333D" w:rsidRPr="009D52FD">
        <w:rPr>
          <w:rFonts w:eastAsiaTheme="minorHAnsi" w:cstheme="minorBidi"/>
          <w:sz w:val="20"/>
          <w:szCs w:val="20"/>
          <w:lang w:val="en-US" w:eastAsia="en-US"/>
        </w:rPr>
        <w:t>of</w:t>
      </w:r>
      <w:r w:rsidR="00FE519F" w:rsidRPr="009D52FD">
        <w:rPr>
          <w:rFonts w:eastAsiaTheme="minorHAnsi" w:cstheme="minorBidi"/>
          <w:sz w:val="20"/>
          <w:szCs w:val="20"/>
          <w:lang w:val="en-US" w:eastAsia="en-US"/>
        </w:rPr>
        <w:t xml:space="preserve"> the </w:t>
      </w:r>
      <w:r w:rsidR="00C00A77" w:rsidRPr="009D52FD">
        <w:rPr>
          <w:rFonts w:eastAsiaTheme="minorHAnsi" w:cstheme="minorBidi"/>
          <w:sz w:val="20"/>
          <w:szCs w:val="20"/>
          <w:lang w:val="en-US" w:eastAsia="en-US"/>
        </w:rPr>
        <w:t xml:space="preserve">criminal sanction to those cases in which the victim was detained and when the perpetrator was his custodian, prison guard  or anyone who gave the order to execute that type of act. In other words, it did not contemplate other persons acting in the exercise of public functions, or at the instigation, </w:t>
      </w:r>
      <w:r w:rsidR="0022333D" w:rsidRPr="009D52FD">
        <w:rPr>
          <w:rFonts w:eastAsiaTheme="minorHAnsi" w:cstheme="minorBidi"/>
          <w:sz w:val="20"/>
          <w:szCs w:val="20"/>
          <w:lang w:val="en-US" w:eastAsia="en-US"/>
        </w:rPr>
        <w:lastRenderedPageBreak/>
        <w:t xml:space="preserve">or </w:t>
      </w:r>
      <w:r w:rsidR="00C00A77" w:rsidRPr="009D52FD">
        <w:rPr>
          <w:rFonts w:eastAsiaTheme="minorHAnsi" w:cstheme="minorBidi"/>
          <w:sz w:val="20"/>
          <w:szCs w:val="20"/>
          <w:lang w:val="en-US" w:eastAsia="en-US"/>
        </w:rPr>
        <w:t>with the consent</w:t>
      </w:r>
      <w:r w:rsidR="0022333D" w:rsidRPr="009D52FD">
        <w:rPr>
          <w:rFonts w:eastAsiaTheme="minorHAnsi" w:cstheme="minorBidi"/>
          <w:sz w:val="20"/>
          <w:szCs w:val="20"/>
          <w:lang w:val="en-US" w:eastAsia="en-US"/>
        </w:rPr>
        <w:t xml:space="preserve"> or </w:t>
      </w:r>
      <w:r w:rsidR="00C00A77" w:rsidRPr="009D52FD">
        <w:rPr>
          <w:rFonts w:eastAsiaTheme="minorHAnsi" w:cstheme="minorBidi"/>
          <w:sz w:val="20"/>
          <w:szCs w:val="20"/>
          <w:lang w:val="en-US" w:eastAsia="en-US"/>
        </w:rPr>
        <w:t>acquiescence of public officials as perpetrators of the crime</w:t>
      </w:r>
      <w:r w:rsidR="00C00A77" w:rsidRPr="009D52FD">
        <w:rPr>
          <w:sz w:val="20"/>
          <w:lang w:val="en-US"/>
        </w:rPr>
        <w:t>.</w:t>
      </w:r>
      <w:r w:rsidR="00A94818" w:rsidRPr="009D52FD">
        <w:rPr>
          <w:sz w:val="20"/>
          <w:vertAlign w:val="superscript"/>
          <w:lang w:val="en-US"/>
        </w:rPr>
        <w:footnoteReference w:id="354"/>
      </w:r>
      <w:r w:rsidR="00A94818" w:rsidRPr="009D52FD">
        <w:rPr>
          <w:sz w:val="20"/>
          <w:lang w:val="en-US"/>
        </w:rPr>
        <w:t xml:space="preserve"> </w:t>
      </w:r>
      <w:r w:rsidR="007A29E7" w:rsidRPr="009D52FD">
        <w:rPr>
          <w:sz w:val="20"/>
          <w:szCs w:val="20"/>
          <w:lang w:val="en-US"/>
        </w:rPr>
        <w:t>In addition, the punishment envisaged – 3 to 6 years – was not commensurate with the nature and gravity of the crime, when compared to the punishments established for other crimes</w:t>
      </w:r>
      <w:r w:rsidR="00A94818" w:rsidRPr="009D52FD">
        <w:rPr>
          <w:sz w:val="20"/>
          <w:szCs w:val="20"/>
          <w:lang w:val="en-US"/>
        </w:rPr>
        <w:t>.</w:t>
      </w:r>
    </w:p>
    <w:p w14:paraId="7EF9BCA1" w14:textId="77777777" w:rsidR="00A94818" w:rsidRPr="009D52FD" w:rsidRDefault="00A94818" w:rsidP="00A94818">
      <w:pPr>
        <w:tabs>
          <w:tab w:val="left" w:pos="567"/>
        </w:tabs>
        <w:spacing w:line="240" w:lineRule="auto"/>
        <w:rPr>
          <w:rFonts w:eastAsiaTheme="minorHAnsi" w:cstheme="minorBidi"/>
          <w:sz w:val="20"/>
          <w:szCs w:val="20"/>
          <w:lang w:val="en-US" w:eastAsia="en-US"/>
        </w:rPr>
      </w:pPr>
    </w:p>
    <w:p w14:paraId="4DC65F47" w14:textId="39F7A924" w:rsidR="00A94818" w:rsidRPr="009D52FD" w:rsidRDefault="003630BB" w:rsidP="007A29E7">
      <w:pPr>
        <w:numPr>
          <w:ilvl w:val="0"/>
          <w:numId w:val="1"/>
        </w:numPr>
        <w:tabs>
          <w:tab w:val="left" w:pos="567"/>
        </w:tabs>
        <w:spacing w:line="240" w:lineRule="auto"/>
        <w:ind w:left="0" w:firstLine="0"/>
        <w:rPr>
          <w:sz w:val="20"/>
          <w:lang w:val="en-US"/>
        </w:rPr>
      </w:pPr>
      <w:r w:rsidRPr="009D52FD">
        <w:rPr>
          <w:sz w:val="20"/>
          <w:lang w:val="en-US"/>
        </w:rPr>
        <w:t>The Court</w:t>
      </w:r>
      <w:r w:rsidR="00A94818" w:rsidRPr="009D52FD">
        <w:rPr>
          <w:sz w:val="20"/>
          <w:lang w:val="en-US"/>
        </w:rPr>
        <w:t xml:space="preserve"> rec</w:t>
      </w:r>
      <w:r w:rsidR="007A29E7" w:rsidRPr="009D52FD">
        <w:rPr>
          <w:sz w:val="20"/>
          <w:lang w:val="en-US"/>
        </w:rPr>
        <w:t>alls that “</w:t>
      </w:r>
      <w:r w:rsidR="007A29E7" w:rsidRPr="009D52FD">
        <w:rPr>
          <w:rFonts w:cs="Arial"/>
          <w:sz w:val="20"/>
          <w:szCs w:val="20"/>
          <w:lang w:val="en-US"/>
        </w:rPr>
        <w:t>if elements considered non-derogable in the prosecution formula established at the international level are eliminated, or mechanisms are introduced that detract from meaning or effectiveness, this may lead to the impunity of conducts that the States are obliged to prevent, eliminate and punish under international law.</w:t>
      </w:r>
      <w:r w:rsidR="00A94818" w:rsidRPr="009D52FD">
        <w:rPr>
          <w:sz w:val="20"/>
          <w:lang w:val="en-US"/>
        </w:rPr>
        <w:t>”</w:t>
      </w:r>
      <w:r w:rsidR="00A94818" w:rsidRPr="009D52FD">
        <w:rPr>
          <w:sz w:val="20"/>
          <w:vertAlign w:val="superscript"/>
          <w:lang w:val="en-US"/>
        </w:rPr>
        <w:footnoteReference w:id="355"/>
      </w:r>
    </w:p>
    <w:p w14:paraId="4E420B1F" w14:textId="77777777" w:rsidR="00A94818" w:rsidRPr="009D52FD" w:rsidRDefault="00A94818" w:rsidP="00A94818">
      <w:pPr>
        <w:tabs>
          <w:tab w:val="left" w:pos="567"/>
        </w:tabs>
        <w:spacing w:line="240" w:lineRule="auto"/>
        <w:rPr>
          <w:sz w:val="20"/>
          <w:szCs w:val="20"/>
          <w:lang w:val="en-US"/>
        </w:rPr>
      </w:pPr>
    </w:p>
    <w:p w14:paraId="3E8BA2DB" w14:textId="350BBB99" w:rsidR="00422099" w:rsidRPr="009D52FD" w:rsidRDefault="00422099" w:rsidP="00A94818">
      <w:pPr>
        <w:numPr>
          <w:ilvl w:val="0"/>
          <w:numId w:val="1"/>
        </w:numPr>
        <w:tabs>
          <w:tab w:val="left" w:pos="567"/>
        </w:tabs>
        <w:spacing w:line="240" w:lineRule="auto"/>
        <w:ind w:left="0" w:firstLine="0"/>
        <w:rPr>
          <w:sz w:val="20"/>
          <w:szCs w:val="20"/>
          <w:lang w:val="en-US"/>
        </w:rPr>
      </w:pPr>
      <w:r w:rsidRPr="009D52FD">
        <w:rPr>
          <w:sz w:val="20"/>
          <w:szCs w:val="20"/>
          <w:lang w:val="en-US"/>
        </w:rPr>
        <w:t xml:space="preserve">In this case, even though it is unclear whether the failure to define the autonomous crime of torture appropriately </w:t>
      </w:r>
      <w:r w:rsidR="0022333D" w:rsidRPr="009D52FD">
        <w:rPr>
          <w:sz w:val="20"/>
          <w:szCs w:val="20"/>
          <w:lang w:val="en-US"/>
        </w:rPr>
        <w:t>impeded</w:t>
      </w:r>
      <w:r w:rsidRPr="009D52FD">
        <w:rPr>
          <w:sz w:val="20"/>
          <w:szCs w:val="20"/>
          <w:lang w:val="en-US"/>
        </w:rPr>
        <w:t xml:space="preserve"> the effective development of the said criminal proceedings, the Court considers that the failure to legally define torture in accordance with the international parameters resulted in the accused being convicted of the crime of extremely serious injuries, a lesser crime that did not reflect the level of blame required for acts of this nature.</w:t>
      </w:r>
    </w:p>
    <w:p w14:paraId="737E8EC2" w14:textId="77777777" w:rsidR="00A94818" w:rsidRPr="009D52FD" w:rsidRDefault="00A94818" w:rsidP="00A94818">
      <w:pPr>
        <w:tabs>
          <w:tab w:val="left" w:pos="567"/>
        </w:tabs>
        <w:spacing w:line="240" w:lineRule="auto"/>
        <w:rPr>
          <w:sz w:val="20"/>
          <w:szCs w:val="20"/>
          <w:lang w:val="en-US"/>
        </w:rPr>
      </w:pPr>
    </w:p>
    <w:p w14:paraId="5F9120CB" w14:textId="6B95ADE5" w:rsidR="00422099" w:rsidRPr="009D52FD" w:rsidRDefault="00422099" w:rsidP="00A94818">
      <w:pPr>
        <w:numPr>
          <w:ilvl w:val="0"/>
          <w:numId w:val="1"/>
        </w:numPr>
        <w:tabs>
          <w:tab w:val="left" w:pos="567"/>
        </w:tabs>
        <w:spacing w:line="240" w:lineRule="auto"/>
        <w:ind w:left="0" w:firstLine="0"/>
        <w:rPr>
          <w:sz w:val="20"/>
          <w:lang w:val="en-US"/>
        </w:rPr>
      </w:pPr>
      <w:r w:rsidRPr="009D52FD">
        <w:rPr>
          <w:sz w:val="20"/>
          <w:lang w:val="en-US"/>
        </w:rPr>
        <w:t>The foregoing reveals that the State failed to comply with its obligation to amend its domestic laws in order to define the crime of torture in keeping with the international parameters, a circumstance that, if this had been the case, would presumably have allowed its application in the investigation and prosecution of the facts of this case.</w:t>
      </w:r>
    </w:p>
    <w:p w14:paraId="47ADC89D" w14:textId="77777777" w:rsidR="00A94818" w:rsidRPr="009D52FD" w:rsidRDefault="00A94818" w:rsidP="00A94818">
      <w:pPr>
        <w:widowControl/>
        <w:tabs>
          <w:tab w:val="left" w:pos="567"/>
        </w:tabs>
        <w:adjustRightInd/>
        <w:spacing w:line="240" w:lineRule="auto"/>
        <w:textAlignment w:val="auto"/>
        <w:rPr>
          <w:rFonts w:cs="Verdana"/>
          <w:b/>
          <w:i/>
          <w:sz w:val="20"/>
          <w:szCs w:val="20"/>
          <w:lang w:val="en-US"/>
        </w:rPr>
      </w:pPr>
    </w:p>
    <w:p w14:paraId="70F619E1" w14:textId="27473574" w:rsidR="009E4F6C" w:rsidRPr="009D52FD" w:rsidRDefault="007D7935" w:rsidP="00153ECC">
      <w:pPr>
        <w:keepNext/>
        <w:keepLines/>
        <w:widowControl/>
        <w:tabs>
          <w:tab w:val="left" w:pos="1418"/>
        </w:tabs>
        <w:autoSpaceDE w:val="0"/>
        <w:autoSpaceDN w:val="0"/>
        <w:spacing w:line="240" w:lineRule="auto"/>
        <w:ind w:left="708" w:firstLine="1"/>
        <w:textAlignment w:val="auto"/>
        <w:outlineLvl w:val="1"/>
        <w:rPr>
          <w:rFonts w:eastAsia="MS Mincho" w:cs="Arial"/>
          <w:bCs/>
          <w:i/>
          <w:sz w:val="20"/>
          <w:szCs w:val="20"/>
          <w:lang w:val="en-US" w:eastAsia="en-US"/>
        </w:rPr>
      </w:pPr>
      <w:bookmarkStart w:id="98" w:name="_Toc51400107"/>
      <w:r w:rsidRPr="009D52FD">
        <w:rPr>
          <w:rFonts w:eastAsia="MS Mincho" w:cs="Arial"/>
          <w:bCs/>
          <w:i/>
          <w:sz w:val="20"/>
          <w:szCs w:val="20"/>
          <w:lang w:val="en-US" w:eastAsia="en-US"/>
        </w:rPr>
        <w:t>B.</w:t>
      </w:r>
      <w:r w:rsidR="001849E1" w:rsidRPr="009D52FD">
        <w:rPr>
          <w:rFonts w:eastAsia="MS Mincho" w:cs="Arial"/>
          <w:bCs/>
          <w:i/>
          <w:sz w:val="20"/>
          <w:szCs w:val="20"/>
          <w:lang w:val="en-US" w:eastAsia="en-US"/>
        </w:rPr>
        <w:t>7</w:t>
      </w:r>
      <w:r w:rsidR="009E4F6C" w:rsidRPr="009D52FD">
        <w:rPr>
          <w:rFonts w:eastAsia="MS Mincho" w:cs="Arial"/>
          <w:bCs/>
          <w:i/>
          <w:sz w:val="20"/>
          <w:szCs w:val="20"/>
          <w:lang w:val="en-US" w:eastAsia="en-US"/>
        </w:rPr>
        <w:tab/>
        <w:t>Conclusi</w:t>
      </w:r>
      <w:r w:rsidR="00422099" w:rsidRPr="009D52FD">
        <w:rPr>
          <w:rFonts w:eastAsia="MS Mincho" w:cs="Arial"/>
          <w:bCs/>
          <w:i/>
          <w:sz w:val="20"/>
          <w:szCs w:val="20"/>
          <w:lang w:val="en-US" w:eastAsia="en-US"/>
        </w:rPr>
        <w:t>o</w:t>
      </w:r>
      <w:r w:rsidR="009E4F6C" w:rsidRPr="009D52FD">
        <w:rPr>
          <w:rFonts w:eastAsia="MS Mincho" w:cs="Arial"/>
          <w:bCs/>
          <w:i/>
          <w:sz w:val="20"/>
          <w:szCs w:val="20"/>
          <w:lang w:val="en-US" w:eastAsia="en-US"/>
        </w:rPr>
        <w:t>n</w:t>
      </w:r>
      <w:bookmarkEnd w:id="98"/>
    </w:p>
    <w:p w14:paraId="2C4BCDB1" w14:textId="43303B88" w:rsidR="009E4F6C" w:rsidRPr="009D52FD" w:rsidRDefault="009E4F6C" w:rsidP="009E4F6C">
      <w:pPr>
        <w:tabs>
          <w:tab w:val="left" w:pos="567"/>
        </w:tabs>
        <w:spacing w:line="240" w:lineRule="auto"/>
        <w:rPr>
          <w:rFonts w:eastAsiaTheme="minorHAnsi" w:cstheme="minorBidi"/>
          <w:sz w:val="20"/>
          <w:szCs w:val="20"/>
          <w:lang w:val="en-US" w:eastAsia="en-US"/>
        </w:rPr>
      </w:pPr>
    </w:p>
    <w:p w14:paraId="34700F07" w14:textId="1A6122E3" w:rsidR="00E16893" w:rsidRPr="009D52FD" w:rsidRDefault="00422099" w:rsidP="00E16893">
      <w:pPr>
        <w:numPr>
          <w:ilvl w:val="0"/>
          <w:numId w:val="1"/>
        </w:numPr>
        <w:tabs>
          <w:tab w:val="left" w:pos="567"/>
          <w:tab w:val="num" w:pos="12305"/>
        </w:tabs>
        <w:spacing w:line="240" w:lineRule="auto"/>
        <w:ind w:left="0" w:firstLine="0"/>
        <w:rPr>
          <w:kern w:val="2"/>
          <w:sz w:val="20"/>
          <w:szCs w:val="20"/>
          <w:lang w:val="en-US" w:eastAsia="en-US"/>
        </w:rPr>
      </w:pPr>
      <w:r w:rsidRPr="009D52FD">
        <w:rPr>
          <w:spacing w:val="-2"/>
          <w:sz w:val="20"/>
          <w:szCs w:val="20"/>
          <w:lang w:val="en-US"/>
        </w:rPr>
        <w:t xml:space="preserve">Based on the acknowledgement of state responsibility </w:t>
      </w:r>
      <w:r w:rsidR="00681277" w:rsidRPr="009D52FD">
        <w:rPr>
          <w:spacing w:val="-2"/>
          <w:sz w:val="20"/>
          <w:szCs w:val="20"/>
          <w:lang w:val="en-US"/>
        </w:rPr>
        <w:t>as</w:t>
      </w:r>
      <w:r w:rsidRPr="009D52FD">
        <w:rPr>
          <w:spacing w:val="-2"/>
          <w:sz w:val="20"/>
          <w:szCs w:val="20"/>
          <w:lang w:val="en-US"/>
        </w:rPr>
        <w:t xml:space="preserve"> well as on the findings in this judgment, the Court concludes that, owing to the absence of a special legal framework and the actions of the </w:t>
      </w:r>
      <w:r w:rsidR="00D65300" w:rsidRPr="009D52FD">
        <w:rPr>
          <w:spacing w:val="-2"/>
          <w:sz w:val="20"/>
          <w:szCs w:val="20"/>
          <w:lang w:val="en-US"/>
        </w:rPr>
        <w:t>S</w:t>
      </w:r>
      <w:r w:rsidRPr="009D52FD">
        <w:rPr>
          <w:spacing w:val="-2"/>
          <w:sz w:val="20"/>
          <w:szCs w:val="20"/>
          <w:lang w:val="en-US"/>
        </w:rPr>
        <w:t>tate</w:t>
      </w:r>
      <w:r w:rsidR="00D65300" w:rsidRPr="009D52FD">
        <w:rPr>
          <w:spacing w:val="-2"/>
          <w:sz w:val="20"/>
          <w:szCs w:val="20"/>
          <w:lang w:val="en-US"/>
        </w:rPr>
        <w:t>’s</w:t>
      </w:r>
      <w:r w:rsidRPr="009D52FD">
        <w:rPr>
          <w:spacing w:val="-2"/>
          <w:sz w:val="20"/>
          <w:szCs w:val="20"/>
          <w:lang w:val="en-US"/>
        </w:rPr>
        <w:t xml:space="preserve"> </w:t>
      </w:r>
      <w:r w:rsidR="00011B99" w:rsidRPr="009D52FD">
        <w:rPr>
          <w:spacing w:val="-2"/>
          <w:sz w:val="20"/>
          <w:szCs w:val="20"/>
          <w:lang w:val="en-US"/>
        </w:rPr>
        <w:t>law enforcement</w:t>
      </w:r>
      <w:r w:rsidRPr="009D52FD">
        <w:rPr>
          <w:spacing w:val="-2"/>
          <w:sz w:val="20"/>
          <w:szCs w:val="20"/>
          <w:lang w:val="en-US"/>
        </w:rPr>
        <w:t>, investigation and forensic authorities and agents of justice in this specific case, the State of Venezuela did not act with the enhanced due diligence required in the investigations and criminal proceedings for</w:t>
      </w:r>
      <w:r w:rsidR="00D65300" w:rsidRPr="009D52FD">
        <w:rPr>
          <w:spacing w:val="-2"/>
          <w:sz w:val="20"/>
          <w:szCs w:val="20"/>
          <w:lang w:val="en-US"/>
        </w:rPr>
        <w:t xml:space="preserve"> the</w:t>
      </w:r>
      <w:r w:rsidRPr="009D52FD">
        <w:rPr>
          <w:spacing w:val="-2"/>
          <w:sz w:val="20"/>
          <w:szCs w:val="20"/>
          <w:lang w:val="en-US"/>
        </w:rPr>
        <w:t xml:space="preserve"> </w:t>
      </w:r>
      <w:r w:rsidR="005935CA" w:rsidRPr="009D52FD">
        <w:rPr>
          <w:kern w:val="2"/>
          <w:sz w:val="20"/>
          <w:szCs w:val="20"/>
          <w:lang w:val="en-US" w:eastAsia="en-US"/>
        </w:rPr>
        <w:t>violence against women</w:t>
      </w:r>
      <w:r w:rsidR="003630BB" w:rsidRPr="009D52FD">
        <w:rPr>
          <w:kern w:val="2"/>
          <w:sz w:val="20"/>
          <w:szCs w:val="20"/>
          <w:lang w:val="en-US" w:eastAsia="en-US"/>
        </w:rPr>
        <w:t xml:space="preserve"> and </w:t>
      </w:r>
      <w:r w:rsidR="00E16893" w:rsidRPr="009D52FD">
        <w:rPr>
          <w:kern w:val="2"/>
          <w:sz w:val="20"/>
          <w:szCs w:val="20"/>
          <w:lang w:val="en-US" w:eastAsia="en-US"/>
        </w:rPr>
        <w:t>acts of torture suffered by</w:t>
      </w:r>
      <w:r w:rsidR="00614E0E" w:rsidRPr="009D52FD">
        <w:rPr>
          <w:kern w:val="2"/>
          <w:sz w:val="20"/>
          <w:szCs w:val="20"/>
          <w:lang w:val="en-US" w:eastAsia="en-US"/>
        </w:rPr>
        <w:t xml:space="preserve"> Linda Loaiza López Soto. </w:t>
      </w:r>
      <w:r w:rsidR="00E16893" w:rsidRPr="009D52FD">
        <w:rPr>
          <w:kern w:val="2"/>
          <w:sz w:val="20"/>
          <w:szCs w:val="20"/>
          <w:lang w:val="en-US" w:eastAsia="en-US"/>
        </w:rPr>
        <w:t>In addition, serious omissions and irregularities</w:t>
      </w:r>
      <w:r w:rsidR="00D65300" w:rsidRPr="009D52FD">
        <w:rPr>
          <w:kern w:val="2"/>
          <w:sz w:val="20"/>
          <w:szCs w:val="20"/>
          <w:lang w:val="en-US" w:eastAsia="en-US"/>
        </w:rPr>
        <w:t xml:space="preserve"> have been verified</w:t>
      </w:r>
      <w:r w:rsidR="00E16893" w:rsidRPr="009D52FD">
        <w:rPr>
          <w:kern w:val="2"/>
          <w:sz w:val="20"/>
          <w:szCs w:val="20"/>
          <w:lang w:val="en-US" w:eastAsia="en-US"/>
        </w:rPr>
        <w:t xml:space="preserve"> in the gathering of evidence in the initial stages of the investigation. Even though the authorities were informed of these irregularities, they were not investigated. Also, the existence of a discriminatory legal framework facilitated her revictimization and the use of stereotypes in the assessment of her statements and in the adjudication of the case. Furthermore, the i</w:t>
      </w:r>
      <w:r w:rsidR="00CA2E6E" w:rsidRPr="009D52FD">
        <w:rPr>
          <w:kern w:val="2"/>
          <w:sz w:val="20"/>
          <w:szCs w:val="20"/>
          <w:lang w:val="en-US" w:eastAsia="en-US"/>
        </w:rPr>
        <w:t>nadequate legal definition of the crime of torture</w:t>
      </w:r>
      <w:r w:rsidR="002516A3" w:rsidRPr="009D52FD">
        <w:rPr>
          <w:kern w:val="2"/>
          <w:sz w:val="20"/>
          <w:szCs w:val="20"/>
          <w:lang w:val="en-US" w:eastAsia="en-US"/>
        </w:rPr>
        <w:t xml:space="preserve"> </w:t>
      </w:r>
      <w:r w:rsidR="00E16893" w:rsidRPr="009D52FD">
        <w:rPr>
          <w:kern w:val="2"/>
          <w:sz w:val="20"/>
          <w:szCs w:val="20"/>
          <w:lang w:val="en-US" w:eastAsia="en-US"/>
        </w:rPr>
        <w:t xml:space="preserve">resulted in this crime being rejected and a crime with a less severe punishment was </w:t>
      </w:r>
      <w:r w:rsidR="00D65300" w:rsidRPr="009D52FD">
        <w:rPr>
          <w:kern w:val="2"/>
          <w:sz w:val="20"/>
          <w:szCs w:val="20"/>
          <w:lang w:val="en-US" w:eastAsia="en-US"/>
        </w:rPr>
        <w:t>applied</w:t>
      </w:r>
      <w:r w:rsidR="00E16893" w:rsidRPr="009D52FD">
        <w:rPr>
          <w:kern w:val="2"/>
          <w:sz w:val="20"/>
          <w:szCs w:val="20"/>
          <w:lang w:val="en-US" w:eastAsia="en-US"/>
        </w:rPr>
        <w:t>. In addition, the proceedings before the Venezuelan courts were not conducted within a reasonable time. Lastly, the inadequacy and ineffectiveness of the measures of protection from</w:t>
      </w:r>
      <w:r w:rsidR="00D65300" w:rsidRPr="009D52FD">
        <w:rPr>
          <w:kern w:val="2"/>
          <w:sz w:val="20"/>
          <w:szCs w:val="20"/>
          <w:lang w:val="en-US" w:eastAsia="en-US"/>
        </w:rPr>
        <w:t>,</w:t>
      </w:r>
      <w:r w:rsidR="00E16893" w:rsidRPr="009D52FD">
        <w:rPr>
          <w:kern w:val="2"/>
          <w:sz w:val="20"/>
          <w:szCs w:val="20"/>
          <w:lang w:val="en-US" w:eastAsia="en-US"/>
        </w:rPr>
        <w:t xml:space="preserve"> and investigation of</w:t>
      </w:r>
      <w:r w:rsidR="00D65300" w:rsidRPr="009D52FD">
        <w:rPr>
          <w:kern w:val="2"/>
          <w:sz w:val="20"/>
          <w:szCs w:val="20"/>
          <w:lang w:val="en-US" w:eastAsia="en-US"/>
        </w:rPr>
        <w:t>,</w:t>
      </w:r>
      <w:r w:rsidR="00E16893" w:rsidRPr="009D52FD">
        <w:rPr>
          <w:kern w:val="2"/>
          <w:sz w:val="20"/>
          <w:szCs w:val="20"/>
          <w:lang w:val="en-US" w:eastAsia="en-US"/>
        </w:rPr>
        <w:t xml:space="preserve"> the threats and harassment against Linda Loaiza López Soto, her family members and her lawyer have been verified.</w:t>
      </w:r>
    </w:p>
    <w:p w14:paraId="7F3865DF" w14:textId="77777777" w:rsidR="00465B28" w:rsidRPr="009D52FD" w:rsidRDefault="00465B28" w:rsidP="002516A3">
      <w:pPr>
        <w:tabs>
          <w:tab w:val="left" w:pos="567"/>
        </w:tabs>
        <w:spacing w:line="240" w:lineRule="auto"/>
        <w:rPr>
          <w:kern w:val="2"/>
          <w:sz w:val="20"/>
          <w:szCs w:val="20"/>
          <w:lang w:val="en-US" w:eastAsia="en-US"/>
        </w:rPr>
      </w:pPr>
    </w:p>
    <w:p w14:paraId="31A9103A" w14:textId="5532D649" w:rsidR="00A75EDF" w:rsidRPr="009D52FD" w:rsidRDefault="00E16893" w:rsidP="00A518F8">
      <w:pPr>
        <w:numPr>
          <w:ilvl w:val="0"/>
          <w:numId w:val="1"/>
        </w:numPr>
        <w:tabs>
          <w:tab w:val="left" w:pos="567"/>
          <w:tab w:val="num" w:pos="12305"/>
        </w:tabs>
        <w:spacing w:line="240" w:lineRule="auto"/>
        <w:ind w:left="0" w:firstLine="0"/>
        <w:rPr>
          <w:spacing w:val="-2"/>
          <w:sz w:val="20"/>
          <w:szCs w:val="20"/>
          <w:lang w:val="en-US"/>
        </w:rPr>
      </w:pPr>
      <w:r w:rsidRPr="009D52FD">
        <w:rPr>
          <w:kern w:val="2"/>
          <w:sz w:val="20"/>
          <w:szCs w:val="20"/>
          <w:lang w:val="en-US" w:eastAsia="en-US"/>
        </w:rPr>
        <w:t xml:space="preserve">The foregoing signifies the perpetration of acts that violated </w:t>
      </w:r>
      <w:r w:rsidR="006E1F8F" w:rsidRPr="009D52FD">
        <w:rPr>
          <w:kern w:val="2"/>
          <w:sz w:val="20"/>
          <w:szCs w:val="20"/>
          <w:lang w:val="en-US" w:eastAsia="en-US"/>
        </w:rPr>
        <w:t xml:space="preserve">the </w:t>
      </w:r>
      <w:r w:rsidR="00997ADF" w:rsidRPr="009D52FD">
        <w:rPr>
          <w:kern w:val="2"/>
          <w:sz w:val="20"/>
          <w:szCs w:val="20"/>
          <w:lang w:val="en-US" w:eastAsia="en-US"/>
        </w:rPr>
        <w:t>rights</w:t>
      </w:r>
      <w:r w:rsidRPr="009D52FD">
        <w:rPr>
          <w:kern w:val="2"/>
          <w:sz w:val="20"/>
          <w:szCs w:val="20"/>
          <w:lang w:val="en-US" w:eastAsia="en-US"/>
        </w:rPr>
        <w:t xml:space="preserve"> of Linda Loaiza López Soto</w:t>
      </w:r>
      <w:r w:rsidR="00997ADF" w:rsidRPr="009D52FD">
        <w:rPr>
          <w:kern w:val="2"/>
          <w:sz w:val="20"/>
          <w:szCs w:val="20"/>
          <w:lang w:val="en-US" w:eastAsia="en-US"/>
        </w:rPr>
        <w:t xml:space="preserve"> to</w:t>
      </w:r>
      <w:r w:rsidR="00614E0E" w:rsidRPr="009D52FD">
        <w:rPr>
          <w:kern w:val="2"/>
          <w:sz w:val="20"/>
          <w:szCs w:val="20"/>
          <w:lang w:val="en-US" w:eastAsia="en-US"/>
        </w:rPr>
        <w:t xml:space="preserve"> </w:t>
      </w:r>
      <w:r w:rsidR="00997ADF" w:rsidRPr="009D52FD">
        <w:rPr>
          <w:kern w:val="2"/>
          <w:sz w:val="20"/>
          <w:szCs w:val="20"/>
          <w:lang w:val="en-US" w:eastAsia="en-US"/>
        </w:rPr>
        <w:t>personal integrity</w:t>
      </w:r>
      <w:r w:rsidR="00614E0E" w:rsidRPr="009D52FD">
        <w:rPr>
          <w:kern w:val="2"/>
          <w:sz w:val="20"/>
          <w:szCs w:val="20"/>
          <w:lang w:val="en-US" w:eastAsia="en-US"/>
        </w:rPr>
        <w:t>,</w:t>
      </w:r>
      <w:r w:rsidR="001A15D9" w:rsidRPr="009D52FD">
        <w:rPr>
          <w:kern w:val="2"/>
          <w:sz w:val="20"/>
          <w:szCs w:val="20"/>
          <w:lang w:val="en-US" w:eastAsia="en-US"/>
        </w:rPr>
        <w:t xml:space="preserve"> </w:t>
      </w:r>
      <w:r w:rsidRPr="009D52FD">
        <w:rPr>
          <w:kern w:val="2"/>
          <w:sz w:val="20"/>
          <w:szCs w:val="20"/>
          <w:lang w:val="en-US" w:eastAsia="en-US"/>
        </w:rPr>
        <w:t xml:space="preserve">prohibition of torture, </w:t>
      </w:r>
      <w:r w:rsidR="00996337" w:rsidRPr="009D52FD">
        <w:rPr>
          <w:kern w:val="2"/>
          <w:sz w:val="20"/>
          <w:szCs w:val="20"/>
          <w:lang w:val="en-US" w:eastAsia="en-US"/>
        </w:rPr>
        <w:t>judicial guarantees</w:t>
      </w:r>
      <w:r w:rsidR="0078769F" w:rsidRPr="009D52FD">
        <w:rPr>
          <w:kern w:val="2"/>
          <w:sz w:val="20"/>
          <w:szCs w:val="20"/>
          <w:lang w:val="en-US" w:eastAsia="en-US"/>
        </w:rPr>
        <w:t xml:space="preserve">, </w:t>
      </w:r>
      <w:r w:rsidR="00996337" w:rsidRPr="009D52FD">
        <w:rPr>
          <w:kern w:val="2"/>
          <w:sz w:val="20"/>
          <w:szCs w:val="20"/>
          <w:lang w:val="en-US" w:eastAsia="en-US"/>
        </w:rPr>
        <w:t>dignity, autonomy and privacy</w:t>
      </w:r>
      <w:r w:rsidR="00520B82" w:rsidRPr="009D52FD">
        <w:rPr>
          <w:kern w:val="2"/>
          <w:sz w:val="20"/>
          <w:szCs w:val="20"/>
          <w:lang w:val="en-US" w:eastAsia="en-US"/>
        </w:rPr>
        <w:t xml:space="preserve">, </w:t>
      </w:r>
      <w:r w:rsidR="00996337" w:rsidRPr="009D52FD">
        <w:rPr>
          <w:kern w:val="2"/>
          <w:sz w:val="20"/>
          <w:szCs w:val="20"/>
          <w:lang w:val="en-US" w:eastAsia="en-US"/>
        </w:rPr>
        <w:t>equality before the law</w:t>
      </w:r>
      <w:r w:rsidR="003630BB" w:rsidRPr="009D52FD">
        <w:rPr>
          <w:kern w:val="2"/>
          <w:sz w:val="20"/>
          <w:szCs w:val="20"/>
          <w:lang w:val="en-US" w:eastAsia="en-US"/>
        </w:rPr>
        <w:t xml:space="preserve"> and </w:t>
      </w:r>
      <w:r w:rsidR="00996337" w:rsidRPr="009D52FD">
        <w:rPr>
          <w:kern w:val="2"/>
          <w:sz w:val="20"/>
          <w:szCs w:val="20"/>
          <w:lang w:val="en-US" w:eastAsia="en-US"/>
        </w:rPr>
        <w:t>judicial protection</w:t>
      </w:r>
      <w:r w:rsidR="00614E0E" w:rsidRPr="009D52FD">
        <w:rPr>
          <w:kern w:val="2"/>
          <w:sz w:val="20"/>
          <w:szCs w:val="20"/>
          <w:lang w:val="en-US" w:eastAsia="en-US"/>
        </w:rPr>
        <w:t xml:space="preserve">, </w:t>
      </w:r>
      <w:r w:rsidRPr="009D52FD">
        <w:rPr>
          <w:kern w:val="2"/>
          <w:sz w:val="20"/>
          <w:szCs w:val="20"/>
          <w:lang w:val="en-US" w:eastAsia="en-US"/>
        </w:rPr>
        <w:t>recognized in</w:t>
      </w:r>
      <w:r w:rsidR="00614E0E" w:rsidRPr="009D52FD">
        <w:rPr>
          <w:kern w:val="2"/>
          <w:sz w:val="20"/>
          <w:szCs w:val="20"/>
          <w:lang w:val="en-US" w:eastAsia="en-US"/>
        </w:rPr>
        <w:t xml:space="preserve"> </w:t>
      </w:r>
      <w:r w:rsidR="003630BB" w:rsidRPr="009D52FD">
        <w:rPr>
          <w:kern w:val="2"/>
          <w:sz w:val="20"/>
          <w:szCs w:val="20"/>
          <w:lang w:val="en-US" w:eastAsia="en-US"/>
        </w:rPr>
        <w:t>Articles</w:t>
      </w:r>
      <w:r w:rsidR="00483040" w:rsidRPr="009D52FD">
        <w:rPr>
          <w:kern w:val="2"/>
          <w:sz w:val="20"/>
          <w:szCs w:val="20"/>
          <w:lang w:val="en-US" w:eastAsia="en-US"/>
        </w:rPr>
        <w:t xml:space="preserve"> 5(1)</w:t>
      </w:r>
      <w:r w:rsidR="00614E0E" w:rsidRPr="009D52FD">
        <w:rPr>
          <w:kern w:val="2"/>
          <w:sz w:val="20"/>
          <w:szCs w:val="20"/>
          <w:lang w:val="en-US" w:eastAsia="en-US"/>
        </w:rPr>
        <w:t>,</w:t>
      </w:r>
      <w:r w:rsidR="00483040" w:rsidRPr="009D52FD">
        <w:rPr>
          <w:kern w:val="2"/>
          <w:sz w:val="20"/>
          <w:szCs w:val="20"/>
          <w:lang w:val="en-US" w:eastAsia="en-US"/>
        </w:rPr>
        <w:t xml:space="preserve"> 5(2)</w:t>
      </w:r>
      <w:r w:rsidR="00614E0E" w:rsidRPr="009D52FD">
        <w:rPr>
          <w:kern w:val="2"/>
          <w:sz w:val="20"/>
          <w:szCs w:val="20"/>
          <w:lang w:val="en-US" w:eastAsia="en-US"/>
        </w:rPr>
        <w:t>,</w:t>
      </w:r>
      <w:r w:rsidR="00483040" w:rsidRPr="009D52FD">
        <w:rPr>
          <w:kern w:val="2"/>
          <w:sz w:val="20"/>
          <w:szCs w:val="20"/>
          <w:lang w:val="en-US" w:eastAsia="en-US"/>
        </w:rPr>
        <w:t xml:space="preserve"> 8(1)</w:t>
      </w:r>
      <w:r w:rsidR="00120905" w:rsidRPr="009D52FD">
        <w:rPr>
          <w:kern w:val="2"/>
          <w:sz w:val="20"/>
          <w:szCs w:val="20"/>
          <w:lang w:val="en-US" w:eastAsia="en-US"/>
        </w:rPr>
        <w:t xml:space="preserve">, </w:t>
      </w:r>
      <w:r w:rsidR="0078769F" w:rsidRPr="009D52FD">
        <w:rPr>
          <w:kern w:val="2"/>
          <w:sz w:val="20"/>
          <w:szCs w:val="20"/>
          <w:lang w:val="en-US" w:eastAsia="en-US"/>
        </w:rPr>
        <w:t xml:space="preserve">11, </w:t>
      </w:r>
      <w:r w:rsidR="00120905" w:rsidRPr="009D52FD">
        <w:rPr>
          <w:kern w:val="2"/>
          <w:sz w:val="20"/>
          <w:szCs w:val="20"/>
          <w:lang w:val="en-US" w:eastAsia="en-US"/>
        </w:rPr>
        <w:t>24</w:t>
      </w:r>
      <w:r w:rsidR="003630BB" w:rsidRPr="009D52FD">
        <w:rPr>
          <w:kern w:val="2"/>
          <w:sz w:val="20"/>
          <w:szCs w:val="20"/>
          <w:lang w:val="en-US" w:eastAsia="en-US"/>
        </w:rPr>
        <w:t xml:space="preserve"> and</w:t>
      </w:r>
      <w:r w:rsidR="00D32B3E" w:rsidRPr="009D52FD">
        <w:rPr>
          <w:kern w:val="2"/>
          <w:sz w:val="20"/>
          <w:szCs w:val="20"/>
          <w:lang w:val="en-US" w:eastAsia="en-US"/>
        </w:rPr>
        <w:t xml:space="preserve"> 25(1)</w:t>
      </w:r>
      <w:r w:rsidR="003630BB" w:rsidRPr="009D52FD">
        <w:rPr>
          <w:kern w:val="2"/>
          <w:sz w:val="20"/>
          <w:szCs w:val="20"/>
          <w:lang w:val="en-US" w:eastAsia="en-US"/>
        </w:rPr>
        <w:t xml:space="preserve"> of the American Convention</w:t>
      </w:r>
      <w:r w:rsidR="00614E0E" w:rsidRPr="009D52FD">
        <w:rPr>
          <w:kern w:val="2"/>
          <w:sz w:val="20"/>
          <w:szCs w:val="20"/>
          <w:lang w:val="en-US" w:eastAsia="en-US"/>
        </w:rPr>
        <w:t xml:space="preserve">, </w:t>
      </w:r>
      <w:r w:rsidR="00997ADF" w:rsidRPr="009D52FD">
        <w:rPr>
          <w:kern w:val="2"/>
          <w:sz w:val="20"/>
          <w:szCs w:val="20"/>
          <w:lang w:val="en-US" w:eastAsia="en-US"/>
        </w:rPr>
        <w:t>in relation to</w:t>
      </w:r>
      <w:r w:rsidR="00614E0E" w:rsidRPr="009D52FD">
        <w:rPr>
          <w:kern w:val="2"/>
          <w:sz w:val="20"/>
          <w:szCs w:val="20"/>
          <w:lang w:val="en-US" w:eastAsia="en-US"/>
        </w:rPr>
        <w:t xml:space="preserve"> </w:t>
      </w:r>
      <w:r w:rsidRPr="009D52FD">
        <w:rPr>
          <w:kern w:val="2"/>
          <w:sz w:val="20"/>
          <w:szCs w:val="20"/>
          <w:lang w:val="en-US" w:eastAsia="en-US"/>
        </w:rPr>
        <w:t>the obligations contained in</w:t>
      </w:r>
      <w:r w:rsidR="00710B2F" w:rsidRPr="009D52FD">
        <w:rPr>
          <w:kern w:val="2"/>
          <w:sz w:val="20"/>
          <w:szCs w:val="20"/>
          <w:lang w:val="en-US" w:eastAsia="en-US"/>
        </w:rPr>
        <w:t xml:space="preserve"> </w:t>
      </w:r>
      <w:r w:rsidR="00483040" w:rsidRPr="009D52FD">
        <w:rPr>
          <w:kern w:val="2"/>
          <w:sz w:val="20"/>
          <w:szCs w:val="20"/>
          <w:lang w:val="en-US" w:eastAsia="en-US"/>
        </w:rPr>
        <w:t>Articles 1(1)</w:t>
      </w:r>
      <w:r w:rsidR="003630BB" w:rsidRPr="009D52FD">
        <w:rPr>
          <w:kern w:val="2"/>
          <w:sz w:val="20"/>
          <w:szCs w:val="20"/>
          <w:lang w:val="en-US" w:eastAsia="en-US"/>
        </w:rPr>
        <w:t xml:space="preserve"> and </w:t>
      </w:r>
      <w:r w:rsidR="00710B2F" w:rsidRPr="009D52FD">
        <w:rPr>
          <w:kern w:val="2"/>
          <w:sz w:val="20"/>
          <w:szCs w:val="20"/>
          <w:lang w:val="en-US" w:eastAsia="en-US"/>
        </w:rPr>
        <w:t xml:space="preserve">2 </w:t>
      </w:r>
      <w:r w:rsidR="00483040" w:rsidRPr="009D52FD">
        <w:rPr>
          <w:kern w:val="2"/>
          <w:sz w:val="20"/>
          <w:szCs w:val="20"/>
          <w:lang w:val="en-US" w:eastAsia="en-US"/>
        </w:rPr>
        <w:t>of this instrument</w:t>
      </w:r>
      <w:r w:rsidR="00710B2F" w:rsidRPr="009D52FD">
        <w:rPr>
          <w:kern w:val="2"/>
          <w:sz w:val="20"/>
          <w:szCs w:val="20"/>
          <w:lang w:val="en-US" w:eastAsia="en-US"/>
        </w:rPr>
        <w:t xml:space="preserve">, </w:t>
      </w:r>
      <w:r w:rsidR="003630BB" w:rsidRPr="009D52FD">
        <w:rPr>
          <w:kern w:val="2"/>
          <w:sz w:val="20"/>
          <w:szCs w:val="20"/>
          <w:lang w:val="en-US" w:eastAsia="en-US"/>
        </w:rPr>
        <w:t>Article</w:t>
      </w:r>
      <w:r w:rsidR="0022106F" w:rsidRPr="009D52FD">
        <w:rPr>
          <w:kern w:val="2"/>
          <w:sz w:val="20"/>
          <w:szCs w:val="20"/>
          <w:lang w:val="en-US" w:eastAsia="en-US"/>
        </w:rPr>
        <w:t xml:space="preserve"> </w:t>
      </w:r>
      <w:r w:rsidR="00614E0E" w:rsidRPr="009D52FD">
        <w:rPr>
          <w:kern w:val="2"/>
          <w:sz w:val="20"/>
          <w:szCs w:val="20"/>
          <w:lang w:val="en-US" w:eastAsia="en-US"/>
        </w:rPr>
        <w:t>7</w:t>
      </w:r>
      <w:r w:rsidR="003630BB" w:rsidRPr="009D52FD">
        <w:rPr>
          <w:kern w:val="2"/>
          <w:sz w:val="20"/>
          <w:szCs w:val="20"/>
          <w:lang w:val="en-US" w:eastAsia="en-US"/>
        </w:rPr>
        <w:t xml:space="preserve"> of the Convention</w:t>
      </w:r>
      <w:r w:rsidR="00614E0E" w:rsidRPr="009D52FD">
        <w:rPr>
          <w:kern w:val="2"/>
          <w:sz w:val="20"/>
          <w:szCs w:val="20"/>
          <w:lang w:val="en-US" w:eastAsia="en-US"/>
        </w:rPr>
        <w:t xml:space="preserve"> </w:t>
      </w:r>
      <w:r w:rsidR="00483040" w:rsidRPr="009D52FD">
        <w:rPr>
          <w:kern w:val="2"/>
          <w:sz w:val="20"/>
          <w:szCs w:val="20"/>
          <w:lang w:val="en-US" w:eastAsia="en-US"/>
        </w:rPr>
        <w:t>of Belém</w:t>
      </w:r>
      <w:r w:rsidR="00614E0E" w:rsidRPr="009D52FD">
        <w:rPr>
          <w:kern w:val="2"/>
          <w:sz w:val="20"/>
          <w:szCs w:val="20"/>
          <w:lang w:val="en-US" w:eastAsia="en-US"/>
        </w:rPr>
        <w:t xml:space="preserve"> do Pará</w:t>
      </w:r>
      <w:r w:rsidR="003630BB" w:rsidRPr="009D52FD">
        <w:rPr>
          <w:kern w:val="2"/>
          <w:sz w:val="20"/>
          <w:szCs w:val="20"/>
          <w:lang w:val="en-US" w:eastAsia="en-US"/>
        </w:rPr>
        <w:t xml:space="preserve"> and Articles</w:t>
      </w:r>
      <w:r w:rsidR="00614E0E" w:rsidRPr="009D52FD">
        <w:rPr>
          <w:kern w:val="2"/>
          <w:sz w:val="20"/>
          <w:szCs w:val="20"/>
          <w:lang w:val="en-US" w:eastAsia="en-US"/>
        </w:rPr>
        <w:t xml:space="preserve"> 1, 6</w:t>
      </w:r>
      <w:r w:rsidR="003630BB" w:rsidRPr="009D52FD">
        <w:rPr>
          <w:kern w:val="2"/>
          <w:sz w:val="20"/>
          <w:szCs w:val="20"/>
          <w:lang w:val="en-US" w:eastAsia="en-US"/>
        </w:rPr>
        <w:t xml:space="preserve"> and </w:t>
      </w:r>
      <w:r w:rsidR="00614E0E" w:rsidRPr="009D52FD">
        <w:rPr>
          <w:kern w:val="2"/>
          <w:sz w:val="20"/>
          <w:szCs w:val="20"/>
          <w:lang w:val="en-US" w:eastAsia="en-US"/>
        </w:rPr>
        <w:t xml:space="preserve">8 </w:t>
      </w:r>
      <w:r w:rsidR="00D32B3E" w:rsidRPr="009D52FD">
        <w:rPr>
          <w:kern w:val="2"/>
          <w:sz w:val="20"/>
          <w:szCs w:val="20"/>
          <w:lang w:val="en-US" w:eastAsia="en-US"/>
        </w:rPr>
        <w:t>of the ICPPT</w:t>
      </w:r>
      <w:r w:rsidR="00614E0E" w:rsidRPr="009D52FD">
        <w:rPr>
          <w:kern w:val="2"/>
          <w:sz w:val="20"/>
          <w:szCs w:val="20"/>
          <w:lang w:val="en-US" w:eastAsia="en-US"/>
        </w:rPr>
        <w:t>.</w:t>
      </w:r>
    </w:p>
    <w:p w14:paraId="3DE0506B" w14:textId="77777777" w:rsidR="009E4F6C" w:rsidRPr="009D52FD" w:rsidRDefault="009E4F6C" w:rsidP="00A75EDF">
      <w:pPr>
        <w:tabs>
          <w:tab w:val="left" w:pos="7157"/>
        </w:tabs>
        <w:spacing w:line="240" w:lineRule="auto"/>
        <w:rPr>
          <w:rFonts w:eastAsiaTheme="minorHAnsi" w:cstheme="minorBidi"/>
          <w:sz w:val="20"/>
          <w:szCs w:val="20"/>
          <w:lang w:val="en-US" w:eastAsia="en-US"/>
        </w:rPr>
      </w:pPr>
    </w:p>
    <w:p w14:paraId="617A006C" w14:textId="3839524F" w:rsidR="009E4F6C" w:rsidRPr="009D52FD" w:rsidRDefault="009E4F6C" w:rsidP="009E4F6C">
      <w:pPr>
        <w:keepNext/>
        <w:keepLines/>
        <w:widowControl/>
        <w:tabs>
          <w:tab w:val="left" w:pos="851"/>
        </w:tabs>
        <w:autoSpaceDE w:val="0"/>
        <w:autoSpaceDN w:val="0"/>
        <w:spacing w:line="240" w:lineRule="auto"/>
        <w:jc w:val="center"/>
        <w:textAlignment w:val="auto"/>
        <w:outlineLvl w:val="0"/>
        <w:rPr>
          <w:rFonts w:cs="Arial"/>
          <w:b/>
          <w:bCs/>
          <w:caps/>
          <w:sz w:val="20"/>
          <w:szCs w:val="20"/>
          <w:lang w:val="en-US" w:eastAsia="en-US"/>
        </w:rPr>
      </w:pPr>
      <w:bookmarkStart w:id="99" w:name="_Toc495658690"/>
      <w:bookmarkStart w:id="100" w:name="_Toc514172658"/>
      <w:bookmarkStart w:id="101" w:name="_Toc51400108"/>
      <w:r w:rsidRPr="009D52FD">
        <w:rPr>
          <w:rFonts w:cs="Arial"/>
          <w:b/>
          <w:bCs/>
          <w:caps/>
          <w:sz w:val="20"/>
          <w:szCs w:val="20"/>
          <w:lang w:val="en-US" w:eastAsia="en-US"/>
        </w:rPr>
        <w:lastRenderedPageBreak/>
        <w:t>VIII-3</w:t>
      </w:r>
      <w:r w:rsidRPr="009D52FD">
        <w:rPr>
          <w:rFonts w:cs="Arial"/>
          <w:b/>
          <w:bCs/>
          <w:caps/>
          <w:sz w:val="20"/>
          <w:szCs w:val="20"/>
          <w:lang w:val="en-US" w:eastAsia="en-US"/>
        </w:rPr>
        <w:br/>
      </w:r>
      <w:r w:rsidR="00E16893" w:rsidRPr="009D52FD">
        <w:rPr>
          <w:rFonts w:cs="Arial"/>
          <w:b/>
          <w:bCs/>
          <w:caps/>
          <w:sz w:val="20"/>
          <w:szCs w:val="20"/>
          <w:lang w:val="en-US" w:eastAsia="en-US"/>
        </w:rPr>
        <w:t>RIGHT TO</w:t>
      </w:r>
      <w:r w:rsidRPr="009D52FD">
        <w:rPr>
          <w:rFonts w:cs="Arial"/>
          <w:b/>
          <w:bCs/>
          <w:caps/>
          <w:sz w:val="20"/>
          <w:szCs w:val="20"/>
          <w:lang w:val="en-US" w:eastAsia="en-US"/>
        </w:rPr>
        <w:t xml:space="preserve"> </w:t>
      </w:r>
      <w:r w:rsidR="00997ADF" w:rsidRPr="009D52FD">
        <w:rPr>
          <w:rFonts w:cs="Arial"/>
          <w:b/>
          <w:bCs/>
          <w:caps/>
          <w:sz w:val="20"/>
          <w:szCs w:val="20"/>
          <w:lang w:val="en-US" w:eastAsia="en-US"/>
        </w:rPr>
        <w:t>Personal integrity</w:t>
      </w:r>
      <w:r w:rsidRPr="009D52FD">
        <w:rPr>
          <w:rFonts w:eastAsiaTheme="majorEastAsia" w:cs="Arial"/>
          <w:bCs/>
          <w:caps/>
          <w:sz w:val="20"/>
          <w:szCs w:val="20"/>
          <w:vertAlign w:val="superscript"/>
          <w:lang w:val="en-US" w:eastAsia="en-US"/>
        </w:rPr>
        <w:footnoteReference w:id="356"/>
      </w:r>
      <w:r w:rsidRPr="009D52FD">
        <w:rPr>
          <w:rFonts w:cs="Arial"/>
          <w:b/>
          <w:bCs/>
          <w:caps/>
          <w:sz w:val="20"/>
          <w:szCs w:val="20"/>
          <w:lang w:val="en-US" w:eastAsia="en-US"/>
        </w:rPr>
        <w:t xml:space="preserve"> </w:t>
      </w:r>
      <w:r w:rsidR="00E16893" w:rsidRPr="009D52FD">
        <w:rPr>
          <w:rFonts w:cs="Arial"/>
          <w:b/>
          <w:bCs/>
          <w:caps/>
          <w:sz w:val="20"/>
          <w:szCs w:val="20"/>
          <w:lang w:val="en-US" w:eastAsia="en-US"/>
        </w:rPr>
        <w:t>OF THE FAMILY IN RELATION TO THE OBLIGATION TO RESPECT RIGHTS</w:t>
      </w:r>
      <w:bookmarkEnd w:id="99"/>
      <w:bookmarkEnd w:id="100"/>
      <w:bookmarkEnd w:id="101"/>
    </w:p>
    <w:p w14:paraId="206F0A20" w14:textId="77777777" w:rsidR="009E4F6C" w:rsidRPr="009D52FD" w:rsidRDefault="009E4F6C" w:rsidP="009E4F6C">
      <w:pPr>
        <w:tabs>
          <w:tab w:val="left" w:pos="720"/>
          <w:tab w:val="num" w:pos="1569"/>
        </w:tabs>
        <w:spacing w:line="240" w:lineRule="auto"/>
        <w:ind w:right="-90"/>
        <w:rPr>
          <w:rFonts w:cs="Verdana"/>
          <w:caps/>
          <w:snapToGrid w:val="0"/>
          <w:sz w:val="20"/>
          <w:szCs w:val="20"/>
          <w:lang w:val="en-US"/>
        </w:rPr>
      </w:pPr>
    </w:p>
    <w:p w14:paraId="5EE42DC3" w14:textId="2F10B995" w:rsidR="009E4F6C" w:rsidRPr="009D52FD" w:rsidRDefault="009E4F6C" w:rsidP="009E4F6C">
      <w:pPr>
        <w:keepNext/>
        <w:keepLines/>
        <w:widowControl/>
        <w:tabs>
          <w:tab w:val="left" w:pos="1134"/>
        </w:tabs>
        <w:autoSpaceDE w:val="0"/>
        <w:autoSpaceDN w:val="0"/>
        <w:spacing w:line="240" w:lineRule="auto"/>
        <w:ind w:left="567" w:firstLine="1"/>
        <w:textAlignment w:val="auto"/>
        <w:outlineLvl w:val="1"/>
        <w:rPr>
          <w:rFonts w:eastAsia="MS Mincho" w:cs="Arial"/>
          <w:b/>
          <w:bCs/>
          <w:i/>
          <w:sz w:val="20"/>
          <w:szCs w:val="20"/>
          <w:lang w:val="en-US" w:eastAsia="en-US"/>
        </w:rPr>
      </w:pPr>
      <w:bookmarkStart w:id="102" w:name="_Toc495658691"/>
      <w:bookmarkStart w:id="103" w:name="_Toc514172659"/>
      <w:bookmarkStart w:id="104" w:name="_Toc51400109"/>
      <w:r w:rsidRPr="009D52FD">
        <w:rPr>
          <w:rFonts w:eastAsia="MS Mincho" w:cs="Arial"/>
          <w:b/>
          <w:bCs/>
          <w:i/>
          <w:sz w:val="20"/>
          <w:szCs w:val="20"/>
          <w:lang w:val="en-US" w:eastAsia="en-US"/>
        </w:rPr>
        <w:t>A.</w:t>
      </w:r>
      <w:r w:rsidRPr="009D52FD">
        <w:rPr>
          <w:rFonts w:eastAsia="MS Mincho" w:cs="Arial"/>
          <w:b/>
          <w:bCs/>
          <w:i/>
          <w:sz w:val="20"/>
          <w:szCs w:val="20"/>
          <w:lang w:val="en-US" w:eastAsia="en-US"/>
        </w:rPr>
        <w:tab/>
      </w:r>
      <w:r w:rsidR="008A6211" w:rsidRPr="009D52FD">
        <w:rPr>
          <w:rFonts w:eastAsia="MS Mincho" w:cs="Arial"/>
          <w:b/>
          <w:bCs/>
          <w:i/>
          <w:sz w:val="20"/>
          <w:szCs w:val="20"/>
          <w:lang w:val="en-US" w:eastAsia="en-US"/>
        </w:rPr>
        <w:t>Arguments of the parties</w:t>
      </w:r>
      <w:r w:rsidR="003630BB" w:rsidRPr="009D52FD">
        <w:rPr>
          <w:rFonts w:eastAsia="MS Mincho" w:cs="Arial"/>
          <w:b/>
          <w:bCs/>
          <w:i/>
          <w:sz w:val="20"/>
          <w:szCs w:val="20"/>
          <w:lang w:val="en-US" w:eastAsia="en-US"/>
        </w:rPr>
        <w:t xml:space="preserve"> and of the Commission</w:t>
      </w:r>
      <w:bookmarkEnd w:id="102"/>
      <w:bookmarkEnd w:id="103"/>
      <w:bookmarkEnd w:id="104"/>
    </w:p>
    <w:p w14:paraId="72BC7E42" w14:textId="77777777" w:rsidR="009E4F6C" w:rsidRPr="009D52FD" w:rsidRDefault="009E4F6C" w:rsidP="009E4F6C">
      <w:pPr>
        <w:tabs>
          <w:tab w:val="left" w:pos="720"/>
          <w:tab w:val="num" w:pos="1569"/>
        </w:tabs>
        <w:spacing w:line="240" w:lineRule="auto"/>
        <w:ind w:right="-90"/>
        <w:rPr>
          <w:rFonts w:cs="Verdana"/>
          <w:caps/>
          <w:snapToGrid w:val="0"/>
          <w:sz w:val="20"/>
          <w:szCs w:val="20"/>
          <w:lang w:val="en-US"/>
        </w:rPr>
      </w:pPr>
    </w:p>
    <w:p w14:paraId="07E4B0F0" w14:textId="66643953" w:rsidR="00C2549E" w:rsidRPr="009D52FD" w:rsidRDefault="003630BB" w:rsidP="005F4A44">
      <w:pPr>
        <w:numPr>
          <w:ilvl w:val="0"/>
          <w:numId w:val="1"/>
        </w:numPr>
        <w:tabs>
          <w:tab w:val="left" w:pos="567"/>
          <w:tab w:val="num" w:pos="12305"/>
        </w:tabs>
        <w:spacing w:line="240" w:lineRule="auto"/>
        <w:ind w:left="0" w:firstLine="0"/>
        <w:rPr>
          <w:sz w:val="20"/>
          <w:szCs w:val="20"/>
          <w:lang w:val="en-US"/>
        </w:rPr>
      </w:pPr>
      <w:r w:rsidRPr="009D52FD">
        <w:rPr>
          <w:sz w:val="20"/>
          <w:szCs w:val="20"/>
          <w:lang w:val="en-US"/>
        </w:rPr>
        <w:t xml:space="preserve">The </w:t>
      </w:r>
      <w:r w:rsidRPr="009D52FD">
        <w:rPr>
          <w:b/>
          <w:bCs/>
          <w:i/>
          <w:iCs/>
          <w:sz w:val="20"/>
          <w:szCs w:val="20"/>
          <w:lang w:val="en-US"/>
        </w:rPr>
        <w:t>Commission</w:t>
      </w:r>
      <w:r w:rsidR="009E4F6C" w:rsidRPr="009D52FD">
        <w:rPr>
          <w:sz w:val="20"/>
          <w:szCs w:val="20"/>
          <w:lang w:val="en-US"/>
        </w:rPr>
        <w:t xml:space="preserve"> </w:t>
      </w:r>
      <w:r w:rsidR="005F4A44" w:rsidRPr="009D52FD">
        <w:rPr>
          <w:sz w:val="20"/>
          <w:szCs w:val="20"/>
          <w:lang w:val="en-US"/>
        </w:rPr>
        <w:t>indicated that</w:t>
      </w:r>
      <w:r w:rsidR="009E4F6C" w:rsidRPr="009D52FD">
        <w:rPr>
          <w:sz w:val="20"/>
          <w:szCs w:val="20"/>
          <w:lang w:val="en-US"/>
        </w:rPr>
        <w:t xml:space="preserve"> </w:t>
      </w:r>
      <w:r w:rsidR="005E1C79" w:rsidRPr="009D52FD">
        <w:rPr>
          <w:sz w:val="20"/>
          <w:szCs w:val="20"/>
          <w:lang w:val="en-US"/>
        </w:rPr>
        <w:t>“</w:t>
      </w:r>
      <w:r w:rsidR="005F4A44" w:rsidRPr="009D52FD">
        <w:rPr>
          <w:sz w:val="20"/>
          <w:szCs w:val="20"/>
          <w:lang w:val="en-US"/>
        </w:rPr>
        <w:t>the acts of violence suffered by</w:t>
      </w:r>
      <w:r w:rsidR="009E4F6C" w:rsidRPr="009D52FD">
        <w:rPr>
          <w:sz w:val="20"/>
          <w:szCs w:val="20"/>
          <w:lang w:val="en-US"/>
        </w:rPr>
        <w:t xml:space="preserve"> Linda Loaiza López </w:t>
      </w:r>
      <w:r w:rsidR="005F4A44" w:rsidRPr="009D52FD">
        <w:rPr>
          <w:sz w:val="20"/>
          <w:szCs w:val="20"/>
          <w:lang w:val="en-US"/>
        </w:rPr>
        <w:t>directly affected her family.” This suffering was increased as a result of the authorities’ failure to act in response</w:t>
      </w:r>
      <w:r w:rsidR="00D65300" w:rsidRPr="009D52FD">
        <w:rPr>
          <w:sz w:val="20"/>
          <w:szCs w:val="20"/>
          <w:lang w:val="en-US"/>
        </w:rPr>
        <w:t xml:space="preserve"> to the report</w:t>
      </w:r>
      <w:r w:rsidR="005F4A44" w:rsidRPr="009D52FD">
        <w:rPr>
          <w:sz w:val="20"/>
          <w:szCs w:val="20"/>
          <w:lang w:val="en-US"/>
        </w:rPr>
        <w:t xml:space="preserve"> that, starting on the day after her sister’s disappearance, Ana Secil</w:t>
      </w:r>
      <w:r w:rsidR="00002A76" w:rsidRPr="009D52FD">
        <w:rPr>
          <w:sz w:val="20"/>
          <w:szCs w:val="20"/>
          <w:lang w:val="en-US"/>
        </w:rPr>
        <w:t>i</w:t>
      </w:r>
      <w:r w:rsidR="005F4A44" w:rsidRPr="009D52FD">
        <w:rPr>
          <w:sz w:val="20"/>
          <w:szCs w:val="20"/>
          <w:lang w:val="en-US"/>
        </w:rPr>
        <w:t xml:space="preserve">a López Soto tried to file </w:t>
      </w:r>
      <w:r w:rsidR="00D65300" w:rsidRPr="009D52FD">
        <w:rPr>
          <w:sz w:val="20"/>
          <w:szCs w:val="20"/>
          <w:lang w:val="en-US"/>
        </w:rPr>
        <w:t xml:space="preserve">in order </w:t>
      </w:r>
      <w:r w:rsidR="005F4A44" w:rsidRPr="009D52FD">
        <w:rPr>
          <w:sz w:val="20"/>
          <w:szCs w:val="20"/>
          <w:lang w:val="en-US"/>
        </w:rPr>
        <w:t xml:space="preserve">to locate her. The testimony of Linda Loaiza’s parents and her siblings reveals the anguish they experienced on not knowing her whereabouts and not being able to </w:t>
      </w:r>
      <w:r w:rsidR="00D65300" w:rsidRPr="009D52FD">
        <w:rPr>
          <w:sz w:val="20"/>
          <w:szCs w:val="20"/>
          <w:lang w:val="en-US"/>
        </w:rPr>
        <w:t xml:space="preserve">do </w:t>
      </w:r>
      <w:r w:rsidR="005F4A44" w:rsidRPr="009D52FD">
        <w:rPr>
          <w:sz w:val="20"/>
          <w:szCs w:val="20"/>
          <w:lang w:val="en-US"/>
        </w:rPr>
        <w:t>anything to find her. The Commission also indicated that the López Soto family had reported having been subject to threats and harassment by the person allegedly responsible for the acts of violence suffered by Linda Loaiza; however, the authorities failed to respond to their reports, which increased their situation of vulnerability. In addition, the Commission took into account the testimony of Linda Loaiza’s parents on the impact they suffered when they saw her for the first time following her rescue, whic</w:t>
      </w:r>
      <w:r w:rsidR="00D65300" w:rsidRPr="009D52FD">
        <w:rPr>
          <w:sz w:val="20"/>
          <w:szCs w:val="20"/>
          <w:lang w:val="en-US"/>
        </w:rPr>
        <w:t>h</w:t>
      </w:r>
      <w:r w:rsidR="005F4A44" w:rsidRPr="009D52FD">
        <w:rPr>
          <w:sz w:val="20"/>
          <w:szCs w:val="20"/>
          <w:lang w:val="en-US"/>
        </w:rPr>
        <w:t xml:space="preserve"> affected their health, </w:t>
      </w:r>
      <w:r w:rsidR="00C2549E" w:rsidRPr="009D52FD">
        <w:rPr>
          <w:sz w:val="20"/>
          <w:szCs w:val="20"/>
          <w:lang w:val="en-US"/>
        </w:rPr>
        <w:t xml:space="preserve">especially that of her mother who was pregnant. The Commission also stressed the negligible sensitivity of the treatment accorded to the parents by the authorities because, initially, they were not allowed to see </w:t>
      </w:r>
      <w:r w:rsidR="00D65300" w:rsidRPr="009D52FD">
        <w:rPr>
          <w:sz w:val="20"/>
          <w:szCs w:val="20"/>
          <w:lang w:val="en-US"/>
        </w:rPr>
        <w:t>Linda Loaiza</w:t>
      </w:r>
      <w:r w:rsidR="00C2549E" w:rsidRPr="009D52FD">
        <w:rPr>
          <w:sz w:val="20"/>
          <w:szCs w:val="20"/>
          <w:lang w:val="en-US"/>
        </w:rPr>
        <w:t xml:space="preserve"> and had to prove that they were her parents. Lastly, the Commission considered that the denial of justice established in this case had also affected the members of the López Soto family, altered the family dynamic, had an impact on their financial situation, which was increased by the different expenses th</w:t>
      </w:r>
      <w:r w:rsidR="00D65300" w:rsidRPr="009D52FD">
        <w:rPr>
          <w:sz w:val="20"/>
          <w:szCs w:val="20"/>
          <w:lang w:val="en-US"/>
        </w:rPr>
        <w:t>ey</w:t>
      </w:r>
      <w:r w:rsidR="00C2549E" w:rsidRPr="009D52FD">
        <w:rPr>
          <w:sz w:val="20"/>
          <w:szCs w:val="20"/>
          <w:lang w:val="en-US"/>
        </w:rPr>
        <w:t xml:space="preserve"> had to incur </w:t>
      </w:r>
      <w:r w:rsidR="00D65300" w:rsidRPr="009D52FD">
        <w:rPr>
          <w:sz w:val="20"/>
          <w:szCs w:val="20"/>
          <w:lang w:val="en-US"/>
        </w:rPr>
        <w:t xml:space="preserve">in order to move </w:t>
      </w:r>
      <w:r w:rsidR="00C2549E" w:rsidRPr="009D52FD">
        <w:rPr>
          <w:sz w:val="20"/>
          <w:szCs w:val="20"/>
          <w:lang w:val="en-US"/>
        </w:rPr>
        <w:t xml:space="preserve">to Caracas and pay for all the procedures for the criminal proceedings that they themselves expedited to demand justice. Based on the foregoing, the Commission considered that the State was responsible for the violation </w:t>
      </w:r>
      <w:r w:rsidR="00D32B3E" w:rsidRPr="009D52FD">
        <w:rPr>
          <w:sz w:val="20"/>
          <w:szCs w:val="20"/>
          <w:lang w:val="en-US"/>
        </w:rPr>
        <w:t>of Article</w:t>
      </w:r>
      <w:r w:rsidR="00483040" w:rsidRPr="009D52FD">
        <w:rPr>
          <w:sz w:val="20"/>
          <w:szCs w:val="20"/>
          <w:lang w:val="en-US"/>
        </w:rPr>
        <w:t xml:space="preserve"> 5(1)</w:t>
      </w:r>
      <w:r w:rsidRPr="009D52FD">
        <w:rPr>
          <w:sz w:val="20"/>
          <w:szCs w:val="20"/>
          <w:lang w:val="en-US"/>
        </w:rPr>
        <w:t xml:space="preserve"> of the American Convention</w:t>
      </w:r>
      <w:r w:rsidR="009E4F6C" w:rsidRPr="009D52FD">
        <w:rPr>
          <w:sz w:val="20"/>
          <w:szCs w:val="20"/>
          <w:lang w:val="en-US"/>
        </w:rPr>
        <w:t xml:space="preserve">, </w:t>
      </w:r>
      <w:r w:rsidR="00997ADF" w:rsidRPr="009D52FD">
        <w:rPr>
          <w:sz w:val="20"/>
          <w:szCs w:val="20"/>
          <w:lang w:val="en-US"/>
        </w:rPr>
        <w:t>in relation to</w:t>
      </w:r>
      <w:r w:rsidR="009E4F6C" w:rsidRPr="009D52FD">
        <w:rPr>
          <w:sz w:val="20"/>
          <w:szCs w:val="20"/>
          <w:lang w:val="en-US"/>
        </w:rPr>
        <w:t xml:space="preserve"> </w:t>
      </w:r>
      <w:r w:rsidR="00483040" w:rsidRPr="009D52FD">
        <w:rPr>
          <w:sz w:val="20"/>
          <w:szCs w:val="20"/>
          <w:lang w:val="en-US"/>
        </w:rPr>
        <w:t>Article 1(1)</w:t>
      </w:r>
      <w:r w:rsidR="009E4F6C" w:rsidRPr="009D52FD">
        <w:rPr>
          <w:sz w:val="20"/>
          <w:szCs w:val="20"/>
          <w:lang w:val="en-US"/>
        </w:rPr>
        <w:t xml:space="preserve"> </w:t>
      </w:r>
      <w:r w:rsidR="00D32B3E" w:rsidRPr="009D52FD">
        <w:rPr>
          <w:sz w:val="20"/>
          <w:szCs w:val="20"/>
          <w:lang w:val="en-US"/>
        </w:rPr>
        <w:t>of this instrument</w:t>
      </w:r>
      <w:r w:rsidR="009E4F6C" w:rsidRPr="009D52FD">
        <w:rPr>
          <w:sz w:val="20"/>
          <w:szCs w:val="20"/>
          <w:lang w:val="en-US"/>
        </w:rPr>
        <w:t xml:space="preserve">, </w:t>
      </w:r>
      <w:r w:rsidR="00483040" w:rsidRPr="009D52FD">
        <w:rPr>
          <w:sz w:val="20"/>
          <w:szCs w:val="20"/>
          <w:lang w:val="en-US"/>
        </w:rPr>
        <w:t>to the detriment of</w:t>
      </w:r>
      <w:r w:rsidR="009E4F6C" w:rsidRPr="009D52FD">
        <w:rPr>
          <w:sz w:val="20"/>
          <w:szCs w:val="20"/>
          <w:lang w:val="en-US"/>
        </w:rPr>
        <w:t xml:space="preserve"> </w:t>
      </w:r>
      <w:r w:rsidR="00C2549E" w:rsidRPr="009D52FD">
        <w:rPr>
          <w:sz w:val="20"/>
          <w:szCs w:val="20"/>
          <w:lang w:val="en-US"/>
        </w:rPr>
        <w:t>the family members who have been identified. Regarding the arguments on the inadequate treatment received by the parents when the</w:t>
      </w:r>
      <w:r w:rsidR="00D65300" w:rsidRPr="009D52FD">
        <w:rPr>
          <w:sz w:val="20"/>
          <w:szCs w:val="20"/>
          <w:lang w:val="en-US"/>
        </w:rPr>
        <w:t>y moved</w:t>
      </w:r>
      <w:r w:rsidR="00C2549E" w:rsidRPr="009D52FD">
        <w:rPr>
          <w:sz w:val="20"/>
          <w:szCs w:val="20"/>
          <w:lang w:val="en-US"/>
        </w:rPr>
        <w:t xml:space="preserve"> to Caracas, the Commission clarified that “the determinations on the additional and unnecessary suffering caused to the family of Linda Loaiza, who already faced a traumatic situation on meeting up with her, </w:t>
      </w:r>
      <w:r w:rsidR="0050296C" w:rsidRPr="009D52FD">
        <w:rPr>
          <w:sz w:val="20"/>
          <w:szCs w:val="20"/>
          <w:lang w:val="en-US"/>
        </w:rPr>
        <w:t xml:space="preserve">were not verified with regard to a single moment or to a specific extent, but encompass the aggravated suffering in view of the failure of the authorities to respond to the report of </w:t>
      </w:r>
      <w:r w:rsidR="00D65300" w:rsidRPr="009D52FD">
        <w:rPr>
          <w:sz w:val="20"/>
          <w:szCs w:val="20"/>
          <w:lang w:val="en-US"/>
        </w:rPr>
        <w:t>her</w:t>
      </w:r>
      <w:r w:rsidR="0050296C" w:rsidRPr="009D52FD">
        <w:rPr>
          <w:sz w:val="20"/>
          <w:szCs w:val="20"/>
          <w:lang w:val="en-US"/>
        </w:rPr>
        <w:t xml:space="preserve"> disappearance […], the situation of helplessness that the family experienced as a result of the threats and harassment by the aggressor, the situation of uncertainty, </w:t>
      </w:r>
      <w:r w:rsidR="00D65300" w:rsidRPr="009D52FD">
        <w:rPr>
          <w:sz w:val="20"/>
          <w:szCs w:val="20"/>
          <w:lang w:val="en-US"/>
        </w:rPr>
        <w:t xml:space="preserve">and </w:t>
      </w:r>
      <w:r w:rsidR="0050296C" w:rsidRPr="009D52FD">
        <w:rPr>
          <w:sz w:val="20"/>
          <w:szCs w:val="20"/>
          <w:lang w:val="en-US"/>
        </w:rPr>
        <w:t>the impact on the family’s financial situation and their life projects.”</w:t>
      </w:r>
    </w:p>
    <w:p w14:paraId="184D2387" w14:textId="77777777" w:rsidR="009E4F6C" w:rsidRPr="009D52FD" w:rsidRDefault="009E4F6C" w:rsidP="009E4F6C">
      <w:pPr>
        <w:tabs>
          <w:tab w:val="left" w:pos="567"/>
        </w:tabs>
        <w:spacing w:line="240" w:lineRule="auto"/>
        <w:rPr>
          <w:sz w:val="20"/>
          <w:szCs w:val="20"/>
          <w:lang w:val="en-US"/>
        </w:rPr>
      </w:pPr>
    </w:p>
    <w:p w14:paraId="6258B806" w14:textId="08B992A9" w:rsidR="009E4F6C" w:rsidRPr="009D52FD" w:rsidRDefault="003630BB" w:rsidP="0050296C">
      <w:pPr>
        <w:numPr>
          <w:ilvl w:val="0"/>
          <w:numId w:val="1"/>
        </w:numPr>
        <w:tabs>
          <w:tab w:val="left" w:pos="567"/>
          <w:tab w:val="num" w:pos="12305"/>
        </w:tabs>
        <w:spacing w:line="240" w:lineRule="auto"/>
        <w:ind w:left="0" w:firstLine="0"/>
        <w:rPr>
          <w:sz w:val="20"/>
          <w:szCs w:val="20"/>
          <w:lang w:val="en-US"/>
        </w:rPr>
      </w:pPr>
      <w:r w:rsidRPr="009D52FD">
        <w:rPr>
          <w:sz w:val="20"/>
          <w:szCs w:val="20"/>
          <w:lang w:val="en-US"/>
        </w:rPr>
        <w:t>The</w:t>
      </w:r>
      <w:r w:rsidRPr="009D52FD">
        <w:rPr>
          <w:b/>
          <w:bCs/>
          <w:i/>
          <w:iCs/>
          <w:sz w:val="20"/>
          <w:szCs w:val="20"/>
          <w:lang w:val="en-US"/>
        </w:rPr>
        <w:t xml:space="preserve"> representatives</w:t>
      </w:r>
      <w:r w:rsidR="009E4F6C" w:rsidRPr="009D52FD">
        <w:rPr>
          <w:sz w:val="20"/>
          <w:szCs w:val="20"/>
          <w:lang w:val="en-US"/>
        </w:rPr>
        <w:t xml:space="preserve"> </w:t>
      </w:r>
      <w:r w:rsidR="0050296C" w:rsidRPr="009D52FD">
        <w:rPr>
          <w:sz w:val="20"/>
          <w:szCs w:val="20"/>
          <w:lang w:val="en-US"/>
        </w:rPr>
        <w:t xml:space="preserve">indicated that the egregious violations suffered by </w:t>
      </w:r>
      <w:r w:rsidR="009E4F6C" w:rsidRPr="009D52FD">
        <w:rPr>
          <w:sz w:val="20"/>
          <w:szCs w:val="20"/>
          <w:lang w:val="en-US"/>
        </w:rPr>
        <w:t>Linda</w:t>
      </w:r>
      <w:r w:rsidR="00851831" w:rsidRPr="009D52FD">
        <w:rPr>
          <w:sz w:val="20"/>
          <w:szCs w:val="20"/>
          <w:lang w:val="en-US"/>
        </w:rPr>
        <w:t xml:space="preserve"> Loaiza</w:t>
      </w:r>
      <w:r w:rsidR="009E4F6C" w:rsidRPr="009D52FD">
        <w:rPr>
          <w:sz w:val="20"/>
          <w:szCs w:val="20"/>
          <w:lang w:val="en-US"/>
        </w:rPr>
        <w:t xml:space="preserve"> dur</w:t>
      </w:r>
      <w:r w:rsidR="0050296C" w:rsidRPr="009D52FD">
        <w:rPr>
          <w:sz w:val="20"/>
          <w:szCs w:val="20"/>
          <w:lang w:val="en-US"/>
        </w:rPr>
        <w:t>ing her captivity caused profound suffering to the members of her family, which has been increased and remained over the years owing to the absence of an opportune and adequate judicial response. They noted that, from the moment of her disappearance, Linda Loaiza’s family ha</w:t>
      </w:r>
      <w:r w:rsidR="00EB715A" w:rsidRPr="009D52FD">
        <w:rPr>
          <w:sz w:val="20"/>
          <w:szCs w:val="20"/>
          <w:lang w:val="en-US"/>
        </w:rPr>
        <w:t>d</w:t>
      </w:r>
      <w:r w:rsidR="0050296C" w:rsidRPr="009D52FD">
        <w:rPr>
          <w:sz w:val="20"/>
          <w:szCs w:val="20"/>
          <w:lang w:val="en-US"/>
        </w:rPr>
        <w:t xml:space="preserve"> been prejudiced</w:t>
      </w:r>
      <w:r w:rsidR="00EB715A" w:rsidRPr="009D52FD">
        <w:rPr>
          <w:sz w:val="20"/>
          <w:szCs w:val="20"/>
          <w:lang w:val="en-US"/>
        </w:rPr>
        <w:t xml:space="preserve"> directly</w:t>
      </w:r>
      <w:r w:rsidR="0050296C" w:rsidRPr="009D52FD">
        <w:rPr>
          <w:sz w:val="20"/>
          <w:szCs w:val="20"/>
          <w:lang w:val="en-US"/>
        </w:rPr>
        <w:t xml:space="preserve"> because “they have all been victims of serious material and emotional harm that they have been unable to overcome.” They stressed that, as a result, Linda Loaiza’s parents were much less present in the life of their other children who had to assume responsibilities that did not correspond to their ages. Regarding Linda Loaiza’s parents, they indicated that they had to wait five days in order to see her for five minutes, because an order had been given prohibiting visits and, therefore, they had to prove their relationship to her. In addition, the representatives indicated that the failure of the Venezuelan authorities to respond to the reports filed on Linda Loaiza’s disappearance, their lack of sensitivity and their indifference, as well as the deficiencies in the investigation, prosecution and adequate punishment of all the facts, caused severe </w:t>
      </w:r>
      <w:r w:rsidR="00EB715A" w:rsidRPr="009D52FD">
        <w:rPr>
          <w:sz w:val="20"/>
          <w:szCs w:val="20"/>
          <w:lang w:val="en-US"/>
        </w:rPr>
        <w:t>distress</w:t>
      </w:r>
      <w:r w:rsidR="0050296C" w:rsidRPr="009D52FD">
        <w:rPr>
          <w:sz w:val="20"/>
          <w:szCs w:val="20"/>
          <w:lang w:val="en-US"/>
        </w:rPr>
        <w:t xml:space="preserve"> to all the members of the family, who</w:t>
      </w:r>
      <w:r w:rsidR="00717CBC" w:rsidRPr="009D52FD">
        <w:rPr>
          <w:sz w:val="20"/>
          <w:szCs w:val="20"/>
          <w:lang w:val="en-US"/>
        </w:rPr>
        <w:t xml:space="preserve"> suffered from hunger, lack of sleep, tiredness, anguish, and </w:t>
      </w:r>
      <w:r w:rsidR="00717CBC" w:rsidRPr="009D52FD">
        <w:rPr>
          <w:sz w:val="20"/>
          <w:szCs w:val="20"/>
          <w:lang w:val="en-US"/>
        </w:rPr>
        <w:lastRenderedPageBreak/>
        <w:t xml:space="preserve">inhuman and degrading treatment by the different institutions. Consequently, </w:t>
      </w:r>
      <w:r w:rsidRPr="009D52FD">
        <w:rPr>
          <w:sz w:val="20"/>
          <w:szCs w:val="20"/>
          <w:lang w:val="en-US"/>
        </w:rPr>
        <w:t>the representatives</w:t>
      </w:r>
      <w:r w:rsidR="009E4F6C" w:rsidRPr="009D52FD">
        <w:rPr>
          <w:sz w:val="20"/>
          <w:szCs w:val="20"/>
          <w:lang w:val="en-US"/>
        </w:rPr>
        <w:t xml:space="preserve"> conclu</w:t>
      </w:r>
      <w:r w:rsidR="00717CBC" w:rsidRPr="009D52FD">
        <w:rPr>
          <w:sz w:val="20"/>
          <w:szCs w:val="20"/>
          <w:lang w:val="en-US"/>
        </w:rPr>
        <w:t>ded that</w:t>
      </w:r>
      <w:r w:rsidR="009E4F6C" w:rsidRPr="009D52FD">
        <w:rPr>
          <w:sz w:val="20"/>
          <w:szCs w:val="20"/>
          <w:lang w:val="en-US"/>
        </w:rPr>
        <w:t xml:space="preserve"> </w:t>
      </w:r>
      <w:r w:rsidRPr="009D52FD">
        <w:rPr>
          <w:sz w:val="20"/>
          <w:szCs w:val="20"/>
          <w:lang w:val="en-US"/>
        </w:rPr>
        <w:t>the State</w:t>
      </w:r>
      <w:r w:rsidR="009E4F6C" w:rsidRPr="009D52FD">
        <w:rPr>
          <w:sz w:val="20"/>
          <w:szCs w:val="20"/>
          <w:lang w:val="en-US"/>
        </w:rPr>
        <w:t xml:space="preserve"> </w:t>
      </w:r>
      <w:r w:rsidR="00717CBC" w:rsidRPr="009D52FD">
        <w:rPr>
          <w:sz w:val="20"/>
          <w:szCs w:val="20"/>
          <w:lang w:val="en-US"/>
        </w:rPr>
        <w:t>was responsible for the violation</w:t>
      </w:r>
      <w:r w:rsidR="009E4F6C" w:rsidRPr="009D52FD">
        <w:rPr>
          <w:sz w:val="20"/>
          <w:szCs w:val="20"/>
          <w:lang w:val="en-US"/>
        </w:rPr>
        <w:t xml:space="preserve"> </w:t>
      </w:r>
      <w:r w:rsidR="00D32B3E" w:rsidRPr="009D52FD">
        <w:rPr>
          <w:sz w:val="20"/>
          <w:szCs w:val="20"/>
          <w:lang w:val="en-US"/>
        </w:rPr>
        <w:t>of Article</w:t>
      </w:r>
      <w:r w:rsidR="00483040" w:rsidRPr="009D52FD">
        <w:rPr>
          <w:sz w:val="20"/>
          <w:szCs w:val="20"/>
          <w:lang w:val="en-US"/>
        </w:rPr>
        <w:t xml:space="preserve"> 5(1)</w:t>
      </w:r>
      <w:r w:rsidRPr="009D52FD">
        <w:rPr>
          <w:sz w:val="20"/>
          <w:szCs w:val="20"/>
          <w:lang w:val="en-US"/>
        </w:rPr>
        <w:t xml:space="preserve"> of the American Convention</w:t>
      </w:r>
      <w:r w:rsidR="009E4F6C" w:rsidRPr="009D52FD">
        <w:rPr>
          <w:sz w:val="20"/>
          <w:szCs w:val="20"/>
          <w:lang w:val="en-US"/>
        </w:rPr>
        <w:t xml:space="preserve">, </w:t>
      </w:r>
      <w:r w:rsidR="00997ADF" w:rsidRPr="009D52FD">
        <w:rPr>
          <w:sz w:val="20"/>
          <w:szCs w:val="20"/>
          <w:lang w:val="en-US"/>
        </w:rPr>
        <w:t>in relation to</w:t>
      </w:r>
      <w:r w:rsidR="009E4F6C" w:rsidRPr="009D52FD">
        <w:rPr>
          <w:sz w:val="20"/>
          <w:szCs w:val="20"/>
          <w:lang w:val="en-US"/>
        </w:rPr>
        <w:t xml:space="preserve"> </w:t>
      </w:r>
      <w:r w:rsidR="00483040" w:rsidRPr="009D52FD">
        <w:rPr>
          <w:sz w:val="20"/>
          <w:szCs w:val="20"/>
          <w:lang w:val="en-US"/>
        </w:rPr>
        <w:t>Article 1(1)</w:t>
      </w:r>
      <w:r w:rsidR="009E4F6C" w:rsidRPr="009D52FD">
        <w:rPr>
          <w:sz w:val="20"/>
          <w:szCs w:val="20"/>
          <w:lang w:val="en-US"/>
        </w:rPr>
        <w:t xml:space="preserve"> </w:t>
      </w:r>
      <w:r w:rsidR="00D32B3E" w:rsidRPr="009D52FD">
        <w:rPr>
          <w:sz w:val="20"/>
          <w:szCs w:val="20"/>
          <w:lang w:val="en-US"/>
        </w:rPr>
        <w:t>of this instrument</w:t>
      </w:r>
      <w:r w:rsidR="009E4F6C" w:rsidRPr="009D52FD">
        <w:rPr>
          <w:sz w:val="20"/>
          <w:szCs w:val="20"/>
          <w:lang w:val="en-US"/>
        </w:rPr>
        <w:t xml:space="preserve">, </w:t>
      </w:r>
      <w:r w:rsidR="00483040" w:rsidRPr="009D52FD">
        <w:rPr>
          <w:sz w:val="20"/>
          <w:szCs w:val="20"/>
          <w:lang w:val="en-US"/>
        </w:rPr>
        <w:t>to the detriment of</w:t>
      </w:r>
      <w:r w:rsidR="009E4F6C" w:rsidRPr="009D52FD">
        <w:rPr>
          <w:sz w:val="20"/>
          <w:szCs w:val="20"/>
          <w:lang w:val="en-US"/>
        </w:rPr>
        <w:t xml:space="preserve"> </w:t>
      </w:r>
      <w:r w:rsidR="00717CBC" w:rsidRPr="009D52FD">
        <w:rPr>
          <w:sz w:val="20"/>
          <w:szCs w:val="20"/>
          <w:lang w:val="en-US"/>
        </w:rPr>
        <w:t>the members of</w:t>
      </w:r>
      <w:r w:rsidR="009E4F6C" w:rsidRPr="009D52FD">
        <w:rPr>
          <w:sz w:val="20"/>
          <w:szCs w:val="20"/>
          <w:lang w:val="en-US"/>
        </w:rPr>
        <w:t xml:space="preserve"> Linda Loaiza</w:t>
      </w:r>
      <w:r w:rsidR="00E849C9" w:rsidRPr="009D52FD">
        <w:rPr>
          <w:sz w:val="20"/>
          <w:szCs w:val="20"/>
          <w:lang w:val="en-US"/>
        </w:rPr>
        <w:t xml:space="preserve"> López Soto</w:t>
      </w:r>
      <w:r w:rsidR="00717CBC" w:rsidRPr="009D52FD">
        <w:rPr>
          <w:sz w:val="20"/>
          <w:szCs w:val="20"/>
          <w:lang w:val="en-US"/>
        </w:rPr>
        <w:t>’s family</w:t>
      </w:r>
      <w:r w:rsidR="009E4F6C" w:rsidRPr="009D52FD">
        <w:rPr>
          <w:sz w:val="20"/>
          <w:szCs w:val="20"/>
          <w:lang w:val="en-US"/>
        </w:rPr>
        <w:t>.</w:t>
      </w:r>
    </w:p>
    <w:p w14:paraId="0098B10D" w14:textId="77777777" w:rsidR="009E4F6C" w:rsidRPr="009D52FD" w:rsidRDefault="009E4F6C" w:rsidP="009E4F6C">
      <w:pPr>
        <w:tabs>
          <w:tab w:val="left" w:pos="567"/>
        </w:tabs>
        <w:spacing w:line="240" w:lineRule="auto"/>
        <w:rPr>
          <w:sz w:val="20"/>
          <w:szCs w:val="20"/>
          <w:lang w:val="en-US"/>
        </w:rPr>
      </w:pPr>
    </w:p>
    <w:p w14:paraId="7CCCDE4A" w14:textId="0A22DA25" w:rsidR="009E4F6C" w:rsidRPr="009D52FD" w:rsidRDefault="003630BB" w:rsidP="00717CBC">
      <w:pPr>
        <w:numPr>
          <w:ilvl w:val="0"/>
          <w:numId w:val="1"/>
        </w:numPr>
        <w:tabs>
          <w:tab w:val="left" w:pos="567"/>
          <w:tab w:val="num" w:pos="12305"/>
        </w:tabs>
        <w:spacing w:line="240" w:lineRule="auto"/>
        <w:ind w:left="0" w:firstLine="0"/>
        <w:rPr>
          <w:sz w:val="20"/>
          <w:szCs w:val="20"/>
          <w:u w:val="single"/>
          <w:lang w:val="en-US"/>
        </w:rPr>
      </w:pPr>
      <w:r w:rsidRPr="009D52FD">
        <w:rPr>
          <w:sz w:val="20"/>
          <w:szCs w:val="20"/>
          <w:lang w:val="en-US"/>
        </w:rPr>
        <w:t xml:space="preserve">The </w:t>
      </w:r>
      <w:r w:rsidRPr="009D52FD">
        <w:rPr>
          <w:b/>
          <w:bCs/>
          <w:i/>
          <w:iCs/>
          <w:sz w:val="20"/>
          <w:szCs w:val="20"/>
          <w:lang w:val="en-US"/>
        </w:rPr>
        <w:t>State</w:t>
      </w:r>
      <w:r w:rsidR="009E4F6C" w:rsidRPr="009D52FD">
        <w:rPr>
          <w:sz w:val="20"/>
          <w:szCs w:val="20"/>
          <w:lang w:val="en-US"/>
        </w:rPr>
        <w:t xml:space="preserve"> </w:t>
      </w:r>
      <w:r w:rsidR="00717CBC" w:rsidRPr="009D52FD">
        <w:rPr>
          <w:sz w:val="20"/>
          <w:szCs w:val="20"/>
          <w:lang w:val="en-US"/>
        </w:rPr>
        <w:t>acknowledged its</w:t>
      </w:r>
      <w:r w:rsidR="009E4F6C" w:rsidRPr="009D52FD">
        <w:rPr>
          <w:sz w:val="20"/>
          <w:szCs w:val="20"/>
          <w:lang w:val="en-US"/>
        </w:rPr>
        <w:t xml:space="preserve"> </w:t>
      </w:r>
      <w:r w:rsidR="0098665D" w:rsidRPr="009D52FD">
        <w:rPr>
          <w:sz w:val="20"/>
          <w:szCs w:val="20"/>
          <w:lang w:val="en-US"/>
        </w:rPr>
        <w:t>international responsibility</w:t>
      </w:r>
      <w:r w:rsidR="009E4F6C" w:rsidRPr="009D52FD">
        <w:rPr>
          <w:sz w:val="20"/>
          <w:szCs w:val="20"/>
          <w:lang w:val="en-US"/>
        </w:rPr>
        <w:t xml:space="preserve"> deriv</w:t>
      </w:r>
      <w:r w:rsidR="00717CBC" w:rsidRPr="009D52FD">
        <w:rPr>
          <w:sz w:val="20"/>
          <w:szCs w:val="20"/>
          <w:lang w:val="en-US"/>
        </w:rPr>
        <w:t xml:space="preserve">ed from </w:t>
      </w:r>
      <w:r w:rsidR="006E1F8F" w:rsidRPr="009D52FD">
        <w:rPr>
          <w:sz w:val="20"/>
          <w:szCs w:val="20"/>
          <w:lang w:val="en-US"/>
        </w:rPr>
        <w:t xml:space="preserve">the </w:t>
      </w:r>
      <w:r w:rsidR="0064755C" w:rsidRPr="009D52FD">
        <w:rPr>
          <w:sz w:val="20"/>
          <w:szCs w:val="20"/>
          <w:lang w:val="en-US"/>
        </w:rPr>
        <w:t xml:space="preserve">violation </w:t>
      </w:r>
      <w:r w:rsidR="007D3D4F" w:rsidRPr="009D52FD">
        <w:rPr>
          <w:sz w:val="20"/>
          <w:szCs w:val="20"/>
          <w:lang w:val="en-US"/>
        </w:rPr>
        <w:t>of the right to</w:t>
      </w:r>
      <w:r w:rsidR="009E4F6C" w:rsidRPr="009D52FD">
        <w:rPr>
          <w:sz w:val="20"/>
          <w:szCs w:val="20"/>
          <w:lang w:val="en-US"/>
        </w:rPr>
        <w:t xml:space="preserve"> </w:t>
      </w:r>
      <w:r w:rsidR="00997ADF" w:rsidRPr="009D52FD">
        <w:rPr>
          <w:sz w:val="20"/>
          <w:szCs w:val="20"/>
          <w:lang w:val="en-US"/>
        </w:rPr>
        <w:t>personal integrity</w:t>
      </w:r>
      <w:r w:rsidR="009E4F6C" w:rsidRPr="009D52FD">
        <w:rPr>
          <w:sz w:val="20"/>
          <w:szCs w:val="20"/>
          <w:lang w:val="en-US"/>
        </w:rPr>
        <w:t xml:space="preserve"> </w:t>
      </w:r>
      <w:r w:rsidR="00717CBC" w:rsidRPr="009D52FD">
        <w:rPr>
          <w:sz w:val="20"/>
          <w:szCs w:val="20"/>
          <w:lang w:val="en-US"/>
        </w:rPr>
        <w:t>established in</w:t>
      </w:r>
      <w:r w:rsidR="009E4F6C" w:rsidRPr="009D52FD">
        <w:rPr>
          <w:sz w:val="20"/>
          <w:szCs w:val="20"/>
          <w:lang w:val="en-US"/>
        </w:rPr>
        <w:t xml:space="preserve"> </w:t>
      </w:r>
      <w:r w:rsidRPr="009D52FD">
        <w:rPr>
          <w:sz w:val="20"/>
          <w:szCs w:val="20"/>
          <w:lang w:val="en-US"/>
        </w:rPr>
        <w:t>Article</w:t>
      </w:r>
      <w:r w:rsidR="009E4F6C" w:rsidRPr="009D52FD">
        <w:rPr>
          <w:sz w:val="20"/>
          <w:szCs w:val="20"/>
          <w:lang w:val="en-US"/>
        </w:rPr>
        <w:t xml:space="preserve"> 5</w:t>
      </w:r>
      <w:r w:rsidRPr="009D52FD">
        <w:rPr>
          <w:sz w:val="20"/>
          <w:szCs w:val="20"/>
          <w:lang w:val="en-US"/>
        </w:rPr>
        <w:t xml:space="preserve"> of the American Convention</w:t>
      </w:r>
      <w:r w:rsidR="009E4F6C" w:rsidRPr="009D52FD">
        <w:rPr>
          <w:sz w:val="20"/>
          <w:szCs w:val="20"/>
          <w:lang w:val="en-US"/>
        </w:rPr>
        <w:t xml:space="preserve"> </w:t>
      </w:r>
      <w:r w:rsidR="00717CBC" w:rsidRPr="009D52FD">
        <w:rPr>
          <w:sz w:val="20"/>
          <w:szCs w:val="20"/>
          <w:lang w:val="en-US"/>
        </w:rPr>
        <w:t xml:space="preserve">with regard to the members of </w:t>
      </w:r>
      <w:r w:rsidR="009E4F6C" w:rsidRPr="009D52FD">
        <w:rPr>
          <w:sz w:val="20"/>
          <w:szCs w:val="20"/>
          <w:lang w:val="en-US"/>
        </w:rPr>
        <w:t>Linda Loaiza</w:t>
      </w:r>
      <w:r w:rsidR="00CE43F4" w:rsidRPr="009D52FD">
        <w:rPr>
          <w:sz w:val="20"/>
          <w:szCs w:val="20"/>
          <w:lang w:val="en-US"/>
        </w:rPr>
        <w:t xml:space="preserve"> López Soto</w:t>
      </w:r>
      <w:r w:rsidR="00717CBC" w:rsidRPr="009D52FD">
        <w:rPr>
          <w:sz w:val="20"/>
          <w:szCs w:val="20"/>
          <w:lang w:val="en-US"/>
        </w:rPr>
        <w:t xml:space="preserve">’s family as a result of their suffering owing to the particular circumstances of the violations perpetrated against a loved one and the absence of an opportune and adequate judicial response that brought an end to criminal proceedings in which the person or persons responsible for each and every fact that gave rise to this case was determined definitively. However, it specified that this acknowledgement of responsibility did not </w:t>
      </w:r>
      <w:r w:rsidR="00EB715A" w:rsidRPr="009D52FD">
        <w:rPr>
          <w:sz w:val="20"/>
          <w:szCs w:val="20"/>
          <w:lang w:val="en-US"/>
        </w:rPr>
        <w:t>signify that</w:t>
      </w:r>
      <w:r w:rsidR="00717CBC" w:rsidRPr="009D52FD">
        <w:rPr>
          <w:sz w:val="20"/>
          <w:szCs w:val="20"/>
          <w:lang w:val="en-US"/>
        </w:rPr>
        <w:t xml:space="preserve"> it accepted that the family’s suffering was aggravated by the supposed failure of the authorities to respond to the </w:t>
      </w:r>
      <w:r w:rsidR="00EB715A" w:rsidRPr="009D52FD">
        <w:rPr>
          <w:sz w:val="20"/>
          <w:szCs w:val="20"/>
          <w:lang w:val="en-US"/>
        </w:rPr>
        <w:t>report</w:t>
      </w:r>
      <w:r w:rsidR="00717CBC" w:rsidRPr="009D52FD">
        <w:rPr>
          <w:sz w:val="20"/>
          <w:szCs w:val="20"/>
          <w:lang w:val="en-US"/>
        </w:rPr>
        <w:t xml:space="preserve"> that Ana Secilia López Soto had tried to file, or that it accepted the Commission’s assertion that the Venezuelan authorities had revealed negligible sensitivity in the treatment given to </w:t>
      </w:r>
      <w:r w:rsidR="009E4F6C" w:rsidRPr="009D52FD">
        <w:rPr>
          <w:sz w:val="20"/>
          <w:szCs w:val="20"/>
          <w:lang w:val="en-US"/>
        </w:rPr>
        <w:t>Nelson López</w:t>
      </w:r>
      <w:r w:rsidRPr="009D52FD">
        <w:rPr>
          <w:sz w:val="20"/>
          <w:szCs w:val="20"/>
          <w:lang w:val="en-US"/>
        </w:rPr>
        <w:t xml:space="preserve"> and </w:t>
      </w:r>
      <w:r w:rsidR="009E4F6C" w:rsidRPr="009D52FD">
        <w:rPr>
          <w:sz w:val="20"/>
          <w:szCs w:val="20"/>
          <w:lang w:val="en-US"/>
        </w:rPr>
        <w:t xml:space="preserve">Paulina Soto </w:t>
      </w:r>
      <w:r w:rsidR="00717CBC" w:rsidRPr="009D52FD">
        <w:rPr>
          <w:sz w:val="20"/>
          <w:szCs w:val="20"/>
          <w:lang w:val="en-US"/>
        </w:rPr>
        <w:t>when they came to Caracas to meet up with their daughter</w:t>
      </w:r>
      <w:r w:rsidR="009E4F6C" w:rsidRPr="009D52FD">
        <w:rPr>
          <w:sz w:val="20"/>
          <w:szCs w:val="20"/>
          <w:lang w:val="en-US"/>
        </w:rPr>
        <w:t>.</w:t>
      </w:r>
    </w:p>
    <w:p w14:paraId="5A78C148" w14:textId="77777777" w:rsidR="009E4F6C" w:rsidRPr="009D52FD" w:rsidRDefault="009E4F6C" w:rsidP="009E4F6C">
      <w:pPr>
        <w:spacing w:line="240" w:lineRule="auto"/>
        <w:rPr>
          <w:sz w:val="20"/>
          <w:szCs w:val="20"/>
          <w:lang w:val="en-US"/>
        </w:rPr>
      </w:pPr>
    </w:p>
    <w:p w14:paraId="659BCB09" w14:textId="0CC24999" w:rsidR="009E4F6C" w:rsidRPr="009D52FD" w:rsidRDefault="009E4F6C" w:rsidP="009E4F6C">
      <w:pPr>
        <w:keepNext/>
        <w:keepLines/>
        <w:widowControl/>
        <w:tabs>
          <w:tab w:val="left" w:pos="1134"/>
        </w:tabs>
        <w:autoSpaceDE w:val="0"/>
        <w:autoSpaceDN w:val="0"/>
        <w:spacing w:line="240" w:lineRule="auto"/>
        <w:ind w:left="567" w:firstLine="1"/>
        <w:textAlignment w:val="auto"/>
        <w:outlineLvl w:val="1"/>
        <w:rPr>
          <w:rFonts w:eastAsia="MS Mincho" w:cs="Arial"/>
          <w:b/>
          <w:bCs/>
          <w:i/>
          <w:sz w:val="20"/>
          <w:szCs w:val="20"/>
          <w:lang w:val="en-US" w:eastAsia="en-US"/>
        </w:rPr>
      </w:pPr>
      <w:bookmarkStart w:id="105" w:name="_Toc495658692"/>
      <w:bookmarkStart w:id="106" w:name="_Toc514172660"/>
      <w:bookmarkStart w:id="107" w:name="_Toc51400110"/>
      <w:r w:rsidRPr="009D52FD">
        <w:rPr>
          <w:rFonts w:eastAsia="MS Mincho" w:cs="Arial"/>
          <w:b/>
          <w:bCs/>
          <w:i/>
          <w:sz w:val="20"/>
          <w:szCs w:val="20"/>
          <w:lang w:val="en-US" w:eastAsia="en-US"/>
        </w:rPr>
        <w:t>B.</w:t>
      </w:r>
      <w:r w:rsidRPr="009D52FD">
        <w:rPr>
          <w:rFonts w:eastAsia="MS Mincho" w:cs="Arial"/>
          <w:b/>
          <w:bCs/>
          <w:i/>
          <w:sz w:val="20"/>
          <w:szCs w:val="20"/>
          <w:lang w:val="en-US" w:eastAsia="en-US"/>
        </w:rPr>
        <w:tab/>
      </w:r>
      <w:r w:rsidR="00997ADF" w:rsidRPr="009D52FD">
        <w:rPr>
          <w:rFonts w:eastAsia="MS Mincho" w:cs="Arial"/>
          <w:b/>
          <w:bCs/>
          <w:i/>
          <w:sz w:val="20"/>
          <w:szCs w:val="20"/>
          <w:lang w:val="en-US" w:eastAsia="en-US"/>
        </w:rPr>
        <w:t>Considerations</w:t>
      </w:r>
      <w:r w:rsidR="003630BB" w:rsidRPr="009D52FD">
        <w:rPr>
          <w:rFonts w:eastAsia="MS Mincho" w:cs="Arial"/>
          <w:b/>
          <w:bCs/>
          <w:i/>
          <w:sz w:val="20"/>
          <w:szCs w:val="20"/>
          <w:lang w:val="en-US" w:eastAsia="en-US"/>
        </w:rPr>
        <w:t xml:space="preserve"> of the Court</w:t>
      </w:r>
      <w:bookmarkEnd w:id="105"/>
      <w:bookmarkEnd w:id="106"/>
      <w:bookmarkEnd w:id="107"/>
    </w:p>
    <w:p w14:paraId="24C8F6FB" w14:textId="77777777" w:rsidR="009E4F6C" w:rsidRPr="009D52FD" w:rsidRDefault="009E4F6C" w:rsidP="009E4F6C">
      <w:pPr>
        <w:spacing w:line="240" w:lineRule="auto"/>
        <w:rPr>
          <w:rFonts w:eastAsia="MS Mincho" w:cs="Arial"/>
          <w:b/>
          <w:bCs/>
          <w:sz w:val="20"/>
          <w:szCs w:val="20"/>
          <w:lang w:val="en-US" w:eastAsia="en-US"/>
        </w:rPr>
      </w:pPr>
    </w:p>
    <w:p w14:paraId="4CB7C570" w14:textId="2615F325" w:rsidR="009E4F6C" w:rsidRPr="009D52FD" w:rsidRDefault="003630BB" w:rsidP="00496B2E">
      <w:pPr>
        <w:numPr>
          <w:ilvl w:val="0"/>
          <w:numId w:val="1"/>
        </w:numPr>
        <w:tabs>
          <w:tab w:val="left" w:pos="567"/>
          <w:tab w:val="num" w:pos="12305"/>
        </w:tabs>
        <w:spacing w:line="240" w:lineRule="auto"/>
        <w:ind w:left="0" w:firstLine="0"/>
        <w:rPr>
          <w:rFonts w:eastAsiaTheme="minorHAnsi" w:cstheme="minorBidi"/>
          <w:sz w:val="20"/>
          <w:szCs w:val="20"/>
          <w:lang w:val="en-US" w:eastAsia="en-US"/>
        </w:rPr>
      </w:pPr>
      <w:bookmarkStart w:id="108" w:name="_Ref462932771"/>
      <w:r w:rsidRPr="009D52FD">
        <w:rPr>
          <w:rFonts w:eastAsiaTheme="minorHAnsi" w:cstheme="minorBidi"/>
          <w:sz w:val="20"/>
          <w:szCs w:val="20"/>
          <w:lang w:val="en-US" w:eastAsia="en-US"/>
        </w:rPr>
        <w:t>The Court</w:t>
      </w:r>
      <w:r w:rsidR="009E4F6C" w:rsidRPr="009D52FD">
        <w:rPr>
          <w:rFonts w:eastAsiaTheme="minorHAnsi" w:cstheme="minorBidi"/>
          <w:sz w:val="20"/>
          <w:szCs w:val="20"/>
          <w:lang w:val="en-US" w:eastAsia="en-US"/>
        </w:rPr>
        <w:t xml:space="preserve"> ha</w:t>
      </w:r>
      <w:r w:rsidR="00496B2E" w:rsidRPr="009D52FD">
        <w:rPr>
          <w:rFonts w:eastAsiaTheme="minorHAnsi" w:cstheme="minorBidi"/>
          <w:sz w:val="20"/>
          <w:szCs w:val="20"/>
          <w:lang w:val="en-US" w:eastAsia="en-US"/>
        </w:rPr>
        <w:t>s affirmed on numerous occasions that the next of kin of the victims of human rights violations may, in turn, be victims.</w:t>
      </w:r>
      <w:r w:rsidR="009E4F6C" w:rsidRPr="009D52FD">
        <w:rPr>
          <w:rFonts w:eastAsiaTheme="minorHAnsi" w:cstheme="minorBidi"/>
          <w:sz w:val="20"/>
          <w:szCs w:val="20"/>
          <w:vertAlign w:val="superscript"/>
          <w:lang w:val="en-US" w:eastAsia="en-US"/>
        </w:rPr>
        <w:footnoteReference w:id="357"/>
      </w:r>
      <w:r w:rsidR="00496B2E" w:rsidRPr="009D52FD">
        <w:rPr>
          <w:rFonts w:eastAsiaTheme="minorHAnsi" w:cstheme="minorBidi"/>
          <w:sz w:val="20"/>
          <w:szCs w:val="20"/>
          <w:lang w:val="en-US" w:eastAsia="en-US"/>
        </w:rPr>
        <w:t xml:space="preserve"> </w:t>
      </w:r>
      <w:r w:rsidR="0002239A" w:rsidRPr="009D52FD">
        <w:rPr>
          <w:rFonts w:eastAsiaTheme="minorHAnsi" w:cstheme="minorBidi"/>
          <w:sz w:val="20"/>
          <w:szCs w:val="20"/>
          <w:lang w:val="en-US" w:eastAsia="en-US"/>
        </w:rPr>
        <w:t>Th</w:t>
      </w:r>
      <w:r w:rsidR="00496B2E" w:rsidRPr="009D52FD">
        <w:rPr>
          <w:rFonts w:eastAsiaTheme="minorHAnsi" w:cstheme="minorBidi"/>
          <w:sz w:val="20"/>
          <w:szCs w:val="20"/>
          <w:lang w:val="en-US" w:eastAsia="en-US"/>
        </w:rPr>
        <w:t>e</w:t>
      </w:r>
      <w:r w:rsidR="0002239A" w:rsidRPr="009D52FD">
        <w:rPr>
          <w:rFonts w:eastAsiaTheme="minorHAnsi" w:cstheme="minorBidi"/>
          <w:sz w:val="20"/>
          <w:szCs w:val="20"/>
          <w:lang w:val="en-US" w:eastAsia="en-US"/>
        </w:rPr>
        <w:t xml:space="preserve"> Court</w:t>
      </w:r>
      <w:r w:rsidR="009E4F6C" w:rsidRPr="009D52FD">
        <w:rPr>
          <w:rFonts w:eastAsiaTheme="minorHAnsi" w:cstheme="minorBidi"/>
          <w:sz w:val="20"/>
          <w:szCs w:val="20"/>
          <w:lang w:val="en-US" w:eastAsia="en-US"/>
        </w:rPr>
        <w:t xml:space="preserve"> ha</w:t>
      </w:r>
      <w:r w:rsidR="00496B2E" w:rsidRPr="009D52FD">
        <w:rPr>
          <w:rFonts w:eastAsiaTheme="minorHAnsi" w:cstheme="minorBidi"/>
          <w:sz w:val="20"/>
          <w:szCs w:val="20"/>
          <w:lang w:val="en-US" w:eastAsia="en-US"/>
        </w:rPr>
        <w:t>s considered that</w:t>
      </w:r>
      <w:r w:rsidR="00130EBD" w:rsidRPr="009D52FD">
        <w:rPr>
          <w:rFonts w:eastAsiaTheme="minorHAnsi" w:cstheme="minorBidi"/>
          <w:sz w:val="20"/>
          <w:szCs w:val="20"/>
          <w:lang w:val="en-US" w:eastAsia="en-US"/>
        </w:rPr>
        <w:t xml:space="preserve"> it is possible to declare that the right to mental and moral integrity of the “direct family” or other persons with close ties to the victims has been violated based on the additional suffering they have experienced as a result of the particular circumstances of the violations perpetrated against their loved ones, and owing to the subsequent acts or omissions of the state authorities in relation to those facts,</w:t>
      </w:r>
      <w:r w:rsidR="009E4F6C" w:rsidRPr="009D52FD">
        <w:rPr>
          <w:rFonts w:eastAsiaTheme="minorHAnsi" w:cstheme="minorBidi"/>
          <w:sz w:val="20"/>
          <w:szCs w:val="20"/>
          <w:vertAlign w:val="superscript"/>
          <w:lang w:val="en-US" w:eastAsia="en-US"/>
        </w:rPr>
        <w:footnoteReference w:id="358"/>
      </w:r>
      <w:r w:rsidR="009E4F6C" w:rsidRPr="009D52FD">
        <w:rPr>
          <w:rFonts w:eastAsiaTheme="minorHAnsi" w:cstheme="minorBidi"/>
          <w:sz w:val="20"/>
          <w:szCs w:val="20"/>
          <w:lang w:val="en-US" w:eastAsia="en-US"/>
        </w:rPr>
        <w:t xml:space="preserve"> t</w:t>
      </w:r>
      <w:r w:rsidR="00130EBD" w:rsidRPr="009D52FD">
        <w:rPr>
          <w:rFonts w:eastAsiaTheme="minorHAnsi" w:cstheme="minorBidi"/>
          <w:sz w:val="20"/>
          <w:szCs w:val="20"/>
          <w:lang w:val="en-US" w:eastAsia="en-US"/>
        </w:rPr>
        <w:t xml:space="preserve">aking into account, </w:t>
      </w:r>
      <w:r w:rsidR="005D7201" w:rsidRPr="009D52FD">
        <w:rPr>
          <w:rFonts w:eastAsiaTheme="minorHAnsi" w:cstheme="minorBidi"/>
          <w:i/>
          <w:iCs/>
          <w:sz w:val="20"/>
          <w:szCs w:val="20"/>
          <w:lang w:val="en-US" w:eastAsia="en-US"/>
        </w:rPr>
        <w:t>inter alia</w:t>
      </w:r>
      <w:r w:rsidR="00130EBD" w:rsidRPr="009D52FD">
        <w:rPr>
          <w:rFonts w:eastAsiaTheme="minorHAnsi" w:cstheme="minorBidi"/>
          <w:sz w:val="20"/>
          <w:szCs w:val="20"/>
          <w:lang w:val="en-US" w:eastAsia="en-US"/>
        </w:rPr>
        <w:t>, the steps taken to obtain justice and the existence of close family ties.</w:t>
      </w:r>
      <w:r w:rsidR="009E4F6C" w:rsidRPr="009D52FD">
        <w:rPr>
          <w:rFonts w:eastAsiaTheme="minorHAnsi" w:cstheme="minorBidi"/>
          <w:sz w:val="20"/>
          <w:szCs w:val="20"/>
          <w:vertAlign w:val="superscript"/>
          <w:lang w:val="en-US" w:eastAsia="en-US"/>
        </w:rPr>
        <w:footnoteReference w:id="359"/>
      </w:r>
    </w:p>
    <w:bookmarkEnd w:id="108"/>
    <w:p w14:paraId="411E33C0" w14:textId="77777777" w:rsidR="009E4F6C" w:rsidRPr="009D52FD" w:rsidRDefault="009E4F6C" w:rsidP="009E4F6C">
      <w:pPr>
        <w:tabs>
          <w:tab w:val="left" w:pos="567"/>
        </w:tabs>
        <w:spacing w:line="240" w:lineRule="auto"/>
        <w:rPr>
          <w:rFonts w:eastAsia="MS Mincho"/>
          <w:spacing w:val="-2"/>
          <w:sz w:val="20"/>
          <w:szCs w:val="20"/>
          <w:lang w:val="en-US"/>
        </w:rPr>
      </w:pPr>
    </w:p>
    <w:p w14:paraId="3EB43354" w14:textId="5B2B3571" w:rsidR="009E4F6C" w:rsidRPr="009D52FD" w:rsidRDefault="003630BB" w:rsidP="00130EBD">
      <w:pPr>
        <w:numPr>
          <w:ilvl w:val="0"/>
          <w:numId w:val="1"/>
        </w:numPr>
        <w:tabs>
          <w:tab w:val="left" w:pos="567"/>
          <w:tab w:val="num" w:pos="12305"/>
        </w:tabs>
        <w:spacing w:line="240" w:lineRule="auto"/>
        <w:ind w:left="0" w:firstLine="0"/>
        <w:rPr>
          <w:rFonts w:eastAsia="MS Mincho"/>
          <w:spacing w:val="-2"/>
          <w:sz w:val="20"/>
          <w:szCs w:val="20"/>
          <w:lang w:val="en-US"/>
        </w:rPr>
      </w:pPr>
      <w:r w:rsidRPr="009D52FD">
        <w:rPr>
          <w:rFonts w:eastAsia="MS Mincho"/>
          <w:spacing w:val="-2"/>
          <w:sz w:val="20"/>
          <w:szCs w:val="20"/>
          <w:lang w:val="en-US"/>
        </w:rPr>
        <w:t>The Court</w:t>
      </w:r>
      <w:r w:rsidR="009E4F6C" w:rsidRPr="009D52FD">
        <w:rPr>
          <w:rFonts w:eastAsia="MS Mincho"/>
          <w:spacing w:val="-2"/>
          <w:sz w:val="20"/>
          <w:szCs w:val="20"/>
          <w:lang w:val="en-US"/>
        </w:rPr>
        <w:t xml:space="preserve"> not</w:t>
      </w:r>
      <w:r w:rsidR="00130EBD" w:rsidRPr="009D52FD">
        <w:rPr>
          <w:rFonts w:eastAsia="MS Mincho"/>
          <w:spacing w:val="-2"/>
          <w:sz w:val="20"/>
          <w:szCs w:val="20"/>
          <w:lang w:val="en-US"/>
        </w:rPr>
        <w:t xml:space="preserve">es that the State has acknowledged responsibility for </w:t>
      </w:r>
      <w:r w:rsidR="0064755C" w:rsidRPr="009D52FD">
        <w:rPr>
          <w:rFonts w:eastAsia="MS Mincho"/>
          <w:spacing w:val="-2"/>
          <w:sz w:val="20"/>
          <w:szCs w:val="20"/>
          <w:lang w:val="en-US"/>
        </w:rPr>
        <w:t>the violation of</w:t>
      </w:r>
      <w:r w:rsidR="009E4F6C" w:rsidRPr="009D52FD">
        <w:rPr>
          <w:rFonts w:eastAsia="MS Mincho"/>
          <w:spacing w:val="-2"/>
          <w:sz w:val="20"/>
          <w:szCs w:val="20"/>
          <w:lang w:val="en-US"/>
        </w:rPr>
        <w:t xml:space="preserve"> </w:t>
      </w:r>
      <w:r w:rsidR="00130EBD" w:rsidRPr="009D52FD">
        <w:rPr>
          <w:rFonts w:eastAsia="MS Mincho"/>
          <w:spacing w:val="-2"/>
          <w:sz w:val="20"/>
          <w:szCs w:val="20"/>
          <w:lang w:val="en-US"/>
        </w:rPr>
        <w:t>the</w:t>
      </w:r>
      <w:r w:rsidR="009E4F6C" w:rsidRPr="009D52FD">
        <w:rPr>
          <w:rFonts w:eastAsia="MS Mincho"/>
          <w:spacing w:val="-2"/>
          <w:sz w:val="20"/>
          <w:szCs w:val="20"/>
          <w:lang w:val="en-US"/>
        </w:rPr>
        <w:t xml:space="preserve"> </w:t>
      </w:r>
      <w:r w:rsidR="00997ADF" w:rsidRPr="009D52FD">
        <w:rPr>
          <w:rFonts w:eastAsia="MS Mincho"/>
          <w:spacing w:val="-2"/>
          <w:sz w:val="20"/>
          <w:szCs w:val="20"/>
          <w:lang w:val="en-US"/>
        </w:rPr>
        <w:t>personal integrity</w:t>
      </w:r>
      <w:r w:rsidR="009E4F6C" w:rsidRPr="009D52FD">
        <w:rPr>
          <w:rFonts w:eastAsia="MS Mincho"/>
          <w:spacing w:val="-2"/>
          <w:sz w:val="20"/>
          <w:szCs w:val="20"/>
          <w:lang w:val="en-US"/>
        </w:rPr>
        <w:t xml:space="preserve"> </w:t>
      </w:r>
      <w:r w:rsidR="00130EBD" w:rsidRPr="009D52FD">
        <w:rPr>
          <w:rFonts w:eastAsia="MS Mincho"/>
          <w:spacing w:val="-2"/>
          <w:sz w:val="20"/>
          <w:szCs w:val="20"/>
          <w:lang w:val="en-US"/>
        </w:rPr>
        <w:t>of the family</w:t>
      </w:r>
      <w:r w:rsidR="00EB715A" w:rsidRPr="009D52FD">
        <w:rPr>
          <w:rFonts w:eastAsia="MS Mincho"/>
          <w:spacing w:val="-2"/>
          <w:sz w:val="20"/>
          <w:szCs w:val="20"/>
          <w:lang w:val="en-US"/>
        </w:rPr>
        <w:t xml:space="preserve"> members, </w:t>
      </w:r>
      <w:r w:rsidR="00130EBD" w:rsidRPr="009D52FD">
        <w:rPr>
          <w:rFonts w:eastAsia="MS Mincho"/>
          <w:spacing w:val="-2"/>
          <w:sz w:val="20"/>
          <w:szCs w:val="20"/>
          <w:lang w:val="en-US"/>
        </w:rPr>
        <w:t xml:space="preserve">but contested the fact that the authorities had treated the parents insensitively when they arrived at the University Hospital in </w:t>
      </w:r>
      <w:r w:rsidR="00130EBD" w:rsidRPr="009D52FD">
        <w:rPr>
          <w:sz w:val="20"/>
          <w:szCs w:val="20"/>
          <w:lang w:val="en-US"/>
        </w:rPr>
        <w:t>Caracas (</w:t>
      </w:r>
      <w:r w:rsidR="00130EBD" w:rsidRPr="009D52FD">
        <w:rPr>
          <w:i/>
          <w:sz w:val="20"/>
          <w:szCs w:val="20"/>
          <w:lang w:val="en-US"/>
        </w:rPr>
        <w:t>supra</w:t>
      </w:r>
      <w:r w:rsidR="00130EBD" w:rsidRPr="009D52FD">
        <w:rPr>
          <w:sz w:val="20"/>
          <w:szCs w:val="20"/>
          <w:lang w:val="en-US"/>
        </w:rPr>
        <w:t xml:space="preserve"> para. 261)</w:t>
      </w:r>
      <w:r w:rsidR="00130EBD" w:rsidRPr="009D52FD">
        <w:rPr>
          <w:rFonts w:eastAsia="MS Mincho"/>
          <w:spacing w:val="-2"/>
          <w:sz w:val="20"/>
          <w:szCs w:val="20"/>
          <w:lang w:val="en-US"/>
        </w:rPr>
        <w:t xml:space="preserve">. </w:t>
      </w:r>
      <w:r w:rsidR="00EB715A" w:rsidRPr="009D52FD">
        <w:rPr>
          <w:rFonts w:eastAsia="MS Mincho"/>
          <w:spacing w:val="-2"/>
          <w:sz w:val="20"/>
          <w:szCs w:val="20"/>
          <w:lang w:val="en-US"/>
        </w:rPr>
        <w:t>T</w:t>
      </w:r>
      <w:r w:rsidR="00130EBD" w:rsidRPr="009D52FD">
        <w:rPr>
          <w:rFonts w:eastAsia="MS Mincho"/>
          <w:spacing w:val="-2"/>
          <w:sz w:val="20"/>
          <w:szCs w:val="20"/>
          <w:lang w:val="en-US"/>
        </w:rPr>
        <w:t>he Court has verified that</w:t>
      </w:r>
      <w:r w:rsidR="00EB715A" w:rsidRPr="009D52FD">
        <w:rPr>
          <w:rFonts w:eastAsia="MS Mincho"/>
          <w:spacing w:val="-2"/>
          <w:sz w:val="20"/>
          <w:szCs w:val="20"/>
          <w:lang w:val="en-US"/>
        </w:rPr>
        <w:t xml:space="preserve">, </w:t>
      </w:r>
      <w:r w:rsidR="00130EBD" w:rsidRPr="009D52FD">
        <w:rPr>
          <w:rFonts w:eastAsia="MS Mincho"/>
          <w:spacing w:val="-2"/>
          <w:sz w:val="20"/>
          <w:szCs w:val="20"/>
          <w:lang w:val="en-US"/>
        </w:rPr>
        <w:t xml:space="preserve">when they heard from Ana Secilia that Linda Loaiza had been rescued, her parents had to travel to Caracas by their own means and take different steps to prove their relationship to their daughter in order to be allowed to visit her in the University Hospital. This was because </w:t>
      </w:r>
      <w:r w:rsidR="00EB715A" w:rsidRPr="009D52FD">
        <w:rPr>
          <w:sz w:val="20"/>
          <w:szCs w:val="20"/>
          <w:lang w:val="en-US"/>
        </w:rPr>
        <w:t xml:space="preserve">Prosecutor No. 33 had issued </w:t>
      </w:r>
      <w:r w:rsidR="00130EBD" w:rsidRPr="009D52FD">
        <w:rPr>
          <w:rFonts w:eastAsia="MS Mincho"/>
          <w:spacing w:val="-2"/>
          <w:sz w:val="20"/>
          <w:szCs w:val="20"/>
          <w:lang w:val="en-US"/>
        </w:rPr>
        <w:t>an order “prohibit</w:t>
      </w:r>
      <w:r w:rsidR="005D7201" w:rsidRPr="009D52FD">
        <w:rPr>
          <w:rFonts w:eastAsia="MS Mincho"/>
          <w:spacing w:val="-2"/>
          <w:sz w:val="20"/>
          <w:szCs w:val="20"/>
          <w:lang w:val="en-US"/>
        </w:rPr>
        <w:t>ing</w:t>
      </w:r>
      <w:r w:rsidR="00130EBD" w:rsidRPr="009D52FD">
        <w:rPr>
          <w:rFonts w:eastAsia="MS Mincho"/>
          <w:spacing w:val="-2"/>
          <w:sz w:val="20"/>
          <w:szCs w:val="20"/>
          <w:lang w:val="en-US"/>
        </w:rPr>
        <w:t xml:space="preserve"> visit</w:t>
      </w:r>
      <w:r w:rsidR="00EB715A" w:rsidRPr="009D52FD">
        <w:rPr>
          <w:rFonts w:eastAsia="MS Mincho"/>
          <w:spacing w:val="-2"/>
          <w:sz w:val="20"/>
          <w:szCs w:val="20"/>
          <w:lang w:val="en-US"/>
        </w:rPr>
        <w:t>s</w:t>
      </w:r>
      <w:r w:rsidR="00130EBD" w:rsidRPr="009D52FD">
        <w:rPr>
          <w:rFonts w:eastAsia="MS Mincho"/>
          <w:spacing w:val="-2"/>
          <w:sz w:val="20"/>
          <w:szCs w:val="20"/>
          <w:lang w:val="en-US"/>
        </w:rPr>
        <w:t xml:space="preserve"> to </w:t>
      </w:r>
      <w:r w:rsidR="00130EBD" w:rsidRPr="009D52FD">
        <w:rPr>
          <w:sz w:val="20"/>
          <w:szCs w:val="20"/>
          <w:lang w:val="en-US"/>
        </w:rPr>
        <w:t>Linda Loaiza López Soto</w:t>
      </w:r>
      <w:r w:rsidR="00EB715A" w:rsidRPr="009D52FD">
        <w:rPr>
          <w:sz w:val="20"/>
          <w:szCs w:val="20"/>
          <w:lang w:val="en-US"/>
        </w:rPr>
        <w:t xml:space="preserve"> </w:t>
      </w:r>
      <w:r w:rsidR="005D7201" w:rsidRPr="009D52FD">
        <w:rPr>
          <w:sz w:val="20"/>
          <w:szCs w:val="20"/>
          <w:lang w:val="en-US"/>
        </w:rPr>
        <w:t xml:space="preserve">[…] </w:t>
      </w:r>
      <w:r w:rsidR="00130EBD" w:rsidRPr="009D52FD">
        <w:rPr>
          <w:sz w:val="20"/>
          <w:szCs w:val="20"/>
          <w:lang w:val="en-US"/>
        </w:rPr>
        <w:t xml:space="preserve">to preserve her physical integrity and </w:t>
      </w:r>
      <w:r w:rsidR="005D7201" w:rsidRPr="009D52FD">
        <w:rPr>
          <w:sz w:val="20"/>
          <w:szCs w:val="20"/>
          <w:lang w:val="en-US"/>
        </w:rPr>
        <w:t xml:space="preserve">to </w:t>
      </w:r>
      <w:r w:rsidR="00130EBD" w:rsidRPr="009D52FD">
        <w:rPr>
          <w:sz w:val="20"/>
          <w:szCs w:val="20"/>
          <w:lang w:val="en-US"/>
        </w:rPr>
        <w:t>assist</w:t>
      </w:r>
      <w:r w:rsidR="00EB715A" w:rsidRPr="009D52FD">
        <w:rPr>
          <w:sz w:val="20"/>
          <w:szCs w:val="20"/>
          <w:lang w:val="en-US"/>
        </w:rPr>
        <w:t xml:space="preserve"> the</w:t>
      </w:r>
      <w:r w:rsidR="00130EBD" w:rsidRPr="009D52FD">
        <w:rPr>
          <w:sz w:val="20"/>
          <w:szCs w:val="20"/>
          <w:lang w:val="en-US"/>
        </w:rPr>
        <w:t xml:space="preserve"> investigation.”</w:t>
      </w:r>
      <w:r w:rsidR="00130EBD" w:rsidRPr="009D52FD">
        <w:rPr>
          <w:sz w:val="20"/>
          <w:szCs w:val="20"/>
          <w:vertAlign w:val="superscript"/>
          <w:lang w:val="en-US"/>
        </w:rPr>
        <w:footnoteReference w:id="360"/>
      </w:r>
      <w:r w:rsidR="00130EBD" w:rsidRPr="009D52FD">
        <w:rPr>
          <w:sz w:val="20"/>
          <w:szCs w:val="20"/>
          <w:lang w:val="en-US"/>
        </w:rPr>
        <w:t xml:space="preserve"> </w:t>
      </w:r>
      <w:r w:rsidR="005D7201" w:rsidRPr="009D52FD">
        <w:rPr>
          <w:sz w:val="20"/>
          <w:szCs w:val="20"/>
          <w:lang w:val="en-US"/>
        </w:rPr>
        <w:t>Apart from</w:t>
      </w:r>
      <w:r w:rsidR="00130EBD" w:rsidRPr="009D52FD">
        <w:rPr>
          <w:sz w:val="20"/>
          <w:szCs w:val="20"/>
          <w:lang w:val="en-US"/>
        </w:rPr>
        <w:t xml:space="preserve"> the pertinence of a measure of protection such as this</w:t>
      </w:r>
      <w:r w:rsidR="005D7201" w:rsidRPr="009D52FD">
        <w:rPr>
          <w:sz w:val="20"/>
          <w:szCs w:val="20"/>
          <w:lang w:val="en-US"/>
        </w:rPr>
        <w:t xml:space="preserve"> </w:t>
      </w:r>
      <w:r w:rsidR="00130EBD" w:rsidRPr="009D52FD">
        <w:rPr>
          <w:sz w:val="20"/>
          <w:szCs w:val="20"/>
          <w:lang w:val="en-US"/>
        </w:rPr>
        <w:t>in the circumstances of the case, the result</w:t>
      </w:r>
      <w:r w:rsidR="005D7201" w:rsidRPr="009D52FD">
        <w:rPr>
          <w:sz w:val="20"/>
          <w:szCs w:val="20"/>
          <w:lang w:val="en-US"/>
        </w:rPr>
        <w:t xml:space="preserve"> </w:t>
      </w:r>
      <w:r w:rsidR="00130EBD" w:rsidRPr="009D52FD">
        <w:rPr>
          <w:sz w:val="20"/>
          <w:szCs w:val="20"/>
          <w:lang w:val="en-US"/>
        </w:rPr>
        <w:t xml:space="preserve">was that </w:t>
      </w:r>
      <w:r w:rsidR="005D7201" w:rsidRPr="009D52FD">
        <w:rPr>
          <w:sz w:val="20"/>
          <w:szCs w:val="20"/>
          <w:lang w:val="en-US"/>
        </w:rPr>
        <w:t>Linda Loaiza’s</w:t>
      </w:r>
      <w:r w:rsidR="00130EBD" w:rsidRPr="009D52FD">
        <w:rPr>
          <w:sz w:val="20"/>
          <w:szCs w:val="20"/>
          <w:lang w:val="en-US"/>
        </w:rPr>
        <w:t xml:space="preserve"> parents could only meet up with </w:t>
      </w:r>
      <w:r w:rsidR="005D7201" w:rsidRPr="009D52FD">
        <w:rPr>
          <w:sz w:val="20"/>
          <w:szCs w:val="20"/>
          <w:lang w:val="en-US"/>
        </w:rPr>
        <w:t>her</w:t>
      </w:r>
      <w:r w:rsidR="00130EBD" w:rsidRPr="009D52FD">
        <w:rPr>
          <w:sz w:val="20"/>
          <w:szCs w:val="20"/>
          <w:lang w:val="en-US"/>
        </w:rPr>
        <w:t xml:space="preserve"> more than 24 hours after they had arrived in the capital, which caused them even greater anguish and desperation.</w:t>
      </w:r>
      <w:r w:rsidR="009E4F6C" w:rsidRPr="009D52FD">
        <w:rPr>
          <w:rFonts w:eastAsia="MS Mincho"/>
          <w:spacing w:val="-2"/>
          <w:sz w:val="20"/>
          <w:szCs w:val="20"/>
          <w:vertAlign w:val="superscript"/>
          <w:lang w:val="en-US"/>
        </w:rPr>
        <w:footnoteReference w:id="361"/>
      </w:r>
      <w:r w:rsidR="009E4F6C" w:rsidRPr="009D52FD">
        <w:rPr>
          <w:rFonts w:eastAsia="MS Mincho"/>
          <w:spacing w:val="-2"/>
          <w:sz w:val="20"/>
          <w:szCs w:val="20"/>
          <w:lang w:val="en-US"/>
        </w:rPr>
        <w:t xml:space="preserve"> </w:t>
      </w:r>
      <w:r w:rsidRPr="009D52FD">
        <w:rPr>
          <w:rFonts w:eastAsia="MS Mincho"/>
          <w:spacing w:val="-2"/>
          <w:sz w:val="20"/>
          <w:szCs w:val="20"/>
          <w:lang w:val="en-US"/>
        </w:rPr>
        <w:t>The Court</w:t>
      </w:r>
      <w:r w:rsidR="009E4F6C" w:rsidRPr="009D52FD">
        <w:rPr>
          <w:rFonts w:eastAsia="MS Mincho"/>
          <w:spacing w:val="-2"/>
          <w:sz w:val="20"/>
          <w:szCs w:val="20"/>
          <w:lang w:val="en-US"/>
        </w:rPr>
        <w:t xml:space="preserve"> </w:t>
      </w:r>
      <w:r w:rsidR="00130EBD" w:rsidRPr="009D52FD">
        <w:rPr>
          <w:rFonts w:eastAsia="MS Mincho"/>
          <w:spacing w:val="-2"/>
          <w:sz w:val="20"/>
          <w:szCs w:val="20"/>
          <w:lang w:val="en-US"/>
        </w:rPr>
        <w:t xml:space="preserve">takes this circumstance into account </w:t>
      </w:r>
      <w:r w:rsidR="002C64D9" w:rsidRPr="009D52FD">
        <w:rPr>
          <w:rFonts w:eastAsia="MS Mincho"/>
          <w:spacing w:val="-2"/>
          <w:sz w:val="20"/>
          <w:szCs w:val="20"/>
          <w:lang w:val="en-US"/>
        </w:rPr>
        <w:t>to establish a violation of the parent’s</w:t>
      </w:r>
      <w:r w:rsidR="009E4F6C" w:rsidRPr="009D52FD">
        <w:rPr>
          <w:rFonts w:eastAsia="MS Mincho"/>
          <w:spacing w:val="-2"/>
          <w:sz w:val="20"/>
          <w:szCs w:val="20"/>
          <w:lang w:val="en-US"/>
        </w:rPr>
        <w:t xml:space="preserve"> </w:t>
      </w:r>
      <w:r w:rsidR="00997ADF" w:rsidRPr="009D52FD">
        <w:rPr>
          <w:rFonts w:eastAsia="MS Mincho"/>
          <w:spacing w:val="-2"/>
          <w:sz w:val="20"/>
          <w:szCs w:val="20"/>
          <w:lang w:val="en-US"/>
        </w:rPr>
        <w:t>personal integrity</w:t>
      </w:r>
      <w:r w:rsidR="009E4F6C" w:rsidRPr="009D52FD">
        <w:rPr>
          <w:rFonts w:eastAsia="MS Mincho"/>
          <w:spacing w:val="-2"/>
          <w:sz w:val="20"/>
          <w:szCs w:val="20"/>
          <w:lang w:val="en-US"/>
        </w:rPr>
        <w:t>.</w:t>
      </w:r>
    </w:p>
    <w:p w14:paraId="2221EA8B" w14:textId="77777777" w:rsidR="009E4F6C" w:rsidRPr="009D52FD" w:rsidRDefault="009E4F6C" w:rsidP="009E4F6C">
      <w:pPr>
        <w:tabs>
          <w:tab w:val="left" w:pos="567"/>
        </w:tabs>
        <w:spacing w:line="240" w:lineRule="auto"/>
        <w:rPr>
          <w:rFonts w:eastAsia="MS Mincho"/>
          <w:spacing w:val="-2"/>
          <w:sz w:val="20"/>
          <w:szCs w:val="20"/>
          <w:lang w:val="en-US"/>
        </w:rPr>
      </w:pPr>
    </w:p>
    <w:p w14:paraId="28475548" w14:textId="34BCC7D6" w:rsidR="002C64D9" w:rsidRPr="009D52FD" w:rsidRDefault="002C64D9" w:rsidP="002C64D9">
      <w:pPr>
        <w:numPr>
          <w:ilvl w:val="0"/>
          <w:numId w:val="1"/>
        </w:numPr>
        <w:tabs>
          <w:tab w:val="left" w:pos="567"/>
          <w:tab w:val="num" w:pos="12305"/>
        </w:tabs>
        <w:spacing w:line="240" w:lineRule="auto"/>
        <w:ind w:left="0" w:firstLine="0"/>
        <w:rPr>
          <w:sz w:val="20"/>
          <w:szCs w:val="20"/>
          <w:lang w:val="en-US"/>
        </w:rPr>
      </w:pPr>
      <w:r w:rsidRPr="009D52FD">
        <w:rPr>
          <w:sz w:val="20"/>
          <w:szCs w:val="20"/>
          <w:lang w:val="en-US"/>
        </w:rPr>
        <w:t>That said, based on the State’s acknowledgement of responsibility and in order to</w:t>
      </w:r>
      <w:r w:rsidR="00463A9A" w:rsidRPr="009D52FD">
        <w:rPr>
          <w:sz w:val="20"/>
          <w:szCs w:val="20"/>
          <w:lang w:val="en-US"/>
        </w:rPr>
        <w:t xml:space="preserve"> appreciate</w:t>
      </w:r>
      <w:r w:rsidRPr="009D52FD">
        <w:rPr>
          <w:sz w:val="20"/>
          <w:szCs w:val="20"/>
          <w:lang w:val="en-US"/>
        </w:rPr>
        <w:t xml:space="preserve"> the dimensi</w:t>
      </w:r>
      <w:r w:rsidR="001734FA" w:rsidRPr="009D52FD">
        <w:rPr>
          <w:sz w:val="20"/>
          <w:szCs w:val="20"/>
          <w:lang w:val="en-US"/>
        </w:rPr>
        <w:t>o</w:t>
      </w:r>
      <w:r w:rsidRPr="009D52FD">
        <w:rPr>
          <w:sz w:val="20"/>
          <w:szCs w:val="20"/>
          <w:lang w:val="en-US"/>
        </w:rPr>
        <w:t>n of the violations verified in this case, the Court notes that the statements</w:t>
      </w:r>
      <w:r w:rsidR="009E4F6C" w:rsidRPr="009D52FD">
        <w:rPr>
          <w:sz w:val="20"/>
          <w:szCs w:val="20"/>
          <w:vertAlign w:val="superscript"/>
          <w:lang w:val="en-US"/>
        </w:rPr>
        <w:footnoteReference w:id="362"/>
      </w:r>
      <w:r w:rsidR="003630BB" w:rsidRPr="009D52FD">
        <w:rPr>
          <w:sz w:val="20"/>
          <w:szCs w:val="20"/>
          <w:lang w:val="en-US"/>
        </w:rPr>
        <w:t xml:space="preserve"> and </w:t>
      </w:r>
      <w:r w:rsidRPr="009D52FD">
        <w:rPr>
          <w:sz w:val="20"/>
          <w:szCs w:val="20"/>
          <w:lang w:val="en-US"/>
        </w:rPr>
        <w:t>the expert opinion</w:t>
      </w:r>
      <w:r w:rsidR="009E4F6C" w:rsidRPr="009D52FD">
        <w:rPr>
          <w:sz w:val="20"/>
          <w:szCs w:val="20"/>
          <w:vertAlign w:val="superscript"/>
          <w:lang w:val="en-US"/>
        </w:rPr>
        <w:footnoteReference w:id="363"/>
      </w:r>
      <w:r w:rsidR="009E4F6C" w:rsidRPr="009D52FD">
        <w:rPr>
          <w:sz w:val="20"/>
          <w:szCs w:val="20"/>
          <w:lang w:val="en-US"/>
        </w:rPr>
        <w:t xml:space="preserve"> rec</w:t>
      </w:r>
      <w:r w:rsidRPr="009D52FD">
        <w:rPr>
          <w:sz w:val="20"/>
          <w:szCs w:val="20"/>
          <w:lang w:val="en-US"/>
        </w:rPr>
        <w:t xml:space="preserve">eived reveal that the personal integrity of the members of Linda Loaiza López Soto’s family was affected significantly owing to the uncertainty about her whereabouts for almost four months and the facts that occurred after her rescue, and also as a result of the judicial proceedings, which has caused them: (i) </w:t>
      </w:r>
      <w:r w:rsidR="00463A9A" w:rsidRPr="009D52FD">
        <w:rPr>
          <w:sz w:val="20"/>
          <w:szCs w:val="20"/>
          <w:lang w:val="en-US"/>
        </w:rPr>
        <w:t>personal repercussions</w:t>
      </w:r>
      <w:r w:rsidRPr="009D52FD">
        <w:rPr>
          <w:sz w:val="20"/>
          <w:szCs w:val="20"/>
          <w:lang w:val="en-US"/>
        </w:rPr>
        <w:t xml:space="preserve"> on their physical and emotional health, and an irreversible alteration of their life projects; (ii) the total rupture of the family dynamic, which in this case is particularly serious bearing in mind that most of the siblings were minors at the time of the facts;</w:t>
      </w:r>
      <w:r w:rsidR="009E4F6C" w:rsidRPr="009D52FD">
        <w:rPr>
          <w:sz w:val="20"/>
          <w:szCs w:val="20"/>
          <w:vertAlign w:val="superscript"/>
          <w:lang w:val="en-US"/>
        </w:rPr>
        <w:footnoteReference w:id="364"/>
      </w:r>
      <w:r w:rsidR="009E4F6C" w:rsidRPr="009D52FD">
        <w:rPr>
          <w:sz w:val="20"/>
          <w:szCs w:val="20"/>
          <w:lang w:val="en-US"/>
        </w:rPr>
        <w:t xml:space="preserve"> (iii)</w:t>
      </w:r>
      <w:r w:rsidRPr="009D52FD">
        <w:rPr>
          <w:sz w:val="20"/>
          <w:szCs w:val="20"/>
          <w:lang w:val="en-US"/>
        </w:rPr>
        <w:t xml:space="preserve"> severe effects at the financial level and</w:t>
      </w:r>
      <w:r w:rsidR="00463A9A" w:rsidRPr="009D52FD">
        <w:rPr>
          <w:sz w:val="20"/>
          <w:szCs w:val="20"/>
          <w:lang w:val="en-US"/>
        </w:rPr>
        <w:t xml:space="preserve"> the</w:t>
      </w:r>
      <w:r w:rsidRPr="009D52FD">
        <w:rPr>
          <w:sz w:val="20"/>
          <w:szCs w:val="20"/>
          <w:lang w:val="en-US"/>
        </w:rPr>
        <w:t xml:space="preserve"> inadequacy of </w:t>
      </w:r>
      <w:r w:rsidR="00463A9A" w:rsidRPr="009D52FD">
        <w:rPr>
          <w:sz w:val="20"/>
          <w:szCs w:val="20"/>
          <w:lang w:val="en-US"/>
        </w:rPr>
        <w:t>the available</w:t>
      </w:r>
      <w:r w:rsidRPr="009D52FD">
        <w:rPr>
          <w:sz w:val="20"/>
          <w:szCs w:val="20"/>
          <w:lang w:val="en-US"/>
        </w:rPr>
        <w:t xml:space="preserve"> resources; (iv) feelings of fear and helplessness in the face of the threats and harassment suffered, and (v) individual and social effects revealed by anguish, powerlessness and vulnerability as a result of the prolonged search for justice, and the revictimizing actions of the organs responsible for the investigation and prosecution, as well as owing to the indications during the judicial proceedings that they were part of a prostitution network, or the accusations that the father was a drug-trafficker or a paramilitary.</w:t>
      </w:r>
    </w:p>
    <w:p w14:paraId="60FA3705" w14:textId="77777777" w:rsidR="009E4F6C" w:rsidRPr="009D52FD" w:rsidRDefault="009E4F6C" w:rsidP="00A518F8">
      <w:pPr>
        <w:tabs>
          <w:tab w:val="left" w:pos="567"/>
        </w:tabs>
        <w:spacing w:line="240" w:lineRule="auto"/>
        <w:rPr>
          <w:sz w:val="20"/>
          <w:szCs w:val="20"/>
          <w:lang w:val="en-US"/>
        </w:rPr>
      </w:pPr>
    </w:p>
    <w:p w14:paraId="7A1D95B4" w14:textId="70BA74B4" w:rsidR="009E4F6C" w:rsidRPr="009D52FD" w:rsidRDefault="002C64D9" w:rsidP="003E7C0B">
      <w:pPr>
        <w:numPr>
          <w:ilvl w:val="0"/>
          <w:numId w:val="1"/>
        </w:numPr>
        <w:tabs>
          <w:tab w:val="left" w:pos="567"/>
          <w:tab w:val="num" w:pos="12305"/>
        </w:tabs>
        <w:spacing w:line="240" w:lineRule="auto"/>
        <w:ind w:left="0" w:firstLine="0"/>
        <w:rPr>
          <w:sz w:val="20"/>
          <w:szCs w:val="20"/>
          <w:lang w:val="en-US"/>
        </w:rPr>
      </w:pPr>
      <w:r w:rsidRPr="009D52FD">
        <w:rPr>
          <w:sz w:val="20"/>
          <w:szCs w:val="20"/>
          <w:lang w:val="en-US"/>
        </w:rPr>
        <w:t>Specifically,</w:t>
      </w:r>
      <w:r w:rsidR="009E4F6C" w:rsidRPr="009D52FD">
        <w:rPr>
          <w:sz w:val="20"/>
          <w:szCs w:val="20"/>
          <w:lang w:val="en-US"/>
        </w:rPr>
        <w:t xml:space="preserve"> Nelson López, Linda Loaiza</w:t>
      </w:r>
      <w:r w:rsidRPr="009D52FD">
        <w:rPr>
          <w:sz w:val="20"/>
          <w:szCs w:val="20"/>
          <w:lang w:val="en-US"/>
        </w:rPr>
        <w:t>’s father</w:t>
      </w:r>
      <w:r w:rsidR="009E4F6C" w:rsidRPr="009D52FD">
        <w:rPr>
          <w:sz w:val="20"/>
          <w:szCs w:val="20"/>
          <w:lang w:val="en-US"/>
        </w:rPr>
        <w:t xml:space="preserve">, </w:t>
      </w:r>
      <w:r w:rsidR="00FA4B5F" w:rsidRPr="009D52FD">
        <w:rPr>
          <w:sz w:val="20"/>
          <w:szCs w:val="20"/>
          <w:lang w:val="en-US"/>
        </w:rPr>
        <w:t>stated that</w:t>
      </w:r>
      <w:r w:rsidR="009E4F6C" w:rsidRPr="009D52FD">
        <w:rPr>
          <w:sz w:val="20"/>
          <w:szCs w:val="20"/>
          <w:lang w:val="en-US"/>
        </w:rPr>
        <w:t xml:space="preserve">: “[…] </w:t>
      </w:r>
      <w:r w:rsidR="00FA4B5F" w:rsidRPr="009D52FD">
        <w:rPr>
          <w:sz w:val="20"/>
          <w:szCs w:val="20"/>
          <w:lang w:val="en-US"/>
        </w:rPr>
        <w:t>all of this changed my life; I didn’t know how to get around and adapt to the city and to deal with so many problems all at the same time; the financial problems, the family separated, and the saddest</w:t>
      </w:r>
      <w:r w:rsidR="003E7C0B" w:rsidRPr="009D52FD">
        <w:rPr>
          <w:sz w:val="20"/>
          <w:szCs w:val="20"/>
          <w:lang w:val="en-US"/>
        </w:rPr>
        <w:t xml:space="preserve"> thing was to see my daughter destroyed and without obtaining justice.</w:t>
      </w:r>
      <w:r w:rsidR="009E4F6C" w:rsidRPr="009D52FD">
        <w:rPr>
          <w:sz w:val="20"/>
          <w:szCs w:val="20"/>
          <w:lang w:val="en-US"/>
        </w:rPr>
        <w:t>”</w:t>
      </w:r>
      <w:r w:rsidR="009E4F6C" w:rsidRPr="009D52FD">
        <w:rPr>
          <w:sz w:val="20"/>
          <w:szCs w:val="20"/>
          <w:vertAlign w:val="superscript"/>
          <w:lang w:val="en-US"/>
        </w:rPr>
        <w:footnoteReference w:id="365"/>
      </w:r>
      <w:r w:rsidR="009E4F6C" w:rsidRPr="009D52FD">
        <w:rPr>
          <w:sz w:val="20"/>
          <w:szCs w:val="20"/>
          <w:lang w:val="en-US"/>
        </w:rPr>
        <w:t xml:space="preserve"> </w:t>
      </w:r>
      <w:r w:rsidR="003E7C0B" w:rsidRPr="009D52FD">
        <w:rPr>
          <w:sz w:val="20"/>
          <w:szCs w:val="20"/>
          <w:lang w:val="en-US"/>
        </w:rPr>
        <w:t>Similarly,</w:t>
      </w:r>
      <w:r w:rsidR="009E4F6C" w:rsidRPr="009D52FD">
        <w:rPr>
          <w:sz w:val="20"/>
          <w:szCs w:val="20"/>
          <w:lang w:val="en-US"/>
        </w:rPr>
        <w:t xml:space="preserve"> Paulina Soto, Linda Loaiza</w:t>
      </w:r>
      <w:r w:rsidR="003E7C0B" w:rsidRPr="009D52FD">
        <w:rPr>
          <w:sz w:val="20"/>
          <w:szCs w:val="20"/>
          <w:lang w:val="en-US"/>
        </w:rPr>
        <w:t xml:space="preserve">’s mother indicated that: “[t]his whole situation has had a tremendous impact on our family; at home, we had to begin to sell animals to </w:t>
      </w:r>
      <w:r w:rsidR="00463A9A" w:rsidRPr="009D52FD">
        <w:rPr>
          <w:sz w:val="20"/>
          <w:szCs w:val="20"/>
          <w:lang w:val="en-US"/>
        </w:rPr>
        <w:t>c</w:t>
      </w:r>
      <w:r w:rsidR="003E7C0B" w:rsidRPr="009D52FD">
        <w:rPr>
          <w:sz w:val="20"/>
          <w:szCs w:val="20"/>
          <w:lang w:val="en-US"/>
        </w:rPr>
        <w:t xml:space="preserve">over Linda’s expenses. In general, the institutions closed their doors to us; this meant that I had to be away from my younger children for a long time; we had to </w:t>
      </w:r>
      <w:r w:rsidR="00002A76" w:rsidRPr="009D52FD">
        <w:rPr>
          <w:sz w:val="20"/>
          <w:szCs w:val="20"/>
          <w:lang w:val="en-US"/>
        </w:rPr>
        <w:t>sell</w:t>
      </w:r>
      <w:r w:rsidR="003E7C0B" w:rsidRPr="009D52FD">
        <w:rPr>
          <w:sz w:val="20"/>
          <w:szCs w:val="20"/>
          <w:lang w:val="en-US"/>
        </w:rPr>
        <w:t xml:space="preserve"> everything we had; it was very distressing. […] Time has passed, but we have still got a lot of sadness and pain; as a family it has affected us a lot; they destroyed our reputation […] Overall, I feel that justice has not been done; we have had to suffer many things, many institutions have </w:t>
      </w:r>
      <w:r w:rsidR="00463A9A" w:rsidRPr="009D52FD">
        <w:rPr>
          <w:sz w:val="20"/>
          <w:szCs w:val="20"/>
          <w:lang w:val="en-US"/>
        </w:rPr>
        <w:t>humiliated</w:t>
      </w:r>
      <w:r w:rsidR="003E7C0B" w:rsidRPr="009D52FD">
        <w:rPr>
          <w:sz w:val="20"/>
          <w:szCs w:val="20"/>
          <w:lang w:val="en-US"/>
        </w:rPr>
        <w:t xml:space="preserve"> us.</w:t>
      </w:r>
      <w:r w:rsidR="009E4F6C" w:rsidRPr="009D52FD">
        <w:rPr>
          <w:sz w:val="20"/>
          <w:szCs w:val="20"/>
          <w:lang w:val="en-US"/>
        </w:rPr>
        <w:t>”</w:t>
      </w:r>
      <w:r w:rsidR="009E4F6C" w:rsidRPr="009D52FD">
        <w:rPr>
          <w:sz w:val="20"/>
          <w:szCs w:val="20"/>
          <w:vertAlign w:val="superscript"/>
          <w:lang w:val="en-US"/>
        </w:rPr>
        <w:footnoteReference w:id="366"/>
      </w:r>
    </w:p>
    <w:p w14:paraId="5C0500E4" w14:textId="77777777" w:rsidR="009E4F6C" w:rsidRPr="009D52FD" w:rsidRDefault="009E4F6C" w:rsidP="009E4F6C">
      <w:pPr>
        <w:spacing w:line="240" w:lineRule="auto"/>
        <w:rPr>
          <w:sz w:val="20"/>
          <w:szCs w:val="20"/>
          <w:lang w:val="en-US"/>
        </w:rPr>
      </w:pPr>
    </w:p>
    <w:p w14:paraId="15EF2A6E" w14:textId="16F4242C" w:rsidR="003E7C0B" w:rsidRPr="009D52FD" w:rsidRDefault="003E7C0B" w:rsidP="00A518F8">
      <w:pPr>
        <w:numPr>
          <w:ilvl w:val="0"/>
          <w:numId w:val="1"/>
        </w:numPr>
        <w:tabs>
          <w:tab w:val="left" w:pos="567"/>
          <w:tab w:val="num" w:pos="12305"/>
        </w:tabs>
        <w:spacing w:line="240" w:lineRule="auto"/>
        <w:ind w:left="0" w:firstLine="0"/>
        <w:rPr>
          <w:sz w:val="20"/>
          <w:szCs w:val="20"/>
          <w:lang w:val="en-US"/>
        </w:rPr>
      </w:pPr>
      <w:r w:rsidRPr="009D52FD">
        <w:rPr>
          <w:sz w:val="20"/>
          <w:szCs w:val="20"/>
          <w:lang w:val="en-US"/>
        </w:rPr>
        <w:t>Meanwhile</w:t>
      </w:r>
      <w:r w:rsidR="009E4F6C" w:rsidRPr="009D52FD">
        <w:rPr>
          <w:sz w:val="20"/>
          <w:szCs w:val="20"/>
          <w:lang w:val="en-US"/>
        </w:rPr>
        <w:t>, Anyi Karina López Soto indic</w:t>
      </w:r>
      <w:r w:rsidRPr="009D52FD">
        <w:rPr>
          <w:sz w:val="20"/>
          <w:szCs w:val="20"/>
          <w:lang w:val="en-US"/>
        </w:rPr>
        <w:t>ated that</w:t>
      </w:r>
      <w:r w:rsidR="00463A9A" w:rsidRPr="009D52FD">
        <w:rPr>
          <w:sz w:val="20"/>
          <w:szCs w:val="20"/>
          <w:lang w:val="en-US"/>
        </w:rPr>
        <w:t xml:space="preserve"> </w:t>
      </w:r>
      <w:r w:rsidRPr="009D52FD">
        <w:rPr>
          <w:sz w:val="20"/>
          <w:szCs w:val="20"/>
          <w:lang w:val="en-US"/>
        </w:rPr>
        <w:t>she was 13 years of age</w:t>
      </w:r>
      <w:r w:rsidR="00463A9A" w:rsidRPr="009D52FD">
        <w:rPr>
          <w:sz w:val="20"/>
          <w:szCs w:val="20"/>
          <w:lang w:val="en-US"/>
        </w:rPr>
        <w:t xml:space="preserve"> when the events occurred</w:t>
      </w:r>
      <w:r w:rsidRPr="009D52FD">
        <w:rPr>
          <w:sz w:val="20"/>
          <w:szCs w:val="20"/>
          <w:lang w:val="en-US"/>
        </w:rPr>
        <w:t xml:space="preserve"> and the process of seeking justice affected her greatly because her parents had to </w:t>
      </w:r>
      <w:r w:rsidR="00463A9A" w:rsidRPr="009D52FD">
        <w:rPr>
          <w:sz w:val="20"/>
          <w:szCs w:val="20"/>
          <w:lang w:val="en-US"/>
        </w:rPr>
        <w:t>move</w:t>
      </w:r>
      <w:r w:rsidRPr="009D52FD">
        <w:rPr>
          <w:sz w:val="20"/>
          <w:szCs w:val="20"/>
          <w:lang w:val="en-US"/>
        </w:rPr>
        <w:t xml:space="preserve"> to help Linda Loaiza, so they entrusted her with the care of her younger siblings. According to her statement, Anyi Karina and her younger siblings suffered financial and emotional hardship as a result of the family’s separation due to the search for justice for her sister. She affirmed the following:</w:t>
      </w:r>
    </w:p>
    <w:p w14:paraId="6988C5B8" w14:textId="77777777" w:rsidR="009E4F6C" w:rsidRPr="009D52FD" w:rsidRDefault="009E4F6C" w:rsidP="009E4F6C">
      <w:pPr>
        <w:widowControl/>
        <w:tabs>
          <w:tab w:val="left" w:pos="567"/>
        </w:tabs>
        <w:adjustRightInd/>
        <w:spacing w:line="240" w:lineRule="auto"/>
        <w:textAlignment w:val="auto"/>
        <w:rPr>
          <w:sz w:val="20"/>
          <w:szCs w:val="20"/>
          <w:lang w:val="en-US"/>
        </w:rPr>
      </w:pPr>
    </w:p>
    <w:p w14:paraId="3F160B05" w14:textId="64BB19F8" w:rsidR="009E4F6C" w:rsidRPr="009D52FD" w:rsidRDefault="001734FA" w:rsidP="00E432DB">
      <w:pPr>
        <w:spacing w:line="240" w:lineRule="auto"/>
        <w:ind w:left="567" w:right="582"/>
        <w:rPr>
          <w:sz w:val="16"/>
          <w:szCs w:val="16"/>
          <w:lang w:val="en-US"/>
        </w:rPr>
      </w:pPr>
      <w:r w:rsidRPr="009D52FD">
        <w:rPr>
          <w:sz w:val="16"/>
          <w:szCs w:val="16"/>
          <w:lang w:val="en-US"/>
        </w:rPr>
        <w:t xml:space="preserve">Those of us who stayed at home in the countryside, we had to stay alone in order to help Linda; it was very difficult for us to be able to survive as we were so young, without understanding what was happening and to provide support even though we did not know what was happening in Caracas; we sold clothes and food in order to survive […]. Before, we were a normal family and, afterwards, we had to sell many things, even the livestock and rent out the house to help Linda and to pay for necessities. The impact has been very great; I would even say that it was a 180 degree change for each of us; today, life </w:t>
      </w:r>
      <w:r w:rsidR="00115C80" w:rsidRPr="009D52FD">
        <w:rPr>
          <w:sz w:val="16"/>
          <w:szCs w:val="16"/>
          <w:lang w:val="en-US"/>
        </w:rPr>
        <w:t xml:space="preserve">has </w:t>
      </w:r>
      <w:r w:rsidRPr="009D52FD">
        <w:rPr>
          <w:sz w:val="16"/>
          <w:szCs w:val="16"/>
          <w:lang w:val="en-US"/>
        </w:rPr>
        <w:t>changed us and continues to change us in all aspects – personal, family and social; person</w:t>
      </w:r>
      <w:r w:rsidR="00115C80" w:rsidRPr="009D52FD">
        <w:rPr>
          <w:sz w:val="16"/>
          <w:szCs w:val="16"/>
          <w:lang w:val="en-US"/>
        </w:rPr>
        <w:t>al,</w:t>
      </w:r>
      <w:r w:rsidRPr="009D52FD">
        <w:rPr>
          <w:sz w:val="16"/>
          <w:szCs w:val="16"/>
          <w:lang w:val="en-US"/>
        </w:rPr>
        <w:t xml:space="preserve"> because we had to take on roles that did not </w:t>
      </w:r>
      <w:r w:rsidRPr="009D52FD">
        <w:rPr>
          <w:sz w:val="16"/>
          <w:szCs w:val="16"/>
          <w:lang w:val="en-US"/>
        </w:rPr>
        <w:lastRenderedPageBreak/>
        <w:t>correspond to us at that age and to survive with the lack of many basic resources for development as a human being; in the family aspect, we missed out on a large part of that valuable time in life due to this process, and social</w:t>
      </w:r>
      <w:r w:rsidR="00115C80" w:rsidRPr="009D52FD">
        <w:rPr>
          <w:sz w:val="16"/>
          <w:szCs w:val="16"/>
          <w:lang w:val="en-US"/>
        </w:rPr>
        <w:t>,</w:t>
      </w:r>
      <w:r w:rsidRPr="009D52FD">
        <w:rPr>
          <w:sz w:val="16"/>
          <w:szCs w:val="16"/>
          <w:lang w:val="en-US"/>
        </w:rPr>
        <w:t xml:space="preserve"> because we have had to face defamation by relatives and the perpetrator, in TV interviews, in the newspapers […]. It has caused us psychological harm that it is difficult to describe; </w:t>
      </w:r>
      <w:r w:rsidR="00E432DB" w:rsidRPr="009D52FD">
        <w:rPr>
          <w:sz w:val="16"/>
          <w:szCs w:val="16"/>
          <w:lang w:val="en-US"/>
        </w:rPr>
        <w:t>everyone’s life changed.</w:t>
      </w:r>
      <w:r w:rsidR="009E4F6C" w:rsidRPr="009D52FD">
        <w:rPr>
          <w:sz w:val="16"/>
          <w:szCs w:val="16"/>
          <w:vertAlign w:val="superscript"/>
          <w:lang w:val="en-US"/>
        </w:rPr>
        <w:footnoteReference w:id="367"/>
      </w:r>
    </w:p>
    <w:p w14:paraId="4BB19D3A" w14:textId="77777777" w:rsidR="009E4F6C" w:rsidRPr="009D52FD" w:rsidRDefault="009E4F6C" w:rsidP="009E4F6C">
      <w:pPr>
        <w:spacing w:line="240" w:lineRule="auto"/>
        <w:rPr>
          <w:sz w:val="20"/>
          <w:szCs w:val="20"/>
          <w:lang w:val="en-US"/>
        </w:rPr>
      </w:pPr>
    </w:p>
    <w:p w14:paraId="77E98ED0" w14:textId="78E01FD3" w:rsidR="009E4F6C" w:rsidRPr="009D52FD" w:rsidRDefault="00E432DB" w:rsidP="00E432DB">
      <w:pPr>
        <w:numPr>
          <w:ilvl w:val="0"/>
          <w:numId w:val="1"/>
        </w:numPr>
        <w:tabs>
          <w:tab w:val="left" w:pos="567"/>
          <w:tab w:val="num" w:pos="12305"/>
        </w:tabs>
        <w:spacing w:line="240" w:lineRule="auto"/>
        <w:ind w:left="0" w:firstLine="0"/>
        <w:rPr>
          <w:rFonts w:cs="Arial"/>
          <w:sz w:val="16"/>
          <w:szCs w:val="16"/>
          <w:lang w:val="en-US"/>
        </w:rPr>
      </w:pPr>
      <w:r w:rsidRPr="009D52FD">
        <w:rPr>
          <w:sz w:val="20"/>
          <w:szCs w:val="20"/>
          <w:lang w:val="en-US"/>
        </w:rPr>
        <w:t xml:space="preserve">Based on the foregoing, the Court concludes that </w:t>
      </w:r>
      <w:r w:rsidR="003630BB" w:rsidRPr="009D52FD">
        <w:rPr>
          <w:sz w:val="20"/>
          <w:szCs w:val="20"/>
          <w:lang w:val="en-US"/>
        </w:rPr>
        <w:t>the State</w:t>
      </w:r>
      <w:r w:rsidR="009E4F6C" w:rsidRPr="009D52FD">
        <w:rPr>
          <w:sz w:val="20"/>
          <w:szCs w:val="20"/>
          <w:lang w:val="en-US"/>
        </w:rPr>
        <w:t xml:space="preserve"> </w:t>
      </w:r>
      <w:r w:rsidR="00996337" w:rsidRPr="009D52FD">
        <w:rPr>
          <w:sz w:val="20"/>
          <w:szCs w:val="20"/>
          <w:lang w:val="en-US"/>
        </w:rPr>
        <w:t>is responsible for</w:t>
      </w:r>
      <w:r w:rsidR="009E4F6C" w:rsidRPr="009D52FD">
        <w:rPr>
          <w:sz w:val="20"/>
          <w:szCs w:val="20"/>
          <w:lang w:val="en-US"/>
        </w:rPr>
        <w:t xml:space="preserve"> </w:t>
      </w:r>
      <w:r w:rsidR="0064755C" w:rsidRPr="009D52FD">
        <w:rPr>
          <w:sz w:val="20"/>
          <w:szCs w:val="20"/>
          <w:lang w:val="en-US"/>
        </w:rPr>
        <w:t xml:space="preserve">the violation </w:t>
      </w:r>
      <w:r w:rsidR="007D3D4F" w:rsidRPr="009D52FD">
        <w:rPr>
          <w:sz w:val="20"/>
          <w:szCs w:val="20"/>
          <w:lang w:val="en-US"/>
        </w:rPr>
        <w:t>of the right to</w:t>
      </w:r>
      <w:r w:rsidR="009E4F6C" w:rsidRPr="009D52FD">
        <w:rPr>
          <w:sz w:val="20"/>
          <w:szCs w:val="20"/>
          <w:lang w:val="en-US"/>
        </w:rPr>
        <w:t xml:space="preserve"> </w:t>
      </w:r>
      <w:r w:rsidR="00997ADF" w:rsidRPr="009D52FD">
        <w:rPr>
          <w:sz w:val="20"/>
          <w:szCs w:val="20"/>
          <w:lang w:val="en-US"/>
        </w:rPr>
        <w:t>personal integrity</w:t>
      </w:r>
      <w:r w:rsidR="009E4F6C" w:rsidRPr="009D52FD">
        <w:rPr>
          <w:sz w:val="20"/>
          <w:szCs w:val="20"/>
          <w:lang w:val="en-US"/>
        </w:rPr>
        <w:t xml:space="preserve">, </w:t>
      </w:r>
      <w:r w:rsidR="007D3D4F" w:rsidRPr="009D52FD">
        <w:rPr>
          <w:sz w:val="20"/>
          <w:szCs w:val="20"/>
          <w:lang w:val="en-US"/>
        </w:rPr>
        <w:t>recognized in</w:t>
      </w:r>
      <w:r w:rsidR="009E4F6C" w:rsidRPr="009D52FD">
        <w:rPr>
          <w:sz w:val="20"/>
          <w:szCs w:val="20"/>
          <w:lang w:val="en-US"/>
        </w:rPr>
        <w:t xml:space="preserve"> </w:t>
      </w:r>
      <w:r w:rsidR="003630BB" w:rsidRPr="009D52FD">
        <w:rPr>
          <w:sz w:val="20"/>
          <w:szCs w:val="20"/>
          <w:lang w:val="en-US"/>
        </w:rPr>
        <w:t>Article</w:t>
      </w:r>
      <w:r w:rsidR="00483040" w:rsidRPr="009D52FD">
        <w:rPr>
          <w:sz w:val="20"/>
          <w:szCs w:val="20"/>
          <w:lang w:val="en-US"/>
        </w:rPr>
        <w:t xml:space="preserve"> 5(1)</w:t>
      </w:r>
      <w:r w:rsidR="003630BB" w:rsidRPr="009D52FD">
        <w:rPr>
          <w:sz w:val="20"/>
          <w:szCs w:val="20"/>
          <w:lang w:val="en-US"/>
        </w:rPr>
        <w:t xml:space="preserve"> of the Convention</w:t>
      </w:r>
      <w:r w:rsidR="009E4F6C" w:rsidRPr="009D52FD">
        <w:rPr>
          <w:sz w:val="20"/>
          <w:szCs w:val="20"/>
          <w:lang w:val="en-US"/>
        </w:rPr>
        <w:t xml:space="preserve">, </w:t>
      </w:r>
      <w:r w:rsidR="00997ADF" w:rsidRPr="009D52FD">
        <w:rPr>
          <w:sz w:val="20"/>
          <w:szCs w:val="20"/>
          <w:lang w:val="en-US"/>
        </w:rPr>
        <w:t>in relation to</w:t>
      </w:r>
      <w:r w:rsidR="009E4F6C" w:rsidRPr="009D52FD">
        <w:rPr>
          <w:sz w:val="20"/>
          <w:szCs w:val="20"/>
          <w:lang w:val="en-US"/>
        </w:rPr>
        <w:t xml:space="preserve"> </w:t>
      </w:r>
      <w:r w:rsidR="00483040" w:rsidRPr="009D52FD">
        <w:rPr>
          <w:sz w:val="20"/>
          <w:szCs w:val="20"/>
          <w:lang w:val="en-US"/>
        </w:rPr>
        <w:t>Article 1(1)</w:t>
      </w:r>
      <w:r w:rsidR="009E4F6C" w:rsidRPr="009D52FD">
        <w:rPr>
          <w:sz w:val="20"/>
          <w:szCs w:val="20"/>
          <w:lang w:val="en-US"/>
        </w:rPr>
        <w:t xml:space="preserve"> </w:t>
      </w:r>
      <w:r w:rsidR="00996337" w:rsidRPr="009D52FD">
        <w:rPr>
          <w:sz w:val="20"/>
          <w:szCs w:val="20"/>
          <w:lang w:val="en-US"/>
        </w:rPr>
        <w:t>of this instrument</w:t>
      </w:r>
      <w:r w:rsidR="009E4F6C" w:rsidRPr="009D52FD">
        <w:rPr>
          <w:sz w:val="20"/>
          <w:szCs w:val="20"/>
          <w:lang w:val="en-US"/>
        </w:rPr>
        <w:t xml:space="preserve">, </w:t>
      </w:r>
      <w:r w:rsidR="00483040" w:rsidRPr="009D52FD">
        <w:rPr>
          <w:sz w:val="20"/>
          <w:szCs w:val="20"/>
          <w:lang w:val="en-US"/>
        </w:rPr>
        <w:t>to the detriment of</w:t>
      </w:r>
      <w:r w:rsidR="009E4F6C" w:rsidRPr="009D52FD">
        <w:rPr>
          <w:sz w:val="20"/>
          <w:szCs w:val="20"/>
          <w:lang w:val="en-US"/>
        </w:rPr>
        <w:t xml:space="preserve"> </w:t>
      </w:r>
      <w:r w:rsidRPr="009D52FD">
        <w:rPr>
          <w:sz w:val="20"/>
          <w:szCs w:val="20"/>
          <w:lang w:val="en-US"/>
        </w:rPr>
        <w:t>the members of</w:t>
      </w:r>
      <w:r w:rsidR="009E4F6C" w:rsidRPr="009D52FD">
        <w:rPr>
          <w:sz w:val="20"/>
          <w:szCs w:val="20"/>
          <w:lang w:val="en-US"/>
        </w:rPr>
        <w:t xml:space="preserve"> Linda Loaiza López Soto</w:t>
      </w:r>
      <w:r w:rsidRPr="009D52FD">
        <w:rPr>
          <w:sz w:val="20"/>
          <w:szCs w:val="20"/>
          <w:lang w:val="en-US"/>
        </w:rPr>
        <w:t>’s family</w:t>
      </w:r>
      <w:r w:rsidR="009E4F6C" w:rsidRPr="009D52FD">
        <w:rPr>
          <w:sz w:val="20"/>
          <w:szCs w:val="20"/>
          <w:lang w:val="en-US"/>
        </w:rPr>
        <w:t xml:space="preserve">, </w:t>
      </w:r>
      <w:r w:rsidRPr="009D52FD">
        <w:rPr>
          <w:sz w:val="20"/>
          <w:szCs w:val="20"/>
          <w:lang w:val="en-US"/>
        </w:rPr>
        <w:t>identified as</w:t>
      </w:r>
      <w:r w:rsidR="009E4F6C" w:rsidRPr="009D52FD">
        <w:rPr>
          <w:sz w:val="20"/>
          <w:szCs w:val="20"/>
          <w:lang w:val="en-US"/>
        </w:rPr>
        <w:t xml:space="preserve"> Nelson López Meza, Paulina Soto </w:t>
      </w:r>
      <w:r w:rsidR="003A093C" w:rsidRPr="009D52FD">
        <w:rPr>
          <w:sz w:val="20"/>
          <w:szCs w:val="20"/>
          <w:lang w:val="en-US"/>
        </w:rPr>
        <w:t>Chaustre</w:t>
      </w:r>
      <w:r w:rsidR="009E4F6C" w:rsidRPr="009D52FD">
        <w:rPr>
          <w:sz w:val="20"/>
          <w:szCs w:val="20"/>
          <w:lang w:val="en-US"/>
        </w:rPr>
        <w:t xml:space="preserve">, Ana Secilia López Soto, Diana Carolina López Soto, Anyi Karina López Soto, Nelson Enrique López Soto, Elith Johana López Soto, Yusmely del Valle López Soto, </w:t>
      </w:r>
      <w:r w:rsidR="006175B8" w:rsidRPr="009D52FD">
        <w:rPr>
          <w:sz w:val="20"/>
          <w:szCs w:val="20"/>
          <w:lang w:val="en-US"/>
        </w:rPr>
        <w:t xml:space="preserve">Gerson José López Soto, </w:t>
      </w:r>
      <w:r w:rsidR="009E4F6C" w:rsidRPr="009D52FD">
        <w:rPr>
          <w:sz w:val="20"/>
          <w:szCs w:val="20"/>
          <w:lang w:val="en-US"/>
        </w:rPr>
        <w:t>Luz Paulina López Soto, José Isidro López Soto</w:t>
      </w:r>
      <w:r w:rsidR="003630BB" w:rsidRPr="009D52FD">
        <w:rPr>
          <w:sz w:val="20"/>
          <w:szCs w:val="20"/>
          <w:lang w:val="en-US"/>
        </w:rPr>
        <w:t xml:space="preserve"> and </w:t>
      </w:r>
      <w:r w:rsidR="009E4F6C" w:rsidRPr="009D52FD">
        <w:rPr>
          <w:sz w:val="20"/>
          <w:szCs w:val="20"/>
          <w:lang w:val="en-US"/>
        </w:rPr>
        <w:t>Emmanuel Adrián López Soto.</w:t>
      </w:r>
    </w:p>
    <w:p w14:paraId="5618AC1C" w14:textId="77777777" w:rsidR="009E4F6C" w:rsidRPr="009D52FD" w:rsidRDefault="009E4F6C" w:rsidP="009E4F6C">
      <w:pPr>
        <w:spacing w:line="240" w:lineRule="auto"/>
        <w:rPr>
          <w:sz w:val="20"/>
          <w:szCs w:val="20"/>
          <w:lang w:val="en-US"/>
        </w:rPr>
      </w:pPr>
    </w:p>
    <w:p w14:paraId="0B8F9367" w14:textId="1E4E24F0" w:rsidR="00935F35" w:rsidRPr="009D52FD" w:rsidRDefault="00935F35" w:rsidP="00935F35">
      <w:pPr>
        <w:keepNext/>
        <w:keepLines/>
        <w:tabs>
          <w:tab w:val="left" w:pos="851"/>
        </w:tabs>
        <w:spacing w:line="240" w:lineRule="auto"/>
        <w:jc w:val="center"/>
        <w:outlineLvl w:val="0"/>
        <w:rPr>
          <w:rFonts w:cs="Verdana"/>
          <w:b/>
          <w:bCs/>
          <w:caps/>
          <w:snapToGrid w:val="0"/>
          <w:sz w:val="20"/>
          <w:szCs w:val="20"/>
          <w:lang w:val="en-US"/>
        </w:rPr>
      </w:pPr>
      <w:bookmarkStart w:id="109" w:name="_Toc514172661"/>
      <w:bookmarkStart w:id="110" w:name="_Toc375517149"/>
      <w:bookmarkStart w:id="111" w:name="_Toc449460763"/>
      <w:bookmarkStart w:id="112" w:name="_Toc459158147"/>
      <w:bookmarkStart w:id="113" w:name="_Toc495658693"/>
      <w:bookmarkStart w:id="114" w:name="_Toc51400111"/>
      <w:r w:rsidRPr="009D52FD">
        <w:rPr>
          <w:rFonts w:cs="Verdana"/>
          <w:b/>
          <w:bCs/>
          <w:caps/>
          <w:snapToGrid w:val="0"/>
          <w:sz w:val="20"/>
          <w:szCs w:val="20"/>
          <w:lang w:val="en-US"/>
        </w:rPr>
        <w:t>IX</w:t>
      </w:r>
      <w:r w:rsidRPr="009D52FD">
        <w:rPr>
          <w:rFonts w:cs="Verdana"/>
          <w:b/>
          <w:bCs/>
          <w:caps/>
          <w:snapToGrid w:val="0"/>
          <w:sz w:val="20"/>
          <w:szCs w:val="20"/>
          <w:lang w:val="en-US"/>
        </w:rPr>
        <w:br/>
      </w:r>
      <w:r w:rsidR="00E432DB" w:rsidRPr="009D52FD">
        <w:rPr>
          <w:rFonts w:cs="Verdana"/>
          <w:b/>
          <w:bCs/>
          <w:caps/>
          <w:snapToGrid w:val="0"/>
          <w:sz w:val="20"/>
          <w:szCs w:val="20"/>
          <w:lang w:val="en-US"/>
        </w:rPr>
        <w:t>REPARATIONS</w:t>
      </w:r>
      <w:r w:rsidRPr="009D52FD">
        <w:rPr>
          <w:rFonts w:cs="Verdana"/>
          <w:b/>
          <w:bCs/>
          <w:caps/>
          <w:snapToGrid w:val="0"/>
          <w:sz w:val="20"/>
          <w:szCs w:val="20"/>
          <w:lang w:val="en-US"/>
        </w:rPr>
        <w:br/>
        <w:t>(</w:t>
      </w:r>
      <w:r w:rsidR="00E432DB" w:rsidRPr="009D52FD">
        <w:rPr>
          <w:rFonts w:cs="Verdana"/>
          <w:b/>
          <w:bCs/>
          <w:snapToGrid w:val="0"/>
          <w:sz w:val="20"/>
          <w:szCs w:val="20"/>
          <w:lang w:val="en-US"/>
        </w:rPr>
        <w:t>Application of Article 63(1)</w:t>
      </w:r>
      <w:r w:rsidR="003630BB" w:rsidRPr="009D52FD">
        <w:rPr>
          <w:rFonts w:cs="Verdana"/>
          <w:b/>
          <w:bCs/>
          <w:snapToGrid w:val="0"/>
          <w:sz w:val="20"/>
          <w:szCs w:val="20"/>
          <w:lang w:val="en-US"/>
        </w:rPr>
        <w:t xml:space="preserve"> of the American Convention</w:t>
      </w:r>
      <w:r w:rsidRPr="009D52FD">
        <w:rPr>
          <w:rFonts w:cs="Verdana"/>
          <w:b/>
          <w:bCs/>
          <w:caps/>
          <w:snapToGrid w:val="0"/>
          <w:sz w:val="20"/>
          <w:szCs w:val="20"/>
          <w:lang w:val="en-US"/>
        </w:rPr>
        <w:t>)</w:t>
      </w:r>
      <w:bookmarkEnd w:id="109"/>
      <w:bookmarkEnd w:id="110"/>
      <w:bookmarkEnd w:id="111"/>
      <w:bookmarkEnd w:id="112"/>
      <w:bookmarkEnd w:id="113"/>
      <w:bookmarkEnd w:id="114"/>
    </w:p>
    <w:p w14:paraId="1E16991B" w14:textId="77777777" w:rsidR="00935F35" w:rsidRPr="009D52FD" w:rsidRDefault="00935F35" w:rsidP="00935F35">
      <w:pPr>
        <w:tabs>
          <w:tab w:val="left" w:pos="720"/>
          <w:tab w:val="num" w:pos="1427"/>
        </w:tabs>
        <w:spacing w:line="240" w:lineRule="auto"/>
        <w:ind w:right="-90"/>
        <w:rPr>
          <w:rFonts w:cs="Verdana"/>
          <w:sz w:val="20"/>
          <w:szCs w:val="20"/>
          <w:lang w:val="en-US"/>
        </w:rPr>
      </w:pPr>
    </w:p>
    <w:p w14:paraId="63FC6D9C" w14:textId="641A5EE5" w:rsidR="00935F35" w:rsidRPr="009D52FD" w:rsidRDefault="00E432DB" w:rsidP="00935F35">
      <w:pPr>
        <w:numPr>
          <w:ilvl w:val="0"/>
          <w:numId w:val="1"/>
        </w:numPr>
        <w:tabs>
          <w:tab w:val="left" w:pos="567"/>
          <w:tab w:val="num" w:pos="5057"/>
        </w:tabs>
        <w:spacing w:line="240" w:lineRule="auto"/>
        <w:ind w:left="0" w:firstLine="0"/>
        <w:textAlignment w:val="auto"/>
        <w:rPr>
          <w:sz w:val="20"/>
          <w:szCs w:val="20"/>
          <w:lang w:val="en-US" w:bidi="en-US"/>
        </w:rPr>
      </w:pPr>
      <w:r w:rsidRPr="009D52FD">
        <w:rPr>
          <w:sz w:val="20"/>
          <w:szCs w:val="20"/>
          <w:lang w:val="en-US" w:eastAsia="es-ES" w:bidi="en-US"/>
        </w:rPr>
        <w:t>Based on the provisions of</w:t>
      </w:r>
      <w:r w:rsidR="00935F35" w:rsidRPr="009D52FD">
        <w:rPr>
          <w:sz w:val="20"/>
          <w:szCs w:val="20"/>
          <w:lang w:val="en-US" w:bidi="en-US"/>
        </w:rPr>
        <w:t xml:space="preserve"> </w:t>
      </w:r>
      <w:r w:rsidRPr="009D52FD">
        <w:rPr>
          <w:sz w:val="20"/>
          <w:szCs w:val="20"/>
          <w:lang w:val="en-US" w:bidi="en-US"/>
        </w:rPr>
        <w:t>Article 63(1)</w:t>
      </w:r>
      <w:r w:rsidR="003630BB" w:rsidRPr="009D52FD">
        <w:rPr>
          <w:sz w:val="20"/>
          <w:szCs w:val="20"/>
          <w:lang w:val="en-US" w:bidi="en-US"/>
        </w:rPr>
        <w:t xml:space="preserve"> of the American Convention</w:t>
      </w:r>
      <w:r w:rsidRPr="009D52FD">
        <w:rPr>
          <w:sz w:val="20"/>
          <w:szCs w:val="20"/>
          <w:lang w:val="en-US" w:bidi="en-US"/>
        </w:rPr>
        <w:t>,</w:t>
      </w:r>
      <w:r w:rsidR="00935F35" w:rsidRPr="009D52FD">
        <w:rPr>
          <w:sz w:val="20"/>
          <w:szCs w:val="20"/>
          <w:vertAlign w:val="superscript"/>
          <w:lang w:val="en-US" w:bidi="en-US"/>
        </w:rPr>
        <w:footnoteReference w:id="368"/>
      </w:r>
      <w:r w:rsidR="00935F35" w:rsidRPr="009D52FD">
        <w:rPr>
          <w:sz w:val="20"/>
          <w:szCs w:val="20"/>
          <w:lang w:val="en-US" w:bidi="en-US"/>
        </w:rPr>
        <w:t xml:space="preserve"> </w:t>
      </w:r>
      <w:r w:rsidR="003630BB" w:rsidRPr="009D52FD">
        <w:rPr>
          <w:sz w:val="20"/>
          <w:szCs w:val="20"/>
          <w:lang w:val="en-US" w:bidi="en-US"/>
        </w:rPr>
        <w:t>the Court</w:t>
      </w:r>
      <w:r w:rsidR="00935F35" w:rsidRPr="009D52FD">
        <w:rPr>
          <w:sz w:val="20"/>
          <w:szCs w:val="20"/>
          <w:lang w:val="en-US" w:bidi="en-US"/>
        </w:rPr>
        <w:t xml:space="preserve"> ha</w:t>
      </w:r>
      <w:r w:rsidRPr="009D52FD">
        <w:rPr>
          <w:sz w:val="20"/>
          <w:szCs w:val="20"/>
          <w:lang w:val="en-US" w:bidi="en-US"/>
        </w:rPr>
        <w:t>s indicated that any violation of an international obligation that has caused harm entails the obligation to make adequate reparation and that this provision reflects a customary norm that constitutes one of the fundamental principles of contemporary international law on State responsibility.</w:t>
      </w:r>
      <w:r w:rsidR="00935F35" w:rsidRPr="009D52FD">
        <w:rPr>
          <w:sz w:val="20"/>
          <w:szCs w:val="20"/>
          <w:vertAlign w:val="superscript"/>
          <w:lang w:val="en-US" w:bidi="en-US"/>
        </w:rPr>
        <w:footnoteReference w:id="369"/>
      </w:r>
    </w:p>
    <w:p w14:paraId="6605DA7A" w14:textId="77777777" w:rsidR="00935F35" w:rsidRPr="009D52FD" w:rsidRDefault="00935F35" w:rsidP="00935F35">
      <w:pPr>
        <w:autoSpaceDE w:val="0"/>
        <w:autoSpaceDN w:val="0"/>
        <w:spacing w:line="240" w:lineRule="auto"/>
        <w:rPr>
          <w:rFonts w:cs="Verdana"/>
          <w:sz w:val="20"/>
          <w:szCs w:val="20"/>
          <w:lang w:val="en-US"/>
        </w:rPr>
      </w:pPr>
    </w:p>
    <w:p w14:paraId="099B6E3D" w14:textId="6FF15D59" w:rsidR="00935F35" w:rsidRPr="009D52FD" w:rsidRDefault="00E432DB" w:rsidP="00E432DB">
      <w:pPr>
        <w:numPr>
          <w:ilvl w:val="0"/>
          <w:numId w:val="1"/>
        </w:numPr>
        <w:tabs>
          <w:tab w:val="left" w:pos="567"/>
          <w:tab w:val="num" w:pos="5057"/>
        </w:tabs>
        <w:spacing w:line="240" w:lineRule="auto"/>
        <w:ind w:left="0" w:firstLine="0"/>
        <w:textAlignment w:val="auto"/>
        <w:rPr>
          <w:sz w:val="20"/>
          <w:szCs w:val="20"/>
          <w:lang w:val="en-US" w:bidi="en-US"/>
        </w:rPr>
      </w:pPr>
      <w:r w:rsidRPr="009D52FD">
        <w:rPr>
          <w:bCs/>
          <w:sz w:val="20"/>
          <w:szCs w:val="20"/>
          <w:lang w:val="en-US" w:bidi="en-US"/>
        </w:rPr>
        <w:t xml:space="preserve">The reparation of the harm caused by the violation of an international obligation requires, whenever possible, full restitution </w:t>
      </w:r>
      <w:r w:rsidR="00935F35" w:rsidRPr="009D52FD">
        <w:rPr>
          <w:bCs/>
          <w:sz w:val="20"/>
          <w:szCs w:val="20"/>
          <w:lang w:val="en-US" w:bidi="en-US"/>
        </w:rPr>
        <w:t>(</w:t>
      </w:r>
      <w:r w:rsidR="00935F35" w:rsidRPr="009D52FD">
        <w:rPr>
          <w:bCs/>
          <w:i/>
          <w:sz w:val="20"/>
          <w:szCs w:val="20"/>
          <w:lang w:val="en-US" w:bidi="en-US"/>
        </w:rPr>
        <w:t>restitutio in integrum</w:t>
      </w:r>
      <w:r w:rsidR="00935F35" w:rsidRPr="009D52FD">
        <w:rPr>
          <w:bCs/>
          <w:sz w:val="20"/>
          <w:szCs w:val="20"/>
          <w:lang w:val="en-US" w:bidi="en-US"/>
        </w:rPr>
        <w:t xml:space="preserve">), </w:t>
      </w:r>
      <w:r w:rsidRPr="009D52FD">
        <w:rPr>
          <w:bCs/>
          <w:sz w:val="20"/>
          <w:szCs w:val="20"/>
          <w:lang w:val="en-US" w:bidi="en-US"/>
        </w:rPr>
        <w:t>which consists in the re-establishment of the previous situation. If this is not feasible, as in most cases of human rights violations, the Court will determine measures to ensure the rights that have been violated and to redress the consequences of the violations.</w:t>
      </w:r>
      <w:r w:rsidR="00935F35" w:rsidRPr="009D52FD">
        <w:rPr>
          <w:sz w:val="20"/>
          <w:szCs w:val="20"/>
          <w:vertAlign w:val="superscript"/>
          <w:lang w:val="en-US" w:bidi="en-US"/>
        </w:rPr>
        <w:footnoteReference w:id="370"/>
      </w:r>
      <w:r w:rsidRPr="009D52FD">
        <w:rPr>
          <w:bCs/>
          <w:sz w:val="20"/>
          <w:szCs w:val="20"/>
          <w:lang w:val="en-US" w:bidi="en-US"/>
        </w:rPr>
        <w:t xml:space="preserve"> Therefore, the Court has found it necessary to grant differ</w:t>
      </w:r>
      <w:r w:rsidR="00A80A9C" w:rsidRPr="009D52FD">
        <w:rPr>
          <w:bCs/>
          <w:sz w:val="20"/>
          <w:szCs w:val="20"/>
          <w:lang w:val="en-US" w:bidi="en-US"/>
        </w:rPr>
        <w:t>e</w:t>
      </w:r>
      <w:r w:rsidRPr="009D52FD">
        <w:rPr>
          <w:bCs/>
          <w:sz w:val="20"/>
          <w:szCs w:val="20"/>
          <w:lang w:val="en-US" w:bidi="en-US"/>
        </w:rPr>
        <w:t xml:space="preserve">nt measures of reparation in order to redress the harm integrally, so that in addition to pecuniary compensation, measures of </w:t>
      </w:r>
      <w:r w:rsidR="00935F35" w:rsidRPr="009D52FD">
        <w:rPr>
          <w:sz w:val="20"/>
          <w:szCs w:val="20"/>
          <w:lang w:val="en-US" w:bidi="en-US"/>
        </w:rPr>
        <w:t>restitu</w:t>
      </w:r>
      <w:r w:rsidRPr="009D52FD">
        <w:rPr>
          <w:sz w:val="20"/>
          <w:szCs w:val="20"/>
          <w:lang w:val="en-US" w:bidi="en-US"/>
        </w:rPr>
        <w:t>tion, rehabilitation and satisfaction and also g</w:t>
      </w:r>
      <w:r w:rsidR="0098665D" w:rsidRPr="009D52FD">
        <w:rPr>
          <w:sz w:val="20"/>
          <w:szCs w:val="20"/>
          <w:lang w:val="en-US" w:bidi="en-US"/>
        </w:rPr>
        <w:t>uarantees of non-repetition</w:t>
      </w:r>
      <w:r w:rsidR="00935F35" w:rsidRPr="009D52FD">
        <w:rPr>
          <w:sz w:val="20"/>
          <w:szCs w:val="20"/>
          <w:lang w:val="en-US" w:bidi="en-US"/>
        </w:rPr>
        <w:t xml:space="preserve"> </w:t>
      </w:r>
      <w:r w:rsidRPr="009D52FD">
        <w:rPr>
          <w:sz w:val="20"/>
          <w:szCs w:val="20"/>
          <w:lang w:val="en-US" w:bidi="en-US"/>
        </w:rPr>
        <w:t>have special relevance for the harm caused.</w:t>
      </w:r>
      <w:r w:rsidR="00935F35" w:rsidRPr="009D52FD">
        <w:rPr>
          <w:sz w:val="20"/>
          <w:szCs w:val="20"/>
          <w:vertAlign w:val="superscript"/>
          <w:lang w:val="en-US" w:bidi="en-US"/>
        </w:rPr>
        <w:footnoteReference w:id="371"/>
      </w:r>
    </w:p>
    <w:p w14:paraId="2AE0CD90" w14:textId="77777777" w:rsidR="00935F35" w:rsidRPr="009D52FD" w:rsidRDefault="00935F35" w:rsidP="00935F35">
      <w:pPr>
        <w:autoSpaceDE w:val="0"/>
        <w:autoSpaceDN w:val="0"/>
        <w:spacing w:line="240" w:lineRule="auto"/>
        <w:rPr>
          <w:rFonts w:cs="Verdana"/>
          <w:sz w:val="20"/>
          <w:szCs w:val="20"/>
          <w:lang w:val="en-US"/>
        </w:rPr>
      </w:pPr>
    </w:p>
    <w:p w14:paraId="0D3AD805" w14:textId="300E46CC" w:rsidR="00935F35" w:rsidRPr="009D52FD" w:rsidRDefault="003630BB" w:rsidP="00A80A9C">
      <w:pPr>
        <w:numPr>
          <w:ilvl w:val="0"/>
          <w:numId w:val="1"/>
        </w:numPr>
        <w:tabs>
          <w:tab w:val="left" w:pos="567"/>
          <w:tab w:val="num" w:pos="12305"/>
        </w:tabs>
        <w:spacing w:line="240" w:lineRule="auto"/>
        <w:ind w:left="0" w:firstLine="0"/>
        <w:textAlignment w:val="auto"/>
        <w:rPr>
          <w:sz w:val="20"/>
          <w:szCs w:val="20"/>
          <w:lang w:val="en-US"/>
        </w:rPr>
      </w:pPr>
      <w:r w:rsidRPr="009D52FD">
        <w:rPr>
          <w:sz w:val="20"/>
          <w:szCs w:val="20"/>
          <w:lang w:val="en-US" w:bidi="en-US"/>
        </w:rPr>
        <w:t>The Court</w:t>
      </w:r>
      <w:r w:rsidR="00935F35" w:rsidRPr="009D52FD">
        <w:rPr>
          <w:sz w:val="20"/>
          <w:szCs w:val="20"/>
          <w:lang w:val="en-US" w:bidi="en-US"/>
        </w:rPr>
        <w:t xml:space="preserve"> ha</w:t>
      </w:r>
      <w:r w:rsidR="00A80A9C" w:rsidRPr="009D52FD">
        <w:rPr>
          <w:sz w:val="20"/>
          <w:szCs w:val="20"/>
          <w:lang w:val="en-US" w:bidi="en-US"/>
        </w:rPr>
        <w:t>s established that the reparations must have a causal nexus with the facts of the case, the violations that have been declared, the harm proved, and the measures requested to redress the respective harm. Therefore, the Court must observe the concurrence of these factors to rule appropriately and in accordance with law.</w:t>
      </w:r>
      <w:r w:rsidR="00935F35" w:rsidRPr="009D52FD">
        <w:rPr>
          <w:sz w:val="20"/>
          <w:szCs w:val="20"/>
          <w:vertAlign w:val="superscript"/>
          <w:lang w:val="en-US" w:bidi="en-US"/>
        </w:rPr>
        <w:footnoteReference w:id="372"/>
      </w:r>
      <w:r w:rsidR="00A80A9C" w:rsidRPr="009D52FD">
        <w:rPr>
          <w:sz w:val="20"/>
          <w:szCs w:val="20"/>
          <w:lang w:val="en-US" w:bidi="en-US"/>
        </w:rPr>
        <w:t xml:space="preserve"> The Court also considers that the reparations must include an analysis that contemplates not only the right of the victim to obtain reparation, but that also incorporates a gender perspective, </w:t>
      </w:r>
      <w:r w:rsidR="0080680C" w:rsidRPr="009D52FD">
        <w:rPr>
          <w:sz w:val="20"/>
          <w:szCs w:val="20"/>
          <w:lang w:val="en-US" w:bidi="en-US"/>
        </w:rPr>
        <w:t xml:space="preserve">in </w:t>
      </w:r>
      <w:r w:rsidR="00A80A9C" w:rsidRPr="009D52FD">
        <w:rPr>
          <w:sz w:val="20"/>
          <w:szCs w:val="20"/>
          <w:lang w:val="en-US" w:bidi="en-US"/>
        </w:rPr>
        <w:t xml:space="preserve">both their </w:t>
      </w:r>
      <w:r w:rsidR="0080680C" w:rsidRPr="009D52FD">
        <w:rPr>
          <w:sz w:val="20"/>
          <w:szCs w:val="20"/>
          <w:lang w:val="en-US" w:bidi="en-US"/>
        </w:rPr>
        <w:t>formulation</w:t>
      </w:r>
      <w:r w:rsidR="00A80A9C" w:rsidRPr="009D52FD">
        <w:rPr>
          <w:sz w:val="20"/>
          <w:szCs w:val="20"/>
          <w:lang w:val="en-US" w:bidi="en-US"/>
        </w:rPr>
        <w:t xml:space="preserve"> and their implementation.</w:t>
      </w:r>
      <w:r w:rsidR="002B303F" w:rsidRPr="009D52FD">
        <w:rPr>
          <w:rStyle w:val="FootnoteReference"/>
          <w:sz w:val="20"/>
          <w:szCs w:val="20"/>
          <w:lang w:val="en-US"/>
        </w:rPr>
        <w:footnoteReference w:id="373"/>
      </w:r>
    </w:p>
    <w:p w14:paraId="257DEEF7" w14:textId="77777777" w:rsidR="00935F35" w:rsidRPr="009D52FD" w:rsidRDefault="00935F35" w:rsidP="00935F35">
      <w:pPr>
        <w:tabs>
          <w:tab w:val="left" w:pos="567"/>
        </w:tabs>
        <w:spacing w:line="240" w:lineRule="auto"/>
        <w:rPr>
          <w:sz w:val="20"/>
          <w:szCs w:val="20"/>
          <w:lang w:val="en-US" w:bidi="en-US"/>
        </w:rPr>
      </w:pPr>
    </w:p>
    <w:p w14:paraId="6B454794" w14:textId="28C5F661" w:rsidR="00935F35" w:rsidRPr="009D52FD" w:rsidRDefault="00935F35" w:rsidP="00935F35">
      <w:pPr>
        <w:numPr>
          <w:ilvl w:val="0"/>
          <w:numId w:val="1"/>
        </w:numPr>
        <w:tabs>
          <w:tab w:val="left" w:pos="567"/>
          <w:tab w:val="num" w:pos="5057"/>
        </w:tabs>
        <w:spacing w:line="240" w:lineRule="auto"/>
        <w:ind w:left="0" w:firstLine="0"/>
        <w:textAlignment w:val="auto"/>
        <w:rPr>
          <w:sz w:val="20"/>
          <w:szCs w:val="20"/>
          <w:lang w:val="en-US" w:bidi="en-US"/>
        </w:rPr>
      </w:pPr>
      <w:r w:rsidRPr="009D52FD">
        <w:rPr>
          <w:sz w:val="20"/>
          <w:szCs w:val="20"/>
          <w:lang w:val="en-US"/>
        </w:rPr>
        <w:lastRenderedPageBreak/>
        <w:t>T</w:t>
      </w:r>
      <w:r w:rsidR="00A80A9C" w:rsidRPr="009D52FD">
        <w:rPr>
          <w:sz w:val="20"/>
          <w:szCs w:val="20"/>
          <w:lang w:val="en-US"/>
        </w:rPr>
        <w:t xml:space="preserve">aking into account the violations of </w:t>
      </w:r>
      <w:r w:rsidR="003630BB" w:rsidRPr="009D52FD">
        <w:rPr>
          <w:sz w:val="20"/>
          <w:szCs w:val="20"/>
          <w:lang w:val="en-US"/>
        </w:rPr>
        <w:t>the American Convention</w:t>
      </w:r>
      <w:r w:rsidRPr="009D52FD">
        <w:rPr>
          <w:sz w:val="20"/>
          <w:szCs w:val="20"/>
          <w:lang w:val="en-US"/>
        </w:rPr>
        <w:t xml:space="preserve"> </w:t>
      </w:r>
      <w:r w:rsidR="00A80A9C" w:rsidRPr="009D52FD">
        <w:rPr>
          <w:sz w:val="20"/>
          <w:szCs w:val="20"/>
          <w:lang w:val="en-US"/>
        </w:rPr>
        <w:t>declared in the preceding c</w:t>
      </w:r>
      <w:r w:rsidR="00EB0EB6" w:rsidRPr="009D52FD">
        <w:rPr>
          <w:sz w:val="20"/>
          <w:szCs w:val="20"/>
          <w:lang w:val="en-US"/>
        </w:rPr>
        <w:t>hapter</w:t>
      </w:r>
      <w:r w:rsidRPr="009D52FD">
        <w:rPr>
          <w:sz w:val="20"/>
          <w:szCs w:val="20"/>
          <w:lang w:val="en-US"/>
        </w:rPr>
        <w:t>s</w:t>
      </w:r>
      <w:r w:rsidR="00A80A9C" w:rsidRPr="009D52FD">
        <w:rPr>
          <w:sz w:val="20"/>
          <w:szCs w:val="20"/>
          <w:lang w:val="en-US"/>
        </w:rPr>
        <w:t>, in light of the standards established in the Court’s case law in relation to the nature and scope of the obligation to make reparation,</w:t>
      </w:r>
      <w:r w:rsidRPr="009D52FD">
        <w:rPr>
          <w:rFonts w:eastAsia="Calibri"/>
          <w:sz w:val="20"/>
          <w:szCs w:val="20"/>
          <w:vertAlign w:val="superscript"/>
          <w:lang w:val="en-US"/>
        </w:rPr>
        <w:footnoteReference w:id="374"/>
      </w:r>
      <w:r w:rsidRPr="009D52FD">
        <w:rPr>
          <w:sz w:val="20"/>
          <w:szCs w:val="20"/>
          <w:lang w:val="en-US"/>
        </w:rPr>
        <w:t xml:space="preserve"> </w:t>
      </w:r>
      <w:r w:rsidR="003630BB" w:rsidRPr="009D52FD">
        <w:rPr>
          <w:sz w:val="20"/>
          <w:szCs w:val="20"/>
          <w:lang w:val="en-US"/>
        </w:rPr>
        <w:t>the Court</w:t>
      </w:r>
      <w:r w:rsidR="00A80A9C" w:rsidRPr="009D52FD">
        <w:rPr>
          <w:sz w:val="20"/>
          <w:szCs w:val="20"/>
          <w:lang w:val="en-US"/>
        </w:rPr>
        <w:t xml:space="preserve"> will examine the claims presented by </w:t>
      </w:r>
      <w:r w:rsidRPr="009D52FD">
        <w:rPr>
          <w:sz w:val="20"/>
          <w:szCs w:val="20"/>
          <w:lang w:val="en-US"/>
        </w:rPr>
        <w:t xml:space="preserve"> </w:t>
      </w:r>
      <w:r w:rsidR="003630BB" w:rsidRPr="009D52FD">
        <w:rPr>
          <w:sz w:val="20"/>
          <w:szCs w:val="20"/>
          <w:lang w:val="en-US"/>
        </w:rPr>
        <w:t>the Commission and the representatives</w:t>
      </w:r>
      <w:r w:rsidRPr="009D52FD">
        <w:rPr>
          <w:sz w:val="20"/>
          <w:szCs w:val="20"/>
          <w:lang w:val="en-US"/>
        </w:rPr>
        <w:t xml:space="preserve">, </w:t>
      </w:r>
      <w:r w:rsidR="00A80A9C" w:rsidRPr="009D52FD">
        <w:rPr>
          <w:sz w:val="20"/>
          <w:szCs w:val="20"/>
          <w:lang w:val="en-US"/>
        </w:rPr>
        <w:t>together with the respective</w:t>
      </w:r>
      <w:r w:rsidRPr="009D52FD">
        <w:rPr>
          <w:sz w:val="20"/>
          <w:szCs w:val="20"/>
          <w:lang w:val="en-US"/>
        </w:rPr>
        <w:t xml:space="preserve"> arguments</w:t>
      </w:r>
      <w:r w:rsidR="003630BB" w:rsidRPr="009D52FD">
        <w:rPr>
          <w:sz w:val="20"/>
          <w:szCs w:val="20"/>
          <w:lang w:val="en-US"/>
        </w:rPr>
        <w:t xml:space="preserve"> of the State</w:t>
      </w:r>
      <w:r w:rsidR="0080680C" w:rsidRPr="009D52FD">
        <w:rPr>
          <w:sz w:val="20"/>
          <w:szCs w:val="20"/>
          <w:lang w:val="en-US"/>
        </w:rPr>
        <w:t>,</w:t>
      </w:r>
      <w:r w:rsidR="00A80A9C" w:rsidRPr="009D52FD">
        <w:rPr>
          <w:sz w:val="20"/>
          <w:szCs w:val="20"/>
          <w:lang w:val="en-US"/>
        </w:rPr>
        <w:t xml:space="preserve"> in order to establish measures addressed at redressing the said violations.</w:t>
      </w:r>
    </w:p>
    <w:p w14:paraId="5BD7EE67" w14:textId="77777777" w:rsidR="00935F35" w:rsidRPr="009D52FD" w:rsidRDefault="00935F35" w:rsidP="00935F35">
      <w:pPr>
        <w:tabs>
          <w:tab w:val="left" w:pos="567"/>
        </w:tabs>
        <w:spacing w:line="240" w:lineRule="auto"/>
        <w:rPr>
          <w:sz w:val="20"/>
          <w:szCs w:val="20"/>
          <w:lang w:val="en-US" w:bidi="en-US"/>
        </w:rPr>
      </w:pPr>
    </w:p>
    <w:p w14:paraId="05E1C627" w14:textId="4CF7590E" w:rsidR="00935F35" w:rsidRPr="009D52FD" w:rsidRDefault="0098665D" w:rsidP="00F11556">
      <w:pPr>
        <w:keepNext/>
        <w:keepLines/>
        <w:numPr>
          <w:ilvl w:val="0"/>
          <w:numId w:val="5"/>
        </w:numPr>
        <w:tabs>
          <w:tab w:val="left" w:pos="567"/>
          <w:tab w:val="left" w:pos="1134"/>
        </w:tabs>
        <w:spacing w:line="240" w:lineRule="auto"/>
        <w:ind w:left="567" w:firstLine="0"/>
        <w:textAlignment w:val="auto"/>
        <w:outlineLvl w:val="1"/>
        <w:rPr>
          <w:rFonts w:eastAsia="MS Mincho"/>
          <w:b/>
          <w:bCs/>
          <w:i/>
          <w:sz w:val="20"/>
          <w:szCs w:val="20"/>
          <w:lang w:val="en-US"/>
        </w:rPr>
      </w:pPr>
      <w:bookmarkStart w:id="115" w:name="_Toc51400112"/>
      <w:r w:rsidRPr="009D52FD">
        <w:rPr>
          <w:rFonts w:eastAsia="MS Mincho"/>
          <w:b/>
          <w:bCs/>
          <w:i/>
          <w:sz w:val="20"/>
          <w:szCs w:val="20"/>
          <w:lang w:val="en-US"/>
        </w:rPr>
        <w:t>Injured party</w:t>
      </w:r>
      <w:bookmarkEnd w:id="115"/>
    </w:p>
    <w:p w14:paraId="417B8CC0" w14:textId="77777777" w:rsidR="00935F35" w:rsidRPr="009D52FD" w:rsidRDefault="00935F35" w:rsidP="00935F35">
      <w:pPr>
        <w:tabs>
          <w:tab w:val="num" w:pos="720"/>
          <w:tab w:val="left" w:pos="851"/>
          <w:tab w:val="num" w:pos="1427"/>
        </w:tabs>
        <w:spacing w:line="240" w:lineRule="auto"/>
        <w:rPr>
          <w:sz w:val="20"/>
          <w:szCs w:val="20"/>
          <w:lang w:val="en-US"/>
        </w:rPr>
      </w:pPr>
    </w:p>
    <w:p w14:paraId="214BA760" w14:textId="1F54BCD8" w:rsidR="00A80A9C" w:rsidRPr="009D52FD" w:rsidRDefault="00A80A9C" w:rsidP="00935F35">
      <w:pPr>
        <w:numPr>
          <w:ilvl w:val="0"/>
          <w:numId w:val="1"/>
        </w:numPr>
        <w:tabs>
          <w:tab w:val="left" w:pos="567"/>
          <w:tab w:val="num" w:pos="5057"/>
        </w:tabs>
        <w:spacing w:line="240" w:lineRule="auto"/>
        <w:ind w:left="0" w:firstLine="0"/>
        <w:textAlignment w:val="auto"/>
        <w:rPr>
          <w:rFonts w:eastAsia="Verdana" w:cs="Verdana"/>
          <w:sz w:val="20"/>
          <w:szCs w:val="20"/>
          <w:lang w:val="en-US"/>
        </w:rPr>
      </w:pPr>
      <w:r w:rsidRPr="009D52FD">
        <w:rPr>
          <w:rFonts w:eastAsia="MS Mincho"/>
          <w:sz w:val="20"/>
          <w:szCs w:val="20"/>
          <w:lang w:val="en-US" w:bidi="en-US"/>
        </w:rPr>
        <w:t>The Court considers that, pursuant to Article 63(1) of the Convention, anyone who has been declared a victim of the violation of any right established therein is the</w:t>
      </w:r>
      <w:r w:rsidR="00935F35" w:rsidRPr="009D52FD">
        <w:rPr>
          <w:rFonts w:eastAsia="MS Mincho"/>
          <w:sz w:val="20"/>
          <w:szCs w:val="20"/>
          <w:lang w:val="en-US" w:bidi="en-US"/>
        </w:rPr>
        <w:t xml:space="preserve"> </w:t>
      </w:r>
      <w:r w:rsidR="0098665D" w:rsidRPr="009D52FD">
        <w:rPr>
          <w:rFonts w:eastAsia="MS Mincho"/>
          <w:sz w:val="20"/>
          <w:szCs w:val="20"/>
          <w:lang w:val="en-US" w:bidi="en-US"/>
        </w:rPr>
        <w:t>injured party</w:t>
      </w:r>
      <w:r w:rsidRPr="009D52FD">
        <w:rPr>
          <w:rFonts w:eastAsia="MS Mincho"/>
          <w:sz w:val="20"/>
          <w:szCs w:val="20"/>
          <w:lang w:val="en-US" w:bidi="en-US"/>
        </w:rPr>
        <w:t xml:space="preserve">. Therefore, this Court considers that </w:t>
      </w:r>
      <w:r w:rsidRPr="009D52FD">
        <w:rPr>
          <w:rFonts w:eastAsia="Verdana" w:cs="Verdana"/>
          <w:sz w:val="20"/>
          <w:szCs w:val="20"/>
          <w:lang w:val="en-US"/>
        </w:rPr>
        <w:t>Linda Loaiza López Soto, Nelson López Meza, Paulina Soto Chaustre, Ana Secilia López Soto, Diana Carolina López Soto, Anyi Karina López Soto, Nelson Enrique López Soto, Elith Johana López Soto, Gerson José López Soto</w:t>
      </w:r>
      <w:r w:rsidRPr="009D52FD">
        <w:rPr>
          <w:rStyle w:val="FootnoteReference"/>
          <w:rFonts w:eastAsia="Verdana" w:cs="Verdana"/>
          <w:sz w:val="20"/>
          <w:szCs w:val="20"/>
          <w:lang w:val="en-US"/>
        </w:rPr>
        <w:footnoteReference w:id="375"/>
      </w:r>
      <w:r w:rsidRPr="009D52FD">
        <w:rPr>
          <w:rFonts w:eastAsia="Verdana" w:cs="Verdana"/>
          <w:sz w:val="20"/>
          <w:szCs w:val="20"/>
          <w:lang w:val="en-US"/>
        </w:rPr>
        <w:t xml:space="preserve">, Yusmely del Valle López Soto, Luz Paulina López Soto, José Isidro López Soto, and Emmanuel Adrián López Soto are the “injured party” and, in their condition as victims of the violations declared in this judgment, they will be considered </w:t>
      </w:r>
      <w:r w:rsidR="00DA0233" w:rsidRPr="009D52FD">
        <w:rPr>
          <w:rFonts w:eastAsia="Verdana" w:cs="Verdana"/>
          <w:sz w:val="20"/>
          <w:szCs w:val="20"/>
          <w:lang w:val="en-US"/>
        </w:rPr>
        <w:t>beneficiaries of the reparations ordered by the Court.</w:t>
      </w:r>
    </w:p>
    <w:p w14:paraId="3BD45A8B" w14:textId="77777777" w:rsidR="00935F35" w:rsidRPr="009D52FD" w:rsidRDefault="00935F35" w:rsidP="00935F35">
      <w:pPr>
        <w:tabs>
          <w:tab w:val="num" w:pos="720"/>
          <w:tab w:val="left" w:pos="851"/>
          <w:tab w:val="num" w:pos="1427"/>
        </w:tabs>
        <w:spacing w:line="240" w:lineRule="auto"/>
        <w:rPr>
          <w:sz w:val="20"/>
          <w:szCs w:val="20"/>
          <w:lang w:val="en-US"/>
        </w:rPr>
      </w:pPr>
    </w:p>
    <w:p w14:paraId="5CA26787" w14:textId="38A9F6AE" w:rsidR="00935F35" w:rsidRPr="009D52FD" w:rsidRDefault="0098665D" w:rsidP="00F11556">
      <w:pPr>
        <w:keepNext/>
        <w:keepLines/>
        <w:numPr>
          <w:ilvl w:val="0"/>
          <w:numId w:val="5"/>
        </w:numPr>
        <w:tabs>
          <w:tab w:val="left" w:pos="567"/>
          <w:tab w:val="left" w:pos="1134"/>
        </w:tabs>
        <w:spacing w:line="240" w:lineRule="auto"/>
        <w:ind w:left="567" w:firstLine="0"/>
        <w:textAlignment w:val="auto"/>
        <w:outlineLvl w:val="1"/>
        <w:rPr>
          <w:rFonts w:eastAsia="MS Mincho"/>
          <w:b/>
          <w:bCs/>
          <w:i/>
          <w:sz w:val="20"/>
          <w:szCs w:val="20"/>
          <w:lang w:val="en-US"/>
        </w:rPr>
      </w:pPr>
      <w:bookmarkStart w:id="116" w:name="_Toc51400113"/>
      <w:r w:rsidRPr="009D52FD">
        <w:rPr>
          <w:rFonts w:eastAsia="MS Mincho"/>
          <w:b/>
          <w:bCs/>
          <w:i/>
          <w:sz w:val="20"/>
          <w:szCs w:val="20"/>
          <w:lang w:val="en-US"/>
        </w:rPr>
        <w:t>Obligation to investigate the facts and identify, prosecute and punish, as appropriate, those responsible</w:t>
      </w:r>
      <w:bookmarkEnd w:id="116"/>
    </w:p>
    <w:p w14:paraId="5D6A887F" w14:textId="77777777" w:rsidR="00935F35" w:rsidRPr="009D52FD" w:rsidRDefault="00935F35" w:rsidP="00935F35">
      <w:pPr>
        <w:tabs>
          <w:tab w:val="num" w:pos="720"/>
          <w:tab w:val="left" w:pos="851"/>
          <w:tab w:val="num" w:pos="1427"/>
        </w:tabs>
        <w:spacing w:line="240" w:lineRule="auto"/>
        <w:rPr>
          <w:sz w:val="20"/>
          <w:szCs w:val="20"/>
          <w:lang w:val="en-US"/>
        </w:rPr>
      </w:pPr>
    </w:p>
    <w:p w14:paraId="5B0363E6" w14:textId="09509E85" w:rsidR="00935F35" w:rsidRPr="009D52FD" w:rsidRDefault="008A168A" w:rsidP="00E35810">
      <w:pPr>
        <w:pStyle w:val="Heading2"/>
        <w:tabs>
          <w:tab w:val="left" w:pos="1701"/>
        </w:tabs>
        <w:spacing w:before="0" w:line="240" w:lineRule="auto"/>
        <w:ind w:left="1134"/>
        <w:rPr>
          <w:rFonts w:ascii="Verdana" w:hAnsi="Verdana"/>
          <w:b w:val="0"/>
          <w:i/>
          <w:color w:val="auto"/>
          <w:sz w:val="20"/>
          <w:szCs w:val="20"/>
          <w:lang w:val="en-US"/>
        </w:rPr>
      </w:pPr>
      <w:bookmarkStart w:id="117" w:name="_Toc51400114"/>
      <w:r w:rsidRPr="009D52FD">
        <w:rPr>
          <w:rFonts w:ascii="Verdana" w:hAnsi="Verdana"/>
          <w:b w:val="0"/>
          <w:i/>
          <w:color w:val="auto"/>
          <w:sz w:val="20"/>
          <w:szCs w:val="20"/>
          <w:lang w:val="en-US"/>
        </w:rPr>
        <w:t>B.1</w:t>
      </w:r>
      <w:r w:rsidR="00935F35" w:rsidRPr="009D52FD">
        <w:rPr>
          <w:rFonts w:ascii="Verdana" w:hAnsi="Verdana"/>
          <w:b w:val="0"/>
          <w:i/>
          <w:color w:val="auto"/>
          <w:sz w:val="20"/>
          <w:szCs w:val="20"/>
          <w:lang w:val="en-US"/>
        </w:rPr>
        <w:t xml:space="preserve"> </w:t>
      </w:r>
      <w:r w:rsidR="00E35810" w:rsidRPr="009D52FD">
        <w:rPr>
          <w:rFonts w:ascii="Verdana" w:hAnsi="Verdana"/>
          <w:b w:val="0"/>
          <w:i/>
          <w:color w:val="auto"/>
          <w:sz w:val="20"/>
          <w:szCs w:val="20"/>
          <w:lang w:val="en-US"/>
        </w:rPr>
        <w:tab/>
      </w:r>
      <w:r w:rsidR="00935F35" w:rsidRPr="009D52FD">
        <w:rPr>
          <w:rFonts w:ascii="Verdana" w:hAnsi="Verdana"/>
          <w:b w:val="0"/>
          <w:i/>
          <w:color w:val="auto"/>
          <w:sz w:val="20"/>
          <w:szCs w:val="20"/>
          <w:lang w:val="en-US"/>
        </w:rPr>
        <w:t>Investiga</w:t>
      </w:r>
      <w:r w:rsidR="0098665D" w:rsidRPr="009D52FD">
        <w:rPr>
          <w:rFonts w:ascii="Verdana" w:hAnsi="Verdana"/>
          <w:b w:val="0"/>
          <w:i/>
          <w:color w:val="auto"/>
          <w:sz w:val="20"/>
          <w:szCs w:val="20"/>
          <w:lang w:val="en-US"/>
        </w:rPr>
        <w:t>tion, determination, prosecution and punishment, as appropriate, of all those responsible</w:t>
      </w:r>
      <w:bookmarkEnd w:id="117"/>
    </w:p>
    <w:p w14:paraId="2C1C60BF" w14:textId="0F5EB641" w:rsidR="00935F35" w:rsidRPr="009D52FD" w:rsidRDefault="00935F35" w:rsidP="00935F35">
      <w:pPr>
        <w:autoSpaceDE w:val="0"/>
        <w:autoSpaceDN w:val="0"/>
        <w:spacing w:line="240" w:lineRule="auto"/>
        <w:ind w:firstLine="142"/>
        <w:rPr>
          <w:rFonts w:cs="Verdana"/>
          <w:bCs/>
          <w:i/>
          <w:iCs/>
          <w:sz w:val="20"/>
          <w:szCs w:val="20"/>
          <w:lang w:val="en-US"/>
        </w:rPr>
      </w:pPr>
    </w:p>
    <w:p w14:paraId="57B85255" w14:textId="29B2C365" w:rsidR="00935F35" w:rsidRPr="009D52FD" w:rsidRDefault="003630BB" w:rsidP="00935F35">
      <w:pPr>
        <w:numPr>
          <w:ilvl w:val="0"/>
          <w:numId w:val="1"/>
        </w:numPr>
        <w:tabs>
          <w:tab w:val="left" w:pos="567"/>
          <w:tab w:val="num" w:pos="5057"/>
        </w:tabs>
        <w:spacing w:line="240" w:lineRule="auto"/>
        <w:ind w:left="0" w:firstLine="0"/>
        <w:textAlignment w:val="auto"/>
        <w:rPr>
          <w:rFonts w:eastAsia="MS Mincho"/>
          <w:sz w:val="20"/>
          <w:szCs w:val="20"/>
          <w:lang w:val="en-US" w:bidi="en-US"/>
        </w:rPr>
      </w:pPr>
      <w:r w:rsidRPr="009D52FD">
        <w:rPr>
          <w:rFonts w:eastAsia="MS Mincho"/>
          <w:sz w:val="20"/>
          <w:szCs w:val="20"/>
          <w:lang w:val="en-US" w:bidi="en-US"/>
        </w:rPr>
        <w:t xml:space="preserve">The </w:t>
      </w:r>
      <w:r w:rsidRPr="009D52FD">
        <w:rPr>
          <w:rFonts w:eastAsia="MS Mincho"/>
          <w:b/>
          <w:bCs/>
          <w:i/>
          <w:iCs/>
          <w:sz w:val="20"/>
          <w:szCs w:val="20"/>
          <w:lang w:val="en-US" w:bidi="en-US"/>
        </w:rPr>
        <w:t>Commission</w:t>
      </w:r>
      <w:r w:rsidR="00935F35" w:rsidRPr="009D52FD">
        <w:rPr>
          <w:rFonts w:eastAsia="MS Mincho"/>
          <w:b/>
          <w:bCs/>
          <w:i/>
          <w:iCs/>
          <w:sz w:val="20"/>
          <w:szCs w:val="20"/>
          <w:lang w:val="en-US" w:bidi="en-US"/>
        </w:rPr>
        <w:t xml:space="preserve"> </w:t>
      </w:r>
      <w:r w:rsidR="0098665D" w:rsidRPr="009D52FD">
        <w:rPr>
          <w:rFonts w:cs="Cambria"/>
          <w:sz w:val="20"/>
          <w:szCs w:val="20"/>
          <w:lang w:val="en-US"/>
        </w:rPr>
        <w:t>indicated that it was necessary to investigate with due diligence and</w:t>
      </w:r>
      <w:r w:rsidR="00935F35" w:rsidRPr="009D52FD">
        <w:rPr>
          <w:rFonts w:cs="Cambria"/>
          <w:sz w:val="20"/>
          <w:szCs w:val="20"/>
          <w:lang w:val="en-US"/>
        </w:rPr>
        <w:t xml:space="preserve"> </w:t>
      </w:r>
      <w:r w:rsidR="007D3D4F" w:rsidRPr="009D52FD">
        <w:rPr>
          <w:rFonts w:cs="Cambria"/>
          <w:sz w:val="20"/>
          <w:szCs w:val="20"/>
          <w:lang w:val="en-US"/>
        </w:rPr>
        <w:t>within a reasonable time</w:t>
      </w:r>
      <w:r w:rsidR="0098665D" w:rsidRPr="009D52FD">
        <w:rPr>
          <w:rFonts w:cs="Cambria"/>
          <w:sz w:val="20"/>
          <w:szCs w:val="20"/>
          <w:lang w:val="en-US"/>
        </w:rPr>
        <w:t xml:space="preserve"> the acts of</w:t>
      </w:r>
      <w:r w:rsidR="00935F35" w:rsidRPr="009D52FD">
        <w:rPr>
          <w:rFonts w:cs="Cambria"/>
          <w:sz w:val="20"/>
          <w:szCs w:val="20"/>
          <w:lang w:val="en-US"/>
        </w:rPr>
        <w:t xml:space="preserve"> </w:t>
      </w:r>
      <w:r w:rsidR="0081578D" w:rsidRPr="009D52FD">
        <w:rPr>
          <w:rFonts w:cs="Cambria"/>
          <w:sz w:val="20"/>
          <w:szCs w:val="20"/>
          <w:lang w:val="en-US"/>
        </w:rPr>
        <w:t>sexual violence</w:t>
      </w:r>
      <w:r w:rsidR="00935F35" w:rsidRPr="009D52FD">
        <w:rPr>
          <w:rFonts w:cs="Cambria"/>
          <w:sz w:val="20"/>
          <w:szCs w:val="20"/>
          <w:lang w:val="en-US"/>
        </w:rPr>
        <w:t xml:space="preserve"> </w:t>
      </w:r>
      <w:r w:rsidR="0098665D" w:rsidRPr="009D52FD">
        <w:rPr>
          <w:rFonts w:cs="Cambria"/>
          <w:sz w:val="20"/>
          <w:szCs w:val="20"/>
          <w:lang w:val="en-US"/>
        </w:rPr>
        <w:t>suffered by</w:t>
      </w:r>
      <w:r w:rsidR="00935F35" w:rsidRPr="009D52FD">
        <w:rPr>
          <w:rFonts w:cs="Cambria"/>
          <w:sz w:val="20"/>
          <w:szCs w:val="20"/>
          <w:lang w:val="en-US"/>
        </w:rPr>
        <w:t xml:space="preserve"> Linda Loaiza López Soto, </w:t>
      </w:r>
      <w:r w:rsidR="0098665D" w:rsidRPr="009D52FD">
        <w:rPr>
          <w:rFonts w:cs="Cambria"/>
          <w:sz w:val="20"/>
          <w:szCs w:val="20"/>
          <w:lang w:val="en-US"/>
        </w:rPr>
        <w:t>respecting the standards indicated in</w:t>
      </w:r>
      <w:r w:rsidR="00935F35" w:rsidRPr="009D52FD">
        <w:rPr>
          <w:rFonts w:cs="Cambria"/>
          <w:sz w:val="20"/>
          <w:szCs w:val="20"/>
          <w:lang w:val="en-US"/>
        </w:rPr>
        <w:t xml:space="preserve"> </w:t>
      </w:r>
      <w:r w:rsidR="00483040" w:rsidRPr="009D52FD">
        <w:rPr>
          <w:rFonts w:cs="Cambria"/>
          <w:sz w:val="20"/>
          <w:szCs w:val="20"/>
          <w:lang w:val="en-US"/>
        </w:rPr>
        <w:t>the Merits Report</w:t>
      </w:r>
      <w:r w:rsidR="00EC3A8A" w:rsidRPr="009D52FD">
        <w:rPr>
          <w:rFonts w:cs="Cambria"/>
          <w:sz w:val="20"/>
          <w:szCs w:val="20"/>
          <w:lang w:val="en-US"/>
        </w:rPr>
        <w:t>.</w:t>
      </w:r>
    </w:p>
    <w:p w14:paraId="553B63A4" w14:textId="77777777" w:rsidR="00935F35" w:rsidRPr="009D52FD" w:rsidRDefault="00935F35" w:rsidP="00935F35">
      <w:pPr>
        <w:tabs>
          <w:tab w:val="left" w:pos="709"/>
          <w:tab w:val="num" w:pos="1427"/>
        </w:tabs>
        <w:spacing w:line="240" w:lineRule="auto"/>
        <w:ind w:right="-90"/>
        <w:rPr>
          <w:sz w:val="20"/>
          <w:szCs w:val="20"/>
          <w:lang w:val="en-US"/>
        </w:rPr>
      </w:pPr>
    </w:p>
    <w:p w14:paraId="626A5F78" w14:textId="29639B82" w:rsidR="00935F35" w:rsidRPr="009D52FD" w:rsidRDefault="003630BB" w:rsidP="00DA0233">
      <w:pPr>
        <w:numPr>
          <w:ilvl w:val="0"/>
          <w:numId w:val="1"/>
        </w:numPr>
        <w:tabs>
          <w:tab w:val="left" w:pos="567"/>
          <w:tab w:val="num" w:pos="5057"/>
        </w:tabs>
        <w:spacing w:line="240" w:lineRule="auto"/>
        <w:ind w:left="0" w:firstLine="0"/>
        <w:textAlignment w:val="auto"/>
        <w:rPr>
          <w:rFonts w:eastAsia="Verdana" w:cs="Verdana"/>
          <w:b/>
          <w:bCs/>
          <w:sz w:val="20"/>
          <w:szCs w:val="20"/>
          <w:lang w:val="en-US"/>
        </w:rPr>
      </w:pPr>
      <w:r w:rsidRPr="009D52FD">
        <w:rPr>
          <w:bCs/>
          <w:sz w:val="20"/>
          <w:szCs w:val="20"/>
          <w:lang w:val="en-US" w:bidi="en-US"/>
        </w:rPr>
        <w:t xml:space="preserve">The </w:t>
      </w:r>
      <w:r w:rsidRPr="009D52FD">
        <w:rPr>
          <w:b/>
          <w:i/>
          <w:iCs/>
          <w:sz w:val="20"/>
          <w:szCs w:val="20"/>
          <w:lang w:val="en-US" w:bidi="en-US"/>
        </w:rPr>
        <w:t>representatives</w:t>
      </w:r>
      <w:r w:rsidR="00DA0233" w:rsidRPr="009D52FD">
        <w:rPr>
          <w:rFonts w:eastAsia="MS Mincho"/>
          <w:sz w:val="20"/>
          <w:szCs w:val="20"/>
          <w:lang w:val="en-US" w:bidi="en-US"/>
        </w:rPr>
        <w:t xml:space="preserve"> asked the Court to order the State to conduct effective investigations, prosecute and punish the persons responsible</w:t>
      </w:r>
      <w:r w:rsidR="0080680C" w:rsidRPr="009D52FD">
        <w:rPr>
          <w:rFonts w:eastAsia="MS Mincho"/>
          <w:sz w:val="20"/>
          <w:szCs w:val="20"/>
          <w:lang w:val="en-US" w:bidi="en-US"/>
        </w:rPr>
        <w:t xml:space="preserve"> for</w:t>
      </w:r>
      <w:r w:rsidR="00DA0233" w:rsidRPr="009D52FD">
        <w:rPr>
          <w:rFonts w:eastAsia="MS Mincho"/>
          <w:sz w:val="20"/>
          <w:szCs w:val="20"/>
          <w:lang w:val="en-US" w:bidi="en-US"/>
        </w:rPr>
        <w:t xml:space="preserve"> and those who collaborated in “the kidnapping, torture and sexual slavery” of Linda Loaiza López Soto. They also asked that the State should prescind of the latter’s statement about the details of her captivity and the sexual violence suffered, taking into account that this was very traumatic for the victim, and also that they considered that th</w:t>
      </w:r>
      <w:r w:rsidR="0080680C" w:rsidRPr="009D52FD">
        <w:rPr>
          <w:rFonts w:eastAsia="MS Mincho"/>
          <w:sz w:val="20"/>
          <w:szCs w:val="20"/>
          <w:lang w:val="en-US" w:bidi="en-US"/>
        </w:rPr>
        <w:t>o</w:t>
      </w:r>
      <w:r w:rsidR="00DA0233" w:rsidRPr="009D52FD">
        <w:rPr>
          <w:rFonts w:eastAsia="MS Mincho"/>
          <w:sz w:val="20"/>
          <w:szCs w:val="20"/>
          <w:lang w:val="en-US" w:bidi="en-US"/>
        </w:rPr>
        <w:t xml:space="preserve">se details had been “amply proved” by the statements she had provided previously. They also asked that the State order the effective investigation and sanction of those responsible for the threats, harassment and other attacks suffered both by the victims and by Linda Loaiza’s lawyer, Juan Bernardo Delgado Linares. In this regard, they asked that, during the investigations and judicial proceedings, State implement mechanisms to avoid the revictimization of Linda Loaiza, and to safeguard the integrity of all the victims. To this end, they requested that the State provide a “humanitarian </w:t>
      </w:r>
      <w:r w:rsidR="00361FD3" w:rsidRPr="009D52FD">
        <w:rPr>
          <w:rFonts w:eastAsia="MS Mincho"/>
          <w:sz w:val="20"/>
          <w:szCs w:val="20"/>
          <w:lang w:val="en-US" w:bidi="en-US"/>
        </w:rPr>
        <w:t>channel</w:t>
      </w:r>
      <w:r w:rsidR="00DA0233" w:rsidRPr="009D52FD">
        <w:rPr>
          <w:rFonts w:eastAsia="MS Mincho"/>
          <w:sz w:val="20"/>
          <w:szCs w:val="20"/>
          <w:lang w:val="en-US" w:bidi="en-US"/>
        </w:rPr>
        <w:t>” for the eventual case in which the victims feel threatened, so that they may leave the country, with the State assuming the costs of this move. Lastly, the representatives asked that the Court order the investigation of other acts of sexual violence presumably committed by</w:t>
      </w:r>
      <w:r w:rsidR="00DA0233" w:rsidRPr="009D52FD">
        <w:rPr>
          <w:rFonts w:eastAsia="Verdana" w:cs="Verdana"/>
          <w:b/>
          <w:bCs/>
          <w:sz w:val="20"/>
          <w:szCs w:val="20"/>
          <w:lang w:val="en-US"/>
        </w:rPr>
        <w:t xml:space="preserve"> </w:t>
      </w:r>
      <w:r w:rsidR="00935F35" w:rsidRPr="009D52FD">
        <w:rPr>
          <w:rFonts w:eastAsia="MS Mincho"/>
          <w:sz w:val="20"/>
          <w:szCs w:val="20"/>
          <w:lang w:val="en-US" w:bidi="en-US"/>
        </w:rPr>
        <w:t xml:space="preserve">Carrera Almoina </w:t>
      </w:r>
      <w:r w:rsidR="00DA0233" w:rsidRPr="009D52FD">
        <w:rPr>
          <w:rFonts w:eastAsia="MS Mincho"/>
          <w:sz w:val="20"/>
          <w:szCs w:val="20"/>
          <w:lang w:val="en-US" w:bidi="en-US"/>
        </w:rPr>
        <w:t xml:space="preserve">against other women, which </w:t>
      </w:r>
      <w:r w:rsidR="00935F35" w:rsidRPr="009D52FD">
        <w:rPr>
          <w:rFonts w:eastAsia="MS Mincho"/>
          <w:sz w:val="20"/>
          <w:szCs w:val="20"/>
          <w:lang w:val="en-US" w:bidi="en-US"/>
        </w:rPr>
        <w:t>Linda Loaiza López Soto</w:t>
      </w:r>
      <w:r w:rsidR="00DA0233" w:rsidRPr="009D52FD">
        <w:rPr>
          <w:rFonts w:eastAsia="MS Mincho"/>
          <w:sz w:val="20"/>
          <w:szCs w:val="20"/>
          <w:lang w:val="en-US" w:bidi="en-US"/>
        </w:rPr>
        <w:t xml:space="preserve"> had opportunely reported to</w:t>
      </w:r>
      <w:r w:rsidR="00935F35" w:rsidRPr="009D52FD">
        <w:rPr>
          <w:rFonts w:eastAsia="MS Mincho"/>
          <w:sz w:val="20"/>
          <w:szCs w:val="20"/>
          <w:lang w:val="en-US" w:bidi="en-US"/>
        </w:rPr>
        <w:t xml:space="preserve"> </w:t>
      </w:r>
      <w:r w:rsidR="000C6475" w:rsidRPr="009D52FD">
        <w:rPr>
          <w:rFonts w:eastAsia="MS Mincho"/>
          <w:sz w:val="20"/>
          <w:szCs w:val="20"/>
          <w:lang w:val="en-US" w:bidi="en-US"/>
        </w:rPr>
        <w:t xml:space="preserve">the </w:t>
      </w:r>
      <w:r w:rsidR="0098665D" w:rsidRPr="009D52FD">
        <w:rPr>
          <w:rFonts w:eastAsia="MS Mincho"/>
          <w:sz w:val="20"/>
          <w:szCs w:val="20"/>
          <w:lang w:val="en-US" w:bidi="en-US"/>
        </w:rPr>
        <w:t xml:space="preserve">Venezuelan </w:t>
      </w:r>
      <w:r w:rsidR="000C6475" w:rsidRPr="009D52FD">
        <w:rPr>
          <w:rFonts w:eastAsia="MS Mincho"/>
          <w:sz w:val="20"/>
          <w:szCs w:val="20"/>
          <w:lang w:val="en-US" w:bidi="en-US"/>
        </w:rPr>
        <w:t>Public Prosecution Service</w:t>
      </w:r>
      <w:r w:rsidR="00F436CB" w:rsidRPr="009D52FD">
        <w:rPr>
          <w:rFonts w:eastAsia="MS Mincho"/>
          <w:sz w:val="20"/>
          <w:szCs w:val="20"/>
          <w:lang w:val="en-US" w:bidi="en-US"/>
        </w:rPr>
        <w:t>.</w:t>
      </w:r>
    </w:p>
    <w:p w14:paraId="25DD7715" w14:textId="77777777" w:rsidR="00935F35" w:rsidRPr="009D52FD" w:rsidRDefault="00935F35" w:rsidP="00935F35">
      <w:pPr>
        <w:tabs>
          <w:tab w:val="left" w:pos="567"/>
        </w:tabs>
        <w:spacing w:line="240" w:lineRule="auto"/>
        <w:rPr>
          <w:rFonts w:eastAsia="Verdana" w:cs="Verdana"/>
          <w:b/>
          <w:bCs/>
          <w:sz w:val="20"/>
          <w:szCs w:val="20"/>
          <w:lang w:val="en-US"/>
        </w:rPr>
      </w:pPr>
    </w:p>
    <w:p w14:paraId="3C2E171A" w14:textId="7F380B7D" w:rsidR="00935F35" w:rsidRPr="009D52FD" w:rsidRDefault="003630BB" w:rsidP="00BD34A9">
      <w:pPr>
        <w:numPr>
          <w:ilvl w:val="0"/>
          <w:numId w:val="1"/>
        </w:numPr>
        <w:tabs>
          <w:tab w:val="left" w:pos="567"/>
          <w:tab w:val="num" w:pos="5057"/>
        </w:tabs>
        <w:spacing w:line="240" w:lineRule="auto"/>
        <w:ind w:left="0" w:firstLine="0"/>
        <w:textAlignment w:val="auto"/>
        <w:rPr>
          <w:sz w:val="20"/>
          <w:szCs w:val="20"/>
          <w:lang w:val="en-US"/>
        </w:rPr>
      </w:pPr>
      <w:r w:rsidRPr="009D52FD">
        <w:rPr>
          <w:rFonts w:eastAsia="MS Mincho"/>
          <w:sz w:val="20"/>
          <w:szCs w:val="20"/>
          <w:lang w:val="en-US" w:bidi="en-US"/>
        </w:rPr>
        <w:t xml:space="preserve">The </w:t>
      </w:r>
      <w:r w:rsidRPr="009D52FD">
        <w:rPr>
          <w:rFonts w:eastAsia="MS Mincho"/>
          <w:b/>
          <w:bCs/>
          <w:i/>
          <w:iCs/>
          <w:sz w:val="20"/>
          <w:szCs w:val="20"/>
          <w:lang w:val="en-US" w:bidi="en-US"/>
        </w:rPr>
        <w:t>State</w:t>
      </w:r>
      <w:r w:rsidR="00935F35" w:rsidRPr="009D52FD">
        <w:rPr>
          <w:sz w:val="20"/>
          <w:szCs w:val="20"/>
          <w:lang w:val="en-US" w:bidi="en-US"/>
        </w:rPr>
        <w:t xml:space="preserve"> </w:t>
      </w:r>
      <w:r w:rsidR="00DA0233" w:rsidRPr="009D52FD">
        <w:rPr>
          <w:sz w:val="20"/>
          <w:szCs w:val="20"/>
          <w:lang w:val="en-US" w:bidi="en-US"/>
        </w:rPr>
        <w:t xml:space="preserve">indicated that it had complied with its obligation to duly investigate and punish the facts that had occurred </w:t>
      </w:r>
      <w:r w:rsidR="00483040" w:rsidRPr="009D52FD">
        <w:rPr>
          <w:sz w:val="20"/>
          <w:szCs w:val="20"/>
          <w:lang w:val="en-US" w:bidi="en-US"/>
        </w:rPr>
        <w:t>to the detriment of</w:t>
      </w:r>
      <w:r w:rsidR="00935F35" w:rsidRPr="009D52FD">
        <w:rPr>
          <w:sz w:val="20"/>
          <w:szCs w:val="20"/>
          <w:lang w:val="en-US" w:bidi="en-US"/>
        </w:rPr>
        <w:t xml:space="preserve"> Linda Loaiza</w:t>
      </w:r>
      <w:r w:rsidR="007D1C82" w:rsidRPr="009D52FD">
        <w:rPr>
          <w:sz w:val="20"/>
          <w:szCs w:val="20"/>
          <w:lang w:val="en-US" w:bidi="en-US"/>
        </w:rPr>
        <w:t xml:space="preserve"> López Soto</w:t>
      </w:r>
      <w:r w:rsidR="00DA0233" w:rsidRPr="009D52FD">
        <w:rPr>
          <w:sz w:val="20"/>
          <w:szCs w:val="20"/>
          <w:lang w:val="en-US" w:bidi="en-US"/>
        </w:rPr>
        <w:t>,</w:t>
      </w:r>
      <w:r w:rsidR="00935F35" w:rsidRPr="009D52FD">
        <w:rPr>
          <w:sz w:val="20"/>
          <w:szCs w:val="20"/>
          <w:lang w:val="en-US" w:bidi="en-US"/>
        </w:rPr>
        <w:t xml:space="preserve"> </w:t>
      </w:r>
      <w:r w:rsidR="00DA0233" w:rsidRPr="009D52FD">
        <w:rPr>
          <w:sz w:val="20"/>
          <w:szCs w:val="20"/>
          <w:lang w:val="en-US" w:bidi="en-US"/>
        </w:rPr>
        <w:t xml:space="preserve">because on December 15, </w:t>
      </w:r>
      <w:r w:rsidR="00935F35" w:rsidRPr="009D52FD">
        <w:rPr>
          <w:sz w:val="20"/>
          <w:szCs w:val="20"/>
          <w:lang w:val="en-US" w:bidi="en-US"/>
        </w:rPr>
        <w:t>2016</w:t>
      </w:r>
      <w:r w:rsidR="00DA0233" w:rsidRPr="009D52FD">
        <w:rPr>
          <w:sz w:val="20"/>
          <w:szCs w:val="20"/>
          <w:lang w:val="en-US" w:bidi="en-US"/>
        </w:rPr>
        <w:t>,</w:t>
      </w:r>
      <w:r w:rsidR="00935F35" w:rsidRPr="009D52FD">
        <w:rPr>
          <w:sz w:val="20"/>
          <w:szCs w:val="20"/>
          <w:lang w:val="en-US" w:bidi="en-US"/>
        </w:rPr>
        <w:t xml:space="preserve"> </w:t>
      </w:r>
      <w:r w:rsidR="00D43515" w:rsidRPr="009D52FD">
        <w:rPr>
          <w:sz w:val="20"/>
          <w:szCs w:val="20"/>
          <w:lang w:val="en-US" w:bidi="en-US"/>
        </w:rPr>
        <w:t>the Constitutional Chamber</w:t>
      </w:r>
      <w:r w:rsidRPr="009D52FD">
        <w:rPr>
          <w:sz w:val="20"/>
          <w:szCs w:val="20"/>
          <w:lang w:val="en-US" w:bidi="en-US"/>
        </w:rPr>
        <w:t xml:space="preserve"> of the </w:t>
      </w:r>
      <w:r w:rsidR="00D43515" w:rsidRPr="009D52FD">
        <w:rPr>
          <w:sz w:val="20"/>
          <w:szCs w:val="20"/>
          <w:lang w:val="en-US" w:bidi="en-US"/>
        </w:rPr>
        <w:t>Supreme Court of Justice</w:t>
      </w:r>
      <w:r w:rsidR="00935F35" w:rsidRPr="009D52FD">
        <w:rPr>
          <w:sz w:val="20"/>
          <w:szCs w:val="20"/>
          <w:lang w:val="en-US" w:bidi="en-US"/>
        </w:rPr>
        <w:t xml:space="preserve"> </w:t>
      </w:r>
      <w:r w:rsidR="00DA0233" w:rsidRPr="009D52FD">
        <w:rPr>
          <w:sz w:val="20"/>
          <w:szCs w:val="20"/>
          <w:lang w:val="en-US" w:bidi="en-US"/>
        </w:rPr>
        <w:t>had decided to annul the acquittal delivered with regard to</w:t>
      </w:r>
      <w:r w:rsidR="00935F35" w:rsidRPr="009D52FD">
        <w:rPr>
          <w:sz w:val="20"/>
          <w:szCs w:val="20"/>
          <w:lang w:val="en-US" w:bidi="en-US"/>
        </w:rPr>
        <w:t xml:space="preserve"> Carrera Almoina </w:t>
      </w:r>
      <w:r w:rsidR="00DA0233" w:rsidRPr="009D52FD">
        <w:rPr>
          <w:sz w:val="20"/>
          <w:szCs w:val="20"/>
          <w:lang w:val="en-US" w:bidi="en-US"/>
        </w:rPr>
        <w:t xml:space="preserve">for the crime of rape. Also, regarding the </w:t>
      </w:r>
      <w:r w:rsidR="00DA0233" w:rsidRPr="009D52FD">
        <w:rPr>
          <w:sz w:val="20"/>
          <w:szCs w:val="20"/>
          <w:lang w:val="en-US" w:bidi="en-US"/>
        </w:rPr>
        <w:lastRenderedPageBreak/>
        <w:t xml:space="preserve">“humanitarian channel” requested by </w:t>
      </w:r>
      <w:r w:rsidRPr="009D52FD">
        <w:rPr>
          <w:sz w:val="20"/>
          <w:szCs w:val="20"/>
          <w:lang w:val="en-US" w:bidi="en-US"/>
        </w:rPr>
        <w:t>the representatives</w:t>
      </w:r>
      <w:r w:rsidR="00935F35" w:rsidRPr="009D52FD">
        <w:rPr>
          <w:sz w:val="20"/>
          <w:szCs w:val="20"/>
          <w:lang w:val="en-US" w:bidi="en-US"/>
        </w:rPr>
        <w:t>,</w:t>
      </w:r>
      <w:r w:rsidR="00DA0233" w:rsidRPr="009D52FD">
        <w:rPr>
          <w:sz w:val="20"/>
          <w:szCs w:val="20"/>
          <w:lang w:val="en-US" w:bidi="en-US"/>
        </w:rPr>
        <w:t xml:space="preserve"> it indicated that this measure was not admissible because </w:t>
      </w:r>
      <w:r w:rsidR="00BD34A9" w:rsidRPr="009D52FD">
        <w:rPr>
          <w:sz w:val="20"/>
          <w:szCs w:val="20"/>
          <w:lang w:val="en-US" w:bidi="en-US"/>
        </w:rPr>
        <w:t xml:space="preserve">it was not contemplated as a measure of protection for victims under the Venezuelan Law on Protection of Victims, Witnesses and other procedural subjects, which did  include, a series of protection mechanisms within national territory. It also indicated that the measure requested could be considered a punishment of </w:t>
      </w:r>
      <w:r w:rsidR="00361FD3" w:rsidRPr="009D52FD">
        <w:rPr>
          <w:sz w:val="20"/>
          <w:szCs w:val="20"/>
          <w:lang w:val="en-US" w:bidi="en-US"/>
        </w:rPr>
        <w:t>expulsion</w:t>
      </w:r>
      <w:r w:rsidR="00BD34A9" w:rsidRPr="009D52FD">
        <w:rPr>
          <w:sz w:val="20"/>
          <w:szCs w:val="20"/>
          <w:lang w:val="en-US" w:bidi="en-US"/>
        </w:rPr>
        <w:t xml:space="preserve"> or exile, which was prohibited by the Venezuelan Constitution.</w:t>
      </w:r>
    </w:p>
    <w:p w14:paraId="4F391C4F" w14:textId="77777777" w:rsidR="00935F35" w:rsidRPr="009D52FD" w:rsidRDefault="00935F35" w:rsidP="00935F35">
      <w:pPr>
        <w:tabs>
          <w:tab w:val="left" w:pos="567"/>
        </w:tabs>
        <w:spacing w:line="240" w:lineRule="auto"/>
        <w:rPr>
          <w:sz w:val="20"/>
          <w:szCs w:val="20"/>
          <w:lang w:val="en-US"/>
        </w:rPr>
      </w:pPr>
    </w:p>
    <w:p w14:paraId="5CFFD0B3" w14:textId="15766BAB" w:rsidR="00935F35" w:rsidRPr="009D52FD" w:rsidRDefault="00BD34A9" w:rsidP="00BD34A9">
      <w:pPr>
        <w:numPr>
          <w:ilvl w:val="0"/>
          <w:numId w:val="1"/>
        </w:numPr>
        <w:tabs>
          <w:tab w:val="left" w:pos="567"/>
          <w:tab w:val="num" w:pos="5057"/>
        </w:tabs>
        <w:spacing w:line="240" w:lineRule="auto"/>
        <w:ind w:left="0" w:firstLine="0"/>
        <w:textAlignment w:val="auto"/>
        <w:rPr>
          <w:rFonts w:eastAsia="MS Mincho"/>
          <w:sz w:val="20"/>
          <w:szCs w:val="20"/>
          <w:lang w:val="en-US"/>
        </w:rPr>
      </w:pPr>
      <w:r w:rsidRPr="009D52FD">
        <w:rPr>
          <w:sz w:val="20"/>
          <w:szCs w:val="20"/>
          <w:lang w:val="en-US"/>
        </w:rPr>
        <w:t xml:space="preserve">In this judgment, the Court has declared, </w:t>
      </w:r>
      <w:r w:rsidR="00935F35" w:rsidRPr="009D52FD">
        <w:rPr>
          <w:i/>
          <w:sz w:val="20"/>
          <w:szCs w:val="20"/>
          <w:lang w:val="en-US"/>
        </w:rPr>
        <w:t>inter alia</w:t>
      </w:r>
      <w:r w:rsidR="00935F35" w:rsidRPr="009D52FD">
        <w:rPr>
          <w:sz w:val="20"/>
          <w:szCs w:val="20"/>
          <w:lang w:val="en-US"/>
        </w:rPr>
        <w:t xml:space="preserve">, </w:t>
      </w:r>
      <w:r w:rsidRPr="009D52FD">
        <w:rPr>
          <w:sz w:val="20"/>
          <w:szCs w:val="20"/>
          <w:lang w:val="en-US"/>
        </w:rPr>
        <w:t xml:space="preserve">that owing to the lack of a special legal framework and the actions of the State’s </w:t>
      </w:r>
      <w:r w:rsidR="00011B99" w:rsidRPr="009D52FD">
        <w:rPr>
          <w:sz w:val="20"/>
          <w:szCs w:val="20"/>
          <w:lang w:val="en-US"/>
        </w:rPr>
        <w:t>law enforcement</w:t>
      </w:r>
      <w:r w:rsidRPr="009D52FD">
        <w:rPr>
          <w:sz w:val="20"/>
          <w:szCs w:val="20"/>
          <w:lang w:val="en-US"/>
        </w:rPr>
        <w:t xml:space="preserve">, investigation and forensic authorities, and those responsible for imparting justice in this specific case, the State failed to act with the enhanced due diligence required in the investigations and criminal proceedings for the </w:t>
      </w:r>
      <w:r w:rsidR="005935CA" w:rsidRPr="009D52FD">
        <w:rPr>
          <w:kern w:val="2"/>
          <w:sz w:val="20"/>
          <w:szCs w:val="20"/>
          <w:lang w:val="en-US" w:eastAsia="en-US"/>
        </w:rPr>
        <w:t>violence against women</w:t>
      </w:r>
      <w:r w:rsidR="003630BB" w:rsidRPr="009D52FD">
        <w:rPr>
          <w:kern w:val="2"/>
          <w:sz w:val="20"/>
          <w:szCs w:val="20"/>
          <w:lang w:val="en-US" w:eastAsia="en-US"/>
        </w:rPr>
        <w:t xml:space="preserve"> and </w:t>
      </w:r>
      <w:r w:rsidR="007D1C82" w:rsidRPr="009D52FD">
        <w:rPr>
          <w:kern w:val="2"/>
          <w:sz w:val="20"/>
          <w:szCs w:val="20"/>
          <w:lang w:val="en-US" w:eastAsia="en-US"/>
        </w:rPr>
        <w:t>act</w:t>
      </w:r>
      <w:r w:rsidRPr="009D52FD">
        <w:rPr>
          <w:kern w:val="2"/>
          <w:sz w:val="20"/>
          <w:szCs w:val="20"/>
          <w:lang w:val="en-US" w:eastAsia="en-US"/>
        </w:rPr>
        <w:t>s of</w:t>
      </w:r>
      <w:r w:rsidR="007D1C82" w:rsidRPr="009D52FD">
        <w:rPr>
          <w:kern w:val="2"/>
          <w:sz w:val="20"/>
          <w:szCs w:val="20"/>
          <w:lang w:val="en-US" w:eastAsia="en-US"/>
        </w:rPr>
        <w:t xml:space="preserve"> tortur</w:t>
      </w:r>
      <w:r w:rsidRPr="009D52FD">
        <w:rPr>
          <w:kern w:val="2"/>
          <w:sz w:val="20"/>
          <w:szCs w:val="20"/>
          <w:lang w:val="en-US" w:eastAsia="en-US"/>
        </w:rPr>
        <w:t xml:space="preserve">e suffered by </w:t>
      </w:r>
      <w:r w:rsidR="007D1C82" w:rsidRPr="009D52FD">
        <w:rPr>
          <w:kern w:val="2"/>
          <w:sz w:val="20"/>
          <w:szCs w:val="20"/>
          <w:lang w:val="en-US" w:eastAsia="en-US"/>
        </w:rPr>
        <w:t xml:space="preserve">Linda Loaiza López Soto; </w:t>
      </w:r>
      <w:r w:rsidRPr="009D52FD">
        <w:rPr>
          <w:kern w:val="2"/>
          <w:sz w:val="20"/>
          <w:szCs w:val="20"/>
          <w:lang w:val="en-US" w:eastAsia="en-US"/>
        </w:rPr>
        <w:t>that the initial procedures and the safeguard of the evidentiary material lacked the minimum diligence, and that the proceedings before the Venezuelan courts were not concluded within a reasonable time; and even, currently, there is a possibility that new proceedings may be held with regard to the facts relat</w:t>
      </w:r>
      <w:r w:rsidR="00361FD3" w:rsidRPr="009D52FD">
        <w:rPr>
          <w:kern w:val="2"/>
          <w:sz w:val="20"/>
          <w:szCs w:val="20"/>
          <w:lang w:val="en-US" w:eastAsia="en-US"/>
        </w:rPr>
        <w:t>ing</w:t>
      </w:r>
      <w:r w:rsidRPr="009D52FD">
        <w:rPr>
          <w:kern w:val="2"/>
          <w:sz w:val="20"/>
          <w:szCs w:val="20"/>
          <w:lang w:val="en-US" w:eastAsia="en-US"/>
        </w:rPr>
        <w:t xml:space="preserve"> to the crime of rape</w:t>
      </w:r>
      <w:r w:rsidR="007D1C82" w:rsidRPr="009D52FD">
        <w:rPr>
          <w:rFonts w:eastAsia="MS Mincho"/>
          <w:sz w:val="20"/>
          <w:szCs w:val="20"/>
          <w:lang w:val="en-US"/>
        </w:rPr>
        <w:t xml:space="preserve"> (</w:t>
      </w:r>
      <w:r w:rsidR="007D1C82" w:rsidRPr="009D52FD">
        <w:rPr>
          <w:rFonts w:eastAsia="MS Mincho"/>
          <w:i/>
          <w:sz w:val="20"/>
          <w:szCs w:val="20"/>
          <w:lang w:val="en-US"/>
        </w:rPr>
        <w:t>supra</w:t>
      </w:r>
      <w:r w:rsidR="007D1C82" w:rsidRPr="009D52FD">
        <w:rPr>
          <w:rFonts w:eastAsia="MS Mincho"/>
          <w:sz w:val="20"/>
          <w:szCs w:val="20"/>
          <w:lang w:val="en-US"/>
        </w:rPr>
        <w:t xml:space="preserve"> </w:t>
      </w:r>
      <w:r w:rsidR="009459E7" w:rsidRPr="009D52FD">
        <w:rPr>
          <w:rFonts w:eastAsia="MS Mincho"/>
          <w:sz w:val="20"/>
          <w:szCs w:val="20"/>
          <w:lang w:val="en-US"/>
        </w:rPr>
        <w:t>paras.</w:t>
      </w:r>
      <w:r w:rsidR="007D1C82" w:rsidRPr="009D52FD">
        <w:rPr>
          <w:rFonts w:eastAsia="MS Mincho"/>
          <w:sz w:val="20"/>
          <w:szCs w:val="20"/>
          <w:lang w:val="en-US"/>
        </w:rPr>
        <w:t xml:space="preserve"> 213, 214</w:t>
      </w:r>
      <w:r w:rsidR="003630BB" w:rsidRPr="009D52FD">
        <w:rPr>
          <w:rFonts w:eastAsia="MS Mincho"/>
          <w:sz w:val="20"/>
          <w:szCs w:val="20"/>
          <w:lang w:val="en-US"/>
        </w:rPr>
        <w:t xml:space="preserve"> and </w:t>
      </w:r>
      <w:r w:rsidR="007D1C82" w:rsidRPr="009D52FD">
        <w:rPr>
          <w:rFonts w:eastAsia="MS Mincho"/>
          <w:sz w:val="20"/>
          <w:szCs w:val="20"/>
          <w:lang w:val="en-US"/>
        </w:rPr>
        <w:t>257)</w:t>
      </w:r>
      <w:r w:rsidR="00935F35" w:rsidRPr="009D52FD">
        <w:rPr>
          <w:rFonts w:eastAsia="MS Mincho"/>
          <w:sz w:val="20"/>
          <w:szCs w:val="20"/>
          <w:lang w:val="en-US"/>
        </w:rPr>
        <w:t xml:space="preserve">. </w:t>
      </w:r>
      <w:r w:rsidRPr="009D52FD">
        <w:rPr>
          <w:rFonts w:eastAsia="MS Mincho"/>
          <w:sz w:val="20"/>
          <w:szCs w:val="20"/>
          <w:lang w:val="en-US"/>
        </w:rPr>
        <w:t xml:space="preserve">Thus, on December 15, </w:t>
      </w:r>
      <w:r w:rsidR="00935F35" w:rsidRPr="009D52FD">
        <w:rPr>
          <w:rFonts w:eastAsia="MS Mincho"/>
          <w:sz w:val="20"/>
          <w:szCs w:val="20"/>
          <w:lang w:val="en-US"/>
        </w:rPr>
        <w:t>2016</w:t>
      </w:r>
      <w:r w:rsidRPr="009D52FD">
        <w:rPr>
          <w:rFonts w:eastAsia="MS Mincho"/>
          <w:sz w:val="20"/>
          <w:szCs w:val="20"/>
          <w:lang w:val="en-US"/>
        </w:rPr>
        <w:t>,</w:t>
      </w:r>
      <w:r w:rsidR="00935F35" w:rsidRPr="009D52FD">
        <w:rPr>
          <w:rFonts w:eastAsia="MS Mincho"/>
          <w:sz w:val="20"/>
          <w:szCs w:val="20"/>
          <w:lang w:val="en-US"/>
        </w:rPr>
        <w:t xml:space="preserve"> </w:t>
      </w:r>
      <w:r w:rsidR="00D43515" w:rsidRPr="009D52FD">
        <w:rPr>
          <w:rFonts w:eastAsia="MS Mincho"/>
          <w:sz w:val="20"/>
          <w:szCs w:val="20"/>
          <w:lang w:val="en-US"/>
        </w:rPr>
        <w:t>the Constitutional Chamber</w:t>
      </w:r>
      <w:r w:rsidR="003630BB" w:rsidRPr="009D52FD">
        <w:rPr>
          <w:rFonts w:eastAsia="MS Mincho"/>
          <w:sz w:val="20"/>
          <w:szCs w:val="20"/>
          <w:lang w:val="en-US"/>
        </w:rPr>
        <w:t xml:space="preserve"> of the </w:t>
      </w:r>
      <w:r w:rsidR="00D43515" w:rsidRPr="009D52FD">
        <w:rPr>
          <w:rFonts w:eastAsia="MS Mincho"/>
          <w:sz w:val="20"/>
          <w:szCs w:val="20"/>
          <w:lang w:val="en-US"/>
        </w:rPr>
        <w:t>Supreme Court of Justice</w:t>
      </w:r>
      <w:r w:rsidR="00935F35" w:rsidRPr="009D52FD">
        <w:rPr>
          <w:rFonts w:eastAsia="MS Mincho"/>
          <w:sz w:val="20"/>
          <w:szCs w:val="20"/>
          <w:lang w:val="en-US"/>
        </w:rPr>
        <w:t xml:space="preserve"> declar</w:t>
      </w:r>
      <w:r w:rsidRPr="009D52FD">
        <w:rPr>
          <w:rFonts w:eastAsia="MS Mincho"/>
          <w:sz w:val="20"/>
          <w:szCs w:val="20"/>
          <w:lang w:val="en-US"/>
        </w:rPr>
        <w:t xml:space="preserve">ed admissible the constitutional review of the final judgment of the criminal proceedings against </w:t>
      </w:r>
      <w:r w:rsidR="00935F35" w:rsidRPr="009D52FD">
        <w:rPr>
          <w:rFonts w:eastAsia="MS Mincho"/>
          <w:sz w:val="20"/>
          <w:szCs w:val="20"/>
          <w:lang w:val="en-US"/>
        </w:rPr>
        <w:t xml:space="preserve">Luis </w:t>
      </w:r>
      <w:r w:rsidR="006141EE" w:rsidRPr="009D52FD">
        <w:rPr>
          <w:rFonts w:eastAsia="MS Mincho"/>
          <w:sz w:val="20"/>
          <w:szCs w:val="20"/>
          <w:lang w:val="en-US"/>
        </w:rPr>
        <w:t xml:space="preserve">Antonio </w:t>
      </w:r>
      <w:r w:rsidR="00935F35" w:rsidRPr="009D52FD">
        <w:rPr>
          <w:rFonts w:eastAsia="MS Mincho"/>
          <w:sz w:val="20"/>
          <w:szCs w:val="20"/>
          <w:lang w:val="en-US"/>
        </w:rPr>
        <w:t>Carrera Almoina</w:t>
      </w:r>
      <w:r w:rsidR="003630BB" w:rsidRPr="009D52FD">
        <w:rPr>
          <w:rFonts w:eastAsia="MS Mincho"/>
          <w:sz w:val="20"/>
          <w:szCs w:val="20"/>
          <w:lang w:val="en-US"/>
        </w:rPr>
        <w:t xml:space="preserve"> and </w:t>
      </w:r>
      <w:r w:rsidR="00935F35" w:rsidRPr="009D52FD">
        <w:rPr>
          <w:rFonts w:eastAsia="MS Mincho"/>
          <w:sz w:val="20"/>
          <w:szCs w:val="20"/>
          <w:lang w:val="en-US"/>
        </w:rPr>
        <w:t>orde</w:t>
      </w:r>
      <w:r w:rsidRPr="009D52FD">
        <w:rPr>
          <w:rFonts w:eastAsia="MS Mincho"/>
          <w:sz w:val="20"/>
          <w:szCs w:val="20"/>
          <w:lang w:val="en-US"/>
        </w:rPr>
        <w:t xml:space="preserve">red another Chamber </w:t>
      </w:r>
      <w:r w:rsidR="003630BB" w:rsidRPr="009D52FD">
        <w:rPr>
          <w:rFonts w:eastAsia="MS Mincho"/>
          <w:sz w:val="20"/>
          <w:szCs w:val="20"/>
          <w:lang w:val="en-US"/>
        </w:rPr>
        <w:t xml:space="preserve">of </w:t>
      </w:r>
      <w:r w:rsidR="00CE476F" w:rsidRPr="009D52FD">
        <w:rPr>
          <w:rFonts w:eastAsia="MS Mincho"/>
          <w:sz w:val="20"/>
          <w:szCs w:val="20"/>
          <w:lang w:val="en-US"/>
        </w:rPr>
        <w:t>the Appellate Court</w:t>
      </w:r>
      <w:r w:rsidR="00935F35" w:rsidRPr="009D52FD">
        <w:rPr>
          <w:rFonts w:eastAsia="MS Mincho"/>
          <w:sz w:val="20"/>
          <w:szCs w:val="20"/>
          <w:lang w:val="en-US"/>
        </w:rPr>
        <w:t xml:space="preserve"> </w:t>
      </w:r>
      <w:r w:rsidRPr="009D52FD">
        <w:rPr>
          <w:rFonts w:eastAsia="MS Mincho"/>
          <w:sz w:val="20"/>
          <w:szCs w:val="20"/>
          <w:lang w:val="en-US"/>
        </w:rPr>
        <w:t xml:space="preserve">to again hear the appeals filed by the prosecutor and the victim against the judgment that acquitted the accused of that crime </w:t>
      </w:r>
      <w:r w:rsidR="00935F35" w:rsidRPr="009D52FD">
        <w:rPr>
          <w:rFonts w:eastAsia="MS Mincho"/>
          <w:sz w:val="20"/>
          <w:szCs w:val="20"/>
          <w:lang w:val="en-US"/>
        </w:rPr>
        <w:t>(</w:t>
      </w:r>
      <w:r w:rsidR="00935F35" w:rsidRPr="009D52FD">
        <w:rPr>
          <w:rFonts w:eastAsia="MS Mincho"/>
          <w:i/>
          <w:sz w:val="20"/>
          <w:szCs w:val="20"/>
          <w:lang w:val="en-US"/>
        </w:rPr>
        <w:t>supra</w:t>
      </w:r>
      <w:r w:rsidR="00935F35" w:rsidRPr="009D52FD">
        <w:rPr>
          <w:rFonts w:eastAsia="MS Mincho"/>
          <w:sz w:val="20"/>
          <w:szCs w:val="20"/>
          <w:lang w:val="en-US"/>
        </w:rPr>
        <w:t xml:space="preserve"> </w:t>
      </w:r>
      <w:r w:rsidR="009459E7" w:rsidRPr="009D52FD">
        <w:rPr>
          <w:rFonts w:eastAsia="MS Mincho"/>
          <w:sz w:val="20"/>
          <w:szCs w:val="20"/>
          <w:lang w:val="en-US"/>
        </w:rPr>
        <w:t>para.</w:t>
      </w:r>
      <w:r w:rsidR="00935F35" w:rsidRPr="009D52FD">
        <w:rPr>
          <w:rFonts w:eastAsia="MS Mincho"/>
          <w:sz w:val="20"/>
          <w:szCs w:val="20"/>
          <w:lang w:val="en-US"/>
        </w:rPr>
        <w:t xml:space="preserve"> </w:t>
      </w:r>
      <w:r w:rsidR="00663D4F" w:rsidRPr="009D52FD">
        <w:rPr>
          <w:rFonts w:eastAsia="MS Mincho"/>
          <w:sz w:val="20"/>
          <w:szCs w:val="20"/>
          <w:lang w:val="en-US"/>
        </w:rPr>
        <w:t>100</w:t>
      </w:r>
      <w:r w:rsidR="00935F35" w:rsidRPr="009D52FD">
        <w:rPr>
          <w:rFonts w:eastAsia="MS Mincho"/>
          <w:sz w:val="20"/>
          <w:szCs w:val="20"/>
          <w:lang w:val="en-US"/>
        </w:rPr>
        <w:t>)</w:t>
      </w:r>
      <w:r w:rsidR="00663D4F" w:rsidRPr="009D52FD">
        <w:rPr>
          <w:rFonts w:eastAsia="MS Mincho"/>
          <w:sz w:val="20"/>
          <w:szCs w:val="20"/>
          <w:lang w:val="en-US"/>
        </w:rPr>
        <w:t>.</w:t>
      </w:r>
    </w:p>
    <w:p w14:paraId="5CF6403D" w14:textId="77777777" w:rsidR="00935F35" w:rsidRPr="009D52FD" w:rsidRDefault="00935F35" w:rsidP="00935F35">
      <w:pPr>
        <w:tabs>
          <w:tab w:val="left" w:pos="567"/>
        </w:tabs>
        <w:spacing w:line="240" w:lineRule="auto"/>
        <w:rPr>
          <w:rFonts w:eastAsia="MS Mincho"/>
          <w:sz w:val="20"/>
          <w:szCs w:val="20"/>
          <w:lang w:val="en-US"/>
        </w:rPr>
      </w:pPr>
    </w:p>
    <w:p w14:paraId="6E0B3C80" w14:textId="1ECAA308" w:rsidR="00935F35" w:rsidRPr="009D52FD" w:rsidRDefault="001E10DD" w:rsidP="00935F35">
      <w:pPr>
        <w:numPr>
          <w:ilvl w:val="0"/>
          <w:numId w:val="1"/>
        </w:numPr>
        <w:tabs>
          <w:tab w:val="left" w:pos="567"/>
          <w:tab w:val="num" w:pos="5057"/>
        </w:tabs>
        <w:spacing w:line="240" w:lineRule="auto"/>
        <w:ind w:left="0" w:firstLine="0"/>
        <w:textAlignment w:val="auto"/>
        <w:rPr>
          <w:sz w:val="20"/>
          <w:szCs w:val="20"/>
          <w:lang w:val="en-US"/>
        </w:rPr>
      </w:pPr>
      <w:r w:rsidRPr="009D52FD">
        <w:rPr>
          <w:sz w:val="20"/>
          <w:szCs w:val="20"/>
          <w:lang w:val="en-US"/>
        </w:rPr>
        <w:t>The</w:t>
      </w:r>
      <w:r w:rsidR="0002239A" w:rsidRPr="009D52FD">
        <w:rPr>
          <w:sz w:val="20"/>
          <w:szCs w:val="20"/>
          <w:lang w:val="en-US"/>
        </w:rPr>
        <w:t xml:space="preserve"> Court</w:t>
      </w:r>
      <w:r w:rsidR="00935F35" w:rsidRPr="009D52FD">
        <w:rPr>
          <w:sz w:val="20"/>
          <w:szCs w:val="20"/>
          <w:lang w:val="en-US"/>
        </w:rPr>
        <w:t xml:space="preserve"> </w:t>
      </w:r>
      <w:r w:rsidRPr="009D52FD">
        <w:rPr>
          <w:sz w:val="20"/>
          <w:szCs w:val="20"/>
          <w:lang w:val="en-US"/>
        </w:rPr>
        <w:t xml:space="preserve">has no information on the measures taken to respond to the different complaints filed by the victims and the lawyer, </w:t>
      </w:r>
      <w:r w:rsidR="00935F35" w:rsidRPr="009D52FD">
        <w:rPr>
          <w:sz w:val="20"/>
          <w:szCs w:val="20"/>
          <w:lang w:val="en-US"/>
        </w:rPr>
        <w:t>Juan Bernardo Delgado Linares</w:t>
      </w:r>
      <w:r w:rsidRPr="009D52FD">
        <w:rPr>
          <w:sz w:val="20"/>
          <w:szCs w:val="20"/>
          <w:lang w:val="en-US"/>
        </w:rPr>
        <w:t xml:space="preserve">, for the attacks, threats and acts of harassment against them and, consequently, whether any progress has been made in the investigation </w:t>
      </w:r>
      <w:r w:rsidR="00935F35" w:rsidRPr="009D52FD">
        <w:rPr>
          <w:sz w:val="20"/>
          <w:szCs w:val="20"/>
          <w:lang w:val="en-US"/>
        </w:rPr>
        <w:t>(</w:t>
      </w:r>
      <w:r w:rsidR="00935F35" w:rsidRPr="009D52FD">
        <w:rPr>
          <w:i/>
          <w:sz w:val="20"/>
          <w:szCs w:val="20"/>
          <w:lang w:val="en-US"/>
        </w:rPr>
        <w:t>supra</w:t>
      </w:r>
      <w:r w:rsidR="00935F35" w:rsidRPr="009D52FD">
        <w:rPr>
          <w:sz w:val="20"/>
          <w:szCs w:val="20"/>
          <w:lang w:val="en-US"/>
        </w:rPr>
        <w:t xml:space="preserve"> </w:t>
      </w:r>
      <w:r w:rsidR="009459E7" w:rsidRPr="009D52FD">
        <w:rPr>
          <w:sz w:val="20"/>
          <w:szCs w:val="20"/>
          <w:lang w:val="en-US"/>
        </w:rPr>
        <w:t>paras.</w:t>
      </w:r>
      <w:r w:rsidR="00935F35" w:rsidRPr="009D52FD">
        <w:rPr>
          <w:sz w:val="20"/>
          <w:szCs w:val="20"/>
          <w:lang w:val="en-US"/>
        </w:rPr>
        <w:t xml:space="preserve"> </w:t>
      </w:r>
      <w:r w:rsidR="00663D4F" w:rsidRPr="009D52FD">
        <w:rPr>
          <w:sz w:val="20"/>
          <w:szCs w:val="20"/>
          <w:lang w:val="en-US"/>
        </w:rPr>
        <w:t xml:space="preserve">101 </w:t>
      </w:r>
      <w:r w:rsidRPr="009D52FD">
        <w:rPr>
          <w:sz w:val="20"/>
          <w:szCs w:val="20"/>
          <w:lang w:val="en-US"/>
        </w:rPr>
        <w:t>to</w:t>
      </w:r>
      <w:r w:rsidR="00663D4F" w:rsidRPr="009D52FD">
        <w:rPr>
          <w:sz w:val="20"/>
          <w:szCs w:val="20"/>
          <w:lang w:val="en-US"/>
        </w:rPr>
        <w:t xml:space="preserve"> 106</w:t>
      </w:r>
      <w:r w:rsidR="00935F35" w:rsidRPr="009D52FD">
        <w:rPr>
          <w:sz w:val="20"/>
          <w:szCs w:val="20"/>
          <w:lang w:val="en-US"/>
        </w:rPr>
        <w:t>).</w:t>
      </w:r>
    </w:p>
    <w:p w14:paraId="401CDA42" w14:textId="66802A75" w:rsidR="00935F35" w:rsidRPr="009D52FD" w:rsidRDefault="00935F35" w:rsidP="00935F35">
      <w:pPr>
        <w:tabs>
          <w:tab w:val="left" w:pos="567"/>
        </w:tabs>
        <w:spacing w:line="240" w:lineRule="auto"/>
        <w:rPr>
          <w:sz w:val="20"/>
          <w:szCs w:val="20"/>
          <w:lang w:val="en-US"/>
        </w:rPr>
      </w:pPr>
    </w:p>
    <w:p w14:paraId="0A76B3EF" w14:textId="1D419A67" w:rsidR="001E10DD" w:rsidRPr="009D52FD" w:rsidRDefault="001E10DD" w:rsidP="00935F35">
      <w:pPr>
        <w:numPr>
          <w:ilvl w:val="0"/>
          <w:numId w:val="1"/>
        </w:numPr>
        <w:tabs>
          <w:tab w:val="left" w:pos="567"/>
          <w:tab w:val="num" w:pos="5057"/>
        </w:tabs>
        <w:spacing w:line="240" w:lineRule="auto"/>
        <w:ind w:left="0" w:firstLine="0"/>
        <w:textAlignment w:val="auto"/>
        <w:rPr>
          <w:sz w:val="20"/>
          <w:szCs w:val="20"/>
          <w:lang w:val="en-US" w:bidi="en-US"/>
        </w:rPr>
      </w:pPr>
      <w:r w:rsidRPr="009D52FD">
        <w:rPr>
          <w:sz w:val="20"/>
          <w:szCs w:val="20"/>
          <w:lang w:val="en-US" w:bidi="en-US"/>
        </w:rPr>
        <w:t>Based on the foregoing, and taking into account that, currently, a decision is pending in the criminal proceedings on the sexual abuse perpetrated against Linda Loaiza López Soto, the Court establishes that the State must, within a reasonable time, continue th</w:t>
      </w:r>
      <w:r w:rsidR="00361FD3" w:rsidRPr="009D52FD">
        <w:rPr>
          <w:sz w:val="20"/>
          <w:szCs w:val="20"/>
          <w:lang w:val="en-US" w:bidi="en-US"/>
        </w:rPr>
        <w:t>o</w:t>
      </w:r>
      <w:r w:rsidRPr="009D52FD">
        <w:rPr>
          <w:sz w:val="20"/>
          <w:szCs w:val="20"/>
          <w:lang w:val="en-US" w:bidi="en-US"/>
        </w:rPr>
        <w:t>se domestic proceedings effectively and punish, as appropriate, those responsible for the acts of torture and sexual violence suffered by the victim in this case, avoiding the application of prejudicial gender stereotypes and any other act that could be revictimizing for her.</w:t>
      </w:r>
    </w:p>
    <w:p w14:paraId="1CE4ED4A" w14:textId="77777777" w:rsidR="009A7A06" w:rsidRPr="009D52FD" w:rsidRDefault="009A7A06" w:rsidP="009A7A06">
      <w:pPr>
        <w:tabs>
          <w:tab w:val="left" w:pos="567"/>
        </w:tabs>
        <w:spacing w:line="240" w:lineRule="auto"/>
        <w:textAlignment w:val="auto"/>
        <w:rPr>
          <w:sz w:val="20"/>
          <w:szCs w:val="20"/>
          <w:lang w:val="en-US" w:bidi="en-US"/>
        </w:rPr>
      </w:pPr>
    </w:p>
    <w:p w14:paraId="156FED1A" w14:textId="7E1A8ECD" w:rsidR="00935F35" w:rsidRPr="009D52FD" w:rsidRDefault="001E10DD" w:rsidP="00935F35">
      <w:pPr>
        <w:numPr>
          <w:ilvl w:val="0"/>
          <w:numId w:val="1"/>
        </w:numPr>
        <w:tabs>
          <w:tab w:val="left" w:pos="567"/>
          <w:tab w:val="num" w:pos="5057"/>
        </w:tabs>
        <w:spacing w:line="240" w:lineRule="auto"/>
        <w:ind w:left="0" w:firstLine="0"/>
        <w:textAlignment w:val="auto"/>
        <w:rPr>
          <w:sz w:val="20"/>
          <w:szCs w:val="20"/>
          <w:lang w:val="en-US" w:bidi="en-US"/>
        </w:rPr>
      </w:pPr>
      <w:r w:rsidRPr="009D52FD">
        <w:rPr>
          <w:sz w:val="20"/>
          <w:szCs w:val="20"/>
          <w:lang w:val="en-US" w:bidi="en-US"/>
        </w:rPr>
        <w:t>In addition, the State must</w:t>
      </w:r>
      <w:r w:rsidR="008020A8" w:rsidRPr="009D52FD">
        <w:rPr>
          <w:sz w:val="20"/>
          <w:szCs w:val="20"/>
          <w:lang w:val="en-US" w:bidi="en-US"/>
        </w:rPr>
        <w:t xml:space="preserve">, </w:t>
      </w:r>
      <w:r w:rsidR="007D3D4F" w:rsidRPr="009D52FD">
        <w:rPr>
          <w:sz w:val="20"/>
          <w:szCs w:val="20"/>
          <w:lang w:val="en-US" w:bidi="en-US"/>
        </w:rPr>
        <w:t>within a reasonable time</w:t>
      </w:r>
      <w:r w:rsidR="008020A8" w:rsidRPr="009D52FD">
        <w:rPr>
          <w:sz w:val="20"/>
          <w:szCs w:val="20"/>
          <w:lang w:val="en-US" w:bidi="en-US"/>
        </w:rPr>
        <w:t>,</w:t>
      </w:r>
      <w:r w:rsidRPr="009D52FD">
        <w:rPr>
          <w:sz w:val="20"/>
          <w:szCs w:val="20"/>
          <w:lang w:val="en-US" w:bidi="en-US"/>
        </w:rPr>
        <w:t xml:space="preserve"> conduct all the necessary investigations to identify, prosecute and eventually punish those responsible for the harassment, attacks and threats opportunely </w:t>
      </w:r>
      <w:r w:rsidR="00361FD3" w:rsidRPr="009D52FD">
        <w:rPr>
          <w:sz w:val="20"/>
          <w:szCs w:val="20"/>
          <w:lang w:val="en-US" w:bidi="en-US"/>
        </w:rPr>
        <w:t>reported</w:t>
      </w:r>
      <w:r w:rsidRPr="009D52FD">
        <w:rPr>
          <w:sz w:val="20"/>
          <w:szCs w:val="20"/>
          <w:lang w:val="en-US" w:bidi="en-US"/>
        </w:rPr>
        <w:t xml:space="preserve"> by the victims and by</w:t>
      </w:r>
      <w:r w:rsidR="00305F36" w:rsidRPr="009D52FD">
        <w:rPr>
          <w:sz w:val="20"/>
          <w:szCs w:val="20"/>
          <w:lang w:val="en-US" w:bidi="en-US"/>
        </w:rPr>
        <w:t xml:space="preserve"> </w:t>
      </w:r>
      <w:r w:rsidR="00935F35" w:rsidRPr="009D52FD">
        <w:rPr>
          <w:sz w:val="20"/>
          <w:szCs w:val="20"/>
          <w:lang w:val="en-US" w:bidi="en-US"/>
        </w:rPr>
        <w:t xml:space="preserve">Juan Bernardo Delgado </w:t>
      </w:r>
      <w:r w:rsidR="009A7A06" w:rsidRPr="009D52FD">
        <w:rPr>
          <w:sz w:val="20"/>
          <w:szCs w:val="20"/>
          <w:lang w:val="en-US" w:bidi="en-US"/>
        </w:rPr>
        <w:t>Linares.</w:t>
      </w:r>
    </w:p>
    <w:p w14:paraId="01E7C149" w14:textId="77777777" w:rsidR="00935F35" w:rsidRPr="009D52FD" w:rsidRDefault="00935F35" w:rsidP="00935F35">
      <w:pPr>
        <w:tabs>
          <w:tab w:val="left" w:pos="567"/>
        </w:tabs>
        <w:spacing w:line="240" w:lineRule="auto"/>
        <w:rPr>
          <w:sz w:val="20"/>
          <w:szCs w:val="20"/>
          <w:lang w:val="en-US" w:bidi="en-US"/>
        </w:rPr>
      </w:pPr>
    </w:p>
    <w:p w14:paraId="4A2A1E97" w14:textId="51582281" w:rsidR="001E10DD" w:rsidRPr="009D52FD" w:rsidRDefault="001E10DD" w:rsidP="001E10DD">
      <w:pPr>
        <w:numPr>
          <w:ilvl w:val="0"/>
          <w:numId w:val="1"/>
        </w:numPr>
        <w:tabs>
          <w:tab w:val="left" w:pos="567"/>
          <w:tab w:val="num" w:pos="5057"/>
        </w:tabs>
        <w:spacing w:line="240" w:lineRule="auto"/>
        <w:ind w:left="0" w:firstLine="0"/>
        <w:textAlignment w:val="auto"/>
        <w:rPr>
          <w:sz w:val="20"/>
          <w:szCs w:val="20"/>
          <w:lang w:val="en-US" w:bidi="en-US"/>
        </w:rPr>
      </w:pPr>
      <w:r w:rsidRPr="009D52FD">
        <w:rPr>
          <w:sz w:val="20"/>
          <w:szCs w:val="20"/>
          <w:lang w:val="en-US" w:bidi="en-US"/>
        </w:rPr>
        <w:t xml:space="preserve">Lastly, since one element of the violation of the personal </w:t>
      </w:r>
      <w:r w:rsidR="00997ADF" w:rsidRPr="009D52FD">
        <w:rPr>
          <w:sz w:val="20"/>
          <w:szCs w:val="20"/>
          <w:lang w:val="en-US" w:bidi="en-US"/>
        </w:rPr>
        <w:t>integrity</w:t>
      </w:r>
      <w:r w:rsidR="00360581" w:rsidRPr="009D52FD">
        <w:rPr>
          <w:sz w:val="20"/>
          <w:szCs w:val="20"/>
          <w:lang w:val="en-US" w:bidi="en-US"/>
        </w:rPr>
        <w:t xml:space="preserve"> </w:t>
      </w:r>
      <w:r w:rsidRPr="009D52FD">
        <w:rPr>
          <w:sz w:val="20"/>
          <w:szCs w:val="20"/>
          <w:lang w:val="en-US" w:bidi="en-US"/>
        </w:rPr>
        <w:t>of</w:t>
      </w:r>
      <w:r w:rsidR="00935F35" w:rsidRPr="009D52FD">
        <w:rPr>
          <w:sz w:val="20"/>
          <w:szCs w:val="20"/>
          <w:lang w:val="en-US" w:bidi="en-US"/>
        </w:rPr>
        <w:t xml:space="preserve"> Linda Loaiza</w:t>
      </w:r>
      <w:r w:rsidR="003630BB" w:rsidRPr="009D52FD">
        <w:rPr>
          <w:sz w:val="20"/>
          <w:szCs w:val="20"/>
          <w:lang w:val="en-US" w:bidi="en-US"/>
        </w:rPr>
        <w:t xml:space="preserve"> and </w:t>
      </w:r>
      <w:r w:rsidRPr="009D52FD">
        <w:rPr>
          <w:sz w:val="20"/>
          <w:szCs w:val="20"/>
          <w:lang w:val="en-US" w:bidi="en-US"/>
        </w:rPr>
        <w:t>of her family resulted from the feeling of constant fear and helplessness, owing to the harassment, attacks and threats of which they were victims as a result of their search for justice</w:t>
      </w:r>
      <w:r w:rsidR="00935F35" w:rsidRPr="009D52FD">
        <w:rPr>
          <w:sz w:val="20"/>
          <w:szCs w:val="20"/>
          <w:lang w:val="en-US" w:bidi="en-US"/>
        </w:rPr>
        <w:t xml:space="preserve"> (</w:t>
      </w:r>
      <w:r w:rsidR="00935F35" w:rsidRPr="009D52FD">
        <w:rPr>
          <w:i/>
          <w:sz w:val="20"/>
          <w:szCs w:val="20"/>
          <w:lang w:val="en-US" w:bidi="en-US"/>
        </w:rPr>
        <w:t>supra</w:t>
      </w:r>
      <w:r w:rsidR="00935F35" w:rsidRPr="009D52FD">
        <w:rPr>
          <w:sz w:val="20"/>
          <w:szCs w:val="20"/>
          <w:lang w:val="en-US" w:bidi="en-US"/>
        </w:rPr>
        <w:t xml:space="preserve"> </w:t>
      </w:r>
      <w:r w:rsidR="009459E7" w:rsidRPr="009D52FD">
        <w:rPr>
          <w:sz w:val="20"/>
          <w:szCs w:val="20"/>
          <w:lang w:val="en-US" w:bidi="en-US"/>
        </w:rPr>
        <w:t>paras.</w:t>
      </w:r>
      <w:r w:rsidR="00935F35" w:rsidRPr="009D52FD">
        <w:rPr>
          <w:sz w:val="20"/>
          <w:szCs w:val="20"/>
          <w:lang w:val="en-US" w:bidi="en-US"/>
        </w:rPr>
        <w:t xml:space="preserve"> </w:t>
      </w:r>
      <w:r w:rsidR="00663D4F" w:rsidRPr="009D52FD">
        <w:rPr>
          <w:sz w:val="20"/>
          <w:szCs w:val="20"/>
          <w:lang w:val="en-US" w:bidi="en-US"/>
        </w:rPr>
        <w:t xml:space="preserve">101 </w:t>
      </w:r>
      <w:r w:rsidRPr="009D52FD">
        <w:rPr>
          <w:sz w:val="20"/>
          <w:szCs w:val="20"/>
          <w:lang w:val="en-US" w:bidi="en-US"/>
        </w:rPr>
        <w:t>to</w:t>
      </w:r>
      <w:r w:rsidR="00663D4F" w:rsidRPr="009D52FD">
        <w:rPr>
          <w:sz w:val="20"/>
          <w:szCs w:val="20"/>
          <w:lang w:val="en-US" w:bidi="en-US"/>
        </w:rPr>
        <w:t xml:space="preserve"> 106</w:t>
      </w:r>
      <w:r w:rsidR="00360581" w:rsidRPr="009D52FD">
        <w:rPr>
          <w:sz w:val="20"/>
          <w:szCs w:val="20"/>
          <w:lang w:val="en-US" w:bidi="en-US"/>
        </w:rPr>
        <w:t xml:space="preserve">, 244, 246 </w:t>
      </w:r>
      <w:r w:rsidRPr="009D52FD">
        <w:rPr>
          <w:sz w:val="20"/>
          <w:szCs w:val="20"/>
          <w:lang w:val="en-US" w:bidi="en-US"/>
        </w:rPr>
        <w:t>to</w:t>
      </w:r>
      <w:r w:rsidR="00360581" w:rsidRPr="009D52FD">
        <w:rPr>
          <w:sz w:val="20"/>
          <w:szCs w:val="20"/>
          <w:lang w:val="en-US" w:bidi="en-US"/>
        </w:rPr>
        <w:t xml:space="preserve"> 249</w:t>
      </w:r>
      <w:r w:rsidR="003630BB" w:rsidRPr="009D52FD">
        <w:rPr>
          <w:sz w:val="20"/>
          <w:szCs w:val="20"/>
          <w:lang w:val="en-US" w:bidi="en-US"/>
        </w:rPr>
        <w:t xml:space="preserve"> and </w:t>
      </w:r>
      <w:r w:rsidR="00663D4F" w:rsidRPr="009D52FD">
        <w:rPr>
          <w:sz w:val="20"/>
          <w:szCs w:val="20"/>
          <w:lang w:val="en-US" w:bidi="en-US"/>
        </w:rPr>
        <w:t>264</w:t>
      </w:r>
      <w:r w:rsidR="00935F35" w:rsidRPr="009D52FD">
        <w:rPr>
          <w:sz w:val="20"/>
          <w:szCs w:val="20"/>
          <w:lang w:val="en-US" w:bidi="en-US"/>
        </w:rPr>
        <w:t xml:space="preserve">), </w:t>
      </w:r>
      <w:r w:rsidR="003630BB" w:rsidRPr="009D52FD">
        <w:rPr>
          <w:sz w:val="20"/>
          <w:szCs w:val="20"/>
          <w:lang w:val="en-US" w:bidi="en-US"/>
        </w:rPr>
        <w:t>the Court</w:t>
      </w:r>
      <w:r w:rsidR="00935F35" w:rsidRPr="009D52FD">
        <w:rPr>
          <w:sz w:val="20"/>
          <w:szCs w:val="20"/>
          <w:lang w:val="en-US" w:bidi="en-US"/>
        </w:rPr>
        <w:t xml:space="preserve"> </w:t>
      </w:r>
      <w:r w:rsidRPr="009D52FD">
        <w:rPr>
          <w:sz w:val="20"/>
          <w:szCs w:val="20"/>
          <w:lang w:val="en-US" w:bidi="en-US"/>
        </w:rPr>
        <w:t xml:space="preserve">establishes that the State must adopt all necessary measures to ensure that the victims and their legal representatives have due guarantees  for their safety during the investigations and judicial proceedings ordered above, </w:t>
      </w:r>
      <w:r w:rsidR="00361FD3" w:rsidRPr="009D52FD">
        <w:rPr>
          <w:sz w:val="20"/>
          <w:szCs w:val="20"/>
          <w:lang w:val="en-US" w:bidi="en-US"/>
        </w:rPr>
        <w:t>in</w:t>
      </w:r>
      <w:r w:rsidRPr="009D52FD">
        <w:rPr>
          <w:sz w:val="20"/>
          <w:szCs w:val="20"/>
          <w:lang w:val="en-US" w:bidi="en-US"/>
        </w:rPr>
        <w:t xml:space="preserve"> agreement and coordination with the interested parties. These measures must be implemented immediately.</w:t>
      </w:r>
    </w:p>
    <w:p w14:paraId="0C9146C3" w14:textId="7B86A7F9" w:rsidR="00935F35" w:rsidRPr="009D52FD" w:rsidRDefault="00935F35" w:rsidP="00935F35">
      <w:pPr>
        <w:tabs>
          <w:tab w:val="left" w:pos="567"/>
        </w:tabs>
        <w:spacing w:line="240" w:lineRule="auto"/>
        <w:rPr>
          <w:sz w:val="20"/>
          <w:szCs w:val="20"/>
          <w:lang w:val="en-US" w:bidi="en-US"/>
        </w:rPr>
      </w:pPr>
    </w:p>
    <w:p w14:paraId="01A03F69" w14:textId="0891E33B" w:rsidR="0098665D" w:rsidRPr="009D52FD" w:rsidRDefault="00935F35" w:rsidP="0098665D">
      <w:pPr>
        <w:pStyle w:val="Heading2"/>
        <w:tabs>
          <w:tab w:val="left" w:pos="1701"/>
        </w:tabs>
        <w:spacing w:before="0" w:line="240" w:lineRule="auto"/>
        <w:ind w:left="1134"/>
        <w:rPr>
          <w:rFonts w:ascii="Verdana" w:hAnsi="Verdana"/>
          <w:b w:val="0"/>
          <w:i/>
          <w:color w:val="auto"/>
          <w:sz w:val="20"/>
          <w:szCs w:val="20"/>
          <w:lang w:val="en-US"/>
        </w:rPr>
      </w:pPr>
      <w:bookmarkStart w:id="118" w:name="_Toc51400115"/>
      <w:r w:rsidRPr="009D52FD">
        <w:rPr>
          <w:rFonts w:ascii="Verdana" w:hAnsi="Verdana"/>
          <w:b w:val="0"/>
          <w:i/>
          <w:color w:val="auto"/>
          <w:sz w:val="20"/>
          <w:szCs w:val="20"/>
          <w:lang w:val="en-US"/>
        </w:rPr>
        <w:t xml:space="preserve">B.2 </w:t>
      </w:r>
      <w:r w:rsidR="00E35810" w:rsidRPr="009D52FD">
        <w:rPr>
          <w:rFonts w:ascii="Verdana" w:hAnsi="Verdana"/>
          <w:b w:val="0"/>
          <w:i/>
          <w:color w:val="auto"/>
          <w:sz w:val="20"/>
          <w:szCs w:val="20"/>
          <w:lang w:val="en-US"/>
        </w:rPr>
        <w:tab/>
      </w:r>
      <w:r w:rsidRPr="009D52FD">
        <w:rPr>
          <w:rFonts w:ascii="Verdana" w:hAnsi="Verdana"/>
          <w:b w:val="0"/>
          <w:i/>
          <w:color w:val="auto"/>
          <w:sz w:val="20"/>
          <w:szCs w:val="20"/>
          <w:lang w:val="en-US"/>
        </w:rPr>
        <w:t>I</w:t>
      </w:r>
      <w:r w:rsidR="0098665D" w:rsidRPr="009D52FD">
        <w:rPr>
          <w:rFonts w:ascii="Verdana" w:hAnsi="Verdana"/>
          <w:b w:val="0"/>
          <w:i/>
          <w:color w:val="auto"/>
          <w:sz w:val="20"/>
          <w:szCs w:val="20"/>
          <w:lang w:val="en-US"/>
        </w:rPr>
        <w:t>nvestigation, determination, prosecution and punishment, as appropriate, of those responsible for obstructing access to justice</w:t>
      </w:r>
      <w:bookmarkEnd w:id="118"/>
    </w:p>
    <w:p w14:paraId="6645D434" w14:textId="17C87E41" w:rsidR="0098665D" w:rsidRPr="009D52FD" w:rsidRDefault="0098665D" w:rsidP="0098665D">
      <w:pPr>
        <w:pStyle w:val="Heading2"/>
        <w:tabs>
          <w:tab w:val="left" w:pos="1701"/>
        </w:tabs>
        <w:spacing w:before="0" w:line="240" w:lineRule="auto"/>
        <w:ind w:left="1134"/>
        <w:rPr>
          <w:rFonts w:ascii="Verdana" w:hAnsi="Verdana"/>
          <w:b w:val="0"/>
          <w:i/>
          <w:color w:val="auto"/>
          <w:sz w:val="20"/>
          <w:szCs w:val="20"/>
          <w:lang w:val="en-US"/>
        </w:rPr>
      </w:pPr>
      <w:r w:rsidRPr="009D52FD">
        <w:rPr>
          <w:rFonts w:eastAsia="MS Mincho"/>
          <w:lang w:val="en-US"/>
        </w:rPr>
        <w:t xml:space="preserve">      </w:t>
      </w:r>
    </w:p>
    <w:p w14:paraId="34FAC210" w14:textId="1AC88A2A" w:rsidR="00E35C66" w:rsidRPr="009D52FD" w:rsidRDefault="003630BB" w:rsidP="00E35C66">
      <w:pPr>
        <w:numPr>
          <w:ilvl w:val="0"/>
          <w:numId w:val="1"/>
        </w:numPr>
        <w:tabs>
          <w:tab w:val="left" w:pos="567"/>
          <w:tab w:val="num" w:pos="5057"/>
        </w:tabs>
        <w:spacing w:line="240" w:lineRule="auto"/>
        <w:ind w:left="0" w:firstLine="0"/>
        <w:textAlignment w:val="auto"/>
        <w:rPr>
          <w:rFonts w:eastAsia="MS Mincho"/>
          <w:b/>
          <w:sz w:val="20"/>
          <w:szCs w:val="20"/>
          <w:lang w:val="en-US" w:bidi="en-US"/>
        </w:rPr>
      </w:pPr>
      <w:r w:rsidRPr="009D52FD">
        <w:rPr>
          <w:rFonts w:eastAsia="MS Mincho"/>
          <w:sz w:val="20"/>
          <w:szCs w:val="20"/>
          <w:lang w:val="en-US" w:bidi="en-US"/>
        </w:rPr>
        <w:t xml:space="preserve">The </w:t>
      </w:r>
      <w:r w:rsidRPr="009D52FD">
        <w:rPr>
          <w:rFonts w:eastAsia="MS Mincho"/>
          <w:b/>
          <w:bCs/>
          <w:i/>
          <w:iCs/>
          <w:sz w:val="20"/>
          <w:szCs w:val="20"/>
          <w:lang w:val="en-US" w:bidi="en-US"/>
        </w:rPr>
        <w:t>Commission</w:t>
      </w:r>
      <w:r w:rsidR="00935F35" w:rsidRPr="009D52FD">
        <w:rPr>
          <w:rFonts w:eastAsia="MS Mincho"/>
          <w:b/>
          <w:bCs/>
          <w:i/>
          <w:iCs/>
          <w:sz w:val="20"/>
          <w:szCs w:val="20"/>
          <w:lang w:val="en-US" w:bidi="en-US"/>
        </w:rPr>
        <w:t xml:space="preserve"> </w:t>
      </w:r>
      <w:r w:rsidR="00E35C66" w:rsidRPr="009D52FD">
        <w:rPr>
          <w:rFonts w:eastAsia="MS Mincho"/>
          <w:sz w:val="20"/>
          <w:szCs w:val="20"/>
          <w:lang w:val="en-US" w:bidi="en-US"/>
        </w:rPr>
        <w:t>asked the Court to order</w:t>
      </w:r>
      <w:r w:rsidR="00E35C66" w:rsidRPr="009D52FD">
        <w:rPr>
          <w:rFonts w:eastAsia="MS Mincho"/>
          <w:b/>
          <w:sz w:val="20"/>
          <w:szCs w:val="20"/>
          <w:lang w:val="en-US" w:bidi="en-US"/>
        </w:rPr>
        <w:t xml:space="preserve"> </w:t>
      </w:r>
      <w:r w:rsidR="00E35C66" w:rsidRPr="009D52FD">
        <w:rPr>
          <w:sz w:val="20"/>
          <w:szCs w:val="20"/>
          <w:lang w:val="en-US"/>
        </w:rPr>
        <w:t xml:space="preserve">administrative, disciplinary or, eventually, criminal measures for the State officials who, by act or omission, contributed in any way to the denial of justice to the victims in this case. </w:t>
      </w:r>
    </w:p>
    <w:p w14:paraId="1FC13635" w14:textId="77777777" w:rsidR="00935F35" w:rsidRPr="009D52FD" w:rsidRDefault="00935F35" w:rsidP="00935F35">
      <w:pPr>
        <w:tabs>
          <w:tab w:val="left" w:pos="567"/>
        </w:tabs>
        <w:spacing w:line="240" w:lineRule="auto"/>
        <w:rPr>
          <w:rFonts w:eastAsia="MS Mincho"/>
          <w:b/>
          <w:sz w:val="20"/>
          <w:szCs w:val="20"/>
          <w:lang w:val="en-US" w:bidi="en-US"/>
        </w:rPr>
      </w:pPr>
    </w:p>
    <w:p w14:paraId="0E5B6C38" w14:textId="1E7AD5B8" w:rsidR="00E35C66" w:rsidRPr="009D52FD" w:rsidRDefault="003630BB" w:rsidP="00935F35">
      <w:pPr>
        <w:numPr>
          <w:ilvl w:val="0"/>
          <w:numId w:val="1"/>
        </w:numPr>
        <w:tabs>
          <w:tab w:val="left" w:pos="567"/>
          <w:tab w:val="num" w:pos="5057"/>
        </w:tabs>
        <w:spacing w:line="240" w:lineRule="auto"/>
        <w:ind w:left="0" w:firstLine="0"/>
        <w:textAlignment w:val="auto"/>
        <w:rPr>
          <w:rFonts w:eastAsia="MS Mincho"/>
          <w:b/>
          <w:sz w:val="20"/>
          <w:szCs w:val="20"/>
          <w:lang w:val="en-US" w:bidi="en-US"/>
        </w:rPr>
      </w:pPr>
      <w:r w:rsidRPr="009D52FD">
        <w:rPr>
          <w:rFonts w:eastAsia="MS Mincho"/>
          <w:sz w:val="20"/>
          <w:szCs w:val="20"/>
          <w:lang w:val="en-US" w:bidi="en-US"/>
        </w:rPr>
        <w:t xml:space="preserve">The </w:t>
      </w:r>
      <w:r w:rsidRPr="009D52FD">
        <w:rPr>
          <w:rFonts w:eastAsia="MS Mincho"/>
          <w:b/>
          <w:bCs/>
          <w:i/>
          <w:iCs/>
          <w:sz w:val="20"/>
          <w:szCs w:val="20"/>
          <w:lang w:val="en-US" w:bidi="en-US"/>
        </w:rPr>
        <w:t>representatives</w:t>
      </w:r>
      <w:r w:rsidR="00935F35" w:rsidRPr="009D52FD">
        <w:rPr>
          <w:rFonts w:eastAsia="MS Mincho"/>
          <w:sz w:val="20"/>
          <w:szCs w:val="20"/>
          <w:lang w:val="en-US" w:bidi="en-US"/>
        </w:rPr>
        <w:t xml:space="preserve"> </w:t>
      </w:r>
      <w:r w:rsidR="00E35C66" w:rsidRPr="009D52FD">
        <w:rPr>
          <w:rFonts w:eastAsia="MS Mincho"/>
          <w:sz w:val="20"/>
          <w:szCs w:val="20"/>
          <w:lang w:val="en-US" w:bidi="en-US"/>
        </w:rPr>
        <w:t xml:space="preserve">asked that judicial proceedings be instituted and sanctions applied to </w:t>
      </w:r>
      <w:r w:rsidR="00E35C66" w:rsidRPr="009D52FD">
        <w:rPr>
          <w:rFonts w:eastAsia="MS Mincho"/>
          <w:sz w:val="20"/>
          <w:szCs w:val="20"/>
          <w:lang w:val="en-US" w:bidi="en-US"/>
        </w:rPr>
        <w:lastRenderedPageBreak/>
        <w:t>the state officials responsible for the irregularities and omissions that occurred during the domestic judicial proceedings. They also asked that the corresponding investigations be conducted into the police officials who refused to receive Ana Secilia López Soto’s report on the disappearance of her sister, Linda Loaiza. In this regard, in addition to asking that these proceedings should – insofar as possible – be public, in their final written arguments, they asked that the results should be publicized, and that the State should be prohibited from adopting any type of measure that could entail the impunity of those responsible.</w:t>
      </w:r>
    </w:p>
    <w:p w14:paraId="62F30AAD" w14:textId="77777777" w:rsidR="00935F35" w:rsidRPr="009D52FD" w:rsidRDefault="00935F35" w:rsidP="00935F35">
      <w:pPr>
        <w:tabs>
          <w:tab w:val="left" w:pos="567"/>
        </w:tabs>
        <w:spacing w:line="240" w:lineRule="auto"/>
        <w:rPr>
          <w:rFonts w:eastAsia="MS Mincho"/>
          <w:b/>
          <w:sz w:val="20"/>
          <w:szCs w:val="20"/>
          <w:lang w:val="en-US" w:bidi="en-US"/>
        </w:rPr>
      </w:pPr>
    </w:p>
    <w:p w14:paraId="20ED81CA" w14:textId="7A533E84" w:rsidR="00935F35" w:rsidRPr="009D52FD" w:rsidRDefault="003630BB" w:rsidP="00935F35">
      <w:pPr>
        <w:numPr>
          <w:ilvl w:val="0"/>
          <w:numId w:val="1"/>
        </w:numPr>
        <w:tabs>
          <w:tab w:val="left" w:pos="567"/>
          <w:tab w:val="num" w:pos="5057"/>
        </w:tabs>
        <w:spacing w:line="240" w:lineRule="auto"/>
        <w:ind w:left="0" w:firstLine="0"/>
        <w:textAlignment w:val="auto"/>
        <w:rPr>
          <w:rFonts w:eastAsia="MS Mincho"/>
          <w:sz w:val="20"/>
          <w:szCs w:val="20"/>
          <w:lang w:val="en-US" w:bidi="en-US"/>
        </w:rPr>
      </w:pPr>
      <w:r w:rsidRPr="009D52FD">
        <w:rPr>
          <w:rFonts w:eastAsia="MS Mincho"/>
          <w:sz w:val="20"/>
          <w:szCs w:val="20"/>
          <w:lang w:val="en-US" w:bidi="en-US"/>
        </w:rPr>
        <w:t xml:space="preserve">The </w:t>
      </w:r>
      <w:r w:rsidRPr="009D52FD">
        <w:rPr>
          <w:rFonts w:eastAsia="MS Mincho"/>
          <w:b/>
          <w:bCs/>
          <w:sz w:val="20"/>
          <w:szCs w:val="20"/>
          <w:lang w:val="en-US" w:bidi="en-US"/>
        </w:rPr>
        <w:t>State</w:t>
      </w:r>
      <w:r w:rsidR="00E35C66" w:rsidRPr="009D52FD">
        <w:rPr>
          <w:rFonts w:eastAsia="MS Mincho"/>
          <w:sz w:val="20"/>
          <w:szCs w:val="20"/>
          <w:lang w:val="en-US" w:bidi="en-US"/>
        </w:rPr>
        <w:t xml:space="preserve"> only commented on the request to investigate, prosecute and punish the police officials who had refused to receive the report of the disappearance of </w:t>
      </w:r>
      <w:r w:rsidR="00935F35" w:rsidRPr="009D52FD">
        <w:rPr>
          <w:rFonts w:eastAsia="MS Mincho"/>
          <w:sz w:val="20"/>
          <w:szCs w:val="20"/>
          <w:lang w:val="en-US" w:bidi="en-US"/>
        </w:rPr>
        <w:t>Linda Loaiza</w:t>
      </w:r>
      <w:r w:rsidR="00A57334" w:rsidRPr="009D52FD">
        <w:rPr>
          <w:rFonts w:eastAsia="MS Mincho"/>
          <w:sz w:val="20"/>
          <w:szCs w:val="20"/>
          <w:lang w:val="en-US" w:bidi="en-US"/>
        </w:rPr>
        <w:t>.</w:t>
      </w:r>
      <w:r w:rsidR="00935F35" w:rsidRPr="009D52FD">
        <w:rPr>
          <w:rFonts w:eastAsia="MS Mincho"/>
          <w:sz w:val="20"/>
          <w:szCs w:val="20"/>
          <w:lang w:val="en-US" w:bidi="en-US"/>
        </w:rPr>
        <w:t xml:space="preserve"> </w:t>
      </w:r>
      <w:r w:rsidR="00E35C66" w:rsidRPr="009D52FD">
        <w:rPr>
          <w:rFonts w:eastAsia="MS Mincho"/>
          <w:sz w:val="20"/>
          <w:szCs w:val="20"/>
          <w:lang w:val="en-US" w:bidi="en-US"/>
        </w:rPr>
        <w:t xml:space="preserve">In this regard, it indicated that this request by </w:t>
      </w:r>
      <w:r w:rsidRPr="009D52FD">
        <w:rPr>
          <w:rFonts w:eastAsia="MS Mincho"/>
          <w:sz w:val="20"/>
          <w:szCs w:val="20"/>
          <w:lang w:val="en-US" w:bidi="en-US"/>
        </w:rPr>
        <w:t>the representatives</w:t>
      </w:r>
      <w:r w:rsidR="00E35C66" w:rsidRPr="009D52FD">
        <w:rPr>
          <w:rFonts w:eastAsia="MS Mincho"/>
          <w:sz w:val="20"/>
          <w:szCs w:val="20"/>
          <w:lang w:val="en-US" w:bidi="en-US"/>
        </w:rPr>
        <w:t xml:space="preserve"> should be rejected because </w:t>
      </w:r>
      <w:r w:rsidR="00935F35" w:rsidRPr="009D52FD">
        <w:rPr>
          <w:rFonts w:eastAsia="MS Mincho"/>
          <w:sz w:val="20"/>
          <w:szCs w:val="20"/>
          <w:lang w:val="en-US" w:bidi="en-US"/>
        </w:rPr>
        <w:t xml:space="preserve">Ana Secilia López Soto </w:t>
      </w:r>
      <w:r w:rsidR="00E35C66" w:rsidRPr="009D52FD">
        <w:rPr>
          <w:rFonts w:eastAsia="MS Mincho"/>
          <w:sz w:val="20"/>
          <w:szCs w:val="20"/>
          <w:lang w:val="en-US" w:bidi="en-US"/>
        </w:rPr>
        <w:t>had not tried to file any report on her sister’s disappearance.</w:t>
      </w:r>
    </w:p>
    <w:p w14:paraId="5298EE49" w14:textId="77777777" w:rsidR="00935F35" w:rsidRPr="009D52FD" w:rsidRDefault="00935F35" w:rsidP="00935F35">
      <w:pPr>
        <w:tabs>
          <w:tab w:val="left" w:pos="567"/>
        </w:tabs>
        <w:spacing w:line="240" w:lineRule="auto"/>
        <w:rPr>
          <w:rFonts w:eastAsia="MS Mincho"/>
          <w:sz w:val="20"/>
          <w:szCs w:val="20"/>
          <w:lang w:val="en-US" w:bidi="en-US"/>
        </w:rPr>
      </w:pPr>
    </w:p>
    <w:p w14:paraId="4FFA406F" w14:textId="107001E0" w:rsidR="00935F35" w:rsidRPr="009D52FD" w:rsidRDefault="003630BB" w:rsidP="00DA3D8C">
      <w:pPr>
        <w:numPr>
          <w:ilvl w:val="0"/>
          <w:numId w:val="1"/>
        </w:numPr>
        <w:tabs>
          <w:tab w:val="left" w:pos="567"/>
          <w:tab w:val="num" w:pos="5057"/>
        </w:tabs>
        <w:spacing w:line="240" w:lineRule="auto"/>
        <w:ind w:left="0" w:firstLine="0"/>
        <w:textAlignment w:val="auto"/>
        <w:rPr>
          <w:rFonts w:eastAsia="MS Mincho"/>
          <w:sz w:val="20"/>
          <w:szCs w:val="20"/>
          <w:lang w:val="en-US" w:bidi="en-US"/>
        </w:rPr>
      </w:pPr>
      <w:r w:rsidRPr="009D52FD">
        <w:rPr>
          <w:rFonts w:eastAsia="MS Mincho"/>
          <w:sz w:val="20"/>
          <w:szCs w:val="20"/>
          <w:lang w:val="en-US" w:bidi="en-US"/>
        </w:rPr>
        <w:t>The Court</w:t>
      </w:r>
      <w:r w:rsidR="00935F35" w:rsidRPr="009D52FD">
        <w:rPr>
          <w:rFonts w:eastAsia="MS Mincho"/>
          <w:sz w:val="20"/>
          <w:szCs w:val="20"/>
          <w:lang w:val="en-US" w:bidi="en-US"/>
        </w:rPr>
        <w:t xml:space="preserve"> t</w:t>
      </w:r>
      <w:r w:rsidR="00E35C66" w:rsidRPr="009D52FD">
        <w:rPr>
          <w:rFonts w:eastAsia="MS Mincho"/>
          <w:sz w:val="20"/>
          <w:szCs w:val="20"/>
          <w:lang w:val="en-US" w:bidi="en-US"/>
        </w:rPr>
        <w:t xml:space="preserve">akes into consideration that, despite the complaints filed by </w:t>
      </w:r>
      <w:r w:rsidR="00935F35" w:rsidRPr="009D52FD">
        <w:rPr>
          <w:rFonts w:eastAsia="MS Mincho"/>
          <w:sz w:val="20"/>
          <w:szCs w:val="20"/>
          <w:lang w:val="en-US" w:bidi="en-US"/>
        </w:rPr>
        <w:t>Linda Loaiza</w:t>
      </w:r>
      <w:r w:rsidRPr="009D52FD">
        <w:rPr>
          <w:rFonts w:eastAsia="MS Mincho"/>
          <w:sz w:val="20"/>
          <w:szCs w:val="20"/>
          <w:lang w:val="en-US" w:bidi="en-US"/>
        </w:rPr>
        <w:t xml:space="preserve"> and </w:t>
      </w:r>
      <w:r w:rsidR="00E35C66" w:rsidRPr="009D52FD">
        <w:rPr>
          <w:rFonts w:eastAsia="MS Mincho"/>
          <w:sz w:val="20"/>
          <w:szCs w:val="20"/>
          <w:lang w:val="en-US" w:bidi="en-US"/>
        </w:rPr>
        <w:t xml:space="preserve">her personal lawyer, as well as by the </w:t>
      </w:r>
      <w:r w:rsidR="00DA3D8C" w:rsidRPr="009D52FD">
        <w:rPr>
          <w:rFonts w:eastAsiaTheme="minorHAnsi" w:cstheme="minorBidi"/>
          <w:sz w:val="20"/>
          <w:szCs w:val="20"/>
          <w:lang w:val="en-US" w:eastAsia="en-US"/>
        </w:rPr>
        <w:t>Permanent Committee on Domestic Policy, Justice, Human Rights and Constitutional Guarantees of the National Assembly, based on the irregularities and delays in the judicial processing of the domestic criminal proceedings, no concrete investigations have been conducted in this regard</w:t>
      </w:r>
      <w:r w:rsidR="00935F35" w:rsidRPr="009D52FD">
        <w:rPr>
          <w:rFonts w:eastAsia="MS Mincho"/>
          <w:sz w:val="20"/>
          <w:szCs w:val="20"/>
          <w:lang w:val="en-US" w:bidi="en-US"/>
        </w:rPr>
        <w:t xml:space="preserve"> (</w:t>
      </w:r>
      <w:r w:rsidR="00935F35" w:rsidRPr="009D52FD">
        <w:rPr>
          <w:rFonts w:eastAsia="MS Mincho"/>
          <w:i/>
          <w:sz w:val="20"/>
          <w:szCs w:val="20"/>
          <w:lang w:val="en-US" w:bidi="en-US"/>
        </w:rPr>
        <w:t>supra</w:t>
      </w:r>
      <w:r w:rsidR="00935F35" w:rsidRPr="009D52FD">
        <w:rPr>
          <w:rFonts w:eastAsia="MS Mincho"/>
          <w:sz w:val="20"/>
          <w:szCs w:val="20"/>
          <w:lang w:val="en-US" w:bidi="en-US"/>
        </w:rPr>
        <w:t xml:space="preserve"> </w:t>
      </w:r>
      <w:r w:rsidR="009459E7" w:rsidRPr="009D52FD">
        <w:rPr>
          <w:rFonts w:eastAsia="MS Mincho"/>
          <w:sz w:val="20"/>
          <w:szCs w:val="20"/>
          <w:lang w:val="en-US" w:bidi="en-US"/>
        </w:rPr>
        <w:t>paras.</w:t>
      </w:r>
      <w:r w:rsidR="00935F35" w:rsidRPr="009D52FD">
        <w:rPr>
          <w:rFonts w:eastAsia="MS Mincho"/>
          <w:sz w:val="20"/>
          <w:szCs w:val="20"/>
          <w:lang w:val="en-US" w:bidi="en-US"/>
        </w:rPr>
        <w:t xml:space="preserve"> </w:t>
      </w:r>
      <w:r w:rsidR="009B444D" w:rsidRPr="009D52FD">
        <w:rPr>
          <w:rFonts w:eastAsia="MS Mincho"/>
          <w:sz w:val="20"/>
          <w:szCs w:val="20"/>
          <w:lang w:val="en-US" w:bidi="en-US"/>
        </w:rPr>
        <w:t>85</w:t>
      </w:r>
      <w:r w:rsidRPr="009D52FD">
        <w:rPr>
          <w:rFonts w:eastAsia="MS Mincho"/>
          <w:sz w:val="20"/>
          <w:szCs w:val="20"/>
          <w:lang w:val="en-US" w:bidi="en-US"/>
        </w:rPr>
        <w:t xml:space="preserve"> and </w:t>
      </w:r>
      <w:r w:rsidR="004626B5" w:rsidRPr="009D52FD">
        <w:rPr>
          <w:rFonts w:eastAsia="MS Mincho"/>
          <w:sz w:val="20"/>
          <w:szCs w:val="20"/>
          <w:lang w:val="en-US" w:bidi="en-US"/>
        </w:rPr>
        <w:t>214</w:t>
      </w:r>
      <w:r w:rsidR="00935F35" w:rsidRPr="009D52FD">
        <w:rPr>
          <w:rFonts w:eastAsia="MS Mincho"/>
          <w:sz w:val="20"/>
          <w:szCs w:val="20"/>
          <w:lang w:val="en-US" w:bidi="en-US"/>
        </w:rPr>
        <w:t xml:space="preserve">). </w:t>
      </w:r>
      <w:r w:rsidR="00DA3D8C" w:rsidRPr="009D52FD">
        <w:rPr>
          <w:rFonts w:eastAsia="MS Mincho"/>
          <w:sz w:val="20"/>
          <w:szCs w:val="20"/>
          <w:lang w:val="en-US" w:bidi="en-US"/>
        </w:rPr>
        <w:t xml:space="preserve">This is the same situation as regard the complaint filed by the victims against Prosecutor </w:t>
      </w:r>
      <w:r w:rsidR="004626B5" w:rsidRPr="009D52FD">
        <w:rPr>
          <w:rFonts w:eastAsia="MS Mincho"/>
          <w:sz w:val="20"/>
          <w:szCs w:val="20"/>
          <w:lang w:val="en-US" w:bidi="en-US"/>
        </w:rPr>
        <w:t xml:space="preserve">No. 33, </w:t>
      </w:r>
      <w:r w:rsidR="00DA3D8C" w:rsidRPr="009D52FD">
        <w:rPr>
          <w:rFonts w:eastAsia="MS Mincho"/>
          <w:sz w:val="20"/>
          <w:szCs w:val="20"/>
          <w:lang w:val="en-US" w:bidi="en-US"/>
        </w:rPr>
        <w:t xml:space="preserve">who conducted the criminal investigation into the facts of this case and implemented revictimizing actions </w:t>
      </w:r>
      <w:r w:rsidR="00935F35" w:rsidRPr="009D52FD">
        <w:rPr>
          <w:rFonts w:eastAsia="MS Mincho"/>
          <w:sz w:val="20"/>
          <w:szCs w:val="20"/>
          <w:lang w:val="en-US" w:bidi="en-US"/>
        </w:rPr>
        <w:t>(</w:t>
      </w:r>
      <w:r w:rsidR="00935F35" w:rsidRPr="009D52FD">
        <w:rPr>
          <w:rFonts w:eastAsia="MS Mincho"/>
          <w:i/>
          <w:sz w:val="20"/>
          <w:szCs w:val="20"/>
          <w:lang w:val="en-US" w:bidi="en-US"/>
        </w:rPr>
        <w:t>supra</w:t>
      </w:r>
      <w:r w:rsidR="004626B5" w:rsidRPr="009D52FD">
        <w:rPr>
          <w:rFonts w:eastAsia="MS Mincho"/>
          <w:sz w:val="20"/>
          <w:szCs w:val="20"/>
          <w:lang w:val="en-US" w:bidi="en-US"/>
        </w:rPr>
        <w:t xml:space="preserve"> </w:t>
      </w:r>
      <w:r w:rsidR="009459E7" w:rsidRPr="009D52FD">
        <w:rPr>
          <w:rFonts w:eastAsia="MS Mincho"/>
          <w:sz w:val="20"/>
          <w:szCs w:val="20"/>
          <w:lang w:val="en-US" w:bidi="en-US"/>
        </w:rPr>
        <w:t>para.</w:t>
      </w:r>
      <w:r w:rsidR="004626B5" w:rsidRPr="009D52FD">
        <w:rPr>
          <w:rFonts w:eastAsia="MS Mincho"/>
          <w:sz w:val="20"/>
          <w:szCs w:val="20"/>
          <w:lang w:val="en-US" w:bidi="en-US"/>
        </w:rPr>
        <w:t xml:space="preserve"> 77</w:t>
      </w:r>
      <w:r w:rsidR="00935F35" w:rsidRPr="009D52FD">
        <w:rPr>
          <w:rFonts w:eastAsia="MS Mincho"/>
          <w:sz w:val="20"/>
          <w:szCs w:val="20"/>
          <w:lang w:val="en-US" w:bidi="en-US"/>
        </w:rPr>
        <w:t>).</w:t>
      </w:r>
    </w:p>
    <w:p w14:paraId="4E86BAF7" w14:textId="77777777" w:rsidR="00935F35" w:rsidRPr="009D52FD" w:rsidRDefault="00935F35" w:rsidP="00935F35">
      <w:pPr>
        <w:tabs>
          <w:tab w:val="left" w:pos="567"/>
        </w:tabs>
        <w:spacing w:line="240" w:lineRule="auto"/>
        <w:rPr>
          <w:rFonts w:eastAsia="MS Mincho"/>
          <w:sz w:val="20"/>
          <w:szCs w:val="20"/>
          <w:lang w:val="en-US" w:bidi="en-US"/>
        </w:rPr>
      </w:pPr>
    </w:p>
    <w:p w14:paraId="21BF6B00" w14:textId="2AF9FBA5" w:rsidR="00935F35" w:rsidRPr="009D52FD" w:rsidRDefault="00DA3D8C" w:rsidP="00DA3D8C">
      <w:pPr>
        <w:numPr>
          <w:ilvl w:val="0"/>
          <w:numId w:val="1"/>
        </w:numPr>
        <w:tabs>
          <w:tab w:val="left" w:pos="567"/>
          <w:tab w:val="num" w:pos="5057"/>
        </w:tabs>
        <w:spacing w:line="240" w:lineRule="auto"/>
        <w:ind w:left="0" w:firstLine="0"/>
        <w:textAlignment w:val="auto"/>
        <w:rPr>
          <w:rFonts w:eastAsia="MS Mincho"/>
          <w:sz w:val="20"/>
          <w:szCs w:val="20"/>
          <w:lang w:val="en-US" w:bidi="en-US"/>
        </w:rPr>
      </w:pPr>
      <w:r w:rsidRPr="009D52FD">
        <w:rPr>
          <w:rFonts w:eastAsia="MS Mincho"/>
          <w:sz w:val="20"/>
          <w:szCs w:val="20"/>
          <w:lang w:val="en-US" w:bidi="en-US"/>
        </w:rPr>
        <w:t>This</w:t>
      </w:r>
      <w:r w:rsidR="0002239A" w:rsidRPr="009D52FD">
        <w:rPr>
          <w:rFonts w:eastAsia="MS Mincho"/>
          <w:sz w:val="20"/>
          <w:szCs w:val="20"/>
          <w:lang w:val="en-US" w:bidi="en-US"/>
        </w:rPr>
        <w:t xml:space="preserve"> Court</w:t>
      </w:r>
      <w:r w:rsidR="00935F35" w:rsidRPr="009D52FD">
        <w:rPr>
          <w:rFonts w:eastAsia="MS Mincho"/>
          <w:sz w:val="20"/>
          <w:szCs w:val="20"/>
          <w:lang w:val="en-US" w:bidi="en-US"/>
        </w:rPr>
        <w:t xml:space="preserve"> </w:t>
      </w:r>
      <w:r w:rsidRPr="009D52FD">
        <w:rPr>
          <w:rFonts w:eastAsia="MS Mincho"/>
          <w:sz w:val="20"/>
          <w:szCs w:val="20"/>
          <w:lang w:val="en-US" w:bidi="en-US"/>
        </w:rPr>
        <w:t xml:space="preserve">has established that various state officials in charge of </w:t>
      </w:r>
      <w:r w:rsidR="00011B99" w:rsidRPr="009D52FD">
        <w:rPr>
          <w:rFonts w:eastAsia="MS Mincho"/>
          <w:sz w:val="20"/>
          <w:szCs w:val="20"/>
          <w:lang w:val="en-US" w:bidi="en-US"/>
        </w:rPr>
        <w:t>law enforcement</w:t>
      </w:r>
      <w:r w:rsidRPr="009D52FD">
        <w:rPr>
          <w:rFonts w:eastAsia="MS Mincho"/>
          <w:sz w:val="20"/>
          <w:szCs w:val="20"/>
          <w:lang w:val="en-US" w:bidi="en-US"/>
        </w:rPr>
        <w:t xml:space="preserve"> and of the investigation committed a series of </w:t>
      </w:r>
      <w:r w:rsidR="00011B99" w:rsidRPr="009D52FD">
        <w:rPr>
          <w:rFonts w:eastAsia="MS Mincho"/>
          <w:sz w:val="20"/>
          <w:szCs w:val="20"/>
          <w:lang w:val="en-US" w:bidi="en-US"/>
        </w:rPr>
        <w:t>errors</w:t>
      </w:r>
      <w:r w:rsidRPr="009D52FD">
        <w:rPr>
          <w:rFonts w:eastAsia="MS Mincho"/>
          <w:sz w:val="20"/>
          <w:szCs w:val="20"/>
          <w:lang w:val="en-US" w:bidi="en-US"/>
        </w:rPr>
        <w:t xml:space="preserve"> in the collection, documentation and chain of custody of the evidence, which meant that the State did not investigate with the enhanced due diligence required by the facts of which Linda Loaiza was a victim</w:t>
      </w:r>
      <w:r w:rsidR="006E0912" w:rsidRPr="009D52FD">
        <w:rPr>
          <w:rFonts w:eastAsia="MS Mincho"/>
          <w:sz w:val="20"/>
          <w:szCs w:val="20"/>
          <w:lang w:val="en-US" w:bidi="en-US"/>
        </w:rPr>
        <w:t xml:space="preserve"> (</w:t>
      </w:r>
      <w:r w:rsidR="006E0912" w:rsidRPr="009D52FD">
        <w:rPr>
          <w:rFonts w:eastAsia="MS Mincho"/>
          <w:i/>
          <w:sz w:val="20"/>
          <w:szCs w:val="20"/>
          <w:lang w:val="en-US" w:bidi="en-US"/>
        </w:rPr>
        <w:t xml:space="preserve">supra </w:t>
      </w:r>
      <w:r w:rsidR="009459E7" w:rsidRPr="009D52FD">
        <w:rPr>
          <w:rFonts w:eastAsia="MS Mincho"/>
          <w:sz w:val="20"/>
          <w:szCs w:val="20"/>
          <w:lang w:val="en-US" w:bidi="en-US"/>
        </w:rPr>
        <w:t>paras.</w:t>
      </w:r>
      <w:r w:rsidR="006E0912" w:rsidRPr="009D52FD">
        <w:rPr>
          <w:rFonts w:eastAsia="MS Mincho"/>
          <w:sz w:val="20"/>
          <w:szCs w:val="20"/>
          <w:lang w:val="en-US" w:bidi="en-US"/>
        </w:rPr>
        <w:t xml:space="preserve"> </w:t>
      </w:r>
      <w:r w:rsidR="00950FD0" w:rsidRPr="009D52FD">
        <w:rPr>
          <w:rFonts w:eastAsia="MS Mincho"/>
          <w:sz w:val="20"/>
          <w:szCs w:val="20"/>
          <w:lang w:val="en-US" w:bidi="en-US"/>
        </w:rPr>
        <w:t>213</w:t>
      </w:r>
      <w:r w:rsidR="003630BB" w:rsidRPr="009D52FD">
        <w:rPr>
          <w:rFonts w:eastAsia="MS Mincho"/>
          <w:sz w:val="20"/>
          <w:szCs w:val="20"/>
          <w:lang w:val="en-US" w:bidi="en-US"/>
        </w:rPr>
        <w:t xml:space="preserve"> and </w:t>
      </w:r>
      <w:r w:rsidR="00950FD0" w:rsidRPr="009D52FD">
        <w:rPr>
          <w:rFonts w:eastAsia="MS Mincho"/>
          <w:sz w:val="20"/>
          <w:szCs w:val="20"/>
          <w:lang w:val="en-US" w:bidi="en-US"/>
        </w:rPr>
        <w:t>214</w:t>
      </w:r>
      <w:r w:rsidR="006E0912" w:rsidRPr="009D52FD">
        <w:rPr>
          <w:rFonts w:eastAsia="MS Mincho"/>
          <w:sz w:val="20"/>
          <w:szCs w:val="20"/>
          <w:lang w:val="en-US" w:bidi="en-US"/>
        </w:rPr>
        <w:t>)</w:t>
      </w:r>
      <w:r w:rsidR="00935F35" w:rsidRPr="009D52FD">
        <w:rPr>
          <w:rFonts w:eastAsia="MS Mincho"/>
          <w:sz w:val="20"/>
          <w:szCs w:val="20"/>
          <w:lang w:val="en-US" w:bidi="en-US"/>
        </w:rPr>
        <w:t xml:space="preserve">. </w:t>
      </w:r>
      <w:r w:rsidRPr="009D52FD">
        <w:rPr>
          <w:rFonts w:eastAsia="MS Mincho"/>
          <w:sz w:val="20"/>
          <w:szCs w:val="20"/>
          <w:lang w:val="en-US" w:bidi="en-US"/>
        </w:rPr>
        <w:t>The</w:t>
      </w:r>
      <w:r w:rsidR="003630BB" w:rsidRPr="009D52FD">
        <w:rPr>
          <w:rFonts w:eastAsia="MS Mincho"/>
          <w:sz w:val="20"/>
          <w:szCs w:val="20"/>
          <w:lang w:val="en-US" w:bidi="en-US"/>
        </w:rPr>
        <w:t xml:space="preserve"> Court</w:t>
      </w:r>
      <w:r w:rsidR="00935F35" w:rsidRPr="009D52FD">
        <w:rPr>
          <w:rFonts w:eastAsia="MS Mincho"/>
          <w:sz w:val="20"/>
          <w:szCs w:val="20"/>
          <w:lang w:val="en-US" w:bidi="en-US"/>
        </w:rPr>
        <w:t xml:space="preserve"> </w:t>
      </w:r>
      <w:r w:rsidRPr="009D52FD">
        <w:rPr>
          <w:rFonts w:eastAsia="MS Mincho"/>
          <w:sz w:val="20"/>
          <w:szCs w:val="20"/>
          <w:lang w:val="en-US" w:bidi="en-US"/>
        </w:rPr>
        <w:t>has also concluded that the State failed to comply with its obligation of due diligence to prevent violations of</w:t>
      </w:r>
      <w:r w:rsidR="00DC4CA2" w:rsidRPr="009D52FD">
        <w:rPr>
          <w:rFonts w:eastAsia="MS Mincho"/>
          <w:sz w:val="20"/>
          <w:szCs w:val="20"/>
          <w:lang w:val="en-US" w:bidi="en-US"/>
        </w:rPr>
        <w:t xml:space="preserve"> </w:t>
      </w:r>
      <w:r w:rsidR="00997ADF" w:rsidRPr="009D52FD">
        <w:rPr>
          <w:rFonts w:eastAsia="MS Mincho"/>
          <w:sz w:val="20"/>
          <w:szCs w:val="20"/>
          <w:lang w:val="en-US" w:bidi="en-US"/>
        </w:rPr>
        <w:t>personal integrity</w:t>
      </w:r>
      <w:r w:rsidR="00DC4CA2" w:rsidRPr="009D52FD">
        <w:rPr>
          <w:rFonts w:eastAsia="MS Mincho"/>
          <w:sz w:val="20"/>
          <w:szCs w:val="20"/>
          <w:lang w:val="en-US" w:bidi="en-US"/>
        </w:rPr>
        <w:t xml:space="preserve">, </w:t>
      </w:r>
      <w:r w:rsidRPr="009D52FD">
        <w:rPr>
          <w:rFonts w:eastAsia="MS Mincho"/>
          <w:sz w:val="20"/>
          <w:szCs w:val="20"/>
          <w:lang w:val="en-US" w:bidi="en-US"/>
        </w:rPr>
        <w:t xml:space="preserve">because the </w:t>
      </w:r>
      <w:r w:rsidR="00011B99" w:rsidRPr="009D52FD">
        <w:rPr>
          <w:rFonts w:eastAsia="MS Mincho"/>
          <w:sz w:val="20"/>
          <w:szCs w:val="20"/>
          <w:lang w:val="en-US" w:bidi="en-US"/>
        </w:rPr>
        <w:t xml:space="preserve">law enforcement </w:t>
      </w:r>
      <w:r w:rsidRPr="009D52FD">
        <w:rPr>
          <w:rFonts w:eastAsia="MS Mincho"/>
          <w:sz w:val="20"/>
          <w:szCs w:val="20"/>
          <w:lang w:val="en-US" w:bidi="en-US"/>
        </w:rPr>
        <w:t xml:space="preserve">agencies failed to process the report of Linda Loaiza’s disappearance appropriately </w:t>
      </w:r>
      <w:r w:rsidR="006E0912" w:rsidRPr="009D52FD">
        <w:rPr>
          <w:rFonts w:eastAsia="MS Mincho"/>
          <w:sz w:val="20"/>
          <w:szCs w:val="20"/>
          <w:lang w:val="en-US" w:bidi="en-US"/>
        </w:rPr>
        <w:t>(</w:t>
      </w:r>
      <w:r w:rsidR="006E0912" w:rsidRPr="009D52FD">
        <w:rPr>
          <w:rFonts w:eastAsia="MS Mincho"/>
          <w:i/>
          <w:sz w:val="20"/>
          <w:szCs w:val="20"/>
          <w:lang w:val="en-US" w:bidi="en-US"/>
        </w:rPr>
        <w:t xml:space="preserve">supra </w:t>
      </w:r>
      <w:r w:rsidR="009459E7" w:rsidRPr="009D52FD">
        <w:rPr>
          <w:rFonts w:eastAsia="MS Mincho"/>
          <w:sz w:val="20"/>
          <w:szCs w:val="20"/>
          <w:lang w:val="en-US" w:bidi="en-US"/>
        </w:rPr>
        <w:t>paras.</w:t>
      </w:r>
      <w:r w:rsidR="00950FD0" w:rsidRPr="009D52FD">
        <w:rPr>
          <w:rFonts w:eastAsia="MS Mincho"/>
          <w:sz w:val="20"/>
          <w:szCs w:val="20"/>
          <w:lang w:val="en-US" w:bidi="en-US"/>
        </w:rPr>
        <w:t xml:space="preserve"> </w:t>
      </w:r>
      <w:r w:rsidR="006C2CA8" w:rsidRPr="009D52FD">
        <w:rPr>
          <w:rFonts w:eastAsia="MS Mincho"/>
          <w:sz w:val="20"/>
          <w:szCs w:val="20"/>
          <w:lang w:val="en-US" w:bidi="en-US"/>
        </w:rPr>
        <w:t xml:space="preserve">167, </w:t>
      </w:r>
      <w:r w:rsidR="00950FD0" w:rsidRPr="009D52FD">
        <w:rPr>
          <w:rFonts w:eastAsia="MS Mincho"/>
          <w:sz w:val="20"/>
          <w:szCs w:val="20"/>
          <w:lang w:val="en-US" w:bidi="en-US"/>
        </w:rPr>
        <w:t>168</w:t>
      </w:r>
      <w:r w:rsidR="003630BB" w:rsidRPr="009D52FD">
        <w:rPr>
          <w:rFonts w:eastAsia="MS Mincho"/>
          <w:sz w:val="20"/>
          <w:szCs w:val="20"/>
          <w:lang w:val="en-US" w:bidi="en-US"/>
        </w:rPr>
        <w:t xml:space="preserve"> and </w:t>
      </w:r>
      <w:r w:rsidR="00950FD0" w:rsidRPr="009D52FD">
        <w:rPr>
          <w:rFonts w:eastAsia="MS Mincho"/>
          <w:sz w:val="20"/>
          <w:szCs w:val="20"/>
          <w:lang w:val="en-US" w:bidi="en-US"/>
        </w:rPr>
        <w:t>169</w:t>
      </w:r>
      <w:r w:rsidR="006E0912" w:rsidRPr="009D52FD">
        <w:rPr>
          <w:rFonts w:eastAsia="MS Mincho"/>
          <w:sz w:val="20"/>
          <w:szCs w:val="20"/>
          <w:lang w:val="en-US" w:bidi="en-US"/>
        </w:rPr>
        <w:t>)</w:t>
      </w:r>
      <w:r w:rsidR="00935F35" w:rsidRPr="009D52FD">
        <w:rPr>
          <w:rFonts w:eastAsia="MS Mincho"/>
          <w:sz w:val="20"/>
          <w:szCs w:val="20"/>
          <w:lang w:val="en-US" w:bidi="en-US"/>
        </w:rPr>
        <w:t>.</w:t>
      </w:r>
      <w:r w:rsidR="00683D83" w:rsidRPr="009D52FD">
        <w:rPr>
          <w:rFonts w:eastAsia="MS Mincho"/>
          <w:sz w:val="20"/>
          <w:szCs w:val="20"/>
          <w:lang w:val="en-US" w:bidi="en-US"/>
        </w:rPr>
        <w:t xml:space="preserve"> </w:t>
      </w:r>
      <w:r w:rsidR="003630BB" w:rsidRPr="009D52FD">
        <w:rPr>
          <w:rFonts w:eastAsia="MS Mincho"/>
          <w:sz w:val="20"/>
          <w:szCs w:val="20"/>
          <w:lang w:val="en-US" w:bidi="en-US"/>
        </w:rPr>
        <w:t>The Court</w:t>
      </w:r>
      <w:r w:rsidR="00935F35" w:rsidRPr="009D52FD">
        <w:rPr>
          <w:rFonts w:eastAsia="MS Mincho"/>
          <w:sz w:val="20"/>
          <w:szCs w:val="20"/>
          <w:lang w:val="en-US" w:bidi="en-US"/>
        </w:rPr>
        <w:t xml:space="preserve"> </w:t>
      </w:r>
      <w:r w:rsidRPr="009D52FD">
        <w:rPr>
          <w:rFonts w:eastAsia="MS Mincho"/>
          <w:sz w:val="20"/>
          <w:szCs w:val="20"/>
          <w:lang w:val="en-US" w:bidi="en-US"/>
        </w:rPr>
        <w:t>has no information as to whether any inquiries have been made into these circumstances.</w:t>
      </w:r>
    </w:p>
    <w:p w14:paraId="4778AD9A" w14:textId="77777777" w:rsidR="00935F35" w:rsidRPr="009D52FD" w:rsidRDefault="00935F35" w:rsidP="00935F35">
      <w:pPr>
        <w:tabs>
          <w:tab w:val="left" w:pos="567"/>
        </w:tabs>
        <w:spacing w:line="240" w:lineRule="auto"/>
        <w:rPr>
          <w:rFonts w:eastAsia="MS Mincho"/>
          <w:sz w:val="20"/>
          <w:szCs w:val="20"/>
          <w:lang w:val="en-US" w:bidi="en-US"/>
        </w:rPr>
      </w:pPr>
    </w:p>
    <w:p w14:paraId="6AED579A" w14:textId="52118419" w:rsidR="00DA3D8C" w:rsidRPr="009D52FD" w:rsidRDefault="00DA3D8C" w:rsidP="00DA3D8C">
      <w:pPr>
        <w:numPr>
          <w:ilvl w:val="0"/>
          <w:numId w:val="1"/>
        </w:numPr>
        <w:tabs>
          <w:tab w:val="left" w:pos="567"/>
          <w:tab w:val="num" w:pos="5057"/>
        </w:tabs>
        <w:spacing w:line="240" w:lineRule="auto"/>
        <w:ind w:left="0" w:firstLine="0"/>
        <w:textAlignment w:val="auto"/>
        <w:rPr>
          <w:rFonts w:eastAsia="MS Mincho"/>
          <w:sz w:val="20"/>
          <w:szCs w:val="20"/>
          <w:lang w:val="en-US" w:bidi="en-US"/>
        </w:rPr>
      </w:pPr>
      <w:r w:rsidRPr="009D52FD">
        <w:rPr>
          <w:rFonts w:eastAsia="MS Mincho"/>
          <w:sz w:val="20"/>
          <w:szCs w:val="20"/>
          <w:lang w:val="en-US" w:bidi="en-US"/>
        </w:rPr>
        <w:t>Consequently</w:t>
      </w:r>
      <w:r w:rsidR="00935F35" w:rsidRPr="009D52FD">
        <w:rPr>
          <w:rFonts w:eastAsia="MS Mincho"/>
          <w:sz w:val="20"/>
          <w:szCs w:val="20"/>
          <w:lang w:val="en-US" w:bidi="en-US"/>
        </w:rPr>
        <w:t xml:space="preserve">, </w:t>
      </w:r>
      <w:r w:rsidR="0002239A" w:rsidRPr="009D52FD">
        <w:rPr>
          <w:rFonts w:eastAsia="MS Mincho"/>
          <w:sz w:val="20"/>
          <w:szCs w:val="20"/>
          <w:lang w:val="en-US" w:bidi="en-US"/>
        </w:rPr>
        <w:t>th</w:t>
      </w:r>
      <w:r w:rsidRPr="009D52FD">
        <w:rPr>
          <w:rFonts w:eastAsia="MS Mincho"/>
          <w:sz w:val="20"/>
          <w:szCs w:val="20"/>
          <w:lang w:val="en-US" w:bidi="en-US"/>
        </w:rPr>
        <w:t>e</w:t>
      </w:r>
      <w:r w:rsidR="0002239A" w:rsidRPr="009D52FD">
        <w:rPr>
          <w:rFonts w:eastAsia="MS Mincho"/>
          <w:sz w:val="20"/>
          <w:szCs w:val="20"/>
          <w:lang w:val="en-US" w:bidi="en-US"/>
        </w:rPr>
        <w:t xml:space="preserve"> Court</w:t>
      </w:r>
      <w:r w:rsidR="00935F35" w:rsidRPr="009D52FD">
        <w:rPr>
          <w:rFonts w:eastAsia="MS Mincho"/>
          <w:sz w:val="20"/>
          <w:szCs w:val="20"/>
          <w:lang w:val="en-US" w:bidi="en-US"/>
        </w:rPr>
        <w:t xml:space="preserve"> consider</w:t>
      </w:r>
      <w:r w:rsidRPr="009D52FD">
        <w:rPr>
          <w:rFonts w:eastAsia="MS Mincho"/>
          <w:sz w:val="20"/>
          <w:szCs w:val="20"/>
          <w:lang w:val="en-US" w:bidi="en-US"/>
        </w:rPr>
        <w:t>s that the State must,</w:t>
      </w:r>
      <w:r w:rsidR="00935F35" w:rsidRPr="009D52FD">
        <w:rPr>
          <w:rFonts w:eastAsia="MS Mincho"/>
          <w:sz w:val="20"/>
          <w:szCs w:val="20"/>
          <w:lang w:val="en-US" w:bidi="en-US"/>
        </w:rPr>
        <w:t xml:space="preserve"> </w:t>
      </w:r>
      <w:r w:rsidR="007D3D4F" w:rsidRPr="009D52FD">
        <w:rPr>
          <w:rFonts w:eastAsia="MS Mincho"/>
          <w:sz w:val="20"/>
          <w:szCs w:val="20"/>
          <w:lang w:val="en-US" w:bidi="en-US"/>
        </w:rPr>
        <w:t>within a reasonable time</w:t>
      </w:r>
      <w:r w:rsidR="00935F35" w:rsidRPr="009D52FD">
        <w:rPr>
          <w:rFonts w:eastAsia="MS Mincho"/>
          <w:sz w:val="20"/>
          <w:szCs w:val="20"/>
          <w:lang w:val="en-US" w:bidi="en-US"/>
        </w:rPr>
        <w:t>, determin</w:t>
      </w:r>
      <w:r w:rsidRPr="009D52FD">
        <w:rPr>
          <w:rFonts w:eastAsia="MS Mincho"/>
          <w:sz w:val="20"/>
          <w:szCs w:val="20"/>
          <w:lang w:val="en-US" w:bidi="en-US"/>
        </w:rPr>
        <w:t>e, through the competent public institutions, the eventual responsibilities of the officials who failed to investigate immediately what happened to</w:t>
      </w:r>
      <w:r w:rsidR="00935F35" w:rsidRPr="009D52FD">
        <w:rPr>
          <w:rFonts w:eastAsia="MS Mincho"/>
          <w:sz w:val="20"/>
          <w:szCs w:val="20"/>
          <w:lang w:val="en-US" w:bidi="en-US"/>
        </w:rPr>
        <w:t xml:space="preserve"> Linda</w:t>
      </w:r>
      <w:r w:rsidR="009A7A06" w:rsidRPr="009D52FD">
        <w:rPr>
          <w:rFonts w:eastAsia="MS Mincho"/>
          <w:sz w:val="20"/>
          <w:szCs w:val="20"/>
          <w:lang w:val="en-US" w:bidi="en-US"/>
        </w:rPr>
        <w:t xml:space="preserve"> Loaiza López Soto,</w:t>
      </w:r>
      <w:r w:rsidR="00935F35" w:rsidRPr="009D52FD">
        <w:rPr>
          <w:rFonts w:eastAsia="MS Mincho"/>
          <w:sz w:val="20"/>
          <w:szCs w:val="20"/>
          <w:lang w:val="en-US" w:bidi="en-US"/>
        </w:rPr>
        <w:t xml:space="preserve"> </w:t>
      </w:r>
      <w:r w:rsidRPr="009D52FD">
        <w:rPr>
          <w:rFonts w:eastAsia="MS Mincho"/>
          <w:sz w:val="20"/>
          <w:szCs w:val="20"/>
          <w:lang w:val="en-US" w:bidi="en-US"/>
        </w:rPr>
        <w:t xml:space="preserve">and also those responsible for the irregularities and unjustified delays during the investigation and the domestic judicial proceedings. </w:t>
      </w:r>
      <w:r w:rsidR="00011B99" w:rsidRPr="009D52FD">
        <w:rPr>
          <w:rFonts w:eastAsia="MS Mincho"/>
          <w:sz w:val="20"/>
          <w:szCs w:val="20"/>
          <w:lang w:val="en-US" w:bidi="en-US"/>
        </w:rPr>
        <w:t xml:space="preserve">Furthermore, </w:t>
      </w:r>
      <w:r w:rsidRPr="009D52FD">
        <w:rPr>
          <w:rFonts w:eastAsia="MS Mincho"/>
          <w:sz w:val="20"/>
          <w:szCs w:val="20"/>
          <w:lang w:val="en-US" w:bidi="en-US"/>
        </w:rPr>
        <w:t>the legal consequences must be applied</w:t>
      </w:r>
      <w:r w:rsidR="00011B99" w:rsidRPr="009D52FD">
        <w:rPr>
          <w:rFonts w:eastAsia="MS Mincho"/>
          <w:sz w:val="20"/>
          <w:szCs w:val="20"/>
          <w:lang w:val="en-US" w:bidi="en-US"/>
        </w:rPr>
        <w:t>, as appropriate,</w:t>
      </w:r>
      <w:r w:rsidRPr="009D52FD">
        <w:rPr>
          <w:rFonts w:eastAsia="MS Mincho"/>
          <w:sz w:val="20"/>
          <w:szCs w:val="20"/>
          <w:lang w:val="en-US" w:bidi="en-US"/>
        </w:rPr>
        <w:t>. The Court also finds that, insofar as possible and provided that this is authorized by the relevant domestic law, the result of these proceedings should be public.</w:t>
      </w:r>
    </w:p>
    <w:p w14:paraId="123B5D16" w14:textId="77777777" w:rsidR="00935F35" w:rsidRPr="009D52FD" w:rsidRDefault="00935F35" w:rsidP="00935F35">
      <w:pPr>
        <w:tabs>
          <w:tab w:val="left" w:pos="567"/>
        </w:tabs>
        <w:spacing w:line="240" w:lineRule="auto"/>
        <w:rPr>
          <w:rFonts w:eastAsia="MS Mincho"/>
          <w:sz w:val="20"/>
          <w:szCs w:val="20"/>
          <w:lang w:val="en-US" w:bidi="en-US"/>
        </w:rPr>
      </w:pPr>
    </w:p>
    <w:p w14:paraId="0A893E65" w14:textId="636FEBB1" w:rsidR="00285EA3" w:rsidRPr="009D52FD" w:rsidRDefault="00285EA3" w:rsidP="00935F35">
      <w:pPr>
        <w:numPr>
          <w:ilvl w:val="0"/>
          <w:numId w:val="1"/>
        </w:numPr>
        <w:tabs>
          <w:tab w:val="left" w:pos="567"/>
          <w:tab w:val="num" w:pos="5057"/>
        </w:tabs>
        <w:spacing w:line="240" w:lineRule="auto"/>
        <w:ind w:left="0" w:firstLine="0"/>
        <w:textAlignment w:val="auto"/>
        <w:rPr>
          <w:rFonts w:eastAsia="MS Mincho"/>
          <w:sz w:val="20"/>
          <w:szCs w:val="20"/>
          <w:lang w:val="en-US" w:bidi="en-US"/>
        </w:rPr>
      </w:pPr>
      <w:r w:rsidRPr="009D52FD">
        <w:rPr>
          <w:rFonts w:eastAsia="MS Mincho"/>
          <w:sz w:val="20"/>
          <w:szCs w:val="20"/>
          <w:lang w:val="en-US" w:bidi="en-US"/>
        </w:rPr>
        <w:t xml:space="preserve">Lastly, regarding the investigation, prosecution and eventual punishment of the acts of </w:t>
      </w:r>
      <w:r w:rsidR="005935CA" w:rsidRPr="009D52FD">
        <w:rPr>
          <w:rFonts w:eastAsia="MS Mincho"/>
          <w:sz w:val="20"/>
          <w:szCs w:val="20"/>
          <w:lang w:val="en-US" w:bidi="en-US"/>
        </w:rPr>
        <w:t>violence against women</w:t>
      </w:r>
      <w:r w:rsidR="00935F35" w:rsidRPr="009D52FD">
        <w:rPr>
          <w:rFonts w:eastAsia="MS Mincho"/>
          <w:sz w:val="20"/>
          <w:szCs w:val="20"/>
          <w:lang w:val="en-US" w:bidi="en-US"/>
        </w:rPr>
        <w:t xml:space="preserve"> presu</w:t>
      </w:r>
      <w:r w:rsidRPr="009D52FD">
        <w:rPr>
          <w:rFonts w:eastAsia="MS Mincho"/>
          <w:sz w:val="20"/>
          <w:szCs w:val="20"/>
          <w:lang w:val="en-US" w:bidi="en-US"/>
        </w:rPr>
        <w:t xml:space="preserve">mably committed by the aggressor against other victims, the Court does not consider it pertinent to order this measure because these facts </w:t>
      </w:r>
      <w:r w:rsidR="00011B99" w:rsidRPr="009D52FD">
        <w:rPr>
          <w:rFonts w:eastAsia="MS Mincho"/>
          <w:sz w:val="20"/>
          <w:szCs w:val="20"/>
          <w:lang w:val="en-US" w:bidi="en-US"/>
        </w:rPr>
        <w:t>were not included in</w:t>
      </w:r>
      <w:r w:rsidRPr="009D52FD">
        <w:rPr>
          <w:rFonts w:eastAsia="MS Mincho"/>
          <w:sz w:val="20"/>
          <w:szCs w:val="20"/>
          <w:lang w:val="en-US" w:bidi="en-US"/>
        </w:rPr>
        <w:t xml:space="preserve"> the factual framework of this case and the presumed victims of such offenses are not part of these proceedings.</w:t>
      </w:r>
    </w:p>
    <w:p w14:paraId="586665BF" w14:textId="77777777" w:rsidR="00935F35" w:rsidRPr="009D52FD" w:rsidRDefault="00935F35" w:rsidP="00935F35">
      <w:pPr>
        <w:tabs>
          <w:tab w:val="left" w:pos="567"/>
        </w:tabs>
        <w:spacing w:line="240" w:lineRule="auto"/>
        <w:rPr>
          <w:rFonts w:eastAsia="MS Mincho"/>
          <w:sz w:val="20"/>
          <w:szCs w:val="20"/>
          <w:lang w:val="en-US" w:bidi="en-US"/>
        </w:rPr>
      </w:pPr>
    </w:p>
    <w:p w14:paraId="6B5A2DF8" w14:textId="21C444A0" w:rsidR="00935F35" w:rsidRPr="009D52FD" w:rsidRDefault="0098665D" w:rsidP="00F11556">
      <w:pPr>
        <w:keepNext/>
        <w:keepLines/>
        <w:numPr>
          <w:ilvl w:val="0"/>
          <w:numId w:val="5"/>
        </w:numPr>
        <w:tabs>
          <w:tab w:val="left" w:pos="567"/>
          <w:tab w:val="left" w:pos="1134"/>
        </w:tabs>
        <w:spacing w:line="240" w:lineRule="auto"/>
        <w:ind w:left="567" w:firstLine="0"/>
        <w:textAlignment w:val="auto"/>
        <w:outlineLvl w:val="1"/>
        <w:rPr>
          <w:rFonts w:eastAsia="MS Mincho"/>
          <w:b/>
          <w:bCs/>
          <w:i/>
          <w:sz w:val="20"/>
          <w:szCs w:val="20"/>
          <w:lang w:val="en-US"/>
        </w:rPr>
      </w:pPr>
      <w:bookmarkStart w:id="119" w:name="_Toc51400116"/>
      <w:r w:rsidRPr="009D52FD">
        <w:rPr>
          <w:rFonts w:eastAsia="MS Mincho"/>
          <w:b/>
          <w:bCs/>
          <w:i/>
          <w:sz w:val="20"/>
          <w:szCs w:val="20"/>
          <w:lang w:val="en-US"/>
        </w:rPr>
        <w:t>Measures of rehabilitation and satisfaction and guarantees of non-repetition</w:t>
      </w:r>
      <w:bookmarkEnd w:id="119"/>
    </w:p>
    <w:p w14:paraId="7DA27E46" w14:textId="77777777" w:rsidR="00935F35" w:rsidRPr="009D52FD" w:rsidRDefault="00935F35" w:rsidP="00935F35">
      <w:pPr>
        <w:tabs>
          <w:tab w:val="left" w:pos="567"/>
        </w:tabs>
        <w:spacing w:line="240" w:lineRule="auto"/>
        <w:rPr>
          <w:rFonts w:eastAsia="MS Mincho"/>
          <w:b/>
          <w:sz w:val="20"/>
          <w:szCs w:val="20"/>
          <w:lang w:val="en-US" w:bidi="en-US"/>
        </w:rPr>
      </w:pPr>
    </w:p>
    <w:p w14:paraId="5DD334F2" w14:textId="65E9F922" w:rsidR="00935F35" w:rsidRPr="009D52FD" w:rsidRDefault="00935F35" w:rsidP="00F11556">
      <w:pPr>
        <w:pStyle w:val="Heading2"/>
        <w:tabs>
          <w:tab w:val="left" w:pos="1701"/>
        </w:tabs>
        <w:spacing w:before="0" w:line="240" w:lineRule="auto"/>
        <w:ind w:left="1134"/>
        <w:rPr>
          <w:rFonts w:ascii="Verdana" w:hAnsi="Verdana"/>
          <w:b w:val="0"/>
          <w:i/>
          <w:color w:val="auto"/>
          <w:sz w:val="20"/>
          <w:szCs w:val="20"/>
          <w:lang w:val="en-US"/>
        </w:rPr>
      </w:pPr>
      <w:bookmarkStart w:id="120" w:name="_Toc51400117"/>
      <w:r w:rsidRPr="009D52FD">
        <w:rPr>
          <w:rFonts w:ascii="Verdana" w:hAnsi="Verdana"/>
          <w:b w:val="0"/>
          <w:i/>
          <w:color w:val="auto"/>
          <w:sz w:val="20"/>
          <w:szCs w:val="20"/>
          <w:lang w:val="en-US"/>
        </w:rPr>
        <w:t xml:space="preserve">C.1 </w:t>
      </w:r>
      <w:r w:rsidR="00F11556" w:rsidRPr="009D52FD">
        <w:rPr>
          <w:rFonts w:ascii="Verdana" w:hAnsi="Verdana"/>
          <w:b w:val="0"/>
          <w:i/>
          <w:color w:val="auto"/>
          <w:sz w:val="20"/>
          <w:szCs w:val="20"/>
          <w:lang w:val="en-US"/>
        </w:rPr>
        <w:tab/>
      </w:r>
      <w:r w:rsidR="0098665D" w:rsidRPr="009D52FD">
        <w:rPr>
          <w:rFonts w:ascii="Verdana" w:hAnsi="Verdana"/>
          <w:b w:val="0"/>
          <w:i/>
          <w:color w:val="auto"/>
          <w:sz w:val="20"/>
          <w:szCs w:val="20"/>
          <w:lang w:val="en-US"/>
        </w:rPr>
        <w:t>Measures of rehabilitation</w:t>
      </w:r>
      <w:bookmarkEnd w:id="120"/>
    </w:p>
    <w:p w14:paraId="0AA308F3" w14:textId="2984A4F1" w:rsidR="00935F35" w:rsidRPr="009D52FD" w:rsidRDefault="00935F35" w:rsidP="00935F35">
      <w:pPr>
        <w:tabs>
          <w:tab w:val="left" w:pos="567"/>
        </w:tabs>
        <w:spacing w:line="240" w:lineRule="auto"/>
        <w:ind w:firstLine="425"/>
        <w:rPr>
          <w:rFonts w:eastAsia="MS Mincho"/>
          <w:i/>
          <w:sz w:val="20"/>
          <w:szCs w:val="20"/>
          <w:lang w:val="en-US" w:bidi="en-US"/>
        </w:rPr>
      </w:pPr>
      <w:r w:rsidRPr="009D52FD">
        <w:rPr>
          <w:rFonts w:eastAsia="MS Mincho"/>
          <w:i/>
          <w:sz w:val="20"/>
          <w:szCs w:val="20"/>
          <w:lang w:val="en-US" w:bidi="en-US"/>
        </w:rPr>
        <w:tab/>
      </w:r>
    </w:p>
    <w:p w14:paraId="76831FE9" w14:textId="70E0B3A2" w:rsidR="00935F35" w:rsidRPr="009D52FD" w:rsidRDefault="003630BB" w:rsidP="00285EA3">
      <w:pPr>
        <w:numPr>
          <w:ilvl w:val="0"/>
          <w:numId w:val="1"/>
        </w:numPr>
        <w:tabs>
          <w:tab w:val="left" w:pos="567"/>
          <w:tab w:val="num" w:pos="5057"/>
        </w:tabs>
        <w:spacing w:line="240" w:lineRule="auto"/>
        <w:ind w:left="0" w:firstLine="0"/>
        <w:textAlignment w:val="auto"/>
        <w:rPr>
          <w:rFonts w:eastAsia="MS Mincho"/>
          <w:b/>
          <w:sz w:val="20"/>
          <w:szCs w:val="20"/>
          <w:lang w:val="en-US" w:bidi="en-US"/>
        </w:rPr>
      </w:pPr>
      <w:r w:rsidRPr="009D52FD">
        <w:rPr>
          <w:rFonts w:eastAsia="MS Mincho"/>
          <w:sz w:val="20"/>
          <w:szCs w:val="20"/>
          <w:lang w:val="en-US" w:bidi="en-US"/>
        </w:rPr>
        <w:t xml:space="preserve">The </w:t>
      </w:r>
      <w:r w:rsidRPr="009D52FD">
        <w:rPr>
          <w:rFonts w:eastAsia="MS Mincho"/>
          <w:b/>
          <w:bCs/>
          <w:i/>
          <w:iCs/>
          <w:sz w:val="20"/>
          <w:szCs w:val="20"/>
          <w:lang w:val="en-US" w:bidi="en-US"/>
        </w:rPr>
        <w:t>Commission</w:t>
      </w:r>
      <w:r w:rsidR="00935F35" w:rsidRPr="009D52FD">
        <w:rPr>
          <w:rFonts w:eastAsia="MS Mincho"/>
          <w:b/>
          <w:sz w:val="20"/>
          <w:szCs w:val="20"/>
          <w:lang w:val="en-US" w:bidi="en-US"/>
        </w:rPr>
        <w:t xml:space="preserve"> </w:t>
      </w:r>
      <w:r w:rsidR="00935F35" w:rsidRPr="009D52FD">
        <w:rPr>
          <w:rFonts w:eastAsia="MS Mincho"/>
          <w:sz w:val="20"/>
          <w:szCs w:val="20"/>
          <w:lang w:val="en-US" w:bidi="en-US"/>
        </w:rPr>
        <w:t>requ</w:t>
      </w:r>
      <w:r w:rsidR="00285EA3" w:rsidRPr="009D52FD">
        <w:rPr>
          <w:rFonts w:eastAsia="MS Mincho"/>
          <w:sz w:val="20"/>
          <w:szCs w:val="20"/>
          <w:lang w:val="en-US" w:bidi="en-US"/>
        </w:rPr>
        <w:t>ested that the victims in this case should be provided with medical and psychological or psychiatric treatment, free of charge and immediately, always based on their requests and in coordination with the interested parties.</w:t>
      </w:r>
    </w:p>
    <w:p w14:paraId="77583147" w14:textId="77777777" w:rsidR="00285EA3" w:rsidRPr="009D52FD" w:rsidRDefault="00285EA3" w:rsidP="00285EA3">
      <w:pPr>
        <w:tabs>
          <w:tab w:val="left" w:pos="567"/>
        </w:tabs>
        <w:spacing w:line="240" w:lineRule="auto"/>
        <w:textAlignment w:val="auto"/>
        <w:rPr>
          <w:rFonts w:eastAsia="MS Mincho"/>
          <w:b/>
          <w:sz w:val="20"/>
          <w:szCs w:val="20"/>
          <w:lang w:val="en-US" w:bidi="en-US"/>
        </w:rPr>
      </w:pPr>
    </w:p>
    <w:p w14:paraId="1F6C1FD6" w14:textId="1CBBC3B5" w:rsidR="00935F35" w:rsidRPr="009D52FD" w:rsidRDefault="003630BB" w:rsidP="00935F35">
      <w:pPr>
        <w:numPr>
          <w:ilvl w:val="0"/>
          <w:numId w:val="1"/>
        </w:numPr>
        <w:tabs>
          <w:tab w:val="left" w:pos="567"/>
          <w:tab w:val="num" w:pos="5057"/>
        </w:tabs>
        <w:spacing w:line="240" w:lineRule="auto"/>
        <w:ind w:left="0" w:firstLine="0"/>
        <w:textAlignment w:val="auto"/>
        <w:rPr>
          <w:rFonts w:eastAsia="MS Mincho"/>
          <w:b/>
          <w:sz w:val="20"/>
          <w:szCs w:val="20"/>
          <w:lang w:val="en-US" w:bidi="en-US"/>
        </w:rPr>
      </w:pPr>
      <w:r w:rsidRPr="009D52FD">
        <w:rPr>
          <w:rFonts w:eastAsia="MS Mincho"/>
          <w:sz w:val="20"/>
          <w:szCs w:val="20"/>
          <w:lang w:val="en-US" w:bidi="en-US"/>
        </w:rPr>
        <w:t xml:space="preserve">The </w:t>
      </w:r>
      <w:r w:rsidRPr="009D52FD">
        <w:rPr>
          <w:rFonts w:eastAsia="MS Mincho"/>
          <w:b/>
          <w:bCs/>
          <w:i/>
          <w:iCs/>
          <w:sz w:val="20"/>
          <w:szCs w:val="20"/>
          <w:lang w:val="en-US" w:bidi="en-US"/>
        </w:rPr>
        <w:t>representatives</w:t>
      </w:r>
      <w:r w:rsidR="00935F35" w:rsidRPr="009D52FD">
        <w:rPr>
          <w:rFonts w:eastAsia="MS Mincho"/>
          <w:b/>
          <w:sz w:val="20"/>
          <w:szCs w:val="20"/>
          <w:lang w:val="en-US" w:bidi="en-US"/>
        </w:rPr>
        <w:t xml:space="preserve"> </w:t>
      </w:r>
      <w:r w:rsidR="00AB4D17" w:rsidRPr="009D52FD">
        <w:rPr>
          <w:rFonts w:eastAsia="MS Mincho"/>
          <w:sz w:val="20"/>
          <w:szCs w:val="20"/>
          <w:lang w:val="en-US" w:bidi="en-US"/>
        </w:rPr>
        <w:t xml:space="preserve">asked that </w:t>
      </w:r>
      <w:r w:rsidR="00935F35" w:rsidRPr="009D52FD">
        <w:rPr>
          <w:rFonts w:eastAsia="MS Mincho"/>
          <w:sz w:val="20"/>
          <w:szCs w:val="20"/>
          <w:lang w:val="en-US" w:bidi="en-US"/>
        </w:rPr>
        <w:t>Linda Loaiza López Soto</w:t>
      </w:r>
      <w:r w:rsidR="00AB4D17" w:rsidRPr="009D52FD">
        <w:rPr>
          <w:rFonts w:eastAsia="MS Mincho"/>
          <w:sz w:val="20"/>
          <w:szCs w:val="20"/>
          <w:lang w:val="en-US" w:bidi="en-US"/>
        </w:rPr>
        <w:t xml:space="preserve"> be ensured the necessary medical </w:t>
      </w:r>
      <w:r w:rsidR="00AB4D17" w:rsidRPr="009D52FD">
        <w:rPr>
          <w:rFonts w:eastAsia="MS Mincho"/>
          <w:sz w:val="20"/>
          <w:szCs w:val="20"/>
          <w:lang w:val="en-US" w:bidi="en-US"/>
        </w:rPr>
        <w:lastRenderedPageBreak/>
        <w:t xml:space="preserve">care to redress the physical, emotional and psychological harm caused to her. Regarding Linda Loaiza’s parents and siblings, who are also victims in this case, they requested that they should be provided with the same type of treatment, taking into account the psychological and emotional harm suffered. In both cases, </w:t>
      </w:r>
      <w:r w:rsidRPr="009D52FD">
        <w:rPr>
          <w:rFonts w:eastAsia="MS Mincho"/>
          <w:sz w:val="20"/>
          <w:szCs w:val="20"/>
          <w:lang w:val="en-US" w:bidi="en-US"/>
        </w:rPr>
        <w:t>the representatives</w:t>
      </w:r>
      <w:r w:rsidR="00935F35" w:rsidRPr="009D52FD">
        <w:rPr>
          <w:rFonts w:eastAsia="MS Mincho"/>
          <w:sz w:val="20"/>
          <w:szCs w:val="20"/>
          <w:lang w:val="en-US" w:bidi="en-US"/>
        </w:rPr>
        <w:t xml:space="preserve"> </w:t>
      </w:r>
      <w:r w:rsidR="00AB4D17" w:rsidRPr="009D52FD">
        <w:rPr>
          <w:rFonts w:eastAsia="MS Mincho"/>
          <w:sz w:val="20"/>
          <w:szCs w:val="20"/>
          <w:lang w:val="en-US" w:bidi="en-US"/>
        </w:rPr>
        <w:t>asked that these treatments be provided by the professionals preferred by the victims</w:t>
      </w:r>
      <w:r w:rsidR="00935F35" w:rsidRPr="009D52FD">
        <w:rPr>
          <w:rFonts w:eastAsia="MS Mincho"/>
          <w:sz w:val="20"/>
          <w:szCs w:val="20"/>
          <w:lang w:val="en-US" w:bidi="en-US"/>
        </w:rPr>
        <w:t xml:space="preserve">, </w:t>
      </w:r>
      <w:r w:rsidR="00AB4D17" w:rsidRPr="009D52FD">
        <w:rPr>
          <w:rFonts w:eastAsia="MS Mincho"/>
          <w:sz w:val="20"/>
          <w:szCs w:val="20"/>
          <w:lang w:val="en-US" w:bidi="en-US"/>
        </w:rPr>
        <w:t>irrespective of whether they belong</w:t>
      </w:r>
      <w:r w:rsidR="007A0E04" w:rsidRPr="009D52FD">
        <w:rPr>
          <w:rFonts w:eastAsia="MS Mincho"/>
          <w:sz w:val="20"/>
          <w:szCs w:val="20"/>
          <w:lang w:val="en-US" w:bidi="en-US"/>
        </w:rPr>
        <w:t>ed</w:t>
      </w:r>
      <w:r w:rsidR="00AB4D17" w:rsidRPr="009D52FD">
        <w:rPr>
          <w:rFonts w:eastAsia="MS Mincho"/>
          <w:sz w:val="20"/>
          <w:szCs w:val="20"/>
          <w:lang w:val="en-US" w:bidi="en-US"/>
        </w:rPr>
        <w:t xml:space="preserve"> to the private health sector or to international organizations. Furthermore, </w:t>
      </w:r>
      <w:r w:rsidRPr="009D52FD">
        <w:rPr>
          <w:rFonts w:eastAsia="MS Mincho"/>
          <w:sz w:val="20"/>
          <w:szCs w:val="20"/>
          <w:lang w:val="en-US" w:bidi="en-US"/>
        </w:rPr>
        <w:t>the representatives</w:t>
      </w:r>
      <w:r w:rsidR="00AB4D17" w:rsidRPr="009D52FD">
        <w:rPr>
          <w:rFonts w:eastAsia="MS Mincho"/>
          <w:sz w:val="20"/>
          <w:szCs w:val="20"/>
          <w:lang w:val="en-US" w:bidi="en-US"/>
        </w:rPr>
        <w:t xml:space="preserve"> also requested that </w:t>
      </w:r>
      <w:r w:rsidR="00935F35" w:rsidRPr="009D52FD">
        <w:rPr>
          <w:rFonts w:eastAsia="MS Mincho"/>
          <w:sz w:val="20"/>
          <w:szCs w:val="20"/>
          <w:lang w:val="en-US" w:bidi="en-US"/>
        </w:rPr>
        <w:t xml:space="preserve">Emmanuel </w:t>
      </w:r>
      <w:r w:rsidR="00BD6749" w:rsidRPr="009D52FD">
        <w:rPr>
          <w:rFonts w:eastAsia="MS Mincho"/>
          <w:sz w:val="20"/>
          <w:szCs w:val="20"/>
          <w:lang w:val="en-US" w:bidi="en-US"/>
        </w:rPr>
        <w:t xml:space="preserve">Adrián </w:t>
      </w:r>
      <w:r w:rsidR="00935F35" w:rsidRPr="009D52FD">
        <w:rPr>
          <w:rFonts w:eastAsia="MS Mincho"/>
          <w:sz w:val="20"/>
          <w:szCs w:val="20"/>
          <w:lang w:val="en-US" w:bidi="en-US"/>
        </w:rPr>
        <w:t xml:space="preserve">López Soto, </w:t>
      </w:r>
      <w:r w:rsidR="00AB4D17" w:rsidRPr="009D52FD">
        <w:rPr>
          <w:rFonts w:eastAsia="MS Mincho"/>
          <w:sz w:val="20"/>
          <w:szCs w:val="20"/>
          <w:lang w:val="en-US" w:bidi="en-US"/>
        </w:rPr>
        <w:t xml:space="preserve">who has special needs, should be provided with appropriate medical and educational care so that he can develop his linguistic, psychomotor and cognitive skills. In their final written arguments, they specified that this treatment should also take into account his </w:t>
      </w:r>
      <w:r w:rsidR="00406827" w:rsidRPr="009D52FD">
        <w:rPr>
          <w:rFonts w:eastAsia="MS Mincho"/>
          <w:sz w:val="20"/>
          <w:szCs w:val="20"/>
          <w:lang w:val="en-US" w:bidi="en-US"/>
        </w:rPr>
        <w:t>“musical inclinations.”</w:t>
      </w:r>
    </w:p>
    <w:p w14:paraId="120E27B1" w14:textId="77777777" w:rsidR="00935F35" w:rsidRPr="009D52FD" w:rsidRDefault="00935F35" w:rsidP="00935F35">
      <w:pPr>
        <w:tabs>
          <w:tab w:val="left" w:pos="567"/>
        </w:tabs>
        <w:spacing w:line="240" w:lineRule="auto"/>
        <w:rPr>
          <w:rFonts w:eastAsia="MS Mincho"/>
          <w:b/>
          <w:sz w:val="20"/>
          <w:szCs w:val="20"/>
          <w:lang w:val="en-US" w:bidi="en-US"/>
        </w:rPr>
      </w:pPr>
    </w:p>
    <w:p w14:paraId="441567B3" w14:textId="33E1EBA0" w:rsidR="00935F35" w:rsidRPr="009D52FD" w:rsidRDefault="003630BB" w:rsidP="00935F35">
      <w:pPr>
        <w:numPr>
          <w:ilvl w:val="0"/>
          <w:numId w:val="1"/>
        </w:numPr>
        <w:tabs>
          <w:tab w:val="left" w:pos="567"/>
          <w:tab w:val="num" w:pos="5057"/>
        </w:tabs>
        <w:spacing w:line="240" w:lineRule="auto"/>
        <w:ind w:left="0" w:firstLine="0"/>
        <w:textAlignment w:val="auto"/>
        <w:rPr>
          <w:rFonts w:eastAsia="MS Mincho"/>
          <w:sz w:val="20"/>
          <w:szCs w:val="20"/>
          <w:lang w:val="en-US" w:bidi="en-US"/>
        </w:rPr>
      </w:pPr>
      <w:r w:rsidRPr="009D52FD">
        <w:rPr>
          <w:rFonts w:eastAsia="MS Mincho"/>
          <w:sz w:val="20"/>
          <w:szCs w:val="20"/>
          <w:lang w:val="en-US" w:bidi="en-US"/>
        </w:rPr>
        <w:t xml:space="preserve">The </w:t>
      </w:r>
      <w:r w:rsidRPr="009D52FD">
        <w:rPr>
          <w:rFonts w:eastAsia="MS Mincho"/>
          <w:b/>
          <w:bCs/>
          <w:i/>
          <w:iCs/>
          <w:sz w:val="20"/>
          <w:szCs w:val="20"/>
          <w:lang w:val="en-US" w:bidi="en-US"/>
        </w:rPr>
        <w:t>State</w:t>
      </w:r>
      <w:r w:rsidR="00935F35" w:rsidRPr="009D52FD">
        <w:rPr>
          <w:rFonts w:eastAsia="MS Mincho"/>
          <w:b/>
          <w:bCs/>
          <w:i/>
          <w:iCs/>
          <w:sz w:val="20"/>
          <w:szCs w:val="20"/>
          <w:lang w:val="en-US" w:bidi="en-US"/>
        </w:rPr>
        <w:t xml:space="preserve"> </w:t>
      </w:r>
      <w:r w:rsidR="00F95ADA" w:rsidRPr="009D52FD">
        <w:rPr>
          <w:rFonts w:eastAsia="MS Mincho"/>
          <w:sz w:val="20"/>
          <w:szCs w:val="20"/>
          <w:lang w:val="en-US" w:bidi="en-US"/>
        </w:rPr>
        <w:t>did not refer to these m</w:t>
      </w:r>
      <w:r w:rsidR="0098665D" w:rsidRPr="009D52FD">
        <w:rPr>
          <w:rFonts w:eastAsia="MS Mincho"/>
          <w:sz w:val="20"/>
          <w:szCs w:val="20"/>
          <w:lang w:val="en-US" w:bidi="en-US"/>
        </w:rPr>
        <w:t>easures of rehabilitation</w:t>
      </w:r>
      <w:r w:rsidR="00935F35" w:rsidRPr="009D52FD">
        <w:rPr>
          <w:rFonts w:eastAsia="MS Mincho"/>
          <w:sz w:val="20"/>
          <w:szCs w:val="20"/>
          <w:lang w:val="en-US" w:bidi="en-US"/>
        </w:rPr>
        <w:t>.</w:t>
      </w:r>
    </w:p>
    <w:p w14:paraId="043812ED" w14:textId="77777777" w:rsidR="00935F35" w:rsidRPr="009D52FD" w:rsidRDefault="00935F35" w:rsidP="00935F35">
      <w:pPr>
        <w:tabs>
          <w:tab w:val="left" w:pos="567"/>
        </w:tabs>
        <w:spacing w:line="240" w:lineRule="auto"/>
        <w:rPr>
          <w:rFonts w:eastAsia="MS Mincho"/>
          <w:sz w:val="20"/>
          <w:szCs w:val="20"/>
          <w:lang w:val="en-US" w:bidi="en-US"/>
        </w:rPr>
      </w:pPr>
    </w:p>
    <w:p w14:paraId="763AB9DA" w14:textId="4AA4426A" w:rsidR="00935F35" w:rsidRPr="009D52FD" w:rsidRDefault="003630BB" w:rsidP="00935F35">
      <w:pPr>
        <w:numPr>
          <w:ilvl w:val="0"/>
          <w:numId w:val="1"/>
        </w:numPr>
        <w:tabs>
          <w:tab w:val="left" w:pos="567"/>
        </w:tabs>
        <w:spacing w:line="240" w:lineRule="auto"/>
        <w:ind w:left="0" w:firstLine="0"/>
        <w:textAlignment w:val="auto"/>
        <w:rPr>
          <w:rFonts w:eastAsia="MS Mincho"/>
          <w:sz w:val="20"/>
          <w:szCs w:val="20"/>
          <w:lang w:val="en-US" w:bidi="en-US"/>
        </w:rPr>
      </w:pPr>
      <w:r w:rsidRPr="009D52FD">
        <w:rPr>
          <w:rFonts w:eastAsia="MS Mincho"/>
          <w:sz w:val="20"/>
          <w:szCs w:val="20"/>
          <w:lang w:val="en-US" w:bidi="en-US"/>
        </w:rPr>
        <w:t>The Court</w:t>
      </w:r>
      <w:r w:rsidR="00935F35" w:rsidRPr="009D52FD">
        <w:rPr>
          <w:rFonts w:eastAsia="MS Mincho"/>
          <w:sz w:val="20"/>
          <w:szCs w:val="20"/>
          <w:lang w:val="en-US" w:bidi="en-US"/>
        </w:rPr>
        <w:t xml:space="preserve"> </w:t>
      </w:r>
      <w:r w:rsidR="00406827" w:rsidRPr="009D52FD">
        <w:rPr>
          <w:rFonts w:eastAsia="MS Mincho"/>
          <w:sz w:val="20"/>
          <w:szCs w:val="20"/>
          <w:lang w:val="en-US" w:bidi="en-US"/>
        </w:rPr>
        <w:t>finds, as it has in other cases,</w:t>
      </w:r>
      <w:r w:rsidR="000B7969" w:rsidRPr="009D52FD">
        <w:rPr>
          <w:rStyle w:val="FootnoteReference"/>
          <w:rFonts w:eastAsia="MS Mincho"/>
          <w:sz w:val="20"/>
          <w:szCs w:val="20"/>
          <w:lang w:val="en-US" w:bidi="en-US"/>
        </w:rPr>
        <w:footnoteReference w:id="376"/>
      </w:r>
      <w:r w:rsidR="00406827" w:rsidRPr="009D52FD">
        <w:rPr>
          <w:rFonts w:eastAsia="MS Mincho"/>
          <w:sz w:val="20"/>
          <w:szCs w:val="20"/>
          <w:lang w:val="en-US" w:bidi="en-US"/>
        </w:rPr>
        <w:t xml:space="preserve"> that a measure of reparation</w:t>
      </w:r>
      <w:r w:rsidR="007B244C" w:rsidRPr="009D52FD">
        <w:rPr>
          <w:rFonts w:eastAsia="MS Mincho"/>
          <w:sz w:val="20"/>
          <w:szCs w:val="20"/>
          <w:lang w:val="en-US" w:bidi="en-US"/>
        </w:rPr>
        <w:t xml:space="preserve"> should be established</w:t>
      </w:r>
      <w:r w:rsidR="00406827" w:rsidRPr="009D52FD">
        <w:rPr>
          <w:rFonts w:eastAsia="MS Mincho"/>
          <w:sz w:val="20"/>
          <w:szCs w:val="20"/>
          <w:lang w:val="en-US" w:bidi="en-US"/>
        </w:rPr>
        <w:t xml:space="preserve"> that provides appropriate treatment for the psychological and physical ailments of the victims, based on their gender and personal information.</w:t>
      </w:r>
    </w:p>
    <w:p w14:paraId="45F8E365" w14:textId="77777777" w:rsidR="00935F35" w:rsidRPr="009D52FD" w:rsidRDefault="00935F35" w:rsidP="00935F35">
      <w:pPr>
        <w:tabs>
          <w:tab w:val="left" w:pos="567"/>
        </w:tabs>
        <w:spacing w:line="240" w:lineRule="auto"/>
        <w:rPr>
          <w:rFonts w:eastAsia="MS Mincho"/>
          <w:sz w:val="20"/>
          <w:szCs w:val="20"/>
          <w:lang w:val="en-US" w:bidi="en-US"/>
        </w:rPr>
      </w:pPr>
    </w:p>
    <w:p w14:paraId="26B946BD" w14:textId="52022A79" w:rsidR="007B244C" w:rsidRPr="009D52FD" w:rsidRDefault="007B244C" w:rsidP="00935F35">
      <w:pPr>
        <w:numPr>
          <w:ilvl w:val="0"/>
          <w:numId w:val="1"/>
        </w:numPr>
        <w:tabs>
          <w:tab w:val="left" w:pos="567"/>
        </w:tabs>
        <w:spacing w:line="240" w:lineRule="auto"/>
        <w:ind w:left="0" w:firstLine="0"/>
        <w:textAlignment w:val="auto"/>
        <w:rPr>
          <w:rFonts w:eastAsia="MS Mincho"/>
          <w:sz w:val="20"/>
          <w:szCs w:val="20"/>
          <w:lang w:val="en-US" w:bidi="en-US"/>
        </w:rPr>
      </w:pPr>
      <w:r w:rsidRPr="009D52FD">
        <w:rPr>
          <w:rFonts w:eastAsia="MS Mincho"/>
          <w:sz w:val="20"/>
          <w:szCs w:val="20"/>
          <w:lang w:val="en-US" w:bidi="en-US"/>
        </w:rPr>
        <w:t>The</w:t>
      </w:r>
      <w:r w:rsidR="003630BB" w:rsidRPr="009D52FD">
        <w:rPr>
          <w:rFonts w:eastAsia="MS Mincho"/>
          <w:sz w:val="20"/>
          <w:szCs w:val="20"/>
          <w:lang w:val="en-US" w:bidi="en-US"/>
        </w:rPr>
        <w:t xml:space="preserve"> Court</w:t>
      </w:r>
      <w:r w:rsidR="00935F35" w:rsidRPr="009D52FD">
        <w:rPr>
          <w:rFonts w:eastAsia="MS Mincho"/>
          <w:sz w:val="20"/>
          <w:szCs w:val="20"/>
          <w:lang w:val="en-US" w:bidi="en-US"/>
        </w:rPr>
        <w:t xml:space="preserve"> not</w:t>
      </w:r>
      <w:r w:rsidRPr="009D52FD">
        <w:rPr>
          <w:rFonts w:eastAsia="MS Mincho"/>
          <w:sz w:val="20"/>
          <w:szCs w:val="20"/>
          <w:lang w:val="en-US" w:bidi="en-US"/>
        </w:rPr>
        <w:t>es that</w:t>
      </w:r>
      <w:r w:rsidR="00935F35" w:rsidRPr="009D52FD">
        <w:rPr>
          <w:rFonts w:eastAsia="MS Mincho"/>
          <w:sz w:val="20"/>
          <w:szCs w:val="20"/>
          <w:lang w:val="en-US" w:bidi="en-US"/>
        </w:rPr>
        <w:t xml:space="preserve"> </w:t>
      </w:r>
      <w:r w:rsidR="003630BB" w:rsidRPr="009D52FD">
        <w:rPr>
          <w:rFonts w:eastAsia="MS Mincho"/>
          <w:sz w:val="20"/>
          <w:szCs w:val="20"/>
          <w:lang w:val="en-US" w:bidi="en-US"/>
        </w:rPr>
        <w:t>the representatives</w:t>
      </w:r>
      <w:r w:rsidR="00935F35" w:rsidRPr="009D52FD">
        <w:rPr>
          <w:rFonts w:eastAsia="MS Mincho"/>
          <w:sz w:val="20"/>
          <w:szCs w:val="20"/>
          <w:lang w:val="en-US" w:bidi="en-US"/>
        </w:rPr>
        <w:t xml:space="preserve"> </w:t>
      </w:r>
      <w:r w:rsidRPr="009D52FD">
        <w:rPr>
          <w:rFonts w:eastAsia="MS Mincho"/>
          <w:sz w:val="20"/>
          <w:szCs w:val="20"/>
          <w:lang w:val="en-US" w:bidi="en-US"/>
        </w:rPr>
        <w:t>emphasized that</w:t>
      </w:r>
      <w:r w:rsidR="00935F35" w:rsidRPr="009D52FD">
        <w:rPr>
          <w:rFonts w:eastAsia="MS Mincho"/>
          <w:sz w:val="20"/>
          <w:szCs w:val="20"/>
          <w:lang w:val="en-US" w:bidi="en-US"/>
        </w:rPr>
        <w:t xml:space="preserve"> “</w:t>
      </w:r>
      <w:r w:rsidRPr="009D52FD">
        <w:rPr>
          <w:rFonts w:eastAsia="MS Mincho"/>
          <w:sz w:val="20"/>
          <w:szCs w:val="20"/>
          <w:lang w:val="en-US" w:bidi="en-US"/>
        </w:rPr>
        <w:t>the medical care provided to Linda while she was in the country’s public hospitals to treat her physical and psychological ailments was neither opportune nor appropriate.” The indicated that “her confidence in the public health system has been affected.”</w:t>
      </w:r>
    </w:p>
    <w:p w14:paraId="29057675" w14:textId="77777777" w:rsidR="00935F35" w:rsidRPr="009D52FD" w:rsidRDefault="00935F35" w:rsidP="00935F35">
      <w:pPr>
        <w:tabs>
          <w:tab w:val="left" w:pos="567"/>
        </w:tabs>
        <w:spacing w:line="240" w:lineRule="auto"/>
        <w:rPr>
          <w:rFonts w:eastAsia="MS Mincho"/>
          <w:sz w:val="20"/>
          <w:szCs w:val="20"/>
          <w:lang w:val="en-US" w:bidi="en-US"/>
        </w:rPr>
      </w:pPr>
    </w:p>
    <w:p w14:paraId="1FFF48AD" w14:textId="6BD91355" w:rsidR="007B244C" w:rsidRPr="009D52FD" w:rsidRDefault="007B244C" w:rsidP="007B244C">
      <w:pPr>
        <w:numPr>
          <w:ilvl w:val="0"/>
          <w:numId w:val="1"/>
        </w:numPr>
        <w:tabs>
          <w:tab w:val="left" w:pos="567"/>
        </w:tabs>
        <w:spacing w:line="240" w:lineRule="auto"/>
        <w:ind w:left="0" w:firstLine="0"/>
        <w:textAlignment w:val="auto"/>
        <w:rPr>
          <w:rFonts w:eastAsia="MS Mincho"/>
          <w:sz w:val="20"/>
          <w:szCs w:val="20"/>
          <w:lang w:val="en-US" w:bidi="en-US"/>
        </w:rPr>
      </w:pPr>
      <w:r w:rsidRPr="009D52FD">
        <w:rPr>
          <w:rFonts w:eastAsia="MS Mincho"/>
          <w:sz w:val="20"/>
          <w:szCs w:val="20"/>
          <w:lang w:val="en-US" w:bidi="en-US"/>
        </w:rPr>
        <w:t xml:space="preserve">Bearing in mind the preceding </w:t>
      </w:r>
      <w:r w:rsidR="00997ADF" w:rsidRPr="009D52FD">
        <w:rPr>
          <w:rFonts w:eastAsia="MS Mincho"/>
          <w:sz w:val="20"/>
          <w:szCs w:val="20"/>
          <w:lang w:val="en-US" w:bidi="en-US"/>
        </w:rPr>
        <w:t>considerations</w:t>
      </w:r>
      <w:r w:rsidRPr="009D52FD">
        <w:rPr>
          <w:rFonts w:eastAsia="MS Mincho"/>
          <w:sz w:val="20"/>
          <w:szCs w:val="20"/>
          <w:lang w:val="en-US" w:bidi="en-US"/>
        </w:rPr>
        <w:t xml:space="preserve">, </w:t>
      </w:r>
      <w:r w:rsidR="0002239A" w:rsidRPr="009D52FD">
        <w:rPr>
          <w:rFonts w:eastAsia="MS Mincho"/>
          <w:sz w:val="20"/>
          <w:szCs w:val="20"/>
          <w:lang w:val="en-US" w:bidi="en-US"/>
        </w:rPr>
        <w:t>th</w:t>
      </w:r>
      <w:r w:rsidRPr="009D52FD">
        <w:rPr>
          <w:rFonts w:eastAsia="MS Mincho"/>
          <w:sz w:val="20"/>
          <w:szCs w:val="20"/>
          <w:lang w:val="en-US" w:bidi="en-US"/>
        </w:rPr>
        <w:t>e</w:t>
      </w:r>
      <w:r w:rsidR="0002239A" w:rsidRPr="009D52FD">
        <w:rPr>
          <w:rFonts w:eastAsia="MS Mincho"/>
          <w:sz w:val="20"/>
          <w:szCs w:val="20"/>
          <w:lang w:val="en-US" w:bidi="en-US"/>
        </w:rPr>
        <w:t xml:space="preserve"> Court</w:t>
      </w:r>
      <w:r w:rsidR="00935F35" w:rsidRPr="009D52FD">
        <w:rPr>
          <w:rFonts w:eastAsia="MS Mincho"/>
          <w:sz w:val="20"/>
          <w:szCs w:val="20"/>
          <w:lang w:val="en-US" w:bidi="en-US"/>
        </w:rPr>
        <w:t xml:space="preserve"> </w:t>
      </w:r>
      <w:r w:rsidRPr="009D52FD">
        <w:rPr>
          <w:rFonts w:eastAsia="MS Mincho"/>
          <w:sz w:val="20"/>
          <w:szCs w:val="20"/>
          <w:lang w:val="en-US" w:bidi="en-US"/>
        </w:rPr>
        <w:t>finds it pertinent to order the State to provide, free of charge and immediately, appropriate, adequate and effective medical and psychological and/or psychiatric treatment to Linda Loaiza López Soto and the members of her family who have been declared beneficiaries of this judgment, which must be provided by professionals of their choice in Venezuela for the reasons indicated in the preceding paragraphs. This treatment must include the provision of any medicines they may eventually require free of charge. The beneficiaries have six months following notification of this judgment to advise the State of their intention to receive this measure and to indicate the institutions or professionals of their preference.</w:t>
      </w:r>
    </w:p>
    <w:p w14:paraId="3F0042AD" w14:textId="77777777" w:rsidR="00935F35" w:rsidRPr="009D52FD" w:rsidRDefault="00935F35" w:rsidP="00935F35">
      <w:pPr>
        <w:tabs>
          <w:tab w:val="left" w:pos="567"/>
        </w:tabs>
        <w:spacing w:line="240" w:lineRule="auto"/>
        <w:rPr>
          <w:rFonts w:eastAsia="MS Mincho"/>
          <w:b/>
          <w:sz w:val="20"/>
          <w:szCs w:val="20"/>
          <w:lang w:val="en-US" w:bidi="en-US"/>
        </w:rPr>
      </w:pPr>
    </w:p>
    <w:p w14:paraId="251433B0" w14:textId="102DC97C" w:rsidR="007B244C" w:rsidRPr="009D52FD" w:rsidRDefault="007B244C" w:rsidP="00434992">
      <w:pPr>
        <w:numPr>
          <w:ilvl w:val="0"/>
          <w:numId w:val="1"/>
        </w:numPr>
        <w:tabs>
          <w:tab w:val="left" w:pos="567"/>
        </w:tabs>
        <w:spacing w:line="240" w:lineRule="auto"/>
        <w:ind w:left="0" w:firstLine="0"/>
        <w:textAlignment w:val="auto"/>
        <w:rPr>
          <w:rFonts w:cs="Tahoma"/>
          <w:color w:val="000000"/>
          <w:sz w:val="20"/>
          <w:szCs w:val="20"/>
          <w:lang w:val="en-US"/>
        </w:rPr>
      </w:pPr>
      <w:r w:rsidRPr="009D52FD">
        <w:rPr>
          <w:rFonts w:cs="Tahoma"/>
          <w:color w:val="000000"/>
          <w:sz w:val="20"/>
          <w:szCs w:val="20"/>
          <w:lang w:val="en-US"/>
        </w:rPr>
        <w:t xml:space="preserve">In order to contribute to the reparation of the physical, psychological and/or psychiatric harm suffered by </w:t>
      </w:r>
      <w:r w:rsidR="000F670E" w:rsidRPr="009D52FD">
        <w:rPr>
          <w:rFonts w:cs="Tahoma"/>
          <w:color w:val="000000"/>
          <w:sz w:val="20"/>
          <w:szCs w:val="20"/>
          <w:lang w:val="en-US"/>
        </w:rPr>
        <w:t>Diana Carolina López Soto,</w:t>
      </w:r>
      <w:r w:rsidR="003630BB" w:rsidRPr="009D52FD">
        <w:rPr>
          <w:rFonts w:cs="Tahoma"/>
          <w:color w:val="000000"/>
          <w:sz w:val="20"/>
          <w:szCs w:val="20"/>
          <w:lang w:val="en-US"/>
        </w:rPr>
        <w:t xml:space="preserve"> and </w:t>
      </w:r>
      <w:r w:rsidR="000F670E" w:rsidRPr="009D52FD">
        <w:rPr>
          <w:rFonts w:cs="Tahoma"/>
          <w:color w:val="000000"/>
          <w:sz w:val="20"/>
          <w:szCs w:val="20"/>
          <w:lang w:val="en-US"/>
        </w:rPr>
        <w:t>consider</w:t>
      </w:r>
      <w:r w:rsidRPr="009D52FD">
        <w:rPr>
          <w:rFonts w:cs="Tahoma"/>
          <w:color w:val="000000"/>
          <w:sz w:val="20"/>
          <w:szCs w:val="20"/>
          <w:lang w:val="en-US"/>
        </w:rPr>
        <w:t xml:space="preserve">ing that she does not live in </w:t>
      </w:r>
      <w:r w:rsidR="000F670E" w:rsidRPr="009D52FD">
        <w:rPr>
          <w:rFonts w:cs="Tahoma"/>
          <w:color w:val="000000"/>
          <w:sz w:val="20"/>
          <w:szCs w:val="20"/>
          <w:lang w:val="en-US"/>
        </w:rPr>
        <w:t xml:space="preserve">Venezuela, </w:t>
      </w:r>
      <w:r w:rsidR="003630BB" w:rsidRPr="009D52FD">
        <w:rPr>
          <w:rFonts w:cs="Tahoma"/>
          <w:color w:val="000000"/>
          <w:sz w:val="20"/>
          <w:szCs w:val="20"/>
          <w:lang w:val="en-US"/>
        </w:rPr>
        <w:t>the Court</w:t>
      </w:r>
      <w:r w:rsidR="000F670E" w:rsidRPr="009D52FD">
        <w:rPr>
          <w:rFonts w:cs="Tahoma"/>
          <w:color w:val="000000"/>
          <w:sz w:val="20"/>
          <w:szCs w:val="20"/>
          <w:lang w:val="en-US"/>
        </w:rPr>
        <w:t xml:space="preserve"> </w:t>
      </w:r>
      <w:r w:rsidRPr="009D52FD">
        <w:rPr>
          <w:rFonts w:cs="Tahoma"/>
          <w:color w:val="000000"/>
          <w:sz w:val="20"/>
          <w:szCs w:val="20"/>
          <w:lang w:val="en-US"/>
        </w:rPr>
        <w:t xml:space="preserve">establishes the State’s obligation to pay, once, the sum of </w:t>
      </w:r>
      <w:r w:rsidR="000F670E" w:rsidRPr="009D52FD">
        <w:rPr>
          <w:rFonts w:cs="Tahoma"/>
          <w:color w:val="000000"/>
          <w:sz w:val="20"/>
          <w:szCs w:val="20"/>
          <w:lang w:val="en-US"/>
        </w:rPr>
        <w:t>US$7</w:t>
      </w:r>
      <w:r w:rsidRPr="009D52FD">
        <w:rPr>
          <w:rFonts w:cs="Tahoma"/>
          <w:color w:val="000000"/>
          <w:sz w:val="20"/>
          <w:szCs w:val="20"/>
          <w:lang w:val="en-US"/>
        </w:rPr>
        <w:t>,</w:t>
      </w:r>
      <w:r w:rsidR="000F670E" w:rsidRPr="009D52FD">
        <w:rPr>
          <w:rFonts w:cs="Tahoma"/>
          <w:color w:val="000000"/>
          <w:sz w:val="20"/>
          <w:szCs w:val="20"/>
          <w:lang w:val="en-US"/>
        </w:rPr>
        <w:t>500</w:t>
      </w:r>
      <w:r w:rsidRPr="009D52FD">
        <w:rPr>
          <w:rFonts w:cs="Tahoma"/>
          <w:color w:val="000000"/>
          <w:sz w:val="20"/>
          <w:szCs w:val="20"/>
          <w:lang w:val="en-US"/>
        </w:rPr>
        <w:t>.</w:t>
      </w:r>
      <w:r w:rsidR="000F670E" w:rsidRPr="009D52FD">
        <w:rPr>
          <w:rFonts w:cs="Tahoma"/>
          <w:color w:val="000000"/>
          <w:sz w:val="20"/>
          <w:szCs w:val="20"/>
          <w:lang w:val="en-US"/>
        </w:rPr>
        <w:t>00 (</w:t>
      </w:r>
      <w:r w:rsidRPr="009D52FD">
        <w:rPr>
          <w:rFonts w:cs="Tahoma"/>
          <w:color w:val="000000"/>
          <w:sz w:val="20"/>
          <w:szCs w:val="20"/>
          <w:lang w:val="en-US"/>
        </w:rPr>
        <w:t>seven thousand five hundred United States dollars) for the expense of medical, psychological and/or psychiatric treatment, as well as medicines and other related expenses, so that she may receive this treatment in the place she resides. The State has one year</w:t>
      </w:r>
      <w:r w:rsidR="00A42B1D" w:rsidRPr="009D52FD">
        <w:rPr>
          <w:rFonts w:cs="Tahoma"/>
          <w:color w:val="000000"/>
          <w:sz w:val="20"/>
          <w:szCs w:val="20"/>
          <w:lang w:val="en-US"/>
        </w:rPr>
        <w:t xml:space="preserve"> following notification of this judgment to make this payment.</w:t>
      </w:r>
    </w:p>
    <w:p w14:paraId="1EAEBBB3" w14:textId="77777777" w:rsidR="000F670E" w:rsidRPr="009D52FD" w:rsidRDefault="000F670E" w:rsidP="00935F35">
      <w:pPr>
        <w:tabs>
          <w:tab w:val="left" w:pos="567"/>
        </w:tabs>
        <w:spacing w:line="240" w:lineRule="auto"/>
        <w:rPr>
          <w:rFonts w:eastAsia="MS Mincho"/>
          <w:b/>
          <w:sz w:val="20"/>
          <w:szCs w:val="20"/>
          <w:lang w:val="en-US" w:bidi="en-US"/>
        </w:rPr>
      </w:pPr>
    </w:p>
    <w:p w14:paraId="30638397" w14:textId="12DC1B7A" w:rsidR="00935F35" w:rsidRPr="009D52FD" w:rsidRDefault="00A42B1D" w:rsidP="00A42B1D">
      <w:pPr>
        <w:numPr>
          <w:ilvl w:val="0"/>
          <w:numId w:val="1"/>
        </w:numPr>
        <w:tabs>
          <w:tab w:val="left" w:pos="567"/>
        </w:tabs>
        <w:spacing w:line="240" w:lineRule="auto"/>
        <w:ind w:left="0" w:firstLine="0"/>
        <w:textAlignment w:val="auto"/>
        <w:rPr>
          <w:rFonts w:eastAsia="MS Mincho"/>
          <w:sz w:val="20"/>
          <w:szCs w:val="20"/>
          <w:lang w:val="en-US" w:bidi="en-US"/>
        </w:rPr>
      </w:pPr>
      <w:r w:rsidRPr="009D52FD">
        <w:rPr>
          <w:rFonts w:eastAsia="MS Mincho"/>
          <w:sz w:val="20"/>
          <w:szCs w:val="20"/>
          <w:lang w:val="en-US" w:bidi="en-US"/>
        </w:rPr>
        <w:t>The</w:t>
      </w:r>
      <w:r w:rsidR="003630BB" w:rsidRPr="009D52FD">
        <w:rPr>
          <w:rFonts w:eastAsia="MS Mincho"/>
          <w:sz w:val="20"/>
          <w:szCs w:val="20"/>
          <w:lang w:val="en-US" w:bidi="en-US"/>
        </w:rPr>
        <w:t xml:space="preserve"> Court</w:t>
      </w:r>
      <w:r w:rsidR="00935F35" w:rsidRPr="009D52FD">
        <w:rPr>
          <w:rFonts w:eastAsia="MS Mincho"/>
          <w:sz w:val="20"/>
          <w:szCs w:val="20"/>
          <w:lang w:val="en-US" w:bidi="en-US"/>
        </w:rPr>
        <w:t xml:space="preserve"> </w:t>
      </w:r>
      <w:r w:rsidRPr="009D52FD">
        <w:rPr>
          <w:rFonts w:eastAsia="MS Mincho"/>
          <w:sz w:val="20"/>
          <w:szCs w:val="20"/>
          <w:lang w:val="en-US" w:bidi="en-US"/>
        </w:rPr>
        <w:t xml:space="preserve">also notes that, at the time of </w:t>
      </w:r>
      <w:r w:rsidR="0047312A" w:rsidRPr="009D52FD">
        <w:rPr>
          <w:rFonts w:eastAsia="MS Mincho"/>
          <w:sz w:val="20"/>
          <w:szCs w:val="20"/>
          <w:lang w:val="en-US" w:bidi="en-US"/>
        </w:rPr>
        <w:t>Linda Loaiza López Soto’s rescue</w:t>
      </w:r>
      <w:r w:rsidR="00935F35" w:rsidRPr="009D52FD">
        <w:rPr>
          <w:rFonts w:eastAsia="MS Mincho"/>
          <w:sz w:val="20"/>
          <w:szCs w:val="20"/>
          <w:lang w:val="en-US" w:bidi="en-US"/>
        </w:rPr>
        <w:t xml:space="preserve">, </w:t>
      </w:r>
      <w:r w:rsidRPr="009D52FD">
        <w:rPr>
          <w:rFonts w:eastAsia="MS Mincho"/>
          <w:sz w:val="20"/>
          <w:szCs w:val="20"/>
          <w:lang w:val="en-US" w:bidi="en-US"/>
        </w:rPr>
        <w:t xml:space="preserve">her mother was three months pregnant with her youngest child, </w:t>
      </w:r>
      <w:r w:rsidR="00935F35" w:rsidRPr="009D52FD">
        <w:rPr>
          <w:rFonts w:eastAsia="MS Mincho"/>
          <w:sz w:val="20"/>
          <w:szCs w:val="20"/>
          <w:lang w:val="en-US" w:bidi="en-US"/>
        </w:rPr>
        <w:t>Emmanuel</w:t>
      </w:r>
      <w:r w:rsidR="00BD6749" w:rsidRPr="009D52FD">
        <w:rPr>
          <w:rFonts w:eastAsia="MS Mincho"/>
          <w:sz w:val="20"/>
          <w:szCs w:val="20"/>
          <w:lang w:val="en-US" w:bidi="en-US"/>
        </w:rPr>
        <w:t xml:space="preserve"> Adrián</w:t>
      </w:r>
      <w:r w:rsidR="00935F35" w:rsidRPr="009D52FD">
        <w:rPr>
          <w:rFonts w:eastAsia="MS Mincho"/>
          <w:sz w:val="20"/>
          <w:szCs w:val="20"/>
          <w:lang w:val="en-US" w:bidi="en-US"/>
        </w:rPr>
        <w:t xml:space="preserve">, </w:t>
      </w:r>
      <w:r w:rsidRPr="009D52FD">
        <w:rPr>
          <w:rFonts w:eastAsia="MS Mincho"/>
          <w:sz w:val="20"/>
          <w:szCs w:val="20"/>
          <w:lang w:val="en-US" w:bidi="en-US"/>
        </w:rPr>
        <w:t xml:space="preserve">so that in the following months up until his birth she did not receive adequate controls, because she was dedicated to taking care of </w:t>
      </w:r>
      <w:r w:rsidR="00935F35" w:rsidRPr="009D52FD">
        <w:rPr>
          <w:rFonts w:eastAsia="MS Mincho"/>
          <w:sz w:val="20"/>
          <w:szCs w:val="20"/>
          <w:lang w:val="en-US" w:bidi="en-US"/>
        </w:rPr>
        <w:t xml:space="preserve">Linda </w:t>
      </w:r>
      <w:r w:rsidR="00627ED4" w:rsidRPr="009D52FD">
        <w:rPr>
          <w:rFonts w:eastAsia="MS Mincho"/>
          <w:sz w:val="20"/>
          <w:szCs w:val="20"/>
          <w:lang w:val="en-US" w:bidi="en-US"/>
        </w:rPr>
        <w:t xml:space="preserve">Loaiza, </w:t>
      </w:r>
      <w:r w:rsidRPr="009D52FD">
        <w:rPr>
          <w:rFonts w:eastAsia="MS Mincho"/>
          <w:sz w:val="20"/>
          <w:szCs w:val="20"/>
          <w:lang w:val="en-US" w:bidi="en-US"/>
        </w:rPr>
        <w:t xml:space="preserve">who was hospitalized. Following his birth, </w:t>
      </w:r>
      <w:r w:rsidR="00935F35" w:rsidRPr="009D52FD">
        <w:rPr>
          <w:rFonts w:eastAsia="MS Mincho"/>
          <w:sz w:val="20"/>
          <w:szCs w:val="20"/>
          <w:lang w:val="en-US" w:bidi="en-US"/>
        </w:rPr>
        <w:t>Emmanuel</w:t>
      </w:r>
      <w:r w:rsidRPr="009D52FD">
        <w:rPr>
          <w:rFonts w:eastAsia="MS Mincho"/>
          <w:sz w:val="20"/>
          <w:szCs w:val="20"/>
          <w:lang w:val="en-US" w:bidi="en-US"/>
        </w:rPr>
        <w:t xml:space="preserve"> was diagnosed with a disability and, even though it was indicated that he would require treatment all his life, the care he received was only partial owing to the family’s financial needs and the housing constraints experienced by Paulina Soto while her daughter remained in hospital.</w:t>
      </w:r>
      <w:r w:rsidR="00935F35" w:rsidRPr="009D52FD">
        <w:rPr>
          <w:rStyle w:val="FootnoteReference"/>
          <w:rFonts w:eastAsia="MS Mincho"/>
          <w:sz w:val="20"/>
          <w:szCs w:val="20"/>
          <w:lang w:val="en-US" w:bidi="en-US"/>
        </w:rPr>
        <w:footnoteReference w:id="377"/>
      </w:r>
      <w:r w:rsidRPr="009D52FD">
        <w:rPr>
          <w:rFonts w:eastAsia="MS Mincho"/>
          <w:sz w:val="20"/>
          <w:szCs w:val="20"/>
          <w:lang w:val="en-US" w:bidi="en-US"/>
        </w:rPr>
        <w:t xml:space="preserve"> </w:t>
      </w:r>
    </w:p>
    <w:p w14:paraId="74BC0F38" w14:textId="77777777" w:rsidR="00935F35" w:rsidRPr="009D52FD" w:rsidRDefault="00935F35" w:rsidP="00935F35">
      <w:pPr>
        <w:tabs>
          <w:tab w:val="left" w:pos="567"/>
        </w:tabs>
        <w:spacing w:line="240" w:lineRule="auto"/>
        <w:rPr>
          <w:rFonts w:eastAsia="MS Mincho"/>
          <w:sz w:val="20"/>
          <w:szCs w:val="20"/>
          <w:lang w:val="en-US" w:bidi="en-US"/>
        </w:rPr>
      </w:pPr>
    </w:p>
    <w:p w14:paraId="6DA0CF9A" w14:textId="42E48A67" w:rsidR="00935F35" w:rsidRPr="009D52FD" w:rsidRDefault="00A42B1D" w:rsidP="00A42B1D">
      <w:pPr>
        <w:numPr>
          <w:ilvl w:val="0"/>
          <w:numId w:val="1"/>
        </w:numPr>
        <w:tabs>
          <w:tab w:val="left" w:pos="567"/>
        </w:tabs>
        <w:spacing w:line="240" w:lineRule="auto"/>
        <w:ind w:left="0" w:firstLine="0"/>
        <w:textAlignment w:val="auto"/>
        <w:rPr>
          <w:rFonts w:eastAsia="MS Mincho"/>
          <w:sz w:val="20"/>
          <w:szCs w:val="20"/>
          <w:lang w:val="en-US" w:bidi="en-US"/>
        </w:rPr>
      </w:pPr>
      <w:r w:rsidRPr="009D52FD">
        <w:rPr>
          <w:rFonts w:eastAsia="MS Mincho"/>
          <w:sz w:val="20"/>
          <w:szCs w:val="20"/>
          <w:lang w:val="en-US" w:bidi="en-US"/>
        </w:rPr>
        <w:t>Based on the foregoing and taking into account the recommendation of expert witness Ramírez regarding the need to provide Emmanuel Adrián López Soto with a comprehensive medical and psychological evaluation,</w:t>
      </w:r>
      <w:r w:rsidR="00935F35" w:rsidRPr="009D52FD">
        <w:rPr>
          <w:rStyle w:val="FootnoteReference"/>
          <w:rFonts w:eastAsia="MS Mincho"/>
          <w:sz w:val="20"/>
          <w:szCs w:val="20"/>
          <w:lang w:val="en-US" w:bidi="en-US"/>
        </w:rPr>
        <w:footnoteReference w:id="378"/>
      </w:r>
      <w:r w:rsidRPr="009D52FD">
        <w:rPr>
          <w:rFonts w:eastAsia="MS Mincho"/>
          <w:sz w:val="20"/>
          <w:szCs w:val="20"/>
          <w:lang w:val="en-US" w:bidi="en-US"/>
        </w:rPr>
        <w:t xml:space="preserve"> the Court considers it appropriate to order the State, through its specialized institutions in the area, to make a comprehensive evaluation of </w:t>
      </w:r>
      <w:r w:rsidR="009A7A06" w:rsidRPr="009D52FD">
        <w:rPr>
          <w:bCs/>
          <w:sz w:val="20"/>
          <w:szCs w:val="20"/>
          <w:lang w:val="en-US"/>
        </w:rPr>
        <w:t xml:space="preserve">Emmanuel </w:t>
      </w:r>
      <w:r w:rsidR="00BD6749" w:rsidRPr="009D52FD">
        <w:rPr>
          <w:bCs/>
          <w:sz w:val="20"/>
          <w:szCs w:val="20"/>
          <w:lang w:val="en-US"/>
        </w:rPr>
        <w:t xml:space="preserve">Adrián </w:t>
      </w:r>
      <w:r w:rsidR="009A7A06" w:rsidRPr="009D52FD">
        <w:rPr>
          <w:bCs/>
          <w:sz w:val="20"/>
          <w:szCs w:val="20"/>
          <w:lang w:val="en-US"/>
        </w:rPr>
        <w:t>López Soto</w:t>
      </w:r>
      <w:r w:rsidRPr="009D52FD">
        <w:rPr>
          <w:bCs/>
          <w:sz w:val="20"/>
          <w:szCs w:val="20"/>
          <w:lang w:val="en-US"/>
        </w:rPr>
        <w:t xml:space="preserve"> in order to provide him with the appropriate medical and educational care, immediately and free of charge, so that he may develop his linguistic psychomotor and cognitive skills</w:t>
      </w:r>
      <w:r w:rsidR="00935F35" w:rsidRPr="009D52FD">
        <w:rPr>
          <w:rFonts w:eastAsia="MS Mincho"/>
          <w:sz w:val="20"/>
          <w:szCs w:val="20"/>
          <w:lang w:val="en-US" w:bidi="en-US"/>
        </w:rPr>
        <w:t>.</w:t>
      </w:r>
    </w:p>
    <w:p w14:paraId="4D493550" w14:textId="77777777" w:rsidR="00935F35" w:rsidRPr="009D52FD" w:rsidRDefault="00935F35" w:rsidP="00935F35">
      <w:pPr>
        <w:tabs>
          <w:tab w:val="left" w:pos="567"/>
        </w:tabs>
        <w:spacing w:line="240" w:lineRule="auto"/>
        <w:ind w:left="822"/>
        <w:rPr>
          <w:rFonts w:eastAsia="MS Mincho"/>
          <w:sz w:val="20"/>
          <w:szCs w:val="20"/>
          <w:lang w:val="en-US" w:bidi="en-US"/>
        </w:rPr>
      </w:pPr>
    </w:p>
    <w:p w14:paraId="0C8F2D56" w14:textId="0623DECE" w:rsidR="00935F35" w:rsidRPr="009D52FD" w:rsidRDefault="00935F35" w:rsidP="00F11556">
      <w:pPr>
        <w:pStyle w:val="Heading2"/>
        <w:tabs>
          <w:tab w:val="left" w:pos="1701"/>
        </w:tabs>
        <w:spacing w:before="0" w:line="240" w:lineRule="auto"/>
        <w:ind w:left="1134"/>
        <w:rPr>
          <w:rFonts w:ascii="Verdana" w:hAnsi="Verdana"/>
          <w:b w:val="0"/>
          <w:i/>
          <w:color w:val="auto"/>
          <w:sz w:val="20"/>
          <w:szCs w:val="20"/>
          <w:lang w:val="en-US"/>
        </w:rPr>
      </w:pPr>
      <w:bookmarkStart w:id="121" w:name="_Toc51400118"/>
      <w:r w:rsidRPr="009D52FD">
        <w:rPr>
          <w:rFonts w:ascii="Verdana" w:hAnsi="Verdana"/>
          <w:b w:val="0"/>
          <w:i/>
          <w:color w:val="auto"/>
          <w:sz w:val="20"/>
          <w:szCs w:val="20"/>
          <w:lang w:val="en-US"/>
        </w:rPr>
        <w:t xml:space="preserve">C.2 </w:t>
      </w:r>
      <w:r w:rsidR="00F11556" w:rsidRPr="009D52FD">
        <w:rPr>
          <w:rFonts w:ascii="Verdana" w:hAnsi="Verdana"/>
          <w:b w:val="0"/>
          <w:i/>
          <w:color w:val="auto"/>
          <w:sz w:val="20"/>
          <w:szCs w:val="20"/>
          <w:lang w:val="en-US"/>
        </w:rPr>
        <w:tab/>
      </w:r>
      <w:r w:rsidR="0098665D" w:rsidRPr="009D52FD">
        <w:rPr>
          <w:rFonts w:ascii="Verdana" w:hAnsi="Verdana"/>
          <w:b w:val="0"/>
          <w:i/>
          <w:color w:val="auto"/>
          <w:sz w:val="20"/>
          <w:szCs w:val="20"/>
          <w:lang w:val="en-US"/>
        </w:rPr>
        <w:t>Measures of satisfaction</w:t>
      </w:r>
      <w:bookmarkEnd w:id="121"/>
    </w:p>
    <w:p w14:paraId="6BCAE59A" w14:textId="77777777" w:rsidR="00935F35" w:rsidRPr="009D52FD" w:rsidRDefault="00935F35" w:rsidP="00935F35">
      <w:pPr>
        <w:tabs>
          <w:tab w:val="left" w:pos="567"/>
        </w:tabs>
        <w:spacing w:line="240" w:lineRule="auto"/>
        <w:ind w:firstLine="567"/>
        <w:rPr>
          <w:rFonts w:eastAsia="MS Mincho"/>
          <w:i/>
          <w:sz w:val="20"/>
          <w:szCs w:val="20"/>
          <w:lang w:val="en-US" w:bidi="en-US"/>
        </w:rPr>
      </w:pPr>
    </w:p>
    <w:p w14:paraId="61D728F9" w14:textId="1215E6A4" w:rsidR="00935F35" w:rsidRPr="009D52FD" w:rsidRDefault="00935F35" w:rsidP="00C6536C">
      <w:pPr>
        <w:tabs>
          <w:tab w:val="left" w:pos="567"/>
          <w:tab w:val="left" w:pos="2127"/>
          <w:tab w:val="left" w:pos="2552"/>
        </w:tabs>
        <w:spacing w:line="240" w:lineRule="auto"/>
        <w:ind w:left="1701"/>
        <w:rPr>
          <w:rFonts w:eastAsia="MS Mincho"/>
          <w:i/>
          <w:sz w:val="20"/>
          <w:szCs w:val="20"/>
          <w:lang w:val="en-US" w:bidi="en-US"/>
        </w:rPr>
      </w:pPr>
      <w:r w:rsidRPr="009D52FD">
        <w:rPr>
          <w:rFonts w:eastAsia="MS Mincho"/>
          <w:i/>
          <w:sz w:val="20"/>
          <w:szCs w:val="20"/>
          <w:lang w:val="en-US" w:bidi="en-US"/>
        </w:rPr>
        <w:t>C.2.</w:t>
      </w:r>
      <w:r w:rsidR="00E35810" w:rsidRPr="009D52FD">
        <w:rPr>
          <w:rFonts w:eastAsia="MS Mincho"/>
          <w:i/>
          <w:sz w:val="20"/>
          <w:szCs w:val="20"/>
          <w:lang w:val="en-US" w:bidi="en-US"/>
        </w:rPr>
        <w:t>a)</w:t>
      </w:r>
      <w:r w:rsidRPr="009D52FD">
        <w:rPr>
          <w:rFonts w:eastAsia="MS Mincho"/>
          <w:i/>
          <w:sz w:val="20"/>
          <w:szCs w:val="20"/>
          <w:lang w:val="en-US" w:bidi="en-US"/>
        </w:rPr>
        <w:t xml:space="preserve"> </w:t>
      </w:r>
      <w:r w:rsidR="00E35810" w:rsidRPr="009D52FD">
        <w:rPr>
          <w:rFonts w:eastAsia="MS Mincho"/>
          <w:i/>
          <w:sz w:val="20"/>
          <w:szCs w:val="20"/>
          <w:lang w:val="en-US" w:bidi="en-US"/>
        </w:rPr>
        <w:tab/>
      </w:r>
      <w:r w:rsidRPr="009D52FD">
        <w:rPr>
          <w:rFonts w:eastAsia="MS Mincho"/>
          <w:i/>
          <w:sz w:val="20"/>
          <w:szCs w:val="20"/>
          <w:lang w:val="en-US" w:bidi="en-US"/>
        </w:rPr>
        <w:t>Publica</w:t>
      </w:r>
      <w:r w:rsidR="0098665D" w:rsidRPr="009D52FD">
        <w:rPr>
          <w:rFonts w:eastAsia="MS Mincho"/>
          <w:i/>
          <w:sz w:val="20"/>
          <w:szCs w:val="20"/>
          <w:lang w:val="en-US" w:bidi="en-US"/>
        </w:rPr>
        <w:t>tion of the judgment</w:t>
      </w:r>
    </w:p>
    <w:p w14:paraId="164BC52E" w14:textId="77777777" w:rsidR="00935F35" w:rsidRPr="009D52FD" w:rsidRDefault="00935F35" w:rsidP="00935F35">
      <w:pPr>
        <w:tabs>
          <w:tab w:val="left" w:pos="567"/>
        </w:tabs>
        <w:spacing w:line="240" w:lineRule="auto"/>
        <w:ind w:firstLine="567"/>
        <w:rPr>
          <w:rFonts w:eastAsia="MS Mincho"/>
          <w:i/>
          <w:sz w:val="20"/>
          <w:szCs w:val="20"/>
          <w:lang w:val="en-US" w:bidi="en-US"/>
        </w:rPr>
      </w:pPr>
    </w:p>
    <w:p w14:paraId="73D83EB0" w14:textId="2CD3DF07" w:rsidR="00935F35" w:rsidRPr="009D52FD" w:rsidRDefault="003630BB" w:rsidP="00F15C83">
      <w:pPr>
        <w:numPr>
          <w:ilvl w:val="0"/>
          <w:numId w:val="1"/>
        </w:numPr>
        <w:tabs>
          <w:tab w:val="num" w:pos="0"/>
          <w:tab w:val="left" w:pos="567"/>
        </w:tabs>
        <w:spacing w:line="240" w:lineRule="auto"/>
        <w:ind w:left="0" w:firstLine="0"/>
        <w:textAlignment w:val="auto"/>
        <w:rPr>
          <w:rFonts w:eastAsia="MS Mincho"/>
          <w:i/>
          <w:sz w:val="20"/>
          <w:szCs w:val="20"/>
          <w:lang w:val="en-US" w:bidi="en-US"/>
        </w:rPr>
      </w:pPr>
      <w:r w:rsidRPr="009D52FD">
        <w:rPr>
          <w:rFonts w:eastAsia="MS Mincho"/>
          <w:sz w:val="20"/>
          <w:szCs w:val="20"/>
          <w:lang w:val="en-US" w:bidi="en-US"/>
        </w:rPr>
        <w:t xml:space="preserve">The </w:t>
      </w:r>
      <w:r w:rsidRPr="009D52FD">
        <w:rPr>
          <w:rFonts w:eastAsia="MS Mincho"/>
          <w:b/>
          <w:bCs/>
          <w:i/>
          <w:iCs/>
          <w:sz w:val="20"/>
          <w:szCs w:val="20"/>
          <w:lang w:val="en-US" w:bidi="en-US"/>
        </w:rPr>
        <w:t>representatives</w:t>
      </w:r>
      <w:r w:rsidR="00935F35" w:rsidRPr="009D52FD">
        <w:rPr>
          <w:rFonts w:eastAsia="MS Mincho"/>
          <w:b/>
          <w:sz w:val="20"/>
          <w:szCs w:val="20"/>
          <w:lang w:val="en-US" w:bidi="en-US"/>
        </w:rPr>
        <w:t xml:space="preserve"> </w:t>
      </w:r>
      <w:r w:rsidR="00F15C83" w:rsidRPr="009D52FD">
        <w:rPr>
          <w:rFonts w:eastAsia="MS Mincho"/>
          <w:sz w:val="20"/>
          <w:szCs w:val="20"/>
          <w:lang w:val="en-US" w:bidi="en-US"/>
        </w:rPr>
        <w:t>asked</w:t>
      </w:r>
      <w:r w:rsidR="00935F35" w:rsidRPr="009D52FD">
        <w:rPr>
          <w:rFonts w:eastAsia="MS Mincho"/>
          <w:sz w:val="20"/>
          <w:szCs w:val="20"/>
          <w:lang w:val="en-US" w:bidi="en-US"/>
        </w:rPr>
        <w:t xml:space="preserve"> </w:t>
      </w:r>
      <w:r w:rsidRPr="009D52FD">
        <w:rPr>
          <w:rFonts w:eastAsia="MS Mincho"/>
          <w:sz w:val="20"/>
          <w:szCs w:val="20"/>
          <w:lang w:val="en-US" w:bidi="en-US"/>
        </w:rPr>
        <w:t>the Court</w:t>
      </w:r>
      <w:r w:rsidR="00935F35" w:rsidRPr="009D52FD">
        <w:rPr>
          <w:rFonts w:eastAsia="MS Mincho"/>
          <w:sz w:val="20"/>
          <w:szCs w:val="20"/>
          <w:lang w:val="en-US" w:bidi="en-US"/>
        </w:rPr>
        <w:t xml:space="preserve"> </w:t>
      </w:r>
      <w:r w:rsidR="00F15C83" w:rsidRPr="009D52FD">
        <w:rPr>
          <w:rFonts w:eastAsia="MS Mincho"/>
          <w:sz w:val="20"/>
          <w:szCs w:val="20"/>
          <w:lang w:val="en-US" w:bidi="en-US"/>
        </w:rPr>
        <w:t xml:space="preserve">to order the State to publish an official summary of this judgment in the two newspapers with </w:t>
      </w:r>
      <w:r w:rsidR="00E17EF8" w:rsidRPr="009D52FD">
        <w:rPr>
          <w:rFonts w:eastAsia="MS Mincho"/>
          <w:sz w:val="20"/>
          <w:szCs w:val="20"/>
          <w:lang w:val="en-US" w:bidi="en-US"/>
        </w:rPr>
        <w:t xml:space="preserve">the </w:t>
      </w:r>
      <w:r w:rsidR="00F15C83" w:rsidRPr="009D52FD">
        <w:rPr>
          <w:rFonts w:eastAsia="MS Mincho"/>
          <w:sz w:val="20"/>
          <w:szCs w:val="20"/>
          <w:lang w:val="en-US" w:bidi="en-US"/>
        </w:rPr>
        <w:t xml:space="preserve">most widespread circulation in Venezuela. They also requested that the entire judgment be published, for one year, on the official websites of the Ministry of People’s Power for Internal Affairs, Justice and Peace and the Ministry of People’s Power for Health. In their final written arguments, the representatives expanded the request for publication on official website to two other </w:t>
      </w:r>
      <w:r w:rsidR="00E17EF8" w:rsidRPr="009D52FD">
        <w:rPr>
          <w:rFonts w:eastAsia="MS Mincho"/>
          <w:sz w:val="20"/>
          <w:szCs w:val="20"/>
          <w:lang w:val="en-US" w:bidi="en-US"/>
        </w:rPr>
        <w:t xml:space="preserve">Venezuelan </w:t>
      </w:r>
      <w:r w:rsidR="00F15C83" w:rsidRPr="009D52FD">
        <w:rPr>
          <w:rFonts w:eastAsia="MS Mincho"/>
          <w:sz w:val="20"/>
          <w:szCs w:val="20"/>
          <w:lang w:val="en-US" w:bidi="en-US"/>
        </w:rPr>
        <w:t>ministries</w:t>
      </w:r>
      <w:r w:rsidR="00E17EF8" w:rsidRPr="009D52FD">
        <w:rPr>
          <w:rFonts w:eastAsia="MS Mincho"/>
          <w:sz w:val="20"/>
          <w:szCs w:val="20"/>
          <w:lang w:val="en-US" w:bidi="en-US"/>
        </w:rPr>
        <w:t xml:space="preserve">: </w:t>
      </w:r>
      <w:r w:rsidR="00F15C83" w:rsidRPr="009D52FD">
        <w:rPr>
          <w:rFonts w:eastAsia="MS Mincho"/>
          <w:sz w:val="20"/>
          <w:szCs w:val="20"/>
          <w:lang w:val="en-US" w:bidi="en-US"/>
        </w:rPr>
        <w:t xml:space="preserve">the Ministry of People’s Power for Women and Gender Equality, and </w:t>
      </w:r>
      <w:r w:rsidR="00E17EF8" w:rsidRPr="009D52FD">
        <w:rPr>
          <w:rFonts w:eastAsia="MS Mincho"/>
          <w:sz w:val="20"/>
          <w:szCs w:val="20"/>
          <w:lang w:val="en-US" w:bidi="en-US"/>
        </w:rPr>
        <w:t xml:space="preserve">the </w:t>
      </w:r>
      <w:r w:rsidR="00F15C83" w:rsidRPr="009D52FD">
        <w:rPr>
          <w:rFonts w:eastAsia="MS Mincho"/>
          <w:sz w:val="20"/>
          <w:szCs w:val="20"/>
          <w:lang w:val="en-US" w:bidi="en-US"/>
        </w:rPr>
        <w:t>Ministry of People’s Power for Education</w:t>
      </w:r>
      <w:r w:rsidR="00F436CB" w:rsidRPr="009D52FD">
        <w:rPr>
          <w:rFonts w:eastAsia="MS Mincho"/>
          <w:sz w:val="20"/>
          <w:szCs w:val="20"/>
          <w:lang w:val="en-US" w:bidi="en-US"/>
        </w:rPr>
        <w:t>.</w:t>
      </w:r>
    </w:p>
    <w:p w14:paraId="49E9E2FE" w14:textId="77777777" w:rsidR="00935F35" w:rsidRPr="009D52FD" w:rsidRDefault="00935F35" w:rsidP="00935F35">
      <w:pPr>
        <w:tabs>
          <w:tab w:val="left" w:pos="567"/>
        </w:tabs>
        <w:spacing w:line="240" w:lineRule="auto"/>
        <w:rPr>
          <w:rFonts w:eastAsia="MS Mincho"/>
          <w:i/>
          <w:sz w:val="20"/>
          <w:szCs w:val="20"/>
          <w:lang w:val="en-US" w:bidi="en-US"/>
        </w:rPr>
      </w:pPr>
    </w:p>
    <w:p w14:paraId="2CB60A42" w14:textId="35B4A5B4" w:rsidR="00935F35" w:rsidRPr="009D52FD" w:rsidRDefault="00935F35" w:rsidP="00935F35">
      <w:pPr>
        <w:numPr>
          <w:ilvl w:val="0"/>
          <w:numId w:val="1"/>
        </w:numPr>
        <w:tabs>
          <w:tab w:val="left" w:pos="0"/>
        </w:tabs>
        <w:spacing w:line="240" w:lineRule="auto"/>
        <w:ind w:left="0" w:firstLine="0"/>
        <w:textAlignment w:val="auto"/>
        <w:rPr>
          <w:rFonts w:eastAsia="MS Mincho"/>
          <w:i/>
          <w:sz w:val="20"/>
          <w:szCs w:val="20"/>
          <w:lang w:val="en-US" w:bidi="en-US"/>
        </w:rPr>
      </w:pPr>
      <w:r w:rsidRPr="009D52FD">
        <w:rPr>
          <w:rFonts w:eastAsia="MS Mincho"/>
          <w:sz w:val="20"/>
          <w:szCs w:val="20"/>
          <w:lang w:val="en-US" w:bidi="en-US"/>
        </w:rPr>
        <w:t>N</w:t>
      </w:r>
      <w:r w:rsidR="0098665D" w:rsidRPr="009D52FD">
        <w:rPr>
          <w:rFonts w:eastAsia="MS Mincho"/>
          <w:sz w:val="20"/>
          <w:szCs w:val="20"/>
          <w:lang w:val="en-US" w:bidi="en-US"/>
        </w:rPr>
        <w:t>either</w:t>
      </w:r>
      <w:r w:rsidRPr="009D52FD">
        <w:rPr>
          <w:rFonts w:eastAsia="MS Mincho"/>
          <w:sz w:val="20"/>
          <w:szCs w:val="20"/>
          <w:lang w:val="en-US" w:bidi="en-US"/>
        </w:rPr>
        <w:t xml:space="preserve"> </w:t>
      </w:r>
      <w:r w:rsidR="003630BB" w:rsidRPr="009D52FD">
        <w:rPr>
          <w:rFonts w:eastAsia="MS Mincho"/>
          <w:sz w:val="20"/>
          <w:szCs w:val="20"/>
          <w:lang w:val="en-US" w:bidi="en-US"/>
        </w:rPr>
        <w:t xml:space="preserve">the </w:t>
      </w:r>
      <w:r w:rsidR="003630BB" w:rsidRPr="009D52FD">
        <w:rPr>
          <w:rFonts w:eastAsia="MS Mincho"/>
          <w:b/>
          <w:bCs/>
          <w:i/>
          <w:iCs/>
          <w:sz w:val="20"/>
          <w:szCs w:val="20"/>
          <w:lang w:val="en-US" w:bidi="en-US"/>
        </w:rPr>
        <w:t>State</w:t>
      </w:r>
      <w:r w:rsidRPr="009D52FD">
        <w:rPr>
          <w:rFonts w:eastAsia="MS Mincho"/>
          <w:b/>
          <w:bCs/>
          <w:i/>
          <w:iCs/>
          <w:sz w:val="20"/>
          <w:szCs w:val="20"/>
          <w:lang w:val="en-US" w:bidi="en-US"/>
        </w:rPr>
        <w:t xml:space="preserve"> </w:t>
      </w:r>
      <w:r w:rsidRPr="009D52FD">
        <w:rPr>
          <w:rFonts w:eastAsia="MS Mincho"/>
          <w:sz w:val="20"/>
          <w:szCs w:val="20"/>
          <w:lang w:val="en-US" w:bidi="en-US"/>
        </w:rPr>
        <w:t>n</w:t>
      </w:r>
      <w:r w:rsidR="0098665D" w:rsidRPr="009D52FD">
        <w:rPr>
          <w:rFonts w:eastAsia="MS Mincho"/>
          <w:sz w:val="20"/>
          <w:szCs w:val="20"/>
          <w:lang w:val="en-US" w:bidi="en-US"/>
        </w:rPr>
        <w:t>or</w:t>
      </w:r>
      <w:r w:rsidRPr="009D52FD">
        <w:rPr>
          <w:rFonts w:eastAsia="MS Mincho"/>
          <w:sz w:val="20"/>
          <w:szCs w:val="20"/>
          <w:lang w:val="en-US" w:bidi="en-US"/>
        </w:rPr>
        <w:t xml:space="preserve"> </w:t>
      </w:r>
      <w:r w:rsidR="003630BB" w:rsidRPr="009D52FD">
        <w:rPr>
          <w:rFonts w:eastAsia="MS Mincho"/>
          <w:sz w:val="20"/>
          <w:szCs w:val="20"/>
          <w:lang w:val="en-US" w:bidi="en-US"/>
        </w:rPr>
        <w:t>the</w:t>
      </w:r>
      <w:r w:rsidR="003630BB" w:rsidRPr="009D52FD">
        <w:rPr>
          <w:rFonts w:eastAsia="MS Mincho"/>
          <w:b/>
          <w:bCs/>
          <w:i/>
          <w:iCs/>
          <w:sz w:val="20"/>
          <w:szCs w:val="20"/>
          <w:lang w:val="en-US" w:bidi="en-US"/>
        </w:rPr>
        <w:t xml:space="preserve"> Commission</w:t>
      </w:r>
      <w:r w:rsidRPr="009D52FD">
        <w:rPr>
          <w:rFonts w:eastAsia="MS Mincho"/>
          <w:sz w:val="20"/>
          <w:szCs w:val="20"/>
          <w:lang w:val="en-US" w:bidi="en-US"/>
        </w:rPr>
        <w:t xml:space="preserve"> present</w:t>
      </w:r>
      <w:r w:rsidR="0098665D" w:rsidRPr="009D52FD">
        <w:rPr>
          <w:rFonts w:eastAsia="MS Mincho"/>
          <w:sz w:val="20"/>
          <w:szCs w:val="20"/>
          <w:lang w:val="en-US" w:bidi="en-US"/>
        </w:rPr>
        <w:t>ed specific arguments on this point.</w:t>
      </w:r>
    </w:p>
    <w:p w14:paraId="5EB4539A" w14:textId="77777777" w:rsidR="00935F35" w:rsidRPr="009D52FD" w:rsidRDefault="00935F35" w:rsidP="00935F35">
      <w:pPr>
        <w:tabs>
          <w:tab w:val="left" w:pos="0"/>
        </w:tabs>
        <w:spacing w:line="240" w:lineRule="auto"/>
        <w:rPr>
          <w:rFonts w:eastAsia="MS Mincho"/>
          <w:i/>
          <w:sz w:val="20"/>
          <w:szCs w:val="20"/>
          <w:lang w:val="en-US" w:bidi="en-US"/>
        </w:rPr>
      </w:pPr>
    </w:p>
    <w:p w14:paraId="15626FBE" w14:textId="56A316CF" w:rsidR="00F15C83" w:rsidRPr="009D52FD" w:rsidRDefault="003630BB" w:rsidP="001A7F10">
      <w:pPr>
        <w:numPr>
          <w:ilvl w:val="0"/>
          <w:numId w:val="1"/>
        </w:numPr>
        <w:tabs>
          <w:tab w:val="left" w:pos="0"/>
        </w:tabs>
        <w:spacing w:line="240" w:lineRule="auto"/>
        <w:ind w:left="0" w:firstLine="0"/>
        <w:textAlignment w:val="auto"/>
        <w:rPr>
          <w:rFonts w:eastAsia="MS Mincho"/>
          <w:b/>
          <w:i/>
          <w:sz w:val="20"/>
          <w:szCs w:val="20"/>
          <w:lang w:val="en-US" w:bidi="en-US"/>
        </w:rPr>
      </w:pPr>
      <w:r w:rsidRPr="009D52FD">
        <w:rPr>
          <w:rFonts w:eastAsia="MS Mincho"/>
          <w:sz w:val="20"/>
          <w:szCs w:val="20"/>
          <w:lang w:val="en-US" w:bidi="en-US"/>
        </w:rPr>
        <w:t>The Court</w:t>
      </w:r>
      <w:r w:rsidR="00F15C83" w:rsidRPr="009D52FD">
        <w:rPr>
          <w:rFonts w:eastAsia="MS Mincho"/>
          <w:sz w:val="20"/>
          <w:szCs w:val="20"/>
          <w:lang w:val="en-US" w:bidi="en-US"/>
        </w:rPr>
        <w:t xml:space="preserve"> finds, as it has in other cases,</w:t>
      </w:r>
      <w:r w:rsidR="00935F35" w:rsidRPr="009D52FD">
        <w:rPr>
          <w:rStyle w:val="FootnoteReference"/>
          <w:rFonts w:eastAsia="MS Mincho"/>
          <w:sz w:val="20"/>
          <w:szCs w:val="20"/>
          <w:lang w:val="en-US" w:bidi="en-US"/>
        </w:rPr>
        <w:footnoteReference w:id="379"/>
      </w:r>
      <w:r w:rsidR="00F15C83" w:rsidRPr="009D52FD">
        <w:rPr>
          <w:rFonts w:eastAsia="MS Mincho"/>
          <w:sz w:val="20"/>
          <w:szCs w:val="20"/>
          <w:lang w:val="en-US" w:bidi="en-US"/>
        </w:rPr>
        <w:t xml:space="preserve"> that, within six months of notification of this judgment, the State must publish: (a) the official summary of this judgment prepared by the Court, once, in the Official Gazette, in an appropriate and legible font; (b) the official summary of this judgment prepared by the Court, once, in a national newspaper with widespread circulation in an appropriate and legible font, and (c) this judgment in its entirely, available for one year, on an official website of the State, so that it is accessible to the public from the home page. The State must advise the Court immediately when it has made each of the said publications, regardless of the one-year time frame for presenting its first report </w:t>
      </w:r>
      <w:r w:rsidR="00E86A70" w:rsidRPr="009D52FD">
        <w:rPr>
          <w:rFonts w:eastAsia="MS Mincho"/>
          <w:sz w:val="20"/>
          <w:szCs w:val="20"/>
          <w:lang w:val="en-US" w:bidi="en-US"/>
        </w:rPr>
        <w:t>established in the twenty-sixth operative paragraph of the judgment.</w:t>
      </w:r>
    </w:p>
    <w:p w14:paraId="374AA8CB" w14:textId="77777777" w:rsidR="00935F35" w:rsidRPr="009D52FD" w:rsidRDefault="00935F35" w:rsidP="00935F35">
      <w:pPr>
        <w:tabs>
          <w:tab w:val="left" w:pos="0"/>
        </w:tabs>
        <w:spacing w:line="240" w:lineRule="auto"/>
        <w:rPr>
          <w:rFonts w:eastAsia="MS Mincho"/>
          <w:i/>
          <w:sz w:val="20"/>
          <w:szCs w:val="20"/>
          <w:lang w:val="en-US" w:bidi="en-US"/>
        </w:rPr>
      </w:pPr>
    </w:p>
    <w:p w14:paraId="463A51A2" w14:textId="6A1E3F4A" w:rsidR="00935F35" w:rsidRPr="009D52FD" w:rsidRDefault="00935F35" w:rsidP="00C6536C">
      <w:pPr>
        <w:tabs>
          <w:tab w:val="left" w:pos="567"/>
          <w:tab w:val="left" w:pos="2127"/>
          <w:tab w:val="left" w:pos="2552"/>
        </w:tabs>
        <w:spacing w:line="240" w:lineRule="auto"/>
        <w:ind w:left="1701"/>
        <w:rPr>
          <w:rFonts w:eastAsia="MS Mincho"/>
          <w:i/>
          <w:sz w:val="20"/>
          <w:szCs w:val="20"/>
          <w:lang w:val="en-US" w:bidi="en-US"/>
        </w:rPr>
      </w:pPr>
      <w:r w:rsidRPr="009D52FD">
        <w:rPr>
          <w:rFonts w:eastAsia="MS Mincho"/>
          <w:i/>
          <w:sz w:val="20"/>
          <w:szCs w:val="20"/>
          <w:lang w:val="en-US" w:bidi="en-US"/>
        </w:rPr>
        <w:t>C.2.</w:t>
      </w:r>
      <w:r w:rsidR="00947FF2" w:rsidRPr="009D52FD">
        <w:rPr>
          <w:rFonts w:eastAsia="MS Mincho"/>
          <w:i/>
          <w:sz w:val="20"/>
          <w:szCs w:val="20"/>
          <w:lang w:val="en-US" w:bidi="en-US"/>
        </w:rPr>
        <w:t>b)</w:t>
      </w:r>
      <w:r w:rsidRPr="009D52FD">
        <w:rPr>
          <w:rFonts w:eastAsia="MS Mincho"/>
          <w:i/>
          <w:sz w:val="20"/>
          <w:szCs w:val="20"/>
          <w:lang w:val="en-US" w:bidi="en-US"/>
        </w:rPr>
        <w:t xml:space="preserve"> </w:t>
      </w:r>
      <w:r w:rsidR="00947FF2" w:rsidRPr="009D52FD">
        <w:rPr>
          <w:rFonts w:eastAsia="MS Mincho"/>
          <w:i/>
          <w:sz w:val="20"/>
          <w:szCs w:val="20"/>
          <w:lang w:val="en-US" w:bidi="en-US"/>
        </w:rPr>
        <w:tab/>
      </w:r>
      <w:r w:rsidR="0098665D" w:rsidRPr="009D52FD">
        <w:rPr>
          <w:rFonts w:eastAsia="MS Mincho"/>
          <w:i/>
          <w:sz w:val="20"/>
          <w:szCs w:val="20"/>
          <w:lang w:val="en-US" w:bidi="en-US"/>
        </w:rPr>
        <w:t>Public act to acknowledge international responsibility</w:t>
      </w:r>
    </w:p>
    <w:p w14:paraId="465A7E2E" w14:textId="77777777" w:rsidR="00935F35" w:rsidRPr="009D52FD" w:rsidRDefault="00935F35" w:rsidP="00935F35">
      <w:pPr>
        <w:tabs>
          <w:tab w:val="left" w:pos="567"/>
        </w:tabs>
        <w:spacing w:line="240" w:lineRule="auto"/>
        <w:ind w:firstLine="567"/>
        <w:rPr>
          <w:rFonts w:eastAsia="MS Mincho"/>
          <w:i/>
          <w:sz w:val="20"/>
          <w:szCs w:val="20"/>
          <w:lang w:val="en-US" w:bidi="en-US"/>
        </w:rPr>
      </w:pPr>
      <w:r w:rsidRPr="009D52FD">
        <w:rPr>
          <w:rFonts w:eastAsia="MS Mincho"/>
          <w:i/>
          <w:sz w:val="20"/>
          <w:szCs w:val="20"/>
          <w:lang w:val="en-US" w:bidi="en-US"/>
        </w:rPr>
        <w:tab/>
      </w:r>
    </w:p>
    <w:p w14:paraId="18A78BBF" w14:textId="26FD75EA" w:rsidR="00935F35" w:rsidRPr="009D52FD" w:rsidRDefault="003630BB" w:rsidP="00935F35">
      <w:pPr>
        <w:numPr>
          <w:ilvl w:val="0"/>
          <w:numId w:val="1"/>
        </w:numPr>
        <w:tabs>
          <w:tab w:val="left" w:pos="567"/>
          <w:tab w:val="num" w:pos="5057"/>
        </w:tabs>
        <w:spacing w:line="240" w:lineRule="auto"/>
        <w:ind w:left="0" w:firstLine="0"/>
        <w:textAlignment w:val="auto"/>
        <w:rPr>
          <w:rFonts w:eastAsia="MS Mincho"/>
          <w:b/>
          <w:sz w:val="20"/>
          <w:szCs w:val="20"/>
          <w:lang w:val="en-US" w:bidi="en-US"/>
        </w:rPr>
      </w:pPr>
      <w:r w:rsidRPr="009D52FD">
        <w:rPr>
          <w:rFonts w:eastAsia="MS Mincho"/>
          <w:sz w:val="20"/>
          <w:szCs w:val="20"/>
          <w:lang w:val="en-US" w:bidi="en-US"/>
        </w:rPr>
        <w:t xml:space="preserve">The </w:t>
      </w:r>
      <w:r w:rsidRPr="009D52FD">
        <w:rPr>
          <w:rFonts w:eastAsia="MS Mincho"/>
          <w:b/>
          <w:bCs/>
          <w:i/>
          <w:iCs/>
          <w:sz w:val="20"/>
          <w:szCs w:val="20"/>
          <w:lang w:val="en-US" w:bidi="en-US"/>
        </w:rPr>
        <w:t>Commission</w:t>
      </w:r>
      <w:r w:rsidR="00935F35" w:rsidRPr="009D52FD">
        <w:rPr>
          <w:rFonts w:eastAsia="MS Mincho"/>
          <w:b/>
          <w:bCs/>
          <w:i/>
          <w:iCs/>
          <w:sz w:val="20"/>
          <w:szCs w:val="20"/>
          <w:lang w:val="en-US" w:bidi="en-US"/>
        </w:rPr>
        <w:t xml:space="preserve"> </w:t>
      </w:r>
      <w:r w:rsidR="00E86A70" w:rsidRPr="009D52FD">
        <w:rPr>
          <w:rFonts w:eastAsia="MS Mincho"/>
          <w:sz w:val="20"/>
          <w:szCs w:val="20"/>
          <w:lang w:val="en-US" w:bidi="en-US"/>
        </w:rPr>
        <w:t xml:space="preserve">asked the Court to order the State to organize an act of public apology to </w:t>
      </w:r>
      <w:r w:rsidR="00935F35" w:rsidRPr="009D52FD">
        <w:rPr>
          <w:rFonts w:eastAsia="MS Mincho"/>
          <w:sz w:val="20"/>
          <w:szCs w:val="20"/>
          <w:lang w:val="en-US" w:bidi="en-US"/>
        </w:rPr>
        <w:t xml:space="preserve">Linda Loaiza </w:t>
      </w:r>
      <w:r w:rsidR="006473EA" w:rsidRPr="009D52FD">
        <w:rPr>
          <w:rFonts w:eastAsia="MS Mincho"/>
          <w:sz w:val="20"/>
          <w:szCs w:val="20"/>
          <w:lang w:val="en-US" w:bidi="en-US"/>
        </w:rPr>
        <w:t>López Soto</w:t>
      </w:r>
      <w:r w:rsidRPr="009D52FD">
        <w:rPr>
          <w:rFonts w:eastAsia="MS Mincho"/>
          <w:sz w:val="20"/>
          <w:szCs w:val="20"/>
          <w:lang w:val="en-US" w:bidi="en-US"/>
        </w:rPr>
        <w:t xml:space="preserve"> and </w:t>
      </w:r>
      <w:r w:rsidR="00E86A70" w:rsidRPr="009D52FD">
        <w:rPr>
          <w:rFonts w:eastAsia="MS Mincho"/>
          <w:sz w:val="20"/>
          <w:szCs w:val="20"/>
          <w:lang w:val="en-US" w:bidi="en-US"/>
        </w:rPr>
        <w:t>her family owing to the denial of justice they suffered.</w:t>
      </w:r>
    </w:p>
    <w:p w14:paraId="6EA8DA7A" w14:textId="77777777" w:rsidR="00935F35" w:rsidRPr="009D52FD" w:rsidRDefault="00935F35" w:rsidP="00935F35">
      <w:pPr>
        <w:tabs>
          <w:tab w:val="left" w:pos="567"/>
        </w:tabs>
        <w:spacing w:line="240" w:lineRule="auto"/>
        <w:rPr>
          <w:rFonts w:eastAsia="MS Mincho"/>
          <w:b/>
          <w:sz w:val="20"/>
          <w:szCs w:val="20"/>
          <w:lang w:val="en-US" w:bidi="en-US"/>
        </w:rPr>
      </w:pPr>
    </w:p>
    <w:p w14:paraId="695F0C28" w14:textId="444257B3" w:rsidR="00E86A70" w:rsidRPr="009D52FD" w:rsidRDefault="003630BB" w:rsidP="00935F35">
      <w:pPr>
        <w:numPr>
          <w:ilvl w:val="0"/>
          <w:numId w:val="1"/>
        </w:numPr>
        <w:tabs>
          <w:tab w:val="left" w:pos="567"/>
          <w:tab w:val="num" w:pos="5057"/>
        </w:tabs>
        <w:spacing w:line="240" w:lineRule="auto"/>
        <w:ind w:left="0" w:firstLine="0"/>
        <w:textAlignment w:val="auto"/>
        <w:rPr>
          <w:rFonts w:eastAsia="MS Mincho"/>
          <w:b/>
          <w:sz w:val="20"/>
          <w:szCs w:val="20"/>
          <w:lang w:val="en-US" w:bidi="en-US"/>
        </w:rPr>
      </w:pPr>
      <w:r w:rsidRPr="009D52FD">
        <w:rPr>
          <w:rFonts w:eastAsia="MS Mincho"/>
          <w:sz w:val="20"/>
          <w:szCs w:val="20"/>
          <w:lang w:val="en-US" w:bidi="en-US"/>
        </w:rPr>
        <w:t xml:space="preserve">The </w:t>
      </w:r>
      <w:r w:rsidRPr="009D52FD">
        <w:rPr>
          <w:rFonts w:eastAsia="MS Mincho"/>
          <w:b/>
          <w:bCs/>
          <w:i/>
          <w:iCs/>
          <w:sz w:val="20"/>
          <w:szCs w:val="20"/>
          <w:lang w:val="en-US" w:bidi="en-US"/>
        </w:rPr>
        <w:t>representatives</w:t>
      </w:r>
      <w:r w:rsidR="00935F35" w:rsidRPr="009D52FD">
        <w:rPr>
          <w:rFonts w:eastAsia="MS Mincho"/>
          <w:b/>
          <w:sz w:val="20"/>
          <w:szCs w:val="20"/>
          <w:lang w:val="en-US" w:bidi="en-US"/>
        </w:rPr>
        <w:t xml:space="preserve"> </w:t>
      </w:r>
      <w:r w:rsidR="00E86A70" w:rsidRPr="009D52FD">
        <w:rPr>
          <w:rFonts w:eastAsia="MS Mincho"/>
          <w:sz w:val="20"/>
          <w:szCs w:val="20"/>
          <w:lang w:val="en-US" w:bidi="en-US"/>
        </w:rPr>
        <w:t>requested that the State hold a public act of acknowledgment, to be coordinated previously with the victims. In their final written arguments, they explained that, during this act, the State must apologize publicly to Linda Loaiza as a survivor of sexual violence and torture “because the State failed to act to prevent, investigate and punish the said crimes.”</w:t>
      </w:r>
    </w:p>
    <w:p w14:paraId="49D60DE5" w14:textId="77777777" w:rsidR="00935F35" w:rsidRPr="009D52FD" w:rsidRDefault="00935F35" w:rsidP="00935F35">
      <w:pPr>
        <w:tabs>
          <w:tab w:val="left" w:pos="567"/>
        </w:tabs>
        <w:spacing w:line="240" w:lineRule="auto"/>
        <w:rPr>
          <w:rFonts w:eastAsia="MS Mincho"/>
          <w:b/>
          <w:sz w:val="20"/>
          <w:szCs w:val="20"/>
          <w:lang w:val="en-US" w:bidi="en-US"/>
        </w:rPr>
      </w:pPr>
    </w:p>
    <w:p w14:paraId="33DFE41B" w14:textId="267D7634" w:rsidR="00935F35" w:rsidRPr="009D52FD" w:rsidRDefault="003630BB" w:rsidP="00E86A70">
      <w:pPr>
        <w:numPr>
          <w:ilvl w:val="0"/>
          <w:numId w:val="1"/>
        </w:numPr>
        <w:tabs>
          <w:tab w:val="left" w:pos="567"/>
          <w:tab w:val="num" w:pos="5057"/>
        </w:tabs>
        <w:spacing w:line="240" w:lineRule="auto"/>
        <w:ind w:left="0" w:firstLine="0"/>
        <w:textAlignment w:val="auto"/>
        <w:rPr>
          <w:rFonts w:eastAsia="MS Mincho"/>
          <w:b/>
          <w:sz w:val="20"/>
          <w:szCs w:val="20"/>
          <w:lang w:val="en-US" w:bidi="en-US"/>
        </w:rPr>
      </w:pPr>
      <w:r w:rsidRPr="009D52FD">
        <w:rPr>
          <w:rFonts w:eastAsia="MS Mincho"/>
          <w:sz w:val="20"/>
          <w:szCs w:val="20"/>
          <w:lang w:val="en-US" w:bidi="en-US"/>
        </w:rPr>
        <w:t xml:space="preserve">The </w:t>
      </w:r>
      <w:r w:rsidRPr="009D52FD">
        <w:rPr>
          <w:rFonts w:eastAsia="MS Mincho"/>
          <w:b/>
          <w:bCs/>
          <w:i/>
          <w:iCs/>
          <w:sz w:val="20"/>
          <w:szCs w:val="20"/>
          <w:lang w:val="en-US" w:bidi="en-US"/>
        </w:rPr>
        <w:t>State</w:t>
      </w:r>
      <w:r w:rsidR="00935F35" w:rsidRPr="009D52FD">
        <w:rPr>
          <w:rFonts w:eastAsia="MS Mincho"/>
          <w:b/>
          <w:sz w:val="20"/>
          <w:szCs w:val="20"/>
          <w:lang w:val="en-US" w:bidi="en-US"/>
        </w:rPr>
        <w:t xml:space="preserve"> </w:t>
      </w:r>
      <w:r w:rsidR="00E86A70" w:rsidRPr="009D52FD">
        <w:rPr>
          <w:rFonts w:eastAsia="MS Mincho"/>
          <w:sz w:val="20"/>
          <w:szCs w:val="20"/>
          <w:lang w:val="en-US" w:bidi="en-US"/>
        </w:rPr>
        <w:t xml:space="preserve">indicated that the statement made during the public hearing held before the Court on February 6, 2018, by the agent of the Venezuelan State – who, according to the information provided, was also the Executive Secretary of the country’s National Human Rights Council – constituted an act of acknowledgement of international responsibility for the situation experienced by </w:t>
      </w:r>
      <w:r w:rsidR="00935F35" w:rsidRPr="009D52FD">
        <w:rPr>
          <w:rFonts w:eastAsia="MS Mincho"/>
          <w:sz w:val="20"/>
          <w:szCs w:val="20"/>
          <w:lang w:val="en-US" w:bidi="en-US"/>
        </w:rPr>
        <w:t>Linda Loaiza López Soto</w:t>
      </w:r>
      <w:r w:rsidRPr="009D52FD">
        <w:rPr>
          <w:rFonts w:eastAsia="MS Mincho"/>
          <w:sz w:val="20"/>
          <w:szCs w:val="20"/>
          <w:lang w:val="en-US" w:bidi="en-US"/>
        </w:rPr>
        <w:t xml:space="preserve"> and </w:t>
      </w:r>
      <w:r w:rsidR="00E86A70" w:rsidRPr="009D52FD">
        <w:rPr>
          <w:rFonts w:eastAsia="MS Mincho"/>
          <w:sz w:val="20"/>
          <w:szCs w:val="20"/>
          <w:lang w:val="en-US" w:bidi="en-US"/>
        </w:rPr>
        <w:t xml:space="preserve">her family. </w:t>
      </w:r>
      <w:r w:rsidR="00E17EF8" w:rsidRPr="009D52FD">
        <w:rPr>
          <w:rFonts w:eastAsia="MS Mincho"/>
          <w:sz w:val="20"/>
          <w:szCs w:val="20"/>
          <w:lang w:val="en-US" w:bidi="en-US"/>
        </w:rPr>
        <w:t>It</w:t>
      </w:r>
      <w:r w:rsidR="00E86A70" w:rsidRPr="009D52FD">
        <w:rPr>
          <w:rFonts w:eastAsia="MS Mincho"/>
          <w:sz w:val="20"/>
          <w:szCs w:val="20"/>
          <w:lang w:val="en-US" w:bidi="en-US"/>
        </w:rPr>
        <w:t xml:space="preserve"> argued that, on that occasion, the State’s representative</w:t>
      </w:r>
      <w:r w:rsidR="00E17EF8" w:rsidRPr="009D52FD">
        <w:rPr>
          <w:rFonts w:eastAsia="MS Mincho"/>
          <w:sz w:val="20"/>
          <w:szCs w:val="20"/>
          <w:lang w:val="en-US" w:bidi="en-US"/>
        </w:rPr>
        <w:t xml:space="preserve"> had</w:t>
      </w:r>
      <w:r w:rsidR="00E86A70" w:rsidRPr="009D52FD">
        <w:rPr>
          <w:rFonts w:eastAsia="MS Mincho"/>
          <w:sz w:val="20"/>
          <w:szCs w:val="20"/>
          <w:lang w:val="en-US" w:bidi="en-US"/>
        </w:rPr>
        <w:t xml:space="preserve"> “</w:t>
      </w:r>
      <w:r w:rsidR="00E17EF8" w:rsidRPr="009D52FD">
        <w:rPr>
          <w:rFonts w:eastAsia="MS Mincho"/>
          <w:sz w:val="20"/>
          <w:szCs w:val="20"/>
          <w:lang w:val="en-US" w:bidi="en-US"/>
        </w:rPr>
        <w:t xml:space="preserve">apologized </w:t>
      </w:r>
      <w:r w:rsidR="00E86A70" w:rsidRPr="009D52FD">
        <w:rPr>
          <w:rFonts w:eastAsia="MS Mincho"/>
          <w:sz w:val="20"/>
          <w:szCs w:val="20"/>
          <w:lang w:val="en-US" w:bidi="en-US"/>
        </w:rPr>
        <w:t xml:space="preserve">publicly” to </w:t>
      </w:r>
      <w:r w:rsidR="00935F35" w:rsidRPr="009D52FD">
        <w:rPr>
          <w:rFonts w:eastAsia="MS Mincho"/>
          <w:sz w:val="20"/>
          <w:szCs w:val="20"/>
          <w:lang w:val="en-US" w:bidi="en-US"/>
        </w:rPr>
        <w:t xml:space="preserve">Linda Loaiza </w:t>
      </w:r>
      <w:r w:rsidR="00E86A70" w:rsidRPr="009D52FD">
        <w:rPr>
          <w:rFonts w:eastAsia="MS Mincho"/>
          <w:sz w:val="20"/>
          <w:szCs w:val="20"/>
          <w:lang w:val="en-US" w:bidi="en-US"/>
        </w:rPr>
        <w:t xml:space="preserve">for the human rights violations in this </w:t>
      </w:r>
      <w:r w:rsidR="00E86A70" w:rsidRPr="009D52FD">
        <w:rPr>
          <w:rFonts w:eastAsia="MS Mincho"/>
          <w:sz w:val="20"/>
          <w:szCs w:val="20"/>
          <w:lang w:val="en-US" w:bidi="en-US"/>
        </w:rPr>
        <w:lastRenderedPageBreak/>
        <w:t xml:space="preserve">case. Consequently, it asked the Court to take this circumstance into account when determining the pertinent reparations. </w:t>
      </w:r>
    </w:p>
    <w:p w14:paraId="2F3EB873" w14:textId="77777777" w:rsidR="00935F35" w:rsidRPr="009D52FD" w:rsidRDefault="00935F35" w:rsidP="00935F35">
      <w:pPr>
        <w:spacing w:line="240" w:lineRule="auto"/>
        <w:rPr>
          <w:rFonts w:eastAsia="MS Mincho"/>
          <w:sz w:val="20"/>
          <w:szCs w:val="20"/>
          <w:lang w:val="en-US" w:bidi="en-US"/>
        </w:rPr>
      </w:pPr>
    </w:p>
    <w:p w14:paraId="1436E90C" w14:textId="481C78C0" w:rsidR="00935F35" w:rsidRPr="009D52FD" w:rsidRDefault="003630BB" w:rsidP="00E86A70">
      <w:pPr>
        <w:numPr>
          <w:ilvl w:val="0"/>
          <w:numId w:val="1"/>
        </w:numPr>
        <w:tabs>
          <w:tab w:val="left" w:pos="567"/>
          <w:tab w:val="num" w:pos="5057"/>
        </w:tabs>
        <w:spacing w:line="240" w:lineRule="auto"/>
        <w:ind w:left="0" w:firstLine="0"/>
        <w:textAlignment w:val="auto"/>
        <w:rPr>
          <w:rFonts w:eastAsia="MS Mincho"/>
          <w:b/>
          <w:sz w:val="20"/>
          <w:szCs w:val="20"/>
          <w:lang w:val="en-US" w:bidi="en-US"/>
        </w:rPr>
      </w:pPr>
      <w:r w:rsidRPr="009D52FD">
        <w:rPr>
          <w:rFonts w:eastAsia="MS Mincho"/>
          <w:sz w:val="20"/>
          <w:szCs w:val="20"/>
          <w:lang w:val="en-US" w:bidi="en-US"/>
        </w:rPr>
        <w:t>The Court</w:t>
      </w:r>
      <w:r w:rsidR="00935F35" w:rsidRPr="009D52FD">
        <w:rPr>
          <w:rFonts w:eastAsia="MS Mincho"/>
          <w:sz w:val="20"/>
          <w:szCs w:val="20"/>
          <w:lang w:val="en-US" w:bidi="en-US"/>
        </w:rPr>
        <w:t xml:space="preserve"> </w:t>
      </w:r>
      <w:r w:rsidR="00E86A70" w:rsidRPr="009D52FD">
        <w:rPr>
          <w:rFonts w:eastAsia="MS Mincho"/>
          <w:sz w:val="20"/>
          <w:szCs w:val="20"/>
          <w:lang w:val="en-US" w:bidi="en-US"/>
        </w:rPr>
        <w:t xml:space="preserve">appreciates the apology offered by the State </w:t>
      </w:r>
      <w:r w:rsidR="00E17EF8" w:rsidRPr="009D52FD">
        <w:rPr>
          <w:rFonts w:eastAsia="MS Mincho"/>
          <w:sz w:val="20"/>
          <w:szCs w:val="20"/>
          <w:lang w:val="en-US" w:bidi="en-US"/>
        </w:rPr>
        <w:t>during</w:t>
      </w:r>
      <w:r w:rsidR="00E86A70" w:rsidRPr="009D52FD">
        <w:rPr>
          <w:rFonts w:eastAsia="MS Mincho"/>
          <w:sz w:val="20"/>
          <w:szCs w:val="20"/>
          <w:lang w:val="en-US" w:bidi="en-US"/>
        </w:rPr>
        <w:t xml:space="preserve"> the public hearing held on February 6, </w:t>
      </w:r>
      <w:r w:rsidR="00935F35" w:rsidRPr="009D52FD">
        <w:rPr>
          <w:rFonts w:eastAsia="MS Mincho"/>
          <w:sz w:val="20"/>
          <w:szCs w:val="20"/>
          <w:lang w:val="en-US" w:bidi="en-US"/>
        </w:rPr>
        <w:t>2018</w:t>
      </w:r>
      <w:r w:rsidR="00E86A70" w:rsidRPr="009D52FD">
        <w:rPr>
          <w:rFonts w:eastAsia="MS Mincho"/>
          <w:sz w:val="20"/>
          <w:szCs w:val="20"/>
          <w:lang w:val="en-US" w:bidi="en-US"/>
        </w:rPr>
        <w:t>, at the seat</w:t>
      </w:r>
      <w:r w:rsidR="00935F35" w:rsidRPr="009D52FD">
        <w:rPr>
          <w:rFonts w:eastAsia="MS Mincho"/>
          <w:sz w:val="20"/>
          <w:szCs w:val="20"/>
          <w:lang w:val="en-US" w:bidi="en-US"/>
        </w:rPr>
        <w:t xml:space="preserve"> </w:t>
      </w:r>
      <w:r w:rsidRPr="009D52FD">
        <w:rPr>
          <w:rFonts w:eastAsia="MS Mincho"/>
          <w:sz w:val="20"/>
          <w:szCs w:val="20"/>
          <w:lang w:val="en-US" w:bidi="en-US"/>
        </w:rPr>
        <w:t>of the Court</w:t>
      </w:r>
      <w:r w:rsidR="00F436CB" w:rsidRPr="009D52FD">
        <w:rPr>
          <w:rFonts w:eastAsia="MS Mincho"/>
          <w:sz w:val="20"/>
          <w:szCs w:val="20"/>
          <w:lang w:val="en-US" w:bidi="en-US"/>
        </w:rPr>
        <w:t xml:space="preserve"> (</w:t>
      </w:r>
      <w:r w:rsidR="00F436CB" w:rsidRPr="009D52FD">
        <w:rPr>
          <w:rFonts w:eastAsia="MS Mincho"/>
          <w:i/>
          <w:sz w:val="20"/>
          <w:szCs w:val="20"/>
          <w:lang w:val="en-US" w:bidi="en-US"/>
        </w:rPr>
        <w:t>supra</w:t>
      </w:r>
      <w:r w:rsidR="00F436CB" w:rsidRPr="009D52FD">
        <w:rPr>
          <w:rFonts w:eastAsia="MS Mincho"/>
          <w:sz w:val="20"/>
          <w:szCs w:val="20"/>
          <w:lang w:val="en-US" w:bidi="en-US"/>
        </w:rPr>
        <w:t xml:space="preserve"> </w:t>
      </w:r>
      <w:r w:rsidR="009459E7" w:rsidRPr="009D52FD">
        <w:rPr>
          <w:rFonts w:eastAsia="MS Mincho"/>
          <w:sz w:val="20"/>
          <w:szCs w:val="20"/>
          <w:lang w:val="en-US" w:bidi="en-US"/>
        </w:rPr>
        <w:t>para.</w:t>
      </w:r>
      <w:r w:rsidR="00F436CB" w:rsidRPr="009D52FD">
        <w:rPr>
          <w:rFonts w:eastAsia="MS Mincho"/>
          <w:sz w:val="20"/>
          <w:szCs w:val="20"/>
          <w:lang w:val="en-US" w:bidi="en-US"/>
        </w:rPr>
        <w:t xml:space="preserve"> </w:t>
      </w:r>
      <w:r w:rsidR="009B444D" w:rsidRPr="009D52FD">
        <w:rPr>
          <w:rFonts w:eastAsia="MS Mincho"/>
          <w:sz w:val="20"/>
          <w:szCs w:val="20"/>
          <w:lang w:val="en-US" w:bidi="en-US"/>
        </w:rPr>
        <w:t>22</w:t>
      </w:r>
      <w:r w:rsidR="00F436CB" w:rsidRPr="009D52FD">
        <w:rPr>
          <w:rFonts w:eastAsia="MS Mincho"/>
          <w:sz w:val="20"/>
          <w:szCs w:val="20"/>
          <w:lang w:val="en-US" w:bidi="en-US"/>
        </w:rPr>
        <w:t>)</w:t>
      </w:r>
      <w:r w:rsidR="00935F35" w:rsidRPr="009D52FD">
        <w:rPr>
          <w:rFonts w:eastAsia="MS Mincho"/>
          <w:sz w:val="20"/>
          <w:szCs w:val="20"/>
          <w:lang w:val="en-US" w:bidi="en-US"/>
        </w:rPr>
        <w:t>, as</w:t>
      </w:r>
      <w:r w:rsidR="00E86A70" w:rsidRPr="009D52FD">
        <w:rPr>
          <w:rFonts w:eastAsia="MS Mincho"/>
          <w:sz w:val="20"/>
          <w:szCs w:val="20"/>
          <w:lang w:val="en-US" w:bidi="en-US"/>
        </w:rPr>
        <w:t xml:space="preserve"> well as the </w:t>
      </w:r>
      <w:r w:rsidR="0064395F" w:rsidRPr="009D52FD">
        <w:rPr>
          <w:rFonts w:eastAsia="MS Mincho"/>
          <w:sz w:val="20"/>
          <w:szCs w:val="20"/>
          <w:lang w:val="en-US" w:bidi="en-US"/>
        </w:rPr>
        <w:t>partial acknowledgement of responsibility</w:t>
      </w:r>
      <w:r w:rsidR="00935F35" w:rsidRPr="009D52FD">
        <w:rPr>
          <w:rFonts w:eastAsia="MS Mincho"/>
          <w:sz w:val="20"/>
          <w:szCs w:val="20"/>
          <w:lang w:val="en-US" w:bidi="en-US"/>
        </w:rPr>
        <w:t xml:space="preserve"> </w:t>
      </w:r>
      <w:r w:rsidR="00E86A70" w:rsidRPr="009D52FD">
        <w:rPr>
          <w:rFonts w:eastAsia="MS Mincho" w:cs="Verdana"/>
          <w:sz w:val="20"/>
          <w:szCs w:val="20"/>
          <w:lang w:val="en-US" w:bidi="en-US"/>
        </w:rPr>
        <w:t>made in its</w:t>
      </w:r>
      <w:r w:rsidR="00935F35" w:rsidRPr="009D52FD">
        <w:rPr>
          <w:rFonts w:eastAsia="MS Mincho" w:cs="Verdana"/>
          <w:sz w:val="20"/>
          <w:szCs w:val="20"/>
          <w:lang w:val="en-US" w:bidi="en-US"/>
        </w:rPr>
        <w:t xml:space="preserve"> </w:t>
      </w:r>
      <w:r w:rsidR="00E86A70" w:rsidRPr="009D52FD">
        <w:rPr>
          <w:rFonts w:eastAsia="MS Mincho" w:cs="Verdana"/>
          <w:sz w:val="20"/>
          <w:szCs w:val="20"/>
          <w:lang w:val="en-US" w:bidi="en-US"/>
        </w:rPr>
        <w:t>a</w:t>
      </w:r>
      <w:r w:rsidR="00325A95" w:rsidRPr="009D52FD">
        <w:rPr>
          <w:rFonts w:eastAsia="MS Mincho" w:cs="Verdana"/>
          <w:sz w:val="20"/>
          <w:szCs w:val="20"/>
          <w:lang w:val="en-US" w:bidi="en-US"/>
        </w:rPr>
        <w:t>nswering brief</w:t>
      </w:r>
      <w:r w:rsidR="00935F35" w:rsidRPr="009D52FD">
        <w:rPr>
          <w:rFonts w:eastAsia="MS Mincho" w:cs="Verdana"/>
          <w:sz w:val="20"/>
          <w:szCs w:val="20"/>
          <w:lang w:val="en-US" w:bidi="en-US"/>
        </w:rPr>
        <w:t xml:space="preserve">. </w:t>
      </w:r>
      <w:r w:rsidR="00E86A70" w:rsidRPr="009D52FD">
        <w:rPr>
          <w:rFonts w:eastAsia="MS Mincho" w:cs="Verdana"/>
          <w:sz w:val="20"/>
          <w:szCs w:val="20"/>
          <w:lang w:val="en-US" w:bidi="en-US"/>
        </w:rPr>
        <w:t xml:space="preserve">On previous occasions, the Court has assessed favorably the acts carried out by the States during the processing of cases before </w:t>
      </w:r>
      <w:r w:rsidR="00E17EF8" w:rsidRPr="009D52FD">
        <w:rPr>
          <w:rFonts w:eastAsia="MS Mincho" w:cs="Verdana"/>
          <w:sz w:val="20"/>
          <w:szCs w:val="20"/>
          <w:lang w:val="en-US" w:bidi="en-US"/>
        </w:rPr>
        <w:t xml:space="preserve">it </w:t>
      </w:r>
      <w:r w:rsidR="00E86A70" w:rsidRPr="009D52FD">
        <w:rPr>
          <w:rFonts w:eastAsia="MS Mincho" w:cs="Verdana"/>
          <w:sz w:val="20"/>
          <w:szCs w:val="20"/>
          <w:lang w:val="en-US" w:bidi="en-US"/>
        </w:rPr>
        <w:t xml:space="preserve">that have had the effect of recovering the memory of the victims, </w:t>
      </w:r>
      <w:r w:rsidR="00070FB9" w:rsidRPr="009D52FD">
        <w:rPr>
          <w:rFonts w:eastAsia="MS Mincho" w:cs="Verdana"/>
          <w:sz w:val="20"/>
          <w:szCs w:val="20"/>
          <w:lang w:val="en-US" w:bidi="en-US"/>
        </w:rPr>
        <w:t>recognizing</w:t>
      </w:r>
      <w:r w:rsidR="00E86A70" w:rsidRPr="009D52FD">
        <w:rPr>
          <w:rFonts w:eastAsia="MS Mincho" w:cs="Verdana"/>
          <w:sz w:val="20"/>
          <w:szCs w:val="20"/>
          <w:lang w:val="en-US" w:bidi="en-US"/>
        </w:rPr>
        <w:t xml:space="preserve"> their dignity, and </w:t>
      </w:r>
      <w:r w:rsidR="00070FB9" w:rsidRPr="009D52FD">
        <w:rPr>
          <w:rFonts w:eastAsia="MS Mincho" w:cs="Verdana"/>
          <w:sz w:val="20"/>
          <w:szCs w:val="20"/>
          <w:lang w:val="en-US" w:bidi="en-US"/>
        </w:rPr>
        <w:t>consoling their next of kin.</w:t>
      </w:r>
      <w:r w:rsidR="00070FB9" w:rsidRPr="009D52FD">
        <w:rPr>
          <w:rStyle w:val="FootnoteReference"/>
          <w:rFonts w:eastAsia="MS Mincho" w:cs="Verdana"/>
          <w:sz w:val="20"/>
          <w:szCs w:val="20"/>
          <w:lang w:val="en-US" w:bidi="en-US"/>
        </w:rPr>
        <w:footnoteReference w:id="380"/>
      </w:r>
      <w:r w:rsidR="00070FB9" w:rsidRPr="009D52FD">
        <w:rPr>
          <w:rFonts w:eastAsia="MS Mincho" w:cs="Verdana"/>
          <w:sz w:val="20"/>
          <w:szCs w:val="20"/>
          <w:lang w:val="en-US" w:bidi="en-US"/>
        </w:rPr>
        <w:t xml:space="preserve"> However, the Court considers that such acts may represent only a partial satisfaction for the victims given the violations declared in this judgment.</w:t>
      </w:r>
      <w:r w:rsidR="00070FB9" w:rsidRPr="009D52FD">
        <w:rPr>
          <w:rStyle w:val="FootnoteReference"/>
          <w:rFonts w:eastAsia="MS Mincho" w:cs="Verdana"/>
          <w:sz w:val="20"/>
          <w:szCs w:val="20"/>
          <w:lang w:val="en-US" w:bidi="en-US"/>
        </w:rPr>
        <w:footnoteReference w:id="381"/>
      </w:r>
      <w:r w:rsidR="00070FB9" w:rsidRPr="009D52FD">
        <w:rPr>
          <w:rFonts w:eastAsia="MS Mincho" w:cs="Verdana"/>
          <w:sz w:val="20"/>
          <w:szCs w:val="20"/>
          <w:lang w:val="en-US" w:bidi="en-US"/>
        </w:rPr>
        <w:t xml:space="preserve"> Consequently, as it has in other cases,</w:t>
      </w:r>
      <w:r w:rsidR="00070FB9" w:rsidRPr="009D52FD">
        <w:rPr>
          <w:rStyle w:val="FootnoteReference"/>
          <w:rFonts w:eastAsia="MS Mincho" w:cs="Verdana"/>
          <w:sz w:val="20"/>
          <w:szCs w:val="20"/>
          <w:lang w:val="en-US" w:bidi="en-US"/>
        </w:rPr>
        <w:footnoteReference w:id="382"/>
      </w:r>
      <w:r w:rsidR="00070FB9" w:rsidRPr="009D52FD">
        <w:rPr>
          <w:rFonts w:eastAsia="MS Mincho" w:cs="Verdana"/>
          <w:sz w:val="20"/>
          <w:szCs w:val="20"/>
          <w:lang w:val="en-US" w:bidi="en-US"/>
        </w:rPr>
        <w:t xml:space="preserve"> the Court finds it necessary, in order to redress the harm cause to the victims and to avoid the repetition of facts such as these, to order the State to hold a public act in Venezuela to acknowledge international responsibility for the facts of the case. During the act, reference must be made to the human rights violations declared in this judgment. In addition, </w:t>
      </w:r>
      <w:r w:rsidR="00E17EF8" w:rsidRPr="009D52FD">
        <w:rPr>
          <w:rFonts w:eastAsia="MS Mincho" w:cs="Verdana"/>
          <w:sz w:val="20"/>
          <w:szCs w:val="20"/>
          <w:lang w:val="en-US" w:bidi="en-US"/>
        </w:rPr>
        <w:t>the acknowledgement</w:t>
      </w:r>
      <w:r w:rsidR="00070FB9" w:rsidRPr="009D52FD">
        <w:rPr>
          <w:rFonts w:eastAsia="MS Mincho" w:cs="Verdana"/>
          <w:sz w:val="20"/>
          <w:szCs w:val="20"/>
          <w:lang w:val="en-US" w:bidi="en-US"/>
        </w:rPr>
        <w:t xml:space="preserve"> must be </w:t>
      </w:r>
      <w:r w:rsidR="00E17EF8" w:rsidRPr="009D52FD">
        <w:rPr>
          <w:rFonts w:eastAsia="MS Mincho" w:cs="Verdana"/>
          <w:sz w:val="20"/>
          <w:szCs w:val="20"/>
          <w:lang w:val="en-US" w:bidi="en-US"/>
        </w:rPr>
        <w:t>made</w:t>
      </w:r>
      <w:r w:rsidR="00070FB9" w:rsidRPr="009D52FD">
        <w:rPr>
          <w:rFonts w:eastAsia="MS Mincho" w:cs="Verdana"/>
          <w:sz w:val="20"/>
          <w:szCs w:val="20"/>
          <w:lang w:val="en-US" w:bidi="en-US"/>
        </w:rPr>
        <w:t xml:space="preserve"> in a public ceremony in the presence of senior State officials and the victims in this case. The State must reach agreement with the victims o</w:t>
      </w:r>
      <w:r w:rsidR="00E17EF8" w:rsidRPr="009D52FD">
        <w:rPr>
          <w:rFonts w:eastAsia="MS Mincho" w:cs="Verdana"/>
          <w:sz w:val="20"/>
          <w:szCs w:val="20"/>
          <w:lang w:val="en-US" w:bidi="en-US"/>
        </w:rPr>
        <w:t>r</w:t>
      </w:r>
      <w:r w:rsidR="00070FB9" w:rsidRPr="009D52FD">
        <w:rPr>
          <w:rFonts w:eastAsia="MS Mincho" w:cs="Verdana"/>
          <w:sz w:val="20"/>
          <w:szCs w:val="20"/>
          <w:lang w:val="en-US" w:bidi="en-US"/>
        </w:rPr>
        <w:t xml:space="preserve"> their representatives on the way in which this public act of acknowledgement will be held, and on details such as the date and place. To this end, the State has one year from notification</w:t>
      </w:r>
      <w:r w:rsidR="00070FB9" w:rsidRPr="009D52FD">
        <w:rPr>
          <w:rFonts w:eastAsia="MS Mincho"/>
          <w:b/>
          <w:sz w:val="20"/>
          <w:szCs w:val="20"/>
          <w:lang w:val="en-US" w:bidi="en-US"/>
        </w:rPr>
        <w:t xml:space="preserve"> </w:t>
      </w:r>
      <w:r w:rsidR="00EB0EB6" w:rsidRPr="009D52FD">
        <w:rPr>
          <w:rFonts w:eastAsia="MS Mincho" w:cs="Verdana"/>
          <w:sz w:val="20"/>
          <w:szCs w:val="20"/>
          <w:lang w:val="en-US" w:bidi="en-US"/>
        </w:rPr>
        <w:t>of this judgment</w:t>
      </w:r>
      <w:r w:rsidR="00935F35" w:rsidRPr="009D52FD">
        <w:rPr>
          <w:rFonts w:eastAsia="MS Mincho" w:cs="Verdana"/>
          <w:sz w:val="20"/>
          <w:szCs w:val="20"/>
          <w:lang w:val="en-US" w:bidi="en-US"/>
        </w:rPr>
        <w:t>.</w:t>
      </w:r>
    </w:p>
    <w:p w14:paraId="19973FF6" w14:textId="77777777" w:rsidR="00935F35" w:rsidRPr="009D52FD" w:rsidRDefault="00935F35" w:rsidP="00935F35">
      <w:pPr>
        <w:pStyle w:val="ListParagraph"/>
        <w:spacing w:line="240" w:lineRule="auto"/>
        <w:ind w:left="0"/>
        <w:rPr>
          <w:rFonts w:eastAsia="MS Mincho"/>
          <w:iCs/>
          <w:sz w:val="20"/>
          <w:szCs w:val="20"/>
          <w:lang w:val="en-US" w:bidi="en-US"/>
        </w:rPr>
      </w:pPr>
    </w:p>
    <w:p w14:paraId="5A7D8899" w14:textId="78A58149" w:rsidR="00935F35" w:rsidRPr="009D52FD" w:rsidRDefault="00935F35" w:rsidP="00C6536C">
      <w:pPr>
        <w:tabs>
          <w:tab w:val="left" w:pos="567"/>
          <w:tab w:val="left" w:pos="2127"/>
          <w:tab w:val="left" w:pos="2552"/>
        </w:tabs>
        <w:spacing w:line="240" w:lineRule="auto"/>
        <w:ind w:left="1701"/>
        <w:rPr>
          <w:rFonts w:eastAsia="MS Mincho"/>
          <w:i/>
          <w:sz w:val="20"/>
          <w:szCs w:val="20"/>
          <w:lang w:val="en-US" w:bidi="en-US"/>
        </w:rPr>
      </w:pPr>
      <w:r w:rsidRPr="009D52FD">
        <w:rPr>
          <w:rFonts w:eastAsia="MS Mincho"/>
          <w:i/>
          <w:sz w:val="20"/>
          <w:szCs w:val="20"/>
          <w:lang w:val="en-US" w:bidi="en-US"/>
        </w:rPr>
        <w:t>C.2.</w:t>
      </w:r>
      <w:r w:rsidR="00947FF2" w:rsidRPr="009D52FD">
        <w:rPr>
          <w:rFonts w:eastAsia="MS Mincho"/>
          <w:i/>
          <w:sz w:val="20"/>
          <w:szCs w:val="20"/>
          <w:lang w:val="en-US" w:bidi="en-US"/>
        </w:rPr>
        <w:t>c)</w:t>
      </w:r>
      <w:r w:rsidR="00947FF2" w:rsidRPr="009D52FD">
        <w:rPr>
          <w:rFonts w:eastAsia="MS Mincho"/>
          <w:i/>
          <w:sz w:val="20"/>
          <w:szCs w:val="20"/>
          <w:lang w:val="en-US" w:bidi="en-US"/>
        </w:rPr>
        <w:tab/>
      </w:r>
      <w:r w:rsidR="0098665D" w:rsidRPr="009D52FD">
        <w:rPr>
          <w:rFonts w:eastAsia="MS Mincho"/>
          <w:i/>
          <w:sz w:val="20"/>
          <w:szCs w:val="20"/>
          <w:lang w:val="en-US" w:bidi="en-US"/>
        </w:rPr>
        <w:t>Scholarships</w:t>
      </w:r>
    </w:p>
    <w:p w14:paraId="1CEE3352" w14:textId="77777777" w:rsidR="00935F35" w:rsidRPr="009D52FD" w:rsidRDefault="00935F35" w:rsidP="00935F35">
      <w:pPr>
        <w:spacing w:line="240" w:lineRule="auto"/>
        <w:ind w:left="708"/>
        <w:rPr>
          <w:rFonts w:eastAsia="MS Mincho"/>
          <w:i/>
          <w:iCs/>
          <w:sz w:val="20"/>
          <w:szCs w:val="20"/>
          <w:lang w:val="en-US" w:bidi="en-US"/>
        </w:rPr>
      </w:pPr>
    </w:p>
    <w:p w14:paraId="79338D2E" w14:textId="56C9EEAA" w:rsidR="00935F35" w:rsidRPr="009D52FD" w:rsidRDefault="003630BB" w:rsidP="00935F35">
      <w:pPr>
        <w:pStyle w:val="ListParagraph"/>
        <w:numPr>
          <w:ilvl w:val="0"/>
          <w:numId w:val="1"/>
        </w:numPr>
        <w:tabs>
          <w:tab w:val="left" w:pos="567"/>
          <w:tab w:val="num" w:pos="5057"/>
        </w:tabs>
        <w:spacing w:line="240" w:lineRule="auto"/>
        <w:ind w:left="0" w:hanging="3"/>
        <w:contextualSpacing/>
        <w:textAlignment w:val="auto"/>
        <w:rPr>
          <w:sz w:val="20"/>
          <w:szCs w:val="20"/>
          <w:lang w:val="en-US"/>
        </w:rPr>
      </w:pPr>
      <w:r w:rsidRPr="009D52FD">
        <w:rPr>
          <w:rFonts w:eastAsia="MS Mincho"/>
          <w:iCs/>
          <w:sz w:val="20"/>
          <w:szCs w:val="20"/>
          <w:lang w:val="en-US" w:bidi="en-US"/>
        </w:rPr>
        <w:t xml:space="preserve">The </w:t>
      </w:r>
      <w:r w:rsidRPr="009D52FD">
        <w:rPr>
          <w:rFonts w:eastAsia="MS Mincho"/>
          <w:b/>
          <w:bCs/>
          <w:i/>
          <w:sz w:val="20"/>
          <w:szCs w:val="20"/>
          <w:lang w:val="en-US" w:bidi="en-US"/>
        </w:rPr>
        <w:t>Commission</w:t>
      </w:r>
      <w:r w:rsidR="00935F35" w:rsidRPr="009D52FD">
        <w:rPr>
          <w:rFonts w:eastAsia="MS Mincho"/>
          <w:iCs/>
          <w:sz w:val="20"/>
          <w:szCs w:val="20"/>
          <w:lang w:val="en-US" w:bidi="en-US"/>
        </w:rPr>
        <w:t xml:space="preserve"> </w:t>
      </w:r>
      <w:r w:rsidR="00070FB9" w:rsidRPr="009D52FD">
        <w:rPr>
          <w:rFonts w:eastAsia="MS Mincho"/>
          <w:iCs/>
          <w:sz w:val="20"/>
          <w:szCs w:val="20"/>
          <w:lang w:val="en-US" w:bidi="en-US"/>
        </w:rPr>
        <w:t xml:space="preserve">asked that the State grant </w:t>
      </w:r>
      <w:r w:rsidR="00935F35" w:rsidRPr="009D52FD">
        <w:rPr>
          <w:rFonts w:eastAsia="MS Mincho"/>
          <w:iCs/>
          <w:sz w:val="20"/>
          <w:szCs w:val="20"/>
          <w:lang w:val="en-US" w:bidi="en-US"/>
        </w:rPr>
        <w:t xml:space="preserve">Linda Loaiza </w:t>
      </w:r>
      <w:r w:rsidR="00DF1BFC" w:rsidRPr="009D52FD">
        <w:rPr>
          <w:rFonts w:eastAsia="MS Mincho"/>
          <w:iCs/>
          <w:sz w:val="20"/>
          <w:szCs w:val="20"/>
          <w:lang w:val="en-US" w:bidi="en-US"/>
        </w:rPr>
        <w:t xml:space="preserve">López Soto </w:t>
      </w:r>
      <w:r w:rsidR="00070FB9" w:rsidRPr="009D52FD">
        <w:rPr>
          <w:rFonts w:eastAsia="MS Mincho"/>
          <w:iCs/>
          <w:sz w:val="20"/>
          <w:szCs w:val="20"/>
          <w:lang w:val="en-US" w:bidi="en-US"/>
        </w:rPr>
        <w:t>a scholarship for her professional development, to be coordinated with her previously.</w:t>
      </w:r>
    </w:p>
    <w:p w14:paraId="49BC06FC" w14:textId="77777777" w:rsidR="00935F35" w:rsidRPr="009D52FD" w:rsidRDefault="00935F35" w:rsidP="00935F35">
      <w:pPr>
        <w:pStyle w:val="ListParagraph"/>
        <w:tabs>
          <w:tab w:val="left" w:pos="567"/>
        </w:tabs>
        <w:spacing w:line="240" w:lineRule="auto"/>
        <w:ind w:left="0"/>
        <w:rPr>
          <w:sz w:val="20"/>
          <w:szCs w:val="20"/>
          <w:lang w:val="en-US"/>
        </w:rPr>
      </w:pPr>
    </w:p>
    <w:p w14:paraId="64A42A7B" w14:textId="7B96E9FC" w:rsidR="00070FB9" w:rsidRPr="009D52FD" w:rsidRDefault="003630BB" w:rsidP="00935F35">
      <w:pPr>
        <w:numPr>
          <w:ilvl w:val="0"/>
          <w:numId w:val="1"/>
        </w:numPr>
        <w:tabs>
          <w:tab w:val="left" w:pos="567"/>
          <w:tab w:val="num" w:pos="5057"/>
        </w:tabs>
        <w:spacing w:line="240" w:lineRule="auto"/>
        <w:ind w:left="0" w:hanging="3"/>
        <w:textAlignment w:val="auto"/>
        <w:rPr>
          <w:sz w:val="20"/>
          <w:szCs w:val="20"/>
          <w:lang w:val="en-US"/>
        </w:rPr>
      </w:pPr>
      <w:r w:rsidRPr="009D52FD">
        <w:rPr>
          <w:rFonts w:eastAsia="MS Mincho"/>
          <w:iCs/>
          <w:sz w:val="20"/>
          <w:szCs w:val="20"/>
          <w:lang w:val="en-US" w:bidi="en-US"/>
        </w:rPr>
        <w:t xml:space="preserve">The </w:t>
      </w:r>
      <w:r w:rsidRPr="009D52FD">
        <w:rPr>
          <w:rFonts w:eastAsia="MS Mincho"/>
          <w:b/>
          <w:bCs/>
          <w:i/>
          <w:sz w:val="20"/>
          <w:szCs w:val="20"/>
          <w:lang w:val="en-US" w:bidi="en-US"/>
        </w:rPr>
        <w:t>representatives</w:t>
      </w:r>
      <w:r w:rsidR="00935F35" w:rsidRPr="009D52FD">
        <w:rPr>
          <w:rFonts w:eastAsia="MS Mincho"/>
          <w:sz w:val="20"/>
          <w:szCs w:val="20"/>
          <w:lang w:val="en-US" w:bidi="en-US"/>
        </w:rPr>
        <w:t xml:space="preserve"> </w:t>
      </w:r>
      <w:r w:rsidR="00070FB9" w:rsidRPr="009D52FD">
        <w:rPr>
          <w:rFonts w:eastAsia="MS Mincho"/>
          <w:sz w:val="20"/>
          <w:szCs w:val="20"/>
          <w:lang w:val="en-US" w:bidi="en-US"/>
        </w:rPr>
        <w:t>asked that</w:t>
      </w:r>
      <w:r w:rsidR="00935F35" w:rsidRPr="009D52FD">
        <w:rPr>
          <w:rFonts w:eastAsia="MS Mincho"/>
          <w:sz w:val="20"/>
          <w:szCs w:val="20"/>
          <w:lang w:val="en-US" w:bidi="en-US"/>
        </w:rPr>
        <w:t xml:space="preserve"> </w:t>
      </w:r>
      <w:r w:rsidRPr="009D52FD">
        <w:rPr>
          <w:rFonts w:eastAsia="MS Mincho"/>
          <w:sz w:val="20"/>
          <w:szCs w:val="20"/>
          <w:lang w:val="en-US" w:bidi="en-US"/>
        </w:rPr>
        <w:t>the State</w:t>
      </w:r>
      <w:r w:rsidR="00935F35" w:rsidRPr="009D52FD">
        <w:rPr>
          <w:rFonts w:eastAsia="MS Mincho"/>
          <w:sz w:val="20"/>
          <w:szCs w:val="20"/>
          <w:lang w:val="en-US" w:bidi="en-US"/>
        </w:rPr>
        <w:t xml:space="preserve"> </w:t>
      </w:r>
      <w:r w:rsidR="00070FB9" w:rsidRPr="009D52FD">
        <w:rPr>
          <w:rFonts w:eastAsia="MS Mincho"/>
          <w:sz w:val="20"/>
          <w:szCs w:val="20"/>
          <w:lang w:val="en-US" w:bidi="en-US"/>
        </w:rPr>
        <w:t>award</w:t>
      </w:r>
      <w:r w:rsidR="00935F35" w:rsidRPr="009D52FD">
        <w:rPr>
          <w:rFonts w:eastAsia="MS Mincho"/>
          <w:sz w:val="20"/>
          <w:szCs w:val="20"/>
          <w:lang w:val="en-US" w:bidi="en-US"/>
        </w:rPr>
        <w:t xml:space="preserve"> Linda Loaiza </w:t>
      </w:r>
      <w:r w:rsidR="00C36082" w:rsidRPr="009D52FD">
        <w:rPr>
          <w:rFonts w:eastAsia="MS Mincho"/>
          <w:iCs/>
          <w:sz w:val="20"/>
          <w:szCs w:val="20"/>
          <w:lang w:val="en-US" w:bidi="en-US"/>
        </w:rPr>
        <w:t>López Soto</w:t>
      </w:r>
      <w:r w:rsidR="00C36082" w:rsidRPr="009D52FD">
        <w:rPr>
          <w:rFonts w:eastAsia="MS Mincho"/>
          <w:sz w:val="20"/>
          <w:szCs w:val="20"/>
          <w:lang w:val="en-US" w:bidi="en-US"/>
        </w:rPr>
        <w:t xml:space="preserve"> </w:t>
      </w:r>
      <w:r w:rsidR="00070FB9" w:rsidRPr="009D52FD">
        <w:rPr>
          <w:rFonts w:eastAsia="MS Mincho"/>
          <w:sz w:val="20"/>
          <w:szCs w:val="20"/>
          <w:lang w:val="en-US" w:bidi="en-US"/>
        </w:rPr>
        <w:t xml:space="preserve">a scholarship to pursue graduate studies in any university in the world in which she </w:t>
      </w:r>
      <w:r w:rsidR="00E17EF8" w:rsidRPr="009D52FD">
        <w:rPr>
          <w:rFonts w:eastAsia="MS Mincho"/>
          <w:sz w:val="20"/>
          <w:szCs w:val="20"/>
          <w:lang w:val="en-US" w:bidi="en-US"/>
        </w:rPr>
        <w:t>i</w:t>
      </w:r>
      <w:r w:rsidR="00070FB9" w:rsidRPr="009D52FD">
        <w:rPr>
          <w:rFonts w:eastAsia="MS Mincho"/>
          <w:sz w:val="20"/>
          <w:szCs w:val="20"/>
          <w:lang w:val="en-US" w:bidi="en-US"/>
        </w:rPr>
        <w:t xml:space="preserve">s accepted. When submitting its final arguments, the representatives specified that it was the explicit desire of Linda Loaiza that the scholarship cover </w:t>
      </w:r>
      <w:r w:rsidR="007F7176" w:rsidRPr="009D52FD">
        <w:rPr>
          <w:rFonts w:eastAsia="MS Mincho"/>
          <w:sz w:val="20"/>
          <w:szCs w:val="20"/>
          <w:lang w:val="en-US" w:bidi="en-US"/>
        </w:rPr>
        <w:t>graduate studies, doctoral studies and universal languages such as English, as a necessary tool for achieving her objective, which was the defense and promotion of human rights.</w:t>
      </w:r>
    </w:p>
    <w:p w14:paraId="300C18EE" w14:textId="77777777" w:rsidR="00935F35" w:rsidRPr="009D52FD" w:rsidRDefault="00935F35" w:rsidP="00935F35">
      <w:pPr>
        <w:tabs>
          <w:tab w:val="left" w:pos="567"/>
        </w:tabs>
        <w:spacing w:line="240" w:lineRule="auto"/>
        <w:rPr>
          <w:sz w:val="20"/>
          <w:szCs w:val="20"/>
          <w:lang w:val="en-US"/>
        </w:rPr>
      </w:pPr>
    </w:p>
    <w:p w14:paraId="36C1534A" w14:textId="7EAAE4CE" w:rsidR="007F7176" w:rsidRPr="009D52FD" w:rsidRDefault="007F7176" w:rsidP="00935F35">
      <w:pPr>
        <w:numPr>
          <w:ilvl w:val="0"/>
          <w:numId w:val="1"/>
        </w:numPr>
        <w:tabs>
          <w:tab w:val="left" w:pos="567"/>
          <w:tab w:val="num" w:pos="5057"/>
        </w:tabs>
        <w:spacing w:line="240" w:lineRule="auto"/>
        <w:ind w:left="0" w:hanging="3"/>
        <w:textAlignment w:val="auto"/>
        <w:rPr>
          <w:sz w:val="20"/>
          <w:szCs w:val="20"/>
          <w:lang w:val="en-US"/>
        </w:rPr>
      </w:pPr>
      <w:r w:rsidRPr="009D52FD">
        <w:rPr>
          <w:rFonts w:eastAsia="MS Mincho"/>
          <w:sz w:val="20"/>
          <w:szCs w:val="20"/>
          <w:lang w:val="en-US" w:bidi="en-US"/>
        </w:rPr>
        <w:t>They also alleged that, as a result of the facts of this case, Linda Loaiza’s sibling</w:t>
      </w:r>
      <w:r w:rsidR="00E17EF8" w:rsidRPr="009D52FD">
        <w:rPr>
          <w:rFonts w:eastAsia="MS Mincho"/>
          <w:sz w:val="20"/>
          <w:szCs w:val="20"/>
          <w:lang w:val="en-US" w:bidi="en-US"/>
        </w:rPr>
        <w:t>s</w:t>
      </w:r>
      <w:r w:rsidRPr="009D52FD">
        <w:rPr>
          <w:rFonts w:eastAsia="MS Mincho"/>
          <w:sz w:val="20"/>
          <w:szCs w:val="20"/>
          <w:lang w:val="en-US" w:bidi="en-US"/>
        </w:rPr>
        <w:t xml:space="preserve"> had to interrupt their s</w:t>
      </w:r>
      <w:r w:rsidR="007B7290" w:rsidRPr="009D52FD">
        <w:rPr>
          <w:rFonts w:eastAsia="MS Mincho"/>
          <w:sz w:val="20"/>
          <w:szCs w:val="20"/>
          <w:lang w:val="en-US" w:bidi="en-US"/>
        </w:rPr>
        <w:t>tudies</w:t>
      </w:r>
      <w:r w:rsidR="00E17EF8" w:rsidRPr="009D52FD">
        <w:rPr>
          <w:rFonts w:eastAsia="MS Mincho"/>
          <w:sz w:val="20"/>
          <w:szCs w:val="20"/>
          <w:lang w:val="en-US" w:bidi="en-US"/>
        </w:rPr>
        <w:t xml:space="preserve"> temporarily</w:t>
      </w:r>
      <w:r w:rsidRPr="009D52FD">
        <w:rPr>
          <w:rFonts w:eastAsia="MS Mincho"/>
          <w:sz w:val="20"/>
          <w:szCs w:val="20"/>
          <w:lang w:val="en-US" w:bidi="en-US"/>
        </w:rPr>
        <w:t xml:space="preserve">, or return to the </w:t>
      </w:r>
      <w:r w:rsidR="007B7290" w:rsidRPr="009D52FD">
        <w:rPr>
          <w:rFonts w:eastAsia="MS Mincho"/>
          <w:sz w:val="20"/>
          <w:szCs w:val="20"/>
          <w:lang w:val="en-US" w:bidi="en-US"/>
        </w:rPr>
        <w:t xml:space="preserve">educational establishments </w:t>
      </w:r>
      <w:r w:rsidRPr="009D52FD">
        <w:rPr>
          <w:rFonts w:eastAsia="MS Mincho"/>
          <w:sz w:val="20"/>
          <w:szCs w:val="20"/>
          <w:lang w:val="en-US" w:bidi="en-US"/>
        </w:rPr>
        <w:t>available to them. Therefore, they asked that the Court order the State to grant scholarship</w:t>
      </w:r>
      <w:r w:rsidR="007B7290" w:rsidRPr="009D52FD">
        <w:rPr>
          <w:rFonts w:eastAsia="MS Mincho"/>
          <w:sz w:val="20"/>
          <w:szCs w:val="20"/>
          <w:lang w:val="en-US" w:bidi="en-US"/>
        </w:rPr>
        <w:t>s</w:t>
      </w:r>
      <w:r w:rsidRPr="009D52FD">
        <w:rPr>
          <w:rFonts w:eastAsia="MS Mincho"/>
          <w:sz w:val="20"/>
          <w:szCs w:val="20"/>
          <w:lang w:val="en-US" w:bidi="en-US"/>
        </w:rPr>
        <w:t xml:space="preserve"> for university studies in Venezuela to those who had been unable to conclude such studies, and also scholarships for specialized studies </w:t>
      </w:r>
      <w:r w:rsidR="007B7290" w:rsidRPr="009D52FD">
        <w:rPr>
          <w:rFonts w:eastAsia="MS Mincho"/>
          <w:sz w:val="20"/>
          <w:szCs w:val="20"/>
          <w:lang w:val="en-US" w:bidi="en-US"/>
        </w:rPr>
        <w:t>to</w:t>
      </w:r>
      <w:r w:rsidRPr="009D52FD">
        <w:rPr>
          <w:rFonts w:eastAsia="MS Mincho"/>
          <w:sz w:val="20"/>
          <w:szCs w:val="20"/>
          <w:lang w:val="en-US" w:bidi="en-US"/>
        </w:rPr>
        <w:t xml:space="preserve"> those who</w:t>
      </w:r>
      <w:r w:rsidR="007B7290" w:rsidRPr="009D52FD">
        <w:rPr>
          <w:rFonts w:eastAsia="MS Mincho"/>
          <w:sz w:val="20"/>
          <w:szCs w:val="20"/>
          <w:lang w:val="en-US" w:bidi="en-US"/>
        </w:rPr>
        <w:t xml:space="preserve"> had been able to conclude their studies</w:t>
      </w:r>
      <w:r w:rsidRPr="009D52FD">
        <w:rPr>
          <w:rFonts w:eastAsia="MS Mincho"/>
          <w:sz w:val="20"/>
          <w:szCs w:val="20"/>
          <w:lang w:val="en-US" w:bidi="en-US"/>
        </w:rPr>
        <w:t>, specifying that Diana Carolina, Nelson Enrique and Elith Johana had already graduated from university. In this regard, when presenting their final written arguments, based on the specific requests of the victims, the representatives indicated that all the scholarships should be granted in the country chosen by the beneficiaries, taking into account their academic needs and preferences. In general, they specified that the</w:t>
      </w:r>
      <w:r w:rsidR="007B7290" w:rsidRPr="009D52FD">
        <w:rPr>
          <w:rFonts w:eastAsia="MS Mincho"/>
          <w:sz w:val="20"/>
          <w:szCs w:val="20"/>
          <w:lang w:val="en-US" w:bidi="en-US"/>
        </w:rPr>
        <w:t>se</w:t>
      </w:r>
      <w:r w:rsidRPr="009D52FD">
        <w:rPr>
          <w:rFonts w:eastAsia="MS Mincho"/>
          <w:sz w:val="20"/>
          <w:szCs w:val="20"/>
          <w:lang w:val="en-US" w:bidi="en-US"/>
        </w:rPr>
        <w:t xml:space="preserve"> scholarships for all the victims in this case should not be subject to study plans</w:t>
      </w:r>
      <w:r w:rsidR="007B7290" w:rsidRPr="009D52FD">
        <w:rPr>
          <w:rFonts w:eastAsia="MS Mincho"/>
          <w:sz w:val="20"/>
          <w:szCs w:val="20"/>
          <w:lang w:val="en-US" w:bidi="en-US"/>
        </w:rPr>
        <w:t xml:space="preserve"> or programs</w:t>
      </w:r>
      <w:r w:rsidRPr="009D52FD">
        <w:rPr>
          <w:rFonts w:eastAsia="MS Mincho"/>
          <w:sz w:val="20"/>
          <w:szCs w:val="20"/>
          <w:lang w:val="en-US" w:bidi="en-US"/>
        </w:rPr>
        <w:t xml:space="preserve"> of the Venezuelan Government. Lastly, they also asked that scholarships be granted to Ana Secilia López Soto’s two children.</w:t>
      </w:r>
    </w:p>
    <w:p w14:paraId="3C3CC207" w14:textId="77777777" w:rsidR="00935F35" w:rsidRPr="009D52FD" w:rsidRDefault="00935F35" w:rsidP="00935F35">
      <w:pPr>
        <w:tabs>
          <w:tab w:val="left" w:pos="567"/>
        </w:tabs>
        <w:spacing w:line="240" w:lineRule="auto"/>
        <w:rPr>
          <w:sz w:val="20"/>
          <w:szCs w:val="20"/>
          <w:lang w:val="en-US"/>
        </w:rPr>
      </w:pPr>
    </w:p>
    <w:p w14:paraId="01EC5CA4" w14:textId="5F520139" w:rsidR="00935F35" w:rsidRPr="009D52FD" w:rsidRDefault="007F7176" w:rsidP="007F7176">
      <w:pPr>
        <w:numPr>
          <w:ilvl w:val="0"/>
          <w:numId w:val="1"/>
        </w:numPr>
        <w:tabs>
          <w:tab w:val="left" w:pos="567"/>
          <w:tab w:val="num" w:pos="5057"/>
        </w:tabs>
        <w:spacing w:line="240" w:lineRule="auto"/>
        <w:ind w:left="0" w:hanging="3"/>
        <w:textAlignment w:val="auto"/>
        <w:rPr>
          <w:sz w:val="20"/>
          <w:szCs w:val="20"/>
          <w:lang w:val="en-US"/>
        </w:rPr>
      </w:pPr>
      <w:r w:rsidRPr="009D52FD">
        <w:rPr>
          <w:sz w:val="20"/>
          <w:szCs w:val="20"/>
          <w:lang w:val="en-US"/>
        </w:rPr>
        <w:t>Although</w:t>
      </w:r>
      <w:r w:rsidR="00DF1BFC" w:rsidRPr="009D52FD">
        <w:rPr>
          <w:sz w:val="20"/>
          <w:szCs w:val="20"/>
          <w:lang w:val="en-US"/>
        </w:rPr>
        <w:t xml:space="preserve"> </w:t>
      </w:r>
      <w:r w:rsidR="003630BB" w:rsidRPr="009D52FD">
        <w:rPr>
          <w:sz w:val="20"/>
          <w:szCs w:val="20"/>
          <w:lang w:val="en-US"/>
        </w:rPr>
        <w:t xml:space="preserve">the </w:t>
      </w:r>
      <w:r w:rsidR="003630BB" w:rsidRPr="009D52FD">
        <w:rPr>
          <w:b/>
          <w:bCs/>
          <w:i/>
          <w:iCs/>
          <w:sz w:val="20"/>
          <w:szCs w:val="20"/>
          <w:lang w:val="en-US"/>
        </w:rPr>
        <w:t>State</w:t>
      </w:r>
      <w:r w:rsidR="00935F35" w:rsidRPr="009D52FD">
        <w:rPr>
          <w:b/>
          <w:bCs/>
          <w:i/>
          <w:iCs/>
          <w:sz w:val="20"/>
          <w:szCs w:val="20"/>
          <w:lang w:val="en-US"/>
        </w:rPr>
        <w:t xml:space="preserve"> </w:t>
      </w:r>
      <w:r w:rsidRPr="009D52FD">
        <w:rPr>
          <w:sz w:val="20"/>
          <w:szCs w:val="20"/>
          <w:lang w:val="en-US"/>
        </w:rPr>
        <w:t xml:space="preserve">did not contest the granting of scholarships for </w:t>
      </w:r>
      <w:r w:rsidR="00935F35" w:rsidRPr="009D52FD">
        <w:rPr>
          <w:sz w:val="20"/>
          <w:szCs w:val="20"/>
          <w:lang w:val="en-US"/>
        </w:rPr>
        <w:t>Linda Loaiza</w:t>
      </w:r>
      <w:r w:rsidRPr="009D52FD">
        <w:rPr>
          <w:sz w:val="20"/>
          <w:szCs w:val="20"/>
          <w:lang w:val="en-US"/>
        </w:rPr>
        <w:t xml:space="preserve"> and the other victims, it did contest the </w:t>
      </w:r>
      <w:r w:rsidR="007B7290" w:rsidRPr="009D52FD">
        <w:rPr>
          <w:sz w:val="20"/>
          <w:szCs w:val="20"/>
          <w:lang w:val="en-US"/>
        </w:rPr>
        <w:t>type of scholarships requested</w:t>
      </w:r>
      <w:r w:rsidRPr="009D52FD">
        <w:rPr>
          <w:sz w:val="20"/>
          <w:szCs w:val="20"/>
          <w:lang w:val="en-US"/>
        </w:rPr>
        <w:t xml:space="preserve">. </w:t>
      </w:r>
      <w:r w:rsidR="007B7290" w:rsidRPr="009D52FD">
        <w:rPr>
          <w:sz w:val="20"/>
          <w:szCs w:val="20"/>
          <w:lang w:val="en-US"/>
        </w:rPr>
        <w:t>It</w:t>
      </w:r>
      <w:r w:rsidRPr="009D52FD">
        <w:rPr>
          <w:sz w:val="20"/>
          <w:szCs w:val="20"/>
          <w:lang w:val="en-US"/>
        </w:rPr>
        <w:t xml:space="preserve"> argued that Venezuela ha</w:t>
      </w:r>
      <w:r w:rsidR="007B7290" w:rsidRPr="009D52FD">
        <w:rPr>
          <w:sz w:val="20"/>
          <w:szCs w:val="20"/>
          <w:lang w:val="en-US"/>
        </w:rPr>
        <w:t>d</w:t>
      </w:r>
      <w:r w:rsidRPr="009D52FD">
        <w:rPr>
          <w:sz w:val="20"/>
          <w:szCs w:val="20"/>
          <w:lang w:val="en-US"/>
        </w:rPr>
        <w:t xml:space="preserve"> universities </w:t>
      </w:r>
      <w:r w:rsidRPr="009D52FD">
        <w:rPr>
          <w:sz w:val="20"/>
          <w:szCs w:val="20"/>
          <w:lang w:val="en-US"/>
        </w:rPr>
        <w:lastRenderedPageBreak/>
        <w:t>that the victims could attend to pursue their studies at both the undergraduate and graduate level, so it found that the representatives’ request</w:t>
      </w:r>
      <w:r w:rsidR="00F17E7F" w:rsidRPr="009D52FD">
        <w:rPr>
          <w:sz w:val="20"/>
          <w:szCs w:val="20"/>
          <w:lang w:val="en-US"/>
        </w:rPr>
        <w:t xml:space="preserve"> that the scholarships in question be granted to study abroad</w:t>
      </w:r>
      <w:r w:rsidRPr="009D52FD">
        <w:rPr>
          <w:sz w:val="20"/>
          <w:szCs w:val="20"/>
          <w:lang w:val="en-US"/>
        </w:rPr>
        <w:t xml:space="preserve"> was disproportionate</w:t>
      </w:r>
      <w:r w:rsidR="0058615A" w:rsidRPr="009D52FD">
        <w:rPr>
          <w:sz w:val="20"/>
          <w:szCs w:val="20"/>
          <w:lang w:val="en-US"/>
        </w:rPr>
        <w:t>.</w:t>
      </w:r>
    </w:p>
    <w:p w14:paraId="63AAA7BD" w14:textId="77777777" w:rsidR="00935F35" w:rsidRPr="009D52FD" w:rsidRDefault="00935F35" w:rsidP="00935F35">
      <w:pPr>
        <w:tabs>
          <w:tab w:val="left" w:pos="567"/>
        </w:tabs>
        <w:spacing w:line="240" w:lineRule="auto"/>
        <w:rPr>
          <w:sz w:val="20"/>
          <w:szCs w:val="20"/>
          <w:lang w:val="en-US"/>
        </w:rPr>
      </w:pPr>
    </w:p>
    <w:p w14:paraId="24F1E54A" w14:textId="703ED3EC" w:rsidR="00935F35" w:rsidRPr="009D52FD" w:rsidRDefault="003630BB" w:rsidP="00F17E7F">
      <w:pPr>
        <w:numPr>
          <w:ilvl w:val="0"/>
          <w:numId w:val="1"/>
        </w:numPr>
        <w:tabs>
          <w:tab w:val="left" w:pos="567"/>
          <w:tab w:val="num" w:pos="5057"/>
        </w:tabs>
        <w:spacing w:line="240" w:lineRule="auto"/>
        <w:ind w:left="0" w:hanging="3"/>
        <w:textAlignment w:val="auto"/>
        <w:rPr>
          <w:sz w:val="20"/>
          <w:szCs w:val="20"/>
          <w:lang w:val="en-US"/>
        </w:rPr>
      </w:pPr>
      <w:r w:rsidRPr="009D52FD">
        <w:rPr>
          <w:sz w:val="20"/>
          <w:szCs w:val="20"/>
          <w:lang w:val="en-US"/>
        </w:rPr>
        <w:t>The Court</w:t>
      </w:r>
      <w:r w:rsidR="00935F35" w:rsidRPr="009D52FD">
        <w:rPr>
          <w:sz w:val="20"/>
          <w:szCs w:val="20"/>
          <w:lang w:val="en-US"/>
        </w:rPr>
        <w:t xml:space="preserve"> ha</w:t>
      </w:r>
      <w:r w:rsidR="00F17E7F" w:rsidRPr="009D52FD">
        <w:rPr>
          <w:sz w:val="20"/>
          <w:szCs w:val="20"/>
          <w:lang w:val="en-US"/>
        </w:rPr>
        <w:t xml:space="preserve">s established in this judgment that the facts of the case harmed </w:t>
      </w:r>
      <w:r w:rsidR="00935F35" w:rsidRPr="009D52FD">
        <w:rPr>
          <w:sz w:val="20"/>
          <w:szCs w:val="20"/>
          <w:lang w:val="en-US"/>
        </w:rPr>
        <w:t>Linda Loaiza López Soto</w:t>
      </w:r>
      <w:r w:rsidRPr="009D52FD">
        <w:rPr>
          <w:sz w:val="20"/>
          <w:szCs w:val="20"/>
          <w:lang w:val="en-US"/>
        </w:rPr>
        <w:t xml:space="preserve"> and </w:t>
      </w:r>
      <w:r w:rsidR="00F17E7F" w:rsidRPr="009D52FD">
        <w:rPr>
          <w:sz w:val="20"/>
          <w:szCs w:val="20"/>
          <w:lang w:val="en-US"/>
        </w:rPr>
        <w:t>her family, and caused significant changes in their lives and in their relationships</w:t>
      </w:r>
      <w:r w:rsidR="00935F35" w:rsidRPr="009D52FD">
        <w:rPr>
          <w:sz w:val="20"/>
          <w:szCs w:val="20"/>
          <w:lang w:val="en-US"/>
        </w:rPr>
        <w:t xml:space="preserve">, </w:t>
      </w:r>
      <w:r w:rsidR="00F17E7F" w:rsidRPr="009D52FD">
        <w:rPr>
          <w:sz w:val="20"/>
          <w:szCs w:val="20"/>
          <w:lang w:val="en-US"/>
        </w:rPr>
        <w:t xml:space="preserve">thus affecting their personal development </w:t>
      </w:r>
      <w:r w:rsidR="00935F35" w:rsidRPr="009D52FD">
        <w:rPr>
          <w:sz w:val="20"/>
          <w:szCs w:val="20"/>
          <w:lang w:val="en-US"/>
        </w:rPr>
        <w:t>(</w:t>
      </w:r>
      <w:r w:rsidR="00935F35" w:rsidRPr="009D52FD">
        <w:rPr>
          <w:i/>
          <w:sz w:val="20"/>
          <w:szCs w:val="20"/>
          <w:lang w:val="en-US"/>
        </w:rPr>
        <w:t xml:space="preserve">supra </w:t>
      </w:r>
      <w:r w:rsidR="00EB0EB6" w:rsidRPr="009D52FD">
        <w:rPr>
          <w:sz w:val="20"/>
          <w:szCs w:val="20"/>
          <w:lang w:val="en-US"/>
        </w:rPr>
        <w:t>Chapter</w:t>
      </w:r>
      <w:r w:rsidR="0094457E" w:rsidRPr="009D52FD">
        <w:rPr>
          <w:sz w:val="20"/>
          <w:szCs w:val="20"/>
          <w:lang w:val="en-US"/>
        </w:rPr>
        <w:t xml:space="preserve"> VIII-3</w:t>
      </w:r>
      <w:r w:rsidR="00935F35" w:rsidRPr="009D52FD">
        <w:rPr>
          <w:sz w:val="20"/>
          <w:szCs w:val="20"/>
          <w:lang w:val="en-US"/>
        </w:rPr>
        <w:t xml:space="preserve">). </w:t>
      </w:r>
      <w:r w:rsidR="00E510B3" w:rsidRPr="009D52FD">
        <w:rPr>
          <w:sz w:val="20"/>
          <w:szCs w:val="20"/>
          <w:lang w:val="en-US"/>
        </w:rPr>
        <w:t>Expert witness</w:t>
      </w:r>
      <w:r w:rsidR="00D648A9" w:rsidRPr="009D52FD">
        <w:rPr>
          <w:sz w:val="20"/>
          <w:szCs w:val="20"/>
          <w:lang w:val="en-US"/>
        </w:rPr>
        <w:t xml:space="preserve"> Ramírez </w:t>
      </w:r>
      <w:r w:rsidR="000075D9" w:rsidRPr="009D52FD">
        <w:rPr>
          <w:sz w:val="20"/>
          <w:szCs w:val="20"/>
          <w:lang w:val="en-US"/>
        </w:rPr>
        <w:t xml:space="preserve">Velasco </w:t>
      </w:r>
      <w:r w:rsidR="00F17E7F" w:rsidRPr="009D52FD">
        <w:rPr>
          <w:sz w:val="20"/>
          <w:szCs w:val="20"/>
          <w:lang w:val="en-US"/>
        </w:rPr>
        <w:t xml:space="preserve">indicated that “in discussions with the family, the difficulty they have had to pursue their academic studies due to the lack of financial resources </w:t>
      </w:r>
      <w:r w:rsidR="007B7290" w:rsidRPr="009D52FD">
        <w:rPr>
          <w:sz w:val="20"/>
          <w:szCs w:val="20"/>
          <w:lang w:val="en-US"/>
        </w:rPr>
        <w:t>due to</w:t>
      </w:r>
      <w:r w:rsidR="00F17E7F" w:rsidRPr="009D52FD">
        <w:rPr>
          <w:sz w:val="20"/>
          <w:szCs w:val="20"/>
          <w:lang w:val="en-US"/>
        </w:rPr>
        <w:t xml:space="preserve"> the loss of the family’s assets is mentioned repeatedly.</w:t>
      </w:r>
      <w:r w:rsidR="00935F35" w:rsidRPr="009D52FD">
        <w:rPr>
          <w:sz w:val="20"/>
          <w:szCs w:val="20"/>
          <w:lang w:val="en-US"/>
        </w:rPr>
        <w:t>”</w:t>
      </w:r>
      <w:r w:rsidR="0058615A" w:rsidRPr="009D52FD">
        <w:rPr>
          <w:rStyle w:val="FootnoteReference"/>
          <w:sz w:val="20"/>
          <w:szCs w:val="20"/>
          <w:lang w:val="en-US"/>
        </w:rPr>
        <w:footnoteReference w:id="383"/>
      </w:r>
      <w:r w:rsidR="00F17E7F" w:rsidRPr="009D52FD">
        <w:rPr>
          <w:sz w:val="20"/>
          <w:szCs w:val="20"/>
          <w:lang w:val="en-US"/>
        </w:rPr>
        <w:t xml:space="preserve"> She also indicated that “[a]ccording to them, the prolonged court proceedings and the results have affected them in the work environment, as well as in the choice of their professional careers, which had to differ from their original choices.</w:t>
      </w:r>
      <w:r w:rsidR="00935F35" w:rsidRPr="009D52FD">
        <w:rPr>
          <w:sz w:val="20"/>
          <w:szCs w:val="20"/>
          <w:lang w:val="en-US"/>
        </w:rPr>
        <w:t>”</w:t>
      </w:r>
      <w:r w:rsidR="0058615A" w:rsidRPr="009D52FD">
        <w:rPr>
          <w:rStyle w:val="FootnoteReference"/>
          <w:sz w:val="20"/>
          <w:szCs w:val="20"/>
          <w:lang w:val="en-US"/>
        </w:rPr>
        <w:footnoteReference w:id="384"/>
      </w:r>
      <w:r w:rsidR="00F17E7F" w:rsidRPr="009D52FD">
        <w:rPr>
          <w:sz w:val="20"/>
          <w:szCs w:val="20"/>
          <w:lang w:val="en-US"/>
        </w:rPr>
        <w:t xml:space="preserve"> Linda Loaiza’s siblings referred to the direct effects on their possibilities of pursing their studies on several occasions.</w:t>
      </w:r>
      <w:r w:rsidR="00935F35" w:rsidRPr="009D52FD">
        <w:rPr>
          <w:rStyle w:val="FootnoteReference"/>
          <w:sz w:val="20"/>
          <w:szCs w:val="20"/>
          <w:lang w:val="en-US"/>
        </w:rPr>
        <w:footnoteReference w:id="385"/>
      </w:r>
    </w:p>
    <w:p w14:paraId="6EF61A60" w14:textId="77777777" w:rsidR="00935F35" w:rsidRPr="009D52FD" w:rsidRDefault="00935F35" w:rsidP="00935F35">
      <w:pPr>
        <w:tabs>
          <w:tab w:val="left" w:pos="567"/>
        </w:tabs>
        <w:spacing w:line="240" w:lineRule="auto"/>
        <w:rPr>
          <w:sz w:val="20"/>
          <w:szCs w:val="20"/>
          <w:lang w:val="en-US"/>
        </w:rPr>
      </w:pPr>
    </w:p>
    <w:p w14:paraId="725ED48D" w14:textId="7CC4D646" w:rsidR="00935F35" w:rsidRPr="009D52FD" w:rsidRDefault="00F17E7F" w:rsidP="00A10CFD">
      <w:pPr>
        <w:numPr>
          <w:ilvl w:val="0"/>
          <w:numId w:val="1"/>
        </w:numPr>
        <w:tabs>
          <w:tab w:val="left" w:pos="567"/>
          <w:tab w:val="num" w:pos="5057"/>
        </w:tabs>
        <w:spacing w:line="240" w:lineRule="auto"/>
        <w:ind w:left="0" w:hanging="3"/>
        <w:textAlignment w:val="auto"/>
        <w:rPr>
          <w:sz w:val="20"/>
          <w:szCs w:val="20"/>
          <w:lang w:val="en-US"/>
        </w:rPr>
      </w:pPr>
      <w:r w:rsidRPr="009D52FD">
        <w:rPr>
          <w:sz w:val="20"/>
          <w:szCs w:val="20"/>
          <w:lang w:val="en-US"/>
        </w:rPr>
        <w:t>I</w:t>
      </w:r>
      <w:r w:rsidR="00935F35" w:rsidRPr="009D52FD">
        <w:rPr>
          <w:sz w:val="20"/>
          <w:szCs w:val="20"/>
          <w:lang w:val="en-US"/>
        </w:rPr>
        <w:t xml:space="preserve">n particular, </w:t>
      </w:r>
      <w:r w:rsidR="003630BB" w:rsidRPr="009D52FD">
        <w:rPr>
          <w:sz w:val="20"/>
          <w:szCs w:val="20"/>
          <w:lang w:val="en-US"/>
        </w:rPr>
        <w:t>the Court</w:t>
      </w:r>
      <w:r w:rsidR="00935F35" w:rsidRPr="009D52FD">
        <w:rPr>
          <w:sz w:val="20"/>
          <w:szCs w:val="20"/>
          <w:lang w:val="en-US"/>
        </w:rPr>
        <w:t xml:space="preserve"> </w:t>
      </w:r>
      <w:r w:rsidRPr="009D52FD">
        <w:rPr>
          <w:sz w:val="20"/>
          <w:szCs w:val="20"/>
          <w:lang w:val="en-US"/>
        </w:rPr>
        <w:t>stresses that the fact</w:t>
      </w:r>
      <w:r w:rsidR="007B7290" w:rsidRPr="009D52FD">
        <w:rPr>
          <w:sz w:val="20"/>
          <w:szCs w:val="20"/>
          <w:lang w:val="en-US"/>
        </w:rPr>
        <w:t>s occurred</w:t>
      </w:r>
      <w:r w:rsidRPr="009D52FD">
        <w:rPr>
          <w:sz w:val="20"/>
          <w:szCs w:val="20"/>
          <w:lang w:val="en-US"/>
        </w:rPr>
        <w:t xml:space="preserve"> when Linda Loaiz</w:t>
      </w:r>
      <w:r w:rsidR="00002A76" w:rsidRPr="009D52FD">
        <w:rPr>
          <w:sz w:val="20"/>
          <w:szCs w:val="20"/>
          <w:lang w:val="en-US"/>
        </w:rPr>
        <w:t>a</w:t>
      </w:r>
      <w:r w:rsidRPr="009D52FD">
        <w:rPr>
          <w:sz w:val="20"/>
          <w:szCs w:val="20"/>
          <w:lang w:val="en-US"/>
        </w:rPr>
        <w:t xml:space="preserve"> and her sister Ana Secilia were beginning their university studies, and they were obliged to change the </w:t>
      </w:r>
      <w:r w:rsidR="00A10CFD" w:rsidRPr="009D52FD">
        <w:rPr>
          <w:sz w:val="20"/>
          <w:szCs w:val="20"/>
          <w:lang w:val="en-US"/>
        </w:rPr>
        <w:t xml:space="preserve">study programmes that had originally </w:t>
      </w:r>
      <w:r w:rsidR="007B7290" w:rsidRPr="009D52FD">
        <w:rPr>
          <w:sz w:val="20"/>
          <w:szCs w:val="20"/>
          <w:lang w:val="en-US"/>
        </w:rPr>
        <w:t>brought them</w:t>
      </w:r>
      <w:r w:rsidR="00A10CFD" w:rsidRPr="009D52FD">
        <w:rPr>
          <w:sz w:val="20"/>
          <w:szCs w:val="20"/>
          <w:lang w:val="en-US"/>
        </w:rPr>
        <w:t xml:space="preserve"> to Caracas. According to Ramírez Velasco’s expert opinion, Linda Loaiza finally decided to study law, but her possibility of exercising this profession ha</w:t>
      </w:r>
      <w:r w:rsidR="00CC5D93" w:rsidRPr="009D52FD">
        <w:rPr>
          <w:sz w:val="20"/>
          <w:szCs w:val="20"/>
          <w:lang w:val="en-US"/>
        </w:rPr>
        <w:t>d</w:t>
      </w:r>
      <w:r w:rsidR="00A10CFD" w:rsidRPr="009D52FD">
        <w:rPr>
          <w:sz w:val="20"/>
          <w:szCs w:val="20"/>
          <w:lang w:val="en-US"/>
        </w:rPr>
        <w:t xml:space="preserve"> been “curtailed” owing to the exposure she ha</w:t>
      </w:r>
      <w:r w:rsidR="00CC5D93" w:rsidRPr="009D52FD">
        <w:rPr>
          <w:sz w:val="20"/>
          <w:szCs w:val="20"/>
          <w:lang w:val="en-US"/>
        </w:rPr>
        <w:t>d</w:t>
      </w:r>
      <w:r w:rsidR="00A10CFD" w:rsidRPr="009D52FD">
        <w:rPr>
          <w:sz w:val="20"/>
          <w:szCs w:val="20"/>
          <w:lang w:val="en-US"/>
        </w:rPr>
        <w:t xml:space="preserve"> had in her country as a result of her search to obtain justice.</w:t>
      </w:r>
      <w:r w:rsidR="00935F35" w:rsidRPr="009D52FD">
        <w:rPr>
          <w:rStyle w:val="FootnoteReference"/>
          <w:sz w:val="20"/>
          <w:szCs w:val="20"/>
          <w:lang w:val="en-US"/>
        </w:rPr>
        <w:footnoteReference w:id="386"/>
      </w:r>
      <w:r w:rsidR="00935F35" w:rsidRPr="009D52FD">
        <w:rPr>
          <w:sz w:val="20"/>
          <w:szCs w:val="20"/>
          <w:lang w:val="en-US"/>
        </w:rPr>
        <w:t xml:space="preserve"> </w:t>
      </w:r>
      <w:r w:rsidR="00A10CFD" w:rsidRPr="009D52FD">
        <w:rPr>
          <w:sz w:val="20"/>
          <w:szCs w:val="20"/>
          <w:lang w:val="en-US"/>
        </w:rPr>
        <w:t>During the</w:t>
      </w:r>
      <w:r w:rsidR="00935F35" w:rsidRPr="009D52FD">
        <w:rPr>
          <w:sz w:val="20"/>
          <w:szCs w:val="20"/>
          <w:lang w:val="en-US"/>
        </w:rPr>
        <w:t xml:space="preserve"> </w:t>
      </w:r>
      <w:r w:rsidR="0002239A" w:rsidRPr="009D52FD">
        <w:rPr>
          <w:sz w:val="20"/>
          <w:szCs w:val="20"/>
          <w:lang w:val="en-US"/>
        </w:rPr>
        <w:t>public hearing</w:t>
      </w:r>
      <w:r w:rsidR="00935F35" w:rsidRPr="009D52FD">
        <w:rPr>
          <w:sz w:val="20"/>
          <w:szCs w:val="20"/>
          <w:lang w:val="en-US"/>
        </w:rPr>
        <w:t xml:space="preserve">, </w:t>
      </w:r>
      <w:r w:rsidR="00A10CFD" w:rsidRPr="009D52FD">
        <w:rPr>
          <w:sz w:val="20"/>
          <w:szCs w:val="20"/>
          <w:lang w:val="en-US"/>
        </w:rPr>
        <w:t>Ana Secilia stated that she had not studied to be a veterinarian as she had always planned</w:t>
      </w:r>
      <w:r w:rsidR="00CC5D93" w:rsidRPr="009D52FD">
        <w:rPr>
          <w:sz w:val="20"/>
          <w:szCs w:val="20"/>
          <w:lang w:val="en-US"/>
        </w:rPr>
        <w:t>; rather,</w:t>
      </w:r>
      <w:r w:rsidR="00A10CFD" w:rsidRPr="009D52FD">
        <w:rPr>
          <w:sz w:val="20"/>
          <w:szCs w:val="20"/>
          <w:lang w:val="en-US"/>
        </w:rPr>
        <w:t xml:space="preserve"> she had “studied another career to help [Linda with] the therapies.</w:t>
      </w:r>
      <w:r w:rsidR="00935F35" w:rsidRPr="009D52FD">
        <w:rPr>
          <w:sz w:val="20"/>
          <w:szCs w:val="20"/>
          <w:lang w:val="en-US"/>
        </w:rPr>
        <w:t>”</w:t>
      </w:r>
      <w:r w:rsidR="000075D9" w:rsidRPr="009D52FD">
        <w:rPr>
          <w:rStyle w:val="FootnoteReference"/>
          <w:sz w:val="20"/>
          <w:szCs w:val="20"/>
          <w:lang w:val="en-US"/>
        </w:rPr>
        <w:footnoteReference w:id="387"/>
      </w:r>
      <w:r w:rsidR="00935F35" w:rsidRPr="009D52FD">
        <w:rPr>
          <w:sz w:val="20"/>
          <w:szCs w:val="20"/>
          <w:lang w:val="en-US"/>
        </w:rPr>
        <w:t xml:space="preserve"> </w:t>
      </w:r>
      <w:r w:rsidR="00A10CFD" w:rsidRPr="009D52FD">
        <w:rPr>
          <w:sz w:val="20"/>
          <w:szCs w:val="20"/>
          <w:lang w:val="en-US"/>
        </w:rPr>
        <w:t xml:space="preserve">Regarding Linda Loaiza’s other siblings, at the time of the facts, </w:t>
      </w:r>
      <w:r w:rsidR="00935F35" w:rsidRPr="009D52FD">
        <w:rPr>
          <w:sz w:val="20"/>
          <w:szCs w:val="20"/>
          <w:lang w:val="en-US"/>
        </w:rPr>
        <w:t>Diana</w:t>
      </w:r>
      <w:r w:rsidR="00963DAA" w:rsidRPr="009D52FD">
        <w:rPr>
          <w:sz w:val="20"/>
          <w:szCs w:val="20"/>
          <w:lang w:val="en-US"/>
        </w:rPr>
        <w:t xml:space="preserve"> Carolina</w:t>
      </w:r>
      <w:r w:rsidR="00935F35" w:rsidRPr="009D52FD">
        <w:rPr>
          <w:sz w:val="20"/>
          <w:szCs w:val="20"/>
          <w:lang w:val="en-US"/>
        </w:rPr>
        <w:t>, Anyi</w:t>
      </w:r>
      <w:r w:rsidR="00963DAA" w:rsidRPr="009D52FD">
        <w:rPr>
          <w:sz w:val="20"/>
          <w:szCs w:val="20"/>
          <w:lang w:val="en-US"/>
        </w:rPr>
        <w:t xml:space="preserve"> Karina</w:t>
      </w:r>
      <w:r w:rsidR="00935F35" w:rsidRPr="009D52FD">
        <w:rPr>
          <w:sz w:val="20"/>
          <w:szCs w:val="20"/>
          <w:lang w:val="en-US"/>
        </w:rPr>
        <w:t>, Nelson</w:t>
      </w:r>
      <w:r w:rsidR="00963DAA" w:rsidRPr="009D52FD">
        <w:rPr>
          <w:sz w:val="20"/>
          <w:szCs w:val="20"/>
          <w:lang w:val="en-US"/>
        </w:rPr>
        <w:t xml:space="preserve"> Enrique</w:t>
      </w:r>
      <w:r w:rsidR="00935F35" w:rsidRPr="009D52FD">
        <w:rPr>
          <w:sz w:val="20"/>
          <w:szCs w:val="20"/>
          <w:lang w:val="en-US"/>
        </w:rPr>
        <w:t>, Elith</w:t>
      </w:r>
      <w:r w:rsidR="00963DAA" w:rsidRPr="009D52FD">
        <w:rPr>
          <w:sz w:val="20"/>
          <w:szCs w:val="20"/>
          <w:lang w:val="en-US"/>
        </w:rPr>
        <w:t xml:space="preserve"> Johana</w:t>
      </w:r>
      <w:r w:rsidR="003630BB" w:rsidRPr="009D52FD">
        <w:rPr>
          <w:sz w:val="20"/>
          <w:szCs w:val="20"/>
          <w:lang w:val="en-US"/>
        </w:rPr>
        <w:t xml:space="preserve"> and </w:t>
      </w:r>
      <w:r w:rsidR="00935F35" w:rsidRPr="009D52FD">
        <w:rPr>
          <w:sz w:val="20"/>
          <w:szCs w:val="20"/>
          <w:lang w:val="en-US"/>
        </w:rPr>
        <w:t>Yusmely</w:t>
      </w:r>
      <w:r w:rsidR="0024432A" w:rsidRPr="009D52FD">
        <w:rPr>
          <w:sz w:val="20"/>
          <w:szCs w:val="20"/>
          <w:lang w:val="en-US"/>
        </w:rPr>
        <w:t xml:space="preserve"> del Valle</w:t>
      </w:r>
      <w:r w:rsidR="00A10CFD" w:rsidRPr="009D52FD">
        <w:rPr>
          <w:sz w:val="20"/>
          <w:szCs w:val="20"/>
          <w:lang w:val="en-US"/>
        </w:rPr>
        <w:t xml:space="preserve"> were in primary school because they were very young</w:t>
      </w:r>
      <w:r w:rsidR="00CC5D93" w:rsidRPr="009D52FD">
        <w:rPr>
          <w:sz w:val="20"/>
          <w:szCs w:val="20"/>
          <w:lang w:val="en-US"/>
        </w:rPr>
        <w:t>;</w:t>
      </w:r>
      <w:r w:rsidR="00935F35" w:rsidRPr="009D52FD">
        <w:rPr>
          <w:rStyle w:val="FootnoteReference"/>
          <w:sz w:val="20"/>
          <w:szCs w:val="20"/>
          <w:lang w:val="en-US"/>
        </w:rPr>
        <w:footnoteReference w:id="388"/>
      </w:r>
      <w:r w:rsidR="00935F35" w:rsidRPr="009D52FD">
        <w:rPr>
          <w:sz w:val="20"/>
          <w:szCs w:val="20"/>
          <w:lang w:val="en-US"/>
        </w:rPr>
        <w:t xml:space="preserve"> </w:t>
      </w:r>
      <w:r w:rsidR="00CC5D93" w:rsidRPr="009D52FD">
        <w:rPr>
          <w:sz w:val="20"/>
          <w:szCs w:val="20"/>
          <w:lang w:val="en-US"/>
        </w:rPr>
        <w:t>however</w:t>
      </w:r>
      <w:r w:rsidR="00A10CFD" w:rsidRPr="009D52FD">
        <w:rPr>
          <w:sz w:val="20"/>
          <w:szCs w:val="20"/>
          <w:lang w:val="en-US"/>
        </w:rPr>
        <w:t xml:space="preserve">, according to the information available, </w:t>
      </w:r>
      <w:r w:rsidR="00935F35" w:rsidRPr="009D52FD">
        <w:rPr>
          <w:sz w:val="20"/>
          <w:szCs w:val="20"/>
          <w:lang w:val="en-US"/>
        </w:rPr>
        <w:t>Diana</w:t>
      </w:r>
      <w:r w:rsidR="00963DAA" w:rsidRPr="009D52FD">
        <w:rPr>
          <w:sz w:val="20"/>
          <w:szCs w:val="20"/>
          <w:lang w:val="en-US"/>
        </w:rPr>
        <w:t xml:space="preserve"> Carolina</w:t>
      </w:r>
      <w:r w:rsidR="00FC6F99" w:rsidRPr="009D52FD">
        <w:rPr>
          <w:sz w:val="20"/>
          <w:szCs w:val="20"/>
          <w:lang w:val="en-US"/>
        </w:rPr>
        <w:t>, Any</w:t>
      </w:r>
      <w:r w:rsidR="000075D9" w:rsidRPr="009D52FD">
        <w:rPr>
          <w:sz w:val="20"/>
          <w:szCs w:val="20"/>
          <w:lang w:val="en-US"/>
        </w:rPr>
        <w:t>i Karina,</w:t>
      </w:r>
      <w:r w:rsidR="00683D83" w:rsidRPr="009D52FD">
        <w:rPr>
          <w:sz w:val="20"/>
          <w:szCs w:val="20"/>
          <w:lang w:val="en-US"/>
        </w:rPr>
        <w:t xml:space="preserve"> </w:t>
      </w:r>
      <w:r w:rsidR="00935F35" w:rsidRPr="009D52FD">
        <w:rPr>
          <w:sz w:val="20"/>
          <w:szCs w:val="20"/>
          <w:lang w:val="en-US"/>
        </w:rPr>
        <w:t>Nelson</w:t>
      </w:r>
      <w:r w:rsidR="00963DAA" w:rsidRPr="009D52FD">
        <w:rPr>
          <w:sz w:val="20"/>
          <w:szCs w:val="20"/>
          <w:lang w:val="en-US"/>
        </w:rPr>
        <w:t xml:space="preserve"> Enrique</w:t>
      </w:r>
      <w:r w:rsidR="003630BB" w:rsidRPr="009D52FD">
        <w:rPr>
          <w:sz w:val="20"/>
          <w:szCs w:val="20"/>
          <w:lang w:val="en-US"/>
        </w:rPr>
        <w:t xml:space="preserve"> and </w:t>
      </w:r>
      <w:r w:rsidR="000075D9" w:rsidRPr="009D52FD">
        <w:rPr>
          <w:sz w:val="20"/>
          <w:szCs w:val="20"/>
          <w:lang w:val="en-US"/>
        </w:rPr>
        <w:t>Elith Johana</w:t>
      </w:r>
      <w:r w:rsidR="00935F35" w:rsidRPr="009D52FD">
        <w:rPr>
          <w:sz w:val="20"/>
          <w:szCs w:val="20"/>
          <w:lang w:val="en-US"/>
        </w:rPr>
        <w:t xml:space="preserve"> </w:t>
      </w:r>
      <w:r w:rsidR="00A10CFD" w:rsidRPr="009D52FD">
        <w:rPr>
          <w:sz w:val="20"/>
          <w:szCs w:val="20"/>
          <w:lang w:val="en-US"/>
        </w:rPr>
        <w:t>have now completed their university studies.</w:t>
      </w:r>
      <w:r w:rsidR="00935F35" w:rsidRPr="009D52FD">
        <w:rPr>
          <w:rStyle w:val="FootnoteReference"/>
          <w:sz w:val="20"/>
          <w:szCs w:val="20"/>
          <w:lang w:val="en-US"/>
        </w:rPr>
        <w:footnoteReference w:id="389"/>
      </w:r>
    </w:p>
    <w:p w14:paraId="3B0D12D8" w14:textId="77777777" w:rsidR="00935F35" w:rsidRPr="009D52FD" w:rsidRDefault="00935F35" w:rsidP="00935F35">
      <w:pPr>
        <w:tabs>
          <w:tab w:val="left" w:pos="567"/>
          <w:tab w:val="num" w:pos="5057"/>
        </w:tabs>
        <w:spacing w:line="240" w:lineRule="auto"/>
        <w:rPr>
          <w:sz w:val="20"/>
          <w:szCs w:val="20"/>
          <w:lang w:val="en-US"/>
        </w:rPr>
      </w:pPr>
    </w:p>
    <w:p w14:paraId="5208DCAF" w14:textId="3B79C152" w:rsidR="00A10CFD" w:rsidRPr="009D52FD" w:rsidRDefault="00A10CFD" w:rsidP="003924BD">
      <w:pPr>
        <w:numPr>
          <w:ilvl w:val="0"/>
          <w:numId w:val="1"/>
        </w:numPr>
        <w:tabs>
          <w:tab w:val="left" w:pos="567"/>
          <w:tab w:val="num" w:pos="5057"/>
        </w:tabs>
        <w:spacing w:line="240" w:lineRule="auto"/>
        <w:ind w:left="0" w:hanging="3"/>
        <w:textAlignment w:val="auto"/>
        <w:rPr>
          <w:sz w:val="20"/>
          <w:szCs w:val="20"/>
          <w:lang w:val="en-US"/>
        </w:rPr>
      </w:pPr>
      <w:r w:rsidRPr="009D52FD">
        <w:rPr>
          <w:sz w:val="20"/>
          <w:szCs w:val="20"/>
          <w:lang w:val="en-US"/>
        </w:rPr>
        <w:t>Based on the above, as it has in other cases,</w:t>
      </w:r>
      <w:r w:rsidRPr="009D52FD">
        <w:rPr>
          <w:rStyle w:val="FootnoteReference"/>
          <w:sz w:val="20"/>
          <w:szCs w:val="20"/>
          <w:lang w:val="en-US"/>
        </w:rPr>
        <w:footnoteReference w:id="390"/>
      </w:r>
      <w:r w:rsidRPr="009D52FD">
        <w:rPr>
          <w:sz w:val="20"/>
          <w:szCs w:val="20"/>
          <w:lang w:val="en-US"/>
        </w:rPr>
        <w:t xml:space="preserve"> the Court finds it appropriate to order, as a measure of satisfaction in this case, that the State grant Linda Loaiza a scholarship so that she is able to conclude her professional training in the local or foreign university to which she is admitted. The State must cover the academic and maintenance costs</w:t>
      </w:r>
      <w:r w:rsidR="00CC5D93" w:rsidRPr="009D52FD">
        <w:rPr>
          <w:sz w:val="20"/>
          <w:szCs w:val="20"/>
          <w:lang w:val="en-US"/>
        </w:rPr>
        <w:t xml:space="preserve"> previously</w:t>
      </w:r>
      <w:r w:rsidRPr="009D52FD">
        <w:rPr>
          <w:sz w:val="20"/>
          <w:szCs w:val="20"/>
          <w:lang w:val="en-US"/>
        </w:rPr>
        <w:t xml:space="preserve">, in keeping with the cost of living of the country in which Linda Loaiza </w:t>
      </w:r>
      <w:r w:rsidR="009F6E87" w:rsidRPr="009D52FD">
        <w:rPr>
          <w:sz w:val="20"/>
          <w:szCs w:val="20"/>
          <w:lang w:val="en-US"/>
        </w:rPr>
        <w:t>will pursue her studies</w:t>
      </w:r>
      <w:r w:rsidR="00CC5D93" w:rsidRPr="009D52FD">
        <w:rPr>
          <w:sz w:val="20"/>
          <w:szCs w:val="20"/>
          <w:lang w:val="en-US"/>
        </w:rPr>
        <w:t>,</w:t>
      </w:r>
      <w:r w:rsidR="009F6E87" w:rsidRPr="009D52FD">
        <w:rPr>
          <w:sz w:val="20"/>
          <w:szCs w:val="20"/>
          <w:lang w:val="en-US"/>
        </w:rPr>
        <w:t xml:space="preserve"> so that the victim does not have to disburse the corresponding amounts for these items </w:t>
      </w:r>
      <w:r w:rsidR="00CC5D93" w:rsidRPr="009D52FD">
        <w:rPr>
          <w:sz w:val="20"/>
          <w:szCs w:val="20"/>
          <w:lang w:val="en-US"/>
        </w:rPr>
        <w:t>and</w:t>
      </w:r>
      <w:r w:rsidR="009F6E87" w:rsidRPr="009D52FD">
        <w:rPr>
          <w:sz w:val="20"/>
          <w:szCs w:val="20"/>
          <w:lang w:val="en-US"/>
        </w:rPr>
        <w:t xml:space="preserve"> then be reimbursed.</w:t>
      </w:r>
    </w:p>
    <w:p w14:paraId="20E7B372" w14:textId="77777777" w:rsidR="00935F35" w:rsidRPr="009D52FD" w:rsidRDefault="00935F35" w:rsidP="00935F35">
      <w:pPr>
        <w:tabs>
          <w:tab w:val="left" w:pos="567"/>
          <w:tab w:val="num" w:pos="5057"/>
        </w:tabs>
        <w:spacing w:line="240" w:lineRule="auto"/>
        <w:rPr>
          <w:sz w:val="20"/>
          <w:szCs w:val="20"/>
          <w:lang w:val="en-US"/>
        </w:rPr>
      </w:pPr>
    </w:p>
    <w:p w14:paraId="28BFA912" w14:textId="47636B3A" w:rsidR="009F6E87" w:rsidRPr="009D52FD" w:rsidRDefault="009F6E87" w:rsidP="003924BD">
      <w:pPr>
        <w:numPr>
          <w:ilvl w:val="0"/>
          <w:numId w:val="1"/>
        </w:numPr>
        <w:tabs>
          <w:tab w:val="left" w:pos="567"/>
          <w:tab w:val="num" w:pos="5057"/>
        </w:tabs>
        <w:spacing w:line="240" w:lineRule="auto"/>
        <w:ind w:left="0" w:hanging="3"/>
        <w:textAlignment w:val="auto"/>
        <w:rPr>
          <w:sz w:val="20"/>
          <w:szCs w:val="20"/>
          <w:lang w:val="en-US"/>
        </w:rPr>
      </w:pPr>
      <w:r w:rsidRPr="009D52FD">
        <w:rPr>
          <w:sz w:val="20"/>
          <w:szCs w:val="20"/>
          <w:lang w:val="en-US"/>
        </w:rPr>
        <w:lastRenderedPageBreak/>
        <w:t>In addition,</w:t>
      </w:r>
      <w:r w:rsidR="00935F35" w:rsidRPr="009D52FD">
        <w:rPr>
          <w:sz w:val="20"/>
          <w:szCs w:val="20"/>
          <w:lang w:val="en-US"/>
        </w:rPr>
        <w:t xml:space="preserve"> </w:t>
      </w:r>
      <w:r w:rsidR="003630BB" w:rsidRPr="009D52FD">
        <w:rPr>
          <w:sz w:val="20"/>
          <w:szCs w:val="20"/>
          <w:lang w:val="en-US"/>
        </w:rPr>
        <w:t>the Court</w:t>
      </w:r>
      <w:r w:rsidR="00935F35" w:rsidRPr="009D52FD">
        <w:rPr>
          <w:sz w:val="20"/>
          <w:szCs w:val="20"/>
          <w:lang w:val="en-US"/>
        </w:rPr>
        <w:t xml:space="preserve"> </w:t>
      </w:r>
      <w:r w:rsidRPr="009D52FD">
        <w:rPr>
          <w:sz w:val="20"/>
          <w:szCs w:val="20"/>
          <w:lang w:val="en-US"/>
        </w:rPr>
        <w:t xml:space="preserve">establishes that </w:t>
      </w:r>
      <w:r w:rsidR="0050774C" w:rsidRPr="009D52FD">
        <w:rPr>
          <w:sz w:val="20"/>
          <w:szCs w:val="20"/>
          <w:lang w:val="en-US"/>
        </w:rPr>
        <w:t xml:space="preserve">the State </w:t>
      </w:r>
      <w:r w:rsidRPr="009D52FD">
        <w:rPr>
          <w:sz w:val="20"/>
          <w:szCs w:val="20"/>
          <w:lang w:val="en-US"/>
        </w:rPr>
        <w:t xml:space="preserve">must grant a scholarship in a Venezuelan public institution of their choice to </w:t>
      </w:r>
      <w:r w:rsidR="00935F35" w:rsidRPr="009D52FD">
        <w:rPr>
          <w:sz w:val="20"/>
          <w:szCs w:val="20"/>
          <w:lang w:val="en-US"/>
        </w:rPr>
        <w:t>Ana Secilia, Anyi</w:t>
      </w:r>
      <w:r w:rsidR="00C844C9" w:rsidRPr="009D52FD">
        <w:rPr>
          <w:sz w:val="20"/>
          <w:szCs w:val="20"/>
          <w:lang w:val="en-US"/>
        </w:rPr>
        <w:t xml:space="preserve"> Karina</w:t>
      </w:r>
      <w:r w:rsidR="00935F35" w:rsidRPr="009D52FD">
        <w:rPr>
          <w:sz w:val="20"/>
          <w:szCs w:val="20"/>
          <w:lang w:val="en-US"/>
        </w:rPr>
        <w:t>, Nelson</w:t>
      </w:r>
      <w:r w:rsidR="00C844C9" w:rsidRPr="009D52FD">
        <w:rPr>
          <w:sz w:val="20"/>
          <w:szCs w:val="20"/>
          <w:lang w:val="en-US"/>
        </w:rPr>
        <w:t xml:space="preserve"> Enrique</w:t>
      </w:r>
      <w:r w:rsidR="00935F35" w:rsidRPr="009D52FD">
        <w:rPr>
          <w:sz w:val="20"/>
          <w:szCs w:val="20"/>
          <w:lang w:val="en-US"/>
        </w:rPr>
        <w:t>, Elith</w:t>
      </w:r>
      <w:r w:rsidR="00C844C9" w:rsidRPr="009D52FD">
        <w:rPr>
          <w:sz w:val="20"/>
          <w:szCs w:val="20"/>
          <w:lang w:val="en-US"/>
        </w:rPr>
        <w:t xml:space="preserve"> Johana</w:t>
      </w:r>
      <w:r w:rsidR="00935F35" w:rsidRPr="009D52FD">
        <w:rPr>
          <w:sz w:val="20"/>
          <w:szCs w:val="20"/>
          <w:lang w:val="en-US"/>
        </w:rPr>
        <w:t>, Yusmely</w:t>
      </w:r>
      <w:r w:rsidR="00C844C9" w:rsidRPr="009D52FD">
        <w:rPr>
          <w:sz w:val="20"/>
          <w:szCs w:val="20"/>
          <w:lang w:val="en-US"/>
        </w:rPr>
        <w:t xml:space="preserve"> del Valle</w:t>
      </w:r>
      <w:r w:rsidR="00935F35" w:rsidRPr="009D52FD">
        <w:rPr>
          <w:sz w:val="20"/>
          <w:szCs w:val="20"/>
          <w:lang w:val="en-US"/>
        </w:rPr>
        <w:t>, Luz Paulina</w:t>
      </w:r>
      <w:r w:rsidR="003630BB" w:rsidRPr="009D52FD">
        <w:rPr>
          <w:sz w:val="20"/>
          <w:szCs w:val="20"/>
          <w:lang w:val="en-US"/>
        </w:rPr>
        <w:t xml:space="preserve"> and </w:t>
      </w:r>
      <w:r w:rsidR="00935F35" w:rsidRPr="009D52FD">
        <w:rPr>
          <w:sz w:val="20"/>
          <w:szCs w:val="20"/>
          <w:lang w:val="en-US"/>
        </w:rPr>
        <w:t xml:space="preserve">José Isidro, </w:t>
      </w:r>
      <w:r w:rsidRPr="009D52FD">
        <w:rPr>
          <w:sz w:val="20"/>
          <w:szCs w:val="20"/>
          <w:lang w:val="en-US"/>
        </w:rPr>
        <w:t>all with the last name</w:t>
      </w:r>
      <w:r w:rsidR="00935F35" w:rsidRPr="009D52FD">
        <w:rPr>
          <w:sz w:val="20"/>
          <w:szCs w:val="20"/>
          <w:lang w:val="en-US"/>
        </w:rPr>
        <w:t xml:space="preserve"> López Soto,</w:t>
      </w:r>
      <w:r w:rsidR="00935F35" w:rsidRPr="009D52FD">
        <w:rPr>
          <w:rFonts w:cs="Arial"/>
          <w:sz w:val="20"/>
          <w:szCs w:val="20"/>
          <w:lang w:val="en-US"/>
        </w:rPr>
        <w:t xml:space="preserve"> </w:t>
      </w:r>
      <w:r w:rsidRPr="009D52FD">
        <w:rPr>
          <w:rFonts w:cs="Arial"/>
          <w:sz w:val="20"/>
          <w:szCs w:val="20"/>
          <w:lang w:val="en-US"/>
        </w:rPr>
        <w:t xml:space="preserve">to pursue advanced technical or university undergraduate or graduate studies, as applicable, or to undergo </w:t>
      </w:r>
      <w:r w:rsidR="00CC5D93" w:rsidRPr="009D52FD">
        <w:rPr>
          <w:rFonts w:cs="Arial"/>
          <w:sz w:val="20"/>
          <w:szCs w:val="20"/>
          <w:lang w:val="en-US"/>
        </w:rPr>
        <w:t>professional</w:t>
      </w:r>
      <w:r w:rsidRPr="009D52FD">
        <w:rPr>
          <w:rFonts w:cs="Arial"/>
          <w:sz w:val="20"/>
          <w:szCs w:val="20"/>
          <w:lang w:val="en-US"/>
        </w:rPr>
        <w:t xml:space="preserve"> training. This scholarship must be granted as soon as the beneficiaries</w:t>
      </w:r>
      <w:r w:rsidR="00CC5D93" w:rsidRPr="009D52FD">
        <w:rPr>
          <w:rFonts w:cs="Arial"/>
          <w:sz w:val="20"/>
          <w:szCs w:val="20"/>
          <w:lang w:val="en-US"/>
        </w:rPr>
        <w:t xml:space="preserve"> submit a</w:t>
      </w:r>
      <w:r w:rsidRPr="009D52FD">
        <w:rPr>
          <w:rFonts w:cs="Arial"/>
          <w:sz w:val="20"/>
          <w:szCs w:val="20"/>
          <w:lang w:val="en-US"/>
        </w:rPr>
        <w:t xml:space="preserve"> request </w:t>
      </w:r>
      <w:r w:rsidR="00CC5D93" w:rsidRPr="009D52FD">
        <w:rPr>
          <w:rFonts w:cs="Arial"/>
          <w:sz w:val="20"/>
          <w:szCs w:val="20"/>
          <w:lang w:val="en-US"/>
        </w:rPr>
        <w:t xml:space="preserve">to </w:t>
      </w:r>
      <w:r w:rsidRPr="009D52FD">
        <w:rPr>
          <w:rFonts w:cs="Arial"/>
          <w:sz w:val="20"/>
          <w:szCs w:val="20"/>
          <w:lang w:val="en-US"/>
        </w:rPr>
        <w:t xml:space="preserve">the State until the conclusion of their advanced technical or university studies </w:t>
      </w:r>
      <w:r w:rsidR="003630BB" w:rsidRPr="009D52FD">
        <w:rPr>
          <w:sz w:val="20"/>
          <w:szCs w:val="20"/>
          <w:lang w:val="en-US"/>
        </w:rPr>
        <w:t xml:space="preserve">and </w:t>
      </w:r>
      <w:r w:rsidRPr="009D52FD">
        <w:rPr>
          <w:sz w:val="20"/>
          <w:szCs w:val="20"/>
          <w:lang w:val="en-US"/>
        </w:rPr>
        <w:t>must cover all the expenses until they finalize these studies including academic and education</w:t>
      </w:r>
      <w:r w:rsidR="00CC5D93" w:rsidRPr="009D52FD">
        <w:rPr>
          <w:sz w:val="20"/>
          <w:szCs w:val="20"/>
          <w:lang w:val="en-US"/>
        </w:rPr>
        <w:t>al</w:t>
      </w:r>
      <w:r w:rsidRPr="009D52FD">
        <w:rPr>
          <w:sz w:val="20"/>
          <w:szCs w:val="20"/>
          <w:lang w:val="en-US"/>
        </w:rPr>
        <w:t xml:space="preserve"> material. In addition, the scholarship must be awarded as soon as po</w:t>
      </w:r>
      <w:r w:rsidR="00867E8F" w:rsidRPr="009D52FD">
        <w:rPr>
          <w:sz w:val="20"/>
          <w:szCs w:val="20"/>
          <w:lang w:val="en-US"/>
        </w:rPr>
        <w:t>s</w:t>
      </w:r>
      <w:r w:rsidRPr="009D52FD">
        <w:rPr>
          <w:sz w:val="20"/>
          <w:szCs w:val="20"/>
          <w:lang w:val="en-US"/>
        </w:rPr>
        <w:t>sible</w:t>
      </w:r>
      <w:r w:rsidR="00867E8F" w:rsidRPr="009D52FD">
        <w:rPr>
          <w:sz w:val="20"/>
          <w:szCs w:val="20"/>
          <w:lang w:val="en-US"/>
        </w:rPr>
        <w:t xml:space="preserve"> following notification of this judgment, so that the beneficiaries may commence their studies the next academic year, if they so wish. As it has in other cases,</w:t>
      </w:r>
      <w:r w:rsidR="00867E8F" w:rsidRPr="009D52FD">
        <w:rPr>
          <w:rStyle w:val="FootnoteReference"/>
          <w:sz w:val="20"/>
          <w:szCs w:val="20"/>
          <w:lang w:val="en-US"/>
        </w:rPr>
        <w:footnoteReference w:id="391"/>
      </w:r>
      <w:r w:rsidR="00867E8F" w:rsidRPr="009D52FD">
        <w:rPr>
          <w:sz w:val="20"/>
          <w:szCs w:val="20"/>
          <w:lang w:val="en-US"/>
        </w:rPr>
        <w:t xml:space="preserve"> the Court considers it sufficient to grant scholarships as indicated above</w:t>
      </w:r>
      <w:r w:rsidR="00CC5D93" w:rsidRPr="009D52FD">
        <w:rPr>
          <w:sz w:val="20"/>
          <w:szCs w:val="20"/>
          <w:lang w:val="en-US"/>
        </w:rPr>
        <w:t>; accordingly,</w:t>
      </w:r>
      <w:r w:rsidR="00867E8F" w:rsidRPr="009D52FD">
        <w:rPr>
          <w:sz w:val="20"/>
          <w:szCs w:val="20"/>
          <w:lang w:val="en-US"/>
        </w:rPr>
        <w:t xml:space="preserve"> it does not admit the representatives’ request that they should be awarded to pursue studies in countries chosen by the beneficiaries.</w:t>
      </w:r>
    </w:p>
    <w:p w14:paraId="53C0241E" w14:textId="77777777" w:rsidR="00935F35" w:rsidRPr="009D52FD" w:rsidRDefault="00935F35" w:rsidP="00935F35">
      <w:pPr>
        <w:tabs>
          <w:tab w:val="left" w:pos="567"/>
          <w:tab w:val="num" w:pos="5057"/>
        </w:tabs>
        <w:spacing w:line="240" w:lineRule="auto"/>
        <w:rPr>
          <w:sz w:val="20"/>
          <w:szCs w:val="20"/>
          <w:lang w:val="en-US"/>
        </w:rPr>
      </w:pPr>
    </w:p>
    <w:p w14:paraId="0D36816C" w14:textId="19A0D76F" w:rsidR="00935F35" w:rsidRPr="009D52FD" w:rsidRDefault="00867E8F" w:rsidP="00935F35">
      <w:pPr>
        <w:pStyle w:val="ListParagraph"/>
        <w:numPr>
          <w:ilvl w:val="0"/>
          <w:numId w:val="1"/>
        </w:numPr>
        <w:tabs>
          <w:tab w:val="left" w:pos="567"/>
          <w:tab w:val="num" w:pos="5057"/>
        </w:tabs>
        <w:spacing w:line="240" w:lineRule="auto"/>
        <w:ind w:left="0" w:firstLine="0"/>
        <w:contextualSpacing/>
        <w:textAlignment w:val="auto"/>
        <w:rPr>
          <w:sz w:val="20"/>
          <w:szCs w:val="20"/>
          <w:lang w:val="en-US"/>
        </w:rPr>
      </w:pPr>
      <w:r w:rsidRPr="009D52FD">
        <w:rPr>
          <w:sz w:val="20"/>
          <w:szCs w:val="20"/>
          <w:lang w:val="en-US"/>
        </w:rPr>
        <w:t>The victims have six months as of notification</w:t>
      </w:r>
      <w:r w:rsidR="00935F35" w:rsidRPr="009D52FD">
        <w:rPr>
          <w:sz w:val="20"/>
          <w:szCs w:val="20"/>
          <w:lang w:val="en-US"/>
        </w:rPr>
        <w:t xml:space="preserve"> </w:t>
      </w:r>
      <w:r w:rsidR="00EB0EB6" w:rsidRPr="009D52FD">
        <w:rPr>
          <w:sz w:val="20"/>
          <w:szCs w:val="20"/>
          <w:lang w:val="en-US"/>
        </w:rPr>
        <w:t>of this judgment</w:t>
      </w:r>
      <w:r w:rsidRPr="009D52FD">
        <w:rPr>
          <w:sz w:val="20"/>
          <w:szCs w:val="20"/>
          <w:lang w:val="en-US"/>
        </w:rPr>
        <w:t xml:space="preserve"> to advise the State of their intention to receive the said scholarships</w:t>
      </w:r>
      <w:r w:rsidR="00935F35" w:rsidRPr="009D52FD">
        <w:rPr>
          <w:sz w:val="20"/>
          <w:szCs w:val="20"/>
          <w:lang w:val="en-US"/>
        </w:rPr>
        <w:t>.</w:t>
      </w:r>
    </w:p>
    <w:p w14:paraId="7F0FBCA2" w14:textId="77777777" w:rsidR="00935F35" w:rsidRPr="009D52FD" w:rsidRDefault="00935F35" w:rsidP="00935F35">
      <w:pPr>
        <w:tabs>
          <w:tab w:val="left" w:pos="567"/>
          <w:tab w:val="num" w:pos="5057"/>
        </w:tabs>
        <w:spacing w:line="240" w:lineRule="auto"/>
        <w:rPr>
          <w:sz w:val="20"/>
          <w:szCs w:val="20"/>
          <w:lang w:val="en-US"/>
        </w:rPr>
      </w:pPr>
    </w:p>
    <w:p w14:paraId="19C4A018" w14:textId="3133F543" w:rsidR="00935F35" w:rsidRPr="009D52FD" w:rsidRDefault="00867E8F" w:rsidP="00935F35">
      <w:pPr>
        <w:pStyle w:val="ListParagraph"/>
        <w:numPr>
          <w:ilvl w:val="0"/>
          <w:numId w:val="1"/>
        </w:numPr>
        <w:tabs>
          <w:tab w:val="left" w:pos="567"/>
          <w:tab w:val="num" w:pos="5057"/>
        </w:tabs>
        <w:spacing w:line="240" w:lineRule="auto"/>
        <w:ind w:left="0" w:firstLine="0"/>
        <w:contextualSpacing/>
        <w:textAlignment w:val="auto"/>
        <w:rPr>
          <w:sz w:val="20"/>
          <w:szCs w:val="20"/>
          <w:lang w:val="en-US"/>
        </w:rPr>
      </w:pPr>
      <w:r w:rsidRPr="009D52FD">
        <w:rPr>
          <w:sz w:val="20"/>
          <w:szCs w:val="20"/>
          <w:lang w:val="en-US"/>
        </w:rPr>
        <w:t>In the case of</w:t>
      </w:r>
      <w:r w:rsidR="00935F35" w:rsidRPr="009D52FD">
        <w:rPr>
          <w:sz w:val="20"/>
          <w:szCs w:val="20"/>
          <w:lang w:val="en-US"/>
        </w:rPr>
        <w:t xml:space="preserve"> Diana Carolina López Soto, </w:t>
      </w:r>
      <w:r w:rsidRPr="009D52FD">
        <w:rPr>
          <w:sz w:val="20"/>
          <w:szCs w:val="20"/>
          <w:lang w:val="en-US"/>
        </w:rPr>
        <w:t>the Court notes that she currently resides in</w:t>
      </w:r>
      <w:r w:rsidR="00935F35" w:rsidRPr="009D52FD">
        <w:rPr>
          <w:sz w:val="20"/>
          <w:szCs w:val="20"/>
          <w:lang w:val="en-US"/>
        </w:rPr>
        <w:t xml:space="preserve"> Colombia</w:t>
      </w:r>
      <w:r w:rsidRPr="009D52FD">
        <w:rPr>
          <w:sz w:val="20"/>
          <w:szCs w:val="20"/>
          <w:lang w:val="en-US"/>
        </w:rPr>
        <w:t>;</w:t>
      </w:r>
      <w:r w:rsidR="00935F35" w:rsidRPr="009D52FD">
        <w:rPr>
          <w:rStyle w:val="FootnoteReference"/>
          <w:sz w:val="20"/>
          <w:szCs w:val="20"/>
          <w:lang w:val="en-US"/>
        </w:rPr>
        <w:footnoteReference w:id="392"/>
      </w:r>
      <w:r w:rsidRPr="009D52FD">
        <w:rPr>
          <w:sz w:val="20"/>
          <w:szCs w:val="20"/>
          <w:lang w:val="en-US"/>
        </w:rPr>
        <w:t xml:space="preserve"> accordingly, the Court finds it appropriate to order the State to grant her, once, the sum of</w:t>
      </w:r>
      <w:r w:rsidR="00935F35" w:rsidRPr="009D52FD">
        <w:rPr>
          <w:sz w:val="20"/>
          <w:szCs w:val="20"/>
          <w:lang w:val="en-US"/>
        </w:rPr>
        <w:t xml:space="preserve"> US$</w:t>
      </w:r>
      <w:r w:rsidR="000F670E" w:rsidRPr="009D52FD">
        <w:rPr>
          <w:sz w:val="20"/>
          <w:szCs w:val="20"/>
          <w:lang w:val="en-US"/>
        </w:rPr>
        <w:t>25</w:t>
      </w:r>
      <w:r w:rsidR="0098665D" w:rsidRPr="009D52FD">
        <w:rPr>
          <w:sz w:val="20"/>
          <w:szCs w:val="20"/>
          <w:lang w:val="en-US"/>
        </w:rPr>
        <w:t>,000.00</w:t>
      </w:r>
      <w:r w:rsidR="00935F35" w:rsidRPr="009D52FD">
        <w:rPr>
          <w:sz w:val="20"/>
          <w:szCs w:val="20"/>
          <w:lang w:val="en-US"/>
        </w:rPr>
        <w:t xml:space="preserve"> (</w:t>
      </w:r>
      <w:r w:rsidR="0098665D" w:rsidRPr="009D52FD">
        <w:rPr>
          <w:sz w:val="20"/>
          <w:szCs w:val="20"/>
          <w:lang w:val="en-US"/>
        </w:rPr>
        <w:t>twenty-five</w:t>
      </w:r>
      <w:r w:rsidR="000F670E" w:rsidRPr="009D52FD">
        <w:rPr>
          <w:sz w:val="20"/>
          <w:szCs w:val="20"/>
          <w:lang w:val="en-US"/>
        </w:rPr>
        <w:t xml:space="preserve"> </w:t>
      </w:r>
      <w:r w:rsidR="0098665D" w:rsidRPr="009D52FD">
        <w:rPr>
          <w:sz w:val="20"/>
          <w:szCs w:val="20"/>
          <w:lang w:val="en-US"/>
        </w:rPr>
        <w:t>thousand United States dollars</w:t>
      </w:r>
      <w:r w:rsidR="00935F35" w:rsidRPr="009D52FD">
        <w:rPr>
          <w:sz w:val="20"/>
          <w:szCs w:val="20"/>
          <w:lang w:val="en-US"/>
        </w:rPr>
        <w:t>)</w:t>
      </w:r>
      <w:r w:rsidR="00141EC3" w:rsidRPr="009D52FD">
        <w:rPr>
          <w:sz w:val="20"/>
          <w:szCs w:val="20"/>
          <w:lang w:val="en-US"/>
        </w:rPr>
        <w:t xml:space="preserve"> to be able to cover the expenses required to conclude her professional training in her country of residence. The State has one year from notification </w:t>
      </w:r>
      <w:r w:rsidR="00EB0EB6" w:rsidRPr="009D52FD">
        <w:rPr>
          <w:sz w:val="20"/>
          <w:szCs w:val="20"/>
          <w:lang w:val="en-US"/>
        </w:rPr>
        <w:t>of this judgment</w:t>
      </w:r>
      <w:r w:rsidR="00141EC3" w:rsidRPr="009D52FD">
        <w:rPr>
          <w:sz w:val="20"/>
          <w:szCs w:val="20"/>
          <w:lang w:val="en-US"/>
        </w:rPr>
        <w:t xml:space="preserve"> to pay the sum ordered</w:t>
      </w:r>
      <w:r w:rsidR="00935F35" w:rsidRPr="009D52FD">
        <w:rPr>
          <w:sz w:val="20"/>
          <w:szCs w:val="20"/>
          <w:lang w:val="en-US"/>
        </w:rPr>
        <w:t>.</w:t>
      </w:r>
    </w:p>
    <w:p w14:paraId="273E7B55" w14:textId="77777777" w:rsidR="00935F35" w:rsidRPr="009D52FD" w:rsidRDefault="00935F35" w:rsidP="00935F35">
      <w:pPr>
        <w:pStyle w:val="ListParagraph"/>
        <w:tabs>
          <w:tab w:val="left" w:pos="567"/>
        </w:tabs>
        <w:spacing w:line="240" w:lineRule="auto"/>
        <w:ind w:left="0"/>
        <w:rPr>
          <w:sz w:val="20"/>
          <w:szCs w:val="20"/>
          <w:lang w:val="en-US"/>
        </w:rPr>
      </w:pPr>
    </w:p>
    <w:p w14:paraId="230E31B7" w14:textId="3E9F094E" w:rsidR="00935F35" w:rsidRPr="009D52FD" w:rsidRDefault="00141EC3" w:rsidP="00935F35">
      <w:pPr>
        <w:pStyle w:val="ListParagraph"/>
        <w:numPr>
          <w:ilvl w:val="0"/>
          <w:numId w:val="1"/>
        </w:numPr>
        <w:tabs>
          <w:tab w:val="left" w:pos="567"/>
          <w:tab w:val="num" w:pos="5057"/>
        </w:tabs>
        <w:spacing w:line="240" w:lineRule="auto"/>
        <w:ind w:left="0" w:firstLine="0"/>
        <w:contextualSpacing/>
        <w:textAlignment w:val="auto"/>
        <w:rPr>
          <w:sz w:val="20"/>
          <w:szCs w:val="20"/>
          <w:lang w:val="en-US"/>
        </w:rPr>
      </w:pPr>
      <w:r w:rsidRPr="009D52FD">
        <w:rPr>
          <w:sz w:val="20"/>
          <w:szCs w:val="20"/>
          <w:lang w:val="en-US"/>
        </w:rPr>
        <w:t>Lastly, with regard to</w:t>
      </w:r>
      <w:r w:rsidR="00935F35" w:rsidRPr="009D52FD">
        <w:rPr>
          <w:sz w:val="20"/>
          <w:szCs w:val="20"/>
          <w:lang w:val="en-US"/>
        </w:rPr>
        <w:t xml:space="preserve"> </w:t>
      </w:r>
      <w:r w:rsidR="003630BB" w:rsidRPr="009D52FD">
        <w:rPr>
          <w:sz w:val="20"/>
          <w:szCs w:val="20"/>
          <w:lang w:val="en-US"/>
        </w:rPr>
        <w:t>the representatives</w:t>
      </w:r>
      <w:r w:rsidRPr="009D52FD">
        <w:rPr>
          <w:sz w:val="20"/>
          <w:szCs w:val="20"/>
          <w:lang w:val="en-US"/>
        </w:rPr>
        <w:t>’ request in their final arguments concerning the award of scholarships to the children of</w:t>
      </w:r>
      <w:r w:rsidR="00935F35" w:rsidRPr="009D52FD">
        <w:rPr>
          <w:sz w:val="20"/>
          <w:szCs w:val="20"/>
          <w:lang w:val="en-US"/>
        </w:rPr>
        <w:t xml:space="preserve"> Ana Secilia López Soto, </w:t>
      </w:r>
      <w:r w:rsidRPr="009D52FD">
        <w:rPr>
          <w:sz w:val="20"/>
          <w:szCs w:val="20"/>
          <w:lang w:val="en-US"/>
        </w:rPr>
        <w:t>the Court notes that they have not been considered beneficiaries of reparations in this judgment. Moreover, the measure was requested belatedly</w:t>
      </w:r>
      <w:r w:rsidR="00CC5D93" w:rsidRPr="009D52FD">
        <w:rPr>
          <w:sz w:val="20"/>
          <w:szCs w:val="20"/>
          <w:lang w:val="en-US"/>
        </w:rPr>
        <w:t>; c</w:t>
      </w:r>
      <w:r w:rsidRPr="009D52FD">
        <w:rPr>
          <w:sz w:val="20"/>
          <w:szCs w:val="20"/>
          <w:lang w:val="en-US"/>
        </w:rPr>
        <w:t xml:space="preserve">onsequently, it is inadmissible.  </w:t>
      </w:r>
    </w:p>
    <w:p w14:paraId="7295F80B" w14:textId="77777777" w:rsidR="00935F35" w:rsidRPr="009D52FD" w:rsidRDefault="00935F35" w:rsidP="00935F35">
      <w:pPr>
        <w:tabs>
          <w:tab w:val="left" w:pos="567"/>
        </w:tabs>
        <w:spacing w:line="240" w:lineRule="auto"/>
        <w:rPr>
          <w:sz w:val="20"/>
          <w:szCs w:val="20"/>
          <w:lang w:val="en-US"/>
        </w:rPr>
      </w:pPr>
    </w:p>
    <w:p w14:paraId="7E59B188" w14:textId="7FFB78EF" w:rsidR="00935F35" w:rsidRPr="009D52FD" w:rsidRDefault="00935F35" w:rsidP="00F11556">
      <w:pPr>
        <w:pStyle w:val="Heading2"/>
        <w:tabs>
          <w:tab w:val="left" w:pos="1701"/>
        </w:tabs>
        <w:spacing w:before="0" w:line="240" w:lineRule="auto"/>
        <w:ind w:left="1134"/>
        <w:rPr>
          <w:rFonts w:ascii="Verdana" w:hAnsi="Verdana"/>
          <w:b w:val="0"/>
          <w:i/>
          <w:color w:val="auto"/>
          <w:sz w:val="20"/>
          <w:szCs w:val="20"/>
          <w:lang w:val="en-US"/>
        </w:rPr>
      </w:pPr>
      <w:bookmarkStart w:id="122" w:name="_Toc51400119"/>
      <w:r w:rsidRPr="009D52FD">
        <w:rPr>
          <w:rFonts w:ascii="Verdana" w:hAnsi="Verdana"/>
          <w:b w:val="0"/>
          <w:i/>
          <w:color w:val="auto"/>
          <w:sz w:val="20"/>
          <w:szCs w:val="20"/>
          <w:lang w:val="en-US"/>
        </w:rPr>
        <w:t xml:space="preserve">C.3 </w:t>
      </w:r>
      <w:r w:rsidR="007405C9" w:rsidRPr="009D52FD">
        <w:rPr>
          <w:rFonts w:ascii="Verdana" w:hAnsi="Verdana"/>
          <w:b w:val="0"/>
          <w:i/>
          <w:color w:val="auto"/>
          <w:sz w:val="20"/>
          <w:szCs w:val="20"/>
          <w:lang w:val="en-US"/>
        </w:rPr>
        <w:tab/>
      </w:r>
      <w:r w:rsidR="0098665D" w:rsidRPr="009D52FD">
        <w:rPr>
          <w:rFonts w:ascii="Verdana" w:hAnsi="Verdana"/>
          <w:b w:val="0"/>
          <w:i/>
          <w:color w:val="auto"/>
          <w:sz w:val="20"/>
          <w:szCs w:val="20"/>
          <w:lang w:val="en-US"/>
        </w:rPr>
        <w:t>Guarantees of non-repetition</w:t>
      </w:r>
      <w:bookmarkEnd w:id="122"/>
    </w:p>
    <w:p w14:paraId="51FCB234" w14:textId="77777777" w:rsidR="00935F35" w:rsidRPr="009D52FD" w:rsidRDefault="00935F35" w:rsidP="00935F35">
      <w:pPr>
        <w:tabs>
          <w:tab w:val="left" w:pos="567"/>
        </w:tabs>
        <w:spacing w:line="240" w:lineRule="auto"/>
        <w:rPr>
          <w:i/>
          <w:sz w:val="20"/>
          <w:szCs w:val="20"/>
          <w:lang w:val="en-US"/>
        </w:rPr>
      </w:pPr>
      <w:r w:rsidRPr="009D52FD">
        <w:rPr>
          <w:i/>
          <w:sz w:val="20"/>
          <w:szCs w:val="20"/>
          <w:lang w:val="en-US"/>
        </w:rPr>
        <w:t xml:space="preserve"> </w:t>
      </w:r>
    </w:p>
    <w:p w14:paraId="664D6236" w14:textId="6056618A" w:rsidR="00935F35" w:rsidRPr="009D52FD" w:rsidRDefault="00935F35" w:rsidP="00C6536C">
      <w:pPr>
        <w:tabs>
          <w:tab w:val="left" w:pos="567"/>
          <w:tab w:val="left" w:pos="2127"/>
          <w:tab w:val="left" w:pos="2552"/>
        </w:tabs>
        <w:spacing w:line="240" w:lineRule="auto"/>
        <w:ind w:left="1701"/>
        <w:rPr>
          <w:rFonts w:eastAsia="MS Mincho"/>
          <w:i/>
          <w:sz w:val="20"/>
          <w:szCs w:val="20"/>
          <w:lang w:val="en-US" w:bidi="en-US"/>
        </w:rPr>
      </w:pPr>
      <w:r w:rsidRPr="009D52FD">
        <w:rPr>
          <w:rFonts w:eastAsia="MS Mincho"/>
          <w:i/>
          <w:sz w:val="20"/>
          <w:szCs w:val="20"/>
          <w:lang w:val="en-US" w:bidi="en-US"/>
        </w:rPr>
        <w:t>C.3.</w:t>
      </w:r>
      <w:r w:rsidR="007C6E52" w:rsidRPr="009D52FD">
        <w:rPr>
          <w:rFonts w:eastAsia="MS Mincho"/>
          <w:i/>
          <w:sz w:val="20"/>
          <w:szCs w:val="20"/>
          <w:lang w:val="en-US" w:bidi="en-US"/>
        </w:rPr>
        <w:t>a</w:t>
      </w:r>
      <w:r w:rsidRPr="009D52FD">
        <w:rPr>
          <w:rFonts w:eastAsia="MS Mincho"/>
          <w:i/>
          <w:sz w:val="20"/>
          <w:szCs w:val="20"/>
          <w:lang w:val="en-US" w:bidi="en-US"/>
        </w:rPr>
        <w:t xml:space="preserve">) </w:t>
      </w:r>
      <w:r w:rsidR="007C6E52" w:rsidRPr="009D52FD">
        <w:rPr>
          <w:rFonts w:eastAsia="MS Mincho"/>
          <w:i/>
          <w:sz w:val="20"/>
          <w:szCs w:val="20"/>
          <w:lang w:val="en-US" w:bidi="en-US"/>
        </w:rPr>
        <w:tab/>
      </w:r>
      <w:r w:rsidRPr="009D52FD">
        <w:rPr>
          <w:rFonts w:eastAsia="MS Mincho"/>
          <w:i/>
          <w:sz w:val="20"/>
          <w:szCs w:val="20"/>
          <w:lang w:val="en-US" w:bidi="en-US"/>
        </w:rPr>
        <w:t>Adop</w:t>
      </w:r>
      <w:r w:rsidR="0098665D" w:rsidRPr="009D52FD">
        <w:rPr>
          <w:rFonts w:eastAsia="MS Mincho"/>
          <w:i/>
          <w:sz w:val="20"/>
          <w:szCs w:val="20"/>
          <w:lang w:val="en-US" w:bidi="en-US"/>
        </w:rPr>
        <w:t xml:space="preserve">tion of measures to strengthen institutional capacity in order to ensure </w:t>
      </w:r>
      <w:r w:rsidR="00CC5D93" w:rsidRPr="009D52FD">
        <w:rPr>
          <w:rFonts w:eastAsia="MS Mincho"/>
          <w:i/>
          <w:sz w:val="20"/>
          <w:szCs w:val="20"/>
          <w:lang w:val="en-US" w:bidi="en-US"/>
        </w:rPr>
        <w:t>a</w:t>
      </w:r>
      <w:r w:rsidR="0098665D" w:rsidRPr="009D52FD">
        <w:rPr>
          <w:rFonts w:eastAsia="MS Mincho"/>
          <w:i/>
          <w:sz w:val="20"/>
          <w:szCs w:val="20"/>
          <w:lang w:val="en-US" w:bidi="en-US"/>
        </w:rPr>
        <w:t>ccess to justice for women victims of violence</w:t>
      </w:r>
    </w:p>
    <w:p w14:paraId="41BD8BFB" w14:textId="77777777" w:rsidR="00935F35" w:rsidRPr="009D52FD" w:rsidRDefault="00935F35" w:rsidP="00935F35">
      <w:pPr>
        <w:tabs>
          <w:tab w:val="left" w:pos="0"/>
        </w:tabs>
        <w:spacing w:line="240" w:lineRule="auto"/>
        <w:ind w:firstLine="567"/>
        <w:rPr>
          <w:lang w:val="en-US"/>
        </w:rPr>
      </w:pPr>
    </w:p>
    <w:p w14:paraId="12D30537" w14:textId="3E27B76B" w:rsidR="00141EC3" w:rsidRPr="009D52FD" w:rsidRDefault="003630BB" w:rsidP="00141EC3">
      <w:pPr>
        <w:numPr>
          <w:ilvl w:val="0"/>
          <w:numId w:val="1"/>
        </w:numPr>
        <w:tabs>
          <w:tab w:val="left" w:pos="567"/>
        </w:tabs>
        <w:spacing w:line="240" w:lineRule="auto"/>
        <w:ind w:left="0" w:firstLine="0"/>
        <w:textAlignment w:val="auto"/>
        <w:rPr>
          <w:rFonts w:eastAsia="MS Mincho"/>
          <w:sz w:val="20"/>
          <w:szCs w:val="20"/>
          <w:lang w:val="en-US" w:bidi="en-US"/>
        </w:rPr>
      </w:pPr>
      <w:r w:rsidRPr="009D52FD">
        <w:rPr>
          <w:rFonts w:eastAsia="MS Mincho"/>
          <w:sz w:val="20"/>
          <w:szCs w:val="20"/>
          <w:lang w:val="en-US" w:bidi="en-US"/>
        </w:rPr>
        <w:t xml:space="preserve">The </w:t>
      </w:r>
      <w:r w:rsidRPr="009D52FD">
        <w:rPr>
          <w:rFonts w:eastAsia="MS Mincho"/>
          <w:b/>
          <w:bCs/>
          <w:i/>
          <w:iCs/>
          <w:sz w:val="20"/>
          <w:szCs w:val="20"/>
          <w:lang w:val="en-US" w:bidi="en-US"/>
        </w:rPr>
        <w:t>Commission</w:t>
      </w:r>
      <w:r w:rsidR="00935F35" w:rsidRPr="009D52FD">
        <w:rPr>
          <w:rFonts w:eastAsia="MS Mincho"/>
          <w:sz w:val="20"/>
          <w:szCs w:val="20"/>
          <w:lang w:val="en-US" w:bidi="en-US"/>
        </w:rPr>
        <w:t xml:space="preserve"> </w:t>
      </w:r>
      <w:r w:rsidR="00141EC3" w:rsidRPr="009D52FD">
        <w:rPr>
          <w:rFonts w:eastAsia="MS Mincho"/>
          <w:sz w:val="20"/>
          <w:szCs w:val="20"/>
          <w:lang w:val="en-US" w:bidi="en-US"/>
        </w:rPr>
        <w:t>asked</w:t>
      </w:r>
      <w:r w:rsidR="00935F35" w:rsidRPr="009D52FD">
        <w:rPr>
          <w:sz w:val="20"/>
          <w:szCs w:val="20"/>
          <w:lang w:val="en-US"/>
        </w:rPr>
        <w:t xml:space="preserve"> </w:t>
      </w:r>
      <w:r w:rsidRPr="009D52FD">
        <w:rPr>
          <w:sz w:val="20"/>
          <w:szCs w:val="20"/>
          <w:lang w:val="en-US"/>
        </w:rPr>
        <w:t>the Court</w:t>
      </w:r>
      <w:r w:rsidR="00935F35" w:rsidRPr="009D52FD">
        <w:rPr>
          <w:sz w:val="20"/>
          <w:szCs w:val="20"/>
          <w:lang w:val="en-US"/>
        </w:rPr>
        <w:t xml:space="preserve"> </w:t>
      </w:r>
      <w:r w:rsidR="00141EC3" w:rsidRPr="009D52FD">
        <w:rPr>
          <w:sz w:val="20"/>
          <w:szCs w:val="20"/>
          <w:lang w:val="en-US"/>
        </w:rPr>
        <w:t xml:space="preserve">to order the State to adopt legislative, administrative or other measures to guarantee </w:t>
      </w:r>
      <w:r w:rsidR="00614F40" w:rsidRPr="009D52FD">
        <w:rPr>
          <w:sz w:val="20"/>
          <w:szCs w:val="20"/>
          <w:lang w:val="en-US"/>
        </w:rPr>
        <w:t>a</w:t>
      </w:r>
      <w:r w:rsidR="00141EC3" w:rsidRPr="009D52FD">
        <w:rPr>
          <w:sz w:val="20"/>
          <w:szCs w:val="20"/>
          <w:lang w:val="en-US"/>
        </w:rPr>
        <w:t xml:space="preserve">ccess to justice for women who are victims of violence in </w:t>
      </w:r>
      <w:r w:rsidR="00935F35" w:rsidRPr="009D52FD">
        <w:rPr>
          <w:sz w:val="20"/>
          <w:szCs w:val="20"/>
          <w:lang w:val="en-US"/>
        </w:rPr>
        <w:t xml:space="preserve">Venezuela. </w:t>
      </w:r>
      <w:r w:rsidR="00141EC3" w:rsidRPr="009D52FD">
        <w:rPr>
          <w:sz w:val="20"/>
          <w:szCs w:val="20"/>
          <w:lang w:val="en-US"/>
        </w:rPr>
        <w:t xml:space="preserve">In this regard, it requested that the State implement, at the state level, accessible reporting mechanisms for women victims of violence, taking into account the standards established by </w:t>
      </w:r>
      <w:r w:rsidRPr="009D52FD">
        <w:rPr>
          <w:sz w:val="20"/>
          <w:szCs w:val="20"/>
          <w:lang w:val="en-US"/>
        </w:rPr>
        <w:t>the Commission</w:t>
      </w:r>
      <w:r w:rsidR="00935F35" w:rsidRPr="009D52FD">
        <w:rPr>
          <w:sz w:val="20"/>
          <w:szCs w:val="20"/>
          <w:lang w:val="en-US"/>
        </w:rPr>
        <w:t xml:space="preserve"> </w:t>
      </w:r>
      <w:r w:rsidR="00141EC3" w:rsidRPr="009D52FD">
        <w:rPr>
          <w:sz w:val="20"/>
          <w:szCs w:val="20"/>
          <w:lang w:val="en-US"/>
        </w:rPr>
        <w:t>i</w:t>
      </w:r>
      <w:r w:rsidR="00935F35" w:rsidRPr="009D52FD">
        <w:rPr>
          <w:sz w:val="20"/>
          <w:szCs w:val="20"/>
          <w:lang w:val="en-US"/>
        </w:rPr>
        <w:t xml:space="preserve">n </w:t>
      </w:r>
      <w:r w:rsidR="00483040" w:rsidRPr="009D52FD">
        <w:rPr>
          <w:sz w:val="20"/>
          <w:szCs w:val="20"/>
          <w:lang w:val="en-US"/>
        </w:rPr>
        <w:t>the Merits Report</w:t>
      </w:r>
      <w:r w:rsidR="00935F35" w:rsidRPr="009D52FD">
        <w:rPr>
          <w:sz w:val="20"/>
          <w:szCs w:val="20"/>
          <w:lang w:val="en-US"/>
        </w:rPr>
        <w:t xml:space="preserve">. </w:t>
      </w:r>
      <w:r w:rsidR="00141EC3" w:rsidRPr="009D52FD">
        <w:rPr>
          <w:sz w:val="20"/>
          <w:szCs w:val="20"/>
          <w:lang w:val="en-US"/>
        </w:rPr>
        <w:t>It also requested that the State design and implement policies to prevent violence against women and gender-based violence that included the corresponding monitoring and oversight mechanisms.</w:t>
      </w:r>
    </w:p>
    <w:p w14:paraId="3CD451F9" w14:textId="77777777" w:rsidR="00935F35" w:rsidRPr="009D52FD" w:rsidRDefault="00935F35" w:rsidP="00935F35">
      <w:pPr>
        <w:tabs>
          <w:tab w:val="left" w:pos="567"/>
        </w:tabs>
        <w:spacing w:line="240" w:lineRule="auto"/>
        <w:rPr>
          <w:rFonts w:eastAsia="MS Mincho"/>
          <w:sz w:val="20"/>
          <w:szCs w:val="20"/>
          <w:lang w:val="en-US" w:bidi="en-US"/>
        </w:rPr>
      </w:pPr>
    </w:p>
    <w:p w14:paraId="20FFC4EF" w14:textId="486A5B68" w:rsidR="00230D1C" w:rsidRPr="009D52FD" w:rsidRDefault="003630BB" w:rsidP="00230D1C">
      <w:pPr>
        <w:numPr>
          <w:ilvl w:val="0"/>
          <w:numId w:val="1"/>
        </w:numPr>
        <w:tabs>
          <w:tab w:val="left" w:pos="567"/>
        </w:tabs>
        <w:spacing w:line="240" w:lineRule="auto"/>
        <w:ind w:left="0" w:firstLine="0"/>
        <w:textAlignment w:val="auto"/>
        <w:rPr>
          <w:rFonts w:eastAsia="MS Mincho"/>
          <w:sz w:val="20"/>
          <w:szCs w:val="20"/>
          <w:lang w:val="en-US" w:bidi="en-US"/>
        </w:rPr>
      </w:pPr>
      <w:r w:rsidRPr="009D52FD">
        <w:rPr>
          <w:rFonts w:eastAsia="MS Mincho"/>
          <w:iCs/>
          <w:sz w:val="20"/>
          <w:szCs w:val="20"/>
          <w:lang w:val="en-US" w:bidi="en-US"/>
        </w:rPr>
        <w:t xml:space="preserve">The </w:t>
      </w:r>
      <w:r w:rsidRPr="009D52FD">
        <w:rPr>
          <w:rFonts w:eastAsia="MS Mincho"/>
          <w:b/>
          <w:bCs/>
          <w:i/>
          <w:sz w:val="20"/>
          <w:szCs w:val="20"/>
          <w:lang w:val="en-US" w:bidi="en-US"/>
        </w:rPr>
        <w:t>representatives</w:t>
      </w:r>
      <w:r w:rsidR="00935F35" w:rsidRPr="009D52FD">
        <w:rPr>
          <w:rFonts w:eastAsia="MS Mincho"/>
          <w:sz w:val="20"/>
          <w:szCs w:val="20"/>
          <w:lang w:val="en-US" w:bidi="en-US"/>
        </w:rPr>
        <w:t xml:space="preserve"> </w:t>
      </w:r>
      <w:r w:rsidR="00141EC3" w:rsidRPr="009D52FD">
        <w:rPr>
          <w:rFonts w:eastAsia="MS Mincho"/>
          <w:sz w:val="20"/>
          <w:szCs w:val="20"/>
          <w:lang w:val="en-US" w:bidi="en-US"/>
        </w:rPr>
        <w:t>asked that</w:t>
      </w:r>
      <w:r w:rsidR="00935F35" w:rsidRPr="009D52FD">
        <w:rPr>
          <w:rFonts w:eastAsia="MS Mincho"/>
          <w:sz w:val="20"/>
          <w:szCs w:val="20"/>
          <w:lang w:val="en-US" w:bidi="en-US"/>
        </w:rPr>
        <w:t xml:space="preserve"> </w:t>
      </w:r>
      <w:r w:rsidRPr="009D52FD">
        <w:rPr>
          <w:rFonts w:eastAsia="MS Mincho"/>
          <w:sz w:val="20"/>
          <w:szCs w:val="20"/>
          <w:lang w:val="en-US" w:bidi="en-US"/>
        </w:rPr>
        <w:t>the State</w:t>
      </w:r>
      <w:r w:rsidR="00935F35" w:rsidRPr="009D52FD">
        <w:rPr>
          <w:rFonts w:eastAsia="MS Mincho"/>
          <w:sz w:val="20"/>
          <w:szCs w:val="20"/>
          <w:lang w:val="en-US" w:bidi="en-US"/>
        </w:rPr>
        <w:t xml:space="preserve"> </w:t>
      </w:r>
      <w:r w:rsidR="00230D1C" w:rsidRPr="009D52FD">
        <w:rPr>
          <w:rFonts w:eastAsia="MS Mincho"/>
          <w:sz w:val="20"/>
          <w:szCs w:val="20"/>
          <w:lang w:val="en-US" w:bidi="en-US"/>
        </w:rPr>
        <w:t xml:space="preserve">adapt its domestic legislation to international standards in order to establish an effective remedy that would allow women and girls who are victims of any kind of violence to file complaints on the violation of their rights. In this regard, they </w:t>
      </w:r>
      <w:r w:rsidR="00614F40" w:rsidRPr="009D52FD">
        <w:rPr>
          <w:rFonts w:eastAsia="MS Mincho"/>
          <w:sz w:val="20"/>
          <w:szCs w:val="20"/>
          <w:lang w:val="en-US" w:bidi="en-US"/>
        </w:rPr>
        <w:t>asked</w:t>
      </w:r>
      <w:r w:rsidR="00230D1C" w:rsidRPr="009D52FD">
        <w:rPr>
          <w:rFonts w:eastAsia="MS Mincho"/>
          <w:sz w:val="20"/>
          <w:szCs w:val="20"/>
          <w:lang w:val="en-US" w:bidi="en-US"/>
        </w:rPr>
        <w:t xml:space="preserve"> this Court to oblige the State to regulate the </w:t>
      </w:r>
      <w:r w:rsidR="00864649" w:rsidRPr="009D52FD">
        <w:rPr>
          <w:rFonts w:eastAsia="MS Mincho"/>
          <w:sz w:val="20"/>
          <w:szCs w:val="20"/>
          <w:lang w:val="en-US" w:bidi="en-US"/>
        </w:rPr>
        <w:t>Organic Law on the Right of Women to a Life Free of Violence</w:t>
      </w:r>
      <w:r w:rsidR="00935F35" w:rsidRPr="009D52FD">
        <w:rPr>
          <w:rFonts w:eastAsia="MS Mincho"/>
          <w:sz w:val="20"/>
          <w:szCs w:val="20"/>
          <w:lang w:val="en-US" w:bidi="en-US"/>
        </w:rPr>
        <w:t>.</w:t>
      </w:r>
      <w:r w:rsidR="00683D83" w:rsidRPr="009D52FD">
        <w:rPr>
          <w:rFonts w:eastAsia="MS Mincho"/>
          <w:sz w:val="20"/>
          <w:szCs w:val="20"/>
          <w:lang w:val="en-US" w:bidi="en-US"/>
        </w:rPr>
        <w:t xml:space="preserve"> </w:t>
      </w:r>
      <w:r w:rsidR="00230D1C" w:rsidRPr="009D52FD">
        <w:rPr>
          <w:rFonts w:eastAsia="MS Mincho"/>
          <w:sz w:val="20"/>
          <w:szCs w:val="20"/>
          <w:lang w:val="en-US" w:bidi="en-US"/>
        </w:rPr>
        <w:t>Also, in order to ensure effective investigations and appropriate punishments in cases of violence against women, they asked that the Court order the State to ensure that the public institutions responsible for th</w:t>
      </w:r>
      <w:r w:rsidR="00614F40" w:rsidRPr="009D52FD">
        <w:rPr>
          <w:rFonts w:eastAsia="MS Mincho"/>
          <w:sz w:val="20"/>
          <w:szCs w:val="20"/>
          <w:lang w:val="en-US" w:bidi="en-US"/>
        </w:rPr>
        <w:t>ese</w:t>
      </w:r>
      <w:r w:rsidR="00230D1C" w:rsidRPr="009D52FD">
        <w:rPr>
          <w:rFonts w:eastAsia="MS Mincho"/>
          <w:sz w:val="20"/>
          <w:szCs w:val="20"/>
          <w:lang w:val="en-US" w:bidi="en-US"/>
        </w:rPr>
        <w:t xml:space="preserve"> task</w:t>
      </w:r>
      <w:r w:rsidR="00614F40" w:rsidRPr="009D52FD">
        <w:rPr>
          <w:rFonts w:eastAsia="MS Mincho"/>
          <w:sz w:val="20"/>
          <w:szCs w:val="20"/>
          <w:lang w:val="en-US" w:bidi="en-US"/>
        </w:rPr>
        <w:t>s</w:t>
      </w:r>
      <w:r w:rsidR="00230D1C" w:rsidRPr="009D52FD">
        <w:rPr>
          <w:rFonts w:eastAsia="MS Mincho"/>
          <w:sz w:val="20"/>
          <w:szCs w:val="20"/>
          <w:lang w:val="en-US" w:bidi="en-US"/>
        </w:rPr>
        <w:t xml:space="preserve"> have sufficient authority and human and financial resources.</w:t>
      </w:r>
    </w:p>
    <w:p w14:paraId="5EB51FCC" w14:textId="77777777" w:rsidR="00935F35" w:rsidRPr="009D52FD" w:rsidRDefault="00935F35" w:rsidP="00935F35">
      <w:pPr>
        <w:tabs>
          <w:tab w:val="left" w:pos="567"/>
        </w:tabs>
        <w:spacing w:line="240" w:lineRule="auto"/>
        <w:rPr>
          <w:rFonts w:eastAsia="MS Mincho"/>
          <w:sz w:val="20"/>
          <w:szCs w:val="20"/>
          <w:lang w:val="en-US" w:bidi="en-US"/>
        </w:rPr>
      </w:pPr>
    </w:p>
    <w:p w14:paraId="6591D0AA" w14:textId="43C69064" w:rsidR="00935F35" w:rsidRPr="009D52FD" w:rsidRDefault="003630BB" w:rsidP="00230D1C">
      <w:pPr>
        <w:numPr>
          <w:ilvl w:val="0"/>
          <w:numId w:val="1"/>
        </w:numPr>
        <w:tabs>
          <w:tab w:val="left" w:pos="567"/>
        </w:tabs>
        <w:spacing w:line="240" w:lineRule="auto"/>
        <w:ind w:left="0" w:firstLine="0"/>
        <w:textAlignment w:val="auto"/>
        <w:rPr>
          <w:rFonts w:eastAsia="MS Mincho"/>
          <w:sz w:val="20"/>
          <w:szCs w:val="20"/>
          <w:lang w:val="en-US" w:bidi="en-US"/>
        </w:rPr>
      </w:pPr>
      <w:r w:rsidRPr="009D52FD">
        <w:rPr>
          <w:rFonts w:eastAsia="MS Mincho"/>
          <w:sz w:val="20"/>
          <w:szCs w:val="20"/>
          <w:lang w:val="en-US" w:bidi="en-US"/>
        </w:rPr>
        <w:t xml:space="preserve">The </w:t>
      </w:r>
      <w:r w:rsidRPr="009D52FD">
        <w:rPr>
          <w:rFonts w:eastAsia="MS Mincho"/>
          <w:b/>
          <w:bCs/>
          <w:i/>
          <w:iCs/>
          <w:sz w:val="20"/>
          <w:szCs w:val="20"/>
          <w:lang w:val="en-US" w:bidi="en-US"/>
        </w:rPr>
        <w:t>State</w:t>
      </w:r>
      <w:r w:rsidR="00935F35" w:rsidRPr="009D52FD">
        <w:rPr>
          <w:rFonts w:eastAsia="MS Mincho"/>
          <w:sz w:val="20"/>
          <w:szCs w:val="20"/>
          <w:lang w:val="en-US" w:bidi="en-US"/>
        </w:rPr>
        <w:t xml:space="preserve"> a</w:t>
      </w:r>
      <w:r w:rsidR="00230D1C" w:rsidRPr="009D52FD">
        <w:rPr>
          <w:rFonts w:eastAsia="MS Mincho"/>
          <w:sz w:val="20"/>
          <w:szCs w:val="20"/>
          <w:lang w:val="en-US" w:bidi="en-US"/>
        </w:rPr>
        <w:t>rgued that, to address</w:t>
      </w:r>
      <w:r w:rsidR="00935F35" w:rsidRPr="009D52FD">
        <w:rPr>
          <w:rFonts w:eastAsia="MS Mincho"/>
          <w:sz w:val="20"/>
          <w:szCs w:val="20"/>
          <w:lang w:val="en-US" w:bidi="en-US"/>
        </w:rPr>
        <w:t xml:space="preserve"> </w:t>
      </w:r>
      <w:r w:rsidR="005935CA" w:rsidRPr="009D52FD">
        <w:rPr>
          <w:rFonts w:eastAsia="MS Mincho"/>
          <w:sz w:val="20"/>
          <w:szCs w:val="20"/>
          <w:lang w:val="en-US" w:bidi="en-US"/>
        </w:rPr>
        <w:t>violence against women</w:t>
      </w:r>
      <w:r w:rsidRPr="009D52FD">
        <w:rPr>
          <w:rFonts w:eastAsia="MS Mincho"/>
          <w:sz w:val="20"/>
          <w:szCs w:val="20"/>
          <w:lang w:val="en-US" w:bidi="en-US"/>
        </w:rPr>
        <w:t xml:space="preserve"> and </w:t>
      </w:r>
      <w:r w:rsidR="00230D1C" w:rsidRPr="009D52FD">
        <w:rPr>
          <w:rFonts w:eastAsia="MS Mincho"/>
          <w:sz w:val="20"/>
          <w:szCs w:val="20"/>
          <w:lang w:val="en-US" w:bidi="en-US"/>
        </w:rPr>
        <w:t xml:space="preserve">to adapt its domestic laws to the </w:t>
      </w:r>
      <w:r w:rsidR="00935F35" w:rsidRPr="009D52FD">
        <w:rPr>
          <w:rFonts w:eastAsia="MS Mincho"/>
          <w:sz w:val="20"/>
          <w:szCs w:val="20"/>
          <w:lang w:val="en-US" w:bidi="en-US"/>
        </w:rPr>
        <w:t>Venezuela</w:t>
      </w:r>
      <w:r w:rsidR="00230D1C" w:rsidRPr="009D52FD">
        <w:rPr>
          <w:rFonts w:eastAsia="MS Mincho"/>
          <w:sz w:val="20"/>
          <w:szCs w:val="20"/>
          <w:lang w:val="en-US" w:bidi="en-US"/>
        </w:rPr>
        <w:t>n Constitution</w:t>
      </w:r>
      <w:r w:rsidR="00935F35" w:rsidRPr="009D52FD">
        <w:rPr>
          <w:rFonts w:eastAsia="MS Mincho"/>
          <w:sz w:val="20"/>
          <w:szCs w:val="20"/>
          <w:lang w:val="en-US" w:bidi="en-US"/>
        </w:rPr>
        <w:t xml:space="preserve">, </w:t>
      </w:r>
      <w:r w:rsidRPr="009D52FD">
        <w:rPr>
          <w:rFonts w:eastAsia="MS Mincho"/>
          <w:sz w:val="20"/>
          <w:szCs w:val="20"/>
          <w:lang w:val="en-US" w:bidi="en-US"/>
        </w:rPr>
        <w:t xml:space="preserve">the </w:t>
      </w:r>
      <w:r w:rsidR="00D32B3E" w:rsidRPr="009D52FD">
        <w:rPr>
          <w:rFonts w:eastAsia="MS Mincho"/>
          <w:sz w:val="20"/>
          <w:szCs w:val="20"/>
          <w:lang w:val="en-US" w:bidi="en-US"/>
        </w:rPr>
        <w:t>Inter-American Convention for the Prevention, Punishment and Eradication of Violence against Women</w:t>
      </w:r>
      <w:r w:rsidRPr="009D52FD">
        <w:rPr>
          <w:rFonts w:eastAsia="MS Mincho"/>
          <w:sz w:val="20"/>
          <w:szCs w:val="20"/>
          <w:lang w:val="en-US" w:bidi="en-US"/>
        </w:rPr>
        <w:t xml:space="preserve"> and the Convention</w:t>
      </w:r>
      <w:r w:rsidR="00935F35" w:rsidRPr="009D52FD">
        <w:rPr>
          <w:rFonts w:eastAsia="MS Mincho"/>
          <w:sz w:val="20"/>
          <w:szCs w:val="20"/>
          <w:lang w:val="en-US" w:bidi="en-US"/>
        </w:rPr>
        <w:t xml:space="preserve"> </w:t>
      </w:r>
      <w:r w:rsidR="00230D1C" w:rsidRPr="009D52FD">
        <w:rPr>
          <w:rFonts w:eastAsia="MS Mincho"/>
          <w:sz w:val="20"/>
          <w:szCs w:val="20"/>
          <w:lang w:val="en-US" w:bidi="en-US"/>
        </w:rPr>
        <w:t>for the Elimination of All Forms of Violence against Women, in 2007</w:t>
      </w:r>
      <w:r w:rsidR="00614F40" w:rsidRPr="009D52FD">
        <w:rPr>
          <w:rFonts w:eastAsia="MS Mincho"/>
          <w:sz w:val="20"/>
          <w:szCs w:val="20"/>
          <w:lang w:val="en-US" w:bidi="en-US"/>
        </w:rPr>
        <w:t>,</w:t>
      </w:r>
      <w:r w:rsidR="00230D1C" w:rsidRPr="009D52FD">
        <w:rPr>
          <w:rFonts w:eastAsia="MS Mincho"/>
          <w:sz w:val="20"/>
          <w:szCs w:val="20"/>
          <w:lang w:val="en-US" w:bidi="en-US"/>
        </w:rPr>
        <w:t xml:space="preserve"> the country had enacted the </w:t>
      </w:r>
      <w:r w:rsidR="00864649" w:rsidRPr="009D52FD">
        <w:rPr>
          <w:rFonts w:eastAsia="MS Mincho"/>
          <w:sz w:val="20"/>
          <w:szCs w:val="20"/>
          <w:lang w:val="en-US" w:bidi="en-US"/>
        </w:rPr>
        <w:t>Organic Law on the Right of Women to a Life Free of Violence</w:t>
      </w:r>
      <w:r w:rsidR="00935F35" w:rsidRPr="009D52FD">
        <w:rPr>
          <w:rFonts w:eastAsia="MS Mincho"/>
          <w:sz w:val="20"/>
          <w:szCs w:val="20"/>
          <w:lang w:val="en-US" w:bidi="en-US"/>
        </w:rPr>
        <w:t xml:space="preserve">, </w:t>
      </w:r>
      <w:r w:rsidR="00230D1C" w:rsidRPr="009D52FD">
        <w:rPr>
          <w:rFonts w:eastAsia="MS Mincho"/>
          <w:sz w:val="20"/>
          <w:szCs w:val="20"/>
          <w:lang w:val="en-US" w:bidi="en-US"/>
        </w:rPr>
        <w:t xml:space="preserve">which was subsequently amended in </w:t>
      </w:r>
      <w:r w:rsidR="00935F35" w:rsidRPr="009D52FD">
        <w:rPr>
          <w:rFonts w:eastAsia="MS Mincho"/>
          <w:sz w:val="20"/>
          <w:szCs w:val="20"/>
          <w:lang w:val="en-US" w:bidi="en-US"/>
        </w:rPr>
        <w:t>2014. I</w:t>
      </w:r>
      <w:r w:rsidR="00230D1C" w:rsidRPr="009D52FD">
        <w:rPr>
          <w:rFonts w:eastAsia="MS Mincho"/>
          <w:sz w:val="20"/>
          <w:szCs w:val="20"/>
          <w:lang w:val="en-US" w:bidi="en-US"/>
        </w:rPr>
        <w:t>t indicated that this law defined 21 criminal offense</w:t>
      </w:r>
      <w:r w:rsidR="00614F40" w:rsidRPr="009D52FD">
        <w:rPr>
          <w:rFonts w:eastAsia="MS Mincho"/>
          <w:sz w:val="20"/>
          <w:szCs w:val="20"/>
          <w:lang w:val="en-US" w:bidi="en-US"/>
        </w:rPr>
        <w:t>s</w:t>
      </w:r>
      <w:r w:rsidR="00230D1C" w:rsidRPr="009D52FD">
        <w:rPr>
          <w:rFonts w:eastAsia="MS Mincho"/>
          <w:sz w:val="20"/>
          <w:szCs w:val="20"/>
          <w:lang w:val="en-US" w:bidi="en-US"/>
        </w:rPr>
        <w:t xml:space="preserve"> that constituted crimes against women, providing protection in every sphere, and not only within the family. With regard to the judicial agents responsible for processing this type of case, it argued that, in 2008, it had created </w:t>
      </w:r>
      <w:r w:rsidR="00614F40" w:rsidRPr="009D52FD">
        <w:rPr>
          <w:rFonts w:eastAsia="MS Mincho"/>
          <w:sz w:val="20"/>
          <w:szCs w:val="20"/>
          <w:lang w:val="en-US" w:bidi="en-US"/>
        </w:rPr>
        <w:t xml:space="preserve">special </w:t>
      </w:r>
      <w:r w:rsidR="00230D1C" w:rsidRPr="009D52FD">
        <w:rPr>
          <w:rFonts w:eastAsia="MS Mincho"/>
          <w:sz w:val="20"/>
          <w:szCs w:val="20"/>
          <w:lang w:val="en-US" w:bidi="en-US"/>
        </w:rPr>
        <w:t xml:space="preserve">courts </w:t>
      </w:r>
      <w:r w:rsidR="00614F40" w:rsidRPr="009D52FD">
        <w:rPr>
          <w:rFonts w:eastAsia="MS Mincho"/>
          <w:sz w:val="20"/>
          <w:szCs w:val="20"/>
          <w:lang w:val="en-US" w:bidi="en-US"/>
        </w:rPr>
        <w:t>for</w:t>
      </w:r>
      <w:r w:rsidR="00230D1C" w:rsidRPr="009D52FD">
        <w:rPr>
          <w:rFonts w:eastAsia="MS Mincho"/>
          <w:sz w:val="20"/>
          <w:szCs w:val="20"/>
          <w:lang w:val="en-US" w:bidi="en-US"/>
        </w:rPr>
        <w:t xml:space="preserve"> cases of crimes against women composed of personnel who were specially trained in this area. It also indicated that, currently, there </w:t>
      </w:r>
      <w:r w:rsidR="00614F40" w:rsidRPr="009D52FD">
        <w:rPr>
          <w:rFonts w:eastAsia="MS Mincho"/>
          <w:sz w:val="20"/>
          <w:szCs w:val="20"/>
          <w:lang w:val="en-US" w:bidi="en-US"/>
        </w:rPr>
        <w:t>we</w:t>
      </w:r>
      <w:r w:rsidR="00230D1C" w:rsidRPr="009D52FD">
        <w:rPr>
          <w:rFonts w:eastAsia="MS Mincho"/>
          <w:sz w:val="20"/>
          <w:szCs w:val="20"/>
          <w:lang w:val="en-US" w:bidi="en-US"/>
        </w:rPr>
        <w:t xml:space="preserve">re 108 </w:t>
      </w:r>
      <w:r w:rsidR="00614F40" w:rsidRPr="009D52FD">
        <w:rPr>
          <w:rFonts w:eastAsia="MS Mincho"/>
          <w:sz w:val="20"/>
          <w:szCs w:val="20"/>
          <w:lang w:val="en-US" w:bidi="en-US"/>
        </w:rPr>
        <w:t xml:space="preserve">special </w:t>
      </w:r>
      <w:r w:rsidR="00230D1C" w:rsidRPr="009D52FD">
        <w:rPr>
          <w:rFonts w:eastAsia="MS Mincho"/>
          <w:sz w:val="20"/>
          <w:szCs w:val="20"/>
          <w:lang w:val="en-US" w:bidi="en-US"/>
        </w:rPr>
        <w:t xml:space="preserve">prosecutors </w:t>
      </w:r>
      <w:r w:rsidR="00614F40" w:rsidRPr="009D52FD">
        <w:rPr>
          <w:rFonts w:eastAsia="MS Mincho"/>
          <w:sz w:val="20"/>
          <w:szCs w:val="20"/>
          <w:lang w:val="en-US" w:bidi="en-US"/>
        </w:rPr>
        <w:t>for</w:t>
      </w:r>
      <w:r w:rsidR="00230D1C" w:rsidRPr="009D52FD">
        <w:rPr>
          <w:rFonts w:eastAsia="MS Mincho"/>
          <w:sz w:val="20"/>
          <w:szCs w:val="20"/>
          <w:lang w:val="en-US" w:bidi="en-US"/>
        </w:rPr>
        <w:t xml:space="preserve"> the defense of </w:t>
      </w:r>
      <w:r w:rsidR="00614F40" w:rsidRPr="009D52FD">
        <w:rPr>
          <w:rFonts w:eastAsia="MS Mincho"/>
          <w:sz w:val="20"/>
          <w:szCs w:val="20"/>
          <w:lang w:val="en-US" w:bidi="en-US"/>
        </w:rPr>
        <w:t>women’s</w:t>
      </w:r>
      <w:r w:rsidR="00230D1C" w:rsidRPr="009D52FD">
        <w:rPr>
          <w:rFonts w:eastAsia="MS Mincho"/>
          <w:sz w:val="20"/>
          <w:szCs w:val="20"/>
          <w:lang w:val="en-US" w:bidi="en-US"/>
        </w:rPr>
        <w:t xml:space="preserve"> rights throughout the country, and one </w:t>
      </w:r>
      <w:r w:rsidR="00A508C4" w:rsidRPr="009D52FD">
        <w:rPr>
          <w:rFonts w:eastAsia="MS Mincho"/>
          <w:sz w:val="20"/>
          <w:szCs w:val="20"/>
          <w:lang w:val="en-US" w:bidi="en-US"/>
        </w:rPr>
        <w:t xml:space="preserve">public prosecution office dedicated exclusively to cases of femicides and sexual offenses. According to the State, these jurisdictional agencies are advised by interdisciplinary teams that operate in the different judicial circuits. At the same time, the State explained that, in the </w:t>
      </w:r>
      <w:r w:rsidR="00D01945" w:rsidRPr="009D52FD">
        <w:rPr>
          <w:rFonts w:eastAsia="MS Mincho"/>
          <w:sz w:val="20"/>
          <w:szCs w:val="20"/>
          <w:lang w:val="en-US" w:bidi="en-US"/>
        </w:rPr>
        <w:t>Caracas Metropolitan Area</w:t>
      </w:r>
      <w:r w:rsidR="00AD57E9" w:rsidRPr="009D52FD">
        <w:rPr>
          <w:rFonts w:eastAsia="MS Mincho"/>
          <w:sz w:val="20"/>
          <w:szCs w:val="20"/>
          <w:lang w:val="en-US" w:bidi="en-US"/>
        </w:rPr>
        <w:t>,</w:t>
      </w:r>
      <w:r w:rsidR="00935F35" w:rsidRPr="009D52FD">
        <w:rPr>
          <w:rFonts w:eastAsia="MS Mincho"/>
          <w:sz w:val="20"/>
          <w:szCs w:val="20"/>
          <w:lang w:val="en-US" w:bidi="en-US"/>
        </w:rPr>
        <w:t xml:space="preserve"> </w:t>
      </w:r>
      <w:r w:rsidR="00A508C4" w:rsidRPr="009D52FD">
        <w:rPr>
          <w:rFonts w:eastAsia="MS Mincho"/>
          <w:sz w:val="20"/>
          <w:szCs w:val="20"/>
          <w:lang w:val="en-US" w:bidi="en-US"/>
        </w:rPr>
        <w:t xml:space="preserve">a Service </w:t>
      </w:r>
      <w:r w:rsidR="00614F40" w:rsidRPr="009D52FD">
        <w:rPr>
          <w:rFonts w:eastAsia="MS Mincho"/>
          <w:sz w:val="20"/>
          <w:szCs w:val="20"/>
          <w:lang w:val="en-US" w:bidi="en-US"/>
        </w:rPr>
        <w:t>providing a</w:t>
      </w:r>
      <w:r w:rsidR="00A508C4" w:rsidRPr="009D52FD">
        <w:rPr>
          <w:rFonts w:eastAsia="MS Mincho"/>
          <w:sz w:val="20"/>
          <w:szCs w:val="20"/>
          <w:lang w:val="en-US" w:bidi="en-US"/>
        </w:rPr>
        <w:t xml:space="preserve"> Comprehensive Approach to Victims of Gender-based Violence operates, without providing further details of its work.</w:t>
      </w:r>
    </w:p>
    <w:p w14:paraId="25FEF7C1" w14:textId="77777777" w:rsidR="00935F35" w:rsidRPr="009D52FD" w:rsidRDefault="00935F35" w:rsidP="00935F35">
      <w:pPr>
        <w:tabs>
          <w:tab w:val="left" w:pos="567"/>
        </w:tabs>
        <w:spacing w:line="240" w:lineRule="auto"/>
        <w:rPr>
          <w:rFonts w:eastAsia="MS Mincho"/>
          <w:sz w:val="20"/>
          <w:szCs w:val="20"/>
          <w:lang w:val="en-US" w:bidi="en-US"/>
        </w:rPr>
      </w:pPr>
    </w:p>
    <w:p w14:paraId="05217998" w14:textId="672C7368" w:rsidR="00935F35" w:rsidRPr="009D52FD" w:rsidRDefault="0002239A" w:rsidP="0020281A">
      <w:pPr>
        <w:numPr>
          <w:ilvl w:val="0"/>
          <w:numId w:val="1"/>
        </w:numPr>
        <w:tabs>
          <w:tab w:val="left" w:pos="567"/>
        </w:tabs>
        <w:spacing w:line="240" w:lineRule="auto"/>
        <w:ind w:left="0" w:firstLine="0"/>
        <w:textAlignment w:val="auto"/>
        <w:rPr>
          <w:sz w:val="20"/>
          <w:szCs w:val="20"/>
          <w:lang w:val="en-US"/>
        </w:rPr>
      </w:pPr>
      <w:r w:rsidRPr="009D52FD">
        <w:rPr>
          <w:sz w:val="20"/>
          <w:szCs w:val="20"/>
          <w:lang w:val="en-US"/>
        </w:rPr>
        <w:t>This Court</w:t>
      </w:r>
      <w:r w:rsidR="00935F35" w:rsidRPr="009D52FD">
        <w:rPr>
          <w:sz w:val="20"/>
          <w:szCs w:val="20"/>
          <w:lang w:val="en-US"/>
        </w:rPr>
        <w:t xml:space="preserve"> </w:t>
      </w:r>
      <w:r w:rsidR="00A508C4" w:rsidRPr="009D52FD">
        <w:rPr>
          <w:sz w:val="20"/>
          <w:szCs w:val="20"/>
          <w:lang w:val="en-US"/>
        </w:rPr>
        <w:t xml:space="preserve">notes that, following the facts of this case, in 2007, Venezuela enacted the </w:t>
      </w:r>
      <w:r w:rsidR="00864649" w:rsidRPr="009D52FD">
        <w:rPr>
          <w:sz w:val="20"/>
          <w:szCs w:val="20"/>
          <w:lang w:val="en-US"/>
        </w:rPr>
        <w:t>Organic Law on the Right of Women to a Life Free of Violence</w:t>
      </w:r>
      <w:r w:rsidR="00A508C4" w:rsidRPr="009D52FD">
        <w:rPr>
          <w:sz w:val="20"/>
          <w:szCs w:val="20"/>
          <w:lang w:val="en-US"/>
        </w:rPr>
        <w:t xml:space="preserve"> in order to prevent, punish and eradicate all forms of </w:t>
      </w:r>
      <w:r w:rsidR="005935CA" w:rsidRPr="009D52FD">
        <w:rPr>
          <w:sz w:val="20"/>
          <w:szCs w:val="20"/>
          <w:lang w:val="en-US"/>
        </w:rPr>
        <w:t>violence against women</w:t>
      </w:r>
      <w:r w:rsidR="00A508C4" w:rsidRPr="009D52FD">
        <w:rPr>
          <w:sz w:val="20"/>
          <w:szCs w:val="20"/>
          <w:lang w:val="en-US"/>
        </w:rPr>
        <w:t>.</w:t>
      </w:r>
      <w:r w:rsidR="0002702C" w:rsidRPr="009D52FD">
        <w:rPr>
          <w:rStyle w:val="FootnoteReference"/>
          <w:sz w:val="20"/>
          <w:szCs w:val="20"/>
          <w:lang w:val="en-US"/>
        </w:rPr>
        <w:footnoteReference w:id="393"/>
      </w:r>
      <w:r w:rsidR="00A508C4" w:rsidRPr="009D52FD">
        <w:rPr>
          <w:sz w:val="20"/>
          <w:szCs w:val="20"/>
          <w:lang w:val="en-US"/>
        </w:rPr>
        <w:t xml:space="preserve"> In addition to listing different forms that violence against women </w:t>
      </w:r>
      <w:r w:rsidR="00614F40" w:rsidRPr="009D52FD">
        <w:rPr>
          <w:sz w:val="20"/>
          <w:szCs w:val="20"/>
          <w:lang w:val="en-US"/>
        </w:rPr>
        <w:t>may</w:t>
      </w:r>
      <w:r w:rsidR="00A508C4" w:rsidRPr="009D52FD">
        <w:rPr>
          <w:sz w:val="20"/>
          <w:szCs w:val="20"/>
          <w:lang w:val="en-US"/>
        </w:rPr>
        <w:t xml:space="preserve"> take and defining them as crimes – including, since 2014, femicide and instigation to </w:t>
      </w:r>
      <w:r w:rsidR="00614F40" w:rsidRPr="009D52FD">
        <w:rPr>
          <w:sz w:val="20"/>
          <w:szCs w:val="20"/>
          <w:lang w:val="en-US"/>
        </w:rPr>
        <w:t xml:space="preserve">commit </w:t>
      </w:r>
      <w:r w:rsidR="00A508C4" w:rsidRPr="009D52FD">
        <w:rPr>
          <w:sz w:val="20"/>
          <w:szCs w:val="20"/>
          <w:lang w:val="en-US"/>
        </w:rPr>
        <w:t xml:space="preserve">suicide – this law contains specific regulations </w:t>
      </w:r>
      <w:r w:rsidR="00614F40" w:rsidRPr="009D52FD">
        <w:rPr>
          <w:sz w:val="20"/>
          <w:szCs w:val="20"/>
          <w:lang w:val="en-US"/>
        </w:rPr>
        <w:t>on</w:t>
      </w:r>
      <w:r w:rsidR="00A508C4" w:rsidRPr="009D52FD">
        <w:rPr>
          <w:sz w:val="20"/>
          <w:szCs w:val="20"/>
          <w:lang w:val="en-US"/>
        </w:rPr>
        <w:t xml:space="preserve"> the function</w:t>
      </w:r>
      <w:r w:rsidR="00614F40" w:rsidRPr="009D52FD">
        <w:rPr>
          <w:sz w:val="20"/>
          <w:szCs w:val="20"/>
          <w:lang w:val="en-US"/>
        </w:rPr>
        <w:t>s</w:t>
      </w:r>
      <w:r w:rsidR="00A508C4" w:rsidRPr="009D52FD">
        <w:rPr>
          <w:sz w:val="20"/>
          <w:szCs w:val="20"/>
          <w:lang w:val="en-US"/>
        </w:rPr>
        <w:t xml:space="preserve"> of the specialized police and jurisdictional organs that</w:t>
      </w:r>
      <w:r w:rsidR="00614F40" w:rsidRPr="009D52FD">
        <w:rPr>
          <w:sz w:val="20"/>
          <w:szCs w:val="20"/>
          <w:lang w:val="en-US"/>
        </w:rPr>
        <w:t xml:space="preserve"> </w:t>
      </w:r>
      <w:r w:rsidR="00A508C4" w:rsidRPr="009D52FD">
        <w:rPr>
          <w:sz w:val="20"/>
          <w:szCs w:val="20"/>
          <w:lang w:val="en-US"/>
        </w:rPr>
        <w:t>intervene in the investigation and prosecution of such incidents,</w:t>
      </w:r>
      <w:r w:rsidR="00614F40" w:rsidRPr="009D52FD">
        <w:rPr>
          <w:sz w:val="20"/>
          <w:szCs w:val="20"/>
          <w:lang w:val="en-US"/>
        </w:rPr>
        <w:t xml:space="preserve"> respectively,</w:t>
      </w:r>
      <w:r w:rsidR="00A508C4" w:rsidRPr="009D52FD">
        <w:rPr>
          <w:sz w:val="20"/>
          <w:szCs w:val="20"/>
          <w:lang w:val="en-US"/>
        </w:rPr>
        <w:t xml:space="preserve"> in order to facilitate access to justice for women who are subjected to any of the types of violence listed therein. At the same time, the law contemplates the existence of a series of mechanisms designed to protect victims and to deal with their aggressors. In addition, the text includes a chapter devoted specifically to public policies</w:t>
      </w:r>
      <w:r w:rsidR="00D1084D" w:rsidRPr="009D52FD">
        <w:rPr>
          <w:sz w:val="20"/>
          <w:szCs w:val="20"/>
          <w:lang w:val="en-US"/>
        </w:rPr>
        <w:t xml:space="preserve"> to prevent and to address the phenomenon of violence against women, the design and implementation of which was entrusted to the executive organ with exclusive competence in this area – currently known as the Ministry of the People’s Power for Women and Gender Equality – in coordination with the country’s other ministries.</w:t>
      </w:r>
      <w:r w:rsidR="00935F35" w:rsidRPr="009D52FD">
        <w:rPr>
          <w:rStyle w:val="FootnoteReference"/>
          <w:sz w:val="20"/>
          <w:szCs w:val="20"/>
          <w:lang w:val="en-US"/>
        </w:rPr>
        <w:footnoteReference w:id="394"/>
      </w:r>
    </w:p>
    <w:p w14:paraId="49AB514D" w14:textId="77777777" w:rsidR="00A4279B" w:rsidRPr="009D52FD" w:rsidRDefault="00A4279B" w:rsidP="00A4279B">
      <w:pPr>
        <w:tabs>
          <w:tab w:val="left" w:pos="567"/>
        </w:tabs>
        <w:spacing w:line="240" w:lineRule="auto"/>
        <w:textAlignment w:val="auto"/>
        <w:rPr>
          <w:sz w:val="20"/>
          <w:szCs w:val="20"/>
          <w:lang w:val="en-US"/>
        </w:rPr>
      </w:pPr>
    </w:p>
    <w:p w14:paraId="70427C21" w14:textId="4ECDFD2D" w:rsidR="00935F35" w:rsidRPr="009D52FD" w:rsidRDefault="003630BB" w:rsidP="00D1084D">
      <w:pPr>
        <w:numPr>
          <w:ilvl w:val="0"/>
          <w:numId w:val="1"/>
        </w:numPr>
        <w:tabs>
          <w:tab w:val="left" w:pos="567"/>
        </w:tabs>
        <w:spacing w:line="240" w:lineRule="auto"/>
        <w:ind w:left="0" w:firstLine="0"/>
        <w:textAlignment w:val="auto"/>
        <w:rPr>
          <w:sz w:val="20"/>
          <w:szCs w:val="20"/>
          <w:lang w:val="en-US"/>
        </w:rPr>
      </w:pPr>
      <w:r w:rsidRPr="009D52FD">
        <w:rPr>
          <w:sz w:val="20"/>
          <w:szCs w:val="20"/>
          <w:lang w:val="en-US"/>
        </w:rPr>
        <w:t>The Court</w:t>
      </w:r>
      <w:r w:rsidR="00935F35" w:rsidRPr="009D52FD">
        <w:rPr>
          <w:sz w:val="20"/>
          <w:szCs w:val="20"/>
          <w:lang w:val="en-US"/>
        </w:rPr>
        <w:t xml:space="preserve"> </w:t>
      </w:r>
      <w:r w:rsidR="00D1084D" w:rsidRPr="009D52FD">
        <w:rPr>
          <w:sz w:val="20"/>
          <w:szCs w:val="20"/>
          <w:lang w:val="en-US"/>
        </w:rPr>
        <w:t xml:space="preserve">underscores the positive nature of the fact that, currently, some of the mechanisms and institutions envisaged by the said special law are functioning in Venezuela, </w:t>
      </w:r>
      <w:r w:rsidR="00F05A7C" w:rsidRPr="009D52FD">
        <w:rPr>
          <w:sz w:val="20"/>
          <w:szCs w:val="20"/>
          <w:lang w:val="en-US"/>
        </w:rPr>
        <w:t xml:space="preserve">and these </w:t>
      </w:r>
      <w:r w:rsidR="00D1084D" w:rsidRPr="009D52FD">
        <w:rPr>
          <w:sz w:val="20"/>
          <w:szCs w:val="20"/>
          <w:lang w:val="en-US"/>
        </w:rPr>
        <w:t>facilitate access to justice for women, particularly those who are victims of violence. The</w:t>
      </w:r>
      <w:r w:rsidR="00F05A7C" w:rsidRPr="009D52FD">
        <w:rPr>
          <w:sz w:val="20"/>
          <w:szCs w:val="20"/>
          <w:lang w:val="en-US"/>
        </w:rPr>
        <w:t>y</w:t>
      </w:r>
      <w:r w:rsidR="00D1084D" w:rsidRPr="009D52FD">
        <w:rPr>
          <w:sz w:val="20"/>
          <w:szCs w:val="20"/>
          <w:lang w:val="en-US"/>
        </w:rPr>
        <w:t xml:space="preserve"> include the creation of specialized courts, the Ministry of the People’s Power for Women and Gender Equality</w:t>
      </w:r>
      <w:r w:rsidR="00935F35" w:rsidRPr="009D52FD">
        <w:rPr>
          <w:sz w:val="20"/>
          <w:szCs w:val="20"/>
          <w:lang w:val="en-US"/>
        </w:rPr>
        <w:t xml:space="preserve"> </w:t>
      </w:r>
      <w:r w:rsidR="00D1084D" w:rsidRPr="009D52FD">
        <w:rPr>
          <w:sz w:val="20"/>
          <w:szCs w:val="20"/>
          <w:lang w:val="en-US"/>
        </w:rPr>
        <w:t>– responsible for the design and implementation of public policies for the protection of women’s rights</w:t>
      </w:r>
      <w:r w:rsidR="00935F35" w:rsidRPr="009D52FD">
        <w:rPr>
          <w:rStyle w:val="FootnoteReference"/>
          <w:sz w:val="20"/>
          <w:szCs w:val="20"/>
          <w:lang w:val="en-US"/>
        </w:rPr>
        <w:footnoteReference w:id="395"/>
      </w:r>
      <w:r w:rsidR="00D1084D" w:rsidRPr="009D52FD">
        <w:rPr>
          <w:sz w:val="20"/>
          <w:szCs w:val="20"/>
          <w:lang w:val="en-US"/>
        </w:rPr>
        <w:t xml:space="preserve"> – and some other agencies that have the main function of supporting victims during judicial proceedings, such as the </w:t>
      </w:r>
      <w:r w:rsidR="005D04B8" w:rsidRPr="009D52FD">
        <w:rPr>
          <w:sz w:val="20"/>
          <w:szCs w:val="20"/>
          <w:lang w:val="en-US"/>
        </w:rPr>
        <w:t>Office for the Defense of Women’s Rights</w:t>
      </w:r>
      <w:r w:rsidR="00D1084D" w:rsidRPr="009D52FD">
        <w:rPr>
          <w:sz w:val="20"/>
          <w:szCs w:val="20"/>
          <w:lang w:val="en-US"/>
        </w:rPr>
        <w:t>,</w:t>
      </w:r>
      <w:r w:rsidR="00935F35" w:rsidRPr="009D52FD">
        <w:rPr>
          <w:rStyle w:val="FootnoteReference"/>
          <w:sz w:val="20"/>
          <w:szCs w:val="20"/>
          <w:lang w:val="en-US"/>
        </w:rPr>
        <w:footnoteReference w:id="396"/>
      </w:r>
      <w:r w:rsidR="00D1084D" w:rsidRPr="009D52FD">
        <w:rPr>
          <w:sz w:val="20"/>
          <w:szCs w:val="20"/>
          <w:lang w:val="en-US"/>
        </w:rPr>
        <w:t xml:space="preserve"> the Centers for Assistance and Comprehensive Training for Women, and the Community Defenders composed of women trained to support and counsel victims of violence. In addition, there is a special </w:t>
      </w:r>
      <w:r w:rsidR="008D0179" w:rsidRPr="009D52FD">
        <w:rPr>
          <w:sz w:val="20"/>
          <w:szCs w:val="20"/>
          <w:lang w:val="en-US"/>
        </w:rPr>
        <w:lastRenderedPageBreak/>
        <w:t xml:space="preserve">telephone </w:t>
      </w:r>
      <w:r w:rsidR="004454BE" w:rsidRPr="009D52FD">
        <w:rPr>
          <w:sz w:val="20"/>
          <w:szCs w:val="20"/>
          <w:lang w:val="en-US"/>
        </w:rPr>
        <w:t>service</w:t>
      </w:r>
      <w:r w:rsidR="008D0179" w:rsidRPr="009D52FD">
        <w:rPr>
          <w:sz w:val="20"/>
          <w:szCs w:val="20"/>
          <w:lang w:val="en-US"/>
        </w:rPr>
        <w:t xml:space="preserve"> that women can use to obtain advice in situation</w:t>
      </w:r>
      <w:r w:rsidR="00F05A7C" w:rsidRPr="009D52FD">
        <w:rPr>
          <w:sz w:val="20"/>
          <w:szCs w:val="20"/>
          <w:lang w:val="en-US"/>
        </w:rPr>
        <w:t>s</w:t>
      </w:r>
      <w:r w:rsidR="008D0179" w:rsidRPr="009D52FD">
        <w:rPr>
          <w:sz w:val="20"/>
          <w:szCs w:val="20"/>
          <w:lang w:val="en-US"/>
        </w:rPr>
        <w:t xml:space="preserve"> of violence, </w:t>
      </w:r>
      <w:r w:rsidR="00F05A7C" w:rsidRPr="009D52FD">
        <w:rPr>
          <w:sz w:val="20"/>
          <w:szCs w:val="20"/>
          <w:lang w:val="en-US"/>
        </w:rPr>
        <w:t xml:space="preserve">and that </w:t>
      </w:r>
      <w:r w:rsidR="008D0179" w:rsidRPr="009D52FD">
        <w:rPr>
          <w:sz w:val="20"/>
          <w:szCs w:val="20"/>
          <w:lang w:val="en-US"/>
        </w:rPr>
        <w:t>triggers the immediate response of the State.</w:t>
      </w:r>
      <w:r w:rsidR="00935F35" w:rsidRPr="009D52FD">
        <w:rPr>
          <w:rStyle w:val="FootnoteReference"/>
          <w:sz w:val="20"/>
          <w:szCs w:val="20"/>
          <w:lang w:val="en-US"/>
        </w:rPr>
        <w:footnoteReference w:id="397"/>
      </w:r>
    </w:p>
    <w:p w14:paraId="41A0FBDE" w14:textId="77777777" w:rsidR="00935F35" w:rsidRPr="009D52FD" w:rsidRDefault="00935F35" w:rsidP="00935F35">
      <w:pPr>
        <w:tabs>
          <w:tab w:val="left" w:pos="567"/>
        </w:tabs>
        <w:spacing w:line="240" w:lineRule="auto"/>
        <w:rPr>
          <w:sz w:val="20"/>
          <w:szCs w:val="20"/>
          <w:lang w:val="en-US"/>
        </w:rPr>
      </w:pPr>
    </w:p>
    <w:p w14:paraId="57EB537B" w14:textId="45483B0B" w:rsidR="00935F35" w:rsidRPr="009D52FD" w:rsidRDefault="008D0179" w:rsidP="008D0179">
      <w:pPr>
        <w:numPr>
          <w:ilvl w:val="0"/>
          <w:numId w:val="1"/>
        </w:numPr>
        <w:tabs>
          <w:tab w:val="left" w:pos="567"/>
        </w:tabs>
        <w:spacing w:line="240" w:lineRule="auto"/>
        <w:ind w:left="0" w:firstLine="0"/>
        <w:textAlignment w:val="auto"/>
        <w:rPr>
          <w:sz w:val="20"/>
          <w:szCs w:val="20"/>
          <w:lang w:val="en-US"/>
        </w:rPr>
      </w:pPr>
      <w:r w:rsidRPr="009D52FD">
        <w:rPr>
          <w:sz w:val="20"/>
          <w:szCs w:val="20"/>
          <w:lang w:val="en-US"/>
        </w:rPr>
        <w:t>Despite the foregoing, it has been verified that there remain weaknesses in implementation of the law</w:t>
      </w:r>
      <w:r w:rsidR="00935F35" w:rsidRPr="009D52FD">
        <w:rPr>
          <w:rStyle w:val="FootnoteReference"/>
          <w:sz w:val="20"/>
          <w:szCs w:val="20"/>
          <w:lang w:val="en-US"/>
        </w:rPr>
        <w:footnoteReference w:id="398"/>
      </w:r>
      <w:r w:rsidRPr="009D52FD">
        <w:rPr>
          <w:sz w:val="20"/>
          <w:szCs w:val="20"/>
          <w:lang w:val="en-US"/>
        </w:rPr>
        <w:t xml:space="preserve"> owing to errors in the design and </w:t>
      </w:r>
      <w:r w:rsidR="00F05A7C" w:rsidRPr="009D52FD">
        <w:rPr>
          <w:sz w:val="20"/>
          <w:szCs w:val="20"/>
          <w:lang w:val="en-US"/>
        </w:rPr>
        <w:t>execution</w:t>
      </w:r>
      <w:r w:rsidRPr="009D52FD">
        <w:rPr>
          <w:sz w:val="20"/>
          <w:szCs w:val="20"/>
          <w:lang w:val="en-US"/>
        </w:rPr>
        <w:t xml:space="preserve"> of training programs for state agents, the absence of uniform standards with regard to assistance, investigation and prosecution in this type of case, as well as the absence of regulations to this law that would coordinate public policy on violence against women so that facts such as those in this case are not repeated in future. In this regard, the Court notes that, even though the text of the law explicitly requires the State, through the corresponding executive organ</w:t>
      </w:r>
      <w:r w:rsidR="00935F35" w:rsidRPr="009D52FD">
        <w:rPr>
          <w:sz w:val="20"/>
          <w:szCs w:val="20"/>
          <w:vertAlign w:val="superscript"/>
          <w:lang w:val="en-US"/>
        </w:rPr>
        <w:footnoteReference w:id="399"/>
      </w:r>
      <w:r w:rsidR="00935F35" w:rsidRPr="009D52FD">
        <w:rPr>
          <w:sz w:val="20"/>
          <w:szCs w:val="20"/>
          <w:lang w:val="en-US"/>
        </w:rPr>
        <w:t xml:space="preserve"> –</w:t>
      </w:r>
      <w:r w:rsidRPr="009D52FD">
        <w:rPr>
          <w:sz w:val="20"/>
          <w:szCs w:val="20"/>
          <w:lang w:val="en-US"/>
        </w:rPr>
        <w:t xml:space="preserve"> that is, the </w:t>
      </w:r>
      <w:r w:rsidR="00D1084D" w:rsidRPr="009D52FD">
        <w:rPr>
          <w:sz w:val="20"/>
          <w:szCs w:val="20"/>
          <w:lang w:val="en-US"/>
        </w:rPr>
        <w:t>Ministry of the People’s Power for Women and Gender Equality</w:t>
      </w:r>
      <w:r w:rsidRPr="009D52FD">
        <w:rPr>
          <w:sz w:val="20"/>
          <w:szCs w:val="20"/>
          <w:lang w:val="en-US"/>
        </w:rPr>
        <w:t xml:space="preserve"> – to draw up a bill for its regulation, this has not been done yet. </w:t>
      </w:r>
      <w:r w:rsidR="00935F35" w:rsidRPr="009D52FD">
        <w:rPr>
          <w:rStyle w:val="FootnoteReference"/>
          <w:sz w:val="20"/>
          <w:szCs w:val="20"/>
          <w:lang w:val="en-US"/>
        </w:rPr>
        <w:footnoteReference w:id="400"/>
      </w:r>
    </w:p>
    <w:p w14:paraId="79EE7BBC" w14:textId="77777777" w:rsidR="00935F35" w:rsidRPr="009D52FD" w:rsidRDefault="00935F35" w:rsidP="00935F35">
      <w:pPr>
        <w:tabs>
          <w:tab w:val="left" w:pos="567"/>
        </w:tabs>
        <w:spacing w:line="240" w:lineRule="auto"/>
        <w:rPr>
          <w:sz w:val="20"/>
          <w:szCs w:val="20"/>
          <w:lang w:val="en-US"/>
        </w:rPr>
      </w:pPr>
    </w:p>
    <w:p w14:paraId="4D0DC445" w14:textId="7C7E4970" w:rsidR="00935F35" w:rsidRPr="009D52FD" w:rsidRDefault="008D0179" w:rsidP="008D0179">
      <w:pPr>
        <w:numPr>
          <w:ilvl w:val="0"/>
          <w:numId w:val="1"/>
        </w:numPr>
        <w:tabs>
          <w:tab w:val="left" w:pos="567"/>
        </w:tabs>
        <w:spacing w:line="240" w:lineRule="auto"/>
        <w:ind w:left="0" w:firstLine="0"/>
        <w:textAlignment w:val="auto"/>
        <w:rPr>
          <w:sz w:val="20"/>
          <w:szCs w:val="20"/>
          <w:lang w:val="en-US"/>
        </w:rPr>
      </w:pPr>
      <w:r w:rsidRPr="009D52FD">
        <w:rPr>
          <w:sz w:val="20"/>
          <w:szCs w:val="20"/>
          <w:lang w:val="en-US"/>
        </w:rPr>
        <w:t>Consequently</w:t>
      </w:r>
      <w:r w:rsidR="00935F35" w:rsidRPr="009D52FD">
        <w:rPr>
          <w:sz w:val="20"/>
          <w:szCs w:val="20"/>
          <w:lang w:val="en-US"/>
        </w:rPr>
        <w:t xml:space="preserve">, </w:t>
      </w:r>
      <w:r w:rsidR="003630BB" w:rsidRPr="009D52FD">
        <w:rPr>
          <w:sz w:val="20"/>
          <w:szCs w:val="20"/>
          <w:lang w:val="en-US"/>
        </w:rPr>
        <w:t>the Court</w:t>
      </w:r>
      <w:r w:rsidR="00935F35" w:rsidRPr="009D52FD">
        <w:rPr>
          <w:sz w:val="20"/>
          <w:szCs w:val="20"/>
          <w:lang w:val="en-US"/>
        </w:rPr>
        <w:t xml:space="preserve"> </w:t>
      </w:r>
      <w:r w:rsidRPr="009D52FD">
        <w:rPr>
          <w:sz w:val="20"/>
          <w:szCs w:val="20"/>
          <w:lang w:val="en-US"/>
        </w:rPr>
        <w:t xml:space="preserve">finds it pertinent to order the State, within one year, to enact the regulations to the </w:t>
      </w:r>
      <w:r w:rsidR="00864649" w:rsidRPr="009D52FD">
        <w:rPr>
          <w:sz w:val="20"/>
          <w:szCs w:val="20"/>
          <w:lang w:val="en-US"/>
        </w:rPr>
        <w:t>Organic Law on the Right of Women to a Life Free of Violence</w:t>
      </w:r>
      <w:r w:rsidR="00935F35" w:rsidRPr="009D52FD">
        <w:rPr>
          <w:sz w:val="20"/>
          <w:szCs w:val="20"/>
          <w:lang w:val="en-US"/>
        </w:rPr>
        <w:t>.</w:t>
      </w:r>
    </w:p>
    <w:p w14:paraId="242F7757" w14:textId="77777777" w:rsidR="00935F35" w:rsidRPr="009D52FD" w:rsidRDefault="00935F35" w:rsidP="00935F35">
      <w:pPr>
        <w:tabs>
          <w:tab w:val="left" w:pos="567"/>
        </w:tabs>
        <w:spacing w:line="240" w:lineRule="auto"/>
        <w:rPr>
          <w:sz w:val="20"/>
          <w:szCs w:val="20"/>
          <w:lang w:val="en-US"/>
        </w:rPr>
      </w:pPr>
    </w:p>
    <w:p w14:paraId="4C020A23" w14:textId="73528242" w:rsidR="00935F35" w:rsidRPr="009D52FD" w:rsidRDefault="004A3B21" w:rsidP="004A3B21">
      <w:pPr>
        <w:numPr>
          <w:ilvl w:val="0"/>
          <w:numId w:val="1"/>
        </w:numPr>
        <w:tabs>
          <w:tab w:val="left" w:pos="567"/>
        </w:tabs>
        <w:spacing w:line="240" w:lineRule="auto"/>
        <w:ind w:left="0" w:firstLine="0"/>
        <w:textAlignment w:val="auto"/>
        <w:rPr>
          <w:sz w:val="20"/>
          <w:szCs w:val="20"/>
          <w:lang w:val="en-US"/>
        </w:rPr>
      </w:pPr>
      <w:r w:rsidRPr="009D52FD">
        <w:rPr>
          <w:sz w:val="20"/>
          <w:szCs w:val="20"/>
          <w:lang w:val="en-US"/>
        </w:rPr>
        <w:t>On a separate issue</w:t>
      </w:r>
      <w:r w:rsidR="00935F35" w:rsidRPr="009D52FD">
        <w:rPr>
          <w:sz w:val="20"/>
          <w:szCs w:val="20"/>
          <w:lang w:val="en-US"/>
        </w:rPr>
        <w:t xml:space="preserve">, </w:t>
      </w:r>
      <w:r w:rsidR="003630BB" w:rsidRPr="009D52FD">
        <w:rPr>
          <w:sz w:val="20"/>
          <w:szCs w:val="20"/>
          <w:lang w:val="en-US"/>
        </w:rPr>
        <w:t>the Court</w:t>
      </w:r>
      <w:r w:rsidR="00935F35" w:rsidRPr="009D52FD">
        <w:rPr>
          <w:sz w:val="20"/>
          <w:szCs w:val="20"/>
          <w:lang w:val="en-US"/>
        </w:rPr>
        <w:t xml:space="preserve"> not</w:t>
      </w:r>
      <w:r w:rsidRPr="009D52FD">
        <w:rPr>
          <w:sz w:val="20"/>
          <w:szCs w:val="20"/>
          <w:lang w:val="en-US"/>
        </w:rPr>
        <w:t xml:space="preserve">es that a dispute exists on the effective operation of the jurisdictional organs with special competence to investigate, prosecute and, eventually, punish cases of violence against women. Although the State indicated that, currently, both courts and </w:t>
      </w:r>
      <w:r w:rsidR="00F05A7C" w:rsidRPr="009D52FD">
        <w:rPr>
          <w:sz w:val="20"/>
          <w:szCs w:val="20"/>
          <w:lang w:val="en-US"/>
        </w:rPr>
        <w:t xml:space="preserve">public </w:t>
      </w:r>
      <w:r w:rsidRPr="009D52FD">
        <w:rPr>
          <w:sz w:val="20"/>
          <w:szCs w:val="20"/>
          <w:lang w:val="en-US"/>
        </w:rPr>
        <w:t>prosecutors specialized in gender matters have been established</w:t>
      </w:r>
      <w:r w:rsidR="00935F35" w:rsidRPr="009D52FD">
        <w:rPr>
          <w:sz w:val="20"/>
          <w:szCs w:val="20"/>
          <w:vertAlign w:val="superscript"/>
          <w:lang w:val="en-US"/>
        </w:rPr>
        <w:footnoteReference w:id="401"/>
      </w:r>
      <w:r w:rsidR="00516703" w:rsidRPr="009D52FD">
        <w:rPr>
          <w:sz w:val="20"/>
          <w:szCs w:val="20"/>
          <w:lang w:val="en-US"/>
        </w:rPr>
        <w:t xml:space="preserve"> (</w:t>
      </w:r>
      <w:r w:rsidR="00516703" w:rsidRPr="009D52FD">
        <w:rPr>
          <w:i/>
          <w:sz w:val="20"/>
          <w:szCs w:val="20"/>
          <w:lang w:val="en-US"/>
        </w:rPr>
        <w:t>supra</w:t>
      </w:r>
      <w:r w:rsidR="00516703" w:rsidRPr="009D52FD">
        <w:rPr>
          <w:sz w:val="20"/>
          <w:szCs w:val="20"/>
          <w:lang w:val="en-US"/>
        </w:rPr>
        <w:t xml:space="preserve"> </w:t>
      </w:r>
      <w:r w:rsidR="009459E7" w:rsidRPr="009D52FD">
        <w:rPr>
          <w:sz w:val="20"/>
          <w:szCs w:val="20"/>
          <w:lang w:val="en-US"/>
        </w:rPr>
        <w:t>para.</w:t>
      </w:r>
      <w:r w:rsidR="00516703" w:rsidRPr="009D52FD">
        <w:rPr>
          <w:sz w:val="20"/>
          <w:szCs w:val="20"/>
          <w:lang w:val="en-US"/>
        </w:rPr>
        <w:t xml:space="preserve"> 317)</w:t>
      </w:r>
      <w:r w:rsidR="00935F35" w:rsidRPr="009D52FD">
        <w:rPr>
          <w:sz w:val="20"/>
          <w:szCs w:val="20"/>
          <w:lang w:val="en-US"/>
        </w:rPr>
        <w:t xml:space="preserve">, </w:t>
      </w:r>
      <w:r w:rsidR="003630BB" w:rsidRPr="009D52FD">
        <w:rPr>
          <w:sz w:val="20"/>
          <w:szCs w:val="20"/>
          <w:lang w:val="en-US"/>
        </w:rPr>
        <w:t>the representatives</w:t>
      </w:r>
      <w:r w:rsidR="00935F35" w:rsidRPr="009D52FD">
        <w:rPr>
          <w:sz w:val="20"/>
          <w:szCs w:val="20"/>
          <w:lang w:val="en-US"/>
        </w:rPr>
        <w:t xml:space="preserve"> </w:t>
      </w:r>
      <w:r w:rsidRPr="009D52FD">
        <w:rPr>
          <w:sz w:val="20"/>
          <w:szCs w:val="20"/>
          <w:lang w:val="en-US"/>
        </w:rPr>
        <w:t>questioned the effectiveness of these organs owing to a lack of autonomy and financial resources.</w:t>
      </w:r>
    </w:p>
    <w:p w14:paraId="054BD023" w14:textId="77777777" w:rsidR="00935F35" w:rsidRPr="009D52FD" w:rsidRDefault="00935F35" w:rsidP="00935F35">
      <w:pPr>
        <w:tabs>
          <w:tab w:val="left" w:pos="567"/>
        </w:tabs>
        <w:spacing w:line="240" w:lineRule="auto"/>
        <w:rPr>
          <w:sz w:val="20"/>
          <w:szCs w:val="20"/>
          <w:lang w:val="en-US"/>
        </w:rPr>
      </w:pPr>
    </w:p>
    <w:p w14:paraId="487C8603" w14:textId="70C6D488" w:rsidR="00935F35" w:rsidRPr="009D52FD" w:rsidRDefault="004A3B21" w:rsidP="00C831EA">
      <w:pPr>
        <w:numPr>
          <w:ilvl w:val="0"/>
          <w:numId w:val="1"/>
        </w:numPr>
        <w:tabs>
          <w:tab w:val="left" w:pos="567"/>
        </w:tabs>
        <w:spacing w:line="240" w:lineRule="auto"/>
        <w:ind w:left="0" w:firstLine="0"/>
        <w:textAlignment w:val="auto"/>
        <w:rPr>
          <w:sz w:val="20"/>
          <w:szCs w:val="20"/>
          <w:lang w:val="en-US"/>
        </w:rPr>
      </w:pPr>
      <w:r w:rsidRPr="009D52FD">
        <w:rPr>
          <w:sz w:val="20"/>
          <w:szCs w:val="20"/>
          <w:lang w:val="en-US"/>
        </w:rPr>
        <w:t>In this regard</w:t>
      </w:r>
      <w:r w:rsidR="00935F35" w:rsidRPr="009D52FD">
        <w:rPr>
          <w:sz w:val="20"/>
          <w:szCs w:val="20"/>
          <w:lang w:val="en-US"/>
        </w:rPr>
        <w:t xml:space="preserve">, </w:t>
      </w:r>
      <w:r w:rsidR="0002239A" w:rsidRPr="009D52FD">
        <w:rPr>
          <w:sz w:val="20"/>
          <w:szCs w:val="20"/>
          <w:lang w:val="en-US"/>
        </w:rPr>
        <w:t>th</w:t>
      </w:r>
      <w:r w:rsidRPr="009D52FD">
        <w:rPr>
          <w:sz w:val="20"/>
          <w:szCs w:val="20"/>
          <w:lang w:val="en-US"/>
        </w:rPr>
        <w:t xml:space="preserve">e </w:t>
      </w:r>
      <w:r w:rsidR="0002239A" w:rsidRPr="009D52FD">
        <w:rPr>
          <w:sz w:val="20"/>
          <w:szCs w:val="20"/>
          <w:lang w:val="en-US"/>
        </w:rPr>
        <w:t>Court</w:t>
      </w:r>
      <w:r w:rsidR="00935F35" w:rsidRPr="009D52FD">
        <w:rPr>
          <w:sz w:val="20"/>
          <w:szCs w:val="20"/>
          <w:lang w:val="en-US"/>
        </w:rPr>
        <w:t xml:space="preserve"> </w:t>
      </w:r>
      <w:r w:rsidRPr="009D52FD">
        <w:rPr>
          <w:sz w:val="20"/>
          <w:szCs w:val="20"/>
          <w:lang w:val="en-US"/>
        </w:rPr>
        <w:t>notes that article 116 of the</w:t>
      </w:r>
      <w:r w:rsidR="00935F35" w:rsidRPr="009D52FD">
        <w:rPr>
          <w:sz w:val="20"/>
          <w:szCs w:val="20"/>
          <w:lang w:val="en-US"/>
        </w:rPr>
        <w:t xml:space="preserve"> </w:t>
      </w:r>
      <w:r w:rsidR="00864649" w:rsidRPr="009D52FD">
        <w:rPr>
          <w:sz w:val="20"/>
          <w:szCs w:val="20"/>
          <w:lang w:val="en-US"/>
        </w:rPr>
        <w:t>Organic Law on the Right of Women to a Life Free of Violence</w:t>
      </w:r>
      <w:r w:rsidR="00935F35" w:rsidRPr="009D52FD">
        <w:rPr>
          <w:sz w:val="20"/>
          <w:szCs w:val="20"/>
          <w:lang w:val="en-US"/>
        </w:rPr>
        <w:t xml:space="preserve"> </w:t>
      </w:r>
      <w:r w:rsidRPr="009D52FD">
        <w:rPr>
          <w:sz w:val="20"/>
          <w:szCs w:val="20"/>
          <w:lang w:val="en-US"/>
        </w:rPr>
        <w:t>establishes the creation of courts for violence</w:t>
      </w:r>
      <w:r w:rsidR="005935CA" w:rsidRPr="009D52FD">
        <w:rPr>
          <w:sz w:val="20"/>
          <w:szCs w:val="20"/>
          <w:lang w:val="en-US"/>
        </w:rPr>
        <w:t xml:space="preserve"> against women</w:t>
      </w:r>
      <w:r w:rsidR="00935F35" w:rsidRPr="009D52FD">
        <w:rPr>
          <w:sz w:val="20"/>
          <w:szCs w:val="20"/>
          <w:lang w:val="en-US"/>
        </w:rPr>
        <w:t xml:space="preserve"> “</w:t>
      </w:r>
      <w:r w:rsidRPr="009D52FD">
        <w:rPr>
          <w:sz w:val="20"/>
          <w:szCs w:val="20"/>
          <w:lang w:val="en-US"/>
        </w:rPr>
        <w:t>i</w:t>
      </w:r>
      <w:r w:rsidR="00935F35" w:rsidRPr="009D52FD">
        <w:rPr>
          <w:sz w:val="20"/>
          <w:szCs w:val="20"/>
          <w:lang w:val="en-US"/>
        </w:rPr>
        <w:t>n Caracas</w:t>
      </w:r>
      <w:r w:rsidR="003630BB" w:rsidRPr="009D52FD">
        <w:rPr>
          <w:sz w:val="20"/>
          <w:szCs w:val="20"/>
          <w:lang w:val="en-US"/>
        </w:rPr>
        <w:t xml:space="preserve"> and </w:t>
      </w:r>
      <w:r w:rsidRPr="009D52FD">
        <w:rPr>
          <w:sz w:val="20"/>
          <w:szCs w:val="20"/>
          <w:lang w:val="en-US"/>
        </w:rPr>
        <w:t>in each state capital, and also in places determined by the Supreme Court of Justice</w:t>
      </w:r>
      <w:r w:rsidR="00935F35" w:rsidRPr="009D52FD">
        <w:rPr>
          <w:sz w:val="20"/>
          <w:szCs w:val="20"/>
          <w:lang w:val="en-US"/>
        </w:rPr>
        <w:t xml:space="preserve">, </w:t>
      </w:r>
      <w:r w:rsidRPr="009D52FD">
        <w:rPr>
          <w:sz w:val="20"/>
          <w:szCs w:val="20"/>
          <w:lang w:val="en-US"/>
        </w:rPr>
        <w:t>through the Executive Directorate of the Judiciary.</w:t>
      </w:r>
      <w:r w:rsidR="00935F35" w:rsidRPr="009D52FD">
        <w:rPr>
          <w:sz w:val="20"/>
          <w:szCs w:val="20"/>
          <w:lang w:val="en-US"/>
        </w:rPr>
        <w:t>”</w:t>
      </w:r>
      <w:r w:rsidRPr="009D52FD">
        <w:rPr>
          <w:sz w:val="20"/>
          <w:szCs w:val="20"/>
          <w:lang w:val="en-US"/>
        </w:rPr>
        <w:t xml:space="preserve"> According to the law, these courts are organized in </w:t>
      </w:r>
      <w:r w:rsidRPr="009D52FD">
        <w:rPr>
          <w:sz w:val="20"/>
          <w:szCs w:val="20"/>
          <w:lang w:val="en-US"/>
        </w:rPr>
        <w:lastRenderedPageBreak/>
        <w:t xml:space="preserve">judicial circuits, and more </w:t>
      </w:r>
      <w:r w:rsidR="00544F92" w:rsidRPr="009D52FD">
        <w:rPr>
          <w:sz w:val="20"/>
          <w:szCs w:val="20"/>
          <w:lang w:val="en-US"/>
        </w:rPr>
        <w:t>than</w:t>
      </w:r>
      <w:r w:rsidRPr="009D52FD">
        <w:rPr>
          <w:sz w:val="20"/>
          <w:szCs w:val="20"/>
          <w:lang w:val="en-US"/>
        </w:rPr>
        <w:t xml:space="preserve"> one circuit may be created within the same judicial district if the service requires this; in each judicial circuit, these courts are composed of judges respons</w:t>
      </w:r>
      <w:r w:rsidR="00D553C4" w:rsidRPr="009D52FD">
        <w:rPr>
          <w:sz w:val="20"/>
          <w:szCs w:val="20"/>
          <w:lang w:val="en-US"/>
        </w:rPr>
        <w:t>i</w:t>
      </w:r>
      <w:r w:rsidRPr="009D52FD">
        <w:rPr>
          <w:sz w:val="20"/>
          <w:szCs w:val="20"/>
          <w:lang w:val="en-US"/>
        </w:rPr>
        <w:t xml:space="preserve">ble for oversight, hearings and measures, and also </w:t>
      </w:r>
      <w:r w:rsidR="00F05A7C" w:rsidRPr="009D52FD">
        <w:rPr>
          <w:sz w:val="20"/>
          <w:szCs w:val="20"/>
          <w:lang w:val="en-US"/>
        </w:rPr>
        <w:t>of</w:t>
      </w:r>
      <w:r w:rsidRPr="009D52FD">
        <w:rPr>
          <w:sz w:val="20"/>
          <w:szCs w:val="20"/>
          <w:lang w:val="en-US"/>
        </w:rPr>
        <w:t xml:space="preserve"> trial judges and judges </w:t>
      </w:r>
      <w:r w:rsidR="00F05A7C" w:rsidRPr="009D52FD">
        <w:rPr>
          <w:sz w:val="20"/>
          <w:szCs w:val="20"/>
          <w:lang w:val="en-US"/>
        </w:rPr>
        <w:t>for</w:t>
      </w:r>
      <w:r w:rsidRPr="009D52FD">
        <w:rPr>
          <w:sz w:val="20"/>
          <w:szCs w:val="20"/>
          <w:lang w:val="en-US"/>
        </w:rPr>
        <w:t xml:space="preserve"> execution of sentence, while in second instance appellate courts</w:t>
      </w:r>
      <w:r w:rsidR="00F05A7C" w:rsidRPr="009D52FD">
        <w:rPr>
          <w:sz w:val="20"/>
          <w:szCs w:val="20"/>
          <w:lang w:val="en-US"/>
        </w:rPr>
        <w:t xml:space="preserve"> will be created</w:t>
      </w:r>
      <w:r w:rsidRPr="009D52FD">
        <w:rPr>
          <w:sz w:val="20"/>
          <w:szCs w:val="20"/>
          <w:lang w:val="en-US"/>
        </w:rPr>
        <w:t>.</w:t>
      </w:r>
      <w:r w:rsidR="00935F35" w:rsidRPr="009D52FD">
        <w:rPr>
          <w:rStyle w:val="FootnoteReference"/>
          <w:sz w:val="20"/>
          <w:szCs w:val="20"/>
          <w:lang w:val="en-US"/>
        </w:rPr>
        <w:footnoteReference w:id="402"/>
      </w:r>
      <w:r w:rsidR="00935F35" w:rsidRPr="009D52FD">
        <w:rPr>
          <w:sz w:val="20"/>
          <w:szCs w:val="20"/>
          <w:lang w:val="en-US"/>
        </w:rPr>
        <w:t xml:space="preserve"> </w:t>
      </w:r>
      <w:r w:rsidRPr="009D52FD">
        <w:rPr>
          <w:sz w:val="20"/>
          <w:szCs w:val="20"/>
          <w:lang w:val="en-US"/>
        </w:rPr>
        <w:t>In addition,</w:t>
      </w:r>
      <w:r w:rsidR="00935F35" w:rsidRPr="009D52FD">
        <w:rPr>
          <w:sz w:val="20"/>
          <w:szCs w:val="20"/>
          <w:lang w:val="en-US"/>
        </w:rPr>
        <w:t xml:space="preserve"> </w:t>
      </w:r>
      <w:r w:rsidRPr="009D52FD">
        <w:rPr>
          <w:sz w:val="20"/>
          <w:szCs w:val="20"/>
          <w:lang w:val="en-US"/>
        </w:rPr>
        <w:t>a</w:t>
      </w:r>
      <w:r w:rsidR="003630BB" w:rsidRPr="009D52FD">
        <w:rPr>
          <w:sz w:val="20"/>
          <w:szCs w:val="20"/>
          <w:lang w:val="en-US"/>
        </w:rPr>
        <w:t>rticle</w:t>
      </w:r>
      <w:r w:rsidR="00935F35" w:rsidRPr="009D52FD">
        <w:rPr>
          <w:sz w:val="20"/>
          <w:szCs w:val="20"/>
          <w:lang w:val="en-US"/>
        </w:rPr>
        <w:t xml:space="preserve"> 126 </w:t>
      </w:r>
      <w:r w:rsidRPr="009D52FD">
        <w:rPr>
          <w:sz w:val="20"/>
          <w:szCs w:val="20"/>
          <w:lang w:val="en-US"/>
        </w:rPr>
        <w:t xml:space="preserve">of the law indicates that these courts must “be provided with the necessary facilities, equipment and personnel to </w:t>
      </w:r>
      <w:r w:rsidR="00F05A7C" w:rsidRPr="009D52FD">
        <w:rPr>
          <w:sz w:val="20"/>
          <w:szCs w:val="20"/>
          <w:lang w:val="en-US"/>
        </w:rPr>
        <w:t>fulfill</w:t>
      </w:r>
      <w:r w:rsidRPr="009D52FD">
        <w:rPr>
          <w:sz w:val="20"/>
          <w:szCs w:val="20"/>
          <w:lang w:val="en-US"/>
        </w:rPr>
        <w:t xml:space="preserve"> their functions,” and this is in addition to the fact that they must have a multidisciplinary team to provide “biopsychosocial expertise” to the organs of justice.</w:t>
      </w:r>
      <w:r w:rsidR="00935F35" w:rsidRPr="009D52FD">
        <w:rPr>
          <w:rStyle w:val="FootnoteReference"/>
          <w:sz w:val="20"/>
          <w:szCs w:val="20"/>
          <w:lang w:val="en-US"/>
        </w:rPr>
        <w:footnoteReference w:id="403"/>
      </w:r>
      <w:r w:rsidR="00935F35" w:rsidRPr="009D52FD">
        <w:rPr>
          <w:sz w:val="20"/>
          <w:szCs w:val="20"/>
          <w:lang w:val="en-US"/>
        </w:rPr>
        <w:t xml:space="preserve"> </w:t>
      </w:r>
      <w:r w:rsidRPr="009D52FD">
        <w:rPr>
          <w:sz w:val="20"/>
          <w:szCs w:val="20"/>
          <w:lang w:val="en-US"/>
        </w:rPr>
        <w:t>Lastly, it should be pointed out that</w:t>
      </w:r>
      <w:r w:rsidR="00C831EA" w:rsidRPr="009D52FD">
        <w:rPr>
          <w:sz w:val="20"/>
          <w:szCs w:val="20"/>
          <w:lang w:val="en-US"/>
        </w:rPr>
        <w:t xml:space="preserve">, in the Fourth Transitory Provision, the law requires the “National Executive to include in the annual budgetary laws, starting </w:t>
      </w:r>
      <w:r w:rsidR="00F05A7C" w:rsidRPr="009D52FD">
        <w:rPr>
          <w:sz w:val="20"/>
          <w:szCs w:val="20"/>
          <w:lang w:val="en-US"/>
        </w:rPr>
        <w:t>in</w:t>
      </w:r>
      <w:r w:rsidR="00C831EA" w:rsidRPr="009D52FD">
        <w:rPr>
          <w:sz w:val="20"/>
          <w:szCs w:val="20"/>
          <w:lang w:val="en-US"/>
        </w:rPr>
        <w:t xml:space="preserve"> the year immediately following the enactment of the law, the necessary resources for the functioning of the organs, entities and programs established therein.” Nevertheless, the Court notes that, according to the information provided, at the present time, this special jurisdiction has </w:t>
      </w:r>
      <w:r w:rsidR="00F05A7C" w:rsidRPr="009D52FD">
        <w:rPr>
          <w:sz w:val="20"/>
          <w:szCs w:val="20"/>
          <w:lang w:val="en-US"/>
        </w:rPr>
        <w:t xml:space="preserve">only </w:t>
      </w:r>
      <w:r w:rsidR="00C831EA" w:rsidRPr="009D52FD">
        <w:rPr>
          <w:sz w:val="20"/>
          <w:szCs w:val="20"/>
          <w:lang w:val="en-US"/>
        </w:rPr>
        <w:t>been implemented in 17 of the 23 states that, together with the capital district, compose Venezuelan territory,</w:t>
      </w:r>
      <w:r w:rsidR="00935F35" w:rsidRPr="009D52FD">
        <w:rPr>
          <w:rStyle w:val="FootnoteReference"/>
          <w:sz w:val="20"/>
          <w:szCs w:val="20"/>
          <w:lang w:val="en-US"/>
        </w:rPr>
        <w:footnoteReference w:id="404"/>
      </w:r>
      <w:r w:rsidR="003630BB" w:rsidRPr="009D52FD">
        <w:rPr>
          <w:sz w:val="20"/>
          <w:szCs w:val="20"/>
          <w:lang w:val="en-US"/>
        </w:rPr>
        <w:t xml:space="preserve"> and </w:t>
      </w:r>
      <w:r w:rsidR="00C831EA" w:rsidRPr="009D52FD">
        <w:rPr>
          <w:sz w:val="20"/>
          <w:szCs w:val="20"/>
          <w:lang w:val="en-US"/>
        </w:rPr>
        <w:t>that the functioning of these jurisdictional organs is increasingly more deficient, with long judicial proceedings and unjustified delays, added to the fact that the number of complaints “exceeds the response capacity of the competent institutions,” including the system of justice.</w:t>
      </w:r>
      <w:r w:rsidR="00935F35" w:rsidRPr="009D52FD">
        <w:rPr>
          <w:sz w:val="20"/>
          <w:szCs w:val="20"/>
          <w:vertAlign w:val="superscript"/>
          <w:lang w:val="en-US"/>
        </w:rPr>
        <w:footnoteReference w:id="405"/>
      </w:r>
    </w:p>
    <w:p w14:paraId="6C2DFCE0" w14:textId="77777777" w:rsidR="00935F35" w:rsidRPr="009D52FD" w:rsidRDefault="00935F35" w:rsidP="00935F35">
      <w:pPr>
        <w:tabs>
          <w:tab w:val="left" w:pos="567"/>
        </w:tabs>
        <w:spacing w:line="240" w:lineRule="auto"/>
        <w:rPr>
          <w:sz w:val="20"/>
          <w:szCs w:val="20"/>
          <w:lang w:val="en-US"/>
        </w:rPr>
      </w:pPr>
    </w:p>
    <w:p w14:paraId="3F0D3181" w14:textId="17CD29E3" w:rsidR="00C831EA" w:rsidRPr="009D52FD" w:rsidRDefault="00C831EA" w:rsidP="00935F35">
      <w:pPr>
        <w:numPr>
          <w:ilvl w:val="0"/>
          <w:numId w:val="1"/>
        </w:numPr>
        <w:tabs>
          <w:tab w:val="left" w:pos="567"/>
        </w:tabs>
        <w:spacing w:line="240" w:lineRule="auto"/>
        <w:ind w:left="0" w:firstLine="0"/>
        <w:textAlignment w:val="auto"/>
        <w:rPr>
          <w:sz w:val="20"/>
          <w:szCs w:val="20"/>
          <w:lang w:val="en-US"/>
        </w:rPr>
      </w:pPr>
      <w:r w:rsidRPr="009D52FD">
        <w:rPr>
          <w:sz w:val="20"/>
          <w:szCs w:val="20"/>
          <w:lang w:val="en-US"/>
        </w:rPr>
        <w:t>Based on the foregoing, and taking into account the provisions of the</w:t>
      </w:r>
      <w:r w:rsidR="00935F35" w:rsidRPr="009D52FD">
        <w:rPr>
          <w:sz w:val="20"/>
          <w:szCs w:val="20"/>
          <w:lang w:val="en-US"/>
        </w:rPr>
        <w:t xml:space="preserve"> </w:t>
      </w:r>
      <w:r w:rsidR="00864649" w:rsidRPr="009D52FD">
        <w:rPr>
          <w:sz w:val="20"/>
          <w:szCs w:val="20"/>
          <w:lang w:val="en-US"/>
        </w:rPr>
        <w:t>Organic Law on the Right of Women to a Life Free of Violence</w:t>
      </w:r>
      <w:r w:rsidR="00935F35" w:rsidRPr="009D52FD">
        <w:rPr>
          <w:sz w:val="20"/>
          <w:szCs w:val="20"/>
          <w:lang w:val="en-US"/>
        </w:rPr>
        <w:t xml:space="preserve">, </w:t>
      </w:r>
      <w:r w:rsidR="003630BB" w:rsidRPr="009D52FD">
        <w:rPr>
          <w:sz w:val="20"/>
          <w:szCs w:val="20"/>
          <w:lang w:val="en-US"/>
        </w:rPr>
        <w:t>the Court</w:t>
      </w:r>
      <w:r w:rsidR="00935F35" w:rsidRPr="009D52FD">
        <w:rPr>
          <w:sz w:val="20"/>
          <w:szCs w:val="20"/>
          <w:lang w:val="en-US"/>
        </w:rPr>
        <w:t xml:space="preserve"> </w:t>
      </w:r>
      <w:r w:rsidRPr="009D52FD">
        <w:rPr>
          <w:sz w:val="20"/>
          <w:szCs w:val="20"/>
          <w:lang w:val="en-US"/>
        </w:rPr>
        <w:t>finds it pertinent to order the State, within a reasonable time, to implement adequately the courts for violence against women in each state capital.</w:t>
      </w:r>
    </w:p>
    <w:p w14:paraId="48E908E6" w14:textId="77777777" w:rsidR="00935F35" w:rsidRPr="009D52FD" w:rsidRDefault="00935F35" w:rsidP="00935F35">
      <w:pPr>
        <w:tabs>
          <w:tab w:val="left" w:pos="567"/>
        </w:tabs>
        <w:spacing w:line="240" w:lineRule="auto"/>
        <w:rPr>
          <w:sz w:val="20"/>
          <w:szCs w:val="20"/>
          <w:lang w:val="en-US"/>
        </w:rPr>
      </w:pPr>
    </w:p>
    <w:p w14:paraId="0509FA09" w14:textId="1C8C16CF" w:rsidR="00C831EA" w:rsidRPr="009D52FD" w:rsidRDefault="00C831EA" w:rsidP="00935F35">
      <w:pPr>
        <w:numPr>
          <w:ilvl w:val="0"/>
          <w:numId w:val="1"/>
        </w:numPr>
        <w:tabs>
          <w:tab w:val="left" w:pos="567"/>
        </w:tabs>
        <w:spacing w:line="240" w:lineRule="auto"/>
        <w:ind w:left="0" w:firstLine="0"/>
        <w:textAlignment w:val="auto"/>
        <w:rPr>
          <w:sz w:val="20"/>
          <w:szCs w:val="20"/>
          <w:lang w:val="en-US"/>
        </w:rPr>
      </w:pPr>
      <w:r w:rsidRPr="009D52FD">
        <w:rPr>
          <w:sz w:val="20"/>
          <w:szCs w:val="20"/>
          <w:lang w:val="en-US"/>
        </w:rPr>
        <w:t xml:space="preserve">Regarding the implementation of the complaint mechanism for acts of </w:t>
      </w:r>
      <w:r w:rsidR="005935CA" w:rsidRPr="009D52FD">
        <w:rPr>
          <w:sz w:val="20"/>
          <w:szCs w:val="20"/>
          <w:lang w:val="en-US"/>
        </w:rPr>
        <w:t>violence against women</w:t>
      </w:r>
      <w:r w:rsidR="00935F35" w:rsidRPr="009D52FD">
        <w:rPr>
          <w:sz w:val="20"/>
          <w:szCs w:val="20"/>
          <w:lang w:val="en-US"/>
        </w:rPr>
        <w:t xml:space="preserve">, </w:t>
      </w:r>
      <w:r w:rsidRPr="009D52FD">
        <w:rPr>
          <w:sz w:val="20"/>
          <w:szCs w:val="20"/>
          <w:lang w:val="en-US"/>
        </w:rPr>
        <w:t xml:space="preserve">the Court notes that the </w:t>
      </w:r>
      <w:r w:rsidR="00864649" w:rsidRPr="009D52FD">
        <w:rPr>
          <w:sz w:val="20"/>
          <w:szCs w:val="20"/>
          <w:lang w:val="en-US"/>
        </w:rPr>
        <w:t>Organic Law on the Right of Women to a Life Free of Violence</w:t>
      </w:r>
      <w:r w:rsidR="00935F35" w:rsidRPr="009D52FD">
        <w:rPr>
          <w:sz w:val="20"/>
          <w:szCs w:val="20"/>
          <w:lang w:val="en-US"/>
        </w:rPr>
        <w:t xml:space="preserve"> contempla</w:t>
      </w:r>
      <w:r w:rsidRPr="009D52FD">
        <w:rPr>
          <w:sz w:val="20"/>
          <w:szCs w:val="20"/>
          <w:lang w:val="en-US"/>
        </w:rPr>
        <w:t xml:space="preserve">tes various institutions, some of which </w:t>
      </w:r>
      <w:r w:rsidR="00DC44E8" w:rsidRPr="009D52FD">
        <w:rPr>
          <w:sz w:val="20"/>
          <w:szCs w:val="20"/>
          <w:lang w:val="en-US"/>
        </w:rPr>
        <w:t>are not</w:t>
      </w:r>
      <w:r w:rsidRPr="009D52FD">
        <w:rPr>
          <w:sz w:val="20"/>
          <w:szCs w:val="20"/>
          <w:lang w:val="en-US"/>
        </w:rPr>
        <w:t xml:space="preserve"> police stations, where victims can go to file complaints.</w:t>
      </w:r>
      <w:r w:rsidR="00935F35" w:rsidRPr="009D52FD">
        <w:rPr>
          <w:rStyle w:val="FootnoteReference"/>
          <w:sz w:val="20"/>
          <w:szCs w:val="20"/>
          <w:lang w:val="en-US"/>
        </w:rPr>
        <w:footnoteReference w:id="406"/>
      </w:r>
      <w:r w:rsidRPr="009D52FD">
        <w:rPr>
          <w:sz w:val="20"/>
          <w:szCs w:val="20"/>
          <w:lang w:val="en-US"/>
        </w:rPr>
        <w:t xml:space="preserve"> Therefore, the Court considers that it is not necessary to order this measure; rather the appropriate </w:t>
      </w:r>
      <w:r w:rsidR="001839B2" w:rsidRPr="009D52FD">
        <w:rPr>
          <w:sz w:val="20"/>
          <w:szCs w:val="20"/>
          <w:lang w:val="en-US"/>
        </w:rPr>
        <w:t>functioning</w:t>
      </w:r>
      <w:r w:rsidRPr="009D52FD">
        <w:rPr>
          <w:sz w:val="20"/>
          <w:szCs w:val="20"/>
          <w:lang w:val="en-US"/>
        </w:rPr>
        <w:t xml:space="preserve"> of these </w:t>
      </w:r>
      <w:r w:rsidR="001839B2" w:rsidRPr="009D52FD">
        <w:rPr>
          <w:sz w:val="20"/>
          <w:szCs w:val="20"/>
          <w:lang w:val="en-US"/>
        </w:rPr>
        <w:t xml:space="preserve">institutions </w:t>
      </w:r>
      <w:r w:rsidRPr="009D52FD">
        <w:rPr>
          <w:sz w:val="20"/>
          <w:szCs w:val="20"/>
          <w:lang w:val="en-US"/>
        </w:rPr>
        <w:t xml:space="preserve">must be guaranteed by providing specialized training for state officials responsible for receiving and processing complaints of incidents of violence against women, and this will be ordered below. </w:t>
      </w:r>
    </w:p>
    <w:p w14:paraId="42E9CC99" w14:textId="77777777" w:rsidR="00935F35" w:rsidRPr="009D52FD" w:rsidRDefault="00935F35" w:rsidP="00935F35">
      <w:pPr>
        <w:tabs>
          <w:tab w:val="left" w:pos="567"/>
        </w:tabs>
        <w:spacing w:line="240" w:lineRule="auto"/>
        <w:rPr>
          <w:sz w:val="20"/>
          <w:szCs w:val="20"/>
          <w:lang w:val="en-US"/>
        </w:rPr>
      </w:pPr>
    </w:p>
    <w:p w14:paraId="1E5AD6E9" w14:textId="2D22007B" w:rsidR="00935F35" w:rsidRPr="009D52FD" w:rsidRDefault="007C6E52" w:rsidP="00C6536C">
      <w:pPr>
        <w:tabs>
          <w:tab w:val="left" w:pos="567"/>
          <w:tab w:val="left" w:pos="2127"/>
          <w:tab w:val="left" w:pos="2552"/>
        </w:tabs>
        <w:spacing w:line="240" w:lineRule="auto"/>
        <w:ind w:left="1701"/>
        <w:rPr>
          <w:rFonts w:eastAsia="MS Mincho"/>
          <w:i/>
          <w:sz w:val="20"/>
          <w:szCs w:val="20"/>
          <w:lang w:val="en-US" w:bidi="en-US"/>
        </w:rPr>
      </w:pPr>
      <w:r w:rsidRPr="009D52FD">
        <w:rPr>
          <w:rFonts w:eastAsia="MS Mincho"/>
          <w:i/>
          <w:sz w:val="20"/>
          <w:szCs w:val="20"/>
          <w:lang w:val="en-US" w:bidi="en-US"/>
        </w:rPr>
        <w:t>C.3.b</w:t>
      </w:r>
      <w:r w:rsidR="00935F35" w:rsidRPr="009D52FD">
        <w:rPr>
          <w:rFonts w:eastAsia="MS Mincho"/>
          <w:i/>
          <w:sz w:val="20"/>
          <w:szCs w:val="20"/>
          <w:lang w:val="en-US" w:bidi="en-US"/>
        </w:rPr>
        <w:t xml:space="preserve">) </w:t>
      </w:r>
      <w:r w:rsidRPr="009D52FD">
        <w:rPr>
          <w:rFonts w:eastAsia="MS Mincho"/>
          <w:i/>
          <w:sz w:val="20"/>
          <w:szCs w:val="20"/>
          <w:lang w:val="en-US" w:bidi="en-US"/>
        </w:rPr>
        <w:tab/>
      </w:r>
      <w:r w:rsidR="00935F35" w:rsidRPr="009D52FD">
        <w:rPr>
          <w:rFonts w:eastAsia="MS Mincho"/>
          <w:i/>
          <w:sz w:val="20"/>
          <w:szCs w:val="20"/>
          <w:lang w:val="en-US" w:bidi="en-US"/>
        </w:rPr>
        <w:t>Adop</w:t>
      </w:r>
      <w:r w:rsidR="00864649" w:rsidRPr="009D52FD">
        <w:rPr>
          <w:rFonts w:eastAsia="MS Mincho"/>
          <w:i/>
          <w:sz w:val="20"/>
          <w:szCs w:val="20"/>
          <w:lang w:val="en-US" w:bidi="en-US"/>
        </w:rPr>
        <w:t xml:space="preserve">tion of standardized protocols for </w:t>
      </w:r>
      <w:r w:rsidR="00492668" w:rsidRPr="009D52FD">
        <w:rPr>
          <w:rFonts w:eastAsia="MS Mincho"/>
          <w:i/>
          <w:sz w:val="20"/>
          <w:szCs w:val="20"/>
          <w:lang w:val="en-US" w:bidi="en-US"/>
        </w:rPr>
        <w:t xml:space="preserve">investigation and comprehensive </w:t>
      </w:r>
      <w:r w:rsidR="00E108BF" w:rsidRPr="009D52FD">
        <w:rPr>
          <w:rFonts w:eastAsia="MS Mincho"/>
          <w:i/>
          <w:sz w:val="20"/>
          <w:szCs w:val="20"/>
          <w:lang w:val="en-US" w:bidi="en-US"/>
        </w:rPr>
        <w:t xml:space="preserve">assistance </w:t>
      </w:r>
      <w:r w:rsidR="00864649" w:rsidRPr="009D52FD">
        <w:rPr>
          <w:rFonts w:eastAsia="MS Mincho"/>
          <w:i/>
          <w:sz w:val="20"/>
          <w:szCs w:val="20"/>
          <w:lang w:val="en-US" w:bidi="en-US"/>
        </w:rPr>
        <w:t>in cases of violence against women</w:t>
      </w:r>
    </w:p>
    <w:p w14:paraId="1DF36D82" w14:textId="374B1559" w:rsidR="00935F35" w:rsidRPr="009D52FD" w:rsidRDefault="00935F35" w:rsidP="00935F35">
      <w:pPr>
        <w:tabs>
          <w:tab w:val="left" w:pos="567"/>
        </w:tabs>
        <w:spacing w:line="240" w:lineRule="auto"/>
        <w:rPr>
          <w:i/>
          <w:iCs/>
          <w:sz w:val="20"/>
          <w:szCs w:val="20"/>
          <w:lang w:val="en-US"/>
        </w:rPr>
      </w:pPr>
    </w:p>
    <w:p w14:paraId="1EBCC4EF" w14:textId="5CC800E4" w:rsidR="00935F35" w:rsidRPr="009D52FD" w:rsidRDefault="003630BB" w:rsidP="00492668">
      <w:pPr>
        <w:numPr>
          <w:ilvl w:val="0"/>
          <w:numId w:val="1"/>
        </w:numPr>
        <w:tabs>
          <w:tab w:val="left" w:pos="567"/>
          <w:tab w:val="num" w:pos="11028"/>
        </w:tabs>
        <w:spacing w:line="240" w:lineRule="auto"/>
        <w:ind w:left="0" w:right="-90" w:firstLine="0"/>
        <w:textAlignment w:val="auto"/>
        <w:rPr>
          <w:rFonts w:eastAsia="MS Mincho"/>
          <w:sz w:val="20"/>
          <w:szCs w:val="20"/>
          <w:lang w:val="en-US" w:bidi="en-US"/>
        </w:rPr>
      </w:pPr>
      <w:r w:rsidRPr="009D52FD">
        <w:rPr>
          <w:rFonts w:eastAsia="MS Mincho"/>
          <w:sz w:val="20"/>
          <w:szCs w:val="20"/>
          <w:lang w:val="en-US" w:bidi="en-US"/>
        </w:rPr>
        <w:t xml:space="preserve">The </w:t>
      </w:r>
      <w:r w:rsidRPr="009D52FD">
        <w:rPr>
          <w:rFonts w:eastAsia="MS Mincho"/>
          <w:b/>
          <w:bCs/>
          <w:i/>
          <w:iCs/>
          <w:sz w:val="20"/>
          <w:szCs w:val="20"/>
          <w:lang w:val="en-US" w:bidi="en-US"/>
        </w:rPr>
        <w:t>Commission</w:t>
      </w:r>
      <w:r w:rsidR="00935F35" w:rsidRPr="009D52FD">
        <w:rPr>
          <w:rFonts w:eastAsia="MS Mincho"/>
          <w:sz w:val="20"/>
          <w:szCs w:val="20"/>
          <w:lang w:val="en-US" w:bidi="en-US"/>
        </w:rPr>
        <w:t xml:space="preserve"> </w:t>
      </w:r>
      <w:r w:rsidR="00492668" w:rsidRPr="009D52FD">
        <w:rPr>
          <w:rFonts w:eastAsia="MS Mincho"/>
          <w:sz w:val="20"/>
          <w:szCs w:val="20"/>
          <w:lang w:val="en-US" w:bidi="en-US"/>
        </w:rPr>
        <w:t>asked</w:t>
      </w:r>
      <w:r w:rsidR="00935F35" w:rsidRPr="009D52FD">
        <w:rPr>
          <w:sz w:val="20"/>
          <w:szCs w:val="20"/>
          <w:lang w:val="en-US"/>
        </w:rPr>
        <w:t xml:space="preserve"> </w:t>
      </w:r>
      <w:r w:rsidR="00492668" w:rsidRPr="009D52FD">
        <w:rPr>
          <w:sz w:val="20"/>
          <w:szCs w:val="20"/>
          <w:lang w:val="en-US"/>
        </w:rPr>
        <w:t xml:space="preserve">that </w:t>
      </w:r>
      <w:r w:rsidRPr="009D52FD">
        <w:rPr>
          <w:sz w:val="20"/>
          <w:szCs w:val="20"/>
          <w:lang w:val="en-US"/>
        </w:rPr>
        <w:t>the Court</w:t>
      </w:r>
      <w:r w:rsidR="00492668" w:rsidRPr="009D52FD">
        <w:rPr>
          <w:sz w:val="20"/>
          <w:szCs w:val="20"/>
          <w:lang w:val="en-US"/>
        </w:rPr>
        <w:t xml:space="preserve"> order the State to develop protocols for the “effective, uniform and transparent” investigation of acts of physical, sexual and psychological violence, based on the standards established in the Istanbul Protocol, ensuring that such protocols include a description of the minimum evidence that must be collected to ensure </w:t>
      </w:r>
      <w:r w:rsidR="001839B2" w:rsidRPr="009D52FD">
        <w:rPr>
          <w:sz w:val="20"/>
          <w:szCs w:val="20"/>
          <w:lang w:val="en-US"/>
        </w:rPr>
        <w:t xml:space="preserve">the appropriate </w:t>
      </w:r>
      <w:r w:rsidR="00492668" w:rsidRPr="009D52FD">
        <w:rPr>
          <w:sz w:val="20"/>
          <w:szCs w:val="20"/>
          <w:lang w:val="en-US"/>
        </w:rPr>
        <w:t xml:space="preserve">evidentiary </w:t>
      </w:r>
      <w:r w:rsidR="001839B2" w:rsidRPr="009D52FD">
        <w:rPr>
          <w:sz w:val="20"/>
          <w:szCs w:val="20"/>
          <w:lang w:val="en-US"/>
        </w:rPr>
        <w:t>basis for a case.</w:t>
      </w:r>
    </w:p>
    <w:p w14:paraId="0D003B2C" w14:textId="77777777" w:rsidR="00492668" w:rsidRPr="009D52FD" w:rsidRDefault="00492668" w:rsidP="00935F35">
      <w:pPr>
        <w:tabs>
          <w:tab w:val="left" w:pos="567"/>
        </w:tabs>
        <w:spacing w:line="240" w:lineRule="auto"/>
        <w:ind w:right="-90"/>
        <w:rPr>
          <w:rFonts w:eastAsia="MS Mincho"/>
          <w:sz w:val="20"/>
          <w:szCs w:val="20"/>
          <w:lang w:val="en-US" w:bidi="en-US"/>
        </w:rPr>
      </w:pPr>
    </w:p>
    <w:p w14:paraId="3710CF3C" w14:textId="1410A07F" w:rsidR="00492668" w:rsidRPr="009D52FD" w:rsidRDefault="003630BB" w:rsidP="00935F35">
      <w:pPr>
        <w:numPr>
          <w:ilvl w:val="0"/>
          <w:numId w:val="1"/>
        </w:numPr>
        <w:tabs>
          <w:tab w:val="left" w:pos="567"/>
        </w:tabs>
        <w:spacing w:line="240" w:lineRule="auto"/>
        <w:ind w:left="0" w:firstLine="0"/>
        <w:textAlignment w:val="auto"/>
        <w:rPr>
          <w:sz w:val="20"/>
          <w:szCs w:val="20"/>
          <w:lang w:val="en-US"/>
        </w:rPr>
      </w:pPr>
      <w:r w:rsidRPr="009D52FD">
        <w:rPr>
          <w:rFonts w:eastAsia="MS Mincho"/>
          <w:iCs/>
          <w:sz w:val="20"/>
          <w:szCs w:val="20"/>
          <w:lang w:val="en-US" w:bidi="en-US"/>
        </w:rPr>
        <w:lastRenderedPageBreak/>
        <w:t xml:space="preserve">The </w:t>
      </w:r>
      <w:r w:rsidRPr="009D52FD">
        <w:rPr>
          <w:rFonts w:eastAsia="MS Mincho"/>
          <w:b/>
          <w:bCs/>
          <w:i/>
          <w:sz w:val="20"/>
          <w:szCs w:val="20"/>
          <w:lang w:val="en-US" w:bidi="en-US"/>
        </w:rPr>
        <w:t>representatives</w:t>
      </w:r>
      <w:r w:rsidR="00935F35" w:rsidRPr="009D52FD">
        <w:rPr>
          <w:rFonts w:eastAsia="MS Mincho"/>
          <w:b/>
          <w:bCs/>
          <w:i/>
          <w:sz w:val="20"/>
          <w:szCs w:val="20"/>
          <w:lang w:val="en-US" w:bidi="en-US"/>
        </w:rPr>
        <w:t xml:space="preserve"> </w:t>
      </w:r>
      <w:r w:rsidR="00492668" w:rsidRPr="009D52FD">
        <w:rPr>
          <w:rFonts w:eastAsia="MS Mincho"/>
          <w:sz w:val="20"/>
          <w:szCs w:val="20"/>
          <w:lang w:val="en-US" w:bidi="en-US"/>
        </w:rPr>
        <w:t xml:space="preserve">requested that a protocol be implemented for the investigation of cases of sexual violence against women and that, at the same time, all the manuals and protocols </w:t>
      </w:r>
      <w:r w:rsidR="00B108CB" w:rsidRPr="009D52FD">
        <w:rPr>
          <w:rFonts w:eastAsia="MS Mincho"/>
          <w:sz w:val="20"/>
          <w:szCs w:val="20"/>
          <w:lang w:val="en-US" w:bidi="en-US"/>
        </w:rPr>
        <w:t>for</w:t>
      </w:r>
      <w:r w:rsidR="00492668" w:rsidRPr="009D52FD">
        <w:rPr>
          <w:rFonts w:eastAsia="MS Mincho"/>
          <w:sz w:val="20"/>
          <w:szCs w:val="20"/>
          <w:lang w:val="en-US" w:bidi="en-US"/>
        </w:rPr>
        <w:t xml:space="preserve"> the investigation of such facts, as well as on the disappearance and murder of women be standardized, taking into account the gender perspective and based on the standards of the Istanbul Protoc</w:t>
      </w:r>
      <w:r w:rsidR="00D553C4" w:rsidRPr="009D52FD">
        <w:rPr>
          <w:rFonts w:eastAsia="MS Mincho"/>
          <w:sz w:val="20"/>
          <w:szCs w:val="20"/>
          <w:lang w:val="en-US" w:bidi="en-US"/>
        </w:rPr>
        <w:t>o</w:t>
      </w:r>
      <w:r w:rsidR="00492668" w:rsidRPr="009D52FD">
        <w:rPr>
          <w:rFonts w:eastAsia="MS Mincho"/>
          <w:sz w:val="20"/>
          <w:szCs w:val="20"/>
          <w:lang w:val="en-US" w:bidi="en-US"/>
        </w:rPr>
        <w:t xml:space="preserve">l and the United Nations Manual on </w:t>
      </w:r>
      <w:r w:rsidR="00D553C4" w:rsidRPr="009D52FD">
        <w:rPr>
          <w:bCs/>
          <w:sz w:val="20"/>
          <w:szCs w:val="20"/>
          <w:lang w:val="en-US"/>
        </w:rPr>
        <w:t xml:space="preserve">the Effective Prevention and Investigation of Extra-Legal, Arbitrary and Summary Executions, and also the </w:t>
      </w:r>
      <w:r w:rsidR="00982404" w:rsidRPr="009D52FD">
        <w:rPr>
          <w:bCs/>
          <w:sz w:val="20"/>
          <w:szCs w:val="20"/>
          <w:lang w:val="en-US"/>
        </w:rPr>
        <w:t>standards</w:t>
      </w:r>
      <w:r w:rsidR="00D553C4" w:rsidRPr="009D52FD">
        <w:rPr>
          <w:bCs/>
          <w:sz w:val="20"/>
          <w:szCs w:val="20"/>
          <w:lang w:val="en-US"/>
        </w:rPr>
        <w:t xml:space="preserve"> proposed by the World Health Organization.</w:t>
      </w:r>
    </w:p>
    <w:p w14:paraId="7B362A9C" w14:textId="77777777" w:rsidR="00935F35" w:rsidRPr="009D52FD" w:rsidRDefault="00935F35" w:rsidP="00935F35">
      <w:pPr>
        <w:tabs>
          <w:tab w:val="left" w:pos="567"/>
        </w:tabs>
        <w:spacing w:line="240" w:lineRule="auto"/>
        <w:rPr>
          <w:sz w:val="20"/>
          <w:szCs w:val="20"/>
          <w:lang w:val="en-US"/>
        </w:rPr>
      </w:pPr>
    </w:p>
    <w:p w14:paraId="680DA3FF" w14:textId="2502BD86" w:rsidR="00935F35" w:rsidRPr="009D52FD" w:rsidRDefault="003630BB" w:rsidP="00935F35">
      <w:pPr>
        <w:numPr>
          <w:ilvl w:val="0"/>
          <w:numId w:val="1"/>
        </w:numPr>
        <w:tabs>
          <w:tab w:val="left" w:pos="567"/>
        </w:tabs>
        <w:spacing w:line="240" w:lineRule="auto"/>
        <w:ind w:left="0" w:firstLine="0"/>
        <w:textAlignment w:val="auto"/>
        <w:rPr>
          <w:sz w:val="20"/>
          <w:szCs w:val="20"/>
          <w:lang w:val="en-US"/>
        </w:rPr>
      </w:pPr>
      <w:r w:rsidRPr="009D52FD">
        <w:rPr>
          <w:rFonts w:eastAsia="MS Mincho"/>
          <w:sz w:val="20"/>
          <w:szCs w:val="20"/>
          <w:lang w:val="en-US" w:bidi="en-US"/>
        </w:rPr>
        <w:t xml:space="preserve">The </w:t>
      </w:r>
      <w:r w:rsidRPr="009D52FD">
        <w:rPr>
          <w:rFonts w:eastAsia="MS Mincho"/>
          <w:b/>
          <w:bCs/>
          <w:i/>
          <w:iCs/>
          <w:sz w:val="20"/>
          <w:szCs w:val="20"/>
          <w:lang w:val="en-US" w:bidi="en-US"/>
        </w:rPr>
        <w:t>State</w:t>
      </w:r>
      <w:r w:rsidR="00935F35" w:rsidRPr="009D52FD">
        <w:rPr>
          <w:rFonts w:eastAsia="MS Mincho"/>
          <w:sz w:val="20"/>
          <w:szCs w:val="20"/>
          <w:lang w:val="en-US" w:bidi="en-US"/>
        </w:rPr>
        <w:t xml:space="preserve"> </w:t>
      </w:r>
      <w:r w:rsidR="00D553C4" w:rsidRPr="009D52FD">
        <w:rPr>
          <w:rFonts w:eastAsia="MS Mincho"/>
          <w:sz w:val="20"/>
          <w:szCs w:val="20"/>
          <w:lang w:val="en-US" w:bidi="en-US"/>
        </w:rPr>
        <w:t>did not refer to this matter</w:t>
      </w:r>
      <w:r w:rsidR="00935F35" w:rsidRPr="009D52FD">
        <w:rPr>
          <w:rFonts w:eastAsia="MS Mincho"/>
          <w:sz w:val="20"/>
          <w:szCs w:val="20"/>
          <w:lang w:val="en-US" w:bidi="en-US"/>
        </w:rPr>
        <w:t>.</w:t>
      </w:r>
    </w:p>
    <w:p w14:paraId="6E595B41" w14:textId="77777777" w:rsidR="00935F35" w:rsidRPr="009D52FD" w:rsidRDefault="00935F35" w:rsidP="00935F35">
      <w:pPr>
        <w:tabs>
          <w:tab w:val="left" w:pos="567"/>
        </w:tabs>
        <w:spacing w:line="240" w:lineRule="auto"/>
        <w:ind w:left="825"/>
        <w:rPr>
          <w:sz w:val="20"/>
          <w:szCs w:val="20"/>
          <w:lang w:val="en-US"/>
        </w:rPr>
      </w:pPr>
    </w:p>
    <w:p w14:paraId="2C9E044B" w14:textId="27AB54AD" w:rsidR="00D553C4" w:rsidRPr="009D52FD" w:rsidRDefault="003630BB" w:rsidP="00D553C4">
      <w:pPr>
        <w:pStyle w:val="ListParagraph"/>
        <w:numPr>
          <w:ilvl w:val="0"/>
          <w:numId w:val="1"/>
        </w:numPr>
        <w:tabs>
          <w:tab w:val="left" w:pos="567"/>
        </w:tabs>
        <w:spacing w:line="240" w:lineRule="auto"/>
        <w:ind w:left="0" w:firstLine="0"/>
        <w:contextualSpacing/>
        <w:textAlignment w:val="auto"/>
        <w:rPr>
          <w:sz w:val="20"/>
          <w:szCs w:val="20"/>
          <w:lang w:val="en-US"/>
        </w:rPr>
      </w:pPr>
      <w:r w:rsidRPr="009D52FD">
        <w:rPr>
          <w:rFonts w:eastAsia="MS Mincho"/>
          <w:sz w:val="20"/>
          <w:szCs w:val="20"/>
          <w:lang w:val="en-US" w:bidi="en-US"/>
        </w:rPr>
        <w:t>The Court</w:t>
      </w:r>
      <w:r w:rsidR="00935F35" w:rsidRPr="009D52FD">
        <w:rPr>
          <w:rFonts w:eastAsia="MS Mincho"/>
          <w:sz w:val="20"/>
          <w:szCs w:val="20"/>
          <w:lang w:val="en-US" w:bidi="en-US"/>
        </w:rPr>
        <w:t xml:space="preserve"> not</w:t>
      </w:r>
      <w:r w:rsidR="00D553C4" w:rsidRPr="009D52FD">
        <w:rPr>
          <w:rFonts w:eastAsia="MS Mincho"/>
          <w:sz w:val="20"/>
          <w:szCs w:val="20"/>
          <w:lang w:val="en-US" w:bidi="en-US"/>
        </w:rPr>
        <w:t>es that the</w:t>
      </w:r>
      <w:r w:rsidR="00935F35" w:rsidRPr="009D52FD">
        <w:rPr>
          <w:rFonts w:eastAsia="MS Mincho"/>
          <w:sz w:val="20"/>
          <w:szCs w:val="20"/>
          <w:lang w:val="en-US" w:bidi="en-US"/>
        </w:rPr>
        <w:t xml:space="preserve"> </w:t>
      </w:r>
      <w:r w:rsidR="00864649" w:rsidRPr="009D52FD">
        <w:rPr>
          <w:sz w:val="20"/>
          <w:szCs w:val="20"/>
          <w:lang w:val="en-US"/>
        </w:rPr>
        <w:t>Organic Law on the Right of Women to a Life Free of Violence</w:t>
      </w:r>
      <w:r w:rsidR="00935F35" w:rsidRPr="009D52FD">
        <w:rPr>
          <w:rFonts w:eastAsia="MS Mincho"/>
          <w:sz w:val="20"/>
          <w:szCs w:val="20"/>
          <w:lang w:val="en-US" w:bidi="en-US"/>
        </w:rPr>
        <w:t xml:space="preserve"> </w:t>
      </w:r>
      <w:r w:rsidR="007A24B8" w:rsidRPr="009D52FD">
        <w:rPr>
          <w:rFonts w:eastAsia="MS Mincho"/>
          <w:sz w:val="20"/>
          <w:szCs w:val="20"/>
          <w:lang w:val="en-US" w:bidi="en-US"/>
        </w:rPr>
        <w:t>establishes</w:t>
      </w:r>
      <w:r w:rsidR="00935F35" w:rsidRPr="009D52FD">
        <w:rPr>
          <w:rFonts w:eastAsia="MS Mincho"/>
          <w:sz w:val="20"/>
          <w:szCs w:val="20"/>
          <w:lang w:val="en-US" w:bidi="en-US"/>
        </w:rPr>
        <w:t xml:space="preserve"> </w:t>
      </w:r>
      <w:r w:rsidR="00D553C4" w:rsidRPr="009D52FD">
        <w:rPr>
          <w:rFonts w:eastAsia="MS Mincho"/>
          <w:sz w:val="20"/>
          <w:szCs w:val="20"/>
          <w:lang w:val="en-US" w:bidi="en-US"/>
        </w:rPr>
        <w:t xml:space="preserve">that cases of violence against women must be investigated and prosecuted </w:t>
      </w:r>
      <w:r w:rsidR="00B108CB" w:rsidRPr="009D52FD">
        <w:rPr>
          <w:rFonts w:eastAsia="MS Mincho"/>
          <w:sz w:val="20"/>
          <w:szCs w:val="20"/>
          <w:lang w:val="en-US" w:bidi="en-US"/>
        </w:rPr>
        <w:t xml:space="preserve">under </w:t>
      </w:r>
      <w:r w:rsidR="00D553C4" w:rsidRPr="009D52FD">
        <w:rPr>
          <w:rFonts w:eastAsia="MS Mincho"/>
          <w:sz w:val="20"/>
          <w:szCs w:val="20"/>
          <w:lang w:val="en-US" w:bidi="en-US"/>
        </w:rPr>
        <w:t>a special judicial proceeding.</w:t>
      </w:r>
      <w:r w:rsidR="00935F35" w:rsidRPr="009D52FD">
        <w:rPr>
          <w:rFonts w:eastAsia="MS Mincho"/>
          <w:sz w:val="20"/>
          <w:szCs w:val="20"/>
          <w:vertAlign w:val="superscript"/>
          <w:lang w:val="en-US" w:bidi="en-US"/>
        </w:rPr>
        <w:footnoteReference w:id="407"/>
      </w:r>
      <w:r w:rsidR="00D553C4" w:rsidRPr="009D52FD">
        <w:rPr>
          <w:rFonts w:eastAsia="MS Mincho"/>
          <w:sz w:val="20"/>
          <w:szCs w:val="20"/>
          <w:lang w:val="en-US" w:bidi="en-US"/>
        </w:rPr>
        <w:t xml:space="preserve"> The law contains specific indications that regulate both the opening of the proceeding for this type of act b</w:t>
      </w:r>
      <w:r w:rsidR="00B108CB" w:rsidRPr="009D52FD">
        <w:rPr>
          <w:rFonts w:eastAsia="MS Mincho"/>
          <w:sz w:val="20"/>
          <w:szCs w:val="20"/>
          <w:lang w:val="en-US" w:bidi="en-US"/>
        </w:rPr>
        <w:t xml:space="preserve">y </w:t>
      </w:r>
      <w:r w:rsidR="00D553C4" w:rsidRPr="009D52FD">
        <w:rPr>
          <w:rFonts w:eastAsia="MS Mincho"/>
          <w:sz w:val="20"/>
          <w:szCs w:val="20"/>
          <w:lang w:val="en-US" w:bidi="en-US"/>
        </w:rPr>
        <w:t>the agencies that receive complaints, and also the processing</w:t>
      </w:r>
      <w:r w:rsidR="00B108CB" w:rsidRPr="009D52FD">
        <w:rPr>
          <w:rFonts w:eastAsia="MS Mincho"/>
          <w:sz w:val="20"/>
          <w:szCs w:val="20"/>
          <w:lang w:val="en-US" w:bidi="en-US"/>
        </w:rPr>
        <w:t xml:space="preserve"> of such complaints</w:t>
      </w:r>
      <w:r w:rsidR="00D553C4" w:rsidRPr="009D52FD">
        <w:rPr>
          <w:rFonts w:eastAsia="MS Mincho"/>
          <w:sz w:val="20"/>
          <w:szCs w:val="20"/>
          <w:lang w:val="en-US" w:bidi="en-US"/>
        </w:rPr>
        <w:t xml:space="preserve"> before the specialized jurisdictional organs.</w:t>
      </w:r>
      <w:r w:rsidR="00935F35" w:rsidRPr="009D52FD">
        <w:rPr>
          <w:rFonts w:eastAsia="MS Mincho"/>
          <w:sz w:val="20"/>
          <w:szCs w:val="20"/>
          <w:vertAlign w:val="superscript"/>
          <w:lang w:val="en-US" w:bidi="en-US"/>
        </w:rPr>
        <w:footnoteReference w:id="408"/>
      </w:r>
      <w:r w:rsidR="00D553C4" w:rsidRPr="009D52FD">
        <w:rPr>
          <w:rFonts w:eastAsia="MS Mincho"/>
          <w:sz w:val="20"/>
          <w:szCs w:val="20"/>
          <w:lang w:val="en-US" w:bidi="en-US"/>
        </w:rPr>
        <w:t xml:space="preserve"> In addition, it is worth stressing that, although the law in question stipulates that a medical examination should be performed on the women at the time reports of this type of act are filed,</w:t>
      </w:r>
      <w:r w:rsidR="00D553C4" w:rsidRPr="009D52FD">
        <w:rPr>
          <w:rStyle w:val="FootnoteReference"/>
          <w:rFonts w:eastAsia="MS Mincho"/>
          <w:sz w:val="20"/>
          <w:szCs w:val="20"/>
          <w:lang w:val="en-US" w:bidi="en-US"/>
        </w:rPr>
        <w:footnoteReference w:id="409"/>
      </w:r>
      <w:r w:rsidR="00D553C4" w:rsidRPr="009D52FD">
        <w:rPr>
          <w:rFonts w:eastAsia="MS Mincho"/>
          <w:sz w:val="20"/>
          <w:szCs w:val="20"/>
          <w:lang w:val="en-US" w:bidi="en-US"/>
        </w:rPr>
        <w:t xml:space="preserve"> it does not include a specific procedure or instructions for the measures to be taken by the </w:t>
      </w:r>
      <w:r w:rsidR="006973FC" w:rsidRPr="009D52FD">
        <w:rPr>
          <w:rFonts w:eastAsia="MS Mincho"/>
          <w:sz w:val="20"/>
          <w:szCs w:val="20"/>
          <w:lang w:val="en-US" w:bidi="en-US"/>
        </w:rPr>
        <w:t>personnel</w:t>
      </w:r>
      <w:r w:rsidR="00D553C4" w:rsidRPr="009D52FD">
        <w:rPr>
          <w:rFonts w:eastAsia="MS Mincho"/>
          <w:sz w:val="20"/>
          <w:szCs w:val="20"/>
          <w:lang w:val="en-US" w:bidi="en-US"/>
        </w:rPr>
        <w:t xml:space="preserve"> of the health care system in such cases.</w:t>
      </w:r>
    </w:p>
    <w:p w14:paraId="5255F0F2" w14:textId="77777777" w:rsidR="00935F35" w:rsidRPr="009D52FD" w:rsidRDefault="00935F35" w:rsidP="00935F35">
      <w:pPr>
        <w:pStyle w:val="ListParagraph"/>
        <w:tabs>
          <w:tab w:val="left" w:pos="567"/>
        </w:tabs>
        <w:spacing w:line="240" w:lineRule="auto"/>
        <w:ind w:left="0"/>
        <w:rPr>
          <w:sz w:val="20"/>
          <w:szCs w:val="20"/>
          <w:lang w:val="en-US"/>
        </w:rPr>
      </w:pPr>
    </w:p>
    <w:p w14:paraId="46096654" w14:textId="028FAF28" w:rsidR="00935F35" w:rsidRPr="009D52FD" w:rsidRDefault="003630BB" w:rsidP="00D553C4">
      <w:pPr>
        <w:pStyle w:val="ListParagraph"/>
        <w:numPr>
          <w:ilvl w:val="0"/>
          <w:numId w:val="1"/>
        </w:numPr>
        <w:tabs>
          <w:tab w:val="left" w:pos="567"/>
        </w:tabs>
        <w:spacing w:line="240" w:lineRule="auto"/>
        <w:ind w:left="0" w:firstLine="0"/>
        <w:contextualSpacing/>
        <w:textAlignment w:val="auto"/>
        <w:rPr>
          <w:sz w:val="20"/>
          <w:szCs w:val="20"/>
          <w:lang w:val="en-US"/>
        </w:rPr>
      </w:pPr>
      <w:r w:rsidRPr="009D52FD">
        <w:rPr>
          <w:rFonts w:eastAsia="MS Mincho"/>
          <w:sz w:val="20"/>
          <w:szCs w:val="20"/>
          <w:lang w:val="en-US" w:bidi="en-US"/>
        </w:rPr>
        <w:t>The Court</w:t>
      </w:r>
      <w:r w:rsidR="00935F35" w:rsidRPr="009D52FD">
        <w:rPr>
          <w:rFonts w:eastAsia="MS Mincho"/>
          <w:sz w:val="20"/>
          <w:szCs w:val="20"/>
          <w:lang w:val="en-US" w:bidi="en-US"/>
        </w:rPr>
        <w:t xml:space="preserve"> not</w:t>
      </w:r>
      <w:r w:rsidR="00D553C4" w:rsidRPr="009D52FD">
        <w:rPr>
          <w:rFonts w:eastAsia="MS Mincho"/>
          <w:sz w:val="20"/>
          <w:szCs w:val="20"/>
          <w:lang w:val="en-US" w:bidi="en-US"/>
        </w:rPr>
        <w:t>es that the evidence provided reveals that, within</w:t>
      </w:r>
      <w:r w:rsidR="00935F35" w:rsidRPr="009D52FD">
        <w:rPr>
          <w:rFonts w:eastAsia="MS Mincho"/>
          <w:sz w:val="20"/>
          <w:szCs w:val="20"/>
          <w:lang w:val="en-US" w:bidi="en-US"/>
        </w:rPr>
        <w:t xml:space="preserve"> </w:t>
      </w:r>
      <w:r w:rsidR="000C6475" w:rsidRPr="009D52FD">
        <w:rPr>
          <w:rFonts w:eastAsia="MS Mincho"/>
          <w:sz w:val="20"/>
          <w:szCs w:val="20"/>
          <w:lang w:val="en-US" w:bidi="en-US"/>
        </w:rPr>
        <w:t>the Public Prosecution Service</w:t>
      </w:r>
      <w:r w:rsidR="00935F35" w:rsidRPr="009D52FD">
        <w:rPr>
          <w:rFonts w:eastAsia="MS Mincho"/>
          <w:sz w:val="20"/>
          <w:szCs w:val="20"/>
          <w:lang w:val="en-US" w:bidi="en-US"/>
        </w:rPr>
        <w:t xml:space="preserve">, </w:t>
      </w:r>
      <w:r w:rsidR="00D553C4" w:rsidRPr="009D52FD">
        <w:rPr>
          <w:rFonts w:eastAsia="MS Mincho"/>
          <w:sz w:val="20"/>
          <w:szCs w:val="20"/>
          <w:lang w:val="en-US" w:bidi="en-US"/>
        </w:rPr>
        <w:t>as the agency respon</w:t>
      </w:r>
      <w:r w:rsidR="00520BD5" w:rsidRPr="009D52FD">
        <w:rPr>
          <w:rFonts w:eastAsia="MS Mincho"/>
          <w:sz w:val="20"/>
          <w:szCs w:val="20"/>
          <w:lang w:val="en-US" w:bidi="en-US"/>
        </w:rPr>
        <w:t>si</w:t>
      </w:r>
      <w:r w:rsidR="00D553C4" w:rsidRPr="009D52FD">
        <w:rPr>
          <w:rFonts w:eastAsia="MS Mincho"/>
          <w:sz w:val="20"/>
          <w:szCs w:val="20"/>
          <w:lang w:val="en-US" w:bidi="en-US"/>
        </w:rPr>
        <w:t>ble for conducting judicial investigations into acts of violence against women, draft protocols have</w:t>
      </w:r>
      <w:r w:rsidR="00520BD5" w:rsidRPr="009D52FD">
        <w:rPr>
          <w:rFonts w:eastAsia="MS Mincho"/>
          <w:sz w:val="20"/>
          <w:szCs w:val="20"/>
          <w:lang w:val="en-US" w:bidi="en-US"/>
        </w:rPr>
        <w:t xml:space="preserve"> been drawn up in order to unify standards </w:t>
      </w:r>
      <w:r w:rsidR="006973FC" w:rsidRPr="009D52FD">
        <w:rPr>
          <w:rFonts w:eastAsia="MS Mincho"/>
          <w:sz w:val="20"/>
          <w:szCs w:val="20"/>
          <w:lang w:val="en-US" w:bidi="en-US"/>
        </w:rPr>
        <w:t xml:space="preserve">on </w:t>
      </w:r>
      <w:r w:rsidR="00E108BF" w:rsidRPr="009D52FD">
        <w:rPr>
          <w:rFonts w:eastAsia="MS Mincho"/>
          <w:sz w:val="20"/>
          <w:szCs w:val="20"/>
          <w:lang w:val="en-US" w:bidi="en-US"/>
        </w:rPr>
        <w:t>assistance</w:t>
      </w:r>
      <w:r w:rsidR="00520BD5" w:rsidRPr="009D52FD">
        <w:rPr>
          <w:rFonts w:eastAsia="MS Mincho"/>
          <w:sz w:val="20"/>
          <w:szCs w:val="20"/>
          <w:lang w:val="en-US" w:bidi="en-US"/>
        </w:rPr>
        <w:t xml:space="preserve"> and investigation in cases of violence against women</w:t>
      </w:r>
      <w:r w:rsidR="00520BD5" w:rsidRPr="009D52FD">
        <w:rPr>
          <w:sz w:val="20"/>
          <w:szCs w:val="20"/>
          <w:lang w:val="en-US"/>
        </w:rPr>
        <w:t>.</w:t>
      </w:r>
      <w:r w:rsidR="00B0055F" w:rsidRPr="009D52FD">
        <w:rPr>
          <w:rStyle w:val="FootnoteReference"/>
          <w:rFonts w:eastAsia="MS Mincho"/>
          <w:sz w:val="20"/>
          <w:szCs w:val="20"/>
          <w:lang w:val="en-US" w:bidi="en-US"/>
        </w:rPr>
        <w:footnoteReference w:id="410"/>
      </w:r>
      <w:r w:rsidR="00520BD5" w:rsidRPr="009D52FD">
        <w:rPr>
          <w:rFonts w:eastAsia="MS Mincho"/>
          <w:sz w:val="20"/>
          <w:szCs w:val="20"/>
          <w:lang w:val="en-US" w:bidi="en-US"/>
        </w:rPr>
        <w:t xml:space="preserve"> However, the Court has no current information that would allow it to affirm that the said protocols have been implemented.</w:t>
      </w:r>
    </w:p>
    <w:p w14:paraId="71A78C5D" w14:textId="77777777" w:rsidR="00935F35" w:rsidRPr="009D52FD" w:rsidRDefault="00935F35" w:rsidP="00935F35">
      <w:pPr>
        <w:pStyle w:val="ListParagraph"/>
        <w:tabs>
          <w:tab w:val="left" w:pos="567"/>
        </w:tabs>
        <w:spacing w:line="240" w:lineRule="auto"/>
        <w:ind w:left="0"/>
        <w:rPr>
          <w:sz w:val="20"/>
          <w:szCs w:val="20"/>
          <w:lang w:val="en-US"/>
        </w:rPr>
      </w:pPr>
    </w:p>
    <w:p w14:paraId="43C0C28C" w14:textId="73DCD25B" w:rsidR="00935F35" w:rsidRPr="009D52FD" w:rsidRDefault="00520BD5" w:rsidP="00520BD5">
      <w:pPr>
        <w:pStyle w:val="ListParagraph"/>
        <w:numPr>
          <w:ilvl w:val="0"/>
          <w:numId w:val="1"/>
        </w:numPr>
        <w:tabs>
          <w:tab w:val="left" w:pos="567"/>
        </w:tabs>
        <w:spacing w:line="240" w:lineRule="auto"/>
        <w:ind w:left="0" w:firstLine="0"/>
        <w:contextualSpacing/>
        <w:textAlignment w:val="auto"/>
        <w:rPr>
          <w:sz w:val="20"/>
          <w:szCs w:val="20"/>
          <w:lang w:val="en-US"/>
        </w:rPr>
      </w:pPr>
      <w:r w:rsidRPr="009D52FD">
        <w:rPr>
          <w:rFonts w:eastAsia="MS Mincho"/>
          <w:sz w:val="20"/>
          <w:szCs w:val="20"/>
          <w:lang w:val="en-US" w:bidi="en-US"/>
        </w:rPr>
        <w:t>Accordingly, it is not possible to assert that, currently, there is any instrument that regulates, uniformly and in a binding manner, the actions of the state agents who intervene in cases of violence against women, especially when these relate to acts of sexual violence. However, this is notwithstanding the fact that some agents may</w:t>
      </w:r>
      <w:r w:rsidR="006973FC" w:rsidRPr="009D52FD">
        <w:rPr>
          <w:rFonts w:eastAsia="MS Mincho"/>
          <w:sz w:val="20"/>
          <w:szCs w:val="20"/>
          <w:lang w:val="en-US" w:bidi="en-US"/>
        </w:rPr>
        <w:t xml:space="preserve"> have prudently</w:t>
      </w:r>
      <w:r w:rsidRPr="009D52FD">
        <w:rPr>
          <w:rFonts w:eastAsia="MS Mincho"/>
          <w:sz w:val="20"/>
          <w:szCs w:val="20"/>
          <w:lang w:val="en-US" w:bidi="en-US"/>
        </w:rPr>
        <w:t xml:space="preserve"> adapt</w:t>
      </w:r>
      <w:r w:rsidR="006973FC" w:rsidRPr="009D52FD">
        <w:rPr>
          <w:rFonts w:eastAsia="MS Mincho"/>
          <w:sz w:val="20"/>
          <w:szCs w:val="20"/>
          <w:lang w:val="en-US" w:bidi="en-US"/>
        </w:rPr>
        <w:t>ed</w:t>
      </w:r>
      <w:r w:rsidRPr="009D52FD">
        <w:rPr>
          <w:rFonts w:eastAsia="MS Mincho"/>
          <w:sz w:val="20"/>
          <w:szCs w:val="20"/>
          <w:lang w:val="en-US" w:bidi="en-US"/>
        </w:rPr>
        <w:t xml:space="preserve"> their practices to the standards established in international instruments such as the Istanbul Protocol.</w:t>
      </w:r>
      <w:r w:rsidR="00935F35" w:rsidRPr="009D52FD">
        <w:rPr>
          <w:rStyle w:val="FootnoteReference"/>
          <w:rFonts w:eastAsia="MS Mincho"/>
          <w:sz w:val="20"/>
          <w:szCs w:val="20"/>
          <w:lang w:val="en-US" w:bidi="en-US"/>
        </w:rPr>
        <w:footnoteReference w:id="411"/>
      </w:r>
    </w:p>
    <w:p w14:paraId="54F44AF3" w14:textId="77777777" w:rsidR="00935F35" w:rsidRPr="009D52FD" w:rsidRDefault="00935F35" w:rsidP="00935F35">
      <w:pPr>
        <w:pStyle w:val="ListParagraph"/>
        <w:tabs>
          <w:tab w:val="left" w:pos="567"/>
        </w:tabs>
        <w:spacing w:line="240" w:lineRule="auto"/>
        <w:ind w:left="0"/>
        <w:rPr>
          <w:sz w:val="20"/>
          <w:szCs w:val="20"/>
          <w:lang w:val="en-US"/>
        </w:rPr>
      </w:pPr>
    </w:p>
    <w:p w14:paraId="3AEC412B" w14:textId="3A3451DA" w:rsidR="00935F35" w:rsidRPr="009D52FD" w:rsidRDefault="00520BD5" w:rsidP="002346DA">
      <w:pPr>
        <w:pStyle w:val="ListParagraph"/>
        <w:numPr>
          <w:ilvl w:val="0"/>
          <w:numId w:val="1"/>
        </w:numPr>
        <w:tabs>
          <w:tab w:val="left" w:pos="567"/>
        </w:tabs>
        <w:spacing w:line="240" w:lineRule="auto"/>
        <w:ind w:left="0" w:firstLine="0"/>
        <w:contextualSpacing/>
        <w:textAlignment w:val="auto"/>
        <w:rPr>
          <w:sz w:val="20"/>
          <w:szCs w:val="20"/>
          <w:lang w:val="en-US"/>
        </w:rPr>
      </w:pPr>
      <w:r w:rsidRPr="009D52FD">
        <w:rPr>
          <w:rFonts w:eastAsia="MS Mincho"/>
          <w:sz w:val="20"/>
          <w:szCs w:val="20"/>
          <w:lang w:val="en-US" w:bidi="en-US"/>
        </w:rPr>
        <w:t xml:space="preserve">Consequently, the Court finds </w:t>
      </w:r>
      <w:r w:rsidR="006973FC" w:rsidRPr="009D52FD">
        <w:rPr>
          <w:rFonts w:eastAsia="MS Mincho"/>
          <w:sz w:val="20"/>
          <w:szCs w:val="20"/>
          <w:lang w:val="en-US" w:bidi="en-US"/>
        </w:rPr>
        <w:t xml:space="preserve">it </w:t>
      </w:r>
      <w:r w:rsidRPr="009D52FD">
        <w:rPr>
          <w:rFonts w:eastAsia="MS Mincho"/>
          <w:sz w:val="20"/>
          <w:szCs w:val="20"/>
          <w:lang w:val="en-US" w:bidi="en-US"/>
        </w:rPr>
        <w:t xml:space="preserve">desirable to order the State to adopt, implement and monitor protocols that establish clear and uniform standards for both the investigation and </w:t>
      </w:r>
      <w:r w:rsidR="006973FC" w:rsidRPr="009D52FD">
        <w:rPr>
          <w:rFonts w:eastAsia="MS Mincho"/>
          <w:sz w:val="20"/>
          <w:szCs w:val="20"/>
          <w:lang w:val="en-US" w:bidi="en-US"/>
        </w:rPr>
        <w:t xml:space="preserve">the </w:t>
      </w:r>
      <w:r w:rsidRPr="009D52FD">
        <w:rPr>
          <w:rFonts w:eastAsia="MS Mincho"/>
          <w:sz w:val="20"/>
          <w:szCs w:val="20"/>
          <w:lang w:val="en-US" w:bidi="en-US"/>
        </w:rPr>
        <w:t xml:space="preserve">comprehensive </w:t>
      </w:r>
      <w:r w:rsidR="00E108BF" w:rsidRPr="009D52FD">
        <w:rPr>
          <w:rFonts w:eastAsia="MS Mincho"/>
          <w:sz w:val="20"/>
          <w:szCs w:val="20"/>
          <w:lang w:val="en-US" w:bidi="en-US"/>
        </w:rPr>
        <w:t>assistance</w:t>
      </w:r>
      <w:r w:rsidR="006973FC" w:rsidRPr="009D52FD">
        <w:rPr>
          <w:rFonts w:eastAsia="MS Mincho"/>
          <w:sz w:val="20"/>
          <w:szCs w:val="20"/>
          <w:lang w:val="en-US" w:bidi="en-US"/>
        </w:rPr>
        <w:t xml:space="preserve"> required</w:t>
      </w:r>
      <w:r w:rsidRPr="009D52FD">
        <w:rPr>
          <w:rFonts w:eastAsia="MS Mincho"/>
          <w:sz w:val="20"/>
          <w:szCs w:val="20"/>
          <w:lang w:val="en-US" w:bidi="en-US"/>
        </w:rPr>
        <w:t xml:space="preserve"> </w:t>
      </w:r>
      <w:r w:rsidR="002346DA" w:rsidRPr="009D52FD">
        <w:rPr>
          <w:rFonts w:eastAsia="MS Mincho"/>
          <w:sz w:val="20"/>
          <w:szCs w:val="20"/>
          <w:lang w:val="en-US" w:bidi="en-US"/>
        </w:rPr>
        <w:t xml:space="preserve">in the case of acts of violence in which the victim is a woman. </w:t>
      </w:r>
      <w:r w:rsidR="002346DA" w:rsidRPr="009D52FD">
        <w:rPr>
          <w:rFonts w:eastAsia="MS Mincho"/>
          <w:sz w:val="20"/>
          <w:szCs w:val="20"/>
          <w:lang w:val="en-US" w:bidi="en-US"/>
        </w:rPr>
        <w:lastRenderedPageBreak/>
        <w:t>These instruments should be adapted to the guidelines established in the Istanbul Protocol</w:t>
      </w:r>
      <w:r w:rsidR="00935F35" w:rsidRPr="009D52FD">
        <w:rPr>
          <w:rFonts w:eastAsia="MS Mincho"/>
          <w:sz w:val="20"/>
          <w:szCs w:val="20"/>
          <w:lang w:val="en-US" w:bidi="en-US"/>
        </w:rPr>
        <w:t xml:space="preserve">, </w:t>
      </w:r>
      <w:r w:rsidR="002346DA" w:rsidRPr="009D52FD">
        <w:rPr>
          <w:rFonts w:eastAsia="MS Mincho"/>
          <w:sz w:val="20"/>
          <w:szCs w:val="20"/>
          <w:lang w:val="en-US" w:bidi="en-US"/>
        </w:rPr>
        <w:t xml:space="preserve">the United Nations Manual on </w:t>
      </w:r>
      <w:r w:rsidR="002346DA" w:rsidRPr="009D52FD">
        <w:rPr>
          <w:bCs/>
          <w:sz w:val="20"/>
          <w:szCs w:val="20"/>
          <w:lang w:val="en-US"/>
        </w:rPr>
        <w:t xml:space="preserve">the Effective Prevention and Investigation of Extra-Legal, Arbitrary and Summary Executions, </w:t>
      </w:r>
      <w:r w:rsidR="002346DA" w:rsidRPr="009D52FD">
        <w:rPr>
          <w:rFonts w:eastAsia="MS Mincho"/>
          <w:sz w:val="20"/>
          <w:szCs w:val="20"/>
          <w:lang w:val="en-US" w:bidi="en-US"/>
        </w:rPr>
        <w:t xml:space="preserve">and the guidelines of the World Health Organization, as well as the case law of this Court. These protocols must be addressed at </w:t>
      </w:r>
      <w:r w:rsidR="006973FC" w:rsidRPr="009D52FD">
        <w:rPr>
          <w:rFonts w:eastAsia="MS Mincho"/>
          <w:sz w:val="20"/>
          <w:szCs w:val="20"/>
          <w:lang w:val="en-US" w:bidi="en-US"/>
        </w:rPr>
        <w:t xml:space="preserve">agents of the </w:t>
      </w:r>
      <w:r w:rsidR="002346DA" w:rsidRPr="009D52FD">
        <w:rPr>
          <w:rFonts w:eastAsia="MS Mincho"/>
          <w:sz w:val="20"/>
          <w:szCs w:val="20"/>
          <w:lang w:val="en-US" w:bidi="en-US"/>
        </w:rPr>
        <w:t>administration of justice and those who work in the public and private health care sector</w:t>
      </w:r>
      <w:r w:rsidR="006973FC" w:rsidRPr="009D52FD">
        <w:rPr>
          <w:rFonts w:eastAsia="MS Mincho"/>
          <w:sz w:val="20"/>
          <w:szCs w:val="20"/>
          <w:lang w:val="en-US" w:bidi="en-US"/>
        </w:rPr>
        <w:t xml:space="preserve"> and those</w:t>
      </w:r>
      <w:r w:rsidR="002346DA" w:rsidRPr="009D52FD">
        <w:rPr>
          <w:rFonts w:eastAsia="MS Mincho"/>
          <w:sz w:val="20"/>
          <w:szCs w:val="20"/>
          <w:lang w:val="en-US" w:bidi="en-US"/>
        </w:rPr>
        <w:t xml:space="preserve"> who, in any way, intervene in the investigation, processing and/or </w:t>
      </w:r>
      <w:r w:rsidR="006973FC" w:rsidRPr="009D52FD">
        <w:rPr>
          <w:rFonts w:eastAsia="MS Mincho"/>
          <w:sz w:val="20"/>
          <w:szCs w:val="20"/>
          <w:lang w:val="en-US" w:bidi="en-US"/>
        </w:rPr>
        <w:t xml:space="preserve">provision of </w:t>
      </w:r>
      <w:r w:rsidR="00E108BF" w:rsidRPr="009D52FD">
        <w:rPr>
          <w:rFonts w:eastAsia="MS Mincho"/>
          <w:sz w:val="20"/>
          <w:szCs w:val="20"/>
          <w:lang w:val="en-US" w:bidi="en-US"/>
        </w:rPr>
        <w:t>assistance in</w:t>
      </w:r>
      <w:r w:rsidR="002346DA" w:rsidRPr="009D52FD">
        <w:rPr>
          <w:rFonts w:eastAsia="MS Mincho"/>
          <w:sz w:val="20"/>
          <w:szCs w:val="20"/>
          <w:lang w:val="en-US" w:bidi="en-US"/>
        </w:rPr>
        <w:t xml:space="preserve"> cases of women victims of any type of violence indicated in the</w:t>
      </w:r>
      <w:r w:rsidR="002346DA" w:rsidRPr="009D52FD">
        <w:rPr>
          <w:sz w:val="20"/>
          <w:szCs w:val="20"/>
          <w:lang w:val="en-US"/>
        </w:rPr>
        <w:t xml:space="preserve"> </w:t>
      </w:r>
      <w:r w:rsidR="00864649" w:rsidRPr="009D52FD">
        <w:rPr>
          <w:rFonts w:eastAsia="MS Mincho"/>
          <w:sz w:val="20"/>
          <w:szCs w:val="20"/>
          <w:lang w:val="en-US" w:bidi="en-US"/>
        </w:rPr>
        <w:t>Organic Law on the Right of Women to a Life Free of Violence</w:t>
      </w:r>
      <w:r w:rsidR="00935F35" w:rsidRPr="009D52FD">
        <w:rPr>
          <w:rFonts w:eastAsia="MS Mincho"/>
          <w:sz w:val="20"/>
          <w:szCs w:val="20"/>
          <w:lang w:val="en-US" w:bidi="en-US"/>
        </w:rPr>
        <w:t>.</w:t>
      </w:r>
    </w:p>
    <w:p w14:paraId="148CCFE3" w14:textId="77777777" w:rsidR="00935F35" w:rsidRPr="009D52FD" w:rsidRDefault="00935F35" w:rsidP="00935F35">
      <w:pPr>
        <w:pStyle w:val="ListParagraph"/>
        <w:tabs>
          <w:tab w:val="left" w:pos="567"/>
        </w:tabs>
        <w:spacing w:line="240" w:lineRule="auto"/>
        <w:ind w:left="0"/>
        <w:rPr>
          <w:sz w:val="20"/>
          <w:szCs w:val="20"/>
          <w:lang w:val="en-US"/>
        </w:rPr>
      </w:pPr>
    </w:p>
    <w:p w14:paraId="790FF2F4" w14:textId="0050DB88" w:rsidR="00935F35" w:rsidRPr="009D52FD" w:rsidRDefault="00DC2372" w:rsidP="00935F35">
      <w:pPr>
        <w:pStyle w:val="ListParagraph"/>
        <w:numPr>
          <w:ilvl w:val="0"/>
          <w:numId w:val="1"/>
        </w:numPr>
        <w:tabs>
          <w:tab w:val="left" w:pos="567"/>
        </w:tabs>
        <w:spacing w:line="240" w:lineRule="auto"/>
        <w:ind w:left="0" w:firstLine="0"/>
        <w:contextualSpacing/>
        <w:textAlignment w:val="auto"/>
        <w:rPr>
          <w:sz w:val="20"/>
          <w:szCs w:val="20"/>
          <w:lang w:val="en-US"/>
        </w:rPr>
      </w:pPr>
      <w:r w:rsidRPr="009D52FD">
        <w:rPr>
          <w:sz w:val="20"/>
          <w:szCs w:val="20"/>
          <w:lang w:val="en-US"/>
        </w:rPr>
        <w:t xml:space="preserve">The State </w:t>
      </w:r>
      <w:r w:rsidR="002346DA" w:rsidRPr="009D52FD">
        <w:rPr>
          <w:sz w:val="20"/>
          <w:szCs w:val="20"/>
          <w:lang w:val="en-US"/>
        </w:rPr>
        <w:t xml:space="preserve">must comply with the measure ordered in this section within two years of notification </w:t>
      </w:r>
      <w:r w:rsidR="00996337" w:rsidRPr="009D52FD">
        <w:rPr>
          <w:sz w:val="20"/>
          <w:szCs w:val="20"/>
          <w:lang w:val="en-US"/>
        </w:rPr>
        <w:t>of this judgment</w:t>
      </w:r>
      <w:r w:rsidR="00925CF4" w:rsidRPr="009D52FD">
        <w:rPr>
          <w:sz w:val="20"/>
          <w:szCs w:val="20"/>
          <w:lang w:val="en-US"/>
        </w:rPr>
        <w:t>.</w:t>
      </w:r>
    </w:p>
    <w:p w14:paraId="73E88362" w14:textId="77777777" w:rsidR="00935F35" w:rsidRPr="009D52FD" w:rsidRDefault="00925CF4" w:rsidP="00935F35">
      <w:pPr>
        <w:pStyle w:val="ListParagraph"/>
        <w:tabs>
          <w:tab w:val="left" w:pos="567"/>
        </w:tabs>
        <w:spacing w:line="240" w:lineRule="auto"/>
        <w:ind w:left="0"/>
        <w:rPr>
          <w:sz w:val="20"/>
          <w:szCs w:val="20"/>
          <w:lang w:val="en-US"/>
        </w:rPr>
      </w:pPr>
      <w:r w:rsidRPr="009D52FD">
        <w:rPr>
          <w:rFonts w:eastAsia="MS Mincho"/>
          <w:sz w:val="20"/>
          <w:szCs w:val="20"/>
          <w:lang w:val="en-US" w:bidi="en-US"/>
        </w:rPr>
        <w:t xml:space="preserve"> </w:t>
      </w:r>
    </w:p>
    <w:p w14:paraId="3A053379" w14:textId="373551DB" w:rsidR="00935F35" w:rsidRPr="009D52FD" w:rsidRDefault="007C6E52" w:rsidP="00C6536C">
      <w:pPr>
        <w:tabs>
          <w:tab w:val="left" w:pos="567"/>
          <w:tab w:val="left" w:pos="2127"/>
          <w:tab w:val="left" w:pos="2552"/>
        </w:tabs>
        <w:spacing w:line="240" w:lineRule="auto"/>
        <w:ind w:left="1701"/>
        <w:rPr>
          <w:rFonts w:eastAsia="MS Mincho"/>
          <w:i/>
          <w:sz w:val="20"/>
          <w:szCs w:val="20"/>
          <w:lang w:val="en-US" w:bidi="en-US"/>
        </w:rPr>
      </w:pPr>
      <w:r w:rsidRPr="009D52FD">
        <w:rPr>
          <w:rFonts w:eastAsia="MS Mincho"/>
          <w:i/>
          <w:sz w:val="20"/>
          <w:szCs w:val="20"/>
          <w:lang w:val="en-US" w:bidi="en-US"/>
        </w:rPr>
        <w:t>C.3.c</w:t>
      </w:r>
      <w:r w:rsidR="00935F35" w:rsidRPr="009D52FD">
        <w:rPr>
          <w:rFonts w:eastAsia="MS Mincho"/>
          <w:i/>
          <w:sz w:val="20"/>
          <w:szCs w:val="20"/>
          <w:lang w:val="en-US" w:bidi="en-US"/>
        </w:rPr>
        <w:t xml:space="preserve">) </w:t>
      </w:r>
      <w:r w:rsidRPr="009D52FD">
        <w:rPr>
          <w:rFonts w:eastAsia="MS Mincho"/>
          <w:i/>
          <w:sz w:val="20"/>
          <w:szCs w:val="20"/>
          <w:lang w:val="en-US" w:bidi="en-US"/>
        </w:rPr>
        <w:tab/>
      </w:r>
      <w:r w:rsidR="00864649" w:rsidRPr="009D52FD">
        <w:rPr>
          <w:rFonts w:eastAsia="MS Mincho"/>
          <w:i/>
          <w:sz w:val="20"/>
          <w:szCs w:val="20"/>
          <w:lang w:val="en-US" w:bidi="en-US"/>
        </w:rPr>
        <w:t>Specialized training for public officials</w:t>
      </w:r>
    </w:p>
    <w:p w14:paraId="74947FF2" w14:textId="77777777" w:rsidR="00935F35" w:rsidRPr="009D52FD" w:rsidRDefault="00935F35" w:rsidP="00935F35">
      <w:pPr>
        <w:spacing w:line="240" w:lineRule="auto"/>
        <w:ind w:firstLine="567"/>
        <w:rPr>
          <w:i/>
          <w:iCs/>
          <w:sz w:val="20"/>
          <w:szCs w:val="20"/>
          <w:lang w:val="en-US"/>
        </w:rPr>
      </w:pPr>
    </w:p>
    <w:p w14:paraId="7FFD62B1" w14:textId="266DE0FA" w:rsidR="00935F35" w:rsidRPr="009D52FD" w:rsidRDefault="003630BB" w:rsidP="00935F35">
      <w:pPr>
        <w:pStyle w:val="ListParagraph"/>
        <w:numPr>
          <w:ilvl w:val="0"/>
          <w:numId w:val="1"/>
        </w:numPr>
        <w:tabs>
          <w:tab w:val="left" w:pos="567"/>
        </w:tabs>
        <w:spacing w:line="240" w:lineRule="auto"/>
        <w:ind w:left="0" w:firstLine="0"/>
        <w:contextualSpacing/>
        <w:textAlignment w:val="auto"/>
        <w:rPr>
          <w:sz w:val="20"/>
          <w:szCs w:val="20"/>
          <w:lang w:val="en-US"/>
        </w:rPr>
      </w:pPr>
      <w:r w:rsidRPr="009D52FD">
        <w:rPr>
          <w:rFonts w:eastAsia="MS Mincho"/>
          <w:sz w:val="20"/>
          <w:szCs w:val="20"/>
          <w:lang w:val="en-US" w:bidi="en-US"/>
        </w:rPr>
        <w:t xml:space="preserve">The </w:t>
      </w:r>
      <w:r w:rsidRPr="009D52FD">
        <w:rPr>
          <w:rFonts w:eastAsia="MS Mincho"/>
          <w:b/>
          <w:bCs/>
          <w:i/>
          <w:iCs/>
          <w:sz w:val="20"/>
          <w:szCs w:val="20"/>
          <w:lang w:val="en-US" w:bidi="en-US"/>
        </w:rPr>
        <w:t>Commissio</w:t>
      </w:r>
      <w:r w:rsidRPr="009D52FD">
        <w:rPr>
          <w:rFonts w:eastAsia="MS Mincho"/>
          <w:sz w:val="20"/>
          <w:szCs w:val="20"/>
          <w:lang w:val="en-US" w:bidi="en-US"/>
        </w:rPr>
        <w:t>n</w:t>
      </w:r>
      <w:r w:rsidR="00935F35" w:rsidRPr="009D52FD">
        <w:rPr>
          <w:rFonts w:eastAsia="MS Mincho"/>
          <w:sz w:val="20"/>
          <w:szCs w:val="20"/>
          <w:lang w:val="en-US" w:bidi="en-US"/>
        </w:rPr>
        <w:t xml:space="preserve"> recom</w:t>
      </w:r>
      <w:r w:rsidR="00681196" w:rsidRPr="009D52FD">
        <w:rPr>
          <w:rFonts w:eastAsia="MS Mincho"/>
          <w:sz w:val="20"/>
          <w:szCs w:val="20"/>
          <w:lang w:val="en-US" w:bidi="en-US"/>
        </w:rPr>
        <w:t>mended that the State design education and training programs for all legal agents who, owing to their work, are in contact with and/or responsible for investigations in cases of violence against women.</w:t>
      </w:r>
    </w:p>
    <w:p w14:paraId="36C02334" w14:textId="77777777" w:rsidR="00935F35" w:rsidRPr="009D52FD" w:rsidRDefault="00935F35" w:rsidP="00935F35">
      <w:pPr>
        <w:tabs>
          <w:tab w:val="left" w:pos="567"/>
        </w:tabs>
        <w:spacing w:line="240" w:lineRule="auto"/>
        <w:rPr>
          <w:sz w:val="20"/>
          <w:szCs w:val="20"/>
          <w:lang w:val="en-US"/>
        </w:rPr>
      </w:pPr>
    </w:p>
    <w:p w14:paraId="043AD272" w14:textId="69186B33" w:rsidR="00681196" w:rsidRPr="009D52FD" w:rsidRDefault="003630BB" w:rsidP="00935F35">
      <w:pPr>
        <w:numPr>
          <w:ilvl w:val="0"/>
          <w:numId w:val="1"/>
        </w:numPr>
        <w:tabs>
          <w:tab w:val="left" w:pos="567"/>
        </w:tabs>
        <w:spacing w:line="240" w:lineRule="auto"/>
        <w:ind w:left="0" w:firstLine="0"/>
        <w:textAlignment w:val="auto"/>
        <w:rPr>
          <w:sz w:val="20"/>
          <w:szCs w:val="20"/>
          <w:lang w:val="en-US"/>
        </w:rPr>
      </w:pPr>
      <w:r w:rsidRPr="009D52FD">
        <w:rPr>
          <w:rFonts w:eastAsia="MS Mincho"/>
          <w:iCs/>
          <w:sz w:val="20"/>
          <w:szCs w:val="20"/>
          <w:lang w:val="en-US" w:bidi="en-US"/>
        </w:rPr>
        <w:t xml:space="preserve">The </w:t>
      </w:r>
      <w:r w:rsidRPr="009D52FD">
        <w:rPr>
          <w:rFonts w:eastAsia="MS Mincho"/>
          <w:b/>
          <w:bCs/>
          <w:i/>
          <w:sz w:val="20"/>
          <w:szCs w:val="20"/>
          <w:lang w:val="en-US" w:bidi="en-US"/>
        </w:rPr>
        <w:t>representatives</w:t>
      </w:r>
      <w:r w:rsidR="00935F35" w:rsidRPr="009D52FD">
        <w:rPr>
          <w:rFonts w:eastAsia="MS Mincho"/>
          <w:sz w:val="20"/>
          <w:szCs w:val="20"/>
          <w:lang w:val="en-US" w:bidi="en-US"/>
        </w:rPr>
        <w:t xml:space="preserve"> </w:t>
      </w:r>
      <w:r w:rsidR="00681196" w:rsidRPr="009D52FD">
        <w:rPr>
          <w:rFonts w:eastAsia="MS Mincho"/>
          <w:sz w:val="20"/>
          <w:szCs w:val="20"/>
          <w:lang w:val="en-US" w:bidi="en-US"/>
        </w:rPr>
        <w:t>asked that a state program be adopted t</w:t>
      </w:r>
      <w:r w:rsidR="006973FC" w:rsidRPr="009D52FD">
        <w:rPr>
          <w:rFonts w:eastAsia="MS Mincho"/>
          <w:sz w:val="20"/>
          <w:szCs w:val="20"/>
          <w:lang w:val="en-US" w:bidi="en-US"/>
        </w:rPr>
        <w:t>o</w:t>
      </w:r>
      <w:r w:rsidR="00681196" w:rsidRPr="009D52FD">
        <w:rPr>
          <w:rFonts w:eastAsia="MS Mincho"/>
          <w:sz w:val="20"/>
          <w:szCs w:val="20"/>
          <w:lang w:val="en-US" w:bidi="en-US"/>
        </w:rPr>
        <w:t xml:space="preserve"> provide</w:t>
      </w:r>
      <w:r w:rsidR="006973FC" w:rsidRPr="009D52FD">
        <w:rPr>
          <w:rFonts w:eastAsia="MS Mincho"/>
          <w:sz w:val="20"/>
          <w:szCs w:val="20"/>
          <w:lang w:val="en-US" w:bidi="en-US"/>
        </w:rPr>
        <w:t xml:space="preserve"> compulsory</w:t>
      </w:r>
      <w:r w:rsidR="00681196" w:rsidRPr="009D52FD">
        <w:rPr>
          <w:rFonts w:eastAsia="MS Mincho"/>
          <w:sz w:val="20"/>
          <w:szCs w:val="20"/>
          <w:lang w:val="en-US" w:bidi="en-US"/>
        </w:rPr>
        <w:t xml:space="preserve"> continuing training </w:t>
      </w:r>
      <w:r w:rsidR="006973FC" w:rsidRPr="009D52FD">
        <w:rPr>
          <w:rFonts w:eastAsia="MS Mincho"/>
          <w:sz w:val="20"/>
          <w:szCs w:val="20"/>
          <w:lang w:val="en-US" w:bidi="en-US"/>
        </w:rPr>
        <w:t>for</w:t>
      </w:r>
      <w:r w:rsidR="00681196" w:rsidRPr="009D52FD">
        <w:rPr>
          <w:rFonts w:eastAsia="MS Mincho"/>
          <w:sz w:val="20"/>
          <w:szCs w:val="20"/>
          <w:lang w:val="en-US" w:bidi="en-US"/>
        </w:rPr>
        <w:t xml:space="preserve"> all the agents of the judicial and the health care system on investigation methods in cases of sexual violence and/or </w:t>
      </w:r>
      <w:r w:rsidR="00592C8A" w:rsidRPr="009D52FD">
        <w:rPr>
          <w:rFonts w:eastAsia="MS Mincho"/>
          <w:sz w:val="20"/>
          <w:szCs w:val="20"/>
          <w:lang w:val="en-US" w:bidi="en-US"/>
        </w:rPr>
        <w:t xml:space="preserve">assistance to </w:t>
      </w:r>
      <w:r w:rsidR="00681196" w:rsidRPr="009D52FD">
        <w:rPr>
          <w:rFonts w:eastAsia="MS Mincho"/>
          <w:sz w:val="20"/>
          <w:szCs w:val="20"/>
          <w:lang w:val="en-US" w:bidi="en-US"/>
        </w:rPr>
        <w:t>victims. They indicated that this training should also include reference</w:t>
      </w:r>
      <w:r w:rsidR="006973FC" w:rsidRPr="009D52FD">
        <w:rPr>
          <w:rFonts w:eastAsia="MS Mincho"/>
          <w:sz w:val="20"/>
          <w:szCs w:val="20"/>
          <w:lang w:val="en-US" w:bidi="en-US"/>
        </w:rPr>
        <w:t>s</w:t>
      </w:r>
      <w:r w:rsidR="00681196" w:rsidRPr="009D52FD">
        <w:rPr>
          <w:rFonts w:eastAsia="MS Mincho"/>
          <w:sz w:val="20"/>
          <w:szCs w:val="20"/>
          <w:lang w:val="en-US" w:bidi="en-US"/>
        </w:rPr>
        <w:t xml:space="preserve"> to the different international human rights instruments on the protection of women, in order to compare them with certain domestic norms or practices that have discriminatory effects in the daily life of women.</w:t>
      </w:r>
    </w:p>
    <w:p w14:paraId="71D61317" w14:textId="0F1D13F3" w:rsidR="00935F35" w:rsidRPr="009D52FD" w:rsidRDefault="00935F35" w:rsidP="00935F35">
      <w:pPr>
        <w:tabs>
          <w:tab w:val="left" w:pos="567"/>
        </w:tabs>
        <w:spacing w:line="240" w:lineRule="auto"/>
        <w:rPr>
          <w:sz w:val="20"/>
          <w:szCs w:val="20"/>
          <w:lang w:val="en-US"/>
        </w:rPr>
      </w:pPr>
    </w:p>
    <w:p w14:paraId="3D39A46B" w14:textId="685F7FFB" w:rsidR="00681196" w:rsidRPr="009D52FD" w:rsidRDefault="003630BB" w:rsidP="00935F35">
      <w:pPr>
        <w:pStyle w:val="ListParagraph"/>
        <w:numPr>
          <w:ilvl w:val="0"/>
          <w:numId w:val="1"/>
        </w:numPr>
        <w:tabs>
          <w:tab w:val="left" w:pos="567"/>
        </w:tabs>
        <w:spacing w:line="240" w:lineRule="auto"/>
        <w:ind w:left="0" w:firstLine="0"/>
        <w:contextualSpacing/>
        <w:textAlignment w:val="auto"/>
        <w:rPr>
          <w:sz w:val="20"/>
          <w:szCs w:val="20"/>
          <w:lang w:val="en-US"/>
        </w:rPr>
      </w:pPr>
      <w:r w:rsidRPr="009D52FD">
        <w:rPr>
          <w:rFonts w:eastAsia="MS Mincho"/>
          <w:sz w:val="20"/>
          <w:szCs w:val="20"/>
          <w:lang w:val="en-US" w:bidi="en-US"/>
        </w:rPr>
        <w:t xml:space="preserve">The </w:t>
      </w:r>
      <w:r w:rsidRPr="009D52FD">
        <w:rPr>
          <w:rFonts w:eastAsia="MS Mincho"/>
          <w:b/>
          <w:bCs/>
          <w:i/>
          <w:iCs/>
          <w:sz w:val="20"/>
          <w:szCs w:val="20"/>
          <w:lang w:val="en-US" w:bidi="en-US"/>
        </w:rPr>
        <w:t>State</w:t>
      </w:r>
      <w:r w:rsidR="00935F35" w:rsidRPr="009D52FD">
        <w:rPr>
          <w:rFonts w:eastAsia="MS Mincho"/>
          <w:b/>
          <w:i/>
          <w:sz w:val="20"/>
          <w:szCs w:val="20"/>
          <w:lang w:val="en-US" w:bidi="en-US"/>
        </w:rPr>
        <w:t xml:space="preserve"> </w:t>
      </w:r>
      <w:r w:rsidR="00681196" w:rsidRPr="009D52FD">
        <w:rPr>
          <w:rFonts w:eastAsia="MS Mincho"/>
          <w:sz w:val="20"/>
          <w:szCs w:val="20"/>
          <w:lang w:val="en-US" w:bidi="en-US"/>
        </w:rPr>
        <w:t xml:space="preserve">underscored that, in addition to the provisions of a punitive nature stipulated in the 2007 </w:t>
      </w:r>
      <w:r w:rsidR="00864649" w:rsidRPr="009D52FD">
        <w:rPr>
          <w:sz w:val="20"/>
          <w:szCs w:val="20"/>
          <w:lang w:val="en-US"/>
        </w:rPr>
        <w:t>Organic Law on the Right of Women to a Life Free of Violence</w:t>
      </w:r>
      <w:r w:rsidR="00935F35" w:rsidRPr="009D52FD">
        <w:rPr>
          <w:rFonts w:eastAsia="MS Mincho"/>
          <w:sz w:val="20"/>
          <w:szCs w:val="20"/>
          <w:lang w:val="en-US" w:bidi="en-US"/>
        </w:rPr>
        <w:t xml:space="preserve">, </w:t>
      </w:r>
      <w:r w:rsidR="00681196" w:rsidRPr="009D52FD">
        <w:rPr>
          <w:rFonts w:eastAsia="MS Mincho"/>
          <w:sz w:val="20"/>
          <w:szCs w:val="20"/>
          <w:lang w:val="en-US" w:bidi="en-US"/>
        </w:rPr>
        <w:t>this law also contains stipulations of a preventive nature, and indicated that the education and guidance of the officials who intervene in cases of violence against women was essential. In this regard, it argued that, under this law, jurisdictional and non-jurisdictional organs have been urged to create comprehensive public policies aimed at eradicating this type of violence</w:t>
      </w:r>
      <w:r w:rsidR="00F152DB" w:rsidRPr="009D52FD">
        <w:rPr>
          <w:rFonts w:eastAsia="MS Mincho"/>
          <w:sz w:val="20"/>
          <w:szCs w:val="20"/>
          <w:lang w:val="en-US" w:bidi="en-US"/>
        </w:rPr>
        <w:t xml:space="preserve">, and the authorities have been obliged to implement awareness-raising programs addressed at public opinion, and also to </w:t>
      </w:r>
      <w:r w:rsidR="006973FC" w:rsidRPr="009D52FD">
        <w:rPr>
          <w:rFonts w:eastAsia="MS Mincho"/>
          <w:sz w:val="20"/>
          <w:szCs w:val="20"/>
          <w:lang w:val="en-US" w:bidi="en-US"/>
        </w:rPr>
        <w:t>combat</w:t>
      </w:r>
      <w:r w:rsidR="00F152DB" w:rsidRPr="009D52FD">
        <w:rPr>
          <w:rFonts w:eastAsia="MS Mincho"/>
          <w:sz w:val="20"/>
          <w:szCs w:val="20"/>
          <w:lang w:val="en-US" w:bidi="en-US"/>
        </w:rPr>
        <w:t xml:space="preserve"> the attitude of those agents who tolerate or conceal this type of violence. However, it did not provide further details on specific programs or mechanisms to train law enforcement agents, judicial agents and those working in the health care service.</w:t>
      </w:r>
    </w:p>
    <w:p w14:paraId="7ACD5893" w14:textId="77777777" w:rsidR="00935F35" w:rsidRPr="009D52FD" w:rsidRDefault="00935F35" w:rsidP="0014311E">
      <w:pPr>
        <w:pStyle w:val="ListParagraph"/>
        <w:tabs>
          <w:tab w:val="left" w:pos="567"/>
        </w:tabs>
        <w:spacing w:line="240" w:lineRule="auto"/>
        <w:ind w:left="0"/>
        <w:rPr>
          <w:sz w:val="20"/>
          <w:szCs w:val="20"/>
          <w:lang w:val="en-US"/>
        </w:rPr>
      </w:pPr>
    </w:p>
    <w:p w14:paraId="32CBE84E" w14:textId="1AB955C1" w:rsidR="00935F35" w:rsidRPr="009D52FD" w:rsidRDefault="003630BB" w:rsidP="00F152DB">
      <w:pPr>
        <w:pStyle w:val="ListParagraph"/>
        <w:numPr>
          <w:ilvl w:val="0"/>
          <w:numId w:val="1"/>
        </w:numPr>
        <w:tabs>
          <w:tab w:val="left" w:pos="567"/>
        </w:tabs>
        <w:spacing w:line="240" w:lineRule="auto"/>
        <w:ind w:left="0" w:firstLine="0"/>
        <w:contextualSpacing/>
        <w:textAlignment w:val="auto"/>
        <w:rPr>
          <w:sz w:val="20"/>
          <w:szCs w:val="20"/>
          <w:lang w:val="en-US"/>
        </w:rPr>
      </w:pPr>
      <w:r w:rsidRPr="009D52FD">
        <w:rPr>
          <w:sz w:val="20"/>
          <w:szCs w:val="20"/>
          <w:lang w:val="en-US"/>
        </w:rPr>
        <w:t>The Court</w:t>
      </w:r>
      <w:r w:rsidR="00935F35" w:rsidRPr="009D52FD">
        <w:rPr>
          <w:sz w:val="20"/>
          <w:szCs w:val="20"/>
          <w:lang w:val="en-US"/>
        </w:rPr>
        <w:t xml:space="preserve"> not</w:t>
      </w:r>
      <w:r w:rsidR="00F152DB" w:rsidRPr="009D52FD">
        <w:rPr>
          <w:sz w:val="20"/>
          <w:szCs w:val="20"/>
          <w:lang w:val="en-US"/>
        </w:rPr>
        <w:t>es that, the objectives of the</w:t>
      </w:r>
      <w:r w:rsidR="00935F35" w:rsidRPr="009D52FD">
        <w:rPr>
          <w:sz w:val="20"/>
          <w:szCs w:val="20"/>
          <w:lang w:val="en-US"/>
        </w:rPr>
        <w:t xml:space="preserve"> </w:t>
      </w:r>
      <w:r w:rsidR="00864649" w:rsidRPr="009D52FD">
        <w:rPr>
          <w:sz w:val="20"/>
          <w:szCs w:val="20"/>
          <w:lang w:val="en-US"/>
        </w:rPr>
        <w:t>Organic Law on the Right of Women to a Life Free of Violence</w:t>
      </w:r>
      <w:r w:rsidR="00F152DB" w:rsidRPr="009D52FD">
        <w:rPr>
          <w:sz w:val="20"/>
          <w:szCs w:val="20"/>
          <w:lang w:val="en-US"/>
        </w:rPr>
        <w:t xml:space="preserve"> include promoting the specialization of all</w:t>
      </w:r>
      <w:r w:rsidR="006973FC" w:rsidRPr="009D52FD">
        <w:rPr>
          <w:sz w:val="20"/>
          <w:szCs w:val="20"/>
          <w:lang w:val="en-US"/>
        </w:rPr>
        <w:t xml:space="preserve"> the</w:t>
      </w:r>
      <w:r w:rsidR="00F152DB" w:rsidRPr="009D52FD">
        <w:rPr>
          <w:sz w:val="20"/>
          <w:szCs w:val="20"/>
          <w:lang w:val="en-US"/>
        </w:rPr>
        <w:t xml:space="preserve"> professionals who, in any way, intervene in the process of information, </w:t>
      </w:r>
      <w:r w:rsidR="00592C8A" w:rsidRPr="009D52FD">
        <w:rPr>
          <w:sz w:val="20"/>
          <w:szCs w:val="20"/>
          <w:lang w:val="en-US"/>
        </w:rPr>
        <w:t>assistance,</w:t>
      </w:r>
      <w:r w:rsidR="00F152DB" w:rsidRPr="009D52FD">
        <w:rPr>
          <w:sz w:val="20"/>
          <w:szCs w:val="20"/>
          <w:lang w:val="en-US"/>
        </w:rPr>
        <w:t xml:space="preserve"> and protection </w:t>
      </w:r>
      <w:r w:rsidR="00592C8A" w:rsidRPr="009D52FD">
        <w:rPr>
          <w:sz w:val="20"/>
          <w:szCs w:val="20"/>
          <w:lang w:val="en-US"/>
        </w:rPr>
        <w:t xml:space="preserve">for </w:t>
      </w:r>
      <w:r w:rsidR="00F152DB" w:rsidRPr="009D52FD">
        <w:rPr>
          <w:sz w:val="20"/>
          <w:szCs w:val="20"/>
          <w:lang w:val="en-US"/>
        </w:rPr>
        <w:t>women victims of violence.</w:t>
      </w:r>
      <w:r w:rsidR="00935F35" w:rsidRPr="009D52FD">
        <w:rPr>
          <w:rStyle w:val="FootnoteReference"/>
          <w:sz w:val="20"/>
          <w:szCs w:val="20"/>
          <w:lang w:val="en-US"/>
        </w:rPr>
        <w:footnoteReference w:id="412"/>
      </w:r>
      <w:r w:rsidR="00F152DB" w:rsidRPr="009D52FD">
        <w:rPr>
          <w:sz w:val="20"/>
          <w:szCs w:val="20"/>
          <w:lang w:val="en-US"/>
        </w:rPr>
        <w:t xml:space="preserve"> Thus, the </w:t>
      </w:r>
      <w:r w:rsidR="00002A76" w:rsidRPr="009D52FD">
        <w:rPr>
          <w:sz w:val="20"/>
          <w:szCs w:val="20"/>
          <w:lang w:val="en-US"/>
        </w:rPr>
        <w:t>Organic</w:t>
      </w:r>
      <w:r w:rsidR="00F152DB" w:rsidRPr="009D52FD">
        <w:rPr>
          <w:sz w:val="20"/>
          <w:szCs w:val="20"/>
          <w:lang w:val="en-US"/>
        </w:rPr>
        <w:t xml:space="preserve"> Law entrusted the </w:t>
      </w:r>
      <w:r w:rsidR="00D1084D" w:rsidRPr="009D52FD">
        <w:rPr>
          <w:sz w:val="20"/>
          <w:szCs w:val="20"/>
          <w:lang w:val="en-US"/>
        </w:rPr>
        <w:t>Ministry of the People’s Power for Women and Gender Equality</w:t>
      </w:r>
      <w:r w:rsidR="00F152DB" w:rsidRPr="009D52FD">
        <w:rPr>
          <w:sz w:val="20"/>
          <w:szCs w:val="20"/>
          <w:lang w:val="en-US"/>
        </w:rPr>
        <w:t xml:space="preserve"> with the implementation of training programs on gender for state officials who intervene, in any way, in the processing of acts of </w:t>
      </w:r>
      <w:r w:rsidR="005935CA" w:rsidRPr="009D52FD">
        <w:rPr>
          <w:sz w:val="20"/>
          <w:szCs w:val="20"/>
          <w:lang w:val="en-US"/>
        </w:rPr>
        <w:t>violence against women</w:t>
      </w:r>
      <w:r w:rsidR="00F152DB" w:rsidRPr="009D52FD">
        <w:rPr>
          <w:sz w:val="20"/>
          <w:szCs w:val="20"/>
          <w:lang w:val="en-US"/>
        </w:rPr>
        <w:t>.</w:t>
      </w:r>
      <w:r w:rsidR="00935F35" w:rsidRPr="009D52FD">
        <w:rPr>
          <w:rStyle w:val="FootnoteReference"/>
          <w:sz w:val="20"/>
          <w:szCs w:val="20"/>
          <w:lang w:val="en-US"/>
        </w:rPr>
        <w:footnoteReference w:id="413"/>
      </w:r>
      <w:r w:rsidR="00F152DB" w:rsidRPr="009D52FD">
        <w:rPr>
          <w:sz w:val="20"/>
          <w:szCs w:val="20"/>
          <w:lang w:val="en-US"/>
        </w:rPr>
        <w:t xml:space="preserve"> Although the State provided information on some training, education and upgrading activities with regard to defending women for agents </w:t>
      </w:r>
      <w:r w:rsidR="000C6475" w:rsidRPr="009D52FD">
        <w:rPr>
          <w:sz w:val="20"/>
          <w:szCs w:val="20"/>
          <w:lang w:val="en-US"/>
        </w:rPr>
        <w:t>of the Public Prosecution Service</w:t>
      </w:r>
      <w:r w:rsidR="00F152DB" w:rsidRPr="009D52FD">
        <w:rPr>
          <w:sz w:val="20"/>
          <w:szCs w:val="20"/>
          <w:lang w:val="en-US"/>
        </w:rPr>
        <w:t>,</w:t>
      </w:r>
      <w:r w:rsidR="0014311E" w:rsidRPr="009D52FD">
        <w:rPr>
          <w:rStyle w:val="FootnoteReference"/>
          <w:sz w:val="20"/>
          <w:szCs w:val="20"/>
          <w:lang w:val="en-US"/>
        </w:rPr>
        <w:footnoteReference w:id="414"/>
      </w:r>
      <w:r w:rsidR="006973FC" w:rsidRPr="009D52FD">
        <w:rPr>
          <w:sz w:val="20"/>
          <w:szCs w:val="20"/>
          <w:lang w:val="en-US"/>
        </w:rPr>
        <w:t xml:space="preserve"> i</w:t>
      </w:r>
      <w:r w:rsidR="00F152DB" w:rsidRPr="009D52FD">
        <w:rPr>
          <w:sz w:val="20"/>
          <w:szCs w:val="20"/>
          <w:lang w:val="en-US"/>
        </w:rPr>
        <w:t xml:space="preserve">t provided no specific information on the implementation and permanence of specific education and training in </w:t>
      </w:r>
      <w:r w:rsidR="006973FC" w:rsidRPr="009D52FD">
        <w:rPr>
          <w:sz w:val="20"/>
          <w:szCs w:val="20"/>
          <w:lang w:val="en-US"/>
        </w:rPr>
        <w:t xml:space="preserve">the </w:t>
      </w:r>
      <w:r w:rsidR="00F152DB" w:rsidRPr="009D52FD">
        <w:rPr>
          <w:sz w:val="20"/>
          <w:szCs w:val="20"/>
          <w:lang w:val="en-US"/>
        </w:rPr>
        <w:t>area of public health and justice.</w:t>
      </w:r>
      <w:r w:rsidR="0014311E" w:rsidRPr="009D52FD">
        <w:rPr>
          <w:sz w:val="20"/>
          <w:szCs w:val="20"/>
          <w:lang w:val="en-US"/>
        </w:rPr>
        <w:t xml:space="preserve"> </w:t>
      </w:r>
    </w:p>
    <w:p w14:paraId="539BB733" w14:textId="77777777" w:rsidR="00935F35" w:rsidRPr="009D52FD" w:rsidRDefault="00935F35" w:rsidP="00935F35">
      <w:pPr>
        <w:pStyle w:val="ListParagraph"/>
        <w:tabs>
          <w:tab w:val="left" w:pos="567"/>
        </w:tabs>
        <w:spacing w:line="240" w:lineRule="auto"/>
        <w:ind w:left="0"/>
        <w:rPr>
          <w:sz w:val="20"/>
          <w:szCs w:val="20"/>
          <w:lang w:val="en-US"/>
        </w:rPr>
      </w:pPr>
    </w:p>
    <w:p w14:paraId="17D00894" w14:textId="7A80B0C1" w:rsidR="00935F35" w:rsidRPr="009D52FD" w:rsidRDefault="00F152DB" w:rsidP="00F152DB">
      <w:pPr>
        <w:pStyle w:val="ListParagraph"/>
        <w:numPr>
          <w:ilvl w:val="0"/>
          <w:numId w:val="1"/>
        </w:numPr>
        <w:tabs>
          <w:tab w:val="left" w:pos="567"/>
        </w:tabs>
        <w:spacing w:line="240" w:lineRule="auto"/>
        <w:ind w:left="0" w:firstLine="0"/>
        <w:contextualSpacing/>
        <w:textAlignment w:val="auto"/>
        <w:rPr>
          <w:sz w:val="20"/>
          <w:szCs w:val="20"/>
          <w:lang w:val="en-US"/>
        </w:rPr>
      </w:pPr>
      <w:r w:rsidRPr="009D52FD">
        <w:rPr>
          <w:sz w:val="20"/>
          <w:szCs w:val="20"/>
          <w:lang w:val="en-US"/>
        </w:rPr>
        <w:lastRenderedPageBreak/>
        <w:t>Consequently</w:t>
      </w:r>
      <w:r w:rsidR="0014311E" w:rsidRPr="009D52FD">
        <w:rPr>
          <w:sz w:val="20"/>
          <w:szCs w:val="20"/>
          <w:lang w:val="en-US"/>
        </w:rPr>
        <w:t xml:space="preserve">, </w:t>
      </w:r>
      <w:r w:rsidR="0002239A" w:rsidRPr="009D52FD">
        <w:rPr>
          <w:sz w:val="20"/>
          <w:szCs w:val="20"/>
          <w:lang w:val="en-US"/>
        </w:rPr>
        <w:t>th</w:t>
      </w:r>
      <w:r w:rsidRPr="009D52FD">
        <w:rPr>
          <w:sz w:val="20"/>
          <w:szCs w:val="20"/>
          <w:lang w:val="en-US"/>
        </w:rPr>
        <w:t>e</w:t>
      </w:r>
      <w:r w:rsidR="0002239A" w:rsidRPr="009D52FD">
        <w:rPr>
          <w:sz w:val="20"/>
          <w:szCs w:val="20"/>
          <w:lang w:val="en-US"/>
        </w:rPr>
        <w:t xml:space="preserve"> Court</w:t>
      </w:r>
      <w:r w:rsidR="00935F35" w:rsidRPr="009D52FD">
        <w:rPr>
          <w:sz w:val="20"/>
          <w:szCs w:val="20"/>
          <w:lang w:val="en-US"/>
        </w:rPr>
        <w:t xml:space="preserve"> </w:t>
      </w:r>
      <w:r w:rsidRPr="009D52FD">
        <w:rPr>
          <w:sz w:val="20"/>
          <w:szCs w:val="20"/>
          <w:lang w:val="en-US"/>
        </w:rPr>
        <w:t xml:space="preserve">establishes that the State must adopt and implement </w:t>
      </w:r>
      <w:r w:rsidR="00EF7298" w:rsidRPr="009D52FD">
        <w:rPr>
          <w:sz w:val="20"/>
          <w:szCs w:val="20"/>
          <w:lang w:val="en-US"/>
        </w:rPr>
        <w:t xml:space="preserve">compulsory </w:t>
      </w:r>
      <w:r w:rsidRPr="009D52FD">
        <w:rPr>
          <w:sz w:val="20"/>
          <w:szCs w:val="20"/>
          <w:lang w:val="en-US"/>
        </w:rPr>
        <w:t xml:space="preserve">permanent training programs and courses for public officials who, owing to their functions within the system for the administration of justice, are in contact with, work or intervene in cases of </w:t>
      </w:r>
      <w:r w:rsidR="00681196" w:rsidRPr="009D52FD">
        <w:rPr>
          <w:sz w:val="20"/>
          <w:szCs w:val="20"/>
          <w:lang w:val="en-US"/>
        </w:rPr>
        <w:t>violence against women</w:t>
      </w:r>
      <w:r w:rsidR="00935F35" w:rsidRPr="009D52FD">
        <w:rPr>
          <w:sz w:val="20"/>
          <w:szCs w:val="20"/>
          <w:lang w:val="en-US"/>
        </w:rPr>
        <w:t xml:space="preserve">. </w:t>
      </w:r>
      <w:r w:rsidRPr="009D52FD">
        <w:rPr>
          <w:sz w:val="20"/>
          <w:szCs w:val="20"/>
          <w:lang w:val="en-US"/>
        </w:rPr>
        <w:t xml:space="preserve">These training programs and courses must </w:t>
      </w:r>
      <w:r w:rsidR="000B4FFA" w:rsidRPr="009D52FD">
        <w:rPr>
          <w:sz w:val="20"/>
          <w:szCs w:val="20"/>
          <w:lang w:val="en-US"/>
        </w:rPr>
        <w:t xml:space="preserve">address the standards of due diligence in the investigation and prosecution of </w:t>
      </w:r>
      <w:r w:rsidR="00EF7298" w:rsidRPr="009D52FD">
        <w:rPr>
          <w:sz w:val="20"/>
          <w:szCs w:val="20"/>
          <w:lang w:val="en-US"/>
        </w:rPr>
        <w:t>such</w:t>
      </w:r>
      <w:r w:rsidR="000B4FFA" w:rsidRPr="009D52FD">
        <w:rPr>
          <w:sz w:val="20"/>
          <w:szCs w:val="20"/>
          <w:lang w:val="en-US"/>
        </w:rPr>
        <w:t xml:space="preserve"> cases developed in this judgment and, especially, in cases of sexual violence against women, as well as the </w:t>
      </w:r>
      <w:r w:rsidR="00EF7298" w:rsidRPr="009D52FD">
        <w:rPr>
          <w:sz w:val="20"/>
          <w:szCs w:val="20"/>
          <w:lang w:val="en-US"/>
        </w:rPr>
        <w:t xml:space="preserve">issue </w:t>
      </w:r>
      <w:r w:rsidR="000B4FFA" w:rsidRPr="009D52FD">
        <w:rPr>
          <w:sz w:val="20"/>
          <w:szCs w:val="20"/>
          <w:lang w:val="en-US"/>
        </w:rPr>
        <w:t>of measures of protection for the victim during the development of these procedures. In addition, the training programs must be imparted from a perspective of gender and protection of women’s rights in order to deconstruct negative or prejudicial gender stereotypes and, thus, ensure that the investigation and prosecution of this type of act is conducted in accordance with the strictest standards of due diligence, the protocols ordered by this Court</w:t>
      </w:r>
      <w:r w:rsidR="00935F35" w:rsidRPr="009D52FD">
        <w:rPr>
          <w:sz w:val="20"/>
          <w:szCs w:val="20"/>
          <w:lang w:val="en-US"/>
        </w:rPr>
        <w:t xml:space="preserve"> (</w:t>
      </w:r>
      <w:r w:rsidR="00935F35" w:rsidRPr="009D52FD">
        <w:rPr>
          <w:i/>
          <w:sz w:val="20"/>
          <w:szCs w:val="20"/>
          <w:lang w:val="en-US"/>
        </w:rPr>
        <w:t>supra</w:t>
      </w:r>
      <w:r w:rsidR="00935F35" w:rsidRPr="009D52FD">
        <w:rPr>
          <w:sz w:val="20"/>
          <w:szCs w:val="20"/>
          <w:lang w:val="en-US"/>
        </w:rPr>
        <w:t xml:space="preserve"> </w:t>
      </w:r>
      <w:r w:rsidR="009459E7" w:rsidRPr="009D52FD">
        <w:rPr>
          <w:sz w:val="20"/>
          <w:szCs w:val="20"/>
          <w:lang w:val="en-US"/>
        </w:rPr>
        <w:t>para.</w:t>
      </w:r>
      <w:r w:rsidR="00935F35" w:rsidRPr="009D52FD">
        <w:rPr>
          <w:sz w:val="20"/>
          <w:szCs w:val="20"/>
          <w:lang w:val="en-US"/>
        </w:rPr>
        <w:t xml:space="preserve"> </w:t>
      </w:r>
      <w:r w:rsidR="00D40505" w:rsidRPr="009D52FD">
        <w:rPr>
          <w:sz w:val="20"/>
          <w:szCs w:val="20"/>
          <w:lang w:val="en-US"/>
        </w:rPr>
        <w:t>33</w:t>
      </w:r>
      <w:r w:rsidR="00646F24" w:rsidRPr="009D52FD">
        <w:rPr>
          <w:sz w:val="20"/>
          <w:szCs w:val="20"/>
          <w:lang w:val="en-US"/>
        </w:rPr>
        <w:t>2</w:t>
      </w:r>
      <w:r w:rsidR="00935F35" w:rsidRPr="009D52FD">
        <w:rPr>
          <w:sz w:val="20"/>
          <w:szCs w:val="20"/>
          <w:lang w:val="en-US"/>
        </w:rPr>
        <w:t>),</w:t>
      </w:r>
      <w:r w:rsidR="003630BB" w:rsidRPr="009D52FD">
        <w:rPr>
          <w:sz w:val="20"/>
          <w:szCs w:val="20"/>
          <w:lang w:val="en-US"/>
        </w:rPr>
        <w:t xml:space="preserve"> and </w:t>
      </w:r>
      <w:r w:rsidR="000B4FFA" w:rsidRPr="009D52FD">
        <w:rPr>
          <w:sz w:val="20"/>
          <w:szCs w:val="20"/>
          <w:lang w:val="en-US"/>
        </w:rPr>
        <w:t>the relevant international human rights instruments.</w:t>
      </w:r>
    </w:p>
    <w:p w14:paraId="22E5E292" w14:textId="77777777" w:rsidR="00935F35" w:rsidRPr="009D52FD" w:rsidRDefault="00935F35" w:rsidP="00935F35">
      <w:pPr>
        <w:pStyle w:val="ListParagraph"/>
        <w:tabs>
          <w:tab w:val="left" w:pos="567"/>
        </w:tabs>
        <w:spacing w:line="240" w:lineRule="auto"/>
        <w:ind w:left="0"/>
        <w:rPr>
          <w:sz w:val="20"/>
          <w:szCs w:val="20"/>
          <w:lang w:val="en-US"/>
        </w:rPr>
      </w:pPr>
    </w:p>
    <w:p w14:paraId="6831B57B" w14:textId="5315AC48" w:rsidR="00935F35" w:rsidRPr="009D52FD" w:rsidRDefault="000B4FFA" w:rsidP="000B4FFA">
      <w:pPr>
        <w:pStyle w:val="ListParagraph"/>
        <w:numPr>
          <w:ilvl w:val="0"/>
          <w:numId w:val="1"/>
        </w:numPr>
        <w:tabs>
          <w:tab w:val="left" w:pos="567"/>
        </w:tabs>
        <w:spacing w:line="240" w:lineRule="auto"/>
        <w:ind w:left="0" w:firstLine="0"/>
        <w:contextualSpacing/>
        <w:textAlignment w:val="auto"/>
        <w:rPr>
          <w:sz w:val="20"/>
          <w:szCs w:val="20"/>
          <w:lang w:val="en-US"/>
        </w:rPr>
      </w:pPr>
      <w:r w:rsidRPr="009D52FD">
        <w:rPr>
          <w:sz w:val="20"/>
          <w:szCs w:val="20"/>
          <w:lang w:val="en-US"/>
        </w:rPr>
        <w:t xml:space="preserve">The Court also orders the State to adopt and implement </w:t>
      </w:r>
      <w:r w:rsidR="00EF7298" w:rsidRPr="009D52FD">
        <w:rPr>
          <w:sz w:val="20"/>
          <w:szCs w:val="20"/>
          <w:lang w:val="en-US"/>
        </w:rPr>
        <w:t xml:space="preserve">compulsory </w:t>
      </w:r>
      <w:r w:rsidRPr="009D52FD">
        <w:rPr>
          <w:sz w:val="20"/>
          <w:szCs w:val="20"/>
          <w:lang w:val="en-US"/>
        </w:rPr>
        <w:t>permanent training programs and courses for health care professionals working in the public health system who intervene in the diagnosis, treatment or support of women victims of any type of violence. These training programs or courses must address the methods for the investigation and treatment of cases of violence against women, especially cases of sexual violence, in order to treat victims appropriately during the performance of the medical examinations and to ensure that these are in keeping with the standardized protocols ordered by this Court</w:t>
      </w:r>
      <w:r w:rsidR="00935F35" w:rsidRPr="009D52FD">
        <w:rPr>
          <w:sz w:val="20"/>
          <w:szCs w:val="20"/>
          <w:lang w:val="en-US"/>
        </w:rPr>
        <w:t xml:space="preserve"> (</w:t>
      </w:r>
      <w:r w:rsidR="00935F35" w:rsidRPr="009D52FD">
        <w:rPr>
          <w:i/>
          <w:sz w:val="20"/>
          <w:szCs w:val="20"/>
          <w:lang w:val="en-US"/>
        </w:rPr>
        <w:t>supra</w:t>
      </w:r>
      <w:r w:rsidR="00935F35" w:rsidRPr="009D52FD">
        <w:rPr>
          <w:sz w:val="20"/>
          <w:szCs w:val="20"/>
          <w:lang w:val="en-US"/>
        </w:rPr>
        <w:t xml:space="preserve"> </w:t>
      </w:r>
      <w:r w:rsidR="009459E7" w:rsidRPr="009D52FD">
        <w:rPr>
          <w:sz w:val="20"/>
          <w:szCs w:val="20"/>
          <w:lang w:val="en-US"/>
        </w:rPr>
        <w:t>para.</w:t>
      </w:r>
      <w:r w:rsidR="00D40505" w:rsidRPr="009D52FD">
        <w:rPr>
          <w:sz w:val="20"/>
          <w:szCs w:val="20"/>
          <w:lang w:val="en-US"/>
        </w:rPr>
        <w:t xml:space="preserve"> 33</w:t>
      </w:r>
      <w:r w:rsidR="00646F24" w:rsidRPr="009D52FD">
        <w:rPr>
          <w:sz w:val="20"/>
          <w:szCs w:val="20"/>
          <w:lang w:val="en-US"/>
        </w:rPr>
        <w:t>2</w:t>
      </w:r>
      <w:r w:rsidR="00935F35" w:rsidRPr="009D52FD">
        <w:rPr>
          <w:sz w:val="20"/>
          <w:szCs w:val="20"/>
          <w:lang w:val="en-US"/>
        </w:rPr>
        <w:t>),</w:t>
      </w:r>
      <w:r w:rsidR="005B794D" w:rsidRPr="009D52FD">
        <w:rPr>
          <w:sz w:val="20"/>
          <w:szCs w:val="20"/>
          <w:lang w:val="en-US"/>
        </w:rPr>
        <w:t xml:space="preserve"> as well as with the international human rights instruments on the protection of women’s rights.</w:t>
      </w:r>
    </w:p>
    <w:p w14:paraId="560C2399" w14:textId="77777777" w:rsidR="00935F35" w:rsidRPr="009D52FD" w:rsidRDefault="00935F35" w:rsidP="00935F35">
      <w:pPr>
        <w:pStyle w:val="ListParagraph"/>
        <w:tabs>
          <w:tab w:val="left" w:pos="567"/>
        </w:tabs>
        <w:spacing w:line="240" w:lineRule="auto"/>
        <w:ind w:left="0"/>
        <w:rPr>
          <w:sz w:val="20"/>
          <w:szCs w:val="20"/>
          <w:lang w:val="en-US"/>
        </w:rPr>
      </w:pPr>
    </w:p>
    <w:p w14:paraId="790A1939" w14:textId="6E4BC9AC" w:rsidR="005B794D" w:rsidRPr="009D52FD" w:rsidRDefault="005B794D" w:rsidP="00935F35">
      <w:pPr>
        <w:pStyle w:val="ListParagraph"/>
        <w:numPr>
          <w:ilvl w:val="0"/>
          <w:numId w:val="1"/>
        </w:numPr>
        <w:tabs>
          <w:tab w:val="left" w:pos="567"/>
        </w:tabs>
        <w:spacing w:line="240" w:lineRule="auto"/>
        <w:ind w:left="0" w:firstLine="0"/>
        <w:contextualSpacing/>
        <w:textAlignment w:val="auto"/>
        <w:rPr>
          <w:sz w:val="20"/>
          <w:szCs w:val="20"/>
          <w:lang w:val="en-US"/>
        </w:rPr>
      </w:pPr>
      <w:r w:rsidRPr="009D52FD">
        <w:rPr>
          <w:sz w:val="20"/>
          <w:szCs w:val="20"/>
          <w:lang w:val="en-US"/>
        </w:rPr>
        <w:t xml:space="preserve">In addition, the State must adopt and implement </w:t>
      </w:r>
      <w:r w:rsidR="00EF7298" w:rsidRPr="009D52FD">
        <w:rPr>
          <w:sz w:val="20"/>
          <w:szCs w:val="20"/>
          <w:lang w:val="en-US"/>
        </w:rPr>
        <w:t xml:space="preserve">compulsory </w:t>
      </w:r>
      <w:r w:rsidRPr="009D52FD">
        <w:rPr>
          <w:sz w:val="20"/>
          <w:szCs w:val="20"/>
          <w:lang w:val="en-US"/>
        </w:rPr>
        <w:t>permanent training programs and courses for members of the police forces who, in th</w:t>
      </w:r>
      <w:r w:rsidR="00EF7298" w:rsidRPr="009D52FD">
        <w:rPr>
          <w:sz w:val="20"/>
          <w:szCs w:val="20"/>
          <w:lang w:val="en-US"/>
        </w:rPr>
        <w:t>eir official</w:t>
      </w:r>
      <w:r w:rsidRPr="009D52FD">
        <w:rPr>
          <w:sz w:val="20"/>
          <w:szCs w:val="20"/>
          <w:lang w:val="en-US"/>
        </w:rPr>
        <w:t xml:space="preserve"> capacity, intervene in the procedure for reporting acts of violence against women. These training programs and courses must address the standards of due diligence in receiving and processing reports of this type of </w:t>
      </w:r>
      <w:r w:rsidR="00EF7298" w:rsidRPr="009D52FD">
        <w:rPr>
          <w:sz w:val="20"/>
          <w:szCs w:val="20"/>
          <w:lang w:val="en-US"/>
        </w:rPr>
        <w:t>incident</w:t>
      </w:r>
      <w:r w:rsidRPr="009D52FD">
        <w:rPr>
          <w:sz w:val="20"/>
          <w:szCs w:val="20"/>
          <w:lang w:val="en-US"/>
        </w:rPr>
        <w:t xml:space="preserve">, as well as the </w:t>
      </w:r>
      <w:r w:rsidR="00EF7298" w:rsidRPr="009D52FD">
        <w:rPr>
          <w:sz w:val="20"/>
          <w:szCs w:val="20"/>
          <w:lang w:val="en-US"/>
        </w:rPr>
        <w:t>issue</w:t>
      </w:r>
      <w:r w:rsidRPr="009D52FD">
        <w:rPr>
          <w:sz w:val="20"/>
          <w:szCs w:val="20"/>
          <w:lang w:val="en-US"/>
        </w:rPr>
        <w:t xml:space="preserve"> of </w:t>
      </w:r>
      <w:r w:rsidR="00EF7298" w:rsidRPr="009D52FD">
        <w:rPr>
          <w:sz w:val="20"/>
          <w:szCs w:val="20"/>
          <w:lang w:val="en-US"/>
        </w:rPr>
        <w:t xml:space="preserve">the </w:t>
      </w:r>
      <w:r w:rsidRPr="009D52FD">
        <w:rPr>
          <w:sz w:val="20"/>
          <w:szCs w:val="20"/>
          <w:lang w:val="en-US"/>
        </w:rPr>
        <w:t>measures of protection for the victim that, under domestic law, they are authorized to adopt. The training programs must also be imparted from a perspective of gender and protection of women’s rights in order to eradicate prejudicial gender stereotypes and thus ensure that reports are received appropriately.</w:t>
      </w:r>
    </w:p>
    <w:p w14:paraId="6901E709" w14:textId="77777777" w:rsidR="00935F35" w:rsidRPr="009D52FD" w:rsidRDefault="00935F35" w:rsidP="00935F35">
      <w:pPr>
        <w:pStyle w:val="ListParagraph"/>
        <w:tabs>
          <w:tab w:val="left" w:pos="567"/>
        </w:tabs>
        <w:spacing w:line="240" w:lineRule="auto"/>
        <w:ind w:left="0"/>
        <w:rPr>
          <w:sz w:val="20"/>
          <w:szCs w:val="20"/>
          <w:lang w:val="en-US"/>
        </w:rPr>
      </w:pPr>
    </w:p>
    <w:p w14:paraId="090921C9" w14:textId="30206D92" w:rsidR="00935F35" w:rsidRPr="009D52FD" w:rsidRDefault="00DC2372" w:rsidP="00935F35">
      <w:pPr>
        <w:pStyle w:val="ListParagraph"/>
        <w:numPr>
          <w:ilvl w:val="0"/>
          <w:numId w:val="1"/>
        </w:numPr>
        <w:tabs>
          <w:tab w:val="left" w:pos="567"/>
        </w:tabs>
        <w:spacing w:line="240" w:lineRule="auto"/>
        <w:ind w:left="0" w:firstLine="0"/>
        <w:contextualSpacing/>
        <w:textAlignment w:val="auto"/>
        <w:rPr>
          <w:sz w:val="20"/>
          <w:szCs w:val="20"/>
          <w:lang w:val="en-US"/>
        </w:rPr>
      </w:pPr>
      <w:r w:rsidRPr="009D52FD">
        <w:rPr>
          <w:sz w:val="20"/>
          <w:szCs w:val="20"/>
          <w:lang w:val="en-US"/>
        </w:rPr>
        <w:t xml:space="preserve">The State </w:t>
      </w:r>
      <w:r w:rsidR="005B794D" w:rsidRPr="009D52FD">
        <w:rPr>
          <w:sz w:val="20"/>
          <w:szCs w:val="20"/>
          <w:lang w:val="en-US"/>
        </w:rPr>
        <w:t>must comply with the measures ordered in this section within two years of notification</w:t>
      </w:r>
      <w:r w:rsidR="00F53E99" w:rsidRPr="009D52FD">
        <w:rPr>
          <w:sz w:val="20"/>
          <w:szCs w:val="20"/>
          <w:lang w:val="en-US"/>
        </w:rPr>
        <w:t xml:space="preserve"> </w:t>
      </w:r>
      <w:r w:rsidR="00996337" w:rsidRPr="009D52FD">
        <w:rPr>
          <w:sz w:val="20"/>
          <w:szCs w:val="20"/>
          <w:lang w:val="en-US"/>
        </w:rPr>
        <w:t>of this judgment</w:t>
      </w:r>
      <w:r w:rsidR="00935F35" w:rsidRPr="009D52FD">
        <w:rPr>
          <w:sz w:val="20"/>
          <w:szCs w:val="20"/>
          <w:lang w:val="en-US"/>
        </w:rPr>
        <w:t>.</w:t>
      </w:r>
    </w:p>
    <w:p w14:paraId="3E61C382" w14:textId="77777777" w:rsidR="00935F35" w:rsidRPr="009D52FD" w:rsidRDefault="00935F35" w:rsidP="00935F35">
      <w:pPr>
        <w:pStyle w:val="ListParagraph"/>
        <w:tabs>
          <w:tab w:val="left" w:pos="567"/>
        </w:tabs>
        <w:spacing w:line="240" w:lineRule="auto"/>
        <w:ind w:left="0"/>
        <w:rPr>
          <w:sz w:val="20"/>
          <w:szCs w:val="20"/>
          <w:lang w:val="en-US"/>
        </w:rPr>
      </w:pPr>
    </w:p>
    <w:p w14:paraId="47962180" w14:textId="354B369B" w:rsidR="00935F35" w:rsidRPr="009D52FD" w:rsidRDefault="00935F35" w:rsidP="00C6536C">
      <w:pPr>
        <w:tabs>
          <w:tab w:val="left" w:pos="567"/>
          <w:tab w:val="left" w:pos="2127"/>
          <w:tab w:val="left" w:pos="2552"/>
        </w:tabs>
        <w:spacing w:line="240" w:lineRule="auto"/>
        <w:ind w:left="1701"/>
        <w:rPr>
          <w:rFonts w:eastAsia="MS Mincho"/>
          <w:i/>
          <w:sz w:val="20"/>
          <w:szCs w:val="20"/>
          <w:lang w:val="en-US" w:bidi="en-US"/>
        </w:rPr>
      </w:pPr>
      <w:r w:rsidRPr="009D52FD">
        <w:rPr>
          <w:rFonts w:eastAsia="MS Mincho"/>
          <w:i/>
          <w:sz w:val="20"/>
          <w:szCs w:val="20"/>
          <w:lang w:val="en-US" w:bidi="en-US"/>
        </w:rPr>
        <w:t>C.3.</w:t>
      </w:r>
      <w:r w:rsidR="007C6E52" w:rsidRPr="009D52FD">
        <w:rPr>
          <w:rFonts w:eastAsia="MS Mincho"/>
          <w:i/>
          <w:sz w:val="20"/>
          <w:szCs w:val="20"/>
          <w:lang w:val="en-US" w:bidi="en-US"/>
        </w:rPr>
        <w:t>d</w:t>
      </w:r>
      <w:r w:rsidRPr="009D52FD">
        <w:rPr>
          <w:rFonts w:eastAsia="MS Mincho"/>
          <w:i/>
          <w:sz w:val="20"/>
          <w:szCs w:val="20"/>
          <w:lang w:val="en-US" w:bidi="en-US"/>
        </w:rPr>
        <w:t xml:space="preserve">) </w:t>
      </w:r>
      <w:r w:rsidR="007C6E52" w:rsidRPr="009D52FD">
        <w:rPr>
          <w:rFonts w:eastAsia="MS Mincho"/>
          <w:i/>
          <w:sz w:val="20"/>
          <w:szCs w:val="20"/>
          <w:lang w:val="en-US" w:bidi="en-US"/>
        </w:rPr>
        <w:tab/>
      </w:r>
      <w:r w:rsidR="00864649" w:rsidRPr="009D52FD">
        <w:rPr>
          <w:rFonts w:eastAsia="MS Mincho"/>
          <w:i/>
          <w:sz w:val="20"/>
          <w:szCs w:val="20"/>
          <w:lang w:val="en-US" w:bidi="en-US"/>
        </w:rPr>
        <w:t>Educational measures</w:t>
      </w:r>
    </w:p>
    <w:p w14:paraId="65900C15" w14:textId="77777777" w:rsidR="00935F35" w:rsidRPr="009D52FD" w:rsidRDefault="00935F35" w:rsidP="00935F35">
      <w:pPr>
        <w:tabs>
          <w:tab w:val="left" w:pos="567"/>
        </w:tabs>
        <w:spacing w:line="240" w:lineRule="auto"/>
        <w:rPr>
          <w:rFonts w:eastAsia="MS Mincho"/>
          <w:sz w:val="20"/>
          <w:szCs w:val="20"/>
          <w:lang w:val="en-US" w:bidi="en-US"/>
        </w:rPr>
      </w:pPr>
    </w:p>
    <w:p w14:paraId="622C60A3" w14:textId="6DEFF558" w:rsidR="00935F35" w:rsidRPr="009D52FD" w:rsidRDefault="003630BB" w:rsidP="00935F35">
      <w:pPr>
        <w:numPr>
          <w:ilvl w:val="0"/>
          <w:numId w:val="1"/>
        </w:numPr>
        <w:tabs>
          <w:tab w:val="left" w:pos="567"/>
          <w:tab w:val="num" w:pos="5057"/>
        </w:tabs>
        <w:spacing w:line="240" w:lineRule="auto"/>
        <w:ind w:left="0" w:firstLine="0"/>
        <w:textAlignment w:val="auto"/>
        <w:rPr>
          <w:rFonts w:eastAsia="MS Mincho"/>
          <w:iCs/>
          <w:sz w:val="20"/>
          <w:szCs w:val="20"/>
          <w:lang w:val="en-US" w:bidi="en-US"/>
        </w:rPr>
      </w:pPr>
      <w:r w:rsidRPr="009D52FD">
        <w:rPr>
          <w:rFonts w:eastAsia="MS Mincho"/>
          <w:iCs/>
          <w:sz w:val="20"/>
          <w:szCs w:val="20"/>
          <w:lang w:val="en-US" w:bidi="en-US"/>
        </w:rPr>
        <w:t xml:space="preserve">The </w:t>
      </w:r>
      <w:r w:rsidRPr="009D52FD">
        <w:rPr>
          <w:rFonts w:eastAsia="MS Mincho"/>
          <w:b/>
          <w:bCs/>
          <w:i/>
          <w:sz w:val="20"/>
          <w:szCs w:val="20"/>
          <w:lang w:val="en-US" w:bidi="en-US"/>
        </w:rPr>
        <w:t>representatives</w:t>
      </w:r>
      <w:r w:rsidR="00935F35" w:rsidRPr="009D52FD">
        <w:rPr>
          <w:rFonts w:eastAsia="MS Mincho"/>
          <w:b/>
          <w:bCs/>
          <w:i/>
          <w:sz w:val="20"/>
          <w:szCs w:val="20"/>
          <w:lang w:val="en-US" w:bidi="en-US"/>
        </w:rPr>
        <w:t xml:space="preserve"> </w:t>
      </w:r>
      <w:r w:rsidR="005B794D" w:rsidRPr="009D52FD">
        <w:rPr>
          <w:rFonts w:eastAsia="MS Mincho"/>
          <w:iCs/>
          <w:sz w:val="20"/>
          <w:szCs w:val="20"/>
          <w:lang w:val="en-US" w:bidi="en-US"/>
        </w:rPr>
        <w:t xml:space="preserve">requested implementation of awareness-raising programs on gender issues in basic, mid-level and university education in Venezuela </w:t>
      </w:r>
      <w:r w:rsidR="00585FA9" w:rsidRPr="009D52FD">
        <w:rPr>
          <w:rFonts w:eastAsia="MS Mincho"/>
          <w:iCs/>
          <w:sz w:val="20"/>
          <w:szCs w:val="20"/>
          <w:lang w:val="en-US" w:bidi="en-US"/>
        </w:rPr>
        <w:t>named after</w:t>
      </w:r>
      <w:r w:rsidR="005B794D" w:rsidRPr="009D52FD">
        <w:rPr>
          <w:rFonts w:eastAsia="MS Mincho"/>
          <w:iCs/>
          <w:sz w:val="20"/>
          <w:szCs w:val="20"/>
          <w:lang w:val="en-US" w:bidi="en-US"/>
        </w:rPr>
        <w:t xml:space="preserve"> </w:t>
      </w:r>
      <w:r w:rsidR="00F75F8F" w:rsidRPr="009D52FD">
        <w:rPr>
          <w:rFonts w:eastAsia="MS Mincho"/>
          <w:iCs/>
          <w:sz w:val="20"/>
          <w:szCs w:val="20"/>
          <w:lang w:val="en-US" w:bidi="en-US"/>
        </w:rPr>
        <w:t>“Linda Loaiza</w:t>
      </w:r>
      <w:r w:rsidR="00585FA9" w:rsidRPr="009D52FD">
        <w:rPr>
          <w:rFonts w:eastAsia="MS Mincho"/>
          <w:iCs/>
          <w:sz w:val="20"/>
          <w:szCs w:val="20"/>
          <w:lang w:val="en-US" w:bidi="en-US"/>
        </w:rPr>
        <w:t>.</w:t>
      </w:r>
      <w:r w:rsidR="00F75F8F" w:rsidRPr="009D52FD">
        <w:rPr>
          <w:rFonts w:eastAsia="MS Mincho"/>
          <w:iCs/>
          <w:sz w:val="20"/>
          <w:szCs w:val="20"/>
          <w:lang w:val="en-US" w:bidi="en-US"/>
        </w:rPr>
        <w:t>”</w:t>
      </w:r>
    </w:p>
    <w:p w14:paraId="5B843357" w14:textId="77777777" w:rsidR="00935F35" w:rsidRPr="009D52FD" w:rsidRDefault="00935F35" w:rsidP="00935F35">
      <w:pPr>
        <w:tabs>
          <w:tab w:val="left" w:pos="567"/>
        </w:tabs>
        <w:spacing w:line="240" w:lineRule="auto"/>
        <w:rPr>
          <w:rFonts w:eastAsia="MS Mincho"/>
          <w:iCs/>
          <w:sz w:val="20"/>
          <w:szCs w:val="20"/>
          <w:lang w:val="en-US" w:bidi="en-US"/>
        </w:rPr>
      </w:pPr>
    </w:p>
    <w:p w14:paraId="79B2808C" w14:textId="56993550" w:rsidR="00935F35" w:rsidRPr="009D52FD" w:rsidRDefault="00935F35" w:rsidP="00935F35">
      <w:pPr>
        <w:numPr>
          <w:ilvl w:val="0"/>
          <w:numId w:val="1"/>
        </w:numPr>
        <w:tabs>
          <w:tab w:val="left" w:pos="567"/>
          <w:tab w:val="num" w:pos="5057"/>
        </w:tabs>
        <w:spacing w:line="240" w:lineRule="auto"/>
        <w:ind w:left="0" w:firstLine="0"/>
        <w:textAlignment w:val="auto"/>
        <w:rPr>
          <w:rFonts w:eastAsia="MS Mincho"/>
          <w:iCs/>
          <w:sz w:val="20"/>
          <w:szCs w:val="20"/>
          <w:lang w:val="en-US" w:bidi="en-US"/>
        </w:rPr>
      </w:pPr>
      <w:r w:rsidRPr="009D52FD">
        <w:rPr>
          <w:rFonts w:eastAsia="MS Mincho"/>
          <w:iCs/>
          <w:sz w:val="20"/>
          <w:szCs w:val="20"/>
          <w:lang w:val="en-US" w:bidi="en-US"/>
        </w:rPr>
        <w:t>N</w:t>
      </w:r>
      <w:r w:rsidR="00864649" w:rsidRPr="009D52FD">
        <w:rPr>
          <w:rFonts w:eastAsia="MS Mincho"/>
          <w:iCs/>
          <w:sz w:val="20"/>
          <w:szCs w:val="20"/>
          <w:lang w:val="en-US" w:bidi="en-US"/>
        </w:rPr>
        <w:t>either</w:t>
      </w:r>
      <w:r w:rsidRPr="009D52FD">
        <w:rPr>
          <w:rFonts w:eastAsia="MS Mincho"/>
          <w:iCs/>
          <w:sz w:val="20"/>
          <w:szCs w:val="20"/>
          <w:lang w:val="en-US" w:bidi="en-US"/>
        </w:rPr>
        <w:t xml:space="preserve"> </w:t>
      </w:r>
      <w:r w:rsidR="003630BB" w:rsidRPr="009D52FD">
        <w:rPr>
          <w:rFonts w:eastAsia="MS Mincho"/>
          <w:iCs/>
          <w:sz w:val="20"/>
          <w:szCs w:val="20"/>
          <w:lang w:val="en-US" w:bidi="en-US"/>
        </w:rPr>
        <w:t xml:space="preserve">the </w:t>
      </w:r>
      <w:r w:rsidR="003630BB" w:rsidRPr="009D52FD">
        <w:rPr>
          <w:rFonts w:eastAsia="MS Mincho"/>
          <w:b/>
          <w:bCs/>
          <w:i/>
          <w:sz w:val="20"/>
          <w:szCs w:val="20"/>
          <w:lang w:val="en-US" w:bidi="en-US"/>
        </w:rPr>
        <w:t>Commission</w:t>
      </w:r>
      <w:r w:rsidRPr="009D52FD">
        <w:rPr>
          <w:rFonts w:eastAsia="MS Mincho"/>
          <w:b/>
          <w:bCs/>
          <w:i/>
          <w:sz w:val="20"/>
          <w:szCs w:val="20"/>
          <w:lang w:val="en-US" w:bidi="en-US"/>
        </w:rPr>
        <w:t xml:space="preserve"> </w:t>
      </w:r>
      <w:r w:rsidRPr="009D52FD">
        <w:rPr>
          <w:rFonts w:eastAsia="MS Mincho"/>
          <w:iCs/>
          <w:sz w:val="20"/>
          <w:szCs w:val="20"/>
          <w:lang w:val="en-US" w:bidi="en-US"/>
        </w:rPr>
        <w:t>n</w:t>
      </w:r>
      <w:r w:rsidR="00864649" w:rsidRPr="009D52FD">
        <w:rPr>
          <w:rFonts w:eastAsia="MS Mincho"/>
          <w:iCs/>
          <w:sz w:val="20"/>
          <w:szCs w:val="20"/>
          <w:lang w:val="en-US" w:bidi="en-US"/>
        </w:rPr>
        <w:t>or</w:t>
      </w:r>
      <w:r w:rsidRPr="009D52FD">
        <w:rPr>
          <w:rFonts w:eastAsia="MS Mincho"/>
          <w:iCs/>
          <w:sz w:val="20"/>
          <w:szCs w:val="20"/>
          <w:lang w:val="en-US" w:bidi="en-US"/>
        </w:rPr>
        <w:t xml:space="preserve"> </w:t>
      </w:r>
      <w:r w:rsidR="003630BB" w:rsidRPr="009D52FD">
        <w:rPr>
          <w:rFonts w:eastAsia="MS Mincho"/>
          <w:iCs/>
          <w:sz w:val="20"/>
          <w:szCs w:val="20"/>
          <w:lang w:val="en-US" w:bidi="en-US"/>
        </w:rPr>
        <w:t>the</w:t>
      </w:r>
      <w:r w:rsidR="003630BB" w:rsidRPr="009D52FD">
        <w:rPr>
          <w:rFonts w:eastAsia="MS Mincho"/>
          <w:b/>
          <w:bCs/>
          <w:i/>
          <w:sz w:val="20"/>
          <w:szCs w:val="20"/>
          <w:lang w:val="en-US" w:bidi="en-US"/>
        </w:rPr>
        <w:t xml:space="preserve"> State</w:t>
      </w:r>
      <w:r w:rsidRPr="009D52FD">
        <w:rPr>
          <w:rFonts w:eastAsia="MS Mincho"/>
          <w:iCs/>
          <w:sz w:val="20"/>
          <w:szCs w:val="20"/>
          <w:lang w:val="en-US" w:bidi="en-US"/>
        </w:rPr>
        <w:t xml:space="preserve"> </w:t>
      </w:r>
      <w:r w:rsidR="00864649" w:rsidRPr="009D52FD">
        <w:rPr>
          <w:rFonts w:eastAsia="MS Mincho"/>
          <w:iCs/>
          <w:sz w:val="20"/>
          <w:szCs w:val="20"/>
          <w:lang w:val="en-US" w:bidi="en-US"/>
        </w:rPr>
        <w:t>submitted arguments on this measure</w:t>
      </w:r>
      <w:r w:rsidRPr="009D52FD">
        <w:rPr>
          <w:rFonts w:eastAsia="MS Mincho"/>
          <w:iCs/>
          <w:sz w:val="20"/>
          <w:szCs w:val="20"/>
          <w:lang w:val="en-US" w:bidi="en-US"/>
        </w:rPr>
        <w:t>.</w:t>
      </w:r>
    </w:p>
    <w:p w14:paraId="4FFA62EF" w14:textId="77777777" w:rsidR="00935F35" w:rsidRPr="009D52FD" w:rsidRDefault="00935F35" w:rsidP="00935F35">
      <w:pPr>
        <w:tabs>
          <w:tab w:val="left" w:pos="567"/>
        </w:tabs>
        <w:spacing w:line="240" w:lineRule="auto"/>
        <w:rPr>
          <w:rFonts w:eastAsia="MS Mincho"/>
          <w:iCs/>
          <w:sz w:val="20"/>
          <w:szCs w:val="20"/>
          <w:lang w:val="en-US" w:bidi="en-US"/>
        </w:rPr>
      </w:pPr>
    </w:p>
    <w:p w14:paraId="53B25034" w14:textId="353D0C4B" w:rsidR="00935F35" w:rsidRPr="009D52FD" w:rsidRDefault="005B794D" w:rsidP="00935F35">
      <w:pPr>
        <w:numPr>
          <w:ilvl w:val="0"/>
          <w:numId w:val="1"/>
        </w:numPr>
        <w:tabs>
          <w:tab w:val="left" w:pos="567"/>
          <w:tab w:val="num" w:pos="5057"/>
        </w:tabs>
        <w:spacing w:line="240" w:lineRule="auto"/>
        <w:ind w:left="0" w:firstLine="0"/>
        <w:textAlignment w:val="auto"/>
        <w:rPr>
          <w:rFonts w:eastAsia="MS Mincho"/>
          <w:iCs/>
          <w:sz w:val="20"/>
          <w:szCs w:val="20"/>
          <w:lang w:val="en-US" w:bidi="en-US"/>
        </w:rPr>
      </w:pPr>
      <w:r w:rsidRPr="009D52FD">
        <w:rPr>
          <w:rFonts w:eastAsia="MS Mincho"/>
          <w:iCs/>
          <w:sz w:val="20"/>
          <w:szCs w:val="20"/>
          <w:lang w:val="en-US" w:bidi="en-US"/>
        </w:rPr>
        <w:t xml:space="preserve">The Court notes that the </w:t>
      </w:r>
      <w:r w:rsidR="00864649" w:rsidRPr="009D52FD">
        <w:rPr>
          <w:sz w:val="20"/>
          <w:szCs w:val="20"/>
          <w:lang w:val="en-US"/>
        </w:rPr>
        <w:t>Organic Law on the Right of Women to a Life Free of Violence</w:t>
      </w:r>
      <w:r w:rsidR="00935F35" w:rsidRPr="009D52FD">
        <w:rPr>
          <w:rFonts w:eastAsia="MS Mincho"/>
          <w:iCs/>
          <w:sz w:val="20"/>
          <w:szCs w:val="20"/>
          <w:lang w:val="en-US" w:bidi="en-US"/>
        </w:rPr>
        <w:t xml:space="preserve"> </w:t>
      </w:r>
      <w:r w:rsidRPr="009D52FD">
        <w:rPr>
          <w:rFonts w:eastAsia="MS Mincho"/>
          <w:iCs/>
          <w:sz w:val="20"/>
          <w:szCs w:val="20"/>
          <w:lang w:val="en-US" w:bidi="en-US"/>
        </w:rPr>
        <w:t xml:space="preserve">establishes the design and incorporation of programs and plans to disseminate </w:t>
      </w:r>
      <w:r w:rsidR="00585FA9" w:rsidRPr="009D52FD">
        <w:rPr>
          <w:rFonts w:eastAsia="MS Mincho"/>
          <w:iCs/>
          <w:sz w:val="20"/>
          <w:szCs w:val="20"/>
          <w:lang w:val="en-US" w:bidi="en-US"/>
        </w:rPr>
        <w:t xml:space="preserve">values of gender equality, respect and tolerance </w:t>
      </w:r>
      <w:r w:rsidRPr="009D52FD">
        <w:rPr>
          <w:rFonts w:eastAsia="MS Mincho"/>
          <w:iCs/>
          <w:sz w:val="20"/>
          <w:szCs w:val="20"/>
          <w:lang w:val="en-US" w:bidi="en-US"/>
        </w:rPr>
        <w:t xml:space="preserve">among students at all levels and </w:t>
      </w:r>
      <w:r w:rsidR="00585FA9" w:rsidRPr="009D52FD">
        <w:rPr>
          <w:rFonts w:eastAsia="MS Mincho"/>
          <w:iCs/>
          <w:sz w:val="20"/>
          <w:szCs w:val="20"/>
          <w:lang w:val="en-US" w:bidi="en-US"/>
        </w:rPr>
        <w:t xml:space="preserve">types </w:t>
      </w:r>
      <w:r w:rsidRPr="009D52FD">
        <w:rPr>
          <w:rFonts w:eastAsia="MS Mincho"/>
          <w:iCs/>
          <w:sz w:val="20"/>
          <w:szCs w:val="20"/>
          <w:lang w:val="en-US" w:bidi="en-US"/>
        </w:rPr>
        <w:t>of education</w:t>
      </w:r>
      <w:r w:rsidR="00935F35" w:rsidRPr="009D52FD">
        <w:rPr>
          <w:rFonts w:eastAsia="MS Mincho"/>
          <w:iCs/>
          <w:sz w:val="20"/>
          <w:szCs w:val="20"/>
          <w:lang w:val="en-US" w:bidi="en-US"/>
        </w:rPr>
        <w:t xml:space="preserve">. </w:t>
      </w:r>
      <w:r w:rsidR="004454BE" w:rsidRPr="009D52FD">
        <w:rPr>
          <w:rFonts w:eastAsia="MS Mincho"/>
          <w:iCs/>
          <w:sz w:val="20"/>
          <w:szCs w:val="20"/>
          <w:lang w:val="en-US" w:bidi="en-US"/>
        </w:rPr>
        <w:t xml:space="preserve">Moreover, the State has also provided evidence </w:t>
      </w:r>
      <w:r w:rsidR="00585FA9" w:rsidRPr="009D52FD">
        <w:rPr>
          <w:rFonts w:eastAsia="MS Mincho"/>
          <w:iCs/>
          <w:sz w:val="20"/>
          <w:szCs w:val="20"/>
          <w:lang w:val="en-US" w:bidi="en-US"/>
        </w:rPr>
        <w:t>of</w:t>
      </w:r>
      <w:r w:rsidR="004454BE" w:rsidRPr="009D52FD">
        <w:rPr>
          <w:rFonts w:eastAsia="MS Mincho"/>
          <w:iCs/>
          <w:sz w:val="20"/>
          <w:szCs w:val="20"/>
          <w:lang w:val="en-US" w:bidi="en-US"/>
        </w:rPr>
        <w:t xml:space="preserve"> the existence of a Gender Equality and Equity Plan entitled </w:t>
      </w:r>
      <w:r w:rsidR="00935F35" w:rsidRPr="009D52FD">
        <w:rPr>
          <w:rFonts w:eastAsia="MS Mincho"/>
          <w:iCs/>
          <w:sz w:val="20"/>
          <w:szCs w:val="20"/>
          <w:lang w:val="en-US" w:bidi="en-US"/>
        </w:rPr>
        <w:t>“Mamá Rosa</w:t>
      </w:r>
      <w:r w:rsidR="004454BE" w:rsidRPr="009D52FD">
        <w:rPr>
          <w:rFonts w:eastAsia="MS Mincho"/>
          <w:iCs/>
          <w:sz w:val="20"/>
          <w:szCs w:val="20"/>
          <w:lang w:val="en-US" w:bidi="en-US"/>
        </w:rPr>
        <w:t>.</w:t>
      </w:r>
      <w:r w:rsidR="00935F35" w:rsidRPr="009D52FD">
        <w:rPr>
          <w:rFonts w:eastAsia="MS Mincho"/>
          <w:iCs/>
          <w:sz w:val="20"/>
          <w:szCs w:val="20"/>
          <w:lang w:val="en-US" w:bidi="en-US"/>
        </w:rPr>
        <w:t>”</w:t>
      </w:r>
      <w:r w:rsidR="00890D41" w:rsidRPr="009D52FD">
        <w:rPr>
          <w:sz w:val="20"/>
          <w:szCs w:val="20"/>
          <w:vertAlign w:val="superscript"/>
          <w:lang w:val="en-US"/>
        </w:rPr>
        <w:footnoteReference w:id="415"/>
      </w:r>
      <w:r w:rsidR="00935F35" w:rsidRPr="009D52FD">
        <w:rPr>
          <w:rFonts w:eastAsia="MS Mincho"/>
          <w:iCs/>
          <w:sz w:val="20"/>
          <w:szCs w:val="20"/>
          <w:lang w:val="en-US" w:bidi="en-US"/>
        </w:rPr>
        <w:t xml:space="preserve"> </w:t>
      </w:r>
      <w:r w:rsidR="004454BE" w:rsidRPr="009D52FD">
        <w:rPr>
          <w:rFonts w:eastAsia="MS Mincho"/>
          <w:iCs/>
          <w:sz w:val="20"/>
          <w:szCs w:val="20"/>
          <w:lang w:val="en-US" w:bidi="en-US"/>
        </w:rPr>
        <w:t>However</w:t>
      </w:r>
      <w:r w:rsidR="00935F35" w:rsidRPr="009D52FD">
        <w:rPr>
          <w:rFonts w:eastAsia="MS Mincho"/>
          <w:iCs/>
          <w:sz w:val="20"/>
          <w:szCs w:val="20"/>
          <w:lang w:val="en-US" w:bidi="en-US"/>
        </w:rPr>
        <w:t xml:space="preserve">, </w:t>
      </w:r>
      <w:r w:rsidR="003630BB" w:rsidRPr="009D52FD">
        <w:rPr>
          <w:rFonts w:eastAsia="MS Mincho"/>
          <w:iCs/>
          <w:sz w:val="20"/>
          <w:szCs w:val="20"/>
          <w:lang w:val="en-US" w:bidi="en-US"/>
        </w:rPr>
        <w:t>the Court</w:t>
      </w:r>
      <w:r w:rsidR="00935F35" w:rsidRPr="009D52FD">
        <w:rPr>
          <w:rFonts w:eastAsia="MS Mincho"/>
          <w:iCs/>
          <w:sz w:val="20"/>
          <w:szCs w:val="20"/>
          <w:lang w:val="en-US" w:bidi="en-US"/>
        </w:rPr>
        <w:t xml:space="preserve"> </w:t>
      </w:r>
      <w:r w:rsidR="004454BE" w:rsidRPr="009D52FD">
        <w:rPr>
          <w:rFonts w:eastAsia="MS Mincho"/>
          <w:iCs/>
          <w:sz w:val="20"/>
          <w:szCs w:val="20"/>
          <w:lang w:val="en-US" w:bidi="en-US"/>
        </w:rPr>
        <w:t>has no specific information on the implementation of this awareness-raising program in the educational sector.</w:t>
      </w:r>
    </w:p>
    <w:p w14:paraId="7ABBAB83" w14:textId="77777777" w:rsidR="00935F35" w:rsidRPr="009D52FD" w:rsidRDefault="00935F35" w:rsidP="00935F35">
      <w:pPr>
        <w:tabs>
          <w:tab w:val="left" w:pos="567"/>
        </w:tabs>
        <w:spacing w:line="240" w:lineRule="auto"/>
        <w:rPr>
          <w:rFonts w:eastAsia="MS Mincho"/>
          <w:iCs/>
          <w:sz w:val="20"/>
          <w:szCs w:val="20"/>
          <w:lang w:val="en-US" w:bidi="en-US"/>
        </w:rPr>
      </w:pPr>
    </w:p>
    <w:p w14:paraId="0CAFAB84" w14:textId="4EE875C0" w:rsidR="00935F35" w:rsidRPr="009D52FD" w:rsidRDefault="00935F35" w:rsidP="006305A1">
      <w:pPr>
        <w:numPr>
          <w:ilvl w:val="0"/>
          <w:numId w:val="1"/>
        </w:numPr>
        <w:tabs>
          <w:tab w:val="left" w:pos="567"/>
          <w:tab w:val="num" w:pos="5057"/>
        </w:tabs>
        <w:spacing w:line="240" w:lineRule="auto"/>
        <w:ind w:left="0" w:firstLine="0"/>
        <w:textAlignment w:val="auto"/>
        <w:rPr>
          <w:rFonts w:eastAsia="MS Mincho"/>
          <w:iCs/>
          <w:sz w:val="20"/>
          <w:szCs w:val="20"/>
          <w:lang w:val="en-US" w:bidi="en-US"/>
        </w:rPr>
      </w:pPr>
      <w:r w:rsidRPr="009D52FD">
        <w:rPr>
          <w:rFonts w:eastAsia="MS Mincho"/>
          <w:iCs/>
          <w:sz w:val="20"/>
          <w:szCs w:val="20"/>
          <w:lang w:val="en-US" w:bidi="en-US"/>
        </w:rPr>
        <w:t>T</w:t>
      </w:r>
      <w:r w:rsidR="006305A1" w:rsidRPr="009D52FD">
        <w:rPr>
          <w:rFonts w:eastAsia="MS Mincho"/>
          <w:iCs/>
          <w:sz w:val="20"/>
          <w:szCs w:val="20"/>
          <w:lang w:val="en-US" w:bidi="en-US"/>
        </w:rPr>
        <w:t>aking the</w:t>
      </w:r>
      <w:r w:rsidRPr="009D52FD">
        <w:rPr>
          <w:rFonts w:eastAsia="MS Mincho"/>
          <w:iCs/>
          <w:sz w:val="20"/>
          <w:szCs w:val="20"/>
          <w:lang w:val="en-US" w:bidi="en-US"/>
        </w:rPr>
        <w:t xml:space="preserve"> </w:t>
      </w:r>
      <w:r w:rsidR="006305A1" w:rsidRPr="009D52FD">
        <w:rPr>
          <w:rFonts w:eastAsia="MS Mincho"/>
          <w:iCs/>
          <w:sz w:val="20"/>
          <w:szCs w:val="20"/>
          <w:lang w:val="en-US" w:bidi="en-US"/>
        </w:rPr>
        <w:t>foregoing into account, and considering that the measure request</w:t>
      </w:r>
      <w:r w:rsidR="00585FA9" w:rsidRPr="009D52FD">
        <w:rPr>
          <w:rFonts w:eastAsia="MS Mincho"/>
          <w:iCs/>
          <w:sz w:val="20"/>
          <w:szCs w:val="20"/>
          <w:lang w:val="en-US" w:bidi="en-US"/>
        </w:rPr>
        <w:t>ed</w:t>
      </w:r>
      <w:r w:rsidR="006305A1" w:rsidRPr="009D52FD">
        <w:rPr>
          <w:rFonts w:eastAsia="MS Mincho"/>
          <w:iCs/>
          <w:sz w:val="20"/>
          <w:szCs w:val="20"/>
          <w:lang w:val="en-US" w:bidi="en-US"/>
        </w:rPr>
        <w:t xml:space="preserve"> would </w:t>
      </w:r>
      <w:r w:rsidR="005258AF" w:rsidRPr="009D52FD">
        <w:rPr>
          <w:rFonts w:eastAsia="MS Mincho"/>
          <w:iCs/>
          <w:sz w:val="20"/>
          <w:szCs w:val="20"/>
          <w:lang w:val="en-US" w:bidi="en-US"/>
        </w:rPr>
        <w:t xml:space="preserve">not only </w:t>
      </w:r>
      <w:r w:rsidR="006305A1" w:rsidRPr="009D52FD">
        <w:rPr>
          <w:rFonts w:eastAsia="MS Mincho"/>
          <w:iCs/>
          <w:sz w:val="20"/>
          <w:szCs w:val="20"/>
          <w:lang w:val="en-US" w:bidi="en-US"/>
        </w:rPr>
        <w:t xml:space="preserve">constitute a tool to raise awareness and educate the new generations on this phenomenon and on gender inequalities, but would also contribute to acknowledging Linda Loaiza’s struggle to obtain justice </w:t>
      </w:r>
      <w:r w:rsidR="005258AF" w:rsidRPr="009D52FD">
        <w:rPr>
          <w:rFonts w:eastAsia="MS Mincho"/>
          <w:iCs/>
          <w:sz w:val="20"/>
          <w:szCs w:val="20"/>
          <w:lang w:val="en-US" w:bidi="en-US"/>
        </w:rPr>
        <w:t>owing to</w:t>
      </w:r>
      <w:r w:rsidR="006305A1" w:rsidRPr="009D52FD">
        <w:rPr>
          <w:rFonts w:eastAsia="MS Mincho"/>
          <w:iCs/>
          <w:sz w:val="20"/>
          <w:szCs w:val="20"/>
          <w:lang w:val="en-US" w:bidi="en-US"/>
        </w:rPr>
        <w:t xml:space="preserve"> the acts of </w:t>
      </w:r>
      <w:r w:rsidR="00002A76" w:rsidRPr="009D52FD">
        <w:rPr>
          <w:rFonts w:eastAsia="MS Mincho"/>
          <w:iCs/>
          <w:sz w:val="20"/>
          <w:szCs w:val="20"/>
          <w:lang w:val="en-US" w:bidi="en-US"/>
        </w:rPr>
        <w:t>physical</w:t>
      </w:r>
      <w:r w:rsidR="006305A1" w:rsidRPr="009D52FD">
        <w:rPr>
          <w:rFonts w:eastAsia="MS Mincho"/>
          <w:iCs/>
          <w:sz w:val="20"/>
          <w:szCs w:val="20"/>
          <w:lang w:val="en-US" w:bidi="en-US"/>
        </w:rPr>
        <w:t xml:space="preserve">, verbal, psychological and sexual violence of which she was a victim, this Court considers it appropriate that the State, within a reasonable time, incorporate into the national curriculum of the national educational service, at all levels and </w:t>
      </w:r>
      <w:r w:rsidR="005258AF" w:rsidRPr="009D52FD">
        <w:rPr>
          <w:rFonts w:eastAsia="MS Mincho"/>
          <w:iCs/>
          <w:sz w:val="20"/>
          <w:szCs w:val="20"/>
          <w:lang w:val="en-US" w:bidi="en-US"/>
        </w:rPr>
        <w:t xml:space="preserve">types </w:t>
      </w:r>
      <w:r w:rsidR="006305A1" w:rsidRPr="009D52FD">
        <w:rPr>
          <w:rFonts w:eastAsia="MS Mincho"/>
          <w:iCs/>
          <w:sz w:val="20"/>
          <w:szCs w:val="20"/>
          <w:lang w:val="en-US" w:bidi="en-US"/>
        </w:rPr>
        <w:t>of education, a permanent education program under the name of</w:t>
      </w:r>
      <w:r w:rsidRPr="009D52FD">
        <w:rPr>
          <w:rFonts w:eastAsia="MS Mincho"/>
          <w:iCs/>
          <w:sz w:val="20"/>
          <w:szCs w:val="20"/>
          <w:lang w:val="en-US" w:bidi="en-US"/>
        </w:rPr>
        <w:t xml:space="preserve"> “Linda Loaiza</w:t>
      </w:r>
      <w:r w:rsidR="006305A1" w:rsidRPr="009D52FD">
        <w:rPr>
          <w:rFonts w:eastAsia="MS Mincho"/>
          <w:iCs/>
          <w:sz w:val="20"/>
          <w:szCs w:val="20"/>
          <w:lang w:val="en-US" w:bidi="en-US"/>
        </w:rPr>
        <w:t>,</w:t>
      </w:r>
      <w:r w:rsidRPr="009D52FD">
        <w:rPr>
          <w:rFonts w:eastAsia="MS Mincho"/>
          <w:iCs/>
          <w:sz w:val="20"/>
          <w:szCs w:val="20"/>
          <w:lang w:val="en-US" w:bidi="en-US"/>
        </w:rPr>
        <w:t xml:space="preserve">” </w:t>
      </w:r>
      <w:r w:rsidR="00996337" w:rsidRPr="009D52FD">
        <w:rPr>
          <w:rFonts w:eastAsia="MS Mincho"/>
          <w:iCs/>
          <w:sz w:val="20"/>
          <w:szCs w:val="20"/>
          <w:lang w:val="en-US" w:bidi="en-US"/>
        </w:rPr>
        <w:t>pursuant to</w:t>
      </w:r>
      <w:r w:rsidRPr="009D52FD">
        <w:rPr>
          <w:rFonts w:eastAsia="MS Mincho"/>
          <w:iCs/>
          <w:sz w:val="20"/>
          <w:szCs w:val="20"/>
          <w:lang w:val="en-US" w:bidi="en-US"/>
        </w:rPr>
        <w:t xml:space="preserve"> </w:t>
      </w:r>
      <w:r w:rsidR="005258AF" w:rsidRPr="009D52FD">
        <w:rPr>
          <w:rFonts w:eastAsia="MS Mincho"/>
          <w:iCs/>
          <w:sz w:val="20"/>
          <w:szCs w:val="20"/>
          <w:lang w:val="en-US" w:bidi="en-US"/>
        </w:rPr>
        <w:t>the</w:t>
      </w:r>
      <w:r w:rsidRPr="009D52FD">
        <w:rPr>
          <w:rFonts w:eastAsia="MS Mincho"/>
          <w:iCs/>
          <w:sz w:val="20"/>
          <w:szCs w:val="20"/>
          <w:lang w:val="en-US" w:bidi="en-US"/>
        </w:rPr>
        <w:t xml:space="preserve"> </w:t>
      </w:r>
      <w:r w:rsidR="00864649" w:rsidRPr="009D52FD">
        <w:rPr>
          <w:sz w:val="20"/>
          <w:szCs w:val="20"/>
          <w:lang w:val="en-US"/>
        </w:rPr>
        <w:t>Organic Law on the Right of Women to a Life Free of Violence</w:t>
      </w:r>
      <w:r w:rsidRPr="009D52FD">
        <w:rPr>
          <w:rFonts w:eastAsia="MS Mincho"/>
          <w:iCs/>
          <w:sz w:val="20"/>
          <w:szCs w:val="20"/>
          <w:lang w:val="en-US" w:bidi="en-US"/>
        </w:rPr>
        <w:t xml:space="preserve">, </w:t>
      </w:r>
      <w:r w:rsidR="006305A1" w:rsidRPr="009D52FD">
        <w:rPr>
          <w:rFonts w:eastAsia="MS Mincho"/>
          <w:iCs/>
          <w:sz w:val="20"/>
          <w:szCs w:val="20"/>
          <w:lang w:val="en-US" w:bidi="en-US"/>
        </w:rPr>
        <w:t>with the aim of eradicating gender discrimination, gender stereotypes and</w:t>
      </w:r>
      <w:r w:rsidRPr="009D52FD">
        <w:rPr>
          <w:rFonts w:eastAsia="MS Mincho"/>
          <w:iCs/>
          <w:sz w:val="20"/>
          <w:szCs w:val="20"/>
          <w:lang w:val="en-US" w:bidi="en-US"/>
        </w:rPr>
        <w:t xml:space="preserve"> </w:t>
      </w:r>
      <w:r w:rsidR="005935CA" w:rsidRPr="009D52FD">
        <w:rPr>
          <w:rFonts w:eastAsia="MS Mincho"/>
          <w:iCs/>
          <w:sz w:val="20"/>
          <w:szCs w:val="20"/>
          <w:lang w:val="en-US" w:bidi="en-US"/>
        </w:rPr>
        <w:t>violence against women</w:t>
      </w:r>
      <w:r w:rsidRPr="009D52FD">
        <w:rPr>
          <w:rFonts w:eastAsia="MS Mincho"/>
          <w:iCs/>
          <w:sz w:val="20"/>
          <w:szCs w:val="20"/>
          <w:lang w:val="en-US" w:bidi="en-US"/>
        </w:rPr>
        <w:t xml:space="preserve"> </w:t>
      </w:r>
      <w:r w:rsidR="006305A1" w:rsidRPr="009D52FD">
        <w:rPr>
          <w:rFonts w:eastAsia="MS Mincho"/>
          <w:iCs/>
          <w:sz w:val="20"/>
          <w:szCs w:val="20"/>
          <w:lang w:val="en-US" w:bidi="en-US"/>
        </w:rPr>
        <w:t>i</w:t>
      </w:r>
      <w:r w:rsidRPr="009D52FD">
        <w:rPr>
          <w:rFonts w:eastAsia="MS Mincho"/>
          <w:iCs/>
          <w:sz w:val="20"/>
          <w:szCs w:val="20"/>
          <w:lang w:val="en-US" w:bidi="en-US"/>
        </w:rPr>
        <w:t xml:space="preserve">n Venezuela, </w:t>
      </w:r>
      <w:r w:rsidR="005258AF" w:rsidRPr="009D52FD">
        <w:rPr>
          <w:rFonts w:eastAsia="MS Mincho"/>
          <w:iCs/>
          <w:sz w:val="20"/>
          <w:szCs w:val="20"/>
          <w:lang w:val="en-US" w:bidi="en-US"/>
        </w:rPr>
        <w:t xml:space="preserve">in keeping with </w:t>
      </w:r>
      <w:r w:rsidR="006305A1" w:rsidRPr="009D52FD">
        <w:rPr>
          <w:rFonts w:eastAsia="MS Mincho"/>
          <w:iCs/>
          <w:sz w:val="20"/>
          <w:szCs w:val="20"/>
          <w:lang w:val="en-US" w:bidi="en-US"/>
        </w:rPr>
        <w:t xml:space="preserve">the relevant international laws and the case law of </w:t>
      </w:r>
      <w:r w:rsidR="0002239A" w:rsidRPr="009D52FD">
        <w:rPr>
          <w:rFonts w:eastAsia="MS Mincho"/>
          <w:iCs/>
          <w:sz w:val="20"/>
          <w:szCs w:val="20"/>
          <w:lang w:val="en-US" w:bidi="en-US"/>
        </w:rPr>
        <w:t>this Court</w:t>
      </w:r>
      <w:r w:rsidR="006305A1" w:rsidRPr="009D52FD">
        <w:rPr>
          <w:rFonts w:eastAsia="MS Mincho"/>
          <w:iCs/>
          <w:sz w:val="20"/>
          <w:szCs w:val="20"/>
          <w:lang w:val="en-US" w:bidi="en-US"/>
        </w:rPr>
        <w:t>.</w:t>
      </w:r>
      <w:r w:rsidRPr="009D52FD">
        <w:rPr>
          <w:rStyle w:val="FootnoteReference"/>
          <w:rFonts w:eastAsia="MS Mincho"/>
          <w:iCs/>
          <w:sz w:val="20"/>
          <w:szCs w:val="20"/>
          <w:lang w:val="en-US" w:bidi="en-US"/>
        </w:rPr>
        <w:footnoteReference w:id="416"/>
      </w:r>
      <w:r w:rsidR="006305A1" w:rsidRPr="009D52FD">
        <w:rPr>
          <w:rFonts w:eastAsia="MS Mincho"/>
          <w:iCs/>
          <w:sz w:val="20"/>
          <w:szCs w:val="20"/>
          <w:lang w:val="en-US" w:bidi="en-US"/>
        </w:rPr>
        <w:t xml:space="preserve"> To this end, for three years, the State must present an annual report </w:t>
      </w:r>
      <w:r w:rsidR="005258AF" w:rsidRPr="009D52FD">
        <w:rPr>
          <w:rFonts w:eastAsia="MS Mincho"/>
          <w:iCs/>
          <w:sz w:val="20"/>
          <w:szCs w:val="20"/>
          <w:lang w:val="en-US" w:bidi="en-US"/>
        </w:rPr>
        <w:t>indicating</w:t>
      </w:r>
      <w:r w:rsidR="006305A1" w:rsidRPr="009D52FD">
        <w:rPr>
          <w:rFonts w:eastAsia="MS Mincho"/>
          <w:iCs/>
          <w:sz w:val="20"/>
          <w:szCs w:val="20"/>
          <w:lang w:val="en-US" w:bidi="en-US"/>
        </w:rPr>
        <w:t xml:space="preserve"> the actions taken to achieve this, and with regard to teacher training to ensure effective implementation.</w:t>
      </w:r>
    </w:p>
    <w:p w14:paraId="4A53A239" w14:textId="77777777" w:rsidR="00935F35" w:rsidRPr="009D52FD" w:rsidRDefault="00935F35" w:rsidP="00935F35">
      <w:pPr>
        <w:spacing w:line="240" w:lineRule="auto"/>
        <w:rPr>
          <w:i/>
          <w:iCs/>
          <w:sz w:val="20"/>
          <w:szCs w:val="20"/>
          <w:lang w:val="en-US"/>
        </w:rPr>
      </w:pPr>
    </w:p>
    <w:p w14:paraId="05833230" w14:textId="5AC293E9" w:rsidR="00935F35" w:rsidRPr="009D52FD" w:rsidRDefault="00935F35" w:rsidP="00C6536C">
      <w:pPr>
        <w:tabs>
          <w:tab w:val="left" w:pos="567"/>
          <w:tab w:val="left" w:pos="2127"/>
          <w:tab w:val="left" w:pos="2552"/>
        </w:tabs>
        <w:spacing w:line="240" w:lineRule="auto"/>
        <w:ind w:left="1701"/>
        <w:rPr>
          <w:rFonts w:eastAsia="MS Mincho"/>
          <w:i/>
          <w:sz w:val="20"/>
          <w:szCs w:val="20"/>
          <w:lang w:val="en-US" w:bidi="en-US"/>
        </w:rPr>
      </w:pPr>
      <w:r w:rsidRPr="009D52FD">
        <w:rPr>
          <w:rFonts w:eastAsia="MS Mincho"/>
          <w:i/>
          <w:sz w:val="20"/>
          <w:szCs w:val="20"/>
          <w:lang w:val="en-US" w:bidi="en-US"/>
        </w:rPr>
        <w:t>C.3.</w:t>
      </w:r>
      <w:r w:rsidR="007C6E52" w:rsidRPr="009D52FD">
        <w:rPr>
          <w:rFonts w:eastAsia="MS Mincho"/>
          <w:i/>
          <w:sz w:val="20"/>
          <w:szCs w:val="20"/>
          <w:lang w:val="en-US" w:bidi="en-US"/>
        </w:rPr>
        <w:t>e</w:t>
      </w:r>
      <w:r w:rsidRPr="009D52FD">
        <w:rPr>
          <w:rFonts w:eastAsia="MS Mincho"/>
          <w:i/>
          <w:sz w:val="20"/>
          <w:szCs w:val="20"/>
          <w:lang w:val="en-US" w:bidi="en-US"/>
        </w:rPr>
        <w:t xml:space="preserve">) </w:t>
      </w:r>
      <w:r w:rsidR="007C6E52" w:rsidRPr="009D52FD">
        <w:rPr>
          <w:rFonts w:eastAsia="MS Mincho"/>
          <w:i/>
          <w:sz w:val="20"/>
          <w:szCs w:val="20"/>
          <w:lang w:val="en-US" w:bidi="en-US"/>
        </w:rPr>
        <w:tab/>
      </w:r>
      <w:r w:rsidRPr="009D52FD">
        <w:rPr>
          <w:rFonts w:eastAsia="MS Mincho"/>
          <w:i/>
          <w:sz w:val="20"/>
          <w:szCs w:val="20"/>
          <w:lang w:val="en-US" w:bidi="en-US"/>
        </w:rPr>
        <w:t>Publica</w:t>
      </w:r>
      <w:r w:rsidR="00864649" w:rsidRPr="009D52FD">
        <w:rPr>
          <w:rFonts w:eastAsia="MS Mincho"/>
          <w:i/>
          <w:sz w:val="20"/>
          <w:szCs w:val="20"/>
          <w:lang w:val="en-US" w:bidi="en-US"/>
        </w:rPr>
        <w:t>tion of of</w:t>
      </w:r>
      <w:r w:rsidR="006305A1" w:rsidRPr="009D52FD">
        <w:rPr>
          <w:rFonts w:eastAsia="MS Mincho"/>
          <w:i/>
          <w:sz w:val="20"/>
          <w:szCs w:val="20"/>
          <w:lang w:val="en-US" w:bidi="en-US"/>
        </w:rPr>
        <w:t>f</w:t>
      </w:r>
      <w:r w:rsidR="00864649" w:rsidRPr="009D52FD">
        <w:rPr>
          <w:rFonts w:eastAsia="MS Mincho"/>
          <w:i/>
          <w:sz w:val="20"/>
          <w:szCs w:val="20"/>
          <w:lang w:val="en-US" w:bidi="en-US"/>
        </w:rPr>
        <w:t>icial data on cases of violence against women</w:t>
      </w:r>
    </w:p>
    <w:p w14:paraId="152907DF" w14:textId="77777777" w:rsidR="00935F35" w:rsidRPr="009D52FD" w:rsidRDefault="00935F35" w:rsidP="00935F35">
      <w:pPr>
        <w:spacing w:line="240" w:lineRule="auto"/>
        <w:ind w:firstLine="567"/>
        <w:rPr>
          <w:i/>
          <w:iCs/>
          <w:sz w:val="20"/>
          <w:szCs w:val="20"/>
          <w:lang w:val="en-US"/>
        </w:rPr>
      </w:pPr>
    </w:p>
    <w:p w14:paraId="2296DCDB" w14:textId="50AD4B92" w:rsidR="006305A1" w:rsidRPr="009D52FD" w:rsidRDefault="003630BB" w:rsidP="00935F35">
      <w:pPr>
        <w:numPr>
          <w:ilvl w:val="0"/>
          <w:numId w:val="1"/>
        </w:numPr>
        <w:tabs>
          <w:tab w:val="left" w:pos="567"/>
        </w:tabs>
        <w:spacing w:line="240" w:lineRule="auto"/>
        <w:ind w:left="0" w:firstLine="0"/>
        <w:textAlignment w:val="auto"/>
        <w:rPr>
          <w:sz w:val="20"/>
          <w:szCs w:val="20"/>
          <w:lang w:val="en-US"/>
        </w:rPr>
      </w:pPr>
      <w:r w:rsidRPr="009D52FD">
        <w:rPr>
          <w:rFonts w:eastAsia="MS Mincho"/>
          <w:sz w:val="20"/>
          <w:szCs w:val="20"/>
          <w:lang w:val="en-US" w:bidi="en-US"/>
        </w:rPr>
        <w:t xml:space="preserve">The </w:t>
      </w:r>
      <w:r w:rsidRPr="009D52FD">
        <w:rPr>
          <w:rFonts w:eastAsia="MS Mincho"/>
          <w:b/>
          <w:bCs/>
          <w:i/>
          <w:iCs/>
          <w:sz w:val="20"/>
          <w:szCs w:val="20"/>
          <w:lang w:val="en-US" w:bidi="en-US"/>
        </w:rPr>
        <w:t>representatives</w:t>
      </w:r>
      <w:r w:rsidR="00935F35" w:rsidRPr="009D52FD">
        <w:rPr>
          <w:rFonts w:eastAsia="MS Mincho"/>
          <w:sz w:val="20"/>
          <w:szCs w:val="20"/>
          <w:lang w:val="en-US" w:bidi="en-US"/>
        </w:rPr>
        <w:t xml:space="preserve"> </w:t>
      </w:r>
      <w:r w:rsidR="006305A1" w:rsidRPr="009D52FD">
        <w:rPr>
          <w:rFonts w:eastAsia="MS Mincho"/>
          <w:sz w:val="20"/>
          <w:szCs w:val="20"/>
          <w:lang w:val="en-US" w:bidi="en-US"/>
        </w:rPr>
        <w:t>asked</w:t>
      </w:r>
      <w:r w:rsidR="00935F35" w:rsidRPr="009D52FD">
        <w:rPr>
          <w:rFonts w:eastAsia="MS Mincho"/>
          <w:sz w:val="20"/>
          <w:szCs w:val="20"/>
          <w:lang w:val="en-US" w:bidi="en-US"/>
        </w:rPr>
        <w:t xml:space="preserve"> </w:t>
      </w:r>
      <w:r w:rsidRPr="009D52FD">
        <w:rPr>
          <w:rFonts w:eastAsia="MS Mincho"/>
          <w:sz w:val="20"/>
          <w:szCs w:val="20"/>
          <w:lang w:val="en-US" w:bidi="en-US"/>
        </w:rPr>
        <w:t>the Court</w:t>
      </w:r>
      <w:r w:rsidR="00902ED9" w:rsidRPr="009D52FD">
        <w:rPr>
          <w:rFonts w:eastAsia="MS Mincho"/>
          <w:sz w:val="20"/>
          <w:szCs w:val="20"/>
          <w:lang w:val="en-US" w:bidi="en-US"/>
        </w:rPr>
        <w:t xml:space="preserve"> </w:t>
      </w:r>
      <w:r w:rsidR="006305A1" w:rsidRPr="009D52FD">
        <w:rPr>
          <w:rFonts w:eastAsia="MS Mincho"/>
          <w:sz w:val="20"/>
          <w:szCs w:val="20"/>
          <w:lang w:val="en-US" w:bidi="en-US"/>
        </w:rPr>
        <w:t>to order</w:t>
      </w:r>
      <w:r w:rsidR="00902ED9" w:rsidRPr="009D52FD">
        <w:rPr>
          <w:rFonts w:eastAsia="MS Mincho"/>
          <w:sz w:val="20"/>
          <w:szCs w:val="20"/>
          <w:lang w:val="en-US" w:bidi="en-US"/>
        </w:rPr>
        <w:t xml:space="preserve"> Venezuela</w:t>
      </w:r>
      <w:r w:rsidR="00935F35" w:rsidRPr="009D52FD">
        <w:rPr>
          <w:rFonts w:eastAsia="MS Mincho"/>
          <w:sz w:val="20"/>
          <w:szCs w:val="20"/>
          <w:lang w:val="en-US" w:bidi="en-US"/>
        </w:rPr>
        <w:t xml:space="preserve"> </w:t>
      </w:r>
      <w:r w:rsidR="006305A1" w:rsidRPr="009D52FD">
        <w:rPr>
          <w:rFonts w:eastAsia="MS Mincho"/>
          <w:sz w:val="20"/>
          <w:szCs w:val="20"/>
          <w:lang w:val="en-US" w:bidi="en-US"/>
        </w:rPr>
        <w:t xml:space="preserve">to publish disaggregated data on violence against women in that country and on the actions </w:t>
      </w:r>
      <w:r w:rsidR="005258AF" w:rsidRPr="009D52FD">
        <w:rPr>
          <w:rFonts w:eastAsia="MS Mincho"/>
          <w:sz w:val="20"/>
          <w:szCs w:val="20"/>
          <w:lang w:val="en-US" w:bidi="en-US"/>
        </w:rPr>
        <w:t>taken by</w:t>
      </w:r>
      <w:r w:rsidR="006305A1" w:rsidRPr="009D52FD">
        <w:rPr>
          <w:rFonts w:eastAsia="MS Mincho"/>
          <w:sz w:val="20"/>
          <w:szCs w:val="20"/>
          <w:lang w:val="en-US" w:bidi="en-US"/>
        </w:rPr>
        <w:t xml:space="preserve"> the state organs to address this phenomenon, so that Venezuelan</w:t>
      </w:r>
      <w:r w:rsidR="005258AF" w:rsidRPr="009D52FD">
        <w:rPr>
          <w:rFonts w:eastAsia="MS Mincho"/>
          <w:sz w:val="20"/>
          <w:szCs w:val="20"/>
          <w:lang w:val="en-US" w:bidi="en-US"/>
        </w:rPr>
        <w:t>s</w:t>
      </w:r>
      <w:r w:rsidR="006305A1" w:rsidRPr="009D52FD">
        <w:rPr>
          <w:rFonts w:eastAsia="MS Mincho"/>
          <w:sz w:val="20"/>
          <w:szCs w:val="20"/>
          <w:lang w:val="en-US" w:bidi="en-US"/>
        </w:rPr>
        <w:t xml:space="preserve"> could appreciate the magnitude of th</w:t>
      </w:r>
      <w:r w:rsidR="005258AF" w:rsidRPr="009D52FD">
        <w:rPr>
          <w:rFonts w:eastAsia="MS Mincho"/>
          <w:sz w:val="20"/>
          <w:szCs w:val="20"/>
          <w:lang w:val="en-US" w:bidi="en-US"/>
        </w:rPr>
        <w:t>e</w:t>
      </w:r>
      <w:r w:rsidR="006305A1" w:rsidRPr="009D52FD">
        <w:rPr>
          <w:rFonts w:eastAsia="MS Mincho"/>
          <w:sz w:val="20"/>
          <w:szCs w:val="20"/>
          <w:lang w:val="en-US" w:bidi="en-US"/>
        </w:rPr>
        <w:t xml:space="preserve"> problem and, therefore, assess the State’s efforts to combat it. In this regard, they underscored the importance </w:t>
      </w:r>
      <w:r w:rsidR="00336B9B" w:rsidRPr="009D52FD">
        <w:rPr>
          <w:rFonts w:eastAsia="MS Mincho"/>
          <w:sz w:val="20"/>
          <w:szCs w:val="20"/>
          <w:lang w:val="en-US" w:bidi="en-US"/>
        </w:rPr>
        <w:t xml:space="preserve">that the system for the collection of data and preparation of statistics </w:t>
      </w:r>
      <w:r w:rsidR="005258AF" w:rsidRPr="009D52FD">
        <w:rPr>
          <w:rFonts w:eastAsia="MS Mincho"/>
          <w:sz w:val="20"/>
          <w:szCs w:val="20"/>
          <w:lang w:val="en-US" w:bidi="en-US"/>
        </w:rPr>
        <w:t>be</w:t>
      </w:r>
      <w:r w:rsidR="00336B9B" w:rsidRPr="009D52FD">
        <w:rPr>
          <w:rFonts w:eastAsia="MS Mincho"/>
          <w:sz w:val="20"/>
          <w:szCs w:val="20"/>
          <w:lang w:val="en-US" w:bidi="en-US"/>
        </w:rPr>
        <w:t xml:space="preserve"> reliable and accessible.</w:t>
      </w:r>
    </w:p>
    <w:p w14:paraId="77CF22E0" w14:textId="77777777" w:rsidR="00935F35" w:rsidRPr="009D52FD" w:rsidRDefault="00935F35" w:rsidP="00935F35">
      <w:pPr>
        <w:tabs>
          <w:tab w:val="left" w:pos="567"/>
        </w:tabs>
        <w:spacing w:line="240" w:lineRule="auto"/>
        <w:rPr>
          <w:sz w:val="20"/>
          <w:szCs w:val="20"/>
          <w:lang w:val="en-US"/>
        </w:rPr>
      </w:pPr>
    </w:p>
    <w:p w14:paraId="2C008ABA" w14:textId="77777777" w:rsidR="00864649" w:rsidRPr="009D52FD" w:rsidRDefault="00864649" w:rsidP="00864649">
      <w:pPr>
        <w:numPr>
          <w:ilvl w:val="0"/>
          <w:numId w:val="1"/>
        </w:numPr>
        <w:tabs>
          <w:tab w:val="left" w:pos="567"/>
          <w:tab w:val="num" w:pos="5057"/>
        </w:tabs>
        <w:spacing w:line="240" w:lineRule="auto"/>
        <w:ind w:left="0" w:firstLine="0"/>
        <w:textAlignment w:val="auto"/>
        <w:rPr>
          <w:rFonts w:eastAsia="MS Mincho"/>
          <w:iCs/>
          <w:sz w:val="20"/>
          <w:szCs w:val="20"/>
          <w:lang w:val="en-US" w:bidi="en-US"/>
        </w:rPr>
      </w:pPr>
      <w:r w:rsidRPr="009D52FD">
        <w:rPr>
          <w:rFonts w:eastAsia="MS Mincho"/>
          <w:iCs/>
          <w:sz w:val="20"/>
          <w:szCs w:val="20"/>
          <w:lang w:val="en-US" w:bidi="en-US"/>
        </w:rPr>
        <w:t xml:space="preserve">Neither the </w:t>
      </w:r>
      <w:r w:rsidRPr="009D52FD">
        <w:rPr>
          <w:rFonts w:eastAsia="MS Mincho"/>
          <w:b/>
          <w:bCs/>
          <w:i/>
          <w:sz w:val="20"/>
          <w:szCs w:val="20"/>
          <w:lang w:val="en-US" w:bidi="en-US"/>
        </w:rPr>
        <w:t xml:space="preserve">Commission </w:t>
      </w:r>
      <w:r w:rsidRPr="009D52FD">
        <w:rPr>
          <w:rFonts w:eastAsia="MS Mincho"/>
          <w:iCs/>
          <w:sz w:val="20"/>
          <w:szCs w:val="20"/>
          <w:lang w:val="en-US" w:bidi="en-US"/>
        </w:rPr>
        <w:t>nor the</w:t>
      </w:r>
      <w:r w:rsidRPr="009D52FD">
        <w:rPr>
          <w:rFonts w:eastAsia="MS Mincho"/>
          <w:b/>
          <w:bCs/>
          <w:i/>
          <w:sz w:val="20"/>
          <w:szCs w:val="20"/>
          <w:lang w:val="en-US" w:bidi="en-US"/>
        </w:rPr>
        <w:t xml:space="preserve"> State</w:t>
      </w:r>
      <w:r w:rsidRPr="009D52FD">
        <w:rPr>
          <w:rFonts w:eastAsia="MS Mincho"/>
          <w:iCs/>
          <w:sz w:val="20"/>
          <w:szCs w:val="20"/>
          <w:lang w:val="en-US" w:bidi="en-US"/>
        </w:rPr>
        <w:t xml:space="preserve"> submitted arguments on this measure.</w:t>
      </w:r>
    </w:p>
    <w:p w14:paraId="3F0A8D34" w14:textId="77777777" w:rsidR="00935F35" w:rsidRPr="009D52FD" w:rsidRDefault="00935F35" w:rsidP="00935F35">
      <w:pPr>
        <w:pStyle w:val="ListParagraph"/>
        <w:tabs>
          <w:tab w:val="left" w:pos="567"/>
        </w:tabs>
        <w:autoSpaceDE w:val="0"/>
        <w:autoSpaceDN w:val="0"/>
        <w:spacing w:line="240" w:lineRule="auto"/>
        <w:ind w:left="967"/>
        <w:rPr>
          <w:iCs/>
          <w:color w:val="000000"/>
          <w:sz w:val="20"/>
          <w:szCs w:val="20"/>
          <w:lang w:val="en-US"/>
        </w:rPr>
      </w:pPr>
    </w:p>
    <w:p w14:paraId="12D7CA2D" w14:textId="65D65B7F" w:rsidR="00935F35" w:rsidRPr="009D52FD" w:rsidRDefault="003630BB" w:rsidP="00336B9B">
      <w:pPr>
        <w:pStyle w:val="ListParagraph"/>
        <w:numPr>
          <w:ilvl w:val="0"/>
          <w:numId w:val="1"/>
        </w:numPr>
        <w:tabs>
          <w:tab w:val="left" w:pos="567"/>
        </w:tabs>
        <w:autoSpaceDE w:val="0"/>
        <w:autoSpaceDN w:val="0"/>
        <w:spacing w:line="240" w:lineRule="auto"/>
        <w:ind w:left="0" w:firstLine="0"/>
        <w:contextualSpacing/>
        <w:textAlignment w:val="auto"/>
        <w:rPr>
          <w:iCs/>
          <w:color w:val="000000"/>
          <w:sz w:val="20"/>
          <w:szCs w:val="20"/>
          <w:lang w:val="en-US"/>
        </w:rPr>
      </w:pPr>
      <w:r w:rsidRPr="009D52FD">
        <w:rPr>
          <w:iCs/>
          <w:color w:val="000000"/>
          <w:sz w:val="20"/>
          <w:szCs w:val="20"/>
          <w:lang w:val="en-US"/>
        </w:rPr>
        <w:t>The Court</w:t>
      </w:r>
      <w:r w:rsidR="0046205C" w:rsidRPr="009D52FD">
        <w:rPr>
          <w:iCs/>
          <w:color w:val="000000"/>
          <w:sz w:val="20"/>
          <w:szCs w:val="20"/>
          <w:lang w:val="en-US"/>
        </w:rPr>
        <w:t xml:space="preserve"> not</w:t>
      </w:r>
      <w:r w:rsidR="00336B9B" w:rsidRPr="009D52FD">
        <w:rPr>
          <w:iCs/>
          <w:color w:val="000000"/>
          <w:sz w:val="20"/>
          <w:szCs w:val="20"/>
          <w:lang w:val="en-US"/>
        </w:rPr>
        <w:t xml:space="preserve">es that, since the time </w:t>
      </w:r>
      <w:r w:rsidR="005258AF" w:rsidRPr="009D52FD">
        <w:rPr>
          <w:iCs/>
          <w:color w:val="000000"/>
          <w:sz w:val="20"/>
          <w:szCs w:val="20"/>
          <w:lang w:val="en-US"/>
        </w:rPr>
        <w:t>the facts of</w:t>
      </w:r>
      <w:r w:rsidR="00336B9B" w:rsidRPr="009D52FD">
        <w:rPr>
          <w:iCs/>
          <w:color w:val="000000"/>
          <w:sz w:val="20"/>
          <w:szCs w:val="20"/>
          <w:lang w:val="en-US"/>
        </w:rPr>
        <w:t xml:space="preserve"> this case</w:t>
      </w:r>
      <w:r w:rsidR="005258AF" w:rsidRPr="009D52FD">
        <w:rPr>
          <w:iCs/>
          <w:color w:val="000000"/>
          <w:sz w:val="20"/>
          <w:szCs w:val="20"/>
          <w:lang w:val="en-US"/>
        </w:rPr>
        <w:t xml:space="preserve"> occurred</w:t>
      </w:r>
      <w:r w:rsidR="00336B9B" w:rsidRPr="009D52FD">
        <w:rPr>
          <w:iCs/>
          <w:color w:val="000000"/>
          <w:sz w:val="20"/>
          <w:szCs w:val="20"/>
          <w:lang w:val="en-US"/>
        </w:rPr>
        <w:t xml:space="preserve">, concerns have </w:t>
      </w:r>
      <w:r w:rsidR="005258AF" w:rsidRPr="009D52FD">
        <w:rPr>
          <w:iCs/>
          <w:color w:val="000000"/>
          <w:sz w:val="20"/>
          <w:szCs w:val="20"/>
          <w:lang w:val="en-US"/>
        </w:rPr>
        <w:t xml:space="preserve">repeatedly </w:t>
      </w:r>
      <w:r w:rsidR="00336B9B" w:rsidRPr="009D52FD">
        <w:rPr>
          <w:iCs/>
          <w:color w:val="000000"/>
          <w:sz w:val="20"/>
          <w:szCs w:val="20"/>
          <w:lang w:val="en-US"/>
        </w:rPr>
        <w:t xml:space="preserve">been expressed regarding the scarcity of reliable official statistics that reflect the phenomenon of violence against women in </w:t>
      </w:r>
      <w:r w:rsidR="00002A76" w:rsidRPr="009D52FD">
        <w:rPr>
          <w:iCs/>
          <w:color w:val="000000"/>
          <w:sz w:val="20"/>
          <w:szCs w:val="20"/>
          <w:lang w:val="en-US"/>
        </w:rPr>
        <w:t>Venezuela</w:t>
      </w:r>
      <w:r w:rsidR="00336B9B" w:rsidRPr="009D52FD">
        <w:rPr>
          <w:iCs/>
          <w:color w:val="000000"/>
          <w:sz w:val="20"/>
          <w:szCs w:val="20"/>
          <w:lang w:val="en-US"/>
        </w:rPr>
        <w:t xml:space="preserve"> precisely</w:t>
      </w:r>
      <w:r w:rsidR="0046205C" w:rsidRPr="009D52FD">
        <w:rPr>
          <w:rStyle w:val="FootnoteReference"/>
          <w:iCs/>
          <w:color w:val="000000"/>
          <w:sz w:val="20"/>
          <w:szCs w:val="20"/>
          <w:lang w:val="en-US"/>
        </w:rPr>
        <w:footnoteReference w:id="417"/>
      </w:r>
      <w:r w:rsidR="0046205C" w:rsidRPr="009D52FD">
        <w:rPr>
          <w:iCs/>
          <w:color w:val="000000"/>
          <w:sz w:val="20"/>
          <w:szCs w:val="20"/>
          <w:lang w:val="en-US"/>
        </w:rPr>
        <w:t xml:space="preserve"> (</w:t>
      </w:r>
      <w:r w:rsidR="0046205C" w:rsidRPr="009D52FD">
        <w:rPr>
          <w:i/>
          <w:iCs/>
          <w:color w:val="000000"/>
          <w:sz w:val="20"/>
          <w:szCs w:val="20"/>
          <w:lang w:val="en-US"/>
        </w:rPr>
        <w:t xml:space="preserve">supra </w:t>
      </w:r>
      <w:r w:rsidR="009459E7" w:rsidRPr="009D52FD">
        <w:rPr>
          <w:iCs/>
          <w:color w:val="000000"/>
          <w:sz w:val="20"/>
          <w:szCs w:val="20"/>
          <w:lang w:val="en-US"/>
        </w:rPr>
        <w:t>para.</w:t>
      </w:r>
      <w:r w:rsidR="0046205C" w:rsidRPr="009D52FD">
        <w:rPr>
          <w:iCs/>
          <w:color w:val="000000"/>
          <w:sz w:val="20"/>
          <w:szCs w:val="20"/>
          <w:lang w:val="en-US"/>
        </w:rPr>
        <w:t xml:space="preserve"> </w:t>
      </w:r>
      <w:r w:rsidR="001717EB" w:rsidRPr="009D52FD">
        <w:rPr>
          <w:iCs/>
          <w:color w:val="000000"/>
          <w:sz w:val="20"/>
          <w:szCs w:val="20"/>
          <w:lang w:val="en-US"/>
        </w:rPr>
        <w:t>160</w:t>
      </w:r>
      <w:r w:rsidR="0046205C" w:rsidRPr="009D52FD">
        <w:rPr>
          <w:iCs/>
          <w:color w:val="000000"/>
          <w:sz w:val="20"/>
          <w:szCs w:val="20"/>
          <w:lang w:val="en-US"/>
        </w:rPr>
        <w:t xml:space="preserve">). </w:t>
      </w:r>
      <w:r w:rsidRPr="009D52FD">
        <w:rPr>
          <w:iCs/>
          <w:color w:val="000000"/>
          <w:sz w:val="20"/>
          <w:szCs w:val="20"/>
          <w:lang w:val="en-US"/>
        </w:rPr>
        <w:t>The Court</w:t>
      </w:r>
      <w:r w:rsidR="00935F35" w:rsidRPr="009D52FD">
        <w:rPr>
          <w:iCs/>
          <w:color w:val="000000"/>
          <w:sz w:val="20"/>
          <w:szCs w:val="20"/>
          <w:lang w:val="en-US"/>
        </w:rPr>
        <w:t xml:space="preserve"> </w:t>
      </w:r>
      <w:r w:rsidR="00336B9B" w:rsidRPr="009D52FD">
        <w:rPr>
          <w:iCs/>
          <w:color w:val="000000"/>
          <w:sz w:val="20"/>
          <w:szCs w:val="20"/>
          <w:lang w:val="en-US"/>
        </w:rPr>
        <w:t>notes that, nowadays, a Subcommittee on Gen</w:t>
      </w:r>
      <w:r w:rsidR="00002A76" w:rsidRPr="009D52FD">
        <w:rPr>
          <w:iCs/>
          <w:color w:val="000000"/>
          <w:sz w:val="20"/>
          <w:szCs w:val="20"/>
          <w:lang w:val="en-US"/>
        </w:rPr>
        <w:t>d</w:t>
      </w:r>
      <w:r w:rsidR="00336B9B" w:rsidRPr="009D52FD">
        <w:rPr>
          <w:iCs/>
          <w:color w:val="000000"/>
          <w:sz w:val="20"/>
          <w:szCs w:val="20"/>
          <w:lang w:val="en-US"/>
        </w:rPr>
        <w:t>er Statistics exists within the</w:t>
      </w:r>
      <w:r w:rsidR="00935F35" w:rsidRPr="009D52FD">
        <w:rPr>
          <w:iCs/>
          <w:color w:val="000000"/>
          <w:sz w:val="20"/>
          <w:szCs w:val="20"/>
          <w:lang w:val="en-US"/>
        </w:rPr>
        <w:t xml:space="preserve"> </w:t>
      </w:r>
      <w:r w:rsidR="00D1084D" w:rsidRPr="009D52FD">
        <w:rPr>
          <w:iCs/>
          <w:color w:val="000000"/>
          <w:sz w:val="20"/>
          <w:szCs w:val="20"/>
          <w:lang w:val="en-US"/>
        </w:rPr>
        <w:t>Ministry of the People’s Power for Women and Gender Equality</w:t>
      </w:r>
      <w:r w:rsidR="00336B9B" w:rsidRPr="009D52FD">
        <w:rPr>
          <w:iCs/>
          <w:color w:val="000000"/>
          <w:sz w:val="20"/>
          <w:szCs w:val="20"/>
          <w:lang w:val="en-US"/>
        </w:rPr>
        <w:t>.</w:t>
      </w:r>
      <w:r w:rsidR="00935F35" w:rsidRPr="009D52FD">
        <w:rPr>
          <w:rStyle w:val="FootnoteReference"/>
          <w:iCs/>
          <w:color w:val="000000"/>
          <w:sz w:val="20"/>
          <w:szCs w:val="20"/>
          <w:lang w:val="en-US"/>
        </w:rPr>
        <w:footnoteReference w:id="418"/>
      </w:r>
      <w:r w:rsidR="00336B9B" w:rsidRPr="009D52FD">
        <w:rPr>
          <w:iCs/>
          <w:color w:val="000000"/>
          <w:sz w:val="20"/>
          <w:szCs w:val="20"/>
          <w:lang w:val="en-US"/>
        </w:rPr>
        <w:t xml:space="preserve"> Nevertheless, no reports or figures produced by this entity have been provided</w:t>
      </w:r>
      <w:r w:rsidR="005258AF" w:rsidRPr="009D52FD">
        <w:rPr>
          <w:iCs/>
          <w:color w:val="000000"/>
          <w:sz w:val="20"/>
          <w:szCs w:val="20"/>
          <w:lang w:val="en-US"/>
        </w:rPr>
        <w:t>; therefore,</w:t>
      </w:r>
      <w:r w:rsidR="00336B9B" w:rsidRPr="009D52FD">
        <w:rPr>
          <w:iCs/>
          <w:color w:val="000000"/>
          <w:sz w:val="20"/>
          <w:szCs w:val="20"/>
          <w:lang w:val="en-US"/>
        </w:rPr>
        <w:t xml:space="preserve"> the Court has no information on its operations. </w:t>
      </w:r>
      <w:r w:rsidR="005258AF" w:rsidRPr="009D52FD">
        <w:rPr>
          <w:iCs/>
          <w:color w:val="000000"/>
          <w:sz w:val="20"/>
          <w:szCs w:val="20"/>
          <w:lang w:val="en-US"/>
        </w:rPr>
        <w:t>The</w:t>
      </w:r>
      <w:r w:rsidR="00336B9B" w:rsidRPr="009D52FD">
        <w:rPr>
          <w:iCs/>
          <w:color w:val="000000"/>
          <w:sz w:val="20"/>
          <w:szCs w:val="20"/>
          <w:lang w:val="en-US"/>
        </w:rPr>
        <w:t xml:space="preserve"> Court </w:t>
      </w:r>
      <w:r w:rsidR="005258AF" w:rsidRPr="009D52FD">
        <w:rPr>
          <w:iCs/>
          <w:color w:val="000000"/>
          <w:sz w:val="20"/>
          <w:szCs w:val="20"/>
          <w:lang w:val="en-US"/>
        </w:rPr>
        <w:t xml:space="preserve">also </w:t>
      </w:r>
      <w:r w:rsidR="00336B9B" w:rsidRPr="009D52FD">
        <w:rPr>
          <w:iCs/>
          <w:color w:val="000000"/>
          <w:sz w:val="20"/>
          <w:szCs w:val="20"/>
          <w:lang w:val="en-US"/>
        </w:rPr>
        <w:t xml:space="preserve">notes that </w:t>
      </w:r>
      <w:r w:rsidR="000C6475" w:rsidRPr="009D52FD">
        <w:rPr>
          <w:iCs/>
          <w:color w:val="000000"/>
          <w:sz w:val="20"/>
          <w:szCs w:val="20"/>
          <w:lang w:val="en-US"/>
        </w:rPr>
        <w:t>the Public Prosecution Service</w:t>
      </w:r>
      <w:r w:rsidR="00935F35" w:rsidRPr="009D52FD">
        <w:rPr>
          <w:iCs/>
          <w:color w:val="000000"/>
          <w:sz w:val="20"/>
          <w:szCs w:val="20"/>
          <w:lang w:val="en-US"/>
        </w:rPr>
        <w:t xml:space="preserve"> </w:t>
      </w:r>
      <w:r w:rsidR="00336B9B" w:rsidRPr="009D52FD">
        <w:rPr>
          <w:iCs/>
          <w:color w:val="000000"/>
          <w:sz w:val="20"/>
          <w:szCs w:val="20"/>
          <w:lang w:val="en-US"/>
        </w:rPr>
        <w:t xml:space="preserve">prepares annual reports in which it disseminates statistical data on </w:t>
      </w:r>
      <w:r w:rsidR="005258AF" w:rsidRPr="009D52FD">
        <w:rPr>
          <w:iCs/>
          <w:color w:val="000000"/>
          <w:sz w:val="20"/>
          <w:szCs w:val="20"/>
          <w:lang w:val="en-US"/>
        </w:rPr>
        <w:t>its</w:t>
      </w:r>
      <w:r w:rsidR="00336B9B" w:rsidRPr="009D52FD">
        <w:rPr>
          <w:iCs/>
          <w:color w:val="000000"/>
          <w:sz w:val="20"/>
          <w:szCs w:val="20"/>
          <w:lang w:val="en-US"/>
        </w:rPr>
        <w:t xml:space="preserve"> work throughout national territory. </w:t>
      </w:r>
      <w:r w:rsidR="005258AF" w:rsidRPr="009D52FD">
        <w:rPr>
          <w:iCs/>
          <w:color w:val="000000"/>
          <w:sz w:val="20"/>
          <w:szCs w:val="20"/>
          <w:lang w:val="en-US"/>
        </w:rPr>
        <w:t>Al</w:t>
      </w:r>
      <w:r w:rsidR="00336B9B" w:rsidRPr="009D52FD">
        <w:rPr>
          <w:iCs/>
          <w:color w:val="000000"/>
          <w:sz w:val="20"/>
          <w:szCs w:val="20"/>
          <w:lang w:val="en-US"/>
        </w:rPr>
        <w:t xml:space="preserve">though the 2015 report provided by the State includes the figure for the femicides that occurred that year, </w:t>
      </w:r>
      <w:r w:rsidR="005258AF" w:rsidRPr="009D52FD">
        <w:rPr>
          <w:iCs/>
          <w:color w:val="000000"/>
          <w:sz w:val="20"/>
          <w:szCs w:val="20"/>
          <w:lang w:val="en-US"/>
        </w:rPr>
        <w:t>as well as</w:t>
      </w:r>
      <w:r w:rsidR="00336B9B" w:rsidRPr="009D52FD">
        <w:rPr>
          <w:iCs/>
          <w:color w:val="000000"/>
          <w:sz w:val="20"/>
          <w:szCs w:val="20"/>
          <w:lang w:val="en-US"/>
        </w:rPr>
        <w:t xml:space="preserve"> the number of </w:t>
      </w:r>
      <w:r w:rsidR="005258AF" w:rsidRPr="009D52FD">
        <w:rPr>
          <w:iCs/>
          <w:color w:val="000000"/>
          <w:sz w:val="20"/>
          <w:szCs w:val="20"/>
          <w:lang w:val="en-US"/>
        </w:rPr>
        <w:t>denunciations</w:t>
      </w:r>
      <w:r w:rsidR="00336B9B" w:rsidRPr="009D52FD">
        <w:rPr>
          <w:iCs/>
          <w:color w:val="000000"/>
          <w:sz w:val="20"/>
          <w:szCs w:val="20"/>
          <w:lang w:val="en-US"/>
        </w:rPr>
        <w:t xml:space="preserve">, charges brought and measures of protection ordered, it did not include essential data such as the number </w:t>
      </w:r>
      <w:r w:rsidR="00336B9B" w:rsidRPr="009D52FD">
        <w:rPr>
          <w:iCs/>
          <w:color w:val="000000"/>
          <w:sz w:val="20"/>
          <w:szCs w:val="20"/>
          <w:lang w:val="en-US"/>
        </w:rPr>
        <w:lastRenderedPageBreak/>
        <w:t>of reports filed for acts of violence or the number of cases prosecuted that ended with the conviction of the aggressor.</w:t>
      </w:r>
      <w:r w:rsidR="00935F35" w:rsidRPr="009D52FD">
        <w:rPr>
          <w:rStyle w:val="FootnoteReference"/>
          <w:iCs/>
          <w:color w:val="000000"/>
          <w:sz w:val="20"/>
          <w:szCs w:val="20"/>
          <w:lang w:val="en-US"/>
        </w:rPr>
        <w:footnoteReference w:id="419"/>
      </w:r>
    </w:p>
    <w:p w14:paraId="7B73E25B" w14:textId="77777777" w:rsidR="00935F35" w:rsidRPr="009D52FD" w:rsidRDefault="00935F35" w:rsidP="00935F35">
      <w:pPr>
        <w:pStyle w:val="ListParagraph"/>
        <w:tabs>
          <w:tab w:val="left" w:pos="567"/>
        </w:tabs>
        <w:autoSpaceDE w:val="0"/>
        <w:autoSpaceDN w:val="0"/>
        <w:spacing w:line="240" w:lineRule="auto"/>
        <w:ind w:left="0"/>
        <w:rPr>
          <w:iCs/>
          <w:color w:val="000000"/>
          <w:sz w:val="20"/>
          <w:szCs w:val="20"/>
          <w:lang w:val="en-US"/>
        </w:rPr>
      </w:pPr>
    </w:p>
    <w:p w14:paraId="207BB741" w14:textId="31FA38B8" w:rsidR="00E74E55" w:rsidRPr="009D52FD" w:rsidRDefault="00E74E55" w:rsidP="00935F35">
      <w:pPr>
        <w:pStyle w:val="ListParagraph"/>
        <w:numPr>
          <w:ilvl w:val="0"/>
          <w:numId w:val="1"/>
        </w:numPr>
        <w:tabs>
          <w:tab w:val="left" w:pos="567"/>
        </w:tabs>
        <w:autoSpaceDE w:val="0"/>
        <w:autoSpaceDN w:val="0"/>
        <w:spacing w:line="240" w:lineRule="auto"/>
        <w:ind w:left="0" w:firstLine="0"/>
        <w:contextualSpacing/>
        <w:textAlignment w:val="auto"/>
        <w:rPr>
          <w:iCs/>
          <w:color w:val="000000"/>
          <w:sz w:val="20"/>
          <w:szCs w:val="20"/>
          <w:lang w:val="en-US"/>
        </w:rPr>
      </w:pPr>
      <w:r w:rsidRPr="009D52FD">
        <w:rPr>
          <w:iCs/>
          <w:color w:val="000000"/>
          <w:sz w:val="20"/>
          <w:szCs w:val="20"/>
          <w:lang w:val="en-US"/>
        </w:rPr>
        <w:t xml:space="preserve">Consequently, in the understanding that access to information on the number of cases of violence against women is necessary in order to appreciate the real magnitude of this phenomenon and, on this basis, design strategies to prevent and eradicate this scourge, thus contributing to avoiding the repetition of facts such as those that occurred in this case, the Court orders the State to implement, immediately, through the corresponding state agency, a system for the collection of data and </w:t>
      </w:r>
      <w:r w:rsidR="00E108BF" w:rsidRPr="009D52FD">
        <w:rPr>
          <w:iCs/>
          <w:color w:val="000000"/>
          <w:sz w:val="20"/>
          <w:szCs w:val="20"/>
          <w:lang w:val="en-US"/>
        </w:rPr>
        <w:t>figures</w:t>
      </w:r>
      <w:r w:rsidRPr="009D52FD">
        <w:rPr>
          <w:iCs/>
          <w:color w:val="000000"/>
          <w:sz w:val="20"/>
          <w:szCs w:val="20"/>
          <w:lang w:val="en-US"/>
        </w:rPr>
        <w:t xml:space="preserve"> on cases of violence against women</w:t>
      </w:r>
      <w:r w:rsidR="00FD5CD8" w:rsidRPr="009D52FD">
        <w:rPr>
          <w:iCs/>
          <w:color w:val="000000"/>
          <w:sz w:val="20"/>
          <w:szCs w:val="20"/>
          <w:lang w:val="en-US"/>
        </w:rPr>
        <w:t xml:space="preserve"> throughout national territory. This database must include precise and reliable statistics, with data disaggregated as to type of violence, place where the acts took place, number of cases reported and how many of these were prosecuted, also indicating the number of </w:t>
      </w:r>
      <w:r w:rsidR="00030F02" w:rsidRPr="009D52FD">
        <w:rPr>
          <w:iCs/>
          <w:color w:val="000000"/>
          <w:sz w:val="20"/>
          <w:szCs w:val="20"/>
          <w:lang w:val="en-US"/>
        </w:rPr>
        <w:t>indictments,</w:t>
      </w:r>
      <w:r w:rsidR="00FD5CD8" w:rsidRPr="009D52FD">
        <w:rPr>
          <w:iCs/>
          <w:color w:val="000000"/>
          <w:sz w:val="20"/>
          <w:szCs w:val="20"/>
          <w:lang w:val="en-US"/>
        </w:rPr>
        <w:t xml:space="preserve"> convictions and acquittals. The State must disseminate this information each year in the corresponding report, ensuring that the whole population has access to it. Furthermore, for three years, the State must present an annual report to the Court indicating the actions taken in this regard</w:t>
      </w:r>
    </w:p>
    <w:p w14:paraId="01F1E356" w14:textId="77777777" w:rsidR="00935F35" w:rsidRPr="009D52FD" w:rsidRDefault="00935F35" w:rsidP="00935F35">
      <w:pPr>
        <w:tabs>
          <w:tab w:val="left" w:pos="567"/>
        </w:tabs>
        <w:autoSpaceDE w:val="0"/>
        <w:autoSpaceDN w:val="0"/>
        <w:spacing w:line="240" w:lineRule="auto"/>
        <w:rPr>
          <w:iCs/>
          <w:color w:val="000000"/>
          <w:sz w:val="20"/>
          <w:szCs w:val="20"/>
          <w:lang w:val="en-US"/>
        </w:rPr>
      </w:pPr>
    </w:p>
    <w:p w14:paraId="37AAFE0F" w14:textId="209D7280" w:rsidR="00935F35" w:rsidRPr="009D52FD" w:rsidRDefault="00E35810" w:rsidP="00E35810">
      <w:pPr>
        <w:pStyle w:val="Heading2"/>
        <w:tabs>
          <w:tab w:val="left" w:pos="1701"/>
        </w:tabs>
        <w:spacing w:before="0" w:line="240" w:lineRule="auto"/>
        <w:ind w:left="1134"/>
        <w:rPr>
          <w:rFonts w:ascii="Verdana" w:hAnsi="Verdana"/>
          <w:b w:val="0"/>
          <w:i/>
          <w:color w:val="auto"/>
          <w:sz w:val="20"/>
          <w:szCs w:val="20"/>
          <w:lang w:val="en-US"/>
        </w:rPr>
      </w:pPr>
      <w:bookmarkStart w:id="123" w:name="_Toc470180110"/>
      <w:bookmarkStart w:id="124" w:name="_Toc51400120"/>
      <w:r w:rsidRPr="009D52FD">
        <w:rPr>
          <w:rFonts w:ascii="Verdana" w:hAnsi="Verdana"/>
          <w:b w:val="0"/>
          <w:i/>
          <w:color w:val="auto"/>
          <w:sz w:val="20"/>
          <w:szCs w:val="20"/>
          <w:lang w:val="en-US"/>
        </w:rPr>
        <w:t xml:space="preserve">C.4 </w:t>
      </w:r>
      <w:r w:rsidRPr="009D52FD">
        <w:rPr>
          <w:rFonts w:ascii="Verdana" w:hAnsi="Verdana"/>
          <w:b w:val="0"/>
          <w:i/>
          <w:color w:val="auto"/>
          <w:sz w:val="20"/>
          <w:szCs w:val="20"/>
          <w:lang w:val="en-US"/>
        </w:rPr>
        <w:tab/>
      </w:r>
      <w:r w:rsidR="007D3D4F" w:rsidRPr="009D52FD">
        <w:rPr>
          <w:rFonts w:ascii="Verdana" w:hAnsi="Verdana"/>
          <w:b w:val="0"/>
          <w:i/>
          <w:color w:val="auto"/>
          <w:sz w:val="20"/>
          <w:szCs w:val="20"/>
          <w:lang w:val="en-US"/>
        </w:rPr>
        <w:t>Other measures requested</w:t>
      </w:r>
      <w:bookmarkEnd w:id="123"/>
      <w:bookmarkEnd w:id="124"/>
    </w:p>
    <w:p w14:paraId="35E1588C" w14:textId="77777777" w:rsidR="00935F35" w:rsidRPr="009D52FD" w:rsidRDefault="00935F35" w:rsidP="00935F35">
      <w:pPr>
        <w:tabs>
          <w:tab w:val="left" w:pos="709"/>
          <w:tab w:val="left" w:pos="1134"/>
        </w:tabs>
        <w:spacing w:line="240" w:lineRule="auto"/>
        <w:rPr>
          <w:b/>
          <w:sz w:val="20"/>
          <w:szCs w:val="20"/>
          <w:lang w:val="en-US"/>
        </w:rPr>
      </w:pPr>
    </w:p>
    <w:p w14:paraId="210ECE33" w14:textId="2CC6E081" w:rsidR="00935F35" w:rsidRPr="009D52FD" w:rsidRDefault="003630BB" w:rsidP="00FD5CD8">
      <w:pPr>
        <w:numPr>
          <w:ilvl w:val="0"/>
          <w:numId w:val="1"/>
        </w:numPr>
        <w:tabs>
          <w:tab w:val="left" w:pos="567"/>
          <w:tab w:val="num" w:pos="1427"/>
          <w:tab w:val="num" w:pos="12305"/>
        </w:tabs>
        <w:spacing w:line="240" w:lineRule="auto"/>
        <w:ind w:left="0" w:right="-90" w:firstLine="0"/>
        <w:rPr>
          <w:sz w:val="20"/>
          <w:szCs w:val="20"/>
          <w:lang w:val="en-US"/>
        </w:rPr>
      </w:pPr>
      <w:r w:rsidRPr="009D52FD">
        <w:rPr>
          <w:sz w:val="20"/>
          <w:szCs w:val="20"/>
          <w:lang w:val="en-US"/>
        </w:rPr>
        <w:t>The</w:t>
      </w:r>
      <w:r w:rsidRPr="009D52FD">
        <w:rPr>
          <w:b/>
          <w:bCs/>
          <w:i/>
          <w:iCs/>
          <w:sz w:val="20"/>
          <w:szCs w:val="20"/>
          <w:lang w:val="en-US"/>
        </w:rPr>
        <w:t xml:space="preserve"> Commission</w:t>
      </w:r>
      <w:r w:rsidR="00935F35" w:rsidRPr="009D52FD">
        <w:rPr>
          <w:sz w:val="20"/>
          <w:szCs w:val="20"/>
          <w:lang w:val="en-US"/>
        </w:rPr>
        <w:t xml:space="preserve"> </w:t>
      </w:r>
      <w:r w:rsidR="00FD5CD8" w:rsidRPr="009D52FD">
        <w:rPr>
          <w:sz w:val="20"/>
          <w:szCs w:val="20"/>
          <w:lang w:val="en-US"/>
        </w:rPr>
        <w:t>asked that the State strengthen its institutional capacity to respond to the structural problems identified in the case of Linda Loaiza as factors of impunity in cases of women victims of violence. It also recommended that the State be obliged to implement multidisciplinary health care services for women victims of sexual violence to address their specific needs in order to achieve their recovery and rehabilitation. Lastly, it asked that the State disseminate the standards developed in the Merits Report by</w:t>
      </w:r>
      <w:r w:rsidR="00030F02" w:rsidRPr="009D52FD">
        <w:rPr>
          <w:sz w:val="20"/>
          <w:szCs w:val="20"/>
          <w:lang w:val="en-US"/>
        </w:rPr>
        <w:t xml:space="preserve"> means of</w:t>
      </w:r>
      <w:r w:rsidR="005B7175" w:rsidRPr="009D52FD">
        <w:rPr>
          <w:sz w:val="20"/>
          <w:szCs w:val="20"/>
          <w:lang w:val="en-US"/>
        </w:rPr>
        <w:t xml:space="preserve"> generalized</w:t>
      </w:r>
      <w:r w:rsidR="00FD5CD8" w:rsidRPr="009D52FD">
        <w:rPr>
          <w:sz w:val="20"/>
          <w:szCs w:val="20"/>
          <w:lang w:val="en-US"/>
        </w:rPr>
        <w:t xml:space="preserve"> awareness</w:t>
      </w:r>
      <w:r w:rsidR="005B7175" w:rsidRPr="009D52FD">
        <w:rPr>
          <w:sz w:val="20"/>
          <w:szCs w:val="20"/>
          <w:lang w:val="en-US"/>
        </w:rPr>
        <w:t>-raising campaigns on violence against women</w:t>
      </w:r>
      <w:r w:rsidR="00F54F49" w:rsidRPr="009D52FD">
        <w:rPr>
          <w:sz w:val="20"/>
          <w:szCs w:val="20"/>
          <w:lang w:val="en-US"/>
        </w:rPr>
        <w:t>.</w:t>
      </w:r>
    </w:p>
    <w:p w14:paraId="50093E1D" w14:textId="77777777" w:rsidR="00935F35" w:rsidRPr="009D52FD" w:rsidRDefault="00935F35" w:rsidP="00935F35">
      <w:pPr>
        <w:tabs>
          <w:tab w:val="left" w:pos="0"/>
          <w:tab w:val="num" w:pos="12305"/>
        </w:tabs>
        <w:spacing w:line="240" w:lineRule="auto"/>
        <w:ind w:right="-90"/>
        <w:rPr>
          <w:rFonts w:eastAsia="MS Mincho"/>
          <w:sz w:val="20"/>
          <w:szCs w:val="20"/>
          <w:lang w:val="en-US" w:bidi="en-US"/>
        </w:rPr>
      </w:pPr>
    </w:p>
    <w:p w14:paraId="21841B1D" w14:textId="51B02188" w:rsidR="003F05DC" w:rsidRPr="009D52FD" w:rsidRDefault="003630BB" w:rsidP="00712C1E">
      <w:pPr>
        <w:numPr>
          <w:ilvl w:val="0"/>
          <w:numId w:val="1"/>
        </w:numPr>
        <w:tabs>
          <w:tab w:val="left" w:pos="567"/>
        </w:tabs>
        <w:spacing w:line="240" w:lineRule="auto"/>
        <w:ind w:left="0" w:firstLine="0"/>
        <w:textAlignment w:val="auto"/>
        <w:rPr>
          <w:sz w:val="20"/>
          <w:szCs w:val="20"/>
          <w:lang w:val="en-US"/>
        </w:rPr>
      </w:pPr>
      <w:r w:rsidRPr="009D52FD">
        <w:rPr>
          <w:sz w:val="20"/>
          <w:szCs w:val="20"/>
          <w:lang w:val="en-US"/>
        </w:rPr>
        <w:t xml:space="preserve">The </w:t>
      </w:r>
      <w:r w:rsidRPr="009D52FD">
        <w:rPr>
          <w:b/>
          <w:bCs/>
          <w:i/>
          <w:iCs/>
          <w:sz w:val="20"/>
          <w:szCs w:val="20"/>
          <w:lang w:val="en-US"/>
        </w:rPr>
        <w:t>representatives</w:t>
      </w:r>
      <w:r w:rsidR="00935F35" w:rsidRPr="009D52FD">
        <w:rPr>
          <w:sz w:val="20"/>
          <w:szCs w:val="20"/>
          <w:lang w:val="en-US"/>
        </w:rPr>
        <w:t xml:space="preserve"> </w:t>
      </w:r>
      <w:r w:rsidR="00712C1E" w:rsidRPr="009D52FD">
        <w:rPr>
          <w:sz w:val="20"/>
          <w:szCs w:val="20"/>
          <w:lang w:val="en-US"/>
        </w:rPr>
        <w:t>asked that the State be ordered to create, through the Ombudsman’s Office, specialized agencies throughout the country t</w:t>
      </w:r>
      <w:r w:rsidR="00030F02" w:rsidRPr="009D52FD">
        <w:rPr>
          <w:sz w:val="20"/>
          <w:szCs w:val="20"/>
          <w:lang w:val="en-US"/>
        </w:rPr>
        <w:t xml:space="preserve">o provide </w:t>
      </w:r>
      <w:r w:rsidR="00712C1E" w:rsidRPr="009D52FD">
        <w:rPr>
          <w:sz w:val="20"/>
          <w:szCs w:val="20"/>
          <w:lang w:val="en-US"/>
        </w:rPr>
        <w:t>support</w:t>
      </w:r>
      <w:r w:rsidR="00030F02" w:rsidRPr="009D52FD">
        <w:rPr>
          <w:sz w:val="20"/>
          <w:szCs w:val="20"/>
          <w:lang w:val="en-US"/>
        </w:rPr>
        <w:t xml:space="preserve"> to</w:t>
      </w:r>
      <w:r w:rsidR="00712C1E" w:rsidRPr="009D52FD">
        <w:rPr>
          <w:sz w:val="20"/>
          <w:szCs w:val="20"/>
          <w:lang w:val="en-US"/>
        </w:rPr>
        <w:t xml:space="preserve"> women victims during judicial proceedings. They also alleged that </w:t>
      </w:r>
      <w:r w:rsidR="00030F02" w:rsidRPr="009D52FD">
        <w:rPr>
          <w:sz w:val="20"/>
          <w:szCs w:val="20"/>
          <w:lang w:val="en-US"/>
        </w:rPr>
        <w:t>obstacles raised in</w:t>
      </w:r>
      <w:r w:rsidR="00712C1E" w:rsidRPr="009D52FD">
        <w:rPr>
          <w:sz w:val="20"/>
          <w:szCs w:val="20"/>
          <w:lang w:val="en-US"/>
        </w:rPr>
        <w:t xml:space="preserve"> the response to women victims of gender-based violence have an added impact on them and therefore asked th</w:t>
      </w:r>
      <w:r w:rsidR="00030F02" w:rsidRPr="009D52FD">
        <w:rPr>
          <w:sz w:val="20"/>
          <w:szCs w:val="20"/>
          <w:lang w:val="en-US"/>
        </w:rPr>
        <w:t>e</w:t>
      </w:r>
      <w:r w:rsidR="00712C1E" w:rsidRPr="009D52FD">
        <w:rPr>
          <w:sz w:val="20"/>
          <w:szCs w:val="20"/>
          <w:lang w:val="en-US"/>
        </w:rPr>
        <w:t xml:space="preserve"> Court to urge the State to ensure that all women victims of gender-based or sexual violence can have effective access to free health care services, </w:t>
      </w:r>
      <w:r w:rsidR="00030F02" w:rsidRPr="009D52FD">
        <w:rPr>
          <w:sz w:val="20"/>
          <w:szCs w:val="20"/>
          <w:lang w:val="en-US"/>
        </w:rPr>
        <w:t xml:space="preserve">and </w:t>
      </w:r>
      <w:r w:rsidR="00712C1E" w:rsidRPr="009D52FD">
        <w:rPr>
          <w:sz w:val="20"/>
          <w:szCs w:val="20"/>
          <w:lang w:val="en-US"/>
        </w:rPr>
        <w:t>legal and social assistance in specialized institutions</w:t>
      </w:r>
      <w:r w:rsidR="00EA354F" w:rsidRPr="009D52FD">
        <w:rPr>
          <w:sz w:val="20"/>
          <w:szCs w:val="20"/>
          <w:lang w:val="en-US"/>
        </w:rPr>
        <w:t>, independent of the state authorities,</w:t>
      </w:r>
      <w:r w:rsidR="00712C1E" w:rsidRPr="009D52FD">
        <w:rPr>
          <w:sz w:val="20"/>
          <w:szCs w:val="20"/>
          <w:lang w:val="en-US"/>
        </w:rPr>
        <w:t xml:space="preserve"> in which civil society</w:t>
      </w:r>
      <w:r w:rsidR="00030F02" w:rsidRPr="009D52FD">
        <w:rPr>
          <w:sz w:val="20"/>
          <w:szCs w:val="20"/>
          <w:lang w:val="en-US"/>
        </w:rPr>
        <w:t xml:space="preserve"> organizations</w:t>
      </w:r>
      <w:r w:rsidR="00712C1E" w:rsidRPr="009D52FD">
        <w:rPr>
          <w:sz w:val="20"/>
          <w:szCs w:val="20"/>
          <w:lang w:val="en-US"/>
        </w:rPr>
        <w:t xml:space="preserve"> can participate</w:t>
      </w:r>
      <w:r w:rsidR="00EA354F" w:rsidRPr="009D52FD">
        <w:rPr>
          <w:sz w:val="20"/>
          <w:szCs w:val="20"/>
          <w:lang w:val="en-US"/>
        </w:rPr>
        <w:t xml:space="preserve">. </w:t>
      </w:r>
      <w:r w:rsidR="003F05DC" w:rsidRPr="009D52FD">
        <w:rPr>
          <w:sz w:val="20"/>
          <w:szCs w:val="20"/>
          <w:lang w:val="en-US"/>
        </w:rPr>
        <w:t>These institutions, according to the representatives’ request, must have the necessary funds to cover all the costs associated with the re</w:t>
      </w:r>
      <w:r w:rsidR="00EA354F" w:rsidRPr="009D52FD">
        <w:rPr>
          <w:sz w:val="20"/>
          <w:szCs w:val="20"/>
          <w:lang w:val="en-US"/>
        </w:rPr>
        <w:t>habilitation</w:t>
      </w:r>
      <w:r w:rsidR="003F05DC" w:rsidRPr="009D52FD">
        <w:rPr>
          <w:sz w:val="20"/>
          <w:szCs w:val="20"/>
          <w:lang w:val="en-US"/>
        </w:rPr>
        <w:t xml:space="preserve"> of survivors. In addition, they asked that the Court urge the State to ensure, throughout its territory, the implementation of more of the so-called “safe houses” established by the Organic Law on the Right of Women to a Life Free of Violence, which provide places of special protection for women victims and witnesses. They also </w:t>
      </w:r>
      <w:r w:rsidR="00EA354F" w:rsidRPr="009D52FD">
        <w:rPr>
          <w:sz w:val="20"/>
          <w:szCs w:val="20"/>
          <w:lang w:val="en-US"/>
        </w:rPr>
        <w:t xml:space="preserve">asked </w:t>
      </w:r>
      <w:r w:rsidR="003F05DC" w:rsidRPr="009D52FD">
        <w:rPr>
          <w:sz w:val="20"/>
          <w:szCs w:val="20"/>
          <w:lang w:val="en-US"/>
        </w:rPr>
        <w:t>that</w:t>
      </w:r>
      <w:r w:rsidR="00EA354F" w:rsidRPr="009D52FD">
        <w:rPr>
          <w:sz w:val="20"/>
          <w:szCs w:val="20"/>
          <w:lang w:val="en-US"/>
        </w:rPr>
        <w:t xml:space="preserve"> </w:t>
      </w:r>
      <w:r w:rsidR="003F05DC" w:rsidRPr="009D52FD">
        <w:rPr>
          <w:sz w:val="20"/>
          <w:szCs w:val="20"/>
          <w:lang w:val="en-US"/>
        </w:rPr>
        <w:t xml:space="preserve">educational programs be </w:t>
      </w:r>
      <w:r w:rsidR="00EA354F" w:rsidRPr="009D52FD">
        <w:rPr>
          <w:sz w:val="20"/>
          <w:szCs w:val="20"/>
          <w:lang w:val="en-US"/>
        </w:rPr>
        <w:t>set up in these places</w:t>
      </w:r>
      <w:r w:rsidR="003F05DC" w:rsidRPr="009D52FD">
        <w:rPr>
          <w:sz w:val="20"/>
          <w:szCs w:val="20"/>
          <w:lang w:val="en-US"/>
        </w:rPr>
        <w:t xml:space="preserve"> to promote the empowerment of women, a</w:t>
      </w:r>
      <w:r w:rsidR="00EA354F" w:rsidRPr="009D52FD">
        <w:rPr>
          <w:sz w:val="20"/>
          <w:szCs w:val="20"/>
          <w:lang w:val="en-US"/>
        </w:rPr>
        <w:t>nd also that</w:t>
      </w:r>
      <w:r w:rsidR="003F05DC" w:rsidRPr="009D52FD">
        <w:rPr>
          <w:sz w:val="20"/>
          <w:szCs w:val="20"/>
          <w:lang w:val="en-US"/>
        </w:rPr>
        <w:t xml:space="preserve"> financial support</w:t>
      </w:r>
      <w:r w:rsidR="00EA354F" w:rsidRPr="009D52FD">
        <w:rPr>
          <w:sz w:val="20"/>
          <w:szCs w:val="20"/>
          <w:lang w:val="en-US"/>
        </w:rPr>
        <w:t xml:space="preserve"> be provided</w:t>
      </w:r>
      <w:r w:rsidR="003F05DC" w:rsidRPr="009D52FD">
        <w:rPr>
          <w:sz w:val="20"/>
          <w:szCs w:val="20"/>
          <w:lang w:val="en-US"/>
        </w:rPr>
        <w:t xml:space="preserve"> so that victims can develop their own undertakings or accede to quality employment that allows them to cover their needs and those of their families. In addition, the</w:t>
      </w:r>
      <w:r w:rsidR="00EA354F" w:rsidRPr="009D52FD">
        <w:rPr>
          <w:sz w:val="20"/>
          <w:szCs w:val="20"/>
          <w:lang w:val="en-US"/>
        </w:rPr>
        <w:t xml:space="preserve"> representatives</w:t>
      </w:r>
      <w:r w:rsidR="003F05DC" w:rsidRPr="009D52FD">
        <w:rPr>
          <w:sz w:val="20"/>
          <w:szCs w:val="20"/>
          <w:lang w:val="en-US"/>
        </w:rPr>
        <w:t xml:space="preserve"> asked that the State commemorate the National Day for the Prevention of Sexual Violence; to this end, suggesting that the commemoration take pla</w:t>
      </w:r>
      <w:r w:rsidR="00EA354F" w:rsidRPr="009D52FD">
        <w:rPr>
          <w:sz w:val="20"/>
          <w:szCs w:val="20"/>
          <w:lang w:val="en-US"/>
        </w:rPr>
        <w:t>ce</w:t>
      </w:r>
      <w:r w:rsidR="003F05DC" w:rsidRPr="009D52FD">
        <w:rPr>
          <w:sz w:val="20"/>
          <w:szCs w:val="20"/>
          <w:lang w:val="en-US"/>
        </w:rPr>
        <w:t xml:space="preserve"> on July 19 each year, to celebrate the date on which </w:t>
      </w:r>
      <w:r w:rsidR="00935F35" w:rsidRPr="009D52FD">
        <w:rPr>
          <w:rFonts w:eastAsia="MS Mincho"/>
          <w:iCs/>
          <w:sz w:val="20"/>
          <w:szCs w:val="20"/>
          <w:lang w:val="en-US" w:bidi="en-US"/>
        </w:rPr>
        <w:t xml:space="preserve">Linda Loaiza </w:t>
      </w:r>
      <w:r w:rsidR="008877A5" w:rsidRPr="009D52FD">
        <w:rPr>
          <w:rFonts w:eastAsia="MS Mincho"/>
          <w:iCs/>
          <w:sz w:val="20"/>
          <w:szCs w:val="20"/>
          <w:lang w:val="en-US" w:bidi="en-US"/>
        </w:rPr>
        <w:t xml:space="preserve">López Soto </w:t>
      </w:r>
      <w:r w:rsidR="003F05DC" w:rsidRPr="009D52FD">
        <w:rPr>
          <w:rFonts w:eastAsia="MS Mincho"/>
          <w:iCs/>
          <w:sz w:val="20"/>
          <w:szCs w:val="20"/>
          <w:lang w:val="en-US" w:bidi="en-US"/>
        </w:rPr>
        <w:t>was rescued from captivity. They also requested the creation of a “Linda Loaiza” university course for the prevention</w:t>
      </w:r>
      <w:r w:rsidR="00EA354F" w:rsidRPr="009D52FD">
        <w:rPr>
          <w:rFonts w:eastAsia="MS Mincho"/>
          <w:iCs/>
          <w:sz w:val="20"/>
          <w:szCs w:val="20"/>
          <w:lang w:val="en-US" w:bidi="en-US"/>
        </w:rPr>
        <w:t xml:space="preserve"> and</w:t>
      </w:r>
      <w:r w:rsidR="003F05DC" w:rsidRPr="009D52FD">
        <w:rPr>
          <w:rFonts w:eastAsia="MS Mincho"/>
          <w:iCs/>
          <w:sz w:val="20"/>
          <w:szCs w:val="20"/>
          <w:lang w:val="en-US" w:bidi="en-US"/>
        </w:rPr>
        <w:t xml:space="preserve"> acknowledgement</w:t>
      </w:r>
      <w:r w:rsidR="00EA354F" w:rsidRPr="009D52FD">
        <w:rPr>
          <w:rFonts w:eastAsia="MS Mincho"/>
          <w:iCs/>
          <w:sz w:val="20"/>
          <w:szCs w:val="20"/>
          <w:lang w:val="en-US" w:bidi="en-US"/>
        </w:rPr>
        <w:t xml:space="preserve"> of,</w:t>
      </w:r>
      <w:r w:rsidR="003F05DC" w:rsidRPr="009D52FD">
        <w:rPr>
          <w:rFonts w:eastAsia="MS Mincho"/>
          <w:iCs/>
          <w:sz w:val="20"/>
          <w:szCs w:val="20"/>
          <w:lang w:val="en-US" w:bidi="en-US"/>
        </w:rPr>
        <w:t xml:space="preserve"> and response to</w:t>
      </w:r>
      <w:r w:rsidR="00EA354F" w:rsidRPr="009D52FD">
        <w:rPr>
          <w:rFonts w:eastAsia="MS Mincho"/>
          <w:iCs/>
          <w:sz w:val="20"/>
          <w:szCs w:val="20"/>
          <w:lang w:val="en-US" w:bidi="en-US"/>
        </w:rPr>
        <w:t xml:space="preserve">, </w:t>
      </w:r>
      <w:r w:rsidR="003F05DC" w:rsidRPr="009D52FD">
        <w:rPr>
          <w:rFonts w:eastAsia="MS Mincho"/>
          <w:iCs/>
          <w:sz w:val="20"/>
          <w:szCs w:val="20"/>
          <w:lang w:val="en-US" w:bidi="en-US"/>
        </w:rPr>
        <w:t>sexual crimes and gender-based violence for different public officials. Lastly, they asked the Court to order the State to create a program to support and treat individuals convicted of gender-based violence to contribute to reducing the risks of recidivism in this type of case.</w:t>
      </w:r>
    </w:p>
    <w:p w14:paraId="68E25726" w14:textId="77777777" w:rsidR="00935F35" w:rsidRPr="009D52FD" w:rsidRDefault="00935F35" w:rsidP="00935F35">
      <w:pPr>
        <w:tabs>
          <w:tab w:val="left" w:pos="567"/>
        </w:tabs>
        <w:spacing w:line="240" w:lineRule="auto"/>
        <w:rPr>
          <w:b/>
          <w:sz w:val="20"/>
          <w:szCs w:val="20"/>
          <w:lang w:val="en-US"/>
        </w:rPr>
      </w:pPr>
    </w:p>
    <w:p w14:paraId="6A607908" w14:textId="59DF2EF8" w:rsidR="001D7D5A" w:rsidRPr="009D52FD" w:rsidRDefault="00EA354F" w:rsidP="001D7D5A">
      <w:pPr>
        <w:numPr>
          <w:ilvl w:val="0"/>
          <w:numId w:val="1"/>
        </w:numPr>
        <w:tabs>
          <w:tab w:val="left" w:pos="567"/>
          <w:tab w:val="num" w:pos="12305"/>
        </w:tabs>
        <w:spacing w:line="240" w:lineRule="auto"/>
        <w:ind w:left="0" w:firstLine="0"/>
        <w:rPr>
          <w:b/>
          <w:sz w:val="16"/>
          <w:szCs w:val="16"/>
          <w:lang w:val="en-US"/>
        </w:rPr>
      </w:pPr>
      <w:r w:rsidRPr="009D52FD">
        <w:rPr>
          <w:sz w:val="20"/>
          <w:szCs w:val="20"/>
          <w:lang w:val="en-US"/>
        </w:rPr>
        <w:lastRenderedPageBreak/>
        <w:t>In addition,</w:t>
      </w:r>
      <w:r w:rsidR="00935F35" w:rsidRPr="009D52FD">
        <w:rPr>
          <w:sz w:val="20"/>
          <w:szCs w:val="20"/>
          <w:lang w:val="en-US"/>
        </w:rPr>
        <w:t xml:space="preserve"> </w:t>
      </w:r>
      <w:r w:rsidR="003630BB" w:rsidRPr="009D52FD">
        <w:rPr>
          <w:sz w:val="20"/>
          <w:szCs w:val="20"/>
          <w:lang w:val="en-US"/>
        </w:rPr>
        <w:t>the representatives</w:t>
      </w:r>
      <w:r w:rsidR="00935F35" w:rsidRPr="009D52FD">
        <w:rPr>
          <w:sz w:val="20"/>
          <w:szCs w:val="20"/>
          <w:lang w:val="en-US"/>
        </w:rPr>
        <w:t xml:space="preserve"> </w:t>
      </w:r>
      <w:r w:rsidR="001D7D5A" w:rsidRPr="009D52FD">
        <w:rPr>
          <w:sz w:val="20"/>
          <w:szCs w:val="20"/>
          <w:lang w:val="en-US"/>
        </w:rPr>
        <w:t>asked</w:t>
      </w:r>
      <w:r w:rsidR="00935F35" w:rsidRPr="009D52FD">
        <w:rPr>
          <w:sz w:val="20"/>
          <w:szCs w:val="20"/>
          <w:lang w:val="en-US"/>
        </w:rPr>
        <w:t xml:space="preserve"> </w:t>
      </w:r>
      <w:r w:rsidR="0002239A" w:rsidRPr="009D52FD">
        <w:rPr>
          <w:sz w:val="20"/>
          <w:szCs w:val="20"/>
          <w:lang w:val="en-US"/>
        </w:rPr>
        <w:t>th</w:t>
      </w:r>
      <w:r w:rsidRPr="009D52FD">
        <w:rPr>
          <w:sz w:val="20"/>
          <w:szCs w:val="20"/>
          <w:lang w:val="en-US"/>
        </w:rPr>
        <w:t>e</w:t>
      </w:r>
      <w:r w:rsidR="0002239A" w:rsidRPr="009D52FD">
        <w:rPr>
          <w:sz w:val="20"/>
          <w:szCs w:val="20"/>
          <w:lang w:val="en-US"/>
        </w:rPr>
        <w:t xml:space="preserve"> Court</w:t>
      </w:r>
      <w:r w:rsidR="00935F35" w:rsidRPr="009D52FD">
        <w:rPr>
          <w:sz w:val="20"/>
          <w:szCs w:val="20"/>
          <w:lang w:val="en-US"/>
        </w:rPr>
        <w:t xml:space="preserve"> </w:t>
      </w:r>
      <w:r w:rsidR="001D7D5A" w:rsidRPr="009D52FD">
        <w:rPr>
          <w:sz w:val="20"/>
          <w:szCs w:val="20"/>
          <w:lang w:val="en-US"/>
        </w:rPr>
        <w:t>to order the State to reinforce the prohibition of any act of torture in any sphere of Venezuelan society – health care centers, educational establishments, prisons and even on the street – based on gender, sexual orientation, or gender identity or expression, by implementing administrative, legislative and judicial measures. They also requested the following measures: (i) creation of a forensic laboratory with the necessary technical capacity, expertise and independence to process the evidence collected in cases of sexual assaults, with the appropriate technology</w:t>
      </w:r>
      <w:r w:rsidR="00A95A7E" w:rsidRPr="009D52FD">
        <w:rPr>
          <w:sz w:val="20"/>
          <w:szCs w:val="20"/>
          <w:lang w:val="en-US"/>
        </w:rPr>
        <w:t xml:space="preserve"> to </w:t>
      </w:r>
      <w:r w:rsidR="001D7D5A" w:rsidRPr="009D52FD">
        <w:rPr>
          <w:sz w:val="20"/>
          <w:szCs w:val="20"/>
          <w:lang w:val="en-US"/>
        </w:rPr>
        <w:t>process semen samples and perform DNA tests</w:t>
      </w:r>
      <w:r w:rsidR="00A95A7E" w:rsidRPr="009D52FD">
        <w:rPr>
          <w:sz w:val="20"/>
          <w:szCs w:val="20"/>
          <w:lang w:val="en-US"/>
        </w:rPr>
        <w:t>, among others</w:t>
      </w:r>
      <w:r w:rsidR="001D7D5A" w:rsidRPr="009D52FD">
        <w:rPr>
          <w:sz w:val="20"/>
          <w:szCs w:val="20"/>
          <w:lang w:val="en-US"/>
        </w:rPr>
        <w:t>; (ii) support</w:t>
      </w:r>
      <w:r w:rsidR="00A95A7E" w:rsidRPr="009D52FD">
        <w:rPr>
          <w:sz w:val="20"/>
          <w:szCs w:val="20"/>
          <w:lang w:val="en-US"/>
        </w:rPr>
        <w:t xml:space="preserve"> for</w:t>
      </w:r>
      <w:r w:rsidR="001D7D5A" w:rsidRPr="009D52FD">
        <w:rPr>
          <w:sz w:val="20"/>
          <w:szCs w:val="20"/>
          <w:lang w:val="en-US"/>
        </w:rPr>
        <w:t xml:space="preserve"> research to document the effects of discrimination and violence against women and girls, in order to overcome stereotyping; (iii) implement</w:t>
      </w:r>
      <w:r w:rsidR="00A95A7E" w:rsidRPr="009D52FD">
        <w:rPr>
          <w:sz w:val="20"/>
          <w:szCs w:val="20"/>
          <w:lang w:val="en-US"/>
        </w:rPr>
        <w:t>ation of</w:t>
      </w:r>
      <w:r w:rsidR="001D7D5A" w:rsidRPr="009D52FD">
        <w:rPr>
          <w:sz w:val="20"/>
          <w:szCs w:val="20"/>
          <w:lang w:val="en-US"/>
        </w:rPr>
        <w:t xml:space="preserve"> specific promotion and prevention campaigns on the importance of reports </w:t>
      </w:r>
      <w:r w:rsidR="00A95A7E" w:rsidRPr="009D52FD">
        <w:rPr>
          <w:sz w:val="20"/>
          <w:szCs w:val="20"/>
          <w:lang w:val="en-US"/>
        </w:rPr>
        <w:t>filed concerning</w:t>
      </w:r>
      <w:r w:rsidR="001D7D5A" w:rsidRPr="009D52FD">
        <w:rPr>
          <w:sz w:val="20"/>
          <w:szCs w:val="20"/>
          <w:lang w:val="en-US"/>
        </w:rPr>
        <w:t xml:space="preserve"> women and girls deprived of their liberty</w:t>
      </w:r>
      <w:r w:rsidR="00A95A7E" w:rsidRPr="009D52FD">
        <w:rPr>
          <w:sz w:val="20"/>
          <w:szCs w:val="20"/>
          <w:lang w:val="en-US"/>
        </w:rPr>
        <w:t>,</w:t>
      </w:r>
      <w:r w:rsidR="001D7D5A" w:rsidRPr="009D52FD">
        <w:rPr>
          <w:sz w:val="20"/>
          <w:szCs w:val="20"/>
          <w:lang w:val="en-US"/>
        </w:rPr>
        <w:t xml:space="preserve"> </w:t>
      </w:r>
      <w:r w:rsidR="00A95A7E" w:rsidRPr="009D52FD">
        <w:rPr>
          <w:sz w:val="20"/>
          <w:szCs w:val="20"/>
          <w:lang w:val="en-US"/>
        </w:rPr>
        <w:t>or</w:t>
      </w:r>
      <w:r w:rsidR="001D7D5A" w:rsidRPr="009D52FD">
        <w:rPr>
          <w:sz w:val="20"/>
          <w:szCs w:val="20"/>
          <w:lang w:val="en-US"/>
        </w:rPr>
        <w:t xml:space="preserve"> other vulnerable groups such as sex workers and/or victims of </w:t>
      </w:r>
      <w:r w:rsidR="00CE1F61" w:rsidRPr="009D52FD">
        <w:rPr>
          <w:sz w:val="20"/>
          <w:szCs w:val="20"/>
          <w:lang w:val="en-US"/>
        </w:rPr>
        <w:t>sexual slavery</w:t>
      </w:r>
      <w:r w:rsidR="00A934A6" w:rsidRPr="009D52FD">
        <w:rPr>
          <w:sz w:val="20"/>
          <w:szCs w:val="20"/>
          <w:lang w:val="en-US"/>
        </w:rPr>
        <w:t xml:space="preserve"> o</w:t>
      </w:r>
      <w:r w:rsidR="001D7D5A" w:rsidRPr="009D52FD">
        <w:rPr>
          <w:sz w:val="20"/>
          <w:szCs w:val="20"/>
          <w:lang w:val="en-US"/>
        </w:rPr>
        <w:t xml:space="preserve">r the trafficking of persons, and (iv) </w:t>
      </w:r>
      <w:r w:rsidR="00C84FE0" w:rsidRPr="009D52FD">
        <w:rPr>
          <w:sz w:val="20"/>
          <w:szCs w:val="20"/>
          <w:lang w:val="en-US"/>
        </w:rPr>
        <w:t>implementation of</w:t>
      </w:r>
      <w:r w:rsidR="00A95A7E" w:rsidRPr="009D52FD">
        <w:rPr>
          <w:sz w:val="20"/>
          <w:szCs w:val="20"/>
          <w:lang w:val="en-US"/>
        </w:rPr>
        <w:t xml:space="preserve"> </w:t>
      </w:r>
      <w:r w:rsidR="00C84FE0" w:rsidRPr="009D52FD">
        <w:rPr>
          <w:sz w:val="20"/>
          <w:szCs w:val="20"/>
          <w:lang w:val="en-US"/>
        </w:rPr>
        <w:t>social media</w:t>
      </w:r>
      <w:r w:rsidR="00A95A7E" w:rsidRPr="009D52FD">
        <w:rPr>
          <w:sz w:val="20"/>
          <w:szCs w:val="20"/>
          <w:lang w:val="en-US"/>
        </w:rPr>
        <w:t xml:space="preserve"> campaigns</w:t>
      </w:r>
      <w:r w:rsidR="00C84FE0" w:rsidRPr="009D52FD">
        <w:rPr>
          <w:sz w:val="20"/>
          <w:szCs w:val="20"/>
          <w:lang w:val="en-US"/>
        </w:rPr>
        <w:t xml:space="preserve"> to prevent violence against women and girls, as well as to promote the filing of reports before the relevant agencies and other institutions for the protection of human rights.</w:t>
      </w:r>
    </w:p>
    <w:p w14:paraId="130A24DA" w14:textId="77777777" w:rsidR="00935F35" w:rsidRPr="009D52FD" w:rsidRDefault="00935F35" w:rsidP="00935F35">
      <w:pPr>
        <w:tabs>
          <w:tab w:val="left" w:pos="567"/>
        </w:tabs>
        <w:spacing w:line="240" w:lineRule="auto"/>
        <w:rPr>
          <w:b/>
          <w:sz w:val="20"/>
          <w:szCs w:val="20"/>
          <w:lang w:val="en-US"/>
        </w:rPr>
      </w:pPr>
    </w:p>
    <w:p w14:paraId="3C0B3F1E" w14:textId="0BC41DFE" w:rsidR="0026224B" w:rsidRPr="009D52FD" w:rsidRDefault="003630BB" w:rsidP="00782C5C">
      <w:pPr>
        <w:numPr>
          <w:ilvl w:val="0"/>
          <w:numId w:val="1"/>
        </w:numPr>
        <w:tabs>
          <w:tab w:val="left" w:pos="567"/>
          <w:tab w:val="num" w:pos="12305"/>
        </w:tabs>
        <w:spacing w:line="240" w:lineRule="auto"/>
        <w:ind w:left="0" w:firstLine="0"/>
        <w:rPr>
          <w:b/>
          <w:sz w:val="20"/>
          <w:szCs w:val="20"/>
          <w:lang w:val="en-US"/>
        </w:rPr>
      </w:pPr>
      <w:r w:rsidRPr="009D52FD">
        <w:rPr>
          <w:sz w:val="20"/>
          <w:szCs w:val="20"/>
          <w:lang w:val="en-US"/>
        </w:rPr>
        <w:t xml:space="preserve">The </w:t>
      </w:r>
      <w:r w:rsidRPr="009D52FD">
        <w:rPr>
          <w:b/>
          <w:bCs/>
          <w:i/>
          <w:iCs/>
          <w:sz w:val="20"/>
          <w:szCs w:val="20"/>
          <w:lang w:val="en-US"/>
        </w:rPr>
        <w:t>State</w:t>
      </w:r>
      <w:r w:rsidR="00782C5C" w:rsidRPr="009D52FD">
        <w:rPr>
          <w:sz w:val="20"/>
          <w:szCs w:val="20"/>
          <w:lang w:val="en-US"/>
        </w:rPr>
        <w:t xml:space="preserve"> </w:t>
      </w:r>
      <w:r w:rsidR="0026224B" w:rsidRPr="009D52FD">
        <w:rPr>
          <w:sz w:val="20"/>
          <w:szCs w:val="20"/>
          <w:lang w:val="en-US"/>
        </w:rPr>
        <w:t xml:space="preserve">indicated that, the institutions and mechanisms implemented through the </w:t>
      </w:r>
      <w:r w:rsidR="00D1084D" w:rsidRPr="009D52FD">
        <w:rPr>
          <w:sz w:val="20"/>
          <w:szCs w:val="20"/>
          <w:lang w:val="en-US"/>
        </w:rPr>
        <w:t>Ministry of the People’s Power for Women and Gender Equality</w:t>
      </w:r>
      <w:r w:rsidR="0026224B" w:rsidRPr="009D52FD">
        <w:rPr>
          <w:sz w:val="20"/>
          <w:szCs w:val="20"/>
          <w:lang w:val="en-US"/>
        </w:rPr>
        <w:t xml:space="preserve"> included the safe houses – which were described as “discreet and private establishments” for the temporary accommodation of women whose life or physical integrity was at risk – a direct private phone number that provided counselling to women living in violent situations, and the Office for the Defense of Women’s Rights whose purpose was also to provide counseling and assistan</w:t>
      </w:r>
      <w:r w:rsidR="00E855AD" w:rsidRPr="009D52FD">
        <w:rPr>
          <w:sz w:val="20"/>
          <w:szCs w:val="20"/>
          <w:lang w:val="en-US"/>
        </w:rPr>
        <w:t>ce</w:t>
      </w:r>
      <w:r w:rsidR="0026224B" w:rsidRPr="009D52FD">
        <w:rPr>
          <w:sz w:val="20"/>
          <w:szCs w:val="20"/>
          <w:lang w:val="en-US"/>
        </w:rPr>
        <w:t xml:space="preserve"> to victims of gender-based violence.</w:t>
      </w:r>
    </w:p>
    <w:p w14:paraId="030BB78E" w14:textId="77777777" w:rsidR="00782C5C" w:rsidRPr="009D52FD" w:rsidRDefault="00782C5C" w:rsidP="00935F35">
      <w:pPr>
        <w:tabs>
          <w:tab w:val="left" w:pos="567"/>
        </w:tabs>
        <w:spacing w:line="240" w:lineRule="auto"/>
        <w:rPr>
          <w:b/>
          <w:sz w:val="20"/>
          <w:szCs w:val="20"/>
          <w:lang w:val="en-US"/>
        </w:rPr>
      </w:pPr>
    </w:p>
    <w:p w14:paraId="48E65018" w14:textId="62F65535" w:rsidR="0026224B" w:rsidRPr="009D52FD" w:rsidRDefault="0026224B" w:rsidP="00935F35">
      <w:pPr>
        <w:numPr>
          <w:ilvl w:val="0"/>
          <w:numId w:val="1"/>
        </w:numPr>
        <w:tabs>
          <w:tab w:val="left" w:pos="567"/>
          <w:tab w:val="num" w:pos="12305"/>
        </w:tabs>
        <w:spacing w:line="240" w:lineRule="auto"/>
        <w:ind w:left="0" w:firstLine="0"/>
        <w:rPr>
          <w:rFonts w:cs="Verdana"/>
          <w:sz w:val="20"/>
          <w:szCs w:val="20"/>
          <w:lang w:val="en-US"/>
        </w:rPr>
      </w:pPr>
      <w:r w:rsidRPr="009D52FD">
        <w:rPr>
          <w:rFonts w:cs="Verdana"/>
          <w:sz w:val="20"/>
          <w:szCs w:val="20"/>
          <w:lang w:val="en-US"/>
        </w:rPr>
        <w:t>Regarding the requested measures described above, the Court considers that the delivery of this judgment, together with the other measures ordered, are sufficient and adequate to redress the violations suffered  by the victims and does not find it necessary to order additional measures.</w:t>
      </w:r>
    </w:p>
    <w:p w14:paraId="15FF8997" w14:textId="77777777" w:rsidR="00935F35" w:rsidRPr="009D52FD" w:rsidRDefault="00935F35" w:rsidP="00935F35">
      <w:pPr>
        <w:tabs>
          <w:tab w:val="left" w:pos="567"/>
        </w:tabs>
        <w:spacing w:line="240" w:lineRule="auto"/>
        <w:rPr>
          <w:sz w:val="20"/>
          <w:szCs w:val="20"/>
          <w:lang w:val="en-US"/>
        </w:rPr>
      </w:pPr>
    </w:p>
    <w:p w14:paraId="074E3476" w14:textId="058DB7E5" w:rsidR="00935F35" w:rsidRPr="009D52FD" w:rsidRDefault="0026224B" w:rsidP="00935F35">
      <w:pPr>
        <w:numPr>
          <w:ilvl w:val="0"/>
          <w:numId w:val="1"/>
        </w:numPr>
        <w:tabs>
          <w:tab w:val="left" w:pos="567"/>
          <w:tab w:val="num" w:pos="12305"/>
        </w:tabs>
        <w:spacing w:line="240" w:lineRule="auto"/>
        <w:ind w:left="0" w:firstLine="0"/>
        <w:rPr>
          <w:rFonts w:cs="Verdana"/>
          <w:i/>
          <w:sz w:val="20"/>
          <w:szCs w:val="20"/>
          <w:lang w:val="en-US"/>
        </w:rPr>
      </w:pPr>
      <w:r w:rsidRPr="009D52FD">
        <w:rPr>
          <w:sz w:val="20"/>
          <w:szCs w:val="20"/>
          <w:lang w:val="en-US"/>
        </w:rPr>
        <w:t>Moreover, in the case of the measures requested in the representatives’ final written arguments, the Court notes that these are time-barred</w:t>
      </w:r>
      <w:r w:rsidR="00935F35" w:rsidRPr="009D52FD">
        <w:rPr>
          <w:rFonts w:eastAsia="MS Mincho"/>
          <w:sz w:val="20"/>
          <w:szCs w:val="20"/>
          <w:lang w:val="en-US" w:bidi="en-US"/>
        </w:rPr>
        <w:t>.</w:t>
      </w:r>
    </w:p>
    <w:p w14:paraId="5E3F34BC" w14:textId="77777777" w:rsidR="00935F35" w:rsidRPr="009D52FD" w:rsidRDefault="00935F35" w:rsidP="00935F35">
      <w:pPr>
        <w:pStyle w:val="ListParagraph"/>
        <w:tabs>
          <w:tab w:val="left" w:pos="567"/>
        </w:tabs>
        <w:autoSpaceDE w:val="0"/>
        <w:autoSpaceDN w:val="0"/>
        <w:spacing w:line="240" w:lineRule="auto"/>
        <w:ind w:left="825"/>
        <w:rPr>
          <w:rFonts w:eastAsia="MS Mincho"/>
          <w:sz w:val="20"/>
          <w:szCs w:val="20"/>
          <w:lang w:val="en-US" w:bidi="en-US"/>
        </w:rPr>
      </w:pPr>
    </w:p>
    <w:p w14:paraId="39D6EE08" w14:textId="39B12A90" w:rsidR="00935F35" w:rsidRPr="009D52FD" w:rsidRDefault="007D3D4F" w:rsidP="00F11556">
      <w:pPr>
        <w:keepNext/>
        <w:keepLines/>
        <w:numPr>
          <w:ilvl w:val="0"/>
          <w:numId w:val="5"/>
        </w:numPr>
        <w:tabs>
          <w:tab w:val="left" w:pos="567"/>
          <w:tab w:val="left" w:pos="1134"/>
        </w:tabs>
        <w:spacing w:line="240" w:lineRule="auto"/>
        <w:ind w:left="567" w:firstLine="0"/>
        <w:textAlignment w:val="auto"/>
        <w:outlineLvl w:val="1"/>
        <w:rPr>
          <w:rFonts w:eastAsia="MS Mincho"/>
          <w:b/>
          <w:bCs/>
          <w:i/>
          <w:sz w:val="20"/>
          <w:szCs w:val="20"/>
          <w:lang w:val="en-US"/>
        </w:rPr>
      </w:pPr>
      <w:bookmarkStart w:id="125" w:name="_Toc51400121"/>
      <w:r w:rsidRPr="009D52FD">
        <w:rPr>
          <w:rFonts w:eastAsia="MS Mincho"/>
          <w:b/>
          <w:bCs/>
          <w:i/>
          <w:sz w:val="20"/>
          <w:szCs w:val="20"/>
          <w:lang w:val="en-US"/>
        </w:rPr>
        <w:t>Compensation</w:t>
      </w:r>
      <w:bookmarkEnd w:id="125"/>
    </w:p>
    <w:p w14:paraId="05768BAA" w14:textId="77777777" w:rsidR="00935F35" w:rsidRPr="009D52FD" w:rsidRDefault="00935F35" w:rsidP="00935F35">
      <w:pPr>
        <w:spacing w:line="240" w:lineRule="auto"/>
        <w:ind w:left="142"/>
        <w:rPr>
          <w:sz w:val="20"/>
          <w:szCs w:val="20"/>
          <w:lang w:val="en-US"/>
        </w:rPr>
      </w:pPr>
    </w:p>
    <w:p w14:paraId="2FD8BBAC" w14:textId="5EDA3087" w:rsidR="00935F35" w:rsidRPr="009D52FD" w:rsidRDefault="003630BB" w:rsidP="00935F35">
      <w:pPr>
        <w:numPr>
          <w:ilvl w:val="0"/>
          <w:numId w:val="1"/>
        </w:numPr>
        <w:tabs>
          <w:tab w:val="left" w:pos="567"/>
        </w:tabs>
        <w:spacing w:line="240" w:lineRule="auto"/>
        <w:ind w:left="0" w:firstLine="0"/>
        <w:textAlignment w:val="auto"/>
        <w:rPr>
          <w:rFonts w:eastAsia="Calibri"/>
          <w:b/>
          <w:i/>
          <w:sz w:val="20"/>
          <w:szCs w:val="20"/>
          <w:lang w:val="en-US"/>
        </w:rPr>
      </w:pPr>
      <w:r w:rsidRPr="009D52FD">
        <w:rPr>
          <w:sz w:val="20"/>
          <w:szCs w:val="20"/>
          <w:lang w:val="en-US"/>
        </w:rPr>
        <w:t xml:space="preserve">The </w:t>
      </w:r>
      <w:r w:rsidRPr="009D52FD">
        <w:rPr>
          <w:b/>
          <w:bCs/>
          <w:i/>
          <w:iCs/>
          <w:sz w:val="20"/>
          <w:szCs w:val="20"/>
          <w:lang w:val="en-US"/>
        </w:rPr>
        <w:t>Commission</w:t>
      </w:r>
      <w:r w:rsidR="00935F35" w:rsidRPr="009D52FD">
        <w:rPr>
          <w:sz w:val="20"/>
          <w:szCs w:val="20"/>
          <w:lang w:val="en-US"/>
        </w:rPr>
        <w:t xml:space="preserve"> </w:t>
      </w:r>
      <w:r w:rsidR="0026224B" w:rsidRPr="009D52FD">
        <w:rPr>
          <w:sz w:val="20"/>
          <w:szCs w:val="20"/>
          <w:lang w:val="en-US"/>
        </w:rPr>
        <w:t>asked</w:t>
      </w:r>
      <w:r w:rsidR="00935F35" w:rsidRPr="009D52FD">
        <w:rPr>
          <w:sz w:val="20"/>
          <w:szCs w:val="20"/>
          <w:lang w:val="en-US"/>
        </w:rPr>
        <w:t xml:space="preserve"> </w:t>
      </w:r>
      <w:r w:rsidRPr="009D52FD">
        <w:rPr>
          <w:sz w:val="20"/>
          <w:szCs w:val="20"/>
          <w:lang w:val="en-US"/>
        </w:rPr>
        <w:t>the Court</w:t>
      </w:r>
      <w:r w:rsidR="00935F35" w:rsidRPr="009D52FD">
        <w:rPr>
          <w:sz w:val="20"/>
          <w:szCs w:val="20"/>
          <w:lang w:val="en-US"/>
        </w:rPr>
        <w:t xml:space="preserve">, </w:t>
      </w:r>
      <w:r w:rsidR="0026224B" w:rsidRPr="009D52FD">
        <w:rPr>
          <w:sz w:val="20"/>
          <w:szCs w:val="20"/>
          <w:lang w:val="en-US"/>
        </w:rPr>
        <w:t>in general</w:t>
      </w:r>
      <w:r w:rsidR="00935F35" w:rsidRPr="009D52FD">
        <w:rPr>
          <w:sz w:val="20"/>
          <w:szCs w:val="20"/>
          <w:lang w:val="en-US"/>
        </w:rPr>
        <w:t>,</w:t>
      </w:r>
      <w:r w:rsidR="0026224B" w:rsidRPr="009D52FD">
        <w:rPr>
          <w:sz w:val="20"/>
          <w:szCs w:val="20"/>
          <w:lang w:val="en-US"/>
        </w:rPr>
        <w:t xml:space="preserve"> to order the State to make full reparation, both pecuniary and non-pecuniary, for the human rights violations declared</w:t>
      </w:r>
      <w:r w:rsidR="00935F35" w:rsidRPr="009D52FD">
        <w:rPr>
          <w:sz w:val="20"/>
          <w:szCs w:val="20"/>
          <w:lang w:val="en-US"/>
        </w:rPr>
        <w:t xml:space="preserve"> </w:t>
      </w:r>
      <w:r w:rsidR="00483040" w:rsidRPr="009D52FD">
        <w:rPr>
          <w:sz w:val="20"/>
          <w:szCs w:val="20"/>
          <w:lang w:val="en-US"/>
        </w:rPr>
        <w:t>to the detriment of</w:t>
      </w:r>
      <w:r w:rsidR="00935F35" w:rsidRPr="009D52FD">
        <w:rPr>
          <w:sz w:val="20"/>
          <w:szCs w:val="20"/>
          <w:lang w:val="en-US"/>
        </w:rPr>
        <w:t xml:space="preserve"> Linda Loaiza López Soto</w:t>
      </w:r>
      <w:r w:rsidRPr="009D52FD">
        <w:rPr>
          <w:sz w:val="20"/>
          <w:szCs w:val="20"/>
          <w:lang w:val="en-US"/>
        </w:rPr>
        <w:t xml:space="preserve"> and </w:t>
      </w:r>
      <w:r w:rsidR="0026224B" w:rsidRPr="009D52FD">
        <w:rPr>
          <w:sz w:val="20"/>
          <w:szCs w:val="20"/>
          <w:lang w:val="en-US"/>
        </w:rPr>
        <w:t>the members of her family.</w:t>
      </w:r>
    </w:p>
    <w:p w14:paraId="28A470D4" w14:textId="77777777" w:rsidR="00935F35" w:rsidRPr="009D52FD" w:rsidRDefault="00935F35" w:rsidP="00935F35">
      <w:pPr>
        <w:tabs>
          <w:tab w:val="left" w:pos="567"/>
        </w:tabs>
        <w:spacing w:line="240" w:lineRule="auto"/>
        <w:rPr>
          <w:rFonts w:eastAsia="Calibri"/>
          <w:b/>
          <w:i/>
          <w:sz w:val="20"/>
          <w:szCs w:val="20"/>
          <w:lang w:val="en-US"/>
        </w:rPr>
      </w:pPr>
    </w:p>
    <w:p w14:paraId="08D2E492" w14:textId="2DB12D89" w:rsidR="0026224B" w:rsidRPr="009D52FD" w:rsidRDefault="003630BB" w:rsidP="00935F35">
      <w:pPr>
        <w:numPr>
          <w:ilvl w:val="0"/>
          <w:numId w:val="1"/>
        </w:numPr>
        <w:tabs>
          <w:tab w:val="left" w:pos="567"/>
        </w:tabs>
        <w:spacing w:line="240" w:lineRule="auto"/>
        <w:ind w:left="0" w:firstLine="0"/>
        <w:textAlignment w:val="auto"/>
        <w:rPr>
          <w:rFonts w:eastAsia="MS Mincho" w:cs="Tahoma"/>
          <w:b/>
          <w:sz w:val="20"/>
          <w:szCs w:val="20"/>
          <w:lang w:val="en-US"/>
        </w:rPr>
      </w:pPr>
      <w:r w:rsidRPr="009D52FD">
        <w:rPr>
          <w:sz w:val="20"/>
          <w:szCs w:val="20"/>
          <w:lang w:val="en-US"/>
        </w:rPr>
        <w:t xml:space="preserve">The </w:t>
      </w:r>
      <w:r w:rsidRPr="009D52FD">
        <w:rPr>
          <w:b/>
          <w:bCs/>
          <w:i/>
          <w:iCs/>
          <w:sz w:val="20"/>
          <w:szCs w:val="20"/>
          <w:lang w:val="en-US"/>
        </w:rPr>
        <w:t>representatives</w:t>
      </w:r>
      <w:r w:rsidR="00A934A6" w:rsidRPr="009D52FD">
        <w:rPr>
          <w:sz w:val="20"/>
          <w:szCs w:val="20"/>
          <w:lang w:val="en-US"/>
        </w:rPr>
        <w:t>,</w:t>
      </w:r>
      <w:r w:rsidR="0026224B" w:rsidRPr="009D52FD">
        <w:rPr>
          <w:sz w:val="20"/>
          <w:szCs w:val="20"/>
          <w:lang w:val="en-US"/>
        </w:rPr>
        <w:t xml:space="preserve"> in their final written arguments, included a series of </w:t>
      </w:r>
      <w:r w:rsidR="00E855AD" w:rsidRPr="009D52FD">
        <w:rPr>
          <w:sz w:val="20"/>
          <w:szCs w:val="20"/>
          <w:lang w:val="en-US"/>
        </w:rPr>
        <w:t xml:space="preserve">general </w:t>
      </w:r>
      <w:r w:rsidR="0026224B" w:rsidRPr="009D52FD">
        <w:rPr>
          <w:sz w:val="20"/>
          <w:szCs w:val="20"/>
          <w:lang w:val="en-US"/>
        </w:rPr>
        <w:t xml:space="preserve">clarifications on the method </w:t>
      </w:r>
      <w:r w:rsidR="00E855AD" w:rsidRPr="009D52FD">
        <w:rPr>
          <w:sz w:val="20"/>
          <w:szCs w:val="20"/>
          <w:lang w:val="en-US"/>
        </w:rPr>
        <w:t xml:space="preserve">for </w:t>
      </w:r>
      <w:r w:rsidR="0026224B" w:rsidRPr="009D52FD">
        <w:rPr>
          <w:sz w:val="20"/>
          <w:szCs w:val="20"/>
          <w:lang w:val="en-US"/>
        </w:rPr>
        <w:t xml:space="preserve">complying with </w:t>
      </w:r>
      <w:r w:rsidR="00EC5F4F" w:rsidRPr="009D52FD">
        <w:rPr>
          <w:sz w:val="20"/>
          <w:szCs w:val="20"/>
          <w:lang w:val="en-US"/>
        </w:rPr>
        <w:t>any</w:t>
      </w:r>
      <w:r w:rsidR="0026224B" w:rsidRPr="009D52FD">
        <w:rPr>
          <w:sz w:val="20"/>
          <w:szCs w:val="20"/>
          <w:lang w:val="en-US"/>
        </w:rPr>
        <w:t xml:space="preserve"> pecuniary reparations that were eventually determined. </w:t>
      </w:r>
      <w:r w:rsidR="00EC5F4F" w:rsidRPr="009D52FD">
        <w:rPr>
          <w:sz w:val="20"/>
          <w:szCs w:val="20"/>
          <w:lang w:val="en-US"/>
        </w:rPr>
        <w:t xml:space="preserve">They asked that the State make the payment of the corresponding monetary compensation in United States dollars, within no more than one year following notification of the judgment and that, if this time frame was not respected, the corresponding interest and readjustment should be added to the sum owed. They also asked that, if the payments were not made within the said time frame, the victims be permitted to litigate against the assets of Venezuela “that are located in different </w:t>
      </w:r>
      <w:r w:rsidR="00E855AD" w:rsidRPr="009D52FD">
        <w:rPr>
          <w:sz w:val="20"/>
          <w:szCs w:val="20"/>
          <w:lang w:val="en-US"/>
        </w:rPr>
        <w:t xml:space="preserve">OAS </w:t>
      </w:r>
      <w:r w:rsidR="00EC5F4F" w:rsidRPr="009D52FD">
        <w:rPr>
          <w:sz w:val="20"/>
          <w:szCs w:val="20"/>
          <w:lang w:val="en-US"/>
        </w:rPr>
        <w:t>Member States.”</w:t>
      </w:r>
    </w:p>
    <w:p w14:paraId="78D4028A" w14:textId="77777777" w:rsidR="00935F35" w:rsidRPr="009D52FD" w:rsidRDefault="00935F35" w:rsidP="00935F35">
      <w:pPr>
        <w:tabs>
          <w:tab w:val="left" w:pos="567"/>
        </w:tabs>
        <w:spacing w:line="240" w:lineRule="auto"/>
        <w:rPr>
          <w:rFonts w:eastAsia="MS Mincho" w:cs="Tahoma"/>
          <w:b/>
          <w:sz w:val="20"/>
          <w:szCs w:val="20"/>
          <w:lang w:val="en-US"/>
        </w:rPr>
      </w:pPr>
    </w:p>
    <w:p w14:paraId="78725DB1" w14:textId="293605EC" w:rsidR="00935F35" w:rsidRPr="009D52FD" w:rsidRDefault="003630BB" w:rsidP="00EC5F4F">
      <w:pPr>
        <w:numPr>
          <w:ilvl w:val="0"/>
          <w:numId w:val="1"/>
        </w:numPr>
        <w:tabs>
          <w:tab w:val="left" w:pos="567"/>
        </w:tabs>
        <w:spacing w:line="240" w:lineRule="auto"/>
        <w:ind w:left="0" w:firstLine="0"/>
        <w:textAlignment w:val="auto"/>
        <w:rPr>
          <w:rFonts w:eastAsia="Calibri"/>
          <w:b/>
          <w:i/>
          <w:sz w:val="20"/>
          <w:szCs w:val="20"/>
          <w:lang w:val="en-US"/>
        </w:rPr>
      </w:pPr>
      <w:r w:rsidRPr="009D52FD">
        <w:rPr>
          <w:rFonts w:eastAsia="MS Mincho"/>
          <w:sz w:val="20"/>
          <w:szCs w:val="20"/>
          <w:lang w:val="en-US" w:bidi="en-US"/>
        </w:rPr>
        <w:t xml:space="preserve">The </w:t>
      </w:r>
      <w:r w:rsidRPr="009D52FD">
        <w:rPr>
          <w:rFonts w:eastAsia="MS Mincho"/>
          <w:b/>
          <w:bCs/>
          <w:i/>
          <w:iCs/>
          <w:sz w:val="20"/>
          <w:szCs w:val="20"/>
          <w:lang w:val="en-US" w:bidi="en-US"/>
        </w:rPr>
        <w:t>State</w:t>
      </w:r>
      <w:r w:rsidR="00935F35" w:rsidRPr="009D52FD">
        <w:rPr>
          <w:rFonts w:eastAsia="Verdana" w:cs="Verdana"/>
          <w:sz w:val="20"/>
          <w:szCs w:val="20"/>
          <w:lang w:val="en-US"/>
        </w:rPr>
        <w:t xml:space="preserve"> </w:t>
      </w:r>
      <w:r w:rsidR="00EC5F4F" w:rsidRPr="009D52FD">
        <w:rPr>
          <w:rFonts w:eastAsia="Verdana" w:cs="Verdana"/>
          <w:sz w:val="20"/>
          <w:szCs w:val="20"/>
          <w:lang w:val="en-US"/>
        </w:rPr>
        <w:t xml:space="preserve">indicated its “willingness” to comply with the monetary compensation that the Court might eventually order, asking that this should be determined taking into account the standards of reasonableness established </w:t>
      </w:r>
      <w:r w:rsidR="00E855AD" w:rsidRPr="009D52FD">
        <w:rPr>
          <w:rFonts w:eastAsia="Verdana" w:cs="Verdana"/>
          <w:sz w:val="20"/>
          <w:szCs w:val="20"/>
          <w:lang w:val="en-US"/>
        </w:rPr>
        <w:t xml:space="preserve">in </w:t>
      </w:r>
      <w:r w:rsidR="00EC5F4F" w:rsidRPr="009D52FD">
        <w:rPr>
          <w:rFonts w:eastAsia="Verdana" w:cs="Verdana"/>
          <w:sz w:val="20"/>
          <w:szCs w:val="20"/>
          <w:lang w:val="en-US"/>
        </w:rPr>
        <w:t xml:space="preserve">the Court’s case law. However, it included some considerations on the how the amounts of the </w:t>
      </w:r>
      <w:r w:rsidR="00E855AD" w:rsidRPr="009D52FD">
        <w:rPr>
          <w:rFonts w:eastAsia="Verdana" w:cs="Verdana"/>
          <w:sz w:val="20"/>
          <w:szCs w:val="20"/>
          <w:lang w:val="en-US"/>
        </w:rPr>
        <w:t>monetary</w:t>
      </w:r>
      <w:r w:rsidR="00EC5F4F" w:rsidRPr="009D52FD">
        <w:rPr>
          <w:rFonts w:eastAsia="Verdana" w:cs="Verdana"/>
          <w:sz w:val="20"/>
          <w:szCs w:val="20"/>
          <w:lang w:val="en-US"/>
        </w:rPr>
        <w:t xml:space="preserve"> reparations should be calculated. It explained that, under article 318 of the</w:t>
      </w:r>
      <w:r w:rsidR="00EC5F4F" w:rsidRPr="009D52FD">
        <w:rPr>
          <w:rFonts w:eastAsia="Calibri"/>
          <w:b/>
          <w:i/>
          <w:sz w:val="20"/>
          <w:szCs w:val="20"/>
          <w:lang w:val="en-US"/>
        </w:rPr>
        <w:t xml:space="preserve"> </w:t>
      </w:r>
      <w:r w:rsidR="006B506A" w:rsidRPr="009D52FD">
        <w:rPr>
          <w:rFonts w:eastAsia="Verdana" w:cs="Verdana"/>
          <w:sz w:val="20"/>
          <w:szCs w:val="20"/>
          <w:lang w:val="en-US"/>
        </w:rPr>
        <w:t>Constitution</w:t>
      </w:r>
      <w:r w:rsidR="00483040" w:rsidRPr="009D52FD">
        <w:rPr>
          <w:rFonts w:eastAsia="Verdana" w:cs="Verdana"/>
          <w:sz w:val="20"/>
          <w:szCs w:val="20"/>
          <w:lang w:val="en-US"/>
        </w:rPr>
        <w:t xml:space="preserve"> of the </w:t>
      </w:r>
      <w:r w:rsidR="0050774C" w:rsidRPr="009D52FD">
        <w:rPr>
          <w:rFonts w:eastAsia="Verdana" w:cs="Verdana"/>
          <w:sz w:val="20"/>
          <w:szCs w:val="20"/>
          <w:lang w:val="en-US"/>
        </w:rPr>
        <w:t>Bolivarian Republic of</w:t>
      </w:r>
      <w:r w:rsidR="00935F35" w:rsidRPr="009D52FD">
        <w:rPr>
          <w:rFonts w:eastAsia="Verdana" w:cs="Verdana"/>
          <w:sz w:val="20"/>
          <w:szCs w:val="20"/>
          <w:lang w:val="en-US"/>
        </w:rPr>
        <w:t xml:space="preserve"> Venezuela</w:t>
      </w:r>
      <w:r w:rsidRPr="009D52FD">
        <w:rPr>
          <w:rFonts w:eastAsia="Verdana" w:cs="Verdana"/>
          <w:sz w:val="20"/>
          <w:szCs w:val="20"/>
          <w:lang w:val="en-US"/>
        </w:rPr>
        <w:t xml:space="preserve"> and</w:t>
      </w:r>
      <w:r w:rsidR="00D32B3E" w:rsidRPr="009D52FD">
        <w:rPr>
          <w:rFonts w:eastAsia="Verdana" w:cs="Verdana"/>
          <w:sz w:val="20"/>
          <w:szCs w:val="20"/>
          <w:lang w:val="en-US"/>
        </w:rPr>
        <w:t xml:space="preserve"> </w:t>
      </w:r>
      <w:r w:rsidR="00EC5F4F" w:rsidRPr="009D52FD">
        <w:rPr>
          <w:rFonts w:eastAsia="Verdana" w:cs="Verdana"/>
          <w:sz w:val="20"/>
          <w:szCs w:val="20"/>
          <w:lang w:val="en-US"/>
        </w:rPr>
        <w:t>a</w:t>
      </w:r>
      <w:r w:rsidR="00D32B3E" w:rsidRPr="009D52FD">
        <w:rPr>
          <w:rFonts w:eastAsia="Verdana" w:cs="Verdana"/>
          <w:sz w:val="20"/>
          <w:szCs w:val="20"/>
          <w:lang w:val="en-US"/>
        </w:rPr>
        <w:t>rticle</w:t>
      </w:r>
      <w:r w:rsidR="00A2557D" w:rsidRPr="009D52FD">
        <w:rPr>
          <w:rFonts w:eastAsia="Verdana" w:cs="Verdana"/>
          <w:sz w:val="20"/>
          <w:szCs w:val="20"/>
          <w:lang w:val="en-US"/>
        </w:rPr>
        <w:t xml:space="preserve"> 106 </w:t>
      </w:r>
      <w:r w:rsidR="00EC5F4F" w:rsidRPr="009D52FD">
        <w:rPr>
          <w:rFonts w:eastAsia="Verdana" w:cs="Verdana"/>
          <w:sz w:val="20"/>
          <w:szCs w:val="20"/>
          <w:lang w:val="en-US"/>
        </w:rPr>
        <w:t>of the Decree with Ra</w:t>
      </w:r>
      <w:r w:rsidR="00075CF3" w:rsidRPr="009D52FD">
        <w:rPr>
          <w:rFonts w:eastAsia="Verdana" w:cs="Verdana"/>
          <w:sz w:val="20"/>
          <w:szCs w:val="20"/>
          <w:lang w:val="en-US"/>
        </w:rPr>
        <w:t>nk,</w:t>
      </w:r>
      <w:r w:rsidR="00EC5F4F" w:rsidRPr="009D52FD">
        <w:rPr>
          <w:rFonts w:eastAsia="Verdana" w:cs="Verdana"/>
          <w:sz w:val="20"/>
          <w:szCs w:val="20"/>
          <w:lang w:val="en-US"/>
        </w:rPr>
        <w:t xml:space="preserve"> </w:t>
      </w:r>
      <w:r w:rsidR="00075CF3" w:rsidRPr="009D52FD">
        <w:rPr>
          <w:rFonts w:eastAsia="Verdana" w:cs="Verdana"/>
          <w:sz w:val="20"/>
          <w:szCs w:val="20"/>
          <w:lang w:val="en-US"/>
        </w:rPr>
        <w:t>Significance</w:t>
      </w:r>
      <w:r w:rsidR="00EC5F4F" w:rsidRPr="009D52FD">
        <w:rPr>
          <w:rFonts w:eastAsia="Verdana" w:cs="Verdana"/>
          <w:sz w:val="20"/>
          <w:szCs w:val="20"/>
          <w:lang w:val="en-US"/>
        </w:rPr>
        <w:t xml:space="preserve"> and Force </w:t>
      </w:r>
      <w:r w:rsidR="00075CF3" w:rsidRPr="009D52FD">
        <w:rPr>
          <w:rFonts w:eastAsia="Verdana" w:cs="Verdana"/>
          <w:sz w:val="20"/>
          <w:szCs w:val="20"/>
          <w:lang w:val="en-US"/>
        </w:rPr>
        <w:t xml:space="preserve">of Law of the Central Bank of Venezuela published in the country’s </w:t>
      </w:r>
      <w:r w:rsidR="006B506A" w:rsidRPr="009D52FD">
        <w:rPr>
          <w:rFonts w:eastAsia="Verdana" w:cs="Verdana"/>
          <w:sz w:val="20"/>
          <w:szCs w:val="20"/>
          <w:lang w:val="en-US"/>
        </w:rPr>
        <w:t>Official Gazette</w:t>
      </w:r>
      <w:r w:rsidR="00935F35" w:rsidRPr="009D52FD">
        <w:rPr>
          <w:rFonts w:eastAsia="Verdana" w:cs="Verdana"/>
          <w:sz w:val="20"/>
          <w:szCs w:val="20"/>
          <w:lang w:val="en-US"/>
        </w:rPr>
        <w:t xml:space="preserve"> </w:t>
      </w:r>
      <w:r w:rsidR="00A2557D" w:rsidRPr="009D52FD">
        <w:rPr>
          <w:rFonts w:eastAsia="Verdana" w:cs="Verdana"/>
          <w:sz w:val="20"/>
          <w:szCs w:val="20"/>
          <w:lang w:val="en-US"/>
        </w:rPr>
        <w:t xml:space="preserve">No. 6211 </w:t>
      </w:r>
      <w:r w:rsidR="00075CF3" w:rsidRPr="009D52FD">
        <w:rPr>
          <w:rFonts w:eastAsia="Verdana" w:cs="Verdana"/>
          <w:sz w:val="20"/>
          <w:szCs w:val="20"/>
          <w:lang w:val="en-US"/>
        </w:rPr>
        <w:t>on December 30,</w:t>
      </w:r>
      <w:r w:rsidR="00935F35" w:rsidRPr="009D52FD">
        <w:rPr>
          <w:rFonts w:eastAsia="Verdana" w:cs="Verdana"/>
          <w:sz w:val="20"/>
          <w:szCs w:val="20"/>
          <w:lang w:val="en-US"/>
        </w:rPr>
        <w:t xml:space="preserve"> 2015,</w:t>
      </w:r>
      <w:r w:rsidR="00075CF3" w:rsidRPr="009D52FD">
        <w:rPr>
          <w:rFonts w:eastAsia="Verdana" w:cs="Verdana"/>
          <w:sz w:val="20"/>
          <w:szCs w:val="20"/>
          <w:lang w:val="en-US"/>
        </w:rPr>
        <w:t xml:space="preserve"> the official currency of the State is the Bolívar, while the United States dollar is not legal tender in </w:t>
      </w:r>
      <w:r w:rsidR="00935F35" w:rsidRPr="009D52FD">
        <w:rPr>
          <w:rFonts w:eastAsia="Verdana" w:cs="Verdana"/>
          <w:sz w:val="20"/>
          <w:szCs w:val="20"/>
          <w:lang w:val="en-US"/>
        </w:rPr>
        <w:t xml:space="preserve">Venezuela. </w:t>
      </w:r>
      <w:r w:rsidR="00075CF3" w:rsidRPr="009D52FD">
        <w:rPr>
          <w:rFonts w:eastAsia="Verdana" w:cs="Verdana"/>
          <w:sz w:val="20"/>
          <w:szCs w:val="20"/>
          <w:lang w:val="en-US"/>
        </w:rPr>
        <w:t xml:space="preserve">It also indicated that, currently, the country has a system that administers foreign currency and that </w:t>
      </w:r>
      <w:r w:rsidR="00075CF3" w:rsidRPr="009D52FD">
        <w:rPr>
          <w:rFonts w:eastAsia="Verdana" w:cs="Verdana"/>
          <w:sz w:val="20"/>
          <w:szCs w:val="20"/>
          <w:lang w:val="en-US"/>
        </w:rPr>
        <w:lastRenderedPageBreak/>
        <w:t>regulates the buying and selling of foreign currency in the c</w:t>
      </w:r>
      <w:r w:rsidR="00E855AD" w:rsidRPr="009D52FD">
        <w:rPr>
          <w:rFonts w:eastAsia="Verdana" w:cs="Verdana"/>
          <w:sz w:val="20"/>
          <w:szCs w:val="20"/>
          <w:lang w:val="en-US"/>
        </w:rPr>
        <w:t>ountr</w:t>
      </w:r>
      <w:r w:rsidR="00075CF3" w:rsidRPr="009D52FD">
        <w:rPr>
          <w:rFonts w:eastAsia="Verdana" w:cs="Verdana"/>
          <w:sz w:val="20"/>
          <w:szCs w:val="20"/>
          <w:lang w:val="en-US"/>
        </w:rPr>
        <w:t>y. Consequently, the State asked that, if the amount of the monetary obligation that was eventually imposed on it was determined in foreign currency, its payment in Venezuela currency, as legal tender, be authorized</w:t>
      </w:r>
      <w:r w:rsidR="004F2F99" w:rsidRPr="009D52FD">
        <w:rPr>
          <w:rFonts w:eastAsia="Verdana" w:cs="Verdana"/>
          <w:sz w:val="20"/>
          <w:szCs w:val="20"/>
          <w:lang w:val="en-US"/>
        </w:rPr>
        <w:t>.</w:t>
      </w:r>
    </w:p>
    <w:p w14:paraId="56814F5A" w14:textId="77777777" w:rsidR="00935F35" w:rsidRPr="009D52FD" w:rsidRDefault="00935F35" w:rsidP="00935F35">
      <w:pPr>
        <w:tabs>
          <w:tab w:val="left" w:pos="567"/>
        </w:tabs>
        <w:spacing w:line="240" w:lineRule="auto"/>
        <w:rPr>
          <w:sz w:val="20"/>
          <w:szCs w:val="20"/>
          <w:lang w:val="en-US"/>
        </w:rPr>
      </w:pPr>
      <w:r w:rsidRPr="009D52FD">
        <w:rPr>
          <w:sz w:val="20"/>
          <w:szCs w:val="20"/>
          <w:lang w:val="en-US"/>
        </w:rPr>
        <w:tab/>
      </w:r>
      <w:bookmarkStart w:id="126" w:name="_Toc514172670"/>
      <w:bookmarkStart w:id="127" w:name="_Toc476390742"/>
      <w:bookmarkStart w:id="128" w:name="_Toc495658702"/>
    </w:p>
    <w:p w14:paraId="39CE19DF" w14:textId="13D748DA" w:rsidR="00935F35" w:rsidRPr="009D52FD" w:rsidRDefault="00C16EB7" w:rsidP="00F11556">
      <w:pPr>
        <w:pStyle w:val="Heading2"/>
        <w:tabs>
          <w:tab w:val="left" w:pos="1701"/>
        </w:tabs>
        <w:spacing w:before="0" w:line="240" w:lineRule="auto"/>
        <w:ind w:left="1134"/>
        <w:rPr>
          <w:rFonts w:ascii="Verdana" w:hAnsi="Verdana"/>
          <w:b w:val="0"/>
          <w:i/>
          <w:color w:val="auto"/>
          <w:sz w:val="20"/>
          <w:szCs w:val="20"/>
          <w:lang w:val="en-US"/>
        </w:rPr>
      </w:pPr>
      <w:bookmarkStart w:id="129" w:name="_Toc51400122"/>
      <w:r w:rsidRPr="009D52FD">
        <w:rPr>
          <w:rFonts w:ascii="Verdana" w:hAnsi="Verdana"/>
          <w:b w:val="0"/>
          <w:i/>
          <w:color w:val="auto"/>
          <w:sz w:val="20"/>
          <w:szCs w:val="20"/>
          <w:lang w:val="en-US"/>
        </w:rPr>
        <w:t>D</w:t>
      </w:r>
      <w:r w:rsidR="00935F35" w:rsidRPr="009D52FD">
        <w:rPr>
          <w:rFonts w:ascii="Verdana" w:hAnsi="Verdana"/>
          <w:b w:val="0"/>
          <w:i/>
          <w:color w:val="auto"/>
          <w:sz w:val="20"/>
          <w:szCs w:val="20"/>
          <w:lang w:val="en-US"/>
        </w:rPr>
        <w:t>.1</w:t>
      </w:r>
      <w:r w:rsidR="00935F35" w:rsidRPr="009D52FD">
        <w:rPr>
          <w:rFonts w:ascii="Verdana" w:hAnsi="Verdana"/>
          <w:b w:val="0"/>
          <w:i/>
          <w:color w:val="auto"/>
          <w:sz w:val="20"/>
          <w:szCs w:val="20"/>
          <w:lang w:val="en-US"/>
        </w:rPr>
        <w:tab/>
      </w:r>
      <w:r w:rsidR="007D3D4F" w:rsidRPr="009D52FD">
        <w:rPr>
          <w:rFonts w:ascii="Verdana" w:hAnsi="Verdana"/>
          <w:b w:val="0"/>
          <w:i/>
          <w:color w:val="auto"/>
          <w:sz w:val="20"/>
          <w:szCs w:val="20"/>
          <w:lang w:val="en-US"/>
        </w:rPr>
        <w:t>Pecuniary damage</w:t>
      </w:r>
      <w:bookmarkEnd w:id="126"/>
      <w:bookmarkEnd w:id="127"/>
      <w:bookmarkEnd w:id="128"/>
      <w:bookmarkEnd w:id="129"/>
    </w:p>
    <w:p w14:paraId="32C34240" w14:textId="77777777" w:rsidR="00935F35" w:rsidRPr="009D52FD" w:rsidRDefault="00935F35" w:rsidP="00935F35">
      <w:pPr>
        <w:tabs>
          <w:tab w:val="left" w:pos="2330"/>
        </w:tabs>
        <w:autoSpaceDE w:val="0"/>
        <w:autoSpaceDN w:val="0"/>
        <w:spacing w:line="240" w:lineRule="auto"/>
        <w:outlineLvl w:val="2"/>
        <w:rPr>
          <w:rFonts w:eastAsia="Calibri"/>
          <w:b/>
          <w:i/>
          <w:sz w:val="20"/>
          <w:szCs w:val="20"/>
          <w:lang w:val="en-US"/>
        </w:rPr>
      </w:pPr>
      <w:r w:rsidRPr="009D52FD">
        <w:rPr>
          <w:rFonts w:eastAsia="Calibri"/>
          <w:b/>
          <w:i/>
          <w:sz w:val="20"/>
          <w:szCs w:val="20"/>
          <w:lang w:val="en-US"/>
        </w:rPr>
        <w:tab/>
      </w:r>
    </w:p>
    <w:p w14:paraId="07D15A9C" w14:textId="19A43B54" w:rsidR="00935F35" w:rsidRPr="009D52FD" w:rsidRDefault="00075CF3" w:rsidP="00935F35">
      <w:pPr>
        <w:numPr>
          <w:ilvl w:val="0"/>
          <w:numId w:val="1"/>
        </w:numPr>
        <w:tabs>
          <w:tab w:val="left" w:pos="567"/>
        </w:tabs>
        <w:spacing w:line="240" w:lineRule="auto"/>
        <w:ind w:left="0" w:firstLine="0"/>
        <w:textAlignment w:val="auto"/>
        <w:rPr>
          <w:rFonts w:eastAsia="MS Mincho"/>
          <w:bCs/>
          <w:sz w:val="20"/>
          <w:szCs w:val="20"/>
          <w:lang w:val="en-US" w:bidi="en-US"/>
        </w:rPr>
      </w:pPr>
      <w:r w:rsidRPr="009D52FD">
        <w:rPr>
          <w:rFonts w:cs="Verdana"/>
          <w:bCs/>
          <w:iCs/>
          <w:sz w:val="20"/>
          <w:szCs w:val="20"/>
          <w:lang w:val="en-US"/>
        </w:rPr>
        <w:t xml:space="preserve">In its case law, the </w:t>
      </w:r>
      <w:r w:rsidR="003630BB" w:rsidRPr="009D52FD">
        <w:rPr>
          <w:rFonts w:cs="Verdana"/>
          <w:bCs/>
          <w:iCs/>
          <w:sz w:val="20"/>
          <w:szCs w:val="20"/>
          <w:lang w:val="en-US"/>
        </w:rPr>
        <w:t>Court</w:t>
      </w:r>
      <w:r w:rsidR="00935F35" w:rsidRPr="009D52FD">
        <w:rPr>
          <w:rFonts w:cs="Verdana"/>
          <w:bCs/>
          <w:i/>
          <w:iCs/>
          <w:sz w:val="20"/>
          <w:szCs w:val="20"/>
          <w:lang w:val="en-US"/>
        </w:rPr>
        <w:t xml:space="preserve"> </w:t>
      </w:r>
      <w:r w:rsidR="00935F35" w:rsidRPr="009D52FD">
        <w:rPr>
          <w:rFonts w:cs="Verdana"/>
          <w:bCs/>
          <w:iCs/>
          <w:sz w:val="20"/>
          <w:szCs w:val="20"/>
          <w:lang w:val="en-US"/>
        </w:rPr>
        <w:t>ha</w:t>
      </w:r>
      <w:r w:rsidRPr="009D52FD">
        <w:rPr>
          <w:rFonts w:cs="Verdana"/>
          <w:bCs/>
          <w:iCs/>
          <w:sz w:val="20"/>
          <w:szCs w:val="20"/>
          <w:lang w:val="en-US"/>
        </w:rPr>
        <w:t xml:space="preserve">s developed the concept of </w:t>
      </w:r>
      <w:r w:rsidR="007D3D4F" w:rsidRPr="009D52FD">
        <w:rPr>
          <w:rFonts w:cs="Verdana"/>
          <w:bCs/>
          <w:iCs/>
          <w:sz w:val="20"/>
          <w:szCs w:val="20"/>
          <w:lang w:val="en-US"/>
        </w:rPr>
        <w:t>pecuniary damage</w:t>
      </w:r>
      <w:r w:rsidR="003630BB" w:rsidRPr="009D52FD">
        <w:rPr>
          <w:rFonts w:cs="Verdana"/>
          <w:bCs/>
          <w:iCs/>
          <w:sz w:val="20"/>
          <w:szCs w:val="20"/>
          <w:lang w:val="en-US"/>
        </w:rPr>
        <w:t xml:space="preserve"> and </w:t>
      </w:r>
      <w:r w:rsidR="00935F35" w:rsidRPr="009D52FD">
        <w:rPr>
          <w:rFonts w:cs="Verdana"/>
          <w:bCs/>
          <w:iCs/>
          <w:sz w:val="20"/>
          <w:szCs w:val="20"/>
          <w:lang w:val="en-US"/>
        </w:rPr>
        <w:t>ha</w:t>
      </w:r>
      <w:r w:rsidRPr="009D52FD">
        <w:rPr>
          <w:rFonts w:cs="Verdana"/>
          <w:bCs/>
          <w:iCs/>
          <w:sz w:val="20"/>
          <w:szCs w:val="20"/>
          <w:lang w:val="en-US"/>
        </w:rPr>
        <w:t>s established that this supposes the loss of</w:t>
      </w:r>
      <w:r w:rsidR="00E855AD" w:rsidRPr="009D52FD">
        <w:rPr>
          <w:rFonts w:cs="Verdana"/>
          <w:bCs/>
          <w:iCs/>
          <w:sz w:val="20"/>
          <w:szCs w:val="20"/>
          <w:lang w:val="en-US"/>
        </w:rPr>
        <w:t>,</w:t>
      </w:r>
      <w:r w:rsidRPr="009D52FD">
        <w:rPr>
          <w:rFonts w:cs="Verdana"/>
          <w:bCs/>
          <w:iCs/>
          <w:sz w:val="20"/>
          <w:szCs w:val="20"/>
          <w:lang w:val="en-US"/>
        </w:rPr>
        <w:t xml:space="preserve"> or detriment to</w:t>
      </w:r>
      <w:r w:rsidR="00E855AD" w:rsidRPr="009D52FD">
        <w:rPr>
          <w:rFonts w:cs="Verdana"/>
          <w:bCs/>
          <w:iCs/>
          <w:sz w:val="20"/>
          <w:szCs w:val="20"/>
          <w:lang w:val="en-US"/>
        </w:rPr>
        <w:t>,</w:t>
      </w:r>
      <w:r w:rsidRPr="009D52FD">
        <w:rPr>
          <w:rFonts w:cs="Verdana"/>
          <w:bCs/>
          <w:iCs/>
          <w:sz w:val="20"/>
          <w:szCs w:val="20"/>
          <w:lang w:val="en-US"/>
        </w:rPr>
        <w:t xml:space="preserve"> the income of the victims, the expenses incurred as a result of the facts, and the consequences of a pecuniary nature that have a causal nexus with the facts of the case.</w:t>
      </w:r>
      <w:r w:rsidR="00935F35" w:rsidRPr="009D52FD">
        <w:rPr>
          <w:rFonts w:eastAsia="MS Mincho"/>
          <w:bCs/>
          <w:sz w:val="20"/>
          <w:szCs w:val="20"/>
          <w:vertAlign w:val="superscript"/>
          <w:lang w:val="en-US" w:bidi="en-US"/>
        </w:rPr>
        <w:footnoteReference w:id="420"/>
      </w:r>
    </w:p>
    <w:p w14:paraId="058DBF7C" w14:textId="0BF28DAD" w:rsidR="00935F35" w:rsidRPr="009D52FD" w:rsidRDefault="00935F35" w:rsidP="00935F35">
      <w:pPr>
        <w:tabs>
          <w:tab w:val="left" w:pos="567"/>
        </w:tabs>
        <w:autoSpaceDE w:val="0"/>
        <w:autoSpaceDN w:val="0"/>
        <w:spacing w:line="240" w:lineRule="auto"/>
        <w:outlineLvl w:val="2"/>
        <w:rPr>
          <w:rFonts w:eastAsia="Calibri"/>
          <w:b/>
          <w:i/>
          <w:sz w:val="20"/>
          <w:szCs w:val="20"/>
          <w:lang w:val="en-US"/>
        </w:rPr>
      </w:pPr>
    </w:p>
    <w:p w14:paraId="29F79CFD" w14:textId="4CF61E20" w:rsidR="00935F35" w:rsidRPr="009D52FD" w:rsidRDefault="00C16EB7" w:rsidP="00C6536C">
      <w:pPr>
        <w:tabs>
          <w:tab w:val="left" w:pos="567"/>
          <w:tab w:val="left" w:pos="2127"/>
          <w:tab w:val="left" w:pos="2552"/>
        </w:tabs>
        <w:spacing w:line="240" w:lineRule="auto"/>
        <w:ind w:left="1701"/>
        <w:rPr>
          <w:rFonts w:eastAsia="MS Mincho"/>
          <w:i/>
          <w:sz w:val="20"/>
          <w:szCs w:val="20"/>
          <w:lang w:val="en-US" w:bidi="en-US"/>
        </w:rPr>
      </w:pPr>
      <w:r w:rsidRPr="009D52FD">
        <w:rPr>
          <w:rFonts w:eastAsia="MS Mincho"/>
          <w:i/>
          <w:sz w:val="20"/>
          <w:szCs w:val="20"/>
          <w:lang w:val="en-US" w:bidi="en-US"/>
        </w:rPr>
        <w:t>D</w:t>
      </w:r>
      <w:r w:rsidR="003544DD" w:rsidRPr="009D52FD">
        <w:rPr>
          <w:rFonts w:eastAsia="MS Mincho"/>
          <w:i/>
          <w:sz w:val="20"/>
          <w:szCs w:val="20"/>
          <w:lang w:val="en-US" w:bidi="en-US"/>
        </w:rPr>
        <w:t>.1.</w:t>
      </w:r>
      <w:r w:rsidR="00935F35" w:rsidRPr="009D52FD">
        <w:rPr>
          <w:rFonts w:eastAsia="MS Mincho"/>
          <w:i/>
          <w:sz w:val="20"/>
          <w:szCs w:val="20"/>
          <w:lang w:val="en-US" w:bidi="en-US"/>
        </w:rPr>
        <w:t xml:space="preserve">a) </w:t>
      </w:r>
      <w:r w:rsidR="003544DD" w:rsidRPr="009D52FD">
        <w:rPr>
          <w:rFonts w:eastAsia="MS Mincho"/>
          <w:i/>
          <w:sz w:val="20"/>
          <w:szCs w:val="20"/>
          <w:lang w:val="en-US" w:bidi="en-US"/>
        </w:rPr>
        <w:tab/>
      </w:r>
      <w:r w:rsidR="007D3D4F" w:rsidRPr="009D52FD">
        <w:rPr>
          <w:rFonts w:eastAsia="MS Mincho"/>
          <w:i/>
          <w:sz w:val="20"/>
          <w:szCs w:val="20"/>
          <w:lang w:val="en-US" w:bidi="en-US"/>
        </w:rPr>
        <w:t>Indirect damage</w:t>
      </w:r>
    </w:p>
    <w:p w14:paraId="1B4E5E71" w14:textId="77777777" w:rsidR="00935F35" w:rsidRPr="009D52FD" w:rsidRDefault="00935F35" w:rsidP="00935F35">
      <w:pPr>
        <w:spacing w:line="240" w:lineRule="auto"/>
        <w:rPr>
          <w:i/>
          <w:iCs/>
          <w:sz w:val="20"/>
          <w:szCs w:val="20"/>
          <w:lang w:val="en-US"/>
        </w:rPr>
      </w:pPr>
    </w:p>
    <w:p w14:paraId="2889E84C" w14:textId="18D887D2" w:rsidR="00935F35" w:rsidRPr="009D52FD" w:rsidRDefault="003630BB" w:rsidP="00075CF3">
      <w:pPr>
        <w:numPr>
          <w:ilvl w:val="0"/>
          <w:numId w:val="1"/>
        </w:numPr>
        <w:tabs>
          <w:tab w:val="left" w:pos="567"/>
        </w:tabs>
        <w:spacing w:line="240" w:lineRule="auto"/>
        <w:ind w:left="0" w:firstLine="0"/>
        <w:textAlignment w:val="auto"/>
        <w:rPr>
          <w:rFonts w:eastAsia="MS Mincho" w:cs="Tahoma"/>
          <w:b/>
          <w:sz w:val="20"/>
          <w:szCs w:val="20"/>
          <w:lang w:val="en-US"/>
        </w:rPr>
      </w:pPr>
      <w:r w:rsidRPr="009D52FD">
        <w:rPr>
          <w:rFonts w:eastAsia="Verdana" w:cs="Verdana"/>
          <w:sz w:val="20"/>
          <w:szCs w:val="20"/>
          <w:lang w:val="en-US"/>
        </w:rPr>
        <w:t xml:space="preserve">The </w:t>
      </w:r>
      <w:r w:rsidRPr="009D52FD">
        <w:rPr>
          <w:rFonts w:eastAsia="Verdana" w:cs="Verdana"/>
          <w:b/>
          <w:bCs/>
          <w:i/>
          <w:iCs/>
          <w:sz w:val="20"/>
          <w:szCs w:val="20"/>
          <w:lang w:val="en-US"/>
        </w:rPr>
        <w:t>representatives</w:t>
      </w:r>
      <w:r w:rsidR="00935F35" w:rsidRPr="009D52FD">
        <w:rPr>
          <w:rFonts w:eastAsia="Verdana" w:cs="Verdana"/>
          <w:sz w:val="20"/>
          <w:szCs w:val="20"/>
          <w:lang w:val="en-US"/>
        </w:rPr>
        <w:t xml:space="preserve"> </w:t>
      </w:r>
      <w:r w:rsidR="00075CF3" w:rsidRPr="009D52FD">
        <w:rPr>
          <w:rFonts w:eastAsia="Verdana" w:cs="Verdana"/>
          <w:sz w:val="20"/>
          <w:szCs w:val="20"/>
          <w:lang w:val="en-US"/>
        </w:rPr>
        <w:t>asked</w:t>
      </w:r>
      <w:r w:rsidR="00935F35" w:rsidRPr="009D52FD">
        <w:rPr>
          <w:rFonts w:eastAsia="Verdana" w:cs="Verdana"/>
          <w:sz w:val="20"/>
          <w:szCs w:val="20"/>
          <w:lang w:val="en-US"/>
        </w:rPr>
        <w:t xml:space="preserve"> </w:t>
      </w:r>
      <w:r w:rsidRPr="009D52FD">
        <w:rPr>
          <w:rFonts w:eastAsia="Verdana" w:cs="Verdana"/>
          <w:sz w:val="20"/>
          <w:szCs w:val="20"/>
          <w:lang w:val="en-US"/>
        </w:rPr>
        <w:t>the Court</w:t>
      </w:r>
      <w:r w:rsidR="00935F35" w:rsidRPr="009D52FD">
        <w:rPr>
          <w:rFonts w:eastAsia="Verdana" w:cs="Verdana"/>
          <w:sz w:val="20"/>
          <w:szCs w:val="20"/>
          <w:lang w:val="en-US"/>
        </w:rPr>
        <w:t xml:space="preserve"> </w:t>
      </w:r>
      <w:r w:rsidR="00075CF3" w:rsidRPr="009D52FD">
        <w:rPr>
          <w:rFonts w:eastAsia="Verdana" w:cs="Verdana"/>
          <w:sz w:val="20"/>
          <w:szCs w:val="20"/>
          <w:lang w:val="en-US"/>
        </w:rPr>
        <w:t xml:space="preserve">to order the State to pay the victims, for the concept of </w:t>
      </w:r>
      <w:r w:rsidR="007D3D4F" w:rsidRPr="009D52FD">
        <w:rPr>
          <w:rFonts w:eastAsia="Verdana" w:cs="Verdana"/>
          <w:sz w:val="20"/>
          <w:szCs w:val="20"/>
          <w:lang w:val="en-US"/>
        </w:rPr>
        <w:t>indirect damage</w:t>
      </w:r>
      <w:r w:rsidR="00935F35" w:rsidRPr="009D52FD">
        <w:rPr>
          <w:rFonts w:eastAsia="Verdana" w:cs="Verdana"/>
          <w:sz w:val="20"/>
          <w:szCs w:val="20"/>
          <w:lang w:val="en-US"/>
        </w:rPr>
        <w:t xml:space="preserve">, </w:t>
      </w:r>
      <w:r w:rsidR="00075CF3" w:rsidRPr="009D52FD">
        <w:rPr>
          <w:rFonts w:eastAsia="Verdana" w:cs="Verdana"/>
          <w:sz w:val="20"/>
          <w:szCs w:val="20"/>
          <w:lang w:val="en-US"/>
        </w:rPr>
        <w:t>the medical expenses incurred owing to the physical and mental injuries suffered by Linda Loaiza López Soto during her captivity. To support these expenses, they forwarded various payment vouchers, certifications of medical treatment and invoices. Specifically, the representatives</w:t>
      </w:r>
      <w:r w:rsidR="0045006D" w:rsidRPr="009D52FD">
        <w:rPr>
          <w:rFonts w:eastAsia="Verdana" w:cs="Verdana"/>
          <w:sz w:val="20"/>
          <w:szCs w:val="20"/>
          <w:lang w:val="en-US"/>
        </w:rPr>
        <w:t xml:space="preserve"> estimated the expenses of surgical procedures in the amount of</w:t>
      </w:r>
      <w:r w:rsidR="0045006D" w:rsidRPr="009D52FD">
        <w:rPr>
          <w:rFonts w:eastAsia="MS Mincho" w:cs="Tahoma"/>
          <w:b/>
          <w:sz w:val="20"/>
          <w:szCs w:val="20"/>
          <w:lang w:val="en-US"/>
        </w:rPr>
        <w:t xml:space="preserve"> </w:t>
      </w:r>
      <w:r w:rsidR="00935F35" w:rsidRPr="009D52FD">
        <w:rPr>
          <w:rFonts w:eastAsia="Verdana" w:cs="Verdana"/>
          <w:sz w:val="20"/>
          <w:szCs w:val="20"/>
          <w:lang w:val="en-US"/>
        </w:rPr>
        <w:t>Bs.128</w:t>
      </w:r>
      <w:r w:rsidR="00864649" w:rsidRPr="009D52FD">
        <w:rPr>
          <w:rFonts w:eastAsia="Verdana" w:cs="Verdana"/>
          <w:sz w:val="20"/>
          <w:szCs w:val="20"/>
          <w:lang w:val="en-US"/>
        </w:rPr>
        <w:t>,</w:t>
      </w:r>
      <w:r w:rsidR="00935F35" w:rsidRPr="009D52FD">
        <w:rPr>
          <w:rFonts w:eastAsia="Verdana" w:cs="Verdana"/>
          <w:sz w:val="20"/>
          <w:szCs w:val="20"/>
          <w:lang w:val="en-US"/>
        </w:rPr>
        <w:t>309</w:t>
      </w:r>
      <w:r w:rsidR="00864649" w:rsidRPr="009D52FD">
        <w:rPr>
          <w:rFonts w:eastAsia="Verdana" w:cs="Verdana"/>
          <w:sz w:val="20"/>
          <w:szCs w:val="20"/>
          <w:lang w:val="en-US"/>
        </w:rPr>
        <w:t>.</w:t>
      </w:r>
      <w:r w:rsidR="007A2FC4" w:rsidRPr="009D52FD">
        <w:rPr>
          <w:rFonts w:eastAsia="Verdana" w:cs="Verdana"/>
          <w:sz w:val="20"/>
          <w:szCs w:val="20"/>
          <w:lang w:val="en-US"/>
        </w:rPr>
        <w:t>00;</w:t>
      </w:r>
      <w:r w:rsidR="0045006D" w:rsidRPr="009D52FD">
        <w:rPr>
          <w:rFonts w:eastAsia="Verdana" w:cs="Verdana"/>
          <w:sz w:val="20"/>
          <w:szCs w:val="20"/>
          <w:lang w:val="en-US"/>
        </w:rPr>
        <w:t xml:space="preserve"> pharmaceutical expenses in the amount of </w:t>
      </w:r>
      <w:r w:rsidR="00935F35" w:rsidRPr="009D52FD">
        <w:rPr>
          <w:rFonts w:eastAsia="Verdana" w:cs="Verdana"/>
          <w:sz w:val="20"/>
          <w:szCs w:val="20"/>
          <w:lang w:val="en-US"/>
        </w:rPr>
        <w:t>Bs.22</w:t>
      </w:r>
      <w:r w:rsidR="00864649" w:rsidRPr="009D52FD">
        <w:rPr>
          <w:rFonts w:eastAsia="Verdana" w:cs="Verdana"/>
          <w:sz w:val="20"/>
          <w:szCs w:val="20"/>
          <w:lang w:val="en-US"/>
        </w:rPr>
        <w:t>,</w:t>
      </w:r>
      <w:r w:rsidR="00935F35" w:rsidRPr="009D52FD">
        <w:rPr>
          <w:rFonts w:eastAsia="Verdana" w:cs="Verdana"/>
          <w:sz w:val="20"/>
          <w:szCs w:val="20"/>
          <w:lang w:val="en-US"/>
        </w:rPr>
        <w:t>258</w:t>
      </w:r>
      <w:r w:rsidR="00864649" w:rsidRPr="009D52FD">
        <w:rPr>
          <w:rFonts w:eastAsia="Verdana" w:cs="Verdana"/>
          <w:sz w:val="20"/>
          <w:szCs w:val="20"/>
          <w:lang w:val="en-US"/>
        </w:rPr>
        <w:t>.</w:t>
      </w:r>
      <w:r w:rsidR="00935F35" w:rsidRPr="009D52FD">
        <w:rPr>
          <w:rFonts w:eastAsia="Verdana" w:cs="Verdana"/>
          <w:sz w:val="20"/>
          <w:szCs w:val="20"/>
          <w:lang w:val="en-US"/>
        </w:rPr>
        <w:t>72,</w:t>
      </w:r>
      <w:r w:rsidRPr="009D52FD">
        <w:rPr>
          <w:rFonts w:eastAsia="Verdana" w:cs="Verdana"/>
          <w:sz w:val="20"/>
          <w:szCs w:val="20"/>
          <w:lang w:val="en-US"/>
        </w:rPr>
        <w:t xml:space="preserve"> and </w:t>
      </w:r>
      <w:r w:rsidR="0045006D" w:rsidRPr="009D52FD">
        <w:rPr>
          <w:rFonts w:eastAsia="Verdana" w:cs="Verdana"/>
          <w:sz w:val="20"/>
          <w:szCs w:val="20"/>
          <w:lang w:val="en-US"/>
        </w:rPr>
        <w:t xml:space="preserve">the disbursements made for medical consultations and tests, </w:t>
      </w:r>
      <w:r w:rsidR="00935F35" w:rsidRPr="009D52FD">
        <w:rPr>
          <w:rFonts w:eastAsia="Verdana" w:cs="Verdana"/>
          <w:sz w:val="20"/>
          <w:szCs w:val="20"/>
          <w:lang w:val="en-US"/>
        </w:rPr>
        <w:t>Bs</w:t>
      </w:r>
      <w:r w:rsidR="004234EB" w:rsidRPr="009D52FD">
        <w:rPr>
          <w:rFonts w:eastAsia="Verdana" w:cs="Verdana"/>
          <w:sz w:val="20"/>
          <w:szCs w:val="20"/>
          <w:lang w:val="en-US"/>
        </w:rPr>
        <w:t>.</w:t>
      </w:r>
      <w:r w:rsidR="00935F35" w:rsidRPr="009D52FD">
        <w:rPr>
          <w:rFonts w:eastAsia="Verdana" w:cs="Verdana"/>
          <w:sz w:val="20"/>
          <w:szCs w:val="20"/>
          <w:lang w:val="en-US"/>
        </w:rPr>
        <w:t xml:space="preserve"> F 14</w:t>
      </w:r>
      <w:r w:rsidR="00864649" w:rsidRPr="009D52FD">
        <w:rPr>
          <w:rFonts w:eastAsia="Verdana" w:cs="Verdana"/>
          <w:sz w:val="20"/>
          <w:szCs w:val="20"/>
          <w:lang w:val="en-US"/>
        </w:rPr>
        <w:t>,</w:t>
      </w:r>
      <w:r w:rsidR="00935F35" w:rsidRPr="009D52FD">
        <w:rPr>
          <w:rFonts w:eastAsia="Verdana" w:cs="Verdana"/>
          <w:sz w:val="20"/>
          <w:szCs w:val="20"/>
          <w:lang w:val="en-US"/>
        </w:rPr>
        <w:t>360</w:t>
      </w:r>
      <w:r w:rsidR="00864649" w:rsidRPr="009D52FD">
        <w:rPr>
          <w:rFonts w:eastAsia="Verdana" w:cs="Verdana"/>
          <w:sz w:val="20"/>
          <w:szCs w:val="20"/>
          <w:lang w:val="en-US"/>
        </w:rPr>
        <w:t>.</w:t>
      </w:r>
      <w:r w:rsidR="00935F35" w:rsidRPr="009D52FD">
        <w:rPr>
          <w:rFonts w:eastAsia="Verdana" w:cs="Verdana"/>
          <w:sz w:val="20"/>
          <w:szCs w:val="20"/>
          <w:lang w:val="en-US"/>
        </w:rPr>
        <w:t>44</w:t>
      </w:r>
      <w:r w:rsidR="007A2FC4" w:rsidRPr="009D52FD">
        <w:rPr>
          <w:rFonts w:eastAsia="Verdana" w:cs="Verdana"/>
          <w:sz w:val="20"/>
          <w:szCs w:val="20"/>
          <w:lang w:val="en-US"/>
        </w:rPr>
        <w:t>. T</w:t>
      </w:r>
      <w:r w:rsidR="0045006D" w:rsidRPr="009D52FD">
        <w:rPr>
          <w:rFonts w:eastAsia="Verdana" w:cs="Verdana"/>
          <w:sz w:val="20"/>
          <w:szCs w:val="20"/>
          <w:lang w:val="en-US"/>
        </w:rPr>
        <w:t xml:space="preserve">his adds up to </w:t>
      </w:r>
      <w:r w:rsidR="00935F35" w:rsidRPr="009D52FD">
        <w:rPr>
          <w:rFonts w:eastAsia="Verdana" w:cs="Verdana"/>
          <w:sz w:val="20"/>
          <w:szCs w:val="20"/>
          <w:lang w:val="en-US"/>
        </w:rPr>
        <w:t>Bs</w:t>
      </w:r>
      <w:r w:rsidR="004234EB" w:rsidRPr="009D52FD">
        <w:rPr>
          <w:rFonts w:eastAsia="Verdana" w:cs="Verdana"/>
          <w:sz w:val="20"/>
          <w:szCs w:val="20"/>
          <w:lang w:val="en-US"/>
        </w:rPr>
        <w:t>.</w:t>
      </w:r>
      <w:r w:rsidR="00935F35" w:rsidRPr="009D52FD">
        <w:rPr>
          <w:rFonts w:eastAsia="Verdana" w:cs="Verdana"/>
          <w:sz w:val="20"/>
          <w:szCs w:val="20"/>
          <w:lang w:val="en-US"/>
        </w:rPr>
        <w:t xml:space="preserve"> F 164</w:t>
      </w:r>
      <w:r w:rsidR="00864649" w:rsidRPr="009D52FD">
        <w:rPr>
          <w:rFonts w:eastAsia="Verdana" w:cs="Verdana"/>
          <w:sz w:val="20"/>
          <w:szCs w:val="20"/>
          <w:lang w:val="en-US"/>
        </w:rPr>
        <w:t>,</w:t>
      </w:r>
      <w:r w:rsidR="00935F35" w:rsidRPr="009D52FD">
        <w:rPr>
          <w:rFonts w:eastAsia="Verdana" w:cs="Verdana"/>
          <w:sz w:val="20"/>
          <w:szCs w:val="20"/>
          <w:lang w:val="en-US"/>
        </w:rPr>
        <w:t>928</w:t>
      </w:r>
      <w:r w:rsidR="00864649" w:rsidRPr="009D52FD">
        <w:rPr>
          <w:rFonts w:eastAsia="Verdana" w:cs="Verdana"/>
          <w:sz w:val="20"/>
          <w:szCs w:val="20"/>
          <w:lang w:val="en-US"/>
        </w:rPr>
        <w:t>.</w:t>
      </w:r>
      <w:r w:rsidR="00935F35" w:rsidRPr="009D52FD">
        <w:rPr>
          <w:rFonts w:eastAsia="Verdana" w:cs="Verdana"/>
          <w:sz w:val="20"/>
          <w:szCs w:val="20"/>
          <w:lang w:val="en-US"/>
        </w:rPr>
        <w:t>16</w:t>
      </w:r>
      <w:r w:rsidR="00A2557D" w:rsidRPr="009D52FD">
        <w:rPr>
          <w:rFonts w:eastAsia="Verdana" w:cs="Verdana"/>
          <w:sz w:val="20"/>
          <w:szCs w:val="20"/>
          <w:lang w:val="en-US"/>
        </w:rPr>
        <w:t xml:space="preserve"> </w:t>
      </w:r>
      <w:r w:rsidR="0045006D" w:rsidRPr="009D52FD">
        <w:rPr>
          <w:rFonts w:eastAsia="Verdana" w:cs="Verdana"/>
          <w:sz w:val="20"/>
          <w:szCs w:val="20"/>
          <w:lang w:val="en-US"/>
        </w:rPr>
        <w:t>f</w:t>
      </w:r>
      <w:r w:rsidR="00A2557D" w:rsidRPr="009D52FD">
        <w:rPr>
          <w:rFonts w:eastAsia="Verdana" w:cs="Verdana"/>
          <w:sz w:val="20"/>
          <w:szCs w:val="20"/>
          <w:lang w:val="en-US"/>
        </w:rPr>
        <w:t xml:space="preserve">or </w:t>
      </w:r>
      <w:r w:rsidR="0045006D" w:rsidRPr="009D52FD">
        <w:rPr>
          <w:rFonts w:eastAsia="Verdana" w:cs="Verdana"/>
          <w:sz w:val="20"/>
          <w:szCs w:val="20"/>
          <w:lang w:val="en-US"/>
        </w:rPr>
        <w:t xml:space="preserve">medical expenses. The </w:t>
      </w:r>
      <w:r w:rsidRPr="009D52FD">
        <w:rPr>
          <w:rFonts w:eastAsia="MS Mincho" w:cs="Tahoma"/>
          <w:sz w:val="20"/>
          <w:szCs w:val="20"/>
          <w:lang w:val="en-US"/>
        </w:rPr>
        <w:t>representatives</w:t>
      </w:r>
      <w:r w:rsidR="00935F35" w:rsidRPr="009D52FD">
        <w:rPr>
          <w:rFonts w:eastAsia="MS Mincho" w:cs="Tahoma"/>
          <w:sz w:val="20"/>
          <w:szCs w:val="20"/>
          <w:lang w:val="en-US"/>
        </w:rPr>
        <w:t xml:space="preserve"> </w:t>
      </w:r>
      <w:r w:rsidR="0045006D" w:rsidRPr="009D52FD">
        <w:rPr>
          <w:rFonts w:eastAsia="MS Mincho" w:cs="Tahoma"/>
          <w:sz w:val="20"/>
          <w:szCs w:val="20"/>
          <w:lang w:val="en-US"/>
        </w:rPr>
        <w:t>asked</w:t>
      </w:r>
      <w:r w:rsidR="00935F35" w:rsidRPr="009D52FD">
        <w:rPr>
          <w:rFonts w:eastAsia="MS Mincho" w:cs="Tahoma"/>
          <w:sz w:val="20"/>
          <w:szCs w:val="20"/>
          <w:lang w:val="en-US"/>
        </w:rPr>
        <w:t xml:space="preserve"> </w:t>
      </w:r>
      <w:r w:rsidRPr="009D52FD">
        <w:rPr>
          <w:rFonts w:eastAsia="MS Mincho" w:cs="Tahoma"/>
          <w:sz w:val="20"/>
          <w:szCs w:val="20"/>
          <w:lang w:val="en-US"/>
        </w:rPr>
        <w:t>the Court</w:t>
      </w:r>
      <w:r w:rsidR="00935F35" w:rsidRPr="009D52FD">
        <w:rPr>
          <w:rFonts w:eastAsia="MS Mincho" w:cs="Tahoma"/>
          <w:sz w:val="20"/>
          <w:szCs w:val="20"/>
          <w:lang w:val="en-US"/>
        </w:rPr>
        <w:t xml:space="preserve"> </w:t>
      </w:r>
      <w:r w:rsidR="0045006D" w:rsidRPr="009D52FD">
        <w:rPr>
          <w:rFonts w:eastAsia="MS Mincho" w:cs="Tahoma"/>
          <w:sz w:val="20"/>
          <w:szCs w:val="20"/>
          <w:lang w:val="en-US"/>
        </w:rPr>
        <w:t>to establish, in equity an amount for these concepts and</w:t>
      </w:r>
      <w:r w:rsidR="00E855AD" w:rsidRPr="009D52FD">
        <w:rPr>
          <w:rFonts w:eastAsia="MS Mincho" w:cs="Tahoma"/>
          <w:sz w:val="20"/>
          <w:szCs w:val="20"/>
          <w:lang w:val="en-US"/>
        </w:rPr>
        <w:t>,</w:t>
      </w:r>
      <w:r w:rsidR="0045006D" w:rsidRPr="009D52FD">
        <w:rPr>
          <w:rFonts w:eastAsia="MS Mincho" w:cs="Tahoma"/>
          <w:sz w:val="20"/>
          <w:szCs w:val="20"/>
          <w:lang w:val="en-US"/>
        </w:rPr>
        <w:t xml:space="preserve"> to determine this</w:t>
      </w:r>
      <w:r w:rsidR="00E855AD" w:rsidRPr="009D52FD">
        <w:rPr>
          <w:rFonts w:eastAsia="MS Mincho" w:cs="Tahoma"/>
          <w:sz w:val="20"/>
          <w:szCs w:val="20"/>
          <w:lang w:val="en-US"/>
        </w:rPr>
        <w:t>,</w:t>
      </w:r>
      <w:r w:rsidR="0045006D" w:rsidRPr="009D52FD">
        <w:rPr>
          <w:rFonts w:eastAsia="MS Mincho" w:cs="Tahoma"/>
          <w:sz w:val="20"/>
          <w:szCs w:val="20"/>
          <w:lang w:val="en-US"/>
        </w:rPr>
        <w:t xml:space="preserve"> they recommended taking into account the expert</w:t>
      </w:r>
      <w:r w:rsidR="00E855AD" w:rsidRPr="009D52FD">
        <w:rPr>
          <w:rFonts w:eastAsia="MS Mincho" w:cs="Tahoma"/>
          <w:sz w:val="20"/>
          <w:szCs w:val="20"/>
          <w:lang w:val="en-US"/>
        </w:rPr>
        <w:t xml:space="preserve"> medical</w:t>
      </w:r>
      <w:r w:rsidR="0045006D" w:rsidRPr="009D52FD">
        <w:rPr>
          <w:rFonts w:eastAsia="MS Mincho" w:cs="Tahoma"/>
          <w:sz w:val="20"/>
          <w:szCs w:val="20"/>
          <w:lang w:val="en-US"/>
        </w:rPr>
        <w:t xml:space="preserve"> opinions, and the testimony of </w:t>
      </w:r>
      <w:r w:rsidR="00935F35" w:rsidRPr="009D52FD">
        <w:rPr>
          <w:rFonts w:eastAsia="MS Mincho" w:cs="Tahoma"/>
          <w:sz w:val="20"/>
          <w:szCs w:val="20"/>
          <w:lang w:val="en-US"/>
        </w:rPr>
        <w:t xml:space="preserve">Linda Loaiza </w:t>
      </w:r>
      <w:r w:rsidR="0045006D" w:rsidRPr="009D52FD">
        <w:rPr>
          <w:rFonts w:eastAsia="MS Mincho" w:cs="Tahoma"/>
          <w:sz w:val="20"/>
          <w:szCs w:val="20"/>
          <w:lang w:val="en-US"/>
        </w:rPr>
        <w:t>during the</w:t>
      </w:r>
      <w:r w:rsidR="00935F35" w:rsidRPr="009D52FD">
        <w:rPr>
          <w:rFonts w:eastAsia="MS Mincho" w:cs="Tahoma"/>
          <w:sz w:val="20"/>
          <w:szCs w:val="20"/>
          <w:lang w:val="en-US"/>
        </w:rPr>
        <w:t xml:space="preserve"> </w:t>
      </w:r>
      <w:r w:rsidR="0002239A" w:rsidRPr="009D52FD">
        <w:rPr>
          <w:rFonts w:eastAsia="MS Mincho" w:cs="Tahoma"/>
          <w:sz w:val="20"/>
          <w:szCs w:val="20"/>
          <w:lang w:val="en-US"/>
        </w:rPr>
        <w:t>public hearing</w:t>
      </w:r>
      <w:r w:rsidR="00935F35" w:rsidRPr="009D52FD">
        <w:rPr>
          <w:rFonts w:eastAsia="MS Mincho" w:cs="Tahoma"/>
          <w:sz w:val="20"/>
          <w:szCs w:val="20"/>
          <w:lang w:val="en-US"/>
        </w:rPr>
        <w:t xml:space="preserve"> </w:t>
      </w:r>
      <w:r w:rsidR="0045006D" w:rsidRPr="009D52FD">
        <w:rPr>
          <w:rFonts w:eastAsia="MS Mincho" w:cs="Tahoma"/>
          <w:sz w:val="20"/>
          <w:szCs w:val="20"/>
          <w:lang w:val="en-US"/>
        </w:rPr>
        <w:t xml:space="preserve">before this </w:t>
      </w:r>
      <w:r w:rsidR="0002239A" w:rsidRPr="009D52FD">
        <w:rPr>
          <w:rFonts w:eastAsia="MS Mincho" w:cs="Tahoma"/>
          <w:sz w:val="20"/>
          <w:szCs w:val="20"/>
          <w:lang w:val="en-US"/>
        </w:rPr>
        <w:t>Court</w:t>
      </w:r>
      <w:r w:rsidR="004F2F99" w:rsidRPr="009D52FD">
        <w:rPr>
          <w:rFonts w:eastAsia="MS Mincho" w:cs="Tahoma"/>
          <w:sz w:val="20"/>
          <w:szCs w:val="20"/>
          <w:lang w:val="en-US"/>
        </w:rPr>
        <w:t>.</w:t>
      </w:r>
    </w:p>
    <w:p w14:paraId="4DA17DE1" w14:textId="77777777" w:rsidR="00935F35" w:rsidRPr="009D52FD" w:rsidRDefault="00935F35" w:rsidP="00935F35">
      <w:pPr>
        <w:tabs>
          <w:tab w:val="left" w:pos="567"/>
        </w:tabs>
        <w:spacing w:line="240" w:lineRule="auto"/>
        <w:rPr>
          <w:rFonts w:eastAsia="MS Mincho" w:cs="Tahoma"/>
          <w:b/>
          <w:sz w:val="20"/>
          <w:szCs w:val="20"/>
          <w:lang w:val="en-US"/>
        </w:rPr>
      </w:pPr>
    </w:p>
    <w:p w14:paraId="47670B83" w14:textId="6BD00C3A" w:rsidR="00935F35" w:rsidRPr="009D52FD" w:rsidRDefault="003630BB" w:rsidP="0045006D">
      <w:pPr>
        <w:numPr>
          <w:ilvl w:val="0"/>
          <w:numId w:val="1"/>
        </w:numPr>
        <w:tabs>
          <w:tab w:val="left" w:pos="567"/>
        </w:tabs>
        <w:spacing w:line="240" w:lineRule="auto"/>
        <w:ind w:left="0" w:firstLine="0"/>
        <w:textAlignment w:val="auto"/>
        <w:rPr>
          <w:rFonts w:eastAsia="MS Mincho" w:cs="Tahoma"/>
          <w:b/>
          <w:sz w:val="20"/>
          <w:szCs w:val="20"/>
          <w:lang w:val="en-US"/>
        </w:rPr>
      </w:pPr>
      <w:r w:rsidRPr="009D52FD">
        <w:rPr>
          <w:rFonts w:eastAsia="Verdana" w:cs="Verdana"/>
          <w:sz w:val="20"/>
          <w:szCs w:val="20"/>
          <w:lang w:val="en-US"/>
        </w:rPr>
        <w:t>The representatives</w:t>
      </w:r>
      <w:r w:rsidR="00935F35" w:rsidRPr="009D52FD">
        <w:rPr>
          <w:rFonts w:eastAsia="Verdana" w:cs="Verdana"/>
          <w:sz w:val="20"/>
          <w:szCs w:val="20"/>
          <w:lang w:val="en-US"/>
        </w:rPr>
        <w:t xml:space="preserve"> a</w:t>
      </w:r>
      <w:r w:rsidR="0045006D" w:rsidRPr="009D52FD">
        <w:rPr>
          <w:rFonts w:eastAsia="Verdana" w:cs="Verdana"/>
          <w:sz w:val="20"/>
          <w:szCs w:val="20"/>
          <w:lang w:val="en-US"/>
        </w:rPr>
        <w:t xml:space="preserve">dded that the expenses incurred in the search for justice should be added to the </w:t>
      </w:r>
      <w:r w:rsidR="00E855AD" w:rsidRPr="009D52FD">
        <w:rPr>
          <w:rFonts w:eastAsia="Verdana" w:cs="Verdana"/>
          <w:sz w:val="20"/>
          <w:szCs w:val="20"/>
          <w:lang w:val="en-US"/>
        </w:rPr>
        <w:t>above-mentioned</w:t>
      </w:r>
      <w:r w:rsidR="0045006D" w:rsidRPr="009D52FD">
        <w:rPr>
          <w:rFonts w:eastAsia="Verdana" w:cs="Verdana"/>
          <w:sz w:val="20"/>
          <w:szCs w:val="20"/>
          <w:lang w:val="en-US"/>
        </w:rPr>
        <w:t xml:space="preserve"> medical expenditure. In this regard, they explained that Linda Loaiza dedicated 16 years of her life to trying to obtain justice in her case and that this had caused a series of expenses that, even though all of them could not be proved with the corresponding invoices, were estimated to add up to Bs. F 118,050.00. This covered her journeys by public transport to the different public agencies (organs of justice, police stations, Ombudsman’s Office, Forensic Medicine Institute and hospitals), and by private transport for safety reasons. In the case of Linda Loaiza’s family, the representatives indicated that, as a result of the </w:t>
      </w:r>
      <w:r w:rsidR="00E855AD" w:rsidRPr="009D52FD">
        <w:rPr>
          <w:rFonts w:eastAsia="Verdana" w:cs="Verdana"/>
          <w:sz w:val="20"/>
          <w:szCs w:val="20"/>
          <w:lang w:val="en-US"/>
        </w:rPr>
        <w:t>f</w:t>
      </w:r>
      <w:r w:rsidR="0045006D" w:rsidRPr="009D52FD">
        <w:rPr>
          <w:rFonts w:eastAsia="Verdana" w:cs="Verdana"/>
          <w:sz w:val="20"/>
          <w:szCs w:val="20"/>
          <w:lang w:val="en-US"/>
        </w:rPr>
        <w:t xml:space="preserve">acts that she suffered and the need to move to Caracas from the </w:t>
      </w:r>
      <w:r w:rsidR="00544F92" w:rsidRPr="009D52FD">
        <w:rPr>
          <w:rFonts w:eastAsia="Verdana" w:cs="Verdana"/>
          <w:sz w:val="20"/>
          <w:szCs w:val="20"/>
          <w:lang w:val="en-US"/>
        </w:rPr>
        <w:t>state</w:t>
      </w:r>
      <w:r w:rsidR="0045006D" w:rsidRPr="009D52FD">
        <w:rPr>
          <w:rFonts w:eastAsia="Verdana" w:cs="Verdana"/>
          <w:sz w:val="20"/>
          <w:szCs w:val="20"/>
          <w:lang w:val="en-US"/>
        </w:rPr>
        <w:t xml:space="preserve"> of Mérida to help her, the</w:t>
      </w:r>
      <w:r w:rsidR="00982404" w:rsidRPr="009D52FD">
        <w:rPr>
          <w:rFonts w:eastAsia="Verdana" w:cs="Verdana"/>
          <w:sz w:val="20"/>
          <w:szCs w:val="20"/>
          <w:lang w:val="en-US"/>
        </w:rPr>
        <w:t xml:space="preserve"> value of the</w:t>
      </w:r>
      <w:r w:rsidR="0045006D" w:rsidRPr="009D52FD">
        <w:rPr>
          <w:rFonts w:eastAsia="Verdana" w:cs="Verdana"/>
          <w:sz w:val="20"/>
          <w:szCs w:val="20"/>
          <w:lang w:val="en-US"/>
        </w:rPr>
        <w:t xml:space="preserve"> family farm </w:t>
      </w:r>
      <w:r w:rsidR="00E855AD" w:rsidRPr="009D52FD">
        <w:rPr>
          <w:rFonts w:eastAsia="Verdana" w:cs="Verdana"/>
          <w:sz w:val="20"/>
          <w:szCs w:val="20"/>
          <w:lang w:val="en-US"/>
        </w:rPr>
        <w:t>gradually</w:t>
      </w:r>
      <w:r w:rsidR="0045006D" w:rsidRPr="009D52FD">
        <w:rPr>
          <w:rFonts w:eastAsia="Verdana" w:cs="Verdana"/>
          <w:sz w:val="20"/>
          <w:szCs w:val="20"/>
          <w:lang w:val="en-US"/>
        </w:rPr>
        <w:t xml:space="preserve"> depreciated</w:t>
      </w:r>
      <w:r w:rsidR="00151009" w:rsidRPr="009D52FD">
        <w:rPr>
          <w:rFonts w:eastAsia="Verdana" w:cs="Verdana"/>
          <w:sz w:val="20"/>
          <w:szCs w:val="20"/>
          <w:lang w:val="en-US"/>
        </w:rPr>
        <w:t xml:space="preserve"> (loss of animals and crops), and </w:t>
      </w:r>
      <w:r w:rsidR="00E855AD" w:rsidRPr="009D52FD">
        <w:rPr>
          <w:rFonts w:eastAsia="Verdana" w:cs="Verdana"/>
          <w:sz w:val="20"/>
          <w:szCs w:val="20"/>
          <w:lang w:val="en-US"/>
        </w:rPr>
        <w:t xml:space="preserve">it was this that </w:t>
      </w:r>
      <w:r w:rsidR="00151009" w:rsidRPr="009D52FD">
        <w:rPr>
          <w:rFonts w:eastAsia="Verdana" w:cs="Verdana"/>
          <w:sz w:val="20"/>
          <w:szCs w:val="20"/>
          <w:lang w:val="en-US"/>
        </w:rPr>
        <w:t>had constituted the main financial support of the whole family group. To determine the expenses incurred, the representatives considered the costs of the move to Caracas and also transportation within that city to visit health centers and jurisdictional organs to accompany Linda Loaiza, also the disbursements due to renting a house in Caracas from July 2001 to August 2008, and those for feeding the family group from 2001 to 2009, which amounted to a total of Bs. F 148,814.97. Subsequently, the representatives specified that, when determining these expenses, the specific pecuniary losses incurred by Nelson López Meza and Paulina Soto Chaustre should be taken into account, calculating that this amounted to</w:t>
      </w:r>
      <w:r w:rsidR="00151009" w:rsidRPr="009D52FD">
        <w:rPr>
          <w:rFonts w:eastAsia="MS Mincho" w:cs="Tahoma"/>
          <w:b/>
          <w:sz w:val="20"/>
          <w:szCs w:val="20"/>
          <w:lang w:val="en-US"/>
        </w:rPr>
        <w:t xml:space="preserve"> </w:t>
      </w:r>
      <w:r w:rsidR="00935F35" w:rsidRPr="009D52FD">
        <w:rPr>
          <w:rFonts w:eastAsia="Verdana" w:cs="Verdana"/>
          <w:sz w:val="20"/>
          <w:szCs w:val="20"/>
          <w:lang w:val="en-US"/>
        </w:rPr>
        <w:t>Bs</w:t>
      </w:r>
      <w:r w:rsidR="004234EB" w:rsidRPr="009D52FD">
        <w:rPr>
          <w:rFonts w:eastAsia="Verdana" w:cs="Verdana"/>
          <w:sz w:val="20"/>
          <w:szCs w:val="20"/>
          <w:lang w:val="en-US"/>
        </w:rPr>
        <w:t>.</w:t>
      </w:r>
      <w:r w:rsidR="00935F35" w:rsidRPr="009D52FD">
        <w:rPr>
          <w:rFonts w:eastAsia="Verdana" w:cs="Verdana"/>
          <w:sz w:val="20"/>
          <w:szCs w:val="20"/>
          <w:lang w:val="en-US"/>
        </w:rPr>
        <w:t xml:space="preserve"> F 35</w:t>
      </w:r>
      <w:r w:rsidR="00864649" w:rsidRPr="009D52FD">
        <w:rPr>
          <w:rFonts w:eastAsia="Verdana" w:cs="Verdana"/>
          <w:sz w:val="20"/>
          <w:szCs w:val="20"/>
          <w:lang w:val="en-US"/>
        </w:rPr>
        <w:t>,</w:t>
      </w:r>
      <w:r w:rsidR="00935F35" w:rsidRPr="009D52FD">
        <w:rPr>
          <w:rFonts w:eastAsia="Verdana" w:cs="Verdana"/>
          <w:sz w:val="20"/>
          <w:szCs w:val="20"/>
          <w:lang w:val="en-US"/>
        </w:rPr>
        <w:t>115</w:t>
      </w:r>
      <w:r w:rsidR="00864649" w:rsidRPr="009D52FD">
        <w:rPr>
          <w:rFonts w:eastAsia="Verdana" w:cs="Verdana"/>
          <w:sz w:val="20"/>
          <w:szCs w:val="20"/>
          <w:lang w:val="en-US"/>
        </w:rPr>
        <w:t>,</w:t>
      </w:r>
      <w:r w:rsidR="00935F35" w:rsidRPr="009D52FD">
        <w:rPr>
          <w:rFonts w:eastAsia="Verdana" w:cs="Verdana"/>
          <w:sz w:val="20"/>
          <w:szCs w:val="20"/>
          <w:lang w:val="en-US"/>
        </w:rPr>
        <w:t>200</w:t>
      </w:r>
      <w:r w:rsidR="00864649" w:rsidRPr="009D52FD">
        <w:rPr>
          <w:rFonts w:eastAsia="Verdana" w:cs="Verdana"/>
          <w:sz w:val="20"/>
          <w:szCs w:val="20"/>
          <w:lang w:val="en-US"/>
        </w:rPr>
        <w:t>.</w:t>
      </w:r>
      <w:r w:rsidR="00C63F39" w:rsidRPr="009D52FD">
        <w:rPr>
          <w:rFonts w:eastAsia="Verdana" w:cs="Verdana"/>
          <w:sz w:val="20"/>
          <w:szCs w:val="20"/>
          <w:lang w:val="en-US"/>
        </w:rPr>
        <w:t>00,</w:t>
      </w:r>
      <w:r w:rsidRPr="009D52FD">
        <w:rPr>
          <w:rFonts w:eastAsia="Verdana" w:cs="Verdana"/>
          <w:sz w:val="20"/>
          <w:szCs w:val="20"/>
          <w:lang w:val="en-US"/>
        </w:rPr>
        <w:t xml:space="preserve"> </w:t>
      </w:r>
      <w:r w:rsidR="00151009" w:rsidRPr="009D52FD">
        <w:rPr>
          <w:rFonts w:eastAsia="Verdana" w:cs="Verdana"/>
          <w:sz w:val="20"/>
          <w:szCs w:val="20"/>
          <w:lang w:val="en-US"/>
        </w:rPr>
        <w:t xml:space="preserve">together with the loss of crops and animals that amounted to </w:t>
      </w:r>
      <w:r w:rsidR="00935F35" w:rsidRPr="009D52FD">
        <w:rPr>
          <w:rFonts w:eastAsia="Verdana" w:cs="Verdana"/>
          <w:sz w:val="20"/>
          <w:szCs w:val="20"/>
          <w:lang w:val="en-US"/>
        </w:rPr>
        <w:t>Bs</w:t>
      </w:r>
      <w:r w:rsidR="004234EB" w:rsidRPr="009D52FD">
        <w:rPr>
          <w:rFonts w:eastAsia="Verdana" w:cs="Verdana"/>
          <w:sz w:val="20"/>
          <w:szCs w:val="20"/>
          <w:lang w:val="en-US"/>
        </w:rPr>
        <w:t>.</w:t>
      </w:r>
      <w:r w:rsidR="00935F35" w:rsidRPr="009D52FD">
        <w:rPr>
          <w:rFonts w:eastAsia="Verdana" w:cs="Verdana"/>
          <w:sz w:val="20"/>
          <w:szCs w:val="20"/>
          <w:lang w:val="en-US"/>
        </w:rPr>
        <w:t xml:space="preserve"> F 8</w:t>
      </w:r>
      <w:r w:rsidR="00864649" w:rsidRPr="009D52FD">
        <w:rPr>
          <w:rFonts w:eastAsia="Verdana" w:cs="Verdana"/>
          <w:sz w:val="20"/>
          <w:szCs w:val="20"/>
          <w:lang w:val="en-US"/>
        </w:rPr>
        <w:t>,</w:t>
      </w:r>
      <w:r w:rsidR="00935F35" w:rsidRPr="009D52FD">
        <w:rPr>
          <w:rFonts w:eastAsia="Verdana" w:cs="Verdana"/>
          <w:sz w:val="20"/>
          <w:szCs w:val="20"/>
          <w:lang w:val="en-US"/>
        </w:rPr>
        <w:t>707</w:t>
      </w:r>
      <w:r w:rsidR="00151009" w:rsidRPr="009D52FD">
        <w:rPr>
          <w:rFonts w:eastAsia="Verdana" w:cs="Verdana"/>
          <w:sz w:val="20"/>
          <w:szCs w:val="20"/>
          <w:lang w:val="en-US"/>
        </w:rPr>
        <w:t>,</w:t>
      </w:r>
      <w:r w:rsidR="00935F35" w:rsidRPr="009D52FD">
        <w:rPr>
          <w:rFonts w:eastAsia="Verdana" w:cs="Verdana"/>
          <w:sz w:val="20"/>
          <w:szCs w:val="20"/>
          <w:lang w:val="en-US"/>
        </w:rPr>
        <w:t>560</w:t>
      </w:r>
      <w:r w:rsidR="00864649" w:rsidRPr="009D52FD">
        <w:rPr>
          <w:rFonts w:eastAsia="Verdana" w:cs="Verdana"/>
          <w:sz w:val="20"/>
          <w:szCs w:val="20"/>
          <w:lang w:val="en-US"/>
        </w:rPr>
        <w:t>,</w:t>
      </w:r>
      <w:r w:rsidR="00935F35" w:rsidRPr="009D52FD">
        <w:rPr>
          <w:rFonts w:eastAsia="Verdana" w:cs="Verdana"/>
          <w:sz w:val="20"/>
          <w:szCs w:val="20"/>
          <w:lang w:val="en-US"/>
        </w:rPr>
        <w:t>400</w:t>
      </w:r>
      <w:r w:rsidR="00864649" w:rsidRPr="009D52FD">
        <w:rPr>
          <w:rFonts w:eastAsia="Verdana" w:cs="Verdana"/>
          <w:sz w:val="20"/>
          <w:szCs w:val="20"/>
          <w:lang w:val="en-US"/>
        </w:rPr>
        <w:t>.</w:t>
      </w:r>
      <w:r w:rsidR="00C63F39" w:rsidRPr="009D52FD">
        <w:rPr>
          <w:rFonts w:eastAsia="Verdana" w:cs="Verdana"/>
          <w:sz w:val="20"/>
          <w:szCs w:val="20"/>
          <w:lang w:val="en-US"/>
        </w:rPr>
        <w:t>00</w:t>
      </w:r>
      <w:r w:rsidR="00E56E67" w:rsidRPr="009D52FD">
        <w:rPr>
          <w:rFonts w:eastAsia="Verdana" w:cs="Verdana"/>
          <w:sz w:val="20"/>
          <w:szCs w:val="20"/>
          <w:lang w:val="en-US"/>
        </w:rPr>
        <w:t>.</w:t>
      </w:r>
    </w:p>
    <w:p w14:paraId="57317435" w14:textId="77777777" w:rsidR="00935F35" w:rsidRPr="009D52FD" w:rsidRDefault="00935F35" w:rsidP="00935F35">
      <w:pPr>
        <w:tabs>
          <w:tab w:val="left" w:pos="567"/>
        </w:tabs>
        <w:spacing w:line="240" w:lineRule="auto"/>
        <w:rPr>
          <w:rFonts w:eastAsia="MS Mincho" w:cs="Tahoma"/>
          <w:b/>
          <w:sz w:val="20"/>
          <w:szCs w:val="20"/>
          <w:lang w:val="en-US"/>
        </w:rPr>
      </w:pPr>
    </w:p>
    <w:p w14:paraId="1F440A5F" w14:textId="0534443F" w:rsidR="00935F35" w:rsidRPr="009D52FD" w:rsidRDefault="003630BB" w:rsidP="00935F35">
      <w:pPr>
        <w:numPr>
          <w:ilvl w:val="0"/>
          <w:numId w:val="1"/>
        </w:numPr>
        <w:tabs>
          <w:tab w:val="left" w:pos="567"/>
        </w:tabs>
        <w:spacing w:line="240" w:lineRule="auto"/>
        <w:ind w:left="0" w:firstLine="0"/>
        <w:textAlignment w:val="auto"/>
        <w:rPr>
          <w:rFonts w:eastAsia="MS Mincho"/>
          <w:sz w:val="20"/>
          <w:szCs w:val="20"/>
          <w:lang w:val="en-US" w:bidi="en-US"/>
        </w:rPr>
      </w:pPr>
      <w:r w:rsidRPr="009D52FD">
        <w:rPr>
          <w:rFonts w:eastAsia="MS Mincho"/>
          <w:sz w:val="20"/>
          <w:szCs w:val="20"/>
          <w:lang w:val="en-US" w:bidi="en-US"/>
        </w:rPr>
        <w:t xml:space="preserve">The </w:t>
      </w:r>
      <w:r w:rsidRPr="009D52FD">
        <w:rPr>
          <w:rFonts w:eastAsia="MS Mincho"/>
          <w:b/>
          <w:bCs/>
          <w:i/>
          <w:iCs/>
          <w:sz w:val="20"/>
          <w:szCs w:val="20"/>
          <w:lang w:val="en-US" w:bidi="en-US"/>
        </w:rPr>
        <w:t>State</w:t>
      </w:r>
      <w:r w:rsidR="00935F35" w:rsidRPr="009D52FD">
        <w:rPr>
          <w:rFonts w:eastAsia="MS Mincho"/>
          <w:b/>
          <w:i/>
          <w:sz w:val="20"/>
          <w:szCs w:val="20"/>
          <w:lang w:val="en-US" w:bidi="en-US"/>
        </w:rPr>
        <w:t xml:space="preserve"> </w:t>
      </w:r>
      <w:r w:rsidR="00864649" w:rsidRPr="009D52FD">
        <w:rPr>
          <w:rFonts w:eastAsia="MS Mincho"/>
          <w:sz w:val="20"/>
          <w:szCs w:val="20"/>
          <w:lang w:val="en-US" w:bidi="en-US"/>
        </w:rPr>
        <w:t>did not comment on this aspect</w:t>
      </w:r>
      <w:r w:rsidR="00935F35" w:rsidRPr="009D52FD">
        <w:rPr>
          <w:rFonts w:eastAsia="MS Mincho"/>
          <w:sz w:val="20"/>
          <w:szCs w:val="20"/>
          <w:lang w:val="en-US" w:bidi="en-US"/>
        </w:rPr>
        <w:t>.</w:t>
      </w:r>
    </w:p>
    <w:p w14:paraId="104E8E52" w14:textId="77777777" w:rsidR="00935F35" w:rsidRPr="009D52FD" w:rsidRDefault="00935F35" w:rsidP="00935F35">
      <w:pPr>
        <w:spacing w:line="240" w:lineRule="auto"/>
        <w:ind w:left="708"/>
        <w:rPr>
          <w:rFonts w:eastAsia="MS Mincho"/>
          <w:sz w:val="20"/>
          <w:szCs w:val="20"/>
          <w:lang w:val="en-US" w:bidi="en-US"/>
        </w:rPr>
      </w:pPr>
    </w:p>
    <w:p w14:paraId="30B68EEC" w14:textId="2DAE71A4" w:rsidR="00935F35" w:rsidRPr="009D52FD" w:rsidRDefault="003630BB" w:rsidP="00935F35">
      <w:pPr>
        <w:numPr>
          <w:ilvl w:val="0"/>
          <w:numId w:val="1"/>
        </w:numPr>
        <w:tabs>
          <w:tab w:val="left" w:pos="567"/>
        </w:tabs>
        <w:spacing w:line="240" w:lineRule="auto"/>
        <w:ind w:left="0" w:firstLine="0"/>
        <w:textAlignment w:val="auto"/>
        <w:rPr>
          <w:sz w:val="20"/>
          <w:szCs w:val="20"/>
          <w:lang w:val="en-US"/>
        </w:rPr>
      </w:pPr>
      <w:r w:rsidRPr="009D52FD">
        <w:rPr>
          <w:sz w:val="20"/>
          <w:szCs w:val="20"/>
          <w:lang w:val="en-US"/>
        </w:rPr>
        <w:t>The Court</w:t>
      </w:r>
      <w:r w:rsidR="00935F35" w:rsidRPr="009D52FD">
        <w:rPr>
          <w:sz w:val="20"/>
          <w:szCs w:val="20"/>
          <w:lang w:val="en-US"/>
        </w:rPr>
        <w:t xml:space="preserve"> t</w:t>
      </w:r>
      <w:r w:rsidR="00151009" w:rsidRPr="009D52FD">
        <w:rPr>
          <w:sz w:val="20"/>
          <w:szCs w:val="20"/>
          <w:lang w:val="en-US"/>
        </w:rPr>
        <w:t xml:space="preserve">akes note that the tangible harm indicated by </w:t>
      </w:r>
      <w:r w:rsidRPr="009D52FD">
        <w:rPr>
          <w:sz w:val="20"/>
          <w:szCs w:val="20"/>
          <w:lang w:val="en-US"/>
        </w:rPr>
        <w:t>the representatives</w:t>
      </w:r>
      <w:r w:rsidR="00935F35" w:rsidRPr="009D52FD">
        <w:rPr>
          <w:sz w:val="20"/>
          <w:szCs w:val="20"/>
          <w:lang w:val="en-US"/>
        </w:rPr>
        <w:t xml:space="preserve"> consist</w:t>
      </w:r>
      <w:r w:rsidR="00151009" w:rsidRPr="009D52FD">
        <w:rPr>
          <w:sz w:val="20"/>
          <w:szCs w:val="20"/>
          <w:lang w:val="en-US"/>
        </w:rPr>
        <w:t xml:space="preserve">ed in </w:t>
      </w:r>
      <w:r w:rsidR="007D3D4F" w:rsidRPr="009D52FD">
        <w:rPr>
          <w:sz w:val="20"/>
          <w:szCs w:val="20"/>
          <w:lang w:val="en-US"/>
        </w:rPr>
        <w:t>loss of earnings</w:t>
      </w:r>
      <w:r w:rsidR="00935F35" w:rsidRPr="009D52FD">
        <w:rPr>
          <w:sz w:val="20"/>
          <w:szCs w:val="20"/>
          <w:lang w:val="en-US"/>
        </w:rPr>
        <w:t xml:space="preserve">, </w:t>
      </w:r>
      <w:r w:rsidR="00151009" w:rsidRPr="009D52FD">
        <w:rPr>
          <w:sz w:val="20"/>
          <w:szCs w:val="20"/>
          <w:lang w:val="en-US"/>
        </w:rPr>
        <w:t xml:space="preserve">transportation expenses, harm to the family’s patrimony owing to the attention required by </w:t>
      </w:r>
      <w:r w:rsidR="00935F35" w:rsidRPr="009D52FD">
        <w:rPr>
          <w:sz w:val="20"/>
          <w:szCs w:val="20"/>
          <w:lang w:val="en-US"/>
        </w:rPr>
        <w:t xml:space="preserve">Linda Loaiza López Soto, </w:t>
      </w:r>
      <w:r w:rsidR="00151009" w:rsidRPr="009D52FD">
        <w:rPr>
          <w:sz w:val="20"/>
          <w:szCs w:val="20"/>
          <w:lang w:val="en-US"/>
        </w:rPr>
        <w:t xml:space="preserve">disbursements for medical and psychological treatments up until today, and the expenses associated with the processing of the domestic proceedings and the </w:t>
      </w:r>
      <w:r w:rsidR="00151009" w:rsidRPr="009D52FD">
        <w:rPr>
          <w:sz w:val="20"/>
          <w:szCs w:val="20"/>
          <w:lang w:val="en-US"/>
        </w:rPr>
        <w:lastRenderedPageBreak/>
        <w:t xml:space="preserve">procedure before </w:t>
      </w:r>
      <w:r w:rsidRPr="009D52FD">
        <w:rPr>
          <w:sz w:val="20"/>
          <w:szCs w:val="20"/>
          <w:lang w:val="en-US"/>
        </w:rPr>
        <w:t>the Inter-American Commission</w:t>
      </w:r>
      <w:r w:rsidR="00935F35" w:rsidRPr="009D52FD">
        <w:rPr>
          <w:sz w:val="20"/>
          <w:szCs w:val="20"/>
          <w:lang w:val="en-US"/>
        </w:rPr>
        <w:t>.</w:t>
      </w:r>
    </w:p>
    <w:p w14:paraId="6695B0E0" w14:textId="77777777" w:rsidR="00935F35" w:rsidRPr="009D52FD" w:rsidRDefault="00935F35" w:rsidP="00935F35">
      <w:pPr>
        <w:spacing w:line="240" w:lineRule="auto"/>
        <w:rPr>
          <w:sz w:val="20"/>
          <w:szCs w:val="20"/>
          <w:lang w:val="en-US"/>
        </w:rPr>
      </w:pPr>
    </w:p>
    <w:p w14:paraId="377A053E" w14:textId="454430B2" w:rsidR="0080605C" w:rsidRPr="009D52FD" w:rsidRDefault="003630BB" w:rsidP="00935F35">
      <w:pPr>
        <w:numPr>
          <w:ilvl w:val="0"/>
          <w:numId w:val="1"/>
        </w:numPr>
        <w:tabs>
          <w:tab w:val="left" w:pos="567"/>
        </w:tabs>
        <w:spacing w:line="240" w:lineRule="auto"/>
        <w:ind w:left="0" w:firstLine="0"/>
        <w:textAlignment w:val="auto"/>
        <w:rPr>
          <w:sz w:val="20"/>
          <w:szCs w:val="20"/>
          <w:lang w:val="en-US"/>
        </w:rPr>
      </w:pPr>
      <w:r w:rsidRPr="009D52FD">
        <w:rPr>
          <w:sz w:val="20"/>
          <w:szCs w:val="20"/>
          <w:lang w:val="en-US"/>
        </w:rPr>
        <w:t>The Court</w:t>
      </w:r>
      <w:r w:rsidR="006925C7" w:rsidRPr="009D52FD">
        <w:rPr>
          <w:sz w:val="20"/>
          <w:szCs w:val="20"/>
          <w:lang w:val="en-US"/>
        </w:rPr>
        <w:t xml:space="preserve"> not</w:t>
      </w:r>
      <w:r w:rsidR="00151009" w:rsidRPr="009D52FD">
        <w:rPr>
          <w:sz w:val="20"/>
          <w:szCs w:val="20"/>
          <w:lang w:val="en-US"/>
        </w:rPr>
        <w:t>es that</w:t>
      </w:r>
      <w:r w:rsidR="006925C7" w:rsidRPr="009D52FD">
        <w:rPr>
          <w:sz w:val="20"/>
          <w:szCs w:val="20"/>
          <w:lang w:val="en-US"/>
        </w:rPr>
        <w:t xml:space="preserve"> </w:t>
      </w:r>
      <w:r w:rsidRPr="009D52FD">
        <w:rPr>
          <w:sz w:val="20"/>
          <w:szCs w:val="20"/>
          <w:lang w:val="en-US"/>
        </w:rPr>
        <w:t>the representatives</w:t>
      </w:r>
      <w:r w:rsidR="00935F35" w:rsidRPr="009D52FD">
        <w:rPr>
          <w:sz w:val="20"/>
          <w:szCs w:val="20"/>
          <w:lang w:val="en-US"/>
        </w:rPr>
        <w:t xml:space="preserve"> </w:t>
      </w:r>
      <w:r w:rsidR="0080605C" w:rsidRPr="009D52FD">
        <w:rPr>
          <w:sz w:val="20"/>
          <w:szCs w:val="20"/>
          <w:lang w:val="en-US"/>
        </w:rPr>
        <w:t xml:space="preserve">were able to provide vouchers for the sum of </w:t>
      </w:r>
      <w:r w:rsidR="00935F35" w:rsidRPr="009D52FD">
        <w:rPr>
          <w:sz w:val="20"/>
          <w:szCs w:val="20"/>
          <w:lang w:val="en-US"/>
        </w:rPr>
        <w:t>US$26</w:t>
      </w:r>
      <w:r w:rsidR="0080605C" w:rsidRPr="009D52FD">
        <w:rPr>
          <w:sz w:val="20"/>
          <w:szCs w:val="20"/>
          <w:lang w:val="en-US"/>
        </w:rPr>
        <w:t>,</w:t>
      </w:r>
      <w:r w:rsidR="00935F35" w:rsidRPr="009D52FD">
        <w:rPr>
          <w:sz w:val="20"/>
          <w:szCs w:val="20"/>
          <w:lang w:val="en-US"/>
        </w:rPr>
        <w:t>851</w:t>
      </w:r>
      <w:r w:rsidR="0080605C" w:rsidRPr="009D52FD">
        <w:rPr>
          <w:sz w:val="20"/>
          <w:szCs w:val="20"/>
          <w:lang w:val="en-US"/>
        </w:rPr>
        <w:t>.</w:t>
      </w:r>
      <w:r w:rsidR="00935F35" w:rsidRPr="009D52FD">
        <w:rPr>
          <w:sz w:val="20"/>
          <w:szCs w:val="20"/>
          <w:lang w:val="en-US"/>
        </w:rPr>
        <w:t xml:space="preserve">15 </w:t>
      </w:r>
      <w:r w:rsidR="0080605C" w:rsidRPr="009D52FD">
        <w:rPr>
          <w:sz w:val="20"/>
          <w:szCs w:val="20"/>
          <w:lang w:val="en-US"/>
        </w:rPr>
        <w:t xml:space="preserve">for medical expenses. Regarding the expenses incurred in the search for justice, the representatives did not submit evidence on the disbursements made; nor is there documentary evidence to support the value of the assets lost owing to the lack of attention to the family business during the processing of the criminal proceedings. However, it is natural that both </w:t>
      </w:r>
      <w:r w:rsidR="0080605C" w:rsidRPr="009D52FD">
        <w:rPr>
          <w:rFonts w:eastAsia="Verdana" w:cs="Verdana"/>
          <w:sz w:val="20"/>
          <w:szCs w:val="20"/>
          <w:lang w:val="en-US"/>
        </w:rPr>
        <w:t>Linda</w:t>
      </w:r>
      <w:r w:rsidR="0080605C" w:rsidRPr="009D52FD">
        <w:rPr>
          <w:sz w:val="20"/>
          <w:szCs w:val="20"/>
          <w:lang w:val="en-US"/>
        </w:rPr>
        <w:t xml:space="preserve"> Loaiza López Soto and her family faced expen</w:t>
      </w:r>
      <w:r w:rsidR="00882153" w:rsidRPr="009D52FD">
        <w:rPr>
          <w:sz w:val="20"/>
          <w:szCs w:val="20"/>
          <w:lang w:val="en-US"/>
        </w:rPr>
        <w:t>ditures</w:t>
      </w:r>
      <w:r w:rsidR="0080605C" w:rsidRPr="009D52FD">
        <w:rPr>
          <w:sz w:val="20"/>
          <w:szCs w:val="20"/>
          <w:lang w:val="en-US"/>
        </w:rPr>
        <w:t xml:space="preserve"> owing to the numerous steps they took to press the case before the domestic courts and the international organs over the course of 17 years.</w:t>
      </w:r>
    </w:p>
    <w:p w14:paraId="3E8D102B" w14:textId="77777777" w:rsidR="00935F35" w:rsidRPr="009D52FD" w:rsidRDefault="00935F35" w:rsidP="00935F35">
      <w:pPr>
        <w:tabs>
          <w:tab w:val="left" w:pos="567"/>
        </w:tabs>
        <w:spacing w:line="240" w:lineRule="auto"/>
        <w:rPr>
          <w:sz w:val="20"/>
          <w:szCs w:val="20"/>
          <w:lang w:val="en-US"/>
        </w:rPr>
      </w:pPr>
    </w:p>
    <w:p w14:paraId="44B219D0" w14:textId="136B4078" w:rsidR="00935F35" w:rsidRPr="009D52FD" w:rsidRDefault="0080605C" w:rsidP="00935F35">
      <w:pPr>
        <w:numPr>
          <w:ilvl w:val="0"/>
          <w:numId w:val="1"/>
        </w:numPr>
        <w:tabs>
          <w:tab w:val="left" w:pos="567"/>
        </w:tabs>
        <w:spacing w:line="240" w:lineRule="auto"/>
        <w:ind w:left="0" w:firstLine="0"/>
        <w:textAlignment w:val="auto"/>
        <w:rPr>
          <w:sz w:val="20"/>
          <w:szCs w:val="20"/>
          <w:lang w:val="en-US"/>
        </w:rPr>
      </w:pPr>
      <w:r w:rsidRPr="009D52FD">
        <w:rPr>
          <w:sz w:val="20"/>
          <w:szCs w:val="20"/>
          <w:lang w:val="en-US"/>
        </w:rPr>
        <w:t>Consequently</w:t>
      </w:r>
      <w:r w:rsidR="00935F35" w:rsidRPr="009D52FD">
        <w:rPr>
          <w:sz w:val="20"/>
          <w:szCs w:val="20"/>
          <w:lang w:val="en-US"/>
        </w:rPr>
        <w:t xml:space="preserve">, </w:t>
      </w:r>
      <w:r w:rsidR="003630BB" w:rsidRPr="009D52FD">
        <w:rPr>
          <w:sz w:val="20"/>
          <w:szCs w:val="20"/>
          <w:lang w:val="en-US"/>
        </w:rPr>
        <w:t>the Court</w:t>
      </w:r>
      <w:r w:rsidR="00935F35" w:rsidRPr="009D52FD">
        <w:rPr>
          <w:sz w:val="20"/>
          <w:szCs w:val="20"/>
          <w:lang w:val="en-US"/>
        </w:rPr>
        <w:t xml:space="preserve"> </w:t>
      </w:r>
      <w:r w:rsidRPr="009D52FD">
        <w:rPr>
          <w:sz w:val="20"/>
          <w:szCs w:val="20"/>
          <w:lang w:val="en-US"/>
        </w:rPr>
        <w:t>finds it pertinent to establish, in equity, compensation of</w:t>
      </w:r>
      <w:r w:rsidR="00935F35" w:rsidRPr="009D52FD">
        <w:rPr>
          <w:sz w:val="20"/>
          <w:szCs w:val="20"/>
          <w:lang w:val="en-US"/>
        </w:rPr>
        <w:t xml:space="preserve"> US$</w:t>
      </w:r>
      <w:r w:rsidR="00333A82" w:rsidRPr="009D52FD">
        <w:rPr>
          <w:sz w:val="20"/>
          <w:szCs w:val="20"/>
          <w:lang w:val="en-US"/>
        </w:rPr>
        <w:t>45</w:t>
      </w:r>
      <w:r w:rsidR="0098665D" w:rsidRPr="009D52FD">
        <w:rPr>
          <w:sz w:val="20"/>
          <w:szCs w:val="20"/>
          <w:lang w:val="en-US"/>
        </w:rPr>
        <w:t>,000.00</w:t>
      </w:r>
      <w:r w:rsidR="00935F35" w:rsidRPr="009D52FD">
        <w:rPr>
          <w:sz w:val="20"/>
          <w:szCs w:val="20"/>
          <w:lang w:val="en-US"/>
        </w:rPr>
        <w:t xml:space="preserve"> (</w:t>
      </w:r>
      <w:r w:rsidRPr="009D52FD">
        <w:rPr>
          <w:sz w:val="20"/>
          <w:szCs w:val="20"/>
          <w:lang w:val="en-US"/>
        </w:rPr>
        <w:t xml:space="preserve">forty-five </w:t>
      </w:r>
      <w:r w:rsidR="0098665D" w:rsidRPr="009D52FD">
        <w:rPr>
          <w:sz w:val="20"/>
          <w:szCs w:val="20"/>
          <w:lang w:val="en-US"/>
        </w:rPr>
        <w:t>thousand United States dollars</w:t>
      </w:r>
      <w:r w:rsidR="00935F35" w:rsidRPr="009D52FD">
        <w:rPr>
          <w:sz w:val="20"/>
          <w:szCs w:val="20"/>
          <w:lang w:val="en-US"/>
        </w:rPr>
        <w:t xml:space="preserve">), </w:t>
      </w:r>
      <w:r w:rsidRPr="009D52FD">
        <w:rPr>
          <w:sz w:val="20"/>
          <w:szCs w:val="20"/>
          <w:lang w:val="en-US"/>
        </w:rPr>
        <w:t xml:space="preserve">for the concept of expenses incurred owing to the indirect damage, which must be delivered directly to </w:t>
      </w:r>
      <w:r w:rsidR="00935F35" w:rsidRPr="009D52FD">
        <w:rPr>
          <w:sz w:val="20"/>
          <w:szCs w:val="20"/>
          <w:lang w:val="en-US"/>
        </w:rPr>
        <w:t xml:space="preserve">Linda Loaiza López Soto, </w:t>
      </w:r>
      <w:r w:rsidRPr="009D52FD">
        <w:rPr>
          <w:sz w:val="20"/>
          <w:szCs w:val="20"/>
          <w:lang w:val="en-US"/>
        </w:rPr>
        <w:t>in representation of all the victims in this case.</w:t>
      </w:r>
    </w:p>
    <w:p w14:paraId="7F951261" w14:textId="77777777" w:rsidR="00935F35" w:rsidRPr="009D52FD" w:rsidRDefault="00935F35" w:rsidP="00935F35">
      <w:pPr>
        <w:tabs>
          <w:tab w:val="left" w:pos="567"/>
        </w:tabs>
        <w:spacing w:line="240" w:lineRule="auto"/>
        <w:ind w:left="825"/>
        <w:rPr>
          <w:b/>
          <w:bCs/>
          <w:sz w:val="20"/>
          <w:szCs w:val="20"/>
          <w:lang w:val="en-US"/>
        </w:rPr>
      </w:pPr>
    </w:p>
    <w:p w14:paraId="14EF20EE" w14:textId="218D38C9" w:rsidR="00935F35" w:rsidRPr="009D52FD" w:rsidRDefault="00C16EB7" w:rsidP="00C6536C">
      <w:pPr>
        <w:tabs>
          <w:tab w:val="left" w:pos="567"/>
          <w:tab w:val="left" w:pos="2127"/>
          <w:tab w:val="left" w:pos="2552"/>
        </w:tabs>
        <w:spacing w:line="240" w:lineRule="auto"/>
        <w:ind w:left="1701"/>
        <w:rPr>
          <w:rFonts w:eastAsia="MS Mincho"/>
          <w:i/>
          <w:sz w:val="20"/>
          <w:szCs w:val="20"/>
          <w:lang w:val="en-US" w:bidi="en-US"/>
        </w:rPr>
      </w:pPr>
      <w:r w:rsidRPr="009D52FD">
        <w:rPr>
          <w:rFonts w:eastAsia="MS Mincho"/>
          <w:i/>
          <w:sz w:val="20"/>
          <w:szCs w:val="20"/>
          <w:lang w:val="en-US" w:bidi="en-US"/>
        </w:rPr>
        <w:t>D</w:t>
      </w:r>
      <w:r w:rsidR="003544DD" w:rsidRPr="009D52FD">
        <w:rPr>
          <w:rFonts w:eastAsia="MS Mincho"/>
          <w:i/>
          <w:sz w:val="20"/>
          <w:szCs w:val="20"/>
          <w:lang w:val="en-US" w:bidi="en-US"/>
        </w:rPr>
        <w:t xml:space="preserve">.1.b) </w:t>
      </w:r>
      <w:r w:rsidR="003544DD" w:rsidRPr="009D52FD">
        <w:rPr>
          <w:rFonts w:eastAsia="MS Mincho"/>
          <w:i/>
          <w:sz w:val="20"/>
          <w:szCs w:val="20"/>
          <w:lang w:val="en-US" w:bidi="en-US"/>
        </w:rPr>
        <w:tab/>
      </w:r>
      <w:r w:rsidR="007D3D4F" w:rsidRPr="009D52FD">
        <w:rPr>
          <w:rFonts w:eastAsia="MS Mincho"/>
          <w:i/>
          <w:sz w:val="20"/>
          <w:szCs w:val="20"/>
          <w:lang w:val="en-US" w:bidi="en-US"/>
        </w:rPr>
        <w:t>Loss of earnings</w:t>
      </w:r>
    </w:p>
    <w:p w14:paraId="34CF1085" w14:textId="77777777" w:rsidR="00935F35" w:rsidRPr="009D52FD" w:rsidRDefault="00935F35" w:rsidP="00935F35">
      <w:pPr>
        <w:tabs>
          <w:tab w:val="left" w:pos="0"/>
          <w:tab w:val="num" w:pos="12305"/>
        </w:tabs>
        <w:spacing w:line="240" w:lineRule="auto"/>
        <w:ind w:right="-90"/>
        <w:rPr>
          <w:rFonts w:eastAsia="Calibri"/>
          <w:b/>
          <w:i/>
          <w:sz w:val="20"/>
          <w:szCs w:val="20"/>
          <w:lang w:val="en-US"/>
        </w:rPr>
      </w:pPr>
    </w:p>
    <w:p w14:paraId="06B991CA" w14:textId="0FB9DB4D" w:rsidR="00935F35" w:rsidRPr="009D52FD" w:rsidRDefault="003630BB" w:rsidP="0080605C">
      <w:pPr>
        <w:numPr>
          <w:ilvl w:val="0"/>
          <w:numId w:val="1"/>
        </w:numPr>
        <w:tabs>
          <w:tab w:val="left" w:pos="567"/>
        </w:tabs>
        <w:spacing w:line="240" w:lineRule="auto"/>
        <w:ind w:left="0" w:firstLine="0"/>
        <w:textAlignment w:val="auto"/>
        <w:rPr>
          <w:rFonts w:eastAsia="Calibri"/>
          <w:b/>
          <w:i/>
          <w:sz w:val="20"/>
          <w:szCs w:val="20"/>
          <w:lang w:val="en-US"/>
        </w:rPr>
      </w:pPr>
      <w:r w:rsidRPr="009D52FD">
        <w:rPr>
          <w:rFonts w:eastAsia="Verdana" w:cs="Verdana"/>
          <w:sz w:val="20"/>
          <w:szCs w:val="20"/>
          <w:lang w:val="en-US"/>
        </w:rPr>
        <w:t xml:space="preserve">The </w:t>
      </w:r>
      <w:r w:rsidRPr="009D52FD">
        <w:rPr>
          <w:rFonts w:eastAsia="Verdana" w:cs="Verdana"/>
          <w:b/>
          <w:bCs/>
          <w:i/>
          <w:iCs/>
          <w:sz w:val="20"/>
          <w:szCs w:val="20"/>
          <w:lang w:val="en-US"/>
        </w:rPr>
        <w:t>representatives</w:t>
      </w:r>
      <w:r w:rsidR="00935F35" w:rsidRPr="009D52FD">
        <w:rPr>
          <w:rFonts w:eastAsia="Verdana" w:cs="Verdana"/>
          <w:sz w:val="20"/>
          <w:szCs w:val="20"/>
          <w:lang w:val="en-US"/>
        </w:rPr>
        <w:t xml:space="preserve"> </w:t>
      </w:r>
      <w:r w:rsidR="0080605C" w:rsidRPr="009D52FD">
        <w:rPr>
          <w:rFonts w:eastAsia="Verdana" w:cs="Verdana"/>
          <w:sz w:val="20"/>
          <w:szCs w:val="20"/>
          <w:lang w:val="en-US"/>
        </w:rPr>
        <w:t>asked</w:t>
      </w:r>
      <w:r w:rsidR="00935F35" w:rsidRPr="009D52FD">
        <w:rPr>
          <w:rFonts w:eastAsia="Verdana" w:cs="Verdana"/>
          <w:sz w:val="20"/>
          <w:szCs w:val="20"/>
          <w:lang w:val="en-US"/>
        </w:rPr>
        <w:t xml:space="preserve"> </w:t>
      </w:r>
      <w:r w:rsidRPr="009D52FD">
        <w:rPr>
          <w:rFonts w:eastAsia="Verdana" w:cs="Verdana"/>
          <w:sz w:val="20"/>
          <w:szCs w:val="20"/>
          <w:lang w:val="en-US"/>
        </w:rPr>
        <w:t>the Court</w:t>
      </w:r>
      <w:r w:rsidR="00935F35" w:rsidRPr="009D52FD">
        <w:rPr>
          <w:rFonts w:eastAsia="Verdana" w:cs="Verdana"/>
          <w:sz w:val="20"/>
          <w:szCs w:val="20"/>
          <w:lang w:val="en-US"/>
        </w:rPr>
        <w:t xml:space="preserve"> </w:t>
      </w:r>
      <w:r w:rsidR="0080605C" w:rsidRPr="009D52FD">
        <w:rPr>
          <w:rFonts w:eastAsia="Verdana" w:cs="Verdana"/>
          <w:sz w:val="20"/>
          <w:szCs w:val="20"/>
          <w:lang w:val="en-US"/>
        </w:rPr>
        <w:t>to order the State to pay</w:t>
      </w:r>
      <w:r w:rsidR="00935F35" w:rsidRPr="009D52FD">
        <w:rPr>
          <w:rFonts w:eastAsia="Verdana" w:cs="Verdana"/>
          <w:sz w:val="20"/>
          <w:szCs w:val="20"/>
          <w:lang w:val="en-US"/>
        </w:rPr>
        <w:t xml:space="preserve"> Linda Loaiza López Soto </w:t>
      </w:r>
      <w:r w:rsidR="0080605C" w:rsidRPr="009D52FD">
        <w:rPr>
          <w:rFonts w:eastAsia="Verdana" w:cs="Verdana"/>
          <w:sz w:val="20"/>
          <w:szCs w:val="20"/>
          <w:lang w:val="en-US"/>
        </w:rPr>
        <w:t>reparation for “loss of earnings.” The argued that, at the time of the facts, she was studying to be able enter the labor market but, as a result of the medical treatments she had to undergo over the years, she was unable to work or to continue her studies. Therefore, the representatives included a calculation that took into account the following variables: monthly salary, monthly food and annual vacation bonus, which gave a total of</w:t>
      </w:r>
      <w:r w:rsidR="0080605C" w:rsidRPr="009D52FD">
        <w:rPr>
          <w:rFonts w:eastAsia="Calibri"/>
          <w:b/>
          <w:i/>
          <w:sz w:val="20"/>
          <w:szCs w:val="20"/>
          <w:lang w:val="en-US"/>
        </w:rPr>
        <w:t xml:space="preserve"> </w:t>
      </w:r>
      <w:r w:rsidR="00935F35" w:rsidRPr="009D52FD">
        <w:rPr>
          <w:rFonts w:eastAsia="Verdana" w:cs="Verdana"/>
          <w:sz w:val="20"/>
          <w:szCs w:val="20"/>
          <w:lang w:val="en-US"/>
        </w:rPr>
        <w:t>Bs</w:t>
      </w:r>
      <w:r w:rsidR="004234EB" w:rsidRPr="009D52FD">
        <w:rPr>
          <w:rFonts w:eastAsia="Verdana" w:cs="Verdana"/>
          <w:sz w:val="20"/>
          <w:szCs w:val="20"/>
          <w:lang w:val="en-US"/>
        </w:rPr>
        <w:t>.</w:t>
      </w:r>
      <w:r w:rsidR="00935F35" w:rsidRPr="009D52FD">
        <w:rPr>
          <w:rFonts w:eastAsia="Verdana" w:cs="Verdana"/>
          <w:sz w:val="20"/>
          <w:szCs w:val="20"/>
          <w:lang w:val="en-US"/>
        </w:rPr>
        <w:t xml:space="preserve"> F 253</w:t>
      </w:r>
      <w:r w:rsidR="00864649" w:rsidRPr="009D52FD">
        <w:rPr>
          <w:rFonts w:eastAsia="Verdana" w:cs="Verdana"/>
          <w:sz w:val="20"/>
          <w:szCs w:val="20"/>
          <w:lang w:val="en-US"/>
        </w:rPr>
        <w:t>,</w:t>
      </w:r>
      <w:r w:rsidR="00935F35" w:rsidRPr="009D52FD">
        <w:rPr>
          <w:rFonts w:eastAsia="Verdana" w:cs="Verdana"/>
          <w:sz w:val="20"/>
          <w:szCs w:val="20"/>
          <w:lang w:val="en-US"/>
        </w:rPr>
        <w:t>143</w:t>
      </w:r>
      <w:r w:rsidR="00864649" w:rsidRPr="009D52FD">
        <w:rPr>
          <w:rFonts w:eastAsia="Verdana" w:cs="Verdana"/>
          <w:sz w:val="20"/>
          <w:szCs w:val="20"/>
          <w:lang w:val="en-US"/>
        </w:rPr>
        <w:t>.</w:t>
      </w:r>
      <w:r w:rsidR="00935F35" w:rsidRPr="009D52FD">
        <w:rPr>
          <w:rFonts w:eastAsia="Verdana" w:cs="Verdana"/>
          <w:sz w:val="20"/>
          <w:szCs w:val="20"/>
          <w:lang w:val="en-US"/>
        </w:rPr>
        <w:t>10</w:t>
      </w:r>
      <w:r w:rsidR="00C8127F" w:rsidRPr="009D52FD">
        <w:rPr>
          <w:rFonts w:eastAsia="Verdana" w:cs="Verdana"/>
          <w:sz w:val="20"/>
          <w:szCs w:val="20"/>
          <w:lang w:val="en-US"/>
        </w:rPr>
        <w:t>.</w:t>
      </w:r>
    </w:p>
    <w:p w14:paraId="181AB333" w14:textId="77777777" w:rsidR="00935F35" w:rsidRPr="009D52FD" w:rsidRDefault="00935F35" w:rsidP="00935F35">
      <w:pPr>
        <w:tabs>
          <w:tab w:val="left" w:pos="567"/>
        </w:tabs>
        <w:spacing w:line="240" w:lineRule="auto"/>
        <w:rPr>
          <w:rFonts w:eastAsia="Calibri"/>
          <w:b/>
          <w:i/>
          <w:sz w:val="20"/>
          <w:szCs w:val="20"/>
          <w:lang w:val="en-US"/>
        </w:rPr>
      </w:pPr>
    </w:p>
    <w:p w14:paraId="0581A1A4" w14:textId="4EB2E8A5" w:rsidR="0080605C" w:rsidRPr="009D52FD" w:rsidRDefault="003630BB" w:rsidP="00935F35">
      <w:pPr>
        <w:numPr>
          <w:ilvl w:val="0"/>
          <w:numId w:val="1"/>
        </w:numPr>
        <w:tabs>
          <w:tab w:val="left" w:pos="567"/>
        </w:tabs>
        <w:spacing w:line="240" w:lineRule="auto"/>
        <w:ind w:left="0" w:firstLine="0"/>
        <w:textAlignment w:val="auto"/>
        <w:rPr>
          <w:rFonts w:eastAsia="Calibri"/>
          <w:b/>
          <w:i/>
          <w:sz w:val="20"/>
          <w:szCs w:val="20"/>
          <w:lang w:val="en-US"/>
        </w:rPr>
      </w:pPr>
      <w:r w:rsidRPr="009D52FD">
        <w:rPr>
          <w:rFonts w:eastAsia="Verdana" w:cs="Verdana"/>
          <w:bCs/>
          <w:sz w:val="20"/>
          <w:szCs w:val="20"/>
          <w:lang w:val="en-US"/>
        </w:rPr>
        <w:t xml:space="preserve">The </w:t>
      </w:r>
      <w:r w:rsidRPr="009D52FD">
        <w:rPr>
          <w:rFonts w:eastAsia="Verdana" w:cs="Verdana"/>
          <w:b/>
          <w:i/>
          <w:iCs/>
          <w:sz w:val="20"/>
          <w:szCs w:val="20"/>
          <w:lang w:val="en-US"/>
        </w:rPr>
        <w:t>State</w:t>
      </w:r>
      <w:r w:rsidR="00935F35" w:rsidRPr="009D52FD">
        <w:rPr>
          <w:rFonts w:eastAsia="Verdana" w:cs="Verdana"/>
          <w:b/>
          <w:bCs/>
          <w:i/>
          <w:sz w:val="20"/>
          <w:szCs w:val="20"/>
          <w:lang w:val="en-US"/>
        </w:rPr>
        <w:t xml:space="preserve"> </w:t>
      </w:r>
      <w:r w:rsidR="0080605C" w:rsidRPr="009D52FD">
        <w:rPr>
          <w:rFonts w:eastAsia="Verdana" w:cs="Verdana"/>
          <w:bCs/>
          <w:sz w:val="20"/>
          <w:szCs w:val="20"/>
          <w:lang w:val="en-US"/>
        </w:rPr>
        <w:t>pointed out that it was difficult to establish the amount of pecuniary compensation for loss of earnings in cases such as this one because, in its opinion, there were no real and concrete elements that would allow this to be determined; thus, it indicated that its determination was mainly related to “completely un</w:t>
      </w:r>
      <w:r w:rsidR="001B558A" w:rsidRPr="009D52FD">
        <w:rPr>
          <w:rFonts w:eastAsia="Verdana" w:cs="Verdana"/>
          <w:bCs/>
          <w:sz w:val="20"/>
          <w:szCs w:val="20"/>
          <w:lang w:val="en-US"/>
        </w:rPr>
        <w:t xml:space="preserve">corroborated </w:t>
      </w:r>
      <w:r w:rsidR="0080605C" w:rsidRPr="009D52FD">
        <w:rPr>
          <w:rFonts w:eastAsia="Verdana" w:cs="Verdana"/>
          <w:bCs/>
          <w:sz w:val="20"/>
          <w:szCs w:val="20"/>
          <w:lang w:val="en-US"/>
        </w:rPr>
        <w:t>random factors”</w:t>
      </w:r>
    </w:p>
    <w:p w14:paraId="274DD326" w14:textId="77777777" w:rsidR="00935F35" w:rsidRPr="009D52FD" w:rsidRDefault="00935F35" w:rsidP="001B558A">
      <w:pPr>
        <w:tabs>
          <w:tab w:val="left" w:pos="567"/>
        </w:tabs>
        <w:spacing w:line="240" w:lineRule="auto"/>
        <w:rPr>
          <w:rFonts w:eastAsia="Calibri"/>
          <w:sz w:val="20"/>
          <w:szCs w:val="20"/>
          <w:lang w:val="en-US"/>
        </w:rPr>
      </w:pPr>
    </w:p>
    <w:p w14:paraId="6FAA1CFD" w14:textId="03BAE87A" w:rsidR="00935F35" w:rsidRPr="009D52FD" w:rsidRDefault="003630BB" w:rsidP="001B558A">
      <w:pPr>
        <w:numPr>
          <w:ilvl w:val="0"/>
          <w:numId w:val="1"/>
        </w:numPr>
        <w:tabs>
          <w:tab w:val="left" w:pos="567"/>
        </w:tabs>
        <w:spacing w:line="240" w:lineRule="auto"/>
        <w:ind w:left="0" w:firstLine="0"/>
        <w:textAlignment w:val="auto"/>
        <w:rPr>
          <w:sz w:val="20"/>
          <w:szCs w:val="20"/>
          <w:lang w:val="en-US"/>
        </w:rPr>
      </w:pPr>
      <w:r w:rsidRPr="009D52FD">
        <w:rPr>
          <w:sz w:val="20"/>
          <w:szCs w:val="20"/>
          <w:lang w:val="en-US"/>
        </w:rPr>
        <w:t>The Court</w:t>
      </w:r>
      <w:r w:rsidR="00935F35" w:rsidRPr="009D52FD">
        <w:rPr>
          <w:sz w:val="20"/>
          <w:szCs w:val="20"/>
          <w:lang w:val="en-US"/>
        </w:rPr>
        <w:t xml:space="preserve"> </w:t>
      </w:r>
      <w:r w:rsidR="001B558A" w:rsidRPr="009D52FD">
        <w:rPr>
          <w:sz w:val="20"/>
          <w:szCs w:val="20"/>
          <w:lang w:val="en-US"/>
        </w:rPr>
        <w:t xml:space="preserve">notes that no evidence was provided on the salaries received by </w:t>
      </w:r>
      <w:r w:rsidR="00935F35" w:rsidRPr="009D52FD">
        <w:rPr>
          <w:sz w:val="20"/>
          <w:szCs w:val="20"/>
          <w:lang w:val="en-US"/>
        </w:rPr>
        <w:t xml:space="preserve">Linda Loaiza López Soto </w:t>
      </w:r>
      <w:r w:rsidR="001B558A" w:rsidRPr="009D52FD">
        <w:rPr>
          <w:sz w:val="20"/>
          <w:szCs w:val="20"/>
          <w:lang w:val="en-US"/>
        </w:rPr>
        <w:t xml:space="preserve">or her family members prior to the events, and the Court has no specific information on the time during which the latter failed to receive an income. Therefore, the Court has insufficient probative elements to determine precisely the loss of earnings caused in this case. However, based on the criteria established in its consistent case law and the circumstances of the case, the Court finds it pertinent to establish, in  equity, for loss of earnings the sum of </w:t>
      </w:r>
      <w:r w:rsidR="00935F35" w:rsidRPr="009D52FD">
        <w:rPr>
          <w:sz w:val="20"/>
          <w:szCs w:val="20"/>
          <w:lang w:val="en-US"/>
        </w:rPr>
        <w:t>US$</w:t>
      </w:r>
      <w:r w:rsidR="00AE32C1" w:rsidRPr="009D52FD">
        <w:rPr>
          <w:sz w:val="20"/>
          <w:szCs w:val="20"/>
          <w:lang w:val="en-US"/>
        </w:rPr>
        <w:t>2</w:t>
      </w:r>
      <w:r w:rsidR="001C6C44" w:rsidRPr="009D52FD">
        <w:rPr>
          <w:sz w:val="20"/>
          <w:szCs w:val="20"/>
          <w:lang w:val="en-US"/>
        </w:rPr>
        <w:t>0</w:t>
      </w:r>
      <w:r w:rsidR="0098665D" w:rsidRPr="009D52FD">
        <w:rPr>
          <w:sz w:val="20"/>
          <w:szCs w:val="20"/>
          <w:lang w:val="en-US"/>
        </w:rPr>
        <w:t>,000.00</w:t>
      </w:r>
      <w:r w:rsidR="00935F35" w:rsidRPr="009D52FD">
        <w:rPr>
          <w:sz w:val="20"/>
          <w:szCs w:val="20"/>
          <w:lang w:val="en-US"/>
        </w:rPr>
        <w:t xml:space="preserve"> (</w:t>
      </w:r>
      <w:r w:rsidR="00864649" w:rsidRPr="009D52FD">
        <w:rPr>
          <w:sz w:val="20"/>
          <w:szCs w:val="20"/>
          <w:lang w:val="en-US"/>
        </w:rPr>
        <w:t xml:space="preserve">twenty </w:t>
      </w:r>
      <w:r w:rsidR="0098665D" w:rsidRPr="009D52FD">
        <w:rPr>
          <w:sz w:val="20"/>
          <w:szCs w:val="20"/>
          <w:lang w:val="en-US"/>
        </w:rPr>
        <w:t>thousand United States dollars</w:t>
      </w:r>
      <w:r w:rsidR="00935F35" w:rsidRPr="009D52FD">
        <w:rPr>
          <w:sz w:val="20"/>
          <w:szCs w:val="20"/>
          <w:lang w:val="en-US"/>
        </w:rPr>
        <w:t xml:space="preserve">), </w:t>
      </w:r>
      <w:r w:rsidR="001B558A" w:rsidRPr="009D52FD">
        <w:rPr>
          <w:sz w:val="20"/>
          <w:szCs w:val="20"/>
          <w:lang w:val="en-US"/>
        </w:rPr>
        <w:t xml:space="preserve">which must be paid to </w:t>
      </w:r>
      <w:r w:rsidR="001C6C44" w:rsidRPr="009D52FD">
        <w:rPr>
          <w:sz w:val="20"/>
          <w:szCs w:val="20"/>
          <w:lang w:val="en-US"/>
        </w:rPr>
        <w:t>Linda Loaiza López Soto</w:t>
      </w:r>
      <w:r w:rsidR="001B558A" w:rsidRPr="009D52FD">
        <w:rPr>
          <w:sz w:val="20"/>
          <w:szCs w:val="20"/>
          <w:lang w:val="en-US"/>
        </w:rPr>
        <w:t xml:space="preserve"> within the time frame that the Court establishes to this end.</w:t>
      </w:r>
    </w:p>
    <w:p w14:paraId="6C26FAFC" w14:textId="77777777" w:rsidR="00935F35" w:rsidRPr="009D52FD" w:rsidRDefault="00935F35" w:rsidP="00935F35">
      <w:pPr>
        <w:tabs>
          <w:tab w:val="left" w:pos="567"/>
        </w:tabs>
        <w:spacing w:line="240" w:lineRule="auto"/>
        <w:ind w:left="822"/>
        <w:rPr>
          <w:rFonts w:eastAsia="Calibri"/>
          <w:sz w:val="20"/>
          <w:szCs w:val="20"/>
          <w:lang w:val="en-US"/>
        </w:rPr>
      </w:pPr>
    </w:p>
    <w:p w14:paraId="2E779719" w14:textId="56204462" w:rsidR="00935F35" w:rsidRPr="009D52FD" w:rsidRDefault="00C16EB7" w:rsidP="00F11556">
      <w:pPr>
        <w:pStyle w:val="Heading2"/>
        <w:tabs>
          <w:tab w:val="left" w:pos="1701"/>
        </w:tabs>
        <w:spacing w:before="0" w:line="240" w:lineRule="auto"/>
        <w:ind w:left="1134"/>
        <w:rPr>
          <w:rFonts w:ascii="Verdana" w:hAnsi="Verdana"/>
          <w:b w:val="0"/>
          <w:i/>
          <w:color w:val="auto"/>
          <w:sz w:val="20"/>
          <w:szCs w:val="20"/>
          <w:lang w:val="en-US"/>
        </w:rPr>
      </w:pPr>
      <w:bookmarkStart w:id="130" w:name="_Toc514172671"/>
      <w:bookmarkStart w:id="131" w:name="_Toc476390744"/>
      <w:bookmarkStart w:id="132" w:name="_Toc495658703"/>
      <w:bookmarkStart w:id="133" w:name="_Toc51400123"/>
      <w:r w:rsidRPr="009D52FD">
        <w:rPr>
          <w:rFonts w:ascii="Verdana" w:hAnsi="Verdana"/>
          <w:b w:val="0"/>
          <w:i/>
          <w:color w:val="auto"/>
          <w:sz w:val="20"/>
          <w:szCs w:val="20"/>
          <w:lang w:val="en-US"/>
        </w:rPr>
        <w:t>D</w:t>
      </w:r>
      <w:r w:rsidR="00935F35" w:rsidRPr="009D52FD">
        <w:rPr>
          <w:rFonts w:ascii="Verdana" w:hAnsi="Verdana"/>
          <w:b w:val="0"/>
          <w:i/>
          <w:color w:val="auto"/>
          <w:sz w:val="20"/>
          <w:szCs w:val="20"/>
          <w:lang w:val="en-US"/>
        </w:rPr>
        <w:t>.2</w:t>
      </w:r>
      <w:r w:rsidR="00935F35" w:rsidRPr="009D52FD">
        <w:rPr>
          <w:rFonts w:ascii="Verdana" w:hAnsi="Verdana"/>
          <w:b w:val="0"/>
          <w:i/>
          <w:color w:val="auto"/>
          <w:sz w:val="20"/>
          <w:szCs w:val="20"/>
          <w:lang w:val="en-US"/>
        </w:rPr>
        <w:tab/>
      </w:r>
      <w:r w:rsidR="007D3D4F" w:rsidRPr="009D52FD">
        <w:rPr>
          <w:rFonts w:ascii="Verdana" w:hAnsi="Verdana"/>
          <w:b w:val="0"/>
          <w:i/>
          <w:color w:val="auto"/>
          <w:sz w:val="20"/>
          <w:szCs w:val="20"/>
          <w:lang w:val="en-US"/>
        </w:rPr>
        <w:t>Non-pecuniary damage</w:t>
      </w:r>
      <w:bookmarkEnd w:id="130"/>
      <w:bookmarkEnd w:id="131"/>
      <w:bookmarkEnd w:id="132"/>
      <w:bookmarkEnd w:id="133"/>
    </w:p>
    <w:p w14:paraId="3CEC762B" w14:textId="77777777" w:rsidR="00935F35" w:rsidRPr="009D52FD" w:rsidRDefault="00935F35" w:rsidP="00935F35">
      <w:pPr>
        <w:tabs>
          <w:tab w:val="left" w:pos="567"/>
        </w:tabs>
        <w:spacing w:line="240" w:lineRule="auto"/>
        <w:ind w:left="822"/>
        <w:rPr>
          <w:rFonts w:eastAsia="Calibri"/>
          <w:sz w:val="20"/>
          <w:szCs w:val="20"/>
          <w:lang w:val="en-US"/>
        </w:rPr>
      </w:pPr>
    </w:p>
    <w:p w14:paraId="01A4CDAF" w14:textId="60882015" w:rsidR="005B7175" w:rsidRPr="009D52FD" w:rsidRDefault="003630BB" w:rsidP="00935F35">
      <w:pPr>
        <w:numPr>
          <w:ilvl w:val="0"/>
          <w:numId w:val="1"/>
        </w:numPr>
        <w:tabs>
          <w:tab w:val="left" w:pos="567"/>
        </w:tabs>
        <w:spacing w:line="240" w:lineRule="auto"/>
        <w:ind w:left="0" w:firstLine="0"/>
        <w:textAlignment w:val="auto"/>
        <w:rPr>
          <w:sz w:val="20"/>
          <w:szCs w:val="20"/>
          <w:lang w:val="en-US"/>
        </w:rPr>
      </w:pPr>
      <w:r w:rsidRPr="009D52FD">
        <w:rPr>
          <w:rFonts w:eastAsia="Calibri"/>
          <w:sz w:val="20"/>
          <w:szCs w:val="20"/>
          <w:lang w:val="en-US"/>
        </w:rPr>
        <w:t xml:space="preserve">The </w:t>
      </w:r>
      <w:r w:rsidRPr="009D52FD">
        <w:rPr>
          <w:rFonts w:eastAsia="Calibri"/>
          <w:b/>
          <w:bCs/>
          <w:i/>
          <w:iCs/>
          <w:sz w:val="20"/>
          <w:szCs w:val="20"/>
          <w:lang w:val="en-US"/>
        </w:rPr>
        <w:t>representatives</w:t>
      </w:r>
      <w:r w:rsidR="00935F35" w:rsidRPr="009D52FD">
        <w:rPr>
          <w:b/>
          <w:i/>
          <w:sz w:val="20"/>
          <w:szCs w:val="20"/>
          <w:lang w:val="en-US"/>
        </w:rPr>
        <w:t xml:space="preserve"> </w:t>
      </w:r>
      <w:r w:rsidR="005B7175" w:rsidRPr="009D52FD">
        <w:rPr>
          <w:sz w:val="20"/>
          <w:szCs w:val="20"/>
          <w:lang w:val="en-US"/>
        </w:rPr>
        <w:t xml:space="preserve">indicated that, as a result of the facts of which </w:t>
      </w:r>
      <w:r w:rsidR="00935F35" w:rsidRPr="009D52FD">
        <w:rPr>
          <w:sz w:val="20"/>
          <w:szCs w:val="20"/>
          <w:lang w:val="en-US"/>
        </w:rPr>
        <w:t>Linda Loaiza</w:t>
      </w:r>
      <w:r w:rsidR="00D305C1" w:rsidRPr="009D52FD">
        <w:rPr>
          <w:sz w:val="20"/>
          <w:szCs w:val="20"/>
          <w:lang w:val="en-US"/>
        </w:rPr>
        <w:t xml:space="preserve"> López Soto</w:t>
      </w:r>
      <w:r w:rsidR="005B7175" w:rsidRPr="009D52FD">
        <w:rPr>
          <w:sz w:val="20"/>
          <w:szCs w:val="20"/>
          <w:lang w:val="en-US"/>
        </w:rPr>
        <w:t xml:space="preserve"> was a victim, she experienced “a permanent state of fear t</w:t>
      </w:r>
      <w:r w:rsidR="00882153" w:rsidRPr="009D52FD">
        <w:rPr>
          <w:sz w:val="20"/>
          <w:szCs w:val="20"/>
          <w:lang w:val="en-US"/>
        </w:rPr>
        <w:t xml:space="preserve">hat she would </w:t>
      </w:r>
      <w:r w:rsidR="005B7175" w:rsidRPr="009D52FD">
        <w:rPr>
          <w:sz w:val="20"/>
          <w:szCs w:val="20"/>
          <w:lang w:val="en-US"/>
        </w:rPr>
        <w:t>once again be a victim of violence o</w:t>
      </w:r>
      <w:r w:rsidR="00882153" w:rsidRPr="009D52FD">
        <w:rPr>
          <w:sz w:val="20"/>
          <w:szCs w:val="20"/>
          <w:lang w:val="en-US"/>
        </w:rPr>
        <w:t>r</w:t>
      </w:r>
      <w:r w:rsidR="005B7175" w:rsidRPr="009D52FD">
        <w:rPr>
          <w:sz w:val="20"/>
          <w:szCs w:val="20"/>
          <w:lang w:val="en-US"/>
        </w:rPr>
        <w:t xml:space="preserve"> that a member of her family might suffer an attack by her aggressor </w:t>
      </w:r>
      <w:r w:rsidR="00882153" w:rsidRPr="009D52FD">
        <w:rPr>
          <w:sz w:val="20"/>
          <w:szCs w:val="20"/>
          <w:lang w:val="en-US"/>
        </w:rPr>
        <w:t>or owing</w:t>
      </w:r>
      <w:r w:rsidR="005B7175" w:rsidRPr="009D52FD">
        <w:rPr>
          <w:sz w:val="20"/>
          <w:szCs w:val="20"/>
          <w:lang w:val="en-US"/>
        </w:rPr>
        <w:t xml:space="preserve"> to the petition lodged against the Venezuelan State before the inter-American system of human rights,” </w:t>
      </w:r>
      <w:r w:rsidR="00882153" w:rsidRPr="009D52FD">
        <w:rPr>
          <w:sz w:val="20"/>
          <w:szCs w:val="20"/>
          <w:lang w:val="en-US"/>
        </w:rPr>
        <w:t>and this had</w:t>
      </w:r>
      <w:r w:rsidR="005B7175" w:rsidRPr="009D52FD">
        <w:rPr>
          <w:sz w:val="20"/>
          <w:szCs w:val="20"/>
          <w:lang w:val="en-US"/>
        </w:rPr>
        <w:t xml:space="preserve"> led her to develop “feelings of sadness, guilt and shame.” They indicated that, in order to analyze the “non-pecuniary damage” caused to Linda Loaiza, in addition to the characteristics of the acts of which she was a victim, it should not be overlooked that</w:t>
      </w:r>
      <w:r w:rsidR="00882153" w:rsidRPr="009D52FD">
        <w:rPr>
          <w:sz w:val="20"/>
          <w:szCs w:val="20"/>
          <w:lang w:val="en-US"/>
        </w:rPr>
        <w:t xml:space="preserve"> </w:t>
      </w:r>
      <w:r w:rsidR="005B7175" w:rsidRPr="009D52FD">
        <w:rPr>
          <w:sz w:val="20"/>
          <w:szCs w:val="20"/>
          <w:lang w:val="en-US"/>
        </w:rPr>
        <w:t>she was 18 years of age</w:t>
      </w:r>
      <w:r w:rsidR="00882153" w:rsidRPr="009D52FD">
        <w:rPr>
          <w:sz w:val="20"/>
          <w:szCs w:val="20"/>
          <w:lang w:val="en-US"/>
        </w:rPr>
        <w:t xml:space="preserve"> at the time</w:t>
      </w:r>
      <w:r w:rsidR="005B7175" w:rsidRPr="009D52FD">
        <w:rPr>
          <w:sz w:val="20"/>
          <w:szCs w:val="20"/>
          <w:lang w:val="en-US"/>
        </w:rPr>
        <w:t xml:space="preserve"> and had arrived in Caracas with the expectation of pursing her university studies. They also emphasized the negative effect that the lack of justice had had on her. In this regard, they explained that, following her rescue, Linda Loaiza had to confront “six intense struggles”: the first, to surviv</w:t>
      </w:r>
      <w:r w:rsidR="00882153" w:rsidRPr="009D52FD">
        <w:rPr>
          <w:sz w:val="20"/>
          <w:szCs w:val="20"/>
          <w:lang w:val="en-US"/>
        </w:rPr>
        <w:t>e</w:t>
      </w:r>
      <w:r w:rsidR="005B7175" w:rsidRPr="009D52FD">
        <w:rPr>
          <w:sz w:val="20"/>
          <w:szCs w:val="20"/>
          <w:lang w:val="en-US"/>
        </w:rPr>
        <w:t xml:space="preserve"> </w:t>
      </w:r>
      <w:r w:rsidR="00882153" w:rsidRPr="009D52FD">
        <w:rPr>
          <w:sz w:val="20"/>
          <w:szCs w:val="20"/>
          <w:lang w:val="en-US"/>
        </w:rPr>
        <w:t xml:space="preserve">owing to </w:t>
      </w:r>
      <w:r w:rsidR="005B7175" w:rsidRPr="009D52FD">
        <w:rPr>
          <w:sz w:val="20"/>
          <w:szCs w:val="20"/>
          <w:lang w:val="en-US"/>
        </w:rPr>
        <w:t xml:space="preserve">her physical condition at the time of her rescue; the second, </w:t>
      </w:r>
      <w:r w:rsidR="00882153" w:rsidRPr="009D52FD">
        <w:rPr>
          <w:sz w:val="20"/>
          <w:szCs w:val="20"/>
          <w:lang w:val="en-US"/>
        </w:rPr>
        <w:t>because of</w:t>
      </w:r>
      <w:r w:rsidR="005B7175" w:rsidRPr="009D52FD">
        <w:rPr>
          <w:sz w:val="20"/>
          <w:szCs w:val="20"/>
          <w:lang w:val="en-US"/>
        </w:rPr>
        <w:t xml:space="preserve"> the efforts to ensure that the credibility of her testimony was not challenged</w:t>
      </w:r>
      <w:r w:rsidR="00554907" w:rsidRPr="009D52FD">
        <w:rPr>
          <w:sz w:val="20"/>
          <w:szCs w:val="20"/>
          <w:lang w:val="en-US"/>
        </w:rPr>
        <w:t xml:space="preserve">; the third, to find justice; the fourth, to ensure the safety of herself and her family during the judicial proceedings; the fifth, </w:t>
      </w:r>
      <w:r w:rsidR="00554907" w:rsidRPr="009D52FD">
        <w:rPr>
          <w:sz w:val="20"/>
          <w:szCs w:val="20"/>
          <w:lang w:val="en-US"/>
        </w:rPr>
        <w:lastRenderedPageBreak/>
        <w:t xml:space="preserve">to re-establish her life project, and, the last, </w:t>
      </w:r>
      <w:r w:rsidR="00882153" w:rsidRPr="009D52FD">
        <w:rPr>
          <w:sz w:val="20"/>
          <w:szCs w:val="20"/>
          <w:lang w:val="en-US"/>
        </w:rPr>
        <w:t>because of</w:t>
      </w:r>
      <w:r w:rsidR="00554907" w:rsidRPr="009D52FD">
        <w:rPr>
          <w:sz w:val="20"/>
          <w:szCs w:val="20"/>
          <w:lang w:val="en-US"/>
        </w:rPr>
        <w:t xml:space="preserve"> the submission of her case to the inter-American system. Furthermore, they noted that the </w:t>
      </w:r>
      <w:r w:rsidR="00882153" w:rsidRPr="009D52FD">
        <w:rPr>
          <w:sz w:val="20"/>
          <w:szCs w:val="20"/>
          <w:lang w:val="en-US"/>
        </w:rPr>
        <w:t>incidents</w:t>
      </w:r>
      <w:r w:rsidR="00554907" w:rsidRPr="009D52FD">
        <w:rPr>
          <w:sz w:val="20"/>
          <w:szCs w:val="20"/>
          <w:lang w:val="en-US"/>
        </w:rPr>
        <w:t xml:space="preserve"> experienced by Lina Loaiza had seriously affected her family relationships, because her siblings had been deprived of the care and financial assistance of their parents who had to move to Caracas to assist her.</w:t>
      </w:r>
    </w:p>
    <w:p w14:paraId="426535E4" w14:textId="77777777" w:rsidR="00935F35" w:rsidRPr="009D52FD" w:rsidRDefault="00935F35" w:rsidP="00935F35">
      <w:pPr>
        <w:tabs>
          <w:tab w:val="left" w:pos="567"/>
        </w:tabs>
        <w:spacing w:line="240" w:lineRule="auto"/>
        <w:rPr>
          <w:sz w:val="20"/>
          <w:szCs w:val="20"/>
          <w:lang w:val="en-US"/>
        </w:rPr>
      </w:pPr>
    </w:p>
    <w:p w14:paraId="3FD1454B" w14:textId="7BD91E49" w:rsidR="00935F35" w:rsidRPr="009D52FD" w:rsidRDefault="00554907" w:rsidP="00554907">
      <w:pPr>
        <w:numPr>
          <w:ilvl w:val="0"/>
          <w:numId w:val="1"/>
        </w:numPr>
        <w:tabs>
          <w:tab w:val="left" w:pos="567"/>
        </w:tabs>
        <w:spacing w:line="240" w:lineRule="auto"/>
        <w:ind w:left="0" w:firstLine="0"/>
        <w:textAlignment w:val="auto"/>
        <w:rPr>
          <w:sz w:val="20"/>
          <w:szCs w:val="20"/>
          <w:lang w:val="en-US"/>
        </w:rPr>
      </w:pPr>
      <w:r w:rsidRPr="009D52FD">
        <w:rPr>
          <w:sz w:val="20"/>
          <w:szCs w:val="20"/>
          <w:lang w:val="en-US"/>
        </w:rPr>
        <w:t xml:space="preserve">Therefore, they asked that the State be ordered to pay </w:t>
      </w:r>
      <w:r w:rsidR="00935F35" w:rsidRPr="009D52FD">
        <w:rPr>
          <w:sz w:val="20"/>
          <w:szCs w:val="20"/>
          <w:lang w:val="en-US"/>
        </w:rPr>
        <w:t>US$60</w:t>
      </w:r>
      <w:r w:rsidR="0098665D" w:rsidRPr="009D52FD">
        <w:rPr>
          <w:sz w:val="20"/>
          <w:szCs w:val="20"/>
          <w:lang w:val="en-US"/>
        </w:rPr>
        <w:t>,000.00</w:t>
      </w:r>
      <w:r w:rsidR="00935F35" w:rsidRPr="009D52FD">
        <w:rPr>
          <w:sz w:val="20"/>
          <w:szCs w:val="20"/>
          <w:lang w:val="en-US"/>
        </w:rPr>
        <w:t xml:space="preserve"> </w:t>
      </w:r>
      <w:r w:rsidRPr="009D52FD">
        <w:rPr>
          <w:sz w:val="20"/>
          <w:szCs w:val="20"/>
          <w:lang w:val="en-US"/>
        </w:rPr>
        <w:t>to</w:t>
      </w:r>
      <w:r w:rsidR="00935F35" w:rsidRPr="009D52FD">
        <w:rPr>
          <w:sz w:val="20"/>
          <w:szCs w:val="20"/>
          <w:lang w:val="en-US"/>
        </w:rPr>
        <w:t xml:space="preserve"> Linda Loaiza. </w:t>
      </w:r>
      <w:r w:rsidRPr="009D52FD">
        <w:rPr>
          <w:sz w:val="20"/>
          <w:szCs w:val="20"/>
          <w:lang w:val="en-US"/>
        </w:rPr>
        <w:t xml:space="preserve">However, in the understanding that this initial figure did not reflect “the level of pain that [Linda Loaiza] experienced as a result of the violations perpetrated against her,” when submitting their final arguments, at the request of the victim, they increased this sum to </w:t>
      </w:r>
      <w:r w:rsidR="00935F35" w:rsidRPr="009D52FD">
        <w:rPr>
          <w:sz w:val="20"/>
          <w:szCs w:val="20"/>
          <w:lang w:val="en-US"/>
        </w:rPr>
        <w:t>US$5</w:t>
      </w:r>
      <w:r w:rsidRPr="009D52FD">
        <w:rPr>
          <w:sz w:val="20"/>
          <w:szCs w:val="20"/>
          <w:lang w:val="en-US"/>
        </w:rPr>
        <w:t>,</w:t>
      </w:r>
      <w:r w:rsidR="00935F35" w:rsidRPr="009D52FD">
        <w:rPr>
          <w:sz w:val="20"/>
          <w:szCs w:val="20"/>
          <w:lang w:val="en-US"/>
        </w:rPr>
        <w:t>000</w:t>
      </w:r>
      <w:r w:rsidR="0098665D" w:rsidRPr="009D52FD">
        <w:rPr>
          <w:sz w:val="20"/>
          <w:szCs w:val="20"/>
          <w:lang w:val="en-US"/>
        </w:rPr>
        <w:t>,000.00</w:t>
      </w:r>
      <w:r w:rsidR="004F2F99" w:rsidRPr="009D52FD">
        <w:rPr>
          <w:sz w:val="20"/>
          <w:szCs w:val="20"/>
          <w:lang w:val="en-US"/>
        </w:rPr>
        <w:t>.</w:t>
      </w:r>
    </w:p>
    <w:p w14:paraId="5A5C2370" w14:textId="77777777" w:rsidR="00935F35" w:rsidRPr="009D52FD" w:rsidRDefault="00935F35" w:rsidP="00935F35">
      <w:pPr>
        <w:tabs>
          <w:tab w:val="left" w:pos="567"/>
        </w:tabs>
        <w:spacing w:line="240" w:lineRule="auto"/>
        <w:rPr>
          <w:sz w:val="20"/>
          <w:szCs w:val="20"/>
          <w:lang w:val="en-US"/>
        </w:rPr>
      </w:pPr>
    </w:p>
    <w:p w14:paraId="1BC86DAF" w14:textId="3D290B3E" w:rsidR="00935F35" w:rsidRPr="009D52FD" w:rsidRDefault="003630BB" w:rsidP="00935F35">
      <w:pPr>
        <w:numPr>
          <w:ilvl w:val="0"/>
          <w:numId w:val="1"/>
        </w:numPr>
        <w:tabs>
          <w:tab w:val="left" w:pos="567"/>
        </w:tabs>
        <w:spacing w:line="240" w:lineRule="auto"/>
        <w:ind w:left="0" w:firstLine="0"/>
        <w:textAlignment w:val="auto"/>
        <w:rPr>
          <w:rFonts w:eastAsia="MS Mincho"/>
          <w:sz w:val="20"/>
          <w:szCs w:val="20"/>
          <w:lang w:val="en-US" w:bidi="en-US"/>
        </w:rPr>
      </w:pPr>
      <w:r w:rsidRPr="009D52FD">
        <w:rPr>
          <w:rFonts w:eastAsia="MS Mincho"/>
          <w:sz w:val="20"/>
          <w:szCs w:val="20"/>
          <w:lang w:val="en-US" w:bidi="en-US"/>
        </w:rPr>
        <w:t xml:space="preserve">The </w:t>
      </w:r>
      <w:r w:rsidRPr="009D52FD">
        <w:rPr>
          <w:rFonts w:eastAsia="MS Mincho"/>
          <w:b/>
          <w:bCs/>
          <w:i/>
          <w:iCs/>
          <w:sz w:val="20"/>
          <w:szCs w:val="20"/>
          <w:lang w:val="en-US" w:bidi="en-US"/>
        </w:rPr>
        <w:t>State</w:t>
      </w:r>
      <w:r w:rsidR="00935F35" w:rsidRPr="009D52FD">
        <w:rPr>
          <w:rFonts w:eastAsia="Verdana" w:cs="Verdana"/>
          <w:b/>
          <w:bCs/>
          <w:i/>
          <w:iCs/>
          <w:sz w:val="20"/>
          <w:szCs w:val="20"/>
          <w:lang w:val="en-US"/>
        </w:rPr>
        <w:t xml:space="preserve"> </w:t>
      </w:r>
      <w:r w:rsidR="00554907" w:rsidRPr="009D52FD">
        <w:rPr>
          <w:rFonts w:eastAsia="Verdana" w:cs="Verdana"/>
          <w:sz w:val="20"/>
          <w:szCs w:val="20"/>
          <w:lang w:val="en-US"/>
        </w:rPr>
        <w:t xml:space="preserve">indicated that, based on the Court’s case law, reparation for </w:t>
      </w:r>
      <w:r w:rsidR="007D3D4F" w:rsidRPr="009D52FD">
        <w:rPr>
          <w:rFonts w:eastAsia="Verdana" w:cs="Verdana"/>
          <w:sz w:val="20"/>
          <w:szCs w:val="20"/>
          <w:lang w:val="en-US"/>
        </w:rPr>
        <w:t>non-pecuniary damage</w:t>
      </w:r>
      <w:r w:rsidR="00935F35" w:rsidRPr="009D52FD">
        <w:rPr>
          <w:rFonts w:eastAsia="Verdana" w:cs="Verdana"/>
          <w:sz w:val="20"/>
          <w:szCs w:val="20"/>
          <w:lang w:val="en-US"/>
        </w:rPr>
        <w:t xml:space="preserve"> </w:t>
      </w:r>
      <w:r w:rsidR="00554907" w:rsidRPr="009D52FD">
        <w:rPr>
          <w:rFonts w:eastAsia="Verdana" w:cs="Verdana"/>
          <w:sz w:val="20"/>
          <w:szCs w:val="20"/>
          <w:lang w:val="en-US"/>
        </w:rPr>
        <w:t>could be made by payment of a sum of money or even by the delivery or goods or services that were equivalent or had a monetary value</w:t>
      </w:r>
      <w:r w:rsidR="00935F35" w:rsidRPr="009D52FD">
        <w:rPr>
          <w:rFonts w:eastAsia="Verdana" w:cs="Verdana"/>
          <w:sz w:val="20"/>
          <w:szCs w:val="20"/>
          <w:lang w:val="en-US"/>
        </w:rPr>
        <w:t>.</w:t>
      </w:r>
    </w:p>
    <w:p w14:paraId="73249EEC" w14:textId="77777777" w:rsidR="00935F35" w:rsidRPr="009D52FD" w:rsidRDefault="00935F35" w:rsidP="00935F35">
      <w:pPr>
        <w:tabs>
          <w:tab w:val="left" w:pos="567"/>
        </w:tabs>
        <w:spacing w:line="240" w:lineRule="auto"/>
        <w:rPr>
          <w:rFonts w:eastAsia="Calibri"/>
          <w:b/>
          <w:i/>
          <w:sz w:val="20"/>
          <w:szCs w:val="20"/>
          <w:lang w:val="en-US"/>
        </w:rPr>
      </w:pPr>
    </w:p>
    <w:p w14:paraId="5EF1C775" w14:textId="3D4C0854" w:rsidR="00935F35" w:rsidRPr="009D52FD" w:rsidRDefault="003630BB" w:rsidP="00554907">
      <w:pPr>
        <w:numPr>
          <w:ilvl w:val="0"/>
          <w:numId w:val="1"/>
        </w:numPr>
        <w:tabs>
          <w:tab w:val="left" w:pos="567"/>
        </w:tabs>
        <w:spacing w:line="240" w:lineRule="auto"/>
        <w:ind w:left="0" w:firstLine="0"/>
        <w:textAlignment w:val="auto"/>
        <w:rPr>
          <w:rFonts w:eastAsia="Calibri"/>
          <w:b/>
          <w:i/>
          <w:sz w:val="20"/>
          <w:szCs w:val="20"/>
          <w:lang w:val="en-US"/>
        </w:rPr>
      </w:pPr>
      <w:r w:rsidRPr="009D52FD">
        <w:rPr>
          <w:sz w:val="20"/>
          <w:szCs w:val="20"/>
          <w:lang w:val="en-US"/>
        </w:rPr>
        <w:t>The Court</w:t>
      </w:r>
      <w:r w:rsidR="00935F35" w:rsidRPr="009D52FD">
        <w:rPr>
          <w:sz w:val="20"/>
          <w:szCs w:val="20"/>
          <w:lang w:val="en-US"/>
        </w:rPr>
        <w:t xml:space="preserve"> ha</w:t>
      </w:r>
      <w:r w:rsidR="00554907" w:rsidRPr="009D52FD">
        <w:rPr>
          <w:sz w:val="20"/>
          <w:szCs w:val="20"/>
          <w:lang w:val="en-US"/>
        </w:rPr>
        <w:t xml:space="preserve">s established in its case law that </w:t>
      </w:r>
      <w:r w:rsidR="007D3D4F" w:rsidRPr="009D52FD">
        <w:rPr>
          <w:sz w:val="20"/>
          <w:szCs w:val="20"/>
          <w:lang w:val="en-US"/>
        </w:rPr>
        <w:t>non-pecuniary damage</w:t>
      </w:r>
      <w:r w:rsidR="00935F35" w:rsidRPr="009D52FD">
        <w:rPr>
          <w:sz w:val="20"/>
          <w:szCs w:val="20"/>
          <w:lang w:val="en-US"/>
        </w:rPr>
        <w:t xml:space="preserve"> “</w:t>
      </w:r>
      <w:r w:rsidR="00554907" w:rsidRPr="009D52FD">
        <w:rPr>
          <w:sz w:val="20"/>
          <w:szCs w:val="20"/>
          <w:lang w:val="en-US"/>
        </w:rPr>
        <w:t>may include</w:t>
      </w:r>
      <w:r w:rsidR="00882153" w:rsidRPr="009D52FD">
        <w:rPr>
          <w:sz w:val="20"/>
          <w:szCs w:val="20"/>
          <w:lang w:val="en-US"/>
        </w:rPr>
        <w:t xml:space="preserve"> both</w:t>
      </w:r>
      <w:r w:rsidR="00554907" w:rsidRPr="009D52FD">
        <w:rPr>
          <w:sz w:val="20"/>
          <w:szCs w:val="20"/>
          <w:lang w:val="en-US"/>
        </w:rPr>
        <w:t xml:space="preserve"> the suffering and afflictions caused by the violations, and</w:t>
      </w:r>
      <w:r w:rsidR="00882153" w:rsidRPr="009D52FD">
        <w:rPr>
          <w:sz w:val="20"/>
          <w:szCs w:val="20"/>
          <w:lang w:val="en-US"/>
        </w:rPr>
        <w:t xml:space="preserve"> also</w:t>
      </w:r>
      <w:r w:rsidR="00554907" w:rsidRPr="009D52FD">
        <w:rPr>
          <w:sz w:val="20"/>
          <w:szCs w:val="20"/>
          <w:lang w:val="en-US"/>
        </w:rPr>
        <w:t xml:space="preserve"> the impairment of values of great significance </w:t>
      </w:r>
      <w:r w:rsidR="00882153" w:rsidRPr="009D52FD">
        <w:rPr>
          <w:sz w:val="20"/>
          <w:szCs w:val="20"/>
          <w:lang w:val="en-US"/>
        </w:rPr>
        <w:t>to</w:t>
      </w:r>
      <w:r w:rsidR="00554907" w:rsidRPr="009D52FD">
        <w:rPr>
          <w:sz w:val="20"/>
          <w:szCs w:val="20"/>
          <w:lang w:val="en-US"/>
        </w:rPr>
        <w:t xml:space="preserve"> the individual and any alteration, of a non-pecuniary nature, in the living conditions of the victims.” Furthermore, since it is not possible to allocate a precise monetary equivalent to non-pecuniary damage, it can only be compensated, for the purpose of full reparation to the victim, by the payment of a sum of money or the delivery of good or services with a monetary value that the Court determines in reasonable application of sound judicial discretion and in equity.</w:t>
      </w:r>
      <w:r w:rsidR="00935F35" w:rsidRPr="009D52FD">
        <w:rPr>
          <w:rFonts w:eastAsia="Calibri"/>
          <w:sz w:val="20"/>
          <w:szCs w:val="20"/>
          <w:vertAlign w:val="superscript"/>
          <w:lang w:val="en-US"/>
        </w:rPr>
        <w:footnoteReference w:id="421"/>
      </w:r>
    </w:p>
    <w:p w14:paraId="7C7DB9ED" w14:textId="77777777" w:rsidR="00935F35" w:rsidRPr="009D52FD" w:rsidRDefault="00935F35" w:rsidP="00935F35">
      <w:pPr>
        <w:spacing w:line="240" w:lineRule="auto"/>
        <w:ind w:left="708"/>
        <w:rPr>
          <w:rFonts w:eastAsia="Calibri"/>
          <w:b/>
          <w:i/>
          <w:sz w:val="20"/>
          <w:szCs w:val="20"/>
          <w:lang w:val="en-US"/>
        </w:rPr>
      </w:pPr>
    </w:p>
    <w:p w14:paraId="7E52C4E9" w14:textId="1C21FA10" w:rsidR="00935F35" w:rsidRPr="009D52FD" w:rsidRDefault="00D414BE" w:rsidP="00D414BE">
      <w:pPr>
        <w:numPr>
          <w:ilvl w:val="0"/>
          <w:numId w:val="1"/>
        </w:numPr>
        <w:tabs>
          <w:tab w:val="num" w:pos="0"/>
          <w:tab w:val="left" w:pos="567"/>
          <w:tab w:val="num" w:pos="1427"/>
        </w:tabs>
        <w:spacing w:line="240" w:lineRule="auto"/>
        <w:ind w:left="0" w:firstLine="0"/>
        <w:textAlignment w:val="auto"/>
        <w:rPr>
          <w:sz w:val="20"/>
          <w:szCs w:val="20"/>
          <w:lang w:val="en-US"/>
        </w:rPr>
      </w:pPr>
      <w:r w:rsidRPr="009D52FD">
        <w:rPr>
          <w:sz w:val="20"/>
          <w:szCs w:val="20"/>
          <w:lang w:val="en-US"/>
        </w:rPr>
        <w:t xml:space="preserve">Taking into consideration the circumstances of this case, the violations committed, the suffering caused and experienced to different degrees, the time that has passed, the denial of justice, and also the change in the living conditions of the family members, the proven violations of the personal integrity of the victims and the other consequences of a non-pecuniary nature that they </w:t>
      </w:r>
      <w:r w:rsidR="00882153" w:rsidRPr="009D52FD">
        <w:rPr>
          <w:sz w:val="20"/>
          <w:szCs w:val="20"/>
          <w:lang w:val="en-US"/>
        </w:rPr>
        <w:t xml:space="preserve">have </w:t>
      </w:r>
      <w:r w:rsidRPr="009D52FD">
        <w:rPr>
          <w:sz w:val="20"/>
          <w:szCs w:val="20"/>
          <w:lang w:val="en-US"/>
        </w:rPr>
        <w:t xml:space="preserve">suffered, the Court will establish the compensation for </w:t>
      </w:r>
      <w:r w:rsidR="007D3D4F" w:rsidRPr="009D52FD">
        <w:rPr>
          <w:sz w:val="20"/>
          <w:szCs w:val="20"/>
          <w:lang w:val="en-US"/>
        </w:rPr>
        <w:t>non-pecuniary damage</w:t>
      </w:r>
      <w:r w:rsidR="00935F35" w:rsidRPr="009D52FD">
        <w:rPr>
          <w:sz w:val="20"/>
          <w:szCs w:val="20"/>
          <w:lang w:val="en-US"/>
        </w:rPr>
        <w:t xml:space="preserve"> </w:t>
      </w:r>
      <w:r w:rsidRPr="009D52FD">
        <w:rPr>
          <w:sz w:val="20"/>
          <w:szCs w:val="20"/>
          <w:lang w:val="en-US"/>
        </w:rPr>
        <w:t>in favor of the victims</w:t>
      </w:r>
      <w:r w:rsidR="00882153" w:rsidRPr="009D52FD">
        <w:rPr>
          <w:sz w:val="20"/>
          <w:szCs w:val="20"/>
          <w:lang w:val="en-US"/>
        </w:rPr>
        <w:t xml:space="preserve"> based on the principle of equity.</w:t>
      </w:r>
      <w:r w:rsidRPr="009D52FD">
        <w:rPr>
          <w:sz w:val="20"/>
          <w:szCs w:val="20"/>
          <w:lang w:val="en-US"/>
        </w:rPr>
        <w:t xml:space="preserve"> </w:t>
      </w:r>
    </w:p>
    <w:p w14:paraId="48591CC0" w14:textId="77777777" w:rsidR="00935F35" w:rsidRPr="009D52FD" w:rsidRDefault="00935F35" w:rsidP="00935F35">
      <w:pPr>
        <w:tabs>
          <w:tab w:val="left" w:pos="567"/>
        </w:tabs>
        <w:spacing w:line="240" w:lineRule="auto"/>
        <w:rPr>
          <w:sz w:val="20"/>
          <w:szCs w:val="20"/>
          <w:lang w:val="en-US"/>
        </w:rPr>
      </w:pPr>
    </w:p>
    <w:p w14:paraId="1DB0C034" w14:textId="46FA3017" w:rsidR="00935F35" w:rsidRPr="009D52FD" w:rsidRDefault="00966A04" w:rsidP="00935F35">
      <w:pPr>
        <w:numPr>
          <w:ilvl w:val="0"/>
          <w:numId w:val="1"/>
        </w:numPr>
        <w:tabs>
          <w:tab w:val="num" w:pos="0"/>
          <w:tab w:val="left" w:pos="567"/>
          <w:tab w:val="num" w:pos="1427"/>
        </w:tabs>
        <w:spacing w:line="240" w:lineRule="auto"/>
        <w:ind w:left="0" w:firstLine="0"/>
        <w:textAlignment w:val="auto"/>
        <w:rPr>
          <w:sz w:val="20"/>
          <w:szCs w:val="20"/>
          <w:lang w:val="en-US"/>
        </w:rPr>
      </w:pPr>
      <w:r w:rsidRPr="009D52FD">
        <w:rPr>
          <w:sz w:val="20"/>
          <w:szCs w:val="20"/>
          <w:lang w:val="en-US"/>
        </w:rPr>
        <w:t>Consequently</w:t>
      </w:r>
      <w:r w:rsidR="00935F35" w:rsidRPr="009D52FD">
        <w:rPr>
          <w:sz w:val="20"/>
          <w:szCs w:val="20"/>
          <w:lang w:val="en-US"/>
        </w:rPr>
        <w:t xml:space="preserve">, </w:t>
      </w:r>
      <w:r w:rsidR="003630BB" w:rsidRPr="009D52FD">
        <w:rPr>
          <w:sz w:val="20"/>
          <w:szCs w:val="20"/>
          <w:lang w:val="en-US"/>
        </w:rPr>
        <w:t>the Court</w:t>
      </w:r>
      <w:r w:rsidR="00935F35" w:rsidRPr="009D52FD">
        <w:rPr>
          <w:sz w:val="20"/>
          <w:szCs w:val="20"/>
          <w:lang w:val="en-US"/>
        </w:rPr>
        <w:t xml:space="preserve"> orde</w:t>
      </w:r>
      <w:r w:rsidR="00D414BE" w:rsidRPr="009D52FD">
        <w:rPr>
          <w:sz w:val="20"/>
          <w:szCs w:val="20"/>
          <w:lang w:val="en-US"/>
        </w:rPr>
        <w:t xml:space="preserve">rs, in equity, payment of the sum of </w:t>
      </w:r>
      <w:r w:rsidR="00935F35" w:rsidRPr="009D52FD">
        <w:rPr>
          <w:sz w:val="20"/>
          <w:szCs w:val="20"/>
          <w:lang w:val="en-US"/>
        </w:rPr>
        <w:t>US$</w:t>
      </w:r>
      <w:r w:rsidR="00D902B5" w:rsidRPr="009D52FD">
        <w:rPr>
          <w:sz w:val="20"/>
          <w:szCs w:val="20"/>
          <w:lang w:val="en-US"/>
        </w:rPr>
        <w:t>80</w:t>
      </w:r>
      <w:r w:rsidR="0098665D" w:rsidRPr="009D52FD">
        <w:rPr>
          <w:sz w:val="20"/>
          <w:szCs w:val="20"/>
          <w:lang w:val="en-US"/>
        </w:rPr>
        <w:t>,000.00</w:t>
      </w:r>
      <w:r w:rsidR="00935F35" w:rsidRPr="009D52FD">
        <w:rPr>
          <w:sz w:val="20"/>
          <w:szCs w:val="20"/>
          <w:lang w:val="en-US"/>
        </w:rPr>
        <w:t xml:space="preserve"> (</w:t>
      </w:r>
      <w:r w:rsidR="00864649" w:rsidRPr="009D52FD">
        <w:rPr>
          <w:sz w:val="20"/>
          <w:szCs w:val="20"/>
          <w:lang w:val="en-US"/>
        </w:rPr>
        <w:t>eighty</w:t>
      </w:r>
      <w:r w:rsidR="00D902B5" w:rsidRPr="009D52FD">
        <w:rPr>
          <w:sz w:val="20"/>
          <w:szCs w:val="20"/>
          <w:lang w:val="en-US"/>
        </w:rPr>
        <w:t xml:space="preserve"> </w:t>
      </w:r>
      <w:r w:rsidR="0098665D" w:rsidRPr="009D52FD">
        <w:rPr>
          <w:sz w:val="20"/>
          <w:szCs w:val="20"/>
          <w:lang w:val="en-US"/>
        </w:rPr>
        <w:t>thousand United States dollars</w:t>
      </w:r>
      <w:r w:rsidR="00935F35" w:rsidRPr="009D52FD">
        <w:rPr>
          <w:sz w:val="20"/>
          <w:szCs w:val="20"/>
          <w:lang w:val="en-US"/>
        </w:rPr>
        <w:t xml:space="preserve">) </w:t>
      </w:r>
      <w:r w:rsidR="00864649" w:rsidRPr="009D52FD">
        <w:rPr>
          <w:sz w:val="20"/>
          <w:szCs w:val="20"/>
          <w:lang w:val="en-US"/>
        </w:rPr>
        <w:t>to</w:t>
      </w:r>
      <w:r w:rsidR="00935F35" w:rsidRPr="009D52FD">
        <w:rPr>
          <w:sz w:val="20"/>
          <w:szCs w:val="20"/>
          <w:lang w:val="en-US"/>
        </w:rPr>
        <w:t xml:space="preserve"> Linda Loaiza López Soto</w:t>
      </w:r>
      <w:r w:rsidR="00D414BE" w:rsidRPr="009D52FD">
        <w:rPr>
          <w:sz w:val="20"/>
          <w:szCs w:val="20"/>
          <w:lang w:val="en-US"/>
        </w:rPr>
        <w:t xml:space="preserve"> for non-pecuniary damage</w:t>
      </w:r>
      <w:r w:rsidR="00935F35" w:rsidRPr="009D52FD">
        <w:rPr>
          <w:sz w:val="20"/>
          <w:szCs w:val="20"/>
          <w:lang w:val="en-US"/>
        </w:rPr>
        <w:t>.</w:t>
      </w:r>
    </w:p>
    <w:p w14:paraId="20CA4530" w14:textId="77777777" w:rsidR="00935F35" w:rsidRPr="009D52FD" w:rsidRDefault="00935F35" w:rsidP="00935F35">
      <w:pPr>
        <w:tabs>
          <w:tab w:val="left" w:pos="567"/>
          <w:tab w:val="num" w:pos="1427"/>
        </w:tabs>
        <w:spacing w:line="240" w:lineRule="auto"/>
        <w:rPr>
          <w:sz w:val="20"/>
          <w:szCs w:val="20"/>
          <w:lang w:val="en-US"/>
        </w:rPr>
      </w:pPr>
    </w:p>
    <w:p w14:paraId="0ACD020E" w14:textId="171BFD88" w:rsidR="00935F35" w:rsidRPr="009D52FD" w:rsidRDefault="00D414BE" w:rsidP="00935F35">
      <w:pPr>
        <w:numPr>
          <w:ilvl w:val="0"/>
          <w:numId w:val="1"/>
        </w:numPr>
        <w:tabs>
          <w:tab w:val="num" w:pos="0"/>
          <w:tab w:val="left" w:pos="567"/>
          <w:tab w:val="num" w:pos="1427"/>
        </w:tabs>
        <w:spacing w:line="240" w:lineRule="auto"/>
        <w:ind w:left="0" w:firstLine="0"/>
        <w:textAlignment w:val="auto"/>
        <w:rPr>
          <w:sz w:val="20"/>
          <w:szCs w:val="20"/>
          <w:lang w:val="en-US"/>
        </w:rPr>
      </w:pPr>
      <w:r w:rsidRPr="009D52FD">
        <w:rPr>
          <w:sz w:val="20"/>
          <w:szCs w:val="20"/>
          <w:lang w:val="en-US"/>
        </w:rPr>
        <w:t>Moreover</w:t>
      </w:r>
      <w:r w:rsidR="00935F35" w:rsidRPr="009D52FD">
        <w:rPr>
          <w:sz w:val="20"/>
          <w:szCs w:val="20"/>
          <w:lang w:val="en-US"/>
        </w:rPr>
        <w:t xml:space="preserve">, </w:t>
      </w:r>
      <w:r w:rsidR="0002239A" w:rsidRPr="009D52FD">
        <w:rPr>
          <w:sz w:val="20"/>
          <w:szCs w:val="20"/>
          <w:lang w:val="en-US"/>
        </w:rPr>
        <w:t>th</w:t>
      </w:r>
      <w:r w:rsidRPr="009D52FD">
        <w:rPr>
          <w:sz w:val="20"/>
          <w:szCs w:val="20"/>
          <w:lang w:val="en-US"/>
        </w:rPr>
        <w:t>e</w:t>
      </w:r>
      <w:r w:rsidR="0002239A" w:rsidRPr="009D52FD">
        <w:rPr>
          <w:sz w:val="20"/>
          <w:szCs w:val="20"/>
          <w:lang w:val="en-US"/>
        </w:rPr>
        <w:t xml:space="preserve"> Court</w:t>
      </w:r>
      <w:r w:rsidR="00935F35" w:rsidRPr="009D52FD">
        <w:rPr>
          <w:sz w:val="20"/>
          <w:szCs w:val="20"/>
          <w:lang w:val="en-US"/>
        </w:rPr>
        <w:t xml:space="preserve"> </w:t>
      </w:r>
      <w:r w:rsidRPr="009D52FD">
        <w:rPr>
          <w:sz w:val="20"/>
          <w:szCs w:val="20"/>
          <w:lang w:val="en-US"/>
        </w:rPr>
        <w:t>establishes, in equity, payment of the sum of</w:t>
      </w:r>
      <w:r w:rsidR="00935F35" w:rsidRPr="009D52FD">
        <w:rPr>
          <w:sz w:val="20"/>
          <w:szCs w:val="20"/>
          <w:lang w:val="en-US"/>
        </w:rPr>
        <w:t xml:space="preserve"> US$</w:t>
      </w:r>
      <w:r w:rsidR="00D902B5" w:rsidRPr="009D52FD">
        <w:rPr>
          <w:sz w:val="20"/>
          <w:szCs w:val="20"/>
          <w:lang w:val="en-US"/>
        </w:rPr>
        <w:t>30</w:t>
      </w:r>
      <w:r w:rsidR="0098665D" w:rsidRPr="009D52FD">
        <w:rPr>
          <w:sz w:val="20"/>
          <w:szCs w:val="20"/>
          <w:lang w:val="en-US"/>
        </w:rPr>
        <w:t>,000.00</w:t>
      </w:r>
      <w:r w:rsidR="00935F35" w:rsidRPr="009D52FD">
        <w:rPr>
          <w:sz w:val="20"/>
          <w:szCs w:val="20"/>
          <w:lang w:val="en-US"/>
        </w:rPr>
        <w:t xml:space="preserve"> (</w:t>
      </w:r>
      <w:r w:rsidR="00D902B5" w:rsidRPr="009D52FD">
        <w:rPr>
          <w:sz w:val="20"/>
          <w:szCs w:val="20"/>
          <w:lang w:val="en-US"/>
        </w:rPr>
        <w:t>t</w:t>
      </w:r>
      <w:r w:rsidR="00864649" w:rsidRPr="009D52FD">
        <w:rPr>
          <w:sz w:val="20"/>
          <w:szCs w:val="20"/>
          <w:lang w:val="en-US"/>
        </w:rPr>
        <w:t>hirty</w:t>
      </w:r>
      <w:r w:rsidR="00D902B5" w:rsidRPr="009D52FD">
        <w:rPr>
          <w:sz w:val="20"/>
          <w:szCs w:val="20"/>
          <w:lang w:val="en-US"/>
        </w:rPr>
        <w:t xml:space="preserve"> </w:t>
      </w:r>
      <w:r w:rsidR="0098665D" w:rsidRPr="009D52FD">
        <w:rPr>
          <w:sz w:val="20"/>
          <w:szCs w:val="20"/>
          <w:lang w:val="en-US"/>
        </w:rPr>
        <w:t>thousand United States dollars</w:t>
      </w:r>
      <w:r w:rsidR="00935F35" w:rsidRPr="009D52FD">
        <w:rPr>
          <w:sz w:val="20"/>
          <w:szCs w:val="20"/>
          <w:lang w:val="en-US"/>
        </w:rPr>
        <w:t xml:space="preserve">) </w:t>
      </w:r>
      <w:r w:rsidR="00864649" w:rsidRPr="009D52FD">
        <w:rPr>
          <w:sz w:val="20"/>
          <w:szCs w:val="20"/>
          <w:lang w:val="en-US"/>
        </w:rPr>
        <w:t>for</w:t>
      </w:r>
      <w:r w:rsidR="00935F35" w:rsidRPr="009D52FD">
        <w:rPr>
          <w:sz w:val="20"/>
          <w:szCs w:val="20"/>
          <w:lang w:val="en-US"/>
        </w:rPr>
        <w:t xml:space="preserve"> </w:t>
      </w:r>
      <w:r w:rsidR="007D3D4F" w:rsidRPr="009D52FD">
        <w:rPr>
          <w:sz w:val="20"/>
          <w:szCs w:val="20"/>
          <w:lang w:val="en-US"/>
        </w:rPr>
        <w:t>non-pecuniary damage</w:t>
      </w:r>
      <w:r w:rsidR="00935F35" w:rsidRPr="009D52FD">
        <w:rPr>
          <w:sz w:val="20"/>
          <w:szCs w:val="20"/>
          <w:lang w:val="en-US"/>
        </w:rPr>
        <w:t xml:space="preserve"> </w:t>
      </w:r>
      <w:r w:rsidRPr="009D52FD">
        <w:rPr>
          <w:sz w:val="20"/>
          <w:szCs w:val="20"/>
          <w:lang w:val="en-US"/>
        </w:rPr>
        <w:t>to</w:t>
      </w:r>
      <w:r w:rsidR="00864649" w:rsidRPr="009D52FD">
        <w:rPr>
          <w:sz w:val="20"/>
          <w:szCs w:val="20"/>
          <w:lang w:val="en-US"/>
        </w:rPr>
        <w:t xml:space="preserve"> each of the following persons: </w:t>
      </w:r>
      <w:r w:rsidR="00935F35" w:rsidRPr="009D52FD">
        <w:rPr>
          <w:sz w:val="20"/>
          <w:szCs w:val="20"/>
          <w:lang w:val="en-US"/>
        </w:rPr>
        <w:t>Nelson López Meza</w:t>
      </w:r>
      <w:r w:rsidR="003630BB" w:rsidRPr="009D52FD">
        <w:rPr>
          <w:sz w:val="20"/>
          <w:szCs w:val="20"/>
          <w:lang w:val="en-US"/>
        </w:rPr>
        <w:t xml:space="preserve"> and </w:t>
      </w:r>
      <w:r w:rsidR="00935F35" w:rsidRPr="009D52FD">
        <w:rPr>
          <w:sz w:val="20"/>
          <w:szCs w:val="20"/>
          <w:lang w:val="en-US"/>
        </w:rPr>
        <w:t>Paulina Soto</w:t>
      </w:r>
      <w:r w:rsidR="003A093C" w:rsidRPr="009D52FD">
        <w:rPr>
          <w:sz w:val="20"/>
          <w:szCs w:val="20"/>
          <w:lang w:val="en-US"/>
        </w:rPr>
        <w:t xml:space="preserve"> Chaustre</w:t>
      </w:r>
      <w:r w:rsidR="00935F35" w:rsidRPr="009D52FD">
        <w:rPr>
          <w:sz w:val="20"/>
          <w:szCs w:val="20"/>
          <w:lang w:val="en-US"/>
        </w:rPr>
        <w:t xml:space="preserve">, </w:t>
      </w:r>
      <w:r w:rsidR="00864649" w:rsidRPr="009D52FD">
        <w:rPr>
          <w:sz w:val="20"/>
          <w:szCs w:val="20"/>
          <w:lang w:val="en-US"/>
        </w:rPr>
        <w:t>parents of</w:t>
      </w:r>
      <w:r w:rsidR="00935F35" w:rsidRPr="009D52FD">
        <w:rPr>
          <w:sz w:val="20"/>
          <w:szCs w:val="20"/>
          <w:lang w:val="en-US"/>
        </w:rPr>
        <w:t xml:space="preserve"> Linda Loaiza López Soto, </w:t>
      </w:r>
      <w:r w:rsidR="00864649" w:rsidRPr="009D52FD">
        <w:rPr>
          <w:sz w:val="20"/>
          <w:szCs w:val="20"/>
          <w:lang w:val="en-US"/>
        </w:rPr>
        <w:t>as well as her sister,</w:t>
      </w:r>
      <w:r w:rsidR="00D902B5" w:rsidRPr="009D52FD">
        <w:rPr>
          <w:sz w:val="20"/>
          <w:szCs w:val="20"/>
          <w:lang w:val="en-US"/>
        </w:rPr>
        <w:t xml:space="preserve"> Ana Secilia López Soto.</w:t>
      </w:r>
    </w:p>
    <w:p w14:paraId="75D48EBA" w14:textId="77777777" w:rsidR="00935F35" w:rsidRPr="009D52FD" w:rsidRDefault="00935F35" w:rsidP="00935F35">
      <w:pPr>
        <w:tabs>
          <w:tab w:val="left" w:pos="567"/>
          <w:tab w:val="num" w:pos="1427"/>
        </w:tabs>
        <w:spacing w:line="240" w:lineRule="auto"/>
        <w:rPr>
          <w:sz w:val="20"/>
          <w:szCs w:val="20"/>
          <w:lang w:val="en-US"/>
        </w:rPr>
      </w:pPr>
    </w:p>
    <w:p w14:paraId="767465E3" w14:textId="1DA134A6" w:rsidR="00935F35" w:rsidRPr="009D52FD" w:rsidRDefault="00103C77" w:rsidP="00935F35">
      <w:pPr>
        <w:numPr>
          <w:ilvl w:val="0"/>
          <w:numId w:val="1"/>
        </w:numPr>
        <w:tabs>
          <w:tab w:val="num" w:pos="0"/>
          <w:tab w:val="left" w:pos="567"/>
          <w:tab w:val="num" w:pos="1427"/>
        </w:tabs>
        <w:spacing w:line="240" w:lineRule="auto"/>
        <w:ind w:left="0" w:firstLine="0"/>
        <w:textAlignment w:val="auto"/>
        <w:rPr>
          <w:sz w:val="20"/>
          <w:szCs w:val="20"/>
          <w:lang w:val="en-US"/>
        </w:rPr>
      </w:pPr>
      <w:r w:rsidRPr="009D52FD">
        <w:rPr>
          <w:sz w:val="20"/>
          <w:szCs w:val="20"/>
          <w:lang w:val="en-US"/>
        </w:rPr>
        <w:t>Lastly</w:t>
      </w:r>
      <w:r w:rsidR="00935F35" w:rsidRPr="009D52FD">
        <w:rPr>
          <w:sz w:val="20"/>
          <w:szCs w:val="20"/>
          <w:lang w:val="en-US"/>
        </w:rPr>
        <w:t xml:space="preserve">, </w:t>
      </w:r>
      <w:r w:rsidR="003630BB" w:rsidRPr="009D52FD">
        <w:rPr>
          <w:sz w:val="20"/>
          <w:szCs w:val="20"/>
          <w:lang w:val="en-US"/>
        </w:rPr>
        <w:t>the Court</w:t>
      </w:r>
      <w:r w:rsidR="00935F35" w:rsidRPr="009D52FD">
        <w:rPr>
          <w:sz w:val="20"/>
          <w:szCs w:val="20"/>
          <w:lang w:val="en-US"/>
        </w:rPr>
        <w:t xml:space="preserve"> orde</w:t>
      </w:r>
      <w:r w:rsidRPr="009D52FD">
        <w:rPr>
          <w:sz w:val="20"/>
          <w:szCs w:val="20"/>
          <w:lang w:val="en-US"/>
        </w:rPr>
        <w:t>rs, in equity, payment of the sum of</w:t>
      </w:r>
      <w:r w:rsidR="00935F35" w:rsidRPr="009D52FD">
        <w:rPr>
          <w:sz w:val="20"/>
          <w:szCs w:val="20"/>
          <w:lang w:val="en-US"/>
        </w:rPr>
        <w:t xml:space="preserve"> US$</w:t>
      </w:r>
      <w:r w:rsidR="00D902B5" w:rsidRPr="009D52FD">
        <w:rPr>
          <w:sz w:val="20"/>
          <w:szCs w:val="20"/>
          <w:lang w:val="en-US"/>
        </w:rPr>
        <w:t>15</w:t>
      </w:r>
      <w:r w:rsidR="0098665D" w:rsidRPr="009D52FD">
        <w:rPr>
          <w:sz w:val="20"/>
          <w:szCs w:val="20"/>
          <w:lang w:val="en-US"/>
        </w:rPr>
        <w:t>,000.00</w:t>
      </w:r>
      <w:r w:rsidR="00935F35" w:rsidRPr="009D52FD">
        <w:rPr>
          <w:sz w:val="20"/>
          <w:szCs w:val="20"/>
          <w:lang w:val="en-US"/>
        </w:rPr>
        <w:t xml:space="preserve"> (</w:t>
      </w:r>
      <w:r w:rsidR="00864649" w:rsidRPr="009D52FD">
        <w:rPr>
          <w:sz w:val="20"/>
          <w:szCs w:val="20"/>
          <w:lang w:val="en-US"/>
        </w:rPr>
        <w:t xml:space="preserve">fifteen </w:t>
      </w:r>
      <w:r w:rsidR="0098665D" w:rsidRPr="009D52FD">
        <w:rPr>
          <w:sz w:val="20"/>
          <w:szCs w:val="20"/>
          <w:lang w:val="en-US"/>
        </w:rPr>
        <w:t>thousand United States dollars</w:t>
      </w:r>
      <w:r w:rsidR="00935F35" w:rsidRPr="009D52FD">
        <w:rPr>
          <w:sz w:val="20"/>
          <w:szCs w:val="20"/>
          <w:lang w:val="en-US"/>
        </w:rPr>
        <w:t xml:space="preserve">), </w:t>
      </w:r>
      <w:r w:rsidR="00864649" w:rsidRPr="009D52FD">
        <w:rPr>
          <w:sz w:val="20"/>
          <w:szCs w:val="20"/>
          <w:lang w:val="en-US"/>
        </w:rPr>
        <w:t>for each of</w:t>
      </w:r>
      <w:r w:rsidR="00F92E25" w:rsidRPr="009D52FD">
        <w:rPr>
          <w:sz w:val="20"/>
          <w:szCs w:val="20"/>
          <w:lang w:val="en-US"/>
        </w:rPr>
        <w:t xml:space="preserve"> Linda Lo</w:t>
      </w:r>
      <w:r w:rsidR="00935F35" w:rsidRPr="009D52FD">
        <w:rPr>
          <w:sz w:val="20"/>
          <w:szCs w:val="20"/>
          <w:lang w:val="en-US"/>
        </w:rPr>
        <w:t>a</w:t>
      </w:r>
      <w:r w:rsidR="00F92E25" w:rsidRPr="009D52FD">
        <w:rPr>
          <w:sz w:val="20"/>
          <w:szCs w:val="20"/>
          <w:lang w:val="en-US"/>
        </w:rPr>
        <w:t>i</w:t>
      </w:r>
      <w:r w:rsidR="00935F35" w:rsidRPr="009D52FD">
        <w:rPr>
          <w:sz w:val="20"/>
          <w:szCs w:val="20"/>
          <w:lang w:val="en-US"/>
        </w:rPr>
        <w:t>za López Soto</w:t>
      </w:r>
      <w:r w:rsidR="00864649" w:rsidRPr="009D52FD">
        <w:rPr>
          <w:sz w:val="20"/>
          <w:szCs w:val="20"/>
          <w:lang w:val="en-US"/>
        </w:rPr>
        <w:t>’s other siblings</w:t>
      </w:r>
      <w:r w:rsidR="00935F35" w:rsidRPr="009D52FD">
        <w:rPr>
          <w:sz w:val="20"/>
          <w:szCs w:val="20"/>
          <w:lang w:val="en-US"/>
        </w:rPr>
        <w:t xml:space="preserve">: Diana Carolina López Soto, Anyi Karina López Soto, </w:t>
      </w:r>
      <w:r w:rsidR="00935F35" w:rsidRPr="009D52FD">
        <w:rPr>
          <w:rFonts w:eastAsia="Verdana" w:cs="Verdana"/>
          <w:sz w:val="20"/>
          <w:szCs w:val="20"/>
          <w:lang w:val="en-US"/>
        </w:rPr>
        <w:t xml:space="preserve">Nelson Enrique López Soto, Elith Johana López Soto, </w:t>
      </w:r>
      <w:r w:rsidR="0021501D" w:rsidRPr="009D52FD">
        <w:rPr>
          <w:rFonts w:eastAsia="Verdana" w:cs="Verdana"/>
          <w:sz w:val="20"/>
          <w:szCs w:val="20"/>
          <w:lang w:val="en-US"/>
        </w:rPr>
        <w:t xml:space="preserve">Gerson José López Soto, </w:t>
      </w:r>
      <w:r w:rsidR="00935F35" w:rsidRPr="009D52FD">
        <w:rPr>
          <w:rFonts w:eastAsia="Verdana" w:cs="Verdana"/>
          <w:sz w:val="20"/>
          <w:szCs w:val="20"/>
          <w:lang w:val="en-US"/>
        </w:rPr>
        <w:t>Yusmely del Valle López Soto, Luz Paulina López Soto, José Isidro López Soto,</w:t>
      </w:r>
      <w:r w:rsidR="003630BB" w:rsidRPr="009D52FD">
        <w:rPr>
          <w:rFonts w:eastAsia="Verdana" w:cs="Verdana"/>
          <w:sz w:val="20"/>
          <w:szCs w:val="20"/>
          <w:lang w:val="en-US"/>
        </w:rPr>
        <w:t xml:space="preserve"> and </w:t>
      </w:r>
      <w:r w:rsidR="00935F35" w:rsidRPr="009D52FD">
        <w:rPr>
          <w:rFonts w:eastAsia="Verdana" w:cs="Verdana"/>
          <w:sz w:val="20"/>
          <w:szCs w:val="20"/>
          <w:lang w:val="en-US"/>
        </w:rPr>
        <w:t>Emmanuel Adrián López Soto.</w:t>
      </w:r>
    </w:p>
    <w:p w14:paraId="6A759A17" w14:textId="77777777" w:rsidR="00935F35" w:rsidRPr="009D52FD" w:rsidRDefault="00935F35" w:rsidP="00935F35">
      <w:pPr>
        <w:tabs>
          <w:tab w:val="left" w:pos="567"/>
        </w:tabs>
        <w:spacing w:line="240" w:lineRule="auto"/>
        <w:ind w:left="825"/>
        <w:rPr>
          <w:rFonts w:eastAsia="MS Mincho"/>
          <w:sz w:val="20"/>
          <w:szCs w:val="20"/>
          <w:lang w:val="en-US" w:bidi="en-US"/>
        </w:rPr>
      </w:pPr>
      <w:r w:rsidRPr="009D52FD">
        <w:rPr>
          <w:rFonts w:eastAsia="MS Mincho"/>
          <w:sz w:val="20"/>
          <w:szCs w:val="20"/>
          <w:lang w:val="en-US" w:bidi="en-US"/>
        </w:rPr>
        <w:t xml:space="preserve"> </w:t>
      </w:r>
    </w:p>
    <w:p w14:paraId="3CA56276" w14:textId="683A39C7" w:rsidR="00935F35" w:rsidRPr="009D52FD" w:rsidRDefault="00325A95" w:rsidP="00F11556">
      <w:pPr>
        <w:keepNext/>
        <w:keepLines/>
        <w:numPr>
          <w:ilvl w:val="0"/>
          <w:numId w:val="5"/>
        </w:numPr>
        <w:tabs>
          <w:tab w:val="left" w:pos="567"/>
          <w:tab w:val="left" w:pos="1134"/>
        </w:tabs>
        <w:spacing w:line="240" w:lineRule="auto"/>
        <w:ind w:left="567" w:firstLine="0"/>
        <w:textAlignment w:val="auto"/>
        <w:outlineLvl w:val="1"/>
        <w:rPr>
          <w:rFonts w:eastAsia="MS Mincho"/>
          <w:b/>
          <w:bCs/>
          <w:i/>
          <w:sz w:val="20"/>
          <w:szCs w:val="20"/>
          <w:lang w:val="en-US"/>
        </w:rPr>
      </w:pPr>
      <w:bookmarkStart w:id="134" w:name="_Toc51400124"/>
      <w:r w:rsidRPr="009D52FD">
        <w:rPr>
          <w:rFonts w:eastAsia="MS Mincho"/>
          <w:b/>
          <w:bCs/>
          <w:i/>
          <w:sz w:val="20"/>
          <w:szCs w:val="20"/>
          <w:lang w:val="en-US"/>
        </w:rPr>
        <w:t>Costs and expenses</w:t>
      </w:r>
      <w:bookmarkEnd w:id="134"/>
    </w:p>
    <w:p w14:paraId="2FBF173E" w14:textId="77777777" w:rsidR="00935F35" w:rsidRPr="009D52FD" w:rsidRDefault="00935F35" w:rsidP="00935F35">
      <w:pPr>
        <w:tabs>
          <w:tab w:val="left" w:pos="1995"/>
        </w:tabs>
        <w:spacing w:line="240" w:lineRule="auto"/>
        <w:ind w:left="142"/>
        <w:rPr>
          <w:sz w:val="20"/>
          <w:szCs w:val="20"/>
          <w:lang w:val="en-US"/>
        </w:rPr>
      </w:pPr>
    </w:p>
    <w:p w14:paraId="50EB7F36" w14:textId="1D18E577" w:rsidR="00935F35" w:rsidRPr="009D52FD" w:rsidRDefault="003630BB" w:rsidP="005203DB">
      <w:pPr>
        <w:numPr>
          <w:ilvl w:val="0"/>
          <w:numId w:val="1"/>
        </w:numPr>
        <w:tabs>
          <w:tab w:val="left" w:pos="567"/>
        </w:tabs>
        <w:spacing w:line="240" w:lineRule="auto"/>
        <w:ind w:left="0" w:firstLine="0"/>
        <w:textAlignment w:val="auto"/>
        <w:rPr>
          <w:sz w:val="20"/>
          <w:szCs w:val="20"/>
          <w:lang w:val="en-US"/>
        </w:rPr>
      </w:pPr>
      <w:r w:rsidRPr="009D52FD">
        <w:rPr>
          <w:rFonts w:eastAsia="MS Mincho"/>
          <w:sz w:val="20"/>
          <w:szCs w:val="20"/>
          <w:lang w:val="en-US" w:bidi="en-US"/>
        </w:rPr>
        <w:t xml:space="preserve">The </w:t>
      </w:r>
      <w:r w:rsidRPr="009D52FD">
        <w:rPr>
          <w:rFonts w:eastAsia="MS Mincho"/>
          <w:b/>
          <w:bCs/>
          <w:i/>
          <w:iCs/>
          <w:sz w:val="20"/>
          <w:szCs w:val="20"/>
          <w:lang w:val="en-US" w:bidi="en-US"/>
        </w:rPr>
        <w:t>representatives</w:t>
      </w:r>
      <w:r w:rsidR="00935F35" w:rsidRPr="009D52FD">
        <w:rPr>
          <w:rFonts w:eastAsia="MS Mincho"/>
          <w:sz w:val="20"/>
          <w:szCs w:val="20"/>
          <w:lang w:val="en-US" w:bidi="en-US"/>
        </w:rPr>
        <w:t xml:space="preserve"> </w:t>
      </w:r>
      <w:r w:rsidR="005203DB" w:rsidRPr="009D52FD">
        <w:rPr>
          <w:sz w:val="20"/>
          <w:szCs w:val="20"/>
          <w:lang w:val="en-US"/>
        </w:rPr>
        <w:t>asked</w:t>
      </w:r>
      <w:r w:rsidR="00935F35" w:rsidRPr="009D52FD">
        <w:rPr>
          <w:rFonts w:eastAsia="Verdana" w:cs="Verdana"/>
          <w:sz w:val="20"/>
          <w:szCs w:val="20"/>
          <w:lang w:val="en-US"/>
        </w:rPr>
        <w:t xml:space="preserve"> </w:t>
      </w:r>
      <w:r w:rsidRPr="009D52FD">
        <w:rPr>
          <w:rFonts w:eastAsia="Verdana" w:cs="Verdana"/>
          <w:sz w:val="20"/>
          <w:szCs w:val="20"/>
          <w:lang w:val="en-US"/>
        </w:rPr>
        <w:t>the Court</w:t>
      </w:r>
      <w:r w:rsidR="00935F35" w:rsidRPr="009D52FD">
        <w:rPr>
          <w:rFonts w:eastAsia="Verdana" w:cs="Verdana"/>
          <w:sz w:val="20"/>
          <w:szCs w:val="20"/>
          <w:lang w:val="en-US"/>
        </w:rPr>
        <w:t xml:space="preserve"> </w:t>
      </w:r>
      <w:r w:rsidR="005203DB" w:rsidRPr="009D52FD">
        <w:rPr>
          <w:rFonts w:eastAsia="Verdana" w:cs="Verdana"/>
          <w:sz w:val="20"/>
          <w:szCs w:val="20"/>
          <w:lang w:val="en-US"/>
        </w:rPr>
        <w:t xml:space="preserve">to order the State to pay the </w:t>
      </w:r>
      <w:r w:rsidR="00325A95" w:rsidRPr="009D52FD">
        <w:rPr>
          <w:rFonts w:eastAsia="Verdana" w:cs="Verdana"/>
          <w:sz w:val="20"/>
          <w:szCs w:val="20"/>
          <w:lang w:val="en-US"/>
        </w:rPr>
        <w:t>costs and expenses</w:t>
      </w:r>
      <w:r w:rsidR="00935F35" w:rsidRPr="009D52FD">
        <w:rPr>
          <w:rFonts w:eastAsia="Verdana" w:cs="Verdana"/>
          <w:sz w:val="20"/>
          <w:szCs w:val="20"/>
          <w:lang w:val="en-US"/>
        </w:rPr>
        <w:t xml:space="preserve"> </w:t>
      </w:r>
      <w:r w:rsidR="005203DB" w:rsidRPr="009D52FD">
        <w:rPr>
          <w:rFonts w:eastAsia="Verdana" w:cs="Verdana"/>
          <w:sz w:val="20"/>
          <w:szCs w:val="20"/>
          <w:lang w:val="en-US"/>
        </w:rPr>
        <w:t>incurred in the processing of the case, both in the domestic sphere and before the inter-American system. Specifically, they indicated that the lawyer,</w:t>
      </w:r>
      <w:r w:rsidR="005203DB" w:rsidRPr="009D52FD">
        <w:rPr>
          <w:sz w:val="20"/>
          <w:szCs w:val="20"/>
          <w:lang w:val="en-US"/>
        </w:rPr>
        <w:t xml:space="preserve"> </w:t>
      </w:r>
      <w:r w:rsidR="00935F35" w:rsidRPr="009D52FD">
        <w:rPr>
          <w:rFonts w:eastAsia="Verdana" w:cs="Verdana"/>
          <w:sz w:val="20"/>
          <w:szCs w:val="20"/>
          <w:lang w:val="en-US"/>
        </w:rPr>
        <w:t xml:space="preserve">Juan Bernardo Delgado Linares, </w:t>
      </w:r>
      <w:r w:rsidR="00864649" w:rsidRPr="009D52FD">
        <w:rPr>
          <w:rFonts w:eastAsia="Verdana" w:cs="Verdana"/>
          <w:sz w:val="20"/>
          <w:szCs w:val="20"/>
          <w:lang w:val="en-US"/>
        </w:rPr>
        <w:t>the Center for Justice and International Law</w:t>
      </w:r>
      <w:r w:rsidR="00935F35" w:rsidRPr="009D52FD">
        <w:rPr>
          <w:rFonts w:eastAsia="Verdana" w:cs="Verdana"/>
          <w:sz w:val="20"/>
          <w:szCs w:val="20"/>
          <w:lang w:val="en-US"/>
        </w:rPr>
        <w:t xml:space="preserve"> (CEJIL),</w:t>
      </w:r>
      <w:r w:rsidRPr="009D52FD">
        <w:rPr>
          <w:rFonts w:eastAsia="Verdana" w:cs="Verdana"/>
          <w:sz w:val="20"/>
          <w:szCs w:val="20"/>
          <w:lang w:val="en-US"/>
        </w:rPr>
        <w:t xml:space="preserve"> and </w:t>
      </w:r>
      <w:r w:rsidR="005203DB" w:rsidRPr="009D52FD">
        <w:rPr>
          <w:rFonts w:eastAsia="Verdana" w:cs="Verdana"/>
          <w:sz w:val="20"/>
          <w:szCs w:val="20"/>
          <w:lang w:val="en-US"/>
        </w:rPr>
        <w:t>the</w:t>
      </w:r>
      <w:r w:rsidR="00935F35" w:rsidRPr="009D52FD">
        <w:rPr>
          <w:rFonts w:eastAsia="Verdana" w:cs="Verdana"/>
          <w:sz w:val="20"/>
          <w:szCs w:val="20"/>
          <w:lang w:val="en-US"/>
        </w:rPr>
        <w:t xml:space="preserve"> Comité de Familiares de las Víctimas (COFAVIC), </w:t>
      </w:r>
      <w:r w:rsidR="00935F35" w:rsidRPr="009D52FD">
        <w:rPr>
          <w:rFonts w:eastAsia="Verdana" w:cs="Verdana"/>
          <w:sz w:val="20"/>
          <w:szCs w:val="20"/>
          <w:lang w:val="en-US"/>
        </w:rPr>
        <w:lastRenderedPageBreak/>
        <w:t>ha</w:t>
      </w:r>
      <w:r w:rsidR="005203DB" w:rsidRPr="009D52FD">
        <w:rPr>
          <w:rFonts w:eastAsia="Verdana" w:cs="Verdana"/>
          <w:sz w:val="20"/>
          <w:szCs w:val="20"/>
          <w:lang w:val="en-US"/>
        </w:rPr>
        <w:t>d provided support to</w:t>
      </w:r>
      <w:r w:rsidR="00935F35" w:rsidRPr="009D52FD">
        <w:rPr>
          <w:rFonts w:eastAsia="Verdana" w:cs="Verdana"/>
          <w:sz w:val="20"/>
          <w:szCs w:val="20"/>
          <w:lang w:val="en-US"/>
        </w:rPr>
        <w:t xml:space="preserve"> Linda Loaiza</w:t>
      </w:r>
      <w:r w:rsidRPr="009D52FD">
        <w:rPr>
          <w:rFonts w:eastAsia="Verdana" w:cs="Verdana"/>
          <w:sz w:val="20"/>
          <w:szCs w:val="20"/>
          <w:lang w:val="en-US"/>
        </w:rPr>
        <w:t xml:space="preserve"> and </w:t>
      </w:r>
      <w:r w:rsidR="005203DB" w:rsidRPr="009D52FD">
        <w:rPr>
          <w:rFonts w:eastAsia="Verdana" w:cs="Verdana"/>
          <w:sz w:val="20"/>
          <w:szCs w:val="20"/>
          <w:lang w:val="en-US"/>
        </w:rPr>
        <w:t>her family group throughout the different judicial proceedings. In this regard, they requested payment of the sum</w:t>
      </w:r>
      <w:r w:rsidR="004260B4" w:rsidRPr="009D52FD">
        <w:rPr>
          <w:rFonts w:eastAsia="Verdana" w:cs="Verdana"/>
          <w:sz w:val="20"/>
          <w:szCs w:val="20"/>
          <w:lang w:val="en-US"/>
        </w:rPr>
        <w:t>s</w:t>
      </w:r>
      <w:r w:rsidR="005203DB" w:rsidRPr="009D52FD">
        <w:rPr>
          <w:rFonts w:eastAsia="Verdana" w:cs="Verdana"/>
          <w:sz w:val="20"/>
          <w:szCs w:val="20"/>
          <w:lang w:val="en-US"/>
        </w:rPr>
        <w:t xml:space="preserve"> of </w:t>
      </w:r>
      <w:r w:rsidR="00935F35" w:rsidRPr="009D52FD">
        <w:rPr>
          <w:rFonts w:eastAsia="Verdana" w:cs="Verdana"/>
          <w:sz w:val="20"/>
          <w:szCs w:val="20"/>
          <w:lang w:val="en-US"/>
        </w:rPr>
        <w:t>US$11</w:t>
      </w:r>
      <w:r w:rsidR="00864649" w:rsidRPr="009D52FD">
        <w:rPr>
          <w:rFonts w:eastAsia="Verdana" w:cs="Verdana"/>
          <w:sz w:val="20"/>
          <w:szCs w:val="20"/>
          <w:lang w:val="en-US"/>
        </w:rPr>
        <w:t>,</w:t>
      </w:r>
      <w:r w:rsidR="00935F35" w:rsidRPr="009D52FD">
        <w:rPr>
          <w:rFonts w:eastAsia="Verdana" w:cs="Verdana"/>
          <w:sz w:val="20"/>
          <w:szCs w:val="20"/>
          <w:lang w:val="en-US"/>
        </w:rPr>
        <w:t>803</w:t>
      </w:r>
      <w:r w:rsidR="00864649" w:rsidRPr="009D52FD">
        <w:rPr>
          <w:rFonts w:eastAsia="Verdana" w:cs="Verdana"/>
          <w:sz w:val="20"/>
          <w:szCs w:val="20"/>
          <w:lang w:val="en-US"/>
        </w:rPr>
        <w:t>.</w:t>
      </w:r>
      <w:r w:rsidR="00935F35" w:rsidRPr="009D52FD">
        <w:rPr>
          <w:rFonts w:eastAsia="Verdana" w:cs="Verdana"/>
          <w:sz w:val="20"/>
          <w:szCs w:val="20"/>
          <w:lang w:val="en-US"/>
        </w:rPr>
        <w:t>88</w:t>
      </w:r>
      <w:r w:rsidRPr="009D52FD">
        <w:rPr>
          <w:rFonts w:eastAsia="Verdana" w:cs="Verdana"/>
          <w:sz w:val="20"/>
          <w:szCs w:val="20"/>
          <w:lang w:val="en-US"/>
        </w:rPr>
        <w:t xml:space="preserve"> and</w:t>
      </w:r>
      <w:r w:rsidR="00935F35" w:rsidRPr="009D52FD">
        <w:rPr>
          <w:rFonts w:eastAsia="Verdana" w:cs="Verdana"/>
          <w:sz w:val="20"/>
          <w:szCs w:val="20"/>
          <w:lang w:val="en-US"/>
        </w:rPr>
        <w:t xml:space="preserve"> US$4</w:t>
      </w:r>
      <w:r w:rsidR="00864649" w:rsidRPr="009D52FD">
        <w:rPr>
          <w:rFonts w:eastAsia="Verdana" w:cs="Verdana"/>
          <w:sz w:val="20"/>
          <w:szCs w:val="20"/>
          <w:lang w:val="en-US"/>
        </w:rPr>
        <w:t>,</w:t>
      </w:r>
      <w:r w:rsidR="00935F35" w:rsidRPr="009D52FD">
        <w:rPr>
          <w:rFonts w:eastAsia="Verdana" w:cs="Verdana"/>
          <w:sz w:val="20"/>
          <w:szCs w:val="20"/>
          <w:lang w:val="en-US"/>
        </w:rPr>
        <w:t>042</w:t>
      </w:r>
      <w:r w:rsidR="00864649" w:rsidRPr="009D52FD">
        <w:rPr>
          <w:rFonts w:eastAsia="Verdana" w:cs="Verdana"/>
          <w:sz w:val="20"/>
          <w:szCs w:val="20"/>
          <w:lang w:val="en-US"/>
        </w:rPr>
        <w:t>.</w:t>
      </w:r>
      <w:r w:rsidR="00935F35" w:rsidRPr="009D52FD">
        <w:rPr>
          <w:rFonts w:eastAsia="Verdana" w:cs="Verdana"/>
          <w:sz w:val="20"/>
          <w:szCs w:val="20"/>
          <w:lang w:val="en-US"/>
        </w:rPr>
        <w:t>34</w:t>
      </w:r>
      <w:r w:rsidR="004260B4" w:rsidRPr="009D52FD">
        <w:rPr>
          <w:rFonts w:eastAsia="Verdana" w:cs="Verdana"/>
          <w:sz w:val="20"/>
          <w:szCs w:val="20"/>
          <w:lang w:val="en-US"/>
        </w:rPr>
        <w:t xml:space="preserve"> for </w:t>
      </w:r>
      <w:r w:rsidR="00935F35" w:rsidRPr="009D52FD">
        <w:rPr>
          <w:rFonts w:eastAsia="Verdana" w:cs="Verdana"/>
          <w:sz w:val="20"/>
          <w:szCs w:val="20"/>
          <w:lang w:val="en-US"/>
        </w:rPr>
        <w:t>COFAVIC</w:t>
      </w:r>
      <w:r w:rsidRPr="009D52FD">
        <w:rPr>
          <w:rFonts w:eastAsia="Verdana" w:cs="Verdana"/>
          <w:sz w:val="20"/>
          <w:szCs w:val="20"/>
          <w:lang w:val="en-US"/>
        </w:rPr>
        <w:t xml:space="preserve"> and </w:t>
      </w:r>
      <w:r w:rsidR="00935F35" w:rsidRPr="009D52FD">
        <w:rPr>
          <w:rFonts w:eastAsia="Verdana" w:cs="Verdana"/>
          <w:sz w:val="20"/>
          <w:szCs w:val="20"/>
          <w:lang w:val="en-US"/>
        </w:rPr>
        <w:t>CEJIL, respectiv</w:t>
      </w:r>
      <w:r w:rsidR="00864649" w:rsidRPr="009D52FD">
        <w:rPr>
          <w:rFonts w:eastAsia="Verdana" w:cs="Verdana"/>
          <w:sz w:val="20"/>
          <w:szCs w:val="20"/>
          <w:lang w:val="en-US"/>
        </w:rPr>
        <w:t>ely</w:t>
      </w:r>
      <w:r w:rsidR="00935F35" w:rsidRPr="009D52FD">
        <w:rPr>
          <w:rFonts w:eastAsia="Verdana" w:cs="Verdana"/>
          <w:sz w:val="20"/>
          <w:szCs w:val="20"/>
          <w:lang w:val="en-US"/>
        </w:rPr>
        <w:t xml:space="preserve">, </w:t>
      </w:r>
      <w:r w:rsidR="004260B4" w:rsidRPr="009D52FD">
        <w:rPr>
          <w:rFonts w:eastAsia="Verdana" w:cs="Verdana"/>
          <w:sz w:val="20"/>
          <w:szCs w:val="20"/>
          <w:lang w:val="en-US"/>
        </w:rPr>
        <w:t>for the concept of expense</w:t>
      </w:r>
      <w:r w:rsidR="00966A04" w:rsidRPr="009D52FD">
        <w:rPr>
          <w:rFonts w:eastAsia="Verdana" w:cs="Verdana"/>
          <w:sz w:val="20"/>
          <w:szCs w:val="20"/>
          <w:lang w:val="en-US"/>
        </w:rPr>
        <w:t>s</w:t>
      </w:r>
      <w:r w:rsidR="004260B4" w:rsidRPr="009D52FD">
        <w:rPr>
          <w:rFonts w:eastAsia="Verdana" w:cs="Verdana"/>
          <w:sz w:val="20"/>
          <w:szCs w:val="20"/>
          <w:lang w:val="en-US"/>
        </w:rPr>
        <w:t xml:space="preserve">. Also, owing to the expenses incurred due to the </w:t>
      </w:r>
      <w:r w:rsidR="0002239A" w:rsidRPr="009D52FD">
        <w:rPr>
          <w:rFonts w:eastAsia="Verdana" w:cs="Verdana"/>
          <w:sz w:val="20"/>
          <w:szCs w:val="20"/>
          <w:lang w:val="en-US"/>
        </w:rPr>
        <w:t>public hearing</w:t>
      </w:r>
      <w:r w:rsidR="004260B4" w:rsidRPr="009D52FD">
        <w:rPr>
          <w:rFonts w:eastAsia="Verdana" w:cs="Verdana"/>
          <w:sz w:val="20"/>
          <w:szCs w:val="20"/>
          <w:lang w:val="en-US"/>
        </w:rPr>
        <w:t xml:space="preserve"> held before this Court, they requested additional sums of </w:t>
      </w:r>
      <w:r w:rsidR="00935F35" w:rsidRPr="009D52FD">
        <w:rPr>
          <w:rFonts w:eastAsia="Verdana" w:cs="Verdana"/>
          <w:sz w:val="20"/>
          <w:szCs w:val="20"/>
          <w:lang w:val="en-US"/>
        </w:rPr>
        <w:t>US$5</w:t>
      </w:r>
      <w:r w:rsidR="00864649" w:rsidRPr="009D52FD">
        <w:rPr>
          <w:rFonts w:eastAsia="Verdana" w:cs="Verdana"/>
          <w:sz w:val="20"/>
          <w:szCs w:val="20"/>
          <w:lang w:val="en-US"/>
        </w:rPr>
        <w:t>,</w:t>
      </w:r>
      <w:r w:rsidR="00935F35" w:rsidRPr="009D52FD">
        <w:rPr>
          <w:rFonts w:eastAsia="Verdana" w:cs="Verdana"/>
          <w:sz w:val="20"/>
          <w:szCs w:val="20"/>
          <w:lang w:val="en-US"/>
        </w:rPr>
        <w:t>465</w:t>
      </w:r>
      <w:r w:rsidR="00864649" w:rsidRPr="009D52FD">
        <w:rPr>
          <w:rFonts w:eastAsia="Verdana" w:cs="Verdana"/>
          <w:sz w:val="20"/>
          <w:szCs w:val="20"/>
          <w:lang w:val="en-US"/>
        </w:rPr>
        <w:t>.</w:t>
      </w:r>
      <w:r w:rsidR="00935F35" w:rsidRPr="009D52FD">
        <w:rPr>
          <w:rFonts w:eastAsia="Verdana" w:cs="Verdana"/>
          <w:sz w:val="20"/>
          <w:szCs w:val="20"/>
          <w:lang w:val="en-US"/>
        </w:rPr>
        <w:t>55</w:t>
      </w:r>
      <w:r w:rsidRPr="009D52FD">
        <w:rPr>
          <w:rFonts w:eastAsia="Verdana" w:cs="Verdana"/>
          <w:sz w:val="20"/>
          <w:szCs w:val="20"/>
          <w:lang w:val="en-US"/>
        </w:rPr>
        <w:t xml:space="preserve"> and</w:t>
      </w:r>
      <w:r w:rsidR="00935F35" w:rsidRPr="009D52FD">
        <w:rPr>
          <w:rFonts w:eastAsia="Verdana" w:cs="Verdana"/>
          <w:sz w:val="20"/>
          <w:szCs w:val="20"/>
          <w:lang w:val="en-US"/>
        </w:rPr>
        <w:t xml:space="preserve"> US$6</w:t>
      </w:r>
      <w:r w:rsidR="00864649" w:rsidRPr="009D52FD">
        <w:rPr>
          <w:rFonts w:eastAsia="Verdana" w:cs="Verdana"/>
          <w:sz w:val="20"/>
          <w:szCs w:val="20"/>
          <w:lang w:val="en-US"/>
        </w:rPr>
        <w:t>,</w:t>
      </w:r>
      <w:r w:rsidR="00935F35" w:rsidRPr="009D52FD">
        <w:rPr>
          <w:rFonts w:eastAsia="Verdana" w:cs="Verdana"/>
          <w:sz w:val="20"/>
          <w:szCs w:val="20"/>
          <w:lang w:val="en-US"/>
        </w:rPr>
        <w:t>459</w:t>
      </w:r>
      <w:r w:rsidR="00864649" w:rsidRPr="009D52FD">
        <w:rPr>
          <w:rFonts w:eastAsia="Verdana" w:cs="Verdana"/>
          <w:sz w:val="20"/>
          <w:szCs w:val="20"/>
          <w:lang w:val="en-US"/>
        </w:rPr>
        <w:t>.</w:t>
      </w:r>
      <w:r w:rsidR="00935F35" w:rsidRPr="009D52FD">
        <w:rPr>
          <w:rFonts w:eastAsia="Verdana" w:cs="Verdana"/>
          <w:sz w:val="20"/>
          <w:szCs w:val="20"/>
          <w:lang w:val="en-US"/>
        </w:rPr>
        <w:t>63, respectiv</w:t>
      </w:r>
      <w:r w:rsidR="00864649" w:rsidRPr="009D52FD">
        <w:rPr>
          <w:rFonts w:eastAsia="Verdana" w:cs="Verdana"/>
          <w:sz w:val="20"/>
          <w:szCs w:val="20"/>
          <w:lang w:val="en-US"/>
        </w:rPr>
        <w:t xml:space="preserve">ely, </w:t>
      </w:r>
      <w:r w:rsidR="004260B4" w:rsidRPr="009D52FD">
        <w:rPr>
          <w:rFonts w:eastAsia="Verdana" w:cs="Verdana"/>
          <w:sz w:val="20"/>
          <w:szCs w:val="20"/>
          <w:lang w:val="en-US"/>
        </w:rPr>
        <w:t xml:space="preserve">which results in total amounts of </w:t>
      </w:r>
      <w:r w:rsidR="00935F35" w:rsidRPr="009D52FD">
        <w:rPr>
          <w:rFonts w:eastAsia="Verdana" w:cs="Verdana"/>
          <w:sz w:val="20"/>
          <w:szCs w:val="20"/>
          <w:lang w:val="en-US"/>
        </w:rPr>
        <w:t>US$17</w:t>
      </w:r>
      <w:r w:rsidR="00864649" w:rsidRPr="009D52FD">
        <w:rPr>
          <w:rFonts w:eastAsia="Verdana" w:cs="Verdana"/>
          <w:sz w:val="20"/>
          <w:szCs w:val="20"/>
          <w:lang w:val="en-US"/>
        </w:rPr>
        <w:t>,</w:t>
      </w:r>
      <w:r w:rsidR="00935F35" w:rsidRPr="009D52FD">
        <w:rPr>
          <w:rFonts w:eastAsia="Verdana" w:cs="Verdana"/>
          <w:sz w:val="20"/>
          <w:szCs w:val="20"/>
          <w:lang w:val="en-US"/>
        </w:rPr>
        <w:t>269</w:t>
      </w:r>
      <w:r w:rsidR="00864649" w:rsidRPr="009D52FD">
        <w:rPr>
          <w:rFonts w:eastAsia="Verdana" w:cs="Verdana"/>
          <w:sz w:val="20"/>
          <w:szCs w:val="20"/>
          <w:lang w:val="en-US"/>
        </w:rPr>
        <w:t>.</w:t>
      </w:r>
      <w:r w:rsidR="00935F35" w:rsidRPr="009D52FD">
        <w:rPr>
          <w:rFonts w:eastAsia="Verdana" w:cs="Verdana"/>
          <w:sz w:val="20"/>
          <w:szCs w:val="20"/>
          <w:lang w:val="en-US"/>
        </w:rPr>
        <w:t xml:space="preserve">43 </w:t>
      </w:r>
      <w:r w:rsidR="004260B4" w:rsidRPr="009D52FD">
        <w:rPr>
          <w:rFonts w:eastAsia="Verdana" w:cs="Verdana"/>
          <w:sz w:val="20"/>
          <w:szCs w:val="20"/>
          <w:lang w:val="en-US"/>
        </w:rPr>
        <w:t xml:space="preserve">to </w:t>
      </w:r>
      <w:r w:rsidR="00966A04" w:rsidRPr="009D52FD">
        <w:rPr>
          <w:rFonts w:eastAsia="Verdana" w:cs="Verdana"/>
          <w:sz w:val="20"/>
          <w:szCs w:val="20"/>
          <w:lang w:val="en-US"/>
        </w:rPr>
        <w:t>c</w:t>
      </w:r>
      <w:r w:rsidR="004260B4" w:rsidRPr="009D52FD">
        <w:rPr>
          <w:rFonts w:eastAsia="Verdana" w:cs="Verdana"/>
          <w:sz w:val="20"/>
          <w:szCs w:val="20"/>
          <w:lang w:val="en-US"/>
        </w:rPr>
        <w:t>over the expenses of</w:t>
      </w:r>
      <w:r w:rsidR="00935F35" w:rsidRPr="009D52FD">
        <w:rPr>
          <w:rFonts w:eastAsia="Verdana" w:cs="Verdana"/>
          <w:sz w:val="20"/>
          <w:szCs w:val="20"/>
          <w:lang w:val="en-US"/>
        </w:rPr>
        <w:t xml:space="preserve"> COFAVIC,</w:t>
      </w:r>
      <w:r w:rsidRPr="009D52FD">
        <w:rPr>
          <w:rFonts w:eastAsia="Verdana" w:cs="Verdana"/>
          <w:sz w:val="20"/>
          <w:szCs w:val="20"/>
          <w:lang w:val="en-US"/>
        </w:rPr>
        <w:t xml:space="preserve"> and </w:t>
      </w:r>
      <w:r w:rsidR="00935F35" w:rsidRPr="009D52FD">
        <w:rPr>
          <w:rFonts w:eastAsia="Verdana" w:cs="Verdana"/>
          <w:sz w:val="20"/>
          <w:szCs w:val="20"/>
          <w:lang w:val="en-US"/>
        </w:rPr>
        <w:t>US$10</w:t>
      </w:r>
      <w:r w:rsidR="00864649" w:rsidRPr="009D52FD">
        <w:rPr>
          <w:rFonts w:eastAsia="Verdana" w:cs="Verdana"/>
          <w:sz w:val="20"/>
          <w:szCs w:val="20"/>
          <w:lang w:val="en-US"/>
        </w:rPr>
        <w:t>,</w:t>
      </w:r>
      <w:r w:rsidR="00935F35" w:rsidRPr="009D52FD">
        <w:rPr>
          <w:rFonts w:eastAsia="Verdana" w:cs="Verdana"/>
          <w:sz w:val="20"/>
          <w:szCs w:val="20"/>
          <w:lang w:val="en-US"/>
        </w:rPr>
        <w:t>501</w:t>
      </w:r>
      <w:r w:rsidR="00864649" w:rsidRPr="009D52FD">
        <w:rPr>
          <w:rFonts w:eastAsia="Verdana" w:cs="Verdana"/>
          <w:sz w:val="20"/>
          <w:szCs w:val="20"/>
          <w:lang w:val="en-US"/>
        </w:rPr>
        <w:t>.</w:t>
      </w:r>
      <w:r w:rsidR="00935F35" w:rsidRPr="009D52FD">
        <w:rPr>
          <w:rFonts w:eastAsia="Verdana" w:cs="Verdana"/>
          <w:sz w:val="20"/>
          <w:szCs w:val="20"/>
          <w:lang w:val="en-US"/>
        </w:rPr>
        <w:t xml:space="preserve">97 </w:t>
      </w:r>
      <w:r w:rsidR="00864649" w:rsidRPr="009D52FD">
        <w:rPr>
          <w:rFonts w:eastAsia="Verdana" w:cs="Verdana"/>
          <w:sz w:val="20"/>
          <w:szCs w:val="20"/>
          <w:lang w:val="en-US"/>
        </w:rPr>
        <w:t xml:space="preserve">to cover </w:t>
      </w:r>
      <w:r w:rsidR="004260B4" w:rsidRPr="009D52FD">
        <w:rPr>
          <w:rFonts w:eastAsia="Verdana" w:cs="Verdana"/>
          <w:sz w:val="20"/>
          <w:szCs w:val="20"/>
          <w:lang w:val="en-US"/>
        </w:rPr>
        <w:t>those of</w:t>
      </w:r>
      <w:r w:rsidR="00935F35" w:rsidRPr="009D52FD">
        <w:rPr>
          <w:rFonts w:eastAsia="Verdana" w:cs="Verdana"/>
          <w:sz w:val="20"/>
          <w:szCs w:val="20"/>
          <w:lang w:val="en-US"/>
        </w:rPr>
        <w:t xml:space="preserve"> CEJIL.</w:t>
      </w:r>
    </w:p>
    <w:p w14:paraId="757C24B6" w14:textId="77777777" w:rsidR="00935F35" w:rsidRPr="009D52FD" w:rsidRDefault="00935F35" w:rsidP="00935F35">
      <w:pPr>
        <w:tabs>
          <w:tab w:val="left" w:pos="567"/>
        </w:tabs>
        <w:spacing w:line="240" w:lineRule="auto"/>
        <w:rPr>
          <w:sz w:val="20"/>
          <w:szCs w:val="20"/>
          <w:lang w:val="en-US"/>
        </w:rPr>
      </w:pPr>
    </w:p>
    <w:p w14:paraId="3699621D" w14:textId="30A8E3DA" w:rsidR="00935F35" w:rsidRPr="009D52FD" w:rsidRDefault="004260B4" w:rsidP="004260B4">
      <w:pPr>
        <w:numPr>
          <w:ilvl w:val="0"/>
          <w:numId w:val="1"/>
        </w:numPr>
        <w:tabs>
          <w:tab w:val="left" w:pos="142"/>
          <w:tab w:val="left" w:pos="567"/>
        </w:tabs>
        <w:spacing w:line="240" w:lineRule="auto"/>
        <w:ind w:left="0" w:firstLine="0"/>
        <w:textAlignment w:val="auto"/>
        <w:rPr>
          <w:sz w:val="20"/>
          <w:szCs w:val="20"/>
          <w:lang w:val="en-US"/>
        </w:rPr>
      </w:pPr>
      <w:r w:rsidRPr="009D52FD">
        <w:rPr>
          <w:rFonts w:eastAsia="Verdana" w:cs="Verdana"/>
          <w:sz w:val="20"/>
          <w:szCs w:val="20"/>
          <w:lang w:val="en-US"/>
        </w:rPr>
        <w:t>In the case of</w:t>
      </w:r>
      <w:r w:rsidR="00935F35" w:rsidRPr="009D52FD">
        <w:rPr>
          <w:rFonts w:eastAsia="Verdana" w:cs="Verdana"/>
          <w:sz w:val="20"/>
          <w:szCs w:val="20"/>
          <w:lang w:val="en-US"/>
        </w:rPr>
        <w:t xml:space="preserve"> Juan Bernardo Delgado Linares, </w:t>
      </w:r>
      <w:r w:rsidRPr="009D52FD">
        <w:rPr>
          <w:rFonts w:eastAsia="Verdana" w:cs="Verdana"/>
          <w:sz w:val="20"/>
          <w:szCs w:val="20"/>
          <w:lang w:val="en-US"/>
        </w:rPr>
        <w:t xml:space="preserve">they explained that this professional had represented </w:t>
      </w:r>
      <w:r w:rsidR="00935F35" w:rsidRPr="009D52FD">
        <w:rPr>
          <w:rFonts w:eastAsia="Verdana" w:cs="Verdana"/>
          <w:sz w:val="20"/>
          <w:szCs w:val="20"/>
          <w:lang w:val="en-US"/>
        </w:rPr>
        <w:t xml:space="preserve">Linda Loaiza </w:t>
      </w:r>
      <w:r w:rsidRPr="009D52FD">
        <w:rPr>
          <w:rFonts w:eastAsia="Verdana" w:cs="Verdana"/>
          <w:sz w:val="20"/>
          <w:szCs w:val="20"/>
          <w:lang w:val="en-US"/>
        </w:rPr>
        <w:t xml:space="preserve">in the domestic judicial proceedings and, therefore, determined the amount for his expenses and fees taking into account the legal procedures conducted, the briefs presented and his attendance at the judicial hearings. On this basis, they requested payment of 10,605,000,000.00 </w:t>
      </w:r>
      <w:r w:rsidR="00002A76" w:rsidRPr="009D52FD">
        <w:rPr>
          <w:rFonts w:eastAsia="Verdana" w:cs="Verdana"/>
          <w:sz w:val="20"/>
          <w:szCs w:val="20"/>
          <w:lang w:val="en-US"/>
        </w:rPr>
        <w:t>Bolivars</w:t>
      </w:r>
      <w:r w:rsidRPr="009D52FD">
        <w:rPr>
          <w:rFonts w:eastAsia="Verdana" w:cs="Verdana"/>
          <w:sz w:val="20"/>
          <w:szCs w:val="20"/>
          <w:lang w:val="en-US"/>
        </w:rPr>
        <w:t xml:space="preserve">, to this lawyer, which, according to the calculation made by the representatives was equivalent to US$15,000.00. However, in their final written arguments, the representatives requested that, when determining the amount in favor of the professional, the Court take his testimony into account, according to which he had assisted Linda Loaiza for approximately 18 years and, despite this, had never received any payment for his services and therefore asked the Court to determine, “in equity, the amount of the </w:t>
      </w:r>
      <w:r w:rsidR="00A71072" w:rsidRPr="009D52FD">
        <w:rPr>
          <w:rFonts w:eastAsia="Verdana" w:cs="Verdana"/>
          <w:sz w:val="20"/>
          <w:szCs w:val="20"/>
          <w:lang w:val="en-US"/>
        </w:rPr>
        <w:t xml:space="preserve">procedural </w:t>
      </w:r>
      <w:r w:rsidRPr="009D52FD">
        <w:rPr>
          <w:rFonts w:eastAsia="Verdana" w:cs="Verdana"/>
          <w:sz w:val="20"/>
          <w:szCs w:val="20"/>
          <w:lang w:val="en-US"/>
        </w:rPr>
        <w:t xml:space="preserve">costs and expenses” </w:t>
      </w:r>
      <w:r w:rsidR="00A71072" w:rsidRPr="009D52FD">
        <w:rPr>
          <w:rFonts w:eastAsia="Verdana" w:cs="Verdana"/>
          <w:sz w:val="20"/>
          <w:szCs w:val="20"/>
          <w:lang w:val="en-US"/>
        </w:rPr>
        <w:t>over that time period.</w:t>
      </w:r>
      <w:r w:rsidR="00935F35" w:rsidRPr="009D52FD">
        <w:rPr>
          <w:rStyle w:val="FootnoteReference"/>
          <w:rFonts w:eastAsia="Verdana" w:cs="Verdana"/>
          <w:sz w:val="20"/>
          <w:szCs w:val="20"/>
          <w:lang w:val="en-US"/>
        </w:rPr>
        <w:footnoteReference w:id="422"/>
      </w:r>
    </w:p>
    <w:p w14:paraId="3555C016" w14:textId="210597D7" w:rsidR="00935F35" w:rsidRPr="009D52FD" w:rsidRDefault="00935F35" w:rsidP="00935F35">
      <w:pPr>
        <w:tabs>
          <w:tab w:val="left" w:pos="567"/>
        </w:tabs>
        <w:spacing w:line="240" w:lineRule="auto"/>
        <w:rPr>
          <w:sz w:val="20"/>
          <w:szCs w:val="20"/>
          <w:lang w:val="en-US"/>
        </w:rPr>
      </w:pPr>
    </w:p>
    <w:p w14:paraId="18386FCF" w14:textId="5AE562B9" w:rsidR="00A71072" w:rsidRPr="009D52FD" w:rsidRDefault="003630BB" w:rsidP="00A71072">
      <w:pPr>
        <w:numPr>
          <w:ilvl w:val="0"/>
          <w:numId w:val="1"/>
        </w:numPr>
        <w:tabs>
          <w:tab w:val="left" w:pos="567"/>
        </w:tabs>
        <w:spacing w:line="240" w:lineRule="auto"/>
        <w:ind w:left="0" w:firstLine="0"/>
        <w:textAlignment w:val="auto"/>
        <w:rPr>
          <w:sz w:val="20"/>
          <w:szCs w:val="20"/>
          <w:lang w:val="en-US"/>
        </w:rPr>
      </w:pPr>
      <w:r w:rsidRPr="009D52FD">
        <w:rPr>
          <w:rFonts w:eastAsia="MS Mincho"/>
          <w:sz w:val="20"/>
          <w:szCs w:val="20"/>
          <w:lang w:val="en-US" w:bidi="en-US"/>
        </w:rPr>
        <w:t xml:space="preserve">The </w:t>
      </w:r>
      <w:r w:rsidRPr="009D52FD">
        <w:rPr>
          <w:rFonts w:eastAsia="MS Mincho"/>
          <w:b/>
          <w:bCs/>
          <w:i/>
          <w:iCs/>
          <w:sz w:val="20"/>
          <w:szCs w:val="20"/>
          <w:lang w:val="en-US" w:bidi="en-US"/>
        </w:rPr>
        <w:t>State</w:t>
      </w:r>
      <w:r w:rsidR="00935F35" w:rsidRPr="009D52FD">
        <w:rPr>
          <w:rFonts w:eastAsia="MS Mincho"/>
          <w:sz w:val="20"/>
          <w:szCs w:val="20"/>
          <w:lang w:val="en-US" w:bidi="en-US"/>
        </w:rPr>
        <w:t xml:space="preserve"> </w:t>
      </w:r>
      <w:r w:rsidR="00A71072" w:rsidRPr="009D52FD">
        <w:rPr>
          <w:rFonts w:eastAsia="MS Mincho"/>
          <w:sz w:val="20"/>
          <w:szCs w:val="20"/>
          <w:lang w:val="en-US" w:bidi="en-US"/>
        </w:rPr>
        <w:t xml:space="preserve">indicated that it was “disproportionate” that the State had to pay the expenses of the legal assistance and travel of the victims to the seat of the Court, arguing that eight persons had attended the hearing held before the Court on February 6, 2018, including </w:t>
      </w:r>
      <w:r w:rsidR="00966A04" w:rsidRPr="009D52FD">
        <w:rPr>
          <w:rFonts w:eastAsia="MS Mincho"/>
          <w:sz w:val="20"/>
          <w:szCs w:val="20"/>
          <w:lang w:val="en-US" w:bidi="en-US"/>
        </w:rPr>
        <w:t>executive</w:t>
      </w:r>
      <w:r w:rsidR="00A71072" w:rsidRPr="009D52FD">
        <w:rPr>
          <w:rFonts w:eastAsia="MS Mincho"/>
          <w:sz w:val="20"/>
          <w:szCs w:val="20"/>
          <w:lang w:val="en-US" w:bidi="en-US"/>
        </w:rPr>
        <w:t>s, coordinators, lawyers and a communication</w:t>
      </w:r>
      <w:r w:rsidR="00966A04" w:rsidRPr="009D52FD">
        <w:rPr>
          <w:rFonts w:eastAsia="MS Mincho"/>
          <w:sz w:val="20"/>
          <w:szCs w:val="20"/>
          <w:lang w:val="en-US" w:bidi="en-US"/>
        </w:rPr>
        <w:t>s</w:t>
      </w:r>
      <w:r w:rsidR="00A71072" w:rsidRPr="009D52FD">
        <w:rPr>
          <w:rFonts w:eastAsia="MS Mincho"/>
          <w:sz w:val="20"/>
          <w:szCs w:val="20"/>
          <w:lang w:val="en-US" w:bidi="en-US"/>
        </w:rPr>
        <w:t xml:space="preserve"> officer and, in the State’s opinion, this was “clearly excessive and an unusual practice.” Also, when making observations on the annexes to the representatives’ final arguments, the State again questioned the attribution of these expenses to the State. In this regard, it specifically contested the details of the travel expenses presented by CEJIL on that occasion, indicating that the travel expenses of two persons did not correspond to the date on which the public hearing before the Court was held. It also questioned the item “transportation expenses” and indicated that the same costs had been placed under different headings. With regard to the travel expenses for the victims to appear at the said hearing, it argued that these costs had been covered by the Court, through the Legal Assistance Fund. Lastly, it also contested the items “communication expenses” and “administrative costs” described by CEJIL</w:t>
      </w:r>
      <w:r w:rsidR="002151C9" w:rsidRPr="009D52FD">
        <w:rPr>
          <w:rFonts w:eastAsia="MS Mincho"/>
          <w:sz w:val="20"/>
          <w:szCs w:val="20"/>
          <w:lang w:val="en-US" w:bidi="en-US"/>
        </w:rPr>
        <w:t>, because these were not list</w:t>
      </w:r>
      <w:r w:rsidR="00966A04" w:rsidRPr="009D52FD">
        <w:rPr>
          <w:rFonts w:eastAsia="MS Mincho"/>
          <w:sz w:val="20"/>
          <w:szCs w:val="20"/>
          <w:lang w:val="en-US" w:bidi="en-US"/>
        </w:rPr>
        <w:t>ed</w:t>
      </w:r>
      <w:r w:rsidR="002151C9" w:rsidRPr="009D52FD">
        <w:rPr>
          <w:rFonts w:eastAsia="MS Mincho"/>
          <w:sz w:val="20"/>
          <w:szCs w:val="20"/>
          <w:lang w:val="en-US" w:bidi="en-US"/>
        </w:rPr>
        <w:t xml:space="preserve"> and no explanation was provided on the concepts included in these categories.</w:t>
      </w:r>
    </w:p>
    <w:p w14:paraId="44990E2E" w14:textId="77777777" w:rsidR="00935F35" w:rsidRPr="009D52FD" w:rsidRDefault="00935F35" w:rsidP="00935F35">
      <w:pPr>
        <w:tabs>
          <w:tab w:val="left" w:pos="567"/>
        </w:tabs>
        <w:spacing w:line="240" w:lineRule="auto"/>
        <w:ind w:left="825"/>
        <w:rPr>
          <w:sz w:val="20"/>
          <w:szCs w:val="20"/>
          <w:lang w:val="en-US"/>
        </w:rPr>
      </w:pPr>
    </w:p>
    <w:p w14:paraId="3EC1D839" w14:textId="392D9CC3" w:rsidR="00935F35" w:rsidRPr="009D52FD" w:rsidRDefault="003630BB" w:rsidP="00935F35">
      <w:pPr>
        <w:numPr>
          <w:ilvl w:val="0"/>
          <w:numId w:val="1"/>
        </w:numPr>
        <w:tabs>
          <w:tab w:val="left" w:pos="567"/>
        </w:tabs>
        <w:spacing w:line="240" w:lineRule="auto"/>
        <w:ind w:left="0" w:firstLine="0"/>
        <w:textAlignment w:val="auto"/>
        <w:rPr>
          <w:sz w:val="20"/>
          <w:szCs w:val="20"/>
          <w:lang w:val="en-US"/>
        </w:rPr>
      </w:pPr>
      <w:r w:rsidRPr="009D52FD">
        <w:rPr>
          <w:rFonts w:eastAsia="MS Mincho"/>
          <w:sz w:val="20"/>
          <w:szCs w:val="20"/>
          <w:lang w:val="en-US" w:bidi="en-US"/>
        </w:rPr>
        <w:t xml:space="preserve">The </w:t>
      </w:r>
      <w:r w:rsidRPr="009D52FD">
        <w:rPr>
          <w:rFonts w:eastAsia="MS Mincho"/>
          <w:b/>
          <w:bCs/>
          <w:i/>
          <w:iCs/>
          <w:sz w:val="20"/>
          <w:szCs w:val="20"/>
          <w:lang w:val="en-US" w:bidi="en-US"/>
        </w:rPr>
        <w:t>Commission</w:t>
      </w:r>
      <w:r w:rsidR="00935F35" w:rsidRPr="009D52FD">
        <w:rPr>
          <w:rFonts w:eastAsia="MS Mincho"/>
          <w:b/>
          <w:bCs/>
          <w:i/>
          <w:iCs/>
          <w:sz w:val="20"/>
          <w:szCs w:val="20"/>
          <w:lang w:val="en-US" w:bidi="en-US"/>
        </w:rPr>
        <w:t xml:space="preserve"> </w:t>
      </w:r>
      <w:r w:rsidR="00864649" w:rsidRPr="009D52FD">
        <w:rPr>
          <w:rFonts w:eastAsia="MS Mincho"/>
          <w:sz w:val="20"/>
          <w:szCs w:val="20"/>
          <w:lang w:val="en-US" w:bidi="en-US"/>
        </w:rPr>
        <w:t>did not present specific arguments on this point.</w:t>
      </w:r>
    </w:p>
    <w:p w14:paraId="2D90D08F" w14:textId="77777777" w:rsidR="00935F35" w:rsidRPr="009D52FD" w:rsidRDefault="00935F35" w:rsidP="00935F35">
      <w:pPr>
        <w:spacing w:line="240" w:lineRule="auto"/>
        <w:ind w:left="708"/>
        <w:rPr>
          <w:sz w:val="20"/>
          <w:szCs w:val="20"/>
          <w:lang w:val="en-US"/>
        </w:rPr>
      </w:pPr>
    </w:p>
    <w:p w14:paraId="279DCD3A" w14:textId="738A91F5" w:rsidR="00935F35" w:rsidRPr="009D52FD" w:rsidRDefault="003630BB" w:rsidP="002151C9">
      <w:pPr>
        <w:numPr>
          <w:ilvl w:val="0"/>
          <w:numId w:val="1"/>
        </w:numPr>
        <w:tabs>
          <w:tab w:val="left" w:pos="567"/>
        </w:tabs>
        <w:spacing w:line="240" w:lineRule="auto"/>
        <w:ind w:left="0" w:firstLine="0"/>
        <w:textAlignment w:val="auto"/>
        <w:rPr>
          <w:sz w:val="20"/>
          <w:szCs w:val="20"/>
          <w:lang w:val="en-US"/>
        </w:rPr>
      </w:pPr>
      <w:r w:rsidRPr="009D52FD">
        <w:rPr>
          <w:rFonts w:cs="Verdana"/>
          <w:bCs/>
          <w:iCs/>
          <w:sz w:val="20"/>
          <w:szCs w:val="20"/>
          <w:lang w:val="en-US"/>
        </w:rPr>
        <w:t>The Court</w:t>
      </w:r>
      <w:r w:rsidR="00935F35" w:rsidRPr="009D52FD">
        <w:rPr>
          <w:rFonts w:cs="Verdana"/>
          <w:bCs/>
          <w:iCs/>
          <w:sz w:val="20"/>
          <w:szCs w:val="20"/>
          <w:lang w:val="en-US"/>
        </w:rPr>
        <w:t xml:space="preserve"> reitera</w:t>
      </w:r>
      <w:r w:rsidR="002151C9" w:rsidRPr="009D52FD">
        <w:rPr>
          <w:rFonts w:cs="Verdana"/>
          <w:bCs/>
          <w:iCs/>
          <w:sz w:val="20"/>
          <w:szCs w:val="20"/>
          <w:lang w:val="en-US"/>
        </w:rPr>
        <w:t>tes that, in keeping with its case law,</w:t>
      </w:r>
      <w:r w:rsidR="00935F35" w:rsidRPr="009D52FD">
        <w:rPr>
          <w:rFonts w:cs="Verdana"/>
          <w:bCs/>
          <w:iCs/>
          <w:sz w:val="20"/>
          <w:szCs w:val="20"/>
          <w:vertAlign w:val="superscript"/>
          <w:lang w:val="en-US"/>
        </w:rPr>
        <w:footnoteReference w:id="423"/>
      </w:r>
      <w:r w:rsidR="00935F35" w:rsidRPr="009D52FD">
        <w:rPr>
          <w:rFonts w:cs="Verdana"/>
          <w:bCs/>
          <w:iCs/>
          <w:sz w:val="20"/>
          <w:szCs w:val="20"/>
          <w:lang w:val="en-US"/>
        </w:rPr>
        <w:t xml:space="preserve"> </w:t>
      </w:r>
      <w:r w:rsidR="00325A95" w:rsidRPr="009D52FD">
        <w:rPr>
          <w:rFonts w:cs="Verdana"/>
          <w:bCs/>
          <w:iCs/>
          <w:sz w:val="20"/>
          <w:szCs w:val="20"/>
          <w:lang w:val="en-US"/>
        </w:rPr>
        <w:t>costs and expenses</w:t>
      </w:r>
      <w:r w:rsidR="00935F35" w:rsidRPr="009D52FD">
        <w:rPr>
          <w:rFonts w:cs="Verdana"/>
          <w:bCs/>
          <w:iCs/>
          <w:sz w:val="20"/>
          <w:szCs w:val="20"/>
          <w:lang w:val="en-US"/>
        </w:rPr>
        <w:t xml:space="preserve"> </w:t>
      </w:r>
      <w:r w:rsidR="002151C9" w:rsidRPr="009D52FD">
        <w:rPr>
          <w:rFonts w:cs="Verdana"/>
          <w:bCs/>
          <w:iCs/>
          <w:sz w:val="20"/>
          <w:szCs w:val="20"/>
          <w:lang w:val="en-US"/>
        </w:rPr>
        <w:t xml:space="preserve">form part of the concept of reparation because the activity deployed by the victims in order to obtain justice, at both the national and the international level, entails disbursements that should be compensated when the international responsibility of the State is declared in a judgment. Regarding the reimbursement of costs and expenses, it corresponds to this Court to prudently appreciate their scope, which includes the expenses generated before the authorities of the domestic jurisdiction, and also those arising during the procedure before the inter-American system, taking into account the circumstances of the specific case and the nature of the international jurisdiction for the protection of human rights. This assessment may be made based on the principle of equity and taking into account the expenses indicated by the parties, provided their </w:t>
      </w:r>
      <w:r w:rsidR="00935F35" w:rsidRPr="009D52FD">
        <w:rPr>
          <w:rFonts w:cs="Verdana"/>
          <w:bCs/>
          <w:i/>
          <w:iCs/>
          <w:sz w:val="20"/>
          <w:szCs w:val="20"/>
          <w:lang w:val="en-US"/>
        </w:rPr>
        <w:t xml:space="preserve">quantum </w:t>
      </w:r>
      <w:r w:rsidR="002151C9" w:rsidRPr="009D52FD">
        <w:rPr>
          <w:rFonts w:cs="Verdana"/>
          <w:bCs/>
          <w:iCs/>
          <w:sz w:val="20"/>
          <w:szCs w:val="20"/>
          <w:lang w:val="en-US"/>
        </w:rPr>
        <w:t>is reasonable.</w:t>
      </w:r>
      <w:r w:rsidR="00935F35" w:rsidRPr="009D52FD">
        <w:rPr>
          <w:rFonts w:cs="Verdana"/>
          <w:bCs/>
          <w:iCs/>
          <w:sz w:val="20"/>
          <w:szCs w:val="20"/>
          <w:vertAlign w:val="superscript"/>
          <w:lang w:val="en-US"/>
        </w:rPr>
        <w:footnoteReference w:id="424"/>
      </w:r>
    </w:p>
    <w:p w14:paraId="6BD6E44A" w14:textId="77777777" w:rsidR="00935F35" w:rsidRPr="009D52FD" w:rsidRDefault="00935F35" w:rsidP="00935F35">
      <w:pPr>
        <w:spacing w:line="240" w:lineRule="auto"/>
        <w:ind w:left="708"/>
        <w:rPr>
          <w:sz w:val="20"/>
          <w:szCs w:val="20"/>
          <w:lang w:val="en-US"/>
        </w:rPr>
      </w:pPr>
    </w:p>
    <w:p w14:paraId="2E00C9E5" w14:textId="5E24D8E4" w:rsidR="00935F35" w:rsidRPr="009D52FD" w:rsidRDefault="003630BB" w:rsidP="002151C9">
      <w:pPr>
        <w:numPr>
          <w:ilvl w:val="0"/>
          <w:numId w:val="1"/>
        </w:numPr>
        <w:tabs>
          <w:tab w:val="left" w:pos="567"/>
        </w:tabs>
        <w:spacing w:line="240" w:lineRule="auto"/>
        <w:ind w:left="0" w:firstLine="0"/>
        <w:textAlignment w:val="auto"/>
        <w:rPr>
          <w:rFonts w:eastAsia="MS Mincho"/>
          <w:sz w:val="20"/>
          <w:szCs w:val="20"/>
          <w:lang w:val="en-US" w:bidi="en-US"/>
        </w:rPr>
      </w:pPr>
      <w:r w:rsidRPr="009D52FD">
        <w:rPr>
          <w:rFonts w:eastAsia="MS Mincho"/>
          <w:sz w:val="20"/>
          <w:szCs w:val="20"/>
          <w:lang w:val="en-US" w:bidi="en-US"/>
        </w:rPr>
        <w:t>The Court</w:t>
      </w:r>
      <w:r w:rsidR="00935F35" w:rsidRPr="009D52FD">
        <w:rPr>
          <w:rFonts w:eastAsia="MS Mincho"/>
          <w:sz w:val="20"/>
          <w:szCs w:val="20"/>
          <w:lang w:val="en-US" w:bidi="en-US"/>
        </w:rPr>
        <w:t xml:space="preserve"> ha</w:t>
      </w:r>
      <w:r w:rsidR="002151C9" w:rsidRPr="009D52FD">
        <w:rPr>
          <w:rFonts w:eastAsia="MS Mincho"/>
          <w:sz w:val="20"/>
          <w:szCs w:val="20"/>
          <w:lang w:val="en-US" w:bidi="en-US"/>
        </w:rPr>
        <w:t>s indicated that “the claims of the victims or their representatives for costs and expenses, and the evidence that supports them must be submitted to the Court at the first procedural moment granted to them</w:t>
      </w:r>
      <w:r w:rsidR="00966A04" w:rsidRPr="009D52FD">
        <w:rPr>
          <w:rFonts w:eastAsia="MS Mincho"/>
          <w:sz w:val="20"/>
          <w:szCs w:val="20"/>
          <w:lang w:val="en-US" w:bidi="en-US"/>
        </w:rPr>
        <w:t>,</w:t>
      </w:r>
      <w:r w:rsidR="002151C9" w:rsidRPr="009D52FD">
        <w:rPr>
          <w:rFonts w:eastAsia="MS Mincho"/>
          <w:sz w:val="20"/>
          <w:szCs w:val="20"/>
          <w:lang w:val="en-US" w:bidi="en-US"/>
        </w:rPr>
        <w:t xml:space="preserve"> that is</w:t>
      </w:r>
      <w:r w:rsidR="00966A04" w:rsidRPr="009D52FD">
        <w:rPr>
          <w:rFonts w:eastAsia="MS Mincho"/>
          <w:sz w:val="20"/>
          <w:szCs w:val="20"/>
          <w:lang w:val="en-US" w:bidi="en-US"/>
        </w:rPr>
        <w:t>,</w:t>
      </w:r>
      <w:r w:rsidR="002151C9" w:rsidRPr="009D52FD">
        <w:rPr>
          <w:rFonts w:eastAsia="MS Mincho"/>
          <w:sz w:val="20"/>
          <w:szCs w:val="20"/>
          <w:lang w:val="en-US" w:bidi="en-US"/>
        </w:rPr>
        <w:t xml:space="preserve"> in the pleadings and motions brief, without prejudice to these claims being updated subsequently, in accordance with the new costs and expenses incurred owing to the proceedings before this Court.</w:t>
      </w:r>
      <w:r w:rsidR="00935F35" w:rsidRPr="009D52FD">
        <w:rPr>
          <w:rFonts w:eastAsia="MS Mincho"/>
          <w:sz w:val="20"/>
          <w:szCs w:val="20"/>
          <w:lang w:val="en-US" w:bidi="en-US"/>
        </w:rPr>
        <w:t>”</w:t>
      </w:r>
      <w:r w:rsidR="00935F35" w:rsidRPr="009D52FD">
        <w:rPr>
          <w:rFonts w:eastAsia="MS Mincho"/>
          <w:sz w:val="20"/>
          <w:szCs w:val="20"/>
          <w:vertAlign w:val="superscript"/>
          <w:lang w:val="en-US" w:bidi="en-US"/>
        </w:rPr>
        <w:footnoteReference w:id="425"/>
      </w:r>
      <w:r w:rsidR="002151C9" w:rsidRPr="009D52FD">
        <w:rPr>
          <w:rFonts w:eastAsia="MS Mincho"/>
          <w:sz w:val="20"/>
          <w:szCs w:val="20"/>
          <w:lang w:val="en-US" w:bidi="en-US"/>
        </w:rPr>
        <w:t xml:space="preserve"> The Court also reiterates that it is not sufficient merely to forward probative documents; rather the parties are required to include arguments that relate the evidence to the fact that it is considered to represent and that, in the case of alleged financial disbursements, the items and their justification is clearly established.</w:t>
      </w:r>
      <w:r w:rsidR="00935F35" w:rsidRPr="009D52FD">
        <w:rPr>
          <w:rFonts w:eastAsia="MS Mincho"/>
          <w:sz w:val="20"/>
          <w:szCs w:val="20"/>
          <w:vertAlign w:val="superscript"/>
          <w:lang w:val="en-US" w:bidi="en-US"/>
        </w:rPr>
        <w:footnoteReference w:id="426"/>
      </w:r>
    </w:p>
    <w:p w14:paraId="6F4E15F4" w14:textId="77777777" w:rsidR="00935F35" w:rsidRPr="009D52FD" w:rsidRDefault="00935F35" w:rsidP="00935F35">
      <w:pPr>
        <w:tabs>
          <w:tab w:val="left" w:pos="720"/>
        </w:tabs>
        <w:spacing w:line="240" w:lineRule="auto"/>
        <w:rPr>
          <w:rFonts w:eastAsia="Times"/>
          <w:sz w:val="20"/>
          <w:szCs w:val="20"/>
          <w:lang w:val="en-US"/>
        </w:rPr>
      </w:pPr>
    </w:p>
    <w:p w14:paraId="5BEABBBC" w14:textId="71833557" w:rsidR="002151C9" w:rsidRPr="009D52FD" w:rsidRDefault="003630BB" w:rsidP="00935F35">
      <w:pPr>
        <w:numPr>
          <w:ilvl w:val="0"/>
          <w:numId w:val="1"/>
        </w:numPr>
        <w:tabs>
          <w:tab w:val="left" w:pos="567"/>
        </w:tabs>
        <w:spacing w:line="240" w:lineRule="auto"/>
        <w:ind w:left="0" w:firstLine="0"/>
        <w:textAlignment w:val="auto"/>
        <w:rPr>
          <w:rFonts w:eastAsia="Times"/>
          <w:sz w:val="20"/>
          <w:szCs w:val="20"/>
          <w:lang w:val="en-US"/>
        </w:rPr>
      </w:pPr>
      <w:r w:rsidRPr="009D52FD">
        <w:rPr>
          <w:rFonts w:eastAsia="Times"/>
          <w:sz w:val="20"/>
          <w:szCs w:val="20"/>
          <w:lang w:val="en-US"/>
        </w:rPr>
        <w:t>The Court</w:t>
      </w:r>
      <w:r w:rsidR="00935F35" w:rsidRPr="009D52FD">
        <w:rPr>
          <w:rFonts w:eastAsia="Times"/>
          <w:sz w:val="20"/>
          <w:szCs w:val="20"/>
          <w:lang w:val="en-US"/>
        </w:rPr>
        <w:t xml:space="preserve"> not</w:t>
      </w:r>
      <w:r w:rsidR="002151C9" w:rsidRPr="009D52FD">
        <w:rPr>
          <w:rFonts w:eastAsia="Times"/>
          <w:sz w:val="20"/>
          <w:szCs w:val="20"/>
          <w:lang w:val="en-US"/>
        </w:rPr>
        <w:t>es that</w:t>
      </w:r>
      <w:r w:rsidR="00935F35" w:rsidRPr="009D52FD">
        <w:rPr>
          <w:rFonts w:eastAsia="Times"/>
          <w:sz w:val="20"/>
          <w:szCs w:val="20"/>
          <w:lang w:val="en-US"/>
        </w:rPr>
        <w:t xml:space="preserve"> </w:t>
      </w:r>
      <w:r w:rsidRPr="009D52FD">
        <w:rPr>
          <w:rFonts w:eastAsia="Times"/>
          <w:sz w:val="20"/>
          <w:szCs w:val="20"/>
          <w:lang w:val="en-US"/>
        </w:rPr>
        <w:t>the representatives</w:t>
      </w:r>
      <w:r w:rsidR="00935F35" w:rsidRPr="009D52FD">
        <w:rPr>
          <w:rFonts w:eastAsia="Times"/>
          <w:sz w:val="20"/>
          <w:szCs w:val="20"/>
          <w:lang w:val="en-US"/>
        </w:rPr>
        <w:t xml:space="preserve"> </w:t>
      </w:r>
      <w:r w:rsidR="002151C9" w:rsidRPr="009D52FD">
        <w:rPr>
          <w:rFonts w:eastAsia="Times"/>
          <w:sz w:val="20"/>
          <w:szCs w:val="20"/>
          <w:lang w:val="en-US"/>
        </w:rPr>
        <w:t xml:space="preserve">forwarded vouchers for the expenses incurred </w:t>
      </w:r>
      <w:r w:rsidR="002D4F78" w:rsidRPr="009D52FD">
        <w:rPr>
          <w:rFonts w:eastAsia="Times"/>
          <w:sz w:val="20"/>
          <w:szCs w:val="20"/>
          <w:lang w:val="en-US"/>
        </w:rPr>
        <w:t>over the period from 2001 to 2018 relating to various electronic devices, coordination of the litigation, legal assistance, litigation activities, psychological support, stationery, transportation, general expenses, land transportation, plane tickets, coffee, use of telephone and internet.</w:t>
      </w:r>
    </w:p>
    <w:p w14:paraId="09EE395C" w14:textId="77777777" w:rsidR="00935F35" w:rsidRPr="009D52FD" w:rsidRDefault="00935F35" w:rsidP="00935F35">
      <w:pPr>
        <w:tabs>
          <w:tab w:val="left" w:pos="720"/>
        </w:tabs>
        <w:spacing w:line="240" w:lineRule="auto"/>
        <w:rPr>
          <w:rFonts w:eastAsia="Times"/>
          <w:sz w:val="20"/>
          <w:szCs w:val="20"/>
          <w:lang w:val="en-US"/>
        </w:rPr>
      </w:pPr>
    </w:p>
    <w:p w14:paraId="4A80448A" w14:textId="38E49DDB" w:rsidR="002D4F78" w:rsidRPr="009D52FD" w:rsidRDefault="00935F35" w:rsidP="00935F35">
      <w:pPr>
        <w:numPr>
          <w:ilvl w:val="0"/>
          <w:numId w:val="1"/>
        </w:numPr>
        <w:tabs>
          <w:tab w:val="left" w:pos="567"/>
        </w:tabs>
        <w:spacing w:line="240" w:lineRule="auto"/>
        <w:ind w:left="0" w:firstLine="0"/>
        <w:textAlignment w:val="auto"/>
        <w:rPr>
          <w:sz w:val="20"/>
          <w:szCs w:val="20"/>
          <w:lang w:val="en-US"/>
        </w:rPr>
      </w:pPr>
      <w:r w:rsidRPr="009D52FD">
        <w:rPr>
          <w:rFonts w:eastAsia="MS Mincho"/>
          <w:sz w:val="20"/>
          <w:szCs w:val="20"/>
          <w:lang w:val="en-US"/>
        </w:rPr>
        <w:t>Re</w:t>
      </w:r>
      <w:r w:rsidR="002D4F78" w:rsidRPr="009D52FD">
        <w:rPr>
          <w:rFonts w:eastAsia="MS Mincho"/>
          <w:sz w:val="20"/>
          <w:szCs w:val="20"/>
          <w:lang w:val="en-US"/>
        </w:rPr>
        <w:t xml:space="preserve">garding the vouchers sent by </w:t>
      </w:r>
      <w:r w:rsidR="003630BB" w:rsidRPr="009D52FD">
        <w:rPr>
          <w:sz w:val="20"/>
          <w:szCs w:val="20"/>
          <w:lang w:val="en-US"/>
        </w:rPr>
        <w:t>the representatives</w:t>
      </w:r>
      <w:r w:rsidRPr="009D52FD">
        <w:rPr>
          <w:sz w:val="20"/>
          <w:szCs w:val="20"/>
          <w:lang w:val="en-US"/>
        </w:rPr>
        <w:t xml:space="preserve">, </w:t>
      </w:r>
      <w:r w:rsidR="003630BB" w:rsidRPr="009D52FD">
        <w:rPr>
          <w:sz w:val="20"/>
          <w:szCs w:val="20"/>
          <w:lang w:val="en-US"/>
        </w:rPr>
        <w:t>the Court</w:t>
      </w:r>
      <w:r w:rsidRPr="009D52FD">
        <w:rPr>
          <w:sz w:val="20"/>
          <w:szCs w:val="20"/>
          <w:lang w:val="en-US"/>
        </w:rPr>
        <w:t xml:space="preserve"> </w:t>
      </w:r>
      <w:r w:rsidR="002D4F78" w:rsidRPr="009D52FD">
        <w:rPr>
          <w:sz w:val="20"/>
          <w:szCs w:val="20"/>
          <w:lang w:val="en-US"/>
        </w:rPr>
        <w:t>notes that:</w:t>
      </w:r>
      <w:r w:rsidRPr="009D52FD">
        <w:rPr>
          <w:sz w:val="20"/>
          <w:szCs w:val="20"/>
          <w:lang w:val="en-US"/>
        </w:rPr>
        <w:t xml:space="preserve"> </w:t>
      </w:r>
      <w:r w:rsidR="002D4F78" w:rsidRPr="009D52FD">
        <w:rPr>
          <w:sz w:val="20"/>
          <w:szCs w:val="20"/>
          <w:lang w:val="en-US"/>
        </w:rPr>
        <w:t>(</w:t>
      </w:r>
      <w:r w:rsidRPr="009D52FD">
        <w:rPr>
          <w:sz w:val="20"/>
          <w:szCs w:val="20"/>
          <w:lang w:val="en-US"/>
        </w:rPr>
        <w:t xml:space="preserve">a) </w:t>
      </w:r>
      <w:r w:rsidR="002D4F78" w:rsidRPr="009D52FD">
        <w:rPr>
          <w:sz w:val="20"/>
          <w:szCs w:val="20"/>
          <w:lang w:val="en-US"/>
        </w:rPr>
        <w:t xml:space="preserve">some payment vouchers indicate expenses that are not clearly and precisely linked to this case, and (b) some receipts are illegible and the amount that they are intended to prove or the reason for the expense </w:t>
      </w:r>
      <w:r w:rsidR="00966A04" w:rsidRPr="009D52FD">
        <w:rPr>
          <w:sz w:val="20"/>
          <w:szCs w:val="20"/>
          <w:lang w:val="en-US"/>
        </w:rPr>
        <w:t>is</w:t>
      </w:r>
      <w:r w:rsidR="002D4F78" w:rsidRPr="009D52FD">
        <w:rPr>
          <w:sz w:val="20"/>
          <w:szCs w:val="20"/>
          <w:lang w:val="en-US"/>
        </w:rPr>
        <w:t xml:space="preserve"> unclear. In fairness, such vouchers have been deducted from the calculation made by the Court.</w:t>
      </w:r>
    </w:p>
    <w:p w14:paraId="1364CC9A" w14:textId="77777777" w:rsidR="00935F35" w:rsidRPr="009D52FD" w:rsidRDefault="00935F35" w:rsidP="00935F35">
      <w:pPr>
        <w:tabs>
          <w:tab w:val="left" w:pos="720"/>
          <w:tab w:val="num" w:pos="6227"/>
        </w:tabs>
        <w:spacing w:line="240" w:lineRule="auto"/>
        <w:ind w:right="-90"/>
        <w:contextualSpacing/>
        <w:rPr>
          <w:rFonts w:eastAsia="MS Mincho"/>
          <w:sz w:val="20"/>
          <w:szCs w:val="20"/>
          <w:lang w:val="en-US"/>
        </w:rPr>
      </w:pPr>
    </w:p>
    <w:p w14:paraId="1D09F961" w14:textId="0E03D27E" w:rsidR="00935F35" w:rsidRPr="009D52FD" w:rsidRDefault="002D4F78" w:rsidP="00935F35">
      <w:pPr>
        <w:numPr>
          <w:ilvl w:val="0"/>
          <w:numId w:val="1"/>
        </w:numPr>
        <w:tabs>
          <w:tab w:val="left" w:pos="567"/>
        </w:tabs>
        <w:spacing w:line="240" w:lineRule="auto"/>
        <w:ind w:left="0" w:firstLine="0"/>
        <w:textAlignment w:val="auto"/>
        <w:rPr>
          <w:rFonts w:eastAsia="MS Mincho" w:cs="Verdana"/>
          <w:sz w:val="20"/>
          <w:szCs w:val="20"/>
          <w:lang w:val="en-US"/>
        </w:rPr>
      </w:pPr>
      <w:r w:rsidRPr="009D52FD">
        <w:rPr>
          <w:sz w:val="20"/>
          <w:szCs w:val="20"/>
          <w:lang w:val="en-US"/>
        </w:rPr>
        <w:t>Consequently</w:t>
      </w:r>
      <w:r w:rsidR="00935F35" w:rsidRPr="009D52FD">
        <w:rPr>
          <w:sz w:val="20"/>
          <w:szCs w:val="20"/>
          <w:lang w:val="en-US"/>
        </w:rPr>
        <w:t xml:space="preserve">, </w:t>
      </w:r>
      <w:r w:rsidR="003630BB" w:rsidRPr="009D52FD">
        <w:rPr>
          <w:sz w:val="20"/>
          <w:szCs w:val="20"/>
          <w:lang w:val="en-US"/>
        </w:rPr>
        <w:t>the Court</w:t>
      </w:r>
      <w:r w:rsidR="00935F35" w:rsidRPr="009D52FD">
        <w:rPr>
          <w:sz w:val="20"/>
          <w:szCs w:val="20"/>
          <w:lang w:val="en-US"/>
        </w:rPr>
        <w:t xml:space="preserve"> </w:t>
      </w:r>
      <w:r w:rsidRPr="009D52FD">
        <w:rPr>
          <w:sz w:val="20"/>
          <w:szCs w:val="20"/>
          <w:lang w:val="en-US"/>
        </w:rPr>
        <w:t xml:space="preserve">finds it appropriate to establish a reasonable amount of </w:t>
      </w:r>
      <w:r w:rsidR="00D902B5" w:rsidRPr="009D52FD">
        <w:rPr>
          <w:sz w:val="20"/>
          <w:szCs w:val="20"/>
          <w:lang w:val="en-US"/>
        </w:rPr>
        <w:t>US$18</w:t>
      </w:r>
      <w:r w:rsidR="0098665D" w:rsidRPr="009D52FD">
        <w:rPr>
          <w:sz w:val="20"/>
          <w:szCs w:val="20"/>
          <w:lang w:val="en-US"/>
        </w:rPr>
        <w:t>,000.00</w:t>
      </w:r>
      <w:r w:rsidR="00D902B5" w:rsidRPr="009D52FD">
        <w:rPr>
          <w:sz w:val="20"/>
          <w:szCs w:val="20"/>
          <w:lang w:val="en-US"/>
        </w:rPr>
        <w:t xml:space="preserve"> </w:t>
      </w:r>
      <w:r w:rsidR="00864649" w:rsidRPr="009D52FD">
        <w:rPr>
          <w:sz w:val="20"/>
          <w:szCs w:val="20"/>
          <w:lang w:val="en-US"/>
        </w:rPr>
        <w:t>(eighteen</w:t>
      </w:r>
      <w:r w:rsidR="00D902B5" w:rsidRPr="009D52FD">
        <w:rPr>
          <w:sz w:val="20"/>
          <w:szCs w:val="20"/>
          <w:lang w:val="en-US"/>
        </w:rPr>
        <w:t xml:space="preserve"> </w:t>
      </w:r>
      <w:r w:rsidR="0098665D" w:rsidRPr="009D52FD">
        <w:rPr>
          <w:sz w:val="20"/>
          <w:szCs w:val="20"/>
          <w:lang w:val="en-US"/>
        </w:rPr>
        <w:t>thousand United States dollars</w:t>
      </w:r>
      <w:r w:rsidR="00D902B5" w:rsidRPr="009D52FD">
        <w:rPr>
          <w:sz w:val="20"/>
          <w:szCs w:val="20"/>
          <w:lang w:val="en-US"/>
        </w:rPr>
        <w:t xml:space="preserve">) </w:t>
      </w:r>
      <w:r w:rsidR="00864649" w:rsidRPr="009D52FD">
        <w:rPr>
          <w:sz w:val="20"/>
          <w:szCs w:val="20"/>
          <w:lang w:val="en-US"/>
        </w:rPr>
        <w:t>for the lawyer,</w:t>
      </w:r>
      <w:r w:rsidR="00E6588E" w:rsidRPr="009D52FD">
        <w:rPr>
          <w:sz w:val="20"/>
          <w:szCs w:val="20"/>
          <w:lang w:val="en-US"/>
        </w:rPr>
        <w:t xml:space="preserve"> </w:t>
      </w:r>
      <w:r w:rsidR="00D902B5" w:rsidRPr="009D52FD">
        <w:rPr>
          <w:sz w:val="20"/>
          <w:szCs w:val="20"/>
          <w:lang w:val="en-US"/>
        </w:rPr>
        <w:t>Juan Bernardo Delgado Linares</w:t>
      </w:r>
      <w:r w:rsidR="00864649" w:rsidRPr="009D52FD">
        <w:rPr>
          <w:sz w:val="20"/>
          <w:szCs w:val="20"/>
          <w:lang w:val="en-US"/>
        </w:rPr>
        <w:t xml:space="preserve">, as reimbursement of </w:t>
      </w:r>
      <w:r w:rsidR="00325A95" w:rsidRPr="009D52FD">
        <w:rPr>
          <w:sz w:val="20"/>
          <w:szCs w:val="20"/>
          <w:lang w:val="en-US"/>
        </w:rPr>
        <w:t>costs and expenses</w:t>
      </w:r>
      <w:r w:rsidR="00D902B5" w:rsidRPr="009D52FD">
        <w:rPr>
          <w:sz w:val="20"/>
          <w:szCs w:val="20"/>
          <w:lang w:val="en-US"/>
        </w:rPr>
        <w:t xml:space="preserve"> </w:t>
      </w:r>
      <w:r w:rsidRPr="009D52FD">
        <w:rPr>
          <w:sz w:val="20"/>
          <w:szCs w:val="20"/>
          <w:lang w:val="en-US"/>
        </w:rPr>
        <w:t xml:space="preserve">for his work in litigating the case at the national and the international level. It also establishes a reasonable amount of </w:t>
      </w:r>
      <w:r w:rsidR="00935F35" w:rsidRPr="009D52FD">
        <w:rPr>
          <w:sz w:val="20"/>
          <w:szCs w:val="20"/>
          <w:lang w:val="en-US"/>
        </w:rPr>
        <w:t>US$</w:t>
      </w:r>
      <w:r w:rsidR="00D902B5" w:rsidRPr="009D52FD">
        <w:rPr>
          <w:sz w:val="20"/>
          <w:szCs w:val="20"/>
          <w:lang w:val="en-US"/>
        </w:rPr>
        <w:t>25</w:t>
      </w:r>
      <w:r w:rsidR="0098665D" w:rsidRPr="009D52FD">
        <w:rPr>
          <w:sz w:val="20"/>
          <w:szCs w:val="20"/>
          <w:lang w:val="en-US"/>
        </w:rPr>
        <w:t>,000.00</w:t>
      </w:r>
      <w:r w:rsidR="00D902B5" w:rsidRPr="009D52FD">
        <w:rPr>
          <w:sz w:val="20"/>
          <w:szCs w:val="20"/>
          <w:lang w:val="en-US"/>
        </w:rPr>
        <w:t xml:space="preserve"> </w:t>
      </w:r>
      <w:r w:rsidR="00935F35" w:rsidRPr="009D52FD">
        <w:rPr>
          <w:sz w:val="20"/>
          <w:szCs w:val="20"/>
          <w:lang w:val="en-US"/>
        </w:rPr>
        <w:t>(</w:t>
      </w:r>
      <w:r w:rsidR="00864649" w:rsidRPr="009D52FD">
        <w:rPr>
          <w:sz w:val="20"/>
          <w:szCs w:val="20"/>
          <w:lang w:val="en-US"/>
        </w:rPr>
        <w:t>twenty-five</w:t>
      </w:r>
      <w:r w:rsidR="00935F35" w:rsidRPr="009D52FD">
        <w:rPr>
          <w:sz w:val="20"/>
          <w:szCs w:val="20"/>
          <w:lang w:val="en-US"/>
        </w:rPr>
        <w:t xml:space="preserve"> </w:t>
      </w:r>
      <w:r w:rsidR="0098665D" w:rsidRPr="009D52FD">
        <w:rPr>
          <w:sz w:val="20"/>
          <w:szCs w:val="20"/>
          <w:lang w:val="en-US"/>
        </w:rPr>
        <w:t>thousand United States dollars</w:t>
      </w:r>
      <w:r w:rsidR="00935F35" w:rsidRPr="009D52FD">
        <w:rPr>
          <w:sz w:val="20"/>
          <w:szCs w:val="20"/>
          <w:lang w:val="en-US"/>
        </w:rPr>
        <w:t xml:space="preserve">) </w:t>
      </w:r>
      <w:r w:rsidR="00864649" w:rsidRPr="009D52FD">
        <w:rPr>
          <w:sz w:val="20"/>
          <w:szCs w:val="20"/>
          <w:lang w:val="en-US"/>
        </w:rPr>
        <w:t>for the</w:t>
      </w:r>
      <w:r w:rsidR="009A3F72" w:rsidRPr="009D52FD">
        <w:rPr>
          <w:sz w:val="20"/>
          <w:szCs w:val="20"/>
          <w:lang w:val="en-US"/>
        </w:rPr>
        <w:t xml:space="preserve"> Comité de Familiares de las Víctimas de los </w:t>
      </w:r>
      <w:r w:rsidR="00002A76" w:rsidRPr="009D52FD">
        <w:rPr>
          <w:sz w:val="20"/>
          <w:szCs w:val="20"/>
          <w:lang w:val="en-US"/>
        </w:rPr>
        <w:t>Success</w:t>
      </w:r>
      <w:r w:rsidR="009A3F72" w:rsidRPr="009D52FD">
        <w:rPr>
          <w:sz w:val="20"/>
          <w:szCs w:val="20"/>
          <w:lang w:val="en-US"/>
        </w:rPr>
        <w:t xml:space="preserve"> de Febrero-Marzo de 1989 (</w:t>
      </w:r>
      <w:r w:rsidR="00935F35" w:rsidRPr="009D52FD">
        <w:rPr>
          <w:sz w:val="20"/>
          <w:szCs w:val="20"/>
          <w:lang w:val="en-US"/>
        </w:rPr>
        <w:t>COFAVIC</w:t>
      </w:r>
      <w:r w:rsidR="009A3F72" w:rsidRPr="009D52FD">
        <w:rPr>
          <w:sz w:val="20"/>
          <w:szCs w:val="20"/>
          <w:lang w:val="en-US"/>
        </w:rPr>
        <w:t>)</w:t>
      </w:r>
      <w:r w:rsidR="00935F35" w:rsidRPr="009D52FD">
        <w:rPr>
          <w:sz w:val="20"/>
          <w:szCs w:val="20"/>
          <w:lang w:val="en-US"/>
        </w:rPr>
        <w:t xml:space="preserve"> </w:t>
      </w:r>
      <w:r w:rsidR="00864649" w:rsidRPr="009D52FD">
        <w:rPr>
          <w:sz w:val="20"/>
          <w:szCs w:val="20"/>
          <w:lang w:val="en-US"/>
        </w:rPr>
        <w:t>as reimbursement of</w:t>
      </w:r>
      <w:r w:rsidR="00935F35" w:rsidRPr="009D52FD">
        <w:rPr>
          <w:sz w:val="20"/>
          <w:szCs w:val="20"/>
          <w:lang w:val="en-US"/>
        </w:rPr>
        <w:t xml:space="preserve"> </w:t>
      </w:r>
      <w:r w:rsidR="00325A95" w:rsidRPr="009D52FD">
        <w:rPr>
          <w:sz w:val="20"/>
          <w:szCs w:val="20"/>
          <w:lang w:val="en-US"/>
        </w:rPr>
        <w:t>costs and expenses</w:t>
      </w:r>
      <w:r w:rsidR="00935F35" w:rsidRPr="009D52FD">
        <w:rPr>
          <w:sz w:val="20"/>
          <w:szCs w:val="20"/>
          <w:lang w:val="en-US"/>
        </w:rPr>
        <w:t xml:space="preserve"> </w:t>
      </w:r>
      <w:r w:rsidRPr="009D52FD">
        <w:rPr>
          <w:sz w:val="20"/>
          <w:szCs w:val="20"/>
          <w:lang w:val="en-US"/>
        </w:rPr>
        <w:t>for its work in litigating the case at the national and the international level</w:t>
      </w:r>
      <w:r w:rsidR="00935F35" w:rsidRPr="009D52FD">
        <w:rPr>
          <w:sz w:val="20"/>
          <w:szCs w:val="20"/>
          <w:lang w:val="en-US"/>
        </w:rPr>
        <w:t xml:space="preserve">. </w:t>
      </w:r>
      <w:r w:rsidRPr="009D52FD">
        <w:rPr>
          <w:sz w:val="20"/>
          <w:szCs w:val="20"/>
          <w:lang w:val="en-US"/>
        </w:rPr>
        <w:t>In addition, the Court decides to establish a reasonable amount of</w:t>
      </w:r>
      <w:r w:rsidR="00935F35" w:rsidRPr="009D52FD">
        <w:rPr>
          <w:sz w:val="20"/>
          <w:szCs w:val="20"/>
          <w:lang w:val="en-US"/>
        </w:rPr>
        <w:t xml:space="preserve"> US$</w:t>
      </w:r>
      <w:r w:rsidR="00D902B5" w:rsidRPr="009D52FD">
        <w:rPr>
          <w:sz w:val="20"/>
          <w:szCs w:val="20"/>
          <w:lang w:val="en-US"/>
        </w:rPr>
        <w:t>12</w:t>
      </w:r>
      <w:r w:rsidR="0098665D" w:rsidRPr="009D52FD">
        <w:rPr>
          <w:sz w:val="20"/>
          <w:szCs w:val="20"/>
          <w:lang w:val="en-US"/>
        </w:rPr>
        <w:t>,000.00</w:t>
      </w:r>
      <w:r w:rsidR="00935F35" w:rsidRPr="009D52FD">
        <w:rPr>
          <w:sz w:val="20"/>
          <w:szCs w:val="20"/>
          <w:lang w:val="en-US"/>
        </w:rPr>
        <w:t xml:space="preserve"> (</w:t>
      </w:r>
      <w:r w:rsidR="00864649" w:rsidRPr="009D52FD">
        <w:rPr>
          <w:sz w:val="20"/>
          <w:szCs w:val="20"/>
          <w:lang w:val="en-US"/>
        </w:rPr>
        <w:t>twelve</w:t>
      </w:r>
      <w:r w:rsidR="00D902B5" w:rsidRPr="009D52FD">
        <w:rPr>
          <w:sz w:val="20"/>
          <w:szCs w:val="20"/>
          <w:lang w:val="en-US"/>
        </w:rPr>
        <w:t xml:space="preserve"> </w:t>
      </w:r>
      <w:r w:rsidR="0098665D" w:rsidRPr="009D52FD">
        <w:rPr>
          <w:sz w:val="20"/>
          <w:szCs w:val="20"/>
          <w:lang w:val="en-US"/>
        </w:rPr>
        <w:t>thousand United States dollars</w:t>
      </w:r>
      <w:r w:rsidR="00935F35" w:rsidRPr="009D52FD">
        <w:rPr>
          <w:sz w:val="20"/>
          <w:szCs w:val="20"/>
          <w:lang w:val="en-US"/>
        </w:rPr>
        <w:t xml:space="preserve">) </w:t>
      </w:r>
      <w:r w:rsidR="00864649" w:rsidRPr="009D52FD">
        <w:rPr>
          <w:sz w:val="20"/>
          <w:szCs w:val="20"/>
          <w:lang w:val="en-US"/>
        </w:rPr>
        <w:t xml:space="preserve">for the Center </w:t>
      </w:r>
      <w:r w:rsidRPr="009D52FD">
        <w:rPr>
          <w:sz w:val="20"/>
          <w:szCs w:val="20"/>
          <w:lang w:val="en-US"/>
        </w:rPr>
        <w:t>for</w:t>
      </w:r>
      <w:r w:rsidR="00864649" w:rsidRPr="009D52FD">
        <w:rPr>
          <w:sz w:val="20"/>
          <w:szCs w:val="20"/>
          <w:lang w:val="en-US"/>
        </w:rPr>
        <w:t xml:space="preserve"> Justice and International Law </w:t>
      </w:r>
      <w:r w:rsidR="00935F35" w:rsidRPr="009D52FD">
        <w:rPr>
          <w:sz w:val="20"/>
          <w:szCs w:val="20"/>
          <w:lang w:val="en-US"/>
        </w:rPr>
        <w:t xml:space="preserve">(CEJIL) </w:t>
      </w:r>
      <w:r w:rsidR="00864649" w:rsidRPr="009D52FD">
        <w:rPr>
          <w:sz w:val="20"/>
          <w:szCs w:val="20"/>
          <w:lang w:val="en-US"/>
        </w:rPr>
        <w:t>as reimburs</w:t>
      </w:r>
      <w:r w:rsidRPr="009D52FD">
        <w:rPr>
          <w:sz w:val="20"/>
          <w:szCs w:val="20"/>
          <w:lang w:val="en-US"/>
        </w:rPr>
        <w:t>e</w:t>
      </w:r>
      <w:r w:rsidR="00864649" w:rsidRPr="009D52FD">
        <w:rPr>
          <w:sz w:val="20"/>
          <w:szCs w:val="20"/>
          <w:lang w:val="en-US"/>
        </w:rPr>
        <w:t>ment of</w:t>
      </w:r>
      <w:r w:rsidR="00935F35" w:rsidRPr="009D52FD">
        <w:rPr>
          <w:sz w:val="20"/>
          <w:szCs w:val="20"/>
          <w:lang w:val="en-US"/>
        </w:rPr>
        <w:t xml:space="preserve"> </w:t>
      </w:r>
      <w:r w:rsidR="00325A95" w:rsidRPr="009D52FD">
        <w:rPr>
          <w:sz w:val="20"/>
          <w:szCs w:val="20"/>
          <w:lang w:val="en-US"/>
        </w:rPr>
        <w:t>costs and expenses</w:t>
      </w:r>
      <w:r w:rsidR="00935F35" w:rsidRPr="009D52FD">
        <w:rPr>
          <w:sz w:val="20"/>
          <w:szCs w:val="20"/>
          <w:lang w:val="en-US"/>
        </w:rPr>
        <w:t xml:space="preserve"> </w:t>
      </w:r>
      <w:r w:rsidRPr="009D52FD">
        <w:rPr>
          <w:sz w:val="20"/>
          <w:szCs w:val="20"/>
          <w:lang w:val="en-US"/>
        </w:rPr>
        <w:t xml:space="preserve">for its work in litigating the case at the international level. These amounts must be delivered directly to the corresponding person or organization, </w:t>
      </w:r>
      <w:r w:rsidR="003630BB" w:rsidRPr="009D52FD">
        <w:rPr>
          <w:rFonts w:eastAsia="MS Mincho" w:cs="Verdana"/>
          <w:sz w:val="20"/>
          <w:szCs w:val="20"/>
          <w:lang w:val="en-US"/>
        </w:rPr>
        <w:t>The Court</w:t>
      </w:r>
      <w:r w:rsidR="00935F35" w:rsidRPr="009D52FD">
        <w:rPr>
          <w:rFonts w:eastAsia="MS Mincho" w:cs="Verdana"/>
          <w:sz w:val="20"/>
          <w:szCs w:val="20"/>
          <w:lang w:val="en-US"/>
        </w:rPr>
        <w:t xml:space="preserve"> consider</w:t>
      </w:r>
      <w:r w:rsidRPr="009D52FD">
        <w:rPr>
          <w:rFonts w:eastAsia="MS Mincho" w:cs="Verdana"/>
          <w:sz w:val="20"/>
          <w:szCs w:val="20"/>
          <w:lang w:val="en-US"/>
        </w:rPr>
        <w:t xml:space="preserve">s that, in the procedure of monitoring compliance with </w:t>
      </w:r>
      <w:r w:rsidR="00EB0EB6" w:rsidRPr="009D52FD">
        <w:rPr>
          <w:rFonts w:eastAsia="MS Mincho" w:cs="Verdana"/>
          <w:sz w:val="20"/>
          <w:szCs w:val="20"/>
          <w:lang w:val="en-US"/>
        </w:rPr>
        <w:t>this judgment</w:t>
      </w:r>
      <w:r w:rsidR="00935F35" w:rsidRPr="009D52FD">
        <w:rPr>
          <w:rFonts w:eastAsia="MS Mincho" w:cs="Verdana"/>
          <w:sz w:val="20"/>
          <w:szCs w:val="20"/>
          <w:lang w:val="en-US"/>
        </w:rPr>
        <w:t xml:space="preserve">, </w:t>
      </w:r>
      <w:r w:rsidRPr="009D52FD">
        <w:rPr>
          <w:rFonts w:eastAsia="MS Mincho" w:cs="Verdana"/>
          <w:sz w:val="20"/>
          <w:szCs w:val="20"/>
          <w:lang w:val="en-US"/>
        </w:rPr>
        <w:t xml:space="preserve">it may establish that the State </w:t>
      </w:r>
      <w:r w:rsidR="00674CFA" w:rsidRPr="009D52FD">
        <w:rPr>
          <w:rFonts w:eastAsia="MS Mincho" w:cs="Verdana"/>
          <w:sz w:val="20"/>
          <w:szCs w:val="20"/>
          <w:lang w:val="en-US"/>
        </w:rPr>
        <w:t>reimburse the victims or their representatives any reasonable expenses they incur at that procedural stage.</w:t>
      </w:r>
    </w:p>
    <w:p w14:paraId="22B0B204" w14:textId="77777777" w:rsidR="00935F35" w:rsidRPr="009D52FD" w:rsidRDefault="00935F35" w:rsidP="00935F35">
      <w:pPr>
        <w:tabs>
          <w:tab w:val="left" w:pos="720"/>
        </w:tabs>
        <w:spacing w:line="240" w:lineRule="auto"/>
        <w:rPr>
          <w:rFonts w:eastAsia="Times"/>
          <w:sz w:val="20"/>
          <w:szCs w:val="20"/>
          <w:lang w:val="en-US"/>
        </w:rPr>
      </w:pPr>
    </w:p>
    <w:p w14:paraId="6FAA0AA2" w14:textId="6A8EE6C8" w:rsidR="00935F35" w:rsidRPr="009D52FD" w:rsidRDefault="00864649" w:rsidP="00F11556">
      <w:pPr>
        <w:keepNext/>
        <w:keepLines/>
        <w:numPr>
          <w:ilvl w:val="0"/>
          <w:numId w:val="5"/>
        </w:numPr>
        <w:tabs>
          <w:tab w:val="left" w:pos="567"/>
          <w:tab w:val="left" w:pos="1134"/>
        </w:tabs>
        <w:spacing w:line="240" w:lineRule="auto"/>
        <w:ind w:left="567" w:firstLine="0"/>
        <w:textAlignment w:val="auto"/>
        <w:outlineLvl w:val="1"/>
        <w:rPr>
          <w:rFonts w:eastAsia="MS Mincho"/>
          <w:b/>
          <w:bCs/>
          <w:i/>
          <w:sz w:val="20"/>
          <w:szCs w:val="20"/>
          <w:lang w:val="en-US"/>
        </w:rPr>
      </w:pPr>
      <w:bookmarkStart w:id="135" w:name="_Toc514172673"/>
      <w:bookmarkStart w:id="136" w:name="_Toc476390747"/>
      <w:bookmarkStart w:id="137" w:name="_Toc495658705"/>
      <w:bookmarkStart w:id="138" w:name="_Toc51400125"/>
      <w:r w:rsidRPr="009D52FD">
        <w:rPr>
          <w:rFonts w:eastAsia="MS Mincho"/>
          <w:b/>
          <w:bCs/>
          <w:i/>
          <w:sz w:val="20"/>
          <w:szCs w:val="20"/>
          <w:lang w:val="en-US"/>
        </w:rPr>
        <w:t>Reimbursement of expenses to the</w:t>
      </w:r>
      <w:r w:rsidR="00935F35" w:rsidRPr="009D52FD">
        <w:rPr>
          <w:rFonts w:eastAsia="MS Mincho"/>
          <w:b/>
          <w:bCs/>
          <w:i/>
          <w:sz w:val="20"/>
          <w:szCs w:val="20"/>
          <w:lang w:val="en-US"/>
        </w:rPr>
        <w:t xml:space="preserve"> </w:t>
      </w:r>
      <w:r w:rsidR="00325A95" w:rsidRPr="009D52FD">
        <w:rPr>
          <w:rFonts w:eastAsia="MS Mincho"/>
          <w:b/>
          <w:bCs/>
          <w:i/>
          <w:sz w:val="20"/>
          <w:szCs w:val="20"/>
          <w:lang w:val="en-US"/>
        </w:rPr>
        <w:t>Victims’ Legal Assistance Fund</w:t>
      </w:r>
      <w:bookmarkEnd w:id="135"/>
      <w:bookmarkEnd w:id="136"/>
      <w:bookmarkEnd w:id="137"/>
      <w:r w:rsidR="003630BB" w:rsidRPr="009D52FD">
        <w:rPr>
          <w:rFonts w:eastAsia="MS Mincho"/>
          <w:b/>
          <w:bCs/>
          <w:i/>
          <w:sz w:val="20"/>
          <w:szCs w:val="20"/>
          <w:lang w:val="en-US"/>
        </w:rPr>
        <w:t xml:space="preserve"> of the Inter-American Court</w:t>
      </w:r>
      <w:bookmarkEnd w:id="138"/>
    </w:p>
    <w:p w14:paraId="6966D81E" w14:textId="77777777" w:rsidR="00935F35" w:rsidRPr="009D52FD" w:rsidRDefault="00935F35" w:rsidP="00935F35">
      <w:pPr>
        <w:tabs>
          <w:tab w:val="left" w:pos="720"/>
        </w:tabs>
        <w:spacing w:line="240" w:lineRule="auto"/>
        <w:ind w:left="142"/>
        <w:rPr>
          <w:sz w:val="20"/>
          <w:szCs w:val="20"/>
          <w:lang w:val="en-US" w:bidi="en-US"/>
        </w:rPr>
      </w:pPr>
    </w:p>
    <w:p w14:paraId="5EFC4372" w14:textId="47A7943D" w:rsidR="00935F35" w:rsidRPr="009D52FD" w:rsidRDefault="00860F16" w:rsidP="00A87A68">
      <w:pPr>
        <w:numPr>
          <w:ilvl w:val="0"/>
          <w:numId w:val="1"/>
        </w:numPr>
        <w:tabs>
          <w:tab w:val="left" w:pos="567"/>
        </w:tabs>
        <w:spacing w:line="240" w:lineRule="auto"/>
        <w:ind w:left="0" w:firstLine="0"/>
        <w:textAlignment w:val="auto"/>
        <w:rPr>
          <w:rFonts w:eastAsia="MS Mincho" w:cs="Verdana"/>
          <w:sz w:val="20"/>
          <w:szCs w:val="20"/>
          <w:lang w:val="en-US"/>
        </w:rPr>
      </w:pPr>
      <w:r w:rsidRPr="009D52FD">
        <w:rPr>
          <w:snapToGrid w:val="0"/>
          <w:sz w:val="20"/>
          <w:szCs w:val="20"/>
          <w:lang w:val="en-US" w:bidi="en-US"/>
        </w:rPr>
        <w:t>In 2008, the General Assembly of the Organization of American States created the Victims’ Legal Assistance Fund of the inter-American human rights system, in order “to facilitate access to the inter-American human rights system by persons who currently lack the resources needed to bring their cases before the system</w:t>
      </w:r>
      <w:r w:rsidR="00A4425A" w:rsidRPr="009D52FD">
        <w:rPr>
          <w:snapToGrid w:val="0"/>
          <w:sz w:val="20"/>
          <w:szCs w:val="20"/>
          <w:lang w:val="en-US" w:bidi="en-US"/>
        </w:rPr>
        <w:t>.</w:t>
      </w:r>
      <w:r w:rsidR="00935F35" w:rsidRPr="009D52FD">
        <w:rPr>
          <w:snapToGrid w:val="0"/>
          <w:sz w:val="20"/>
          <w:szCs w:val="20"/>
          <w:lang w:val="en-US" w:bidi="en-US"/>
        </w:rPr>
        <w:t>”</w:t>
      </w:r>
      <w:r w:rsidR="00935F35" w:rsidRPr="009D52FD">
        <w:rPr>
          <w:snapToGrid w:val="0"/>
          <w:sz w:val="20"/>
          <w:szCs w:val="20"/>
          <w:vertAlign w:val="superscript"/>
          <w:lang w:val="en-US" w:bidi="en-US"/>
        </w:rPr>
        <w:footnoteReference w:id="427"/>
      </w:r>
      <w:r w:rsidR="00935F35" w:rsidRPr="009D52FD">
        <w:rPr>
          <w:snapToGrid w:val="0"/>
          <w:sz w:val="20"/>
          <w:szCs w:val="20"/>
          <w:lang w:val="en-US" w:bidi="en-US"/>
        </w:rPr>
        <w:t xml:space="preserve"> </w:t>
      </w:r>
      <w:r w:rsidR="00A87A68" w:rsidRPr="009D52FD">
        <w:rPr>
          <w:snapToGrid w:val="0"/>
          <w:sz w:val="20"/>
          <w:szCs w:val="20"/>
          <w:lang w:val="en-US" w:bidi="en-US"/>
        </w:rPr>
        <w:t xml:space="preserve">In the instant case, an order of </w:t>
      </w:r>
      <w:r w:rsidR="003630BB" w:rsidRPr="009D52FD">
        <w:rPr>
          <w:snapToGrid w:val="0"/>
          <w:sz w:val="20"/>
          <w:szCs w:val="20"/>
          <w:lang w:val="en-US" w:bidi="en-US"/>
        </w:rPr>
        <w:t>the President</w:t>
      </w:r>
      <w:r w:rsidR="00935F35" w:rsidRPr="009D52FD">
        <w:rPr>
          <w:snapToGrid w:val="0"/>
          <w:sz w:val="20"/>
          <w:szCs w:val="20"/>
          <w:lang w:val="en-US" w:bidi="en-US"/>
        </w:rPr>
        <w:t xml:space="preserve"> </w:t>
      </w:r>
      <w:r w:rsidR="00864649" w:rsidRPr="009D52FD">
        <w:rPr>
          <w:snapToGrid w:val="0"/>
          <w:sz w:val="20"/>
          <w:szCs w:val="20"/>
          <w:lang w:val="en-US" w:bidi="en-US"/>
        </w:rPr>
        <w:t>of December 13,</w:t>
      </w:r>
      <w:r w:rsidR="00935F35" w:rsidRPr="009D52FD">
        <w:rPr>
          <w:snapToGrid w:val="0"/>
          <w:sz w:val="20"/>
          <w:szCs w:val="20"/>
          <w:lang w:val="en-US" w:bidi="en-US"/>
        </w:rPr>
        <w:t xml:space="preserve"> 2017</w:t>
      </w:r>
      <w:r w:rsidR="00864649" w:rsidRPr="009D52FD">
        <w:rPr>
          <w:snapToGrid w:val="0"/>
          <w:sz w:val="20"/>
          <w:szCs w:val="20"/>
          <w:lang w:val="en-US" w:bidi="en-US"/>
        </w:rPr>
        <w:t>,</w:t>
      </w:r>
      <w:r w:rsidR="00935F35" w:rsidRPr="009D52FD">
        <w:rPr>
          <w:snapToGrid w:val="0"/>
          <w:sz w:val="20"/>
          <w:szCs w:val="20"/>
          <w:vertAlign w:val="superscript"/>
          <w:lang w:val="en-US" w:bidi="en-US"/>
        </w:rPr>
        <w:footnoteReference w:id="428"/>
      </w:r>
      <w:r w:rsidR="00935F35" w:rsidRPr="009D52FD">
        <w:rPr>
          <w:snapToGrid w:val="0"/>
          <w:sz w:val="20"/>
          <w:szCs w:val="20"/>
          <w:lang w:val="en-US" w:bidi="en-US"/>
        </w:rPr>
        <w:t xml:space="preserve"> </w:t>
      </w:r>
      <w:r w:rsidR="00A87A68" w:rsidRPr="009D52FD">
        <w:rPr>
          <w:rFonts w:cs="Verdana"/>
          <w:snapToGrid w:val="0"/>
          <w:sz w:val="20"/>
          <w:szCs w:val="20"/>
          <w:lang w:val="en-US" w:eastAsia="es-ES" w:bidi="en-US"/>
        </w:rPr>
        <w:t>granted the financial assistance of the Fund to cover the expenses of</w:t>
      </w:r>
      <w:r w:rsidR="00935F35" w:rsidRPr="009D52FD">
        <w:rPr>
          <w:sz w:val="20"/>
          <w:szCs w:val="20"/>
          <w:lang w:val="en-US" w:bidi="en-US"/>
        </w:rPr>
        <w:t xml:space="preserve">: </w:t>
      </w:r>
      <w:r w:rsidR="00A87A68" w:rsidRPr="009D52FD">
        <w:rPr>
          <w:sz w:val="20"/>
          <w:szCs w:val="20"/>
          <w:lang w:val="en-US" w:bidi="en-US"/>
        </w:rPr>
        <w:t>(</w:t>
      </w:r>
      <w:r w:rsidR="00935F35" w:rsidRPr="009D52FD">
        <w:rPr>
          <w:sz w:val="20"/>
          <w:szCs w:val="20"/>
          <w:lang w:val="en-US" w:bidi="en-US"/>
        </w:rPr>
        <w:t xml:space="preserve">i) </w:t>
      </w:r>
      <w:r w:rsidR="00A87A68" w:rsidRPr="009D52FD">
        <w:rPr>
          <w:rFonts w:cs="Verdana"/>
          <w:snapToGrid w:val="0"/>
          <w:sz w:val="20"/>
          <w:szCs w:val="20"/>
          <w:lang w:val="en-US" w:eastAsia="es-ES" w:bidi="en-US"/>
        </w:rPr>
        <w:t xml:space="preserve">travel, </w:t>
      </w:r>
      <w:r w:rsidR="00A87A68" w:rsidRPr="009D52FD">
        <w:rPr>
          <w:rFonts w:cs="Verdana"/>
          <w:snapToGrid w:val="0"/>
          <w:sz w:val="20"/>
          <w:szCs w:val="20"/>
          <w:lang w:val="en-US" w:eastAsia="es-ES" w:bidi="en-US"/>
        </w:rPr>
        <w:lastRenderedPageBreak/>
        <w:t>transfers and accommodation so that</w:t>
      </w:r>
      <w:r w:rsidR="00A87A68" w:rsidRPr="009D52FD">
        <w:rPr>
          <w:sz w:val="20"/>
          <w:szCs w:val="20"/>
          <w:lang w:val="en-US" w:bidi="en-US"/>
        </w:rPr>
        <w:t xml:space="preserve"> </w:t>
      </w:r>
      <w:r w:rsidR="00935F35" w:rsidRPr="009D52FD">
        <w:rPr>
          <w:sz w:val="20"/>
          <w:szCs w:val="20"/>
          <w:lang w:val="en-US" w:bidi="en-US"/>
        </w:rPr>
        <w:t>Linda Loaiza López Soto, Ana Secilia López Soto</w:t>
      </w:r>
      <w:r w:rsidR="003630BB" w:rsidRPr="009D52FD">
        <w:rPr>
          <w:sz w:val="20"/>
          <w:szCs w:val="20"/>
          <w:lang w:val="en-US" w:bidi="en-US"/>
        </w:rPr>
        <w:t xml:space="preserve"> and </w:t>
      </w:r>
      <w:r w:rsidR="00935F35" w:rsidRPr="009D52FD">
        <w:rPr>
          <w:sz w:val="20"/>
          <w:szCs w:val="20"/>
          <w:lang w:val="en-US" w:bidi="en-US"/>
        </w:rPr>
        <w:t xml:space="preserve">Daniela Kravetz </w:t>
      </w:r>
      <w:r w:rsidR="00A87A68" w:rsidRPr="009D52FD">
        <w:rPr>
          <w:sz w:val="20"/>
          <w:szCs w:val="20"/>
          <w:lang w:val="en-US" w:bidi="en-US"/>
        </w:rPr>
        <w:t>could take part in the</w:t>
      </w:r>
      <w:r w:rsidR="00935F35" w:rsidRPr="009D52FD">
        <w:rPr>
          <w:sz w:val="20"/>
          <w:szCs w:val="20"/>
          <w:lang w:val="en-US" w:bidi="en-US"/>
        </w:rPr>
        <w:t xml:space="preserve"> </w:t>
      </w:r>
      <w:r w:rsidR="0002239A" w:rsidRPr="009D52FD">
        <w:rPr>
          <w:sz w:val="20"/>
          <w:szCs w:val="20"/>
          <w:lang w:val="en-US" w:bidi="en-US"/>
        </w:rPr>
        <w:t>public hearing</w:t>
      </w:r>
      <w:r w:rsidR="00935F35" w:rsidRPr="009D52FD">
        <w:rPr>
          <w:sz w:val="20"/>
          <w:szCs w:val="20"/>
          <w:lang w:val="en-US" w:bidi="en-US"/>
        </w:rPr>
        <w:t xml:space="preserve"> </w:t>
      </w:r>
      <w:r w:rsidR="00A87A68" w:rsidRPr="009D52FD">
        <w:rPr>
          <w:sz w:val="20"/>
          <w:szCs w:val="20"/>
          <w:lang w:val="en-US" w:bidi="en-US"/>
        </w:rPr>
        <w:t>before</w:t>
      </w:r>
      <w:r w:rsidR="00935F35" w:rsidRPr="009D52FD">
        <w:rPr>
          <w:sz w:val="20"/>
          <w:szCs w:val="20"/>
          <w:lang w:val="en-US" w:bidi="en-US"/>
        </w:rPr>
        <w:t xml:space="preserve"> </w:t>
      </w:r>
      <w:r w:rsidR="0002239A" w:rsidRPr="009D52FD">
        <w:rPr>
          <w:sz w:val="20"/>
          <w:szCs w:val="20"/>
          <w:lang w:val="en-US" w:bidi="en-US"/>
        </w:rPr>
        <w:t>this Court</w:t>
      </w:r>
      <w:r w:rsidR="00935F35" w:rsidRPr="009D52FD">
        <w:rPr>
          <w:sz w:val="20"/>
          <w:szCs w:val="20"/>
          <w:lang w:val="en-US" w:bidi="en-US"/>
        </w:rPr>
        <w:t xml:space="preserve">; </w:t>
      </w:r>
      <w:r w:rsidR="00A87A68" w:rsidRPr="009D52FD">
        <w:rPr>
          <w:sz w:val="20"/>
          <w:szCs w:val="20"/>
          <w:lang w:val="en-US" w:bidi="en-US"/>
        </w:rPr>
        <w:t>(</w:t>
      </w:r>
      <w:r w:rsidR="00935F35" w:rsidRPr="009D52FD">
        <w:rPr>
          <w:sz w:val="20"/>
          <w:szCs w:val="20"/>
          <w:lang w:val="en-US" w:bidi="en-US"/>
        </w:rPr>
        <w:t xml:space="preserve">ii) </w:t>
      </w:r>
      <w:r w:rsidR="00A87A68" w:rsidRPr="009D52FD">
        <w:rPr>
          <w:sz w:val="20"/>
          <w:szCs w:val="20"/>
          <w:lang w:val="en-US" w:bidi="en-US"/>
        </w:rPr>
        <w:t>the expenses associated with the support of Linda Loaiza López Soto’s personal psychologist</w:t>
      </w:r>
      <w:r w:rsidR="00935F35" w:rsidRPr="009D52FD">
        <w:rPr>
          <w:sz w:val="20"/>
          <w:szCs w:val="20"/>
          <w:lang w:val="en-US" w:bidi="en-US"/>
        </w:rPr>
        <w:t>,</w:t>
      </w:r>
      <w:r w:rsidR="003630BB" w:rsidRPr="009D52FD">
        <w:rPr>
          <w:sz w:val="20"/>
          <w:szCs w:val="20"/>
          <w:lang w:val="en-US" w:bidi="en-US"/>
        </w:rPr>
        <w:t xml:space="preserve"> and </w:t>
      </w:r>
      <w:r w:rsidR="00A87A68" w:rsidRPr="009D52FD">
        <w:rPr>
          <w:sz w:val="20"/>
          <w:szCs w:val="20"/>
          <w:lang w:val="en-US" w:bidi="en-US"/>
        </w:rPr>
        <w:t>(</w:t>
      </w:r>
      <w:r w:rsidR="00935F35" w:rsidRPr="009D52FD">
        <w:rPr>
          <w:sz w:val="20"/>
          <w:szCs w:val="20"/>
          <w:lang w:val="en-US" w:bidi="en-US"/>
        </w:rPr>
        <w:t xml:space="preserve">iii) </w:t>
      </w:r>
      <w:r w:rsidR="00A87A68" w:rsidRPr="009D52FD">
        <w:rPr>
          <w:sz w:val="20"/>
          <w:szCs w:val="20"/>
          <w:lang w:val="en-US" w:bidi="en-US"/>
        </w:rPr>
        <w:t>the costs of preparing and mailing the affidavits of two deponents proposed by</w:t>
      </w:r>
      <w:r w:rsidR="00935F35" w:rsidRPr="009D52FD">
        <w:rPr>
          <w:sz w:val="20"/>
          <w:szCs w:val="20"/>
          <w:lang w:val="en-US" w:bidi="en-US"/>
        </w:rPr>
        <w:t xml:space="preserve"> </w:t>
      </w:r>
      <w:r w:rsidR="003630BB" w:rsidRPr="009D52FD">
        <w:rPr>
          <w:sz w:val="20"/>
          <w:szCs w:val="20"/>
          <w:lang w:val="en-US" w:bidi="en-US"/>
        </w:rPr>
        <w:t>the representatives</w:t>
      </w:r>
      <w:r w:rsidR="00935F35" w:rsidRPr="009D52FD">
        <w:rPr>
          <w:sz w:val="20"/>
          <w:szCs w:val="20"/>
          <w:lang w:val="en-US" w:bidi="en-US"/>
        </w:rPr>
        <w:t xml:space="preserve">, </w:t>
      </w:r>
      <w:r w:rsidR="00A87A68" w:rsidRPr="009D52FD">
        <w:rPr>
          <w:sz w:val="20"/>
          <w:szCs w:val="20"/>
          <w:lang w:val="en-US" w:bidi="en-US"/>
        </w:rPr>
        <w:t>as they determine</w:t>
      </w:r>
      <w:r w:rsidR="00935F35" w:rsidRPr="009D52FD">
        <w:rPr>
          <w:sz w:val="20"/>
          <w:szCs w:val="20"/>
          <w:lang w:val="en-US" w:bidi="en-US"/>
        </w:rPr>
        <w:t>.</w:t>
      </w:r>
    </w:p>
    <w:p w14:paraId="02EECDFE" w14:textId="77777777" w:rsidR="00860F16" w:rsidRPr="009D52FD" w:rsidRDefault="00860F16" w:rsidP="00860F16">
      <w:pPr>
        <w:tabs>
          <w:tab w:val="left" w:pos="567"/>
        </w:tabs>
        <w:spacing w:line="240" w:lineRule="auto"/>
        <w:textAlignment w:val="auto"/>
        <w:rPr>
          <w:rFonts w:eastAsia="MS Mincho" w:cs="Verdana"/>
          <w:sz w:val="20"/>
          <w:szCs w:val="20"/>
          <w:lang w:val="en-US"/>
        </w:rPr>
      </w:pPr>
    </w:p>
    <w:p w14:paraId="0EB454F1" w14:textId="1D171C0B" w:rsidR="00935F35" w:rsidRPr="009D52FD" w:rsidRDefault="00A87A68" w:rsidP="00935F35">
      <w:pPr>
        <w:numPr>
          <w:ilvl w:val="0"/>
          <w:numId w:val="1"/>
        </w:numPr>
        <w:tabs>
          <w:tab w:val="left" w:pos="567"/>
        </w:tabs>
        <w:spacing w:line="240" w:lineRule="auto"/>
        <w:ind w:left="0" w:firstLine="0"/>
        <w:textAlignment w:val="auto"/>
        <w:rPr>
          <w:rFonts w:eastAsia="MS Mincho" w:cs="Verdana"/>
          <w:sz w:val="20"/>
          <w:szCs w:val="20"/>
          <w:lang w:val="en-US" w:bidi="en-US"/>
        </w:rPr>
      </w:pPr>
      <w:r w:rsidRPr="009D52FD">
        <w:rPr>
          <w:rFonts w:eastAsia="MS Mincho" w:cs="Verdana"/>
          <w:sz w:val="20"/>
          <w:szCs w:val="20"/>
          <w:lang w:val="en-US" w:bidi="en-US"/>
        </w:rPr>
        <w:t xml:space="preserve">Owing to the violations acknowledged by the State and those declared in this judgment and that the requirements for access to the Fund were met, the Court orders the State to reimburse the said Fund the sum of </w:t>
      </w:r>
      <w:r w:rsidR="00935F35" w:rsidRPr="009D52FD">
        <w:rPr>
          <w:rFonts w:eastAsia="MS Mincho" w:cs="Verdana"/>
          <w:sz w:val="20"/>
          <w:szCs w:val="20"/>
          <w:lang w:val="en-US" w:bidi="en-US"/>
        </w:rPr>
        <w:t>US$7</w:t>
      </w:r>
      <w:r w:rsidR="00864649" w:rsidRPr="009D52FD">
        <w:rPr>
          <w:rFonts w:eastAsia="MS Mincho" w:cs="Verdana"/>
          <w:sz w:val="20"/>
          <w:szCs w:val="20"/>
          <w:lang w:val="en-US" w:bidi="en-US"/>
        </w:rPr>
        <w:t>,</w:t>
      </w:r>
      <w:r w:rsidR="00935F35" w:rsidRPr="009D52FD">
        <w:rPr>
          <w:rFonts w:eastAsia="MS Mincho" w:cs="Verdana"/>
          <w:sz w:val="20"/>
          <w:szCs w:val="20"/>
          <w:lang w:val="en-US" w:bidi="en-US"/>
        </w:rPr>
        <w:t>310</w:t>
      </w:r>
      <w:r w:rsidR="00864649" w:rsidRPr="009D52FD">
        <w:rPr>
          <w:rFonts w:eastAsia="MS Mincho" w:cs="Verdana"/>
          <w:sz w:val="20"/>
          <w:szCs w:val="20"/>
          <w:lang w:val="en-US" w:bidi="en-US"/>
        </w:rPr>
        <w:t>.</w:t>
      </w:r>
      <w:r w:rsidR="00935F35" w:rsidRPr="009D52FD">
        <w:rPr>
          <w:rFonts w:eastAsia="MS Mincho" w:cs="Verdana"/>
          <w:sz w:val="20"/>
          <w:szCs w:val="20"/>
          <w:lang w:val="en-US" w:bidi="en-US"/>
        </w:rPr>
        <w:t>33 (s</w:t>
      </w:r>
      <w:r w:rsidR="00864649" w:rsidRPr="009D52FD">
        <w:rPr>
          <w:rFonts w:eastAsia="MS Mincho" w:cs="Verdana"/>
          <w:sz w:val="20"/>
          <w:szCs w:val="20"/>
          <w:lang w:val="en-US" w:bidi="en-US"/>
        </w:rPr>
        <w:t>even thousand three hundred and ten United States dollars and thirty-three cents</w:t>
      </w:r>
      <w:r w:rsidR="00935F35" w:rsidRPr="009D52FD">
        <w:rPr>
          <w:rFonts w:eastAsia="MS Mincho" w:cs="Verdana"/>
          <w:sz w:val="20"/>
          <w:szCs w:val="20"/>
          <w:lang w:val="en-US" w:bidi="en-US"/>
        </w:rPr>
        <w:t xml:space="preserve">). </w:t>
      </w:r>
      <w:r w:rsidRPr="009D52FD">
        <w:rPr>
          <w:rFonts w:eastAsia="MS Mincho" w:cs="Verdana"/>
          <w:sz w:val="20"/>
          <w:szCs w:val="20"/>
          <w:lang w:val="en-US" w:bidi="en-US"/>
        </w:rPr>
        <w:t>This amount must be reimbursed within six months from notification of this judgment.</w:t>
      </w:r>
    </w:p>
    <w:p w14:paraId="372B63F0" w14:textId="77777777" w:rsidR="00935F35" w:rsidRPr="009D52FD" w:rsidRDefault="00935F35" w:rsidP="00935F35">
      <w:pPr>
        <w:tabs>
          <w:tab w:val="left" w:pos="567"/>
        </w:tabs>
        <w:spacing w:line="240" w:lineRule="auto"/>
        <w:rPr>
          <w:rFonts w:eastAsia="MS Mincho" w:cs="Verdana"/>
          <w:sz w:val="20"/>
          <w:szCs w:val="20"/>
          <w:lang w:val="en-US" w:bidi="en-US"/>
        </w:rPr>
      </w:pPr>
    </w:p>
    <w:p w14:paraId="16A5C57B" w14:textId="6CB71788" w:rsidR="00935F35" w:rsidRPr="009D52FD" w:rsidRDefault="00864649" w:rsidP="00F11556">
      <w:pPr>
        <w:keepNext/>
        <w:keepLines/>
        <w:numPr>
          <w:ilvl w:val="0"/>
          <w:numId w:val="5"/>
        </w:numPr>
        <w:tabs>
          <w:tab w:val="left" w:pos="567"/>
          <w:tab w:val="left" w:pos="1134"/>
        </w:tabs>
        <w:spacing w:line="240" w:lineRule="auto"/>
        <w:ind w:left="567" w:firstLine="0"/>
        <w:textAlignment w:val="auto"/>
        <w:outlineLvl w:val="1"/>
        <w:rPr>
          <w:rFonts w:eastAsia="MS Mincho"/>
          <w:b/>
          <w:bCs/>
          <w:i/>
          <w:sz w:val="20"/>
          <w:szCs w:val="20"/>
          <w:lang w:val="en-US"/>
        </w:rPr>
      </w:pPr>
      <w:bookmarkStart w:id="139" w:name="_Toc514172674"/>
      <w:bookmarkStart w:id="140" w:name="_Toc476390748"/>
      <w:bookmarkStart w:id="141" w:name="_Toc495658706"/>
      <w:bookmarkStart w:id="142" w:name="_Toc51400126"/>
      <w:r w:rsidRPr="009D52FD">
        <w:rPr>
          <w:rFonts w:eastAsia="MS Mincho"/>
          <w:b/>
          <w:bCs/>
          <w:i/>
          <w:sz w:val="20"/>
          <w:szCs w:val="20"/>
          <w:lang w:val="en-US"/>
        </w:rPr>
        <w:t>Reimbursement of expenses to the</w:t>
      </w:r>
      <w:r w:rsidR="00935F35" w:rsidRPr="009D52FD">
        <w:rPr>
          <w:rFonts w:eastAsia="MS Mincho"/>
          <w:b/>
          <w:bCs/>
          <w:i/>
          <w:sz w:val="20"/>
          <w:szCs w:val="20"/>
          <w:lang w:val="en-US"/>
        </w:rPr>
        <w:t xml:space="preserve"> </w:t>
      </w:r>
      <w:r w:rsidR="00325A95" w:rsidRPr="009D52FD">
        <w:rPr>
          <w:rFonts w:eastAsia="MS Mincho"/>
          <w:b/>
          <w:bCs/>
          <w:i/>
          <w:sz w:val="20"/>
          <w:szCs w:val="20"/>
          <w:lang w:val="en-US"/>
        </w:rPr>
        <w:t>Victims’ Legal Assistance Fund</w:t>
      </w:r>
      <w:r w:rsidR="003630BB" w:rsidRPr="009D52FD">
        <w:rPr>
          <w:rFonts w:eastAsia="MS Mincho"/>
          <w:b/>
          <w:bCs/>
          <w:i/>
          <w:sz w:val="20"/>
          <w:szCs w:val="20"/>
          <w:lang w:val="en-US"/>
        </w:rPr>
        <w:t xml:space="preserve"> of the Inter-American Commission</w:t>
      </w:r>
      <w:bookmarkEnd w:id="142"/>
    </w:p>
    <w:p w14:paraId="7095CA9C" w14:textId="77777777" w:rsidR="00935F35" w:rsidRPr="009D52FD" w:rsidRDefault="00935F35" w:rsidP="00935F35">
      <w:pPr>
        <w:spacing w:line="240" w:lineRule="auto"/>
        <w:ind w:left="142"/>
        <w:rPr>
          <w:sz w:val="20"/>
          <w:szCs w:val="20"/>
          <w:lang w:val="en-US"/>
        </w:rPr>
      </w:pPr>
    </w:p>
    <w:p w14:paraId="3D8AB516" w14:textId="026FB815" w:rsidR="00935F35" w:rsidRPr="009D52FD" w:rsidRDefault="003630BB" w:rsidP="00935F35">
      <w:pPr>
        <w:numPr>
          <w:ilvl w:val="0"/>
          <w:numId w:val="1"/>
        </w:numPr>
        <w:tabs>
          <w:tab w:val="left" w:pos="567"/>
        </w:tabs>
        <w:spacing w:line="240" w:lineRule="auto"/>
        <w:ind w:left="0" w:firstLine="0"/>
        <w:textAlignment w:val="auto"/>
        <w:rPr>
          <w:rFonts w:eastAsia="MS Mincho"/>
          <w:bCs/>
          <w:sz w:val="20"/>
          <w:szCs w:val="20"/>
          <w:lang w:val="en-US"/>
        </w:rPr>
      </w:pPr>
      <w:r w:rsidRPr="009D52FD">
        <w:rPr>
          <w:rFonts w:eastAsia="MS Mincho"/>
          <w:bCs/>
          <w:sz w:val="20"/>
          <w:szCs w:val="20"/>
          <w:lang w:val="en-US"/>
        </w:rPr>
        <w:t xml:space="preserve">The </w:t>
      </w:r>
      <w:r w:rsidRPr="009D52FD">
        <w:rPr>
          <w:rFonts w:eastAsia="MS Mincho"/>
          <w:b/>
          <w:i/>
          <w:iCs/>
          <w:sz w:val="20"/>
          <w:szCs w:val="20"/>
          <w:lang w:val="en-US"/>
        </w:rPr>
        <w:t>Commission</w:t>
      </w:r>
      <w:r w:rsidR="00935F35" w:rsidRPr="009D52FD">
        <w:rPr>
          <w:rFonts w:eastAsia="MS Mincho"/>
          <w:b/>
          <w:bCs/>
          <w:i/>
          <w:sz w:val="20"/>
          <w:szCs w:val="20"/>
          <w:lang w:val="en-US"/>
        </w:rPr>
        <w:t xml:space="preserve"> </w:t>
      </w:r>
      <w:r w:rsidR="00A87A68" w:rsidRPr="009D52FD">
        <w:rPr>
          <w:rFonts w:eastAsia="MS Mincho"/>
          <w:bCs/>
          <w:sz w:val="20"/>
          <w:szCs w:val="20"/>
          <w:lang w:val="en-US"/>
        </w:rPr>
        <w:t xml:space="preserve">asked that the Court order the State of Venezuela to reimburse the expenses of the </w:t>
      </w:r>
      <w:r w:rsidR="00325A95" w:rsidRPr="009D52FD">
        <w:rPr>
          <w:rFonts w:eastAsia="MS Mincho"/>
          <w:bCs/>
          <w:sz w:val="20"/>
          <w:szCs w:val="20"/>
          <w:lang w:val="en-US"/>
        </w:rPr>
        <w:t>Victims’ Legal Assistance Fund</w:t>
      </w:r>
      <w:r w:rsidRPr="009D52FD">
        <w:rPr>
          <w:rFonts w:eastAsia="MS Mincho"/>
          <w:bCs/>
          <w:sz w:val="20"/>
          <w:szCs w:val="20"/>
          <w:lang w:val="en-US"/>
        </w:rPr>
        <w:t xml:space="preserve"> of the Inter-American Commission</w:t>
      </w:r>
      <w:r w:rsidR="00935F35" w:rsidRPr="009D52FD">
        <w:rPr>
          <w:rFonts w:eastAsia="MS Mincho"/>
          <w:bCs/>
          <w:sz w:val="20"/>
          <w:szCs w:val="20"/>
          <w:lang w:val="en-US"/>
        </w:rPr>
        <w:t xml:space="preserve">, </w:t>
      </w:r>
      <w:r w:rsidR="00A87A68" w:rsidRPr="009D52FD">
        <w:rPr>
          <w:rFonts w:eastAsia="MS Mincho"/>
          <w:bCs/>
          <w:sz w:val="20"/>
          <w:szCs w:val="20"/>
          <w:lang w:val="en-US"/>
        </w:rPr>
        <w:t xml:space="preserve">for the whole amount disbursed during the processing of this case. </w:t>
      </w:r>
    </w:p>
    <w:p w14:paraId="0D51F4EC" w14:textId="77777777" w:rsidR="00935F35" w:rsidRPr="009D52FD" w:rsidRDefault="00935F35" w:rsidP="00935F35">
      <w:pPr>
        <w:spacing w:line="240" w:lineRule="auto"/>
        <w:ind w:left="142"/>
        <w:rPr>
          <w:sz w:val="20"/>
          <w:szCs w:val="20"/>
          <w:lang w:val="en-US"/>
        </w:rPr>
      </w:pPr>
    </w:p>
    <w:p w14:paraId="4A13DB46" w14:textId="1C51D734" w:rsidR="00423DA2" w:rsidRPr="009D52FD" w:rsidRDefault="003630BB" w:rsidP="007811B2">
      <w:pPr>
        <w:numPr>
          <w:ilvl w:val="0"/>
          <w:numId w:val="1"/>
        </w:numPr>
        <w:tabs>
          <w:tab w:val="left" w:pos="567"/>
        </w:tabs>
        <w:spacing w:line="240" w:lineRule="auto"/>
        <w:ind w:left="0" w:firstLine="0"/>
        <w:textAlignment w:val="auto"/>
        <w:rPr>
          <w:sz w:val="20"/>
          <w:szCs w:val="20"/>
          <w:lang w:val="en-US"/>
        </w:rPr>
      </w:pPr>
      <w:r w:rsidRPr="009D52FD">
        <w:rPr>
          <w:sz w:val="20"/>
          <w:szCs w:val="20"/>
          <w:lang w:val="en-US"/>
        </w:rPr>
        <w:t>The Court</w:t>
      </w:r>
      <w:r w:rsidR="007811B2" w:rsidRPr="009D52FD">
        <w:rPr>
          <w:sz w:val="20"/>
          <w:szCs w:val="20"/>
          <w:lang w:val="en-US"/>
        </w:rPr>
        <w:t xml:space="preserve"> </w:t>
      </w:r>
      <w:r w:rsidR="007811B2" w:rsidRPr="009D52FD">
        <w:rPr>
          <w:rFonts w:eastAsia="MS Mincho"/>
          <w:bCs/>
          <w:sz w:val="20"/>
          <w:szCs w:val="20"/>
          <w:lang w:val="en-US"/>
        </w:rPr>
        <w:t>not</w:t>
      </w:r>
      <w:r w:rsidR="00423DA2" w:rsidRPr="009D52FD">
        <w:rPr>
          <w:rFonts w:eastAsia="MS Mincho"/>
          <w:bCs/>
          <w:sz w:val="20"/>
          <w:szCs w:val="20"/>
          <w:lang w:val="en-US"/>
        </w:rPr>
        <w:t>es</w:t>
      </w:r>
      <w:r w:rsidR="007811B2" w:rsidRPr="009D52FD">
        <w:rPr>
          <w:sz w:val="20"/>
          <w:szCs w:val="20"/>
          <w:lang w:val="en-US"/>
        </w:rPr>
        <w:t xml:space="preserve"> </w:t>
      </w:r>
      <w:r w:rsidR="00423DA2" w:rsidRPr="009D52FD">
        <w:rPr>
          <w:sz w:val="20"/>
          <w:szCs w:val="20"/>
          <w:lang w:val="en-US"/>
        </w:rPr>
        <w:t>that</w:t>
      </w:r>
      <w:r w:rsidR="007811B2" w:rsidRPr="009D52FD">
        <w:rPr>
          <w:sz w:val="20"/>
          <w:szCs w:val="20"/>
          <w:lang w:val="en-US"/>
        </w:rPr>
        <w:t xml:space="preserve"> </w:t>
      </w:r>
      <w:r w:rsidRPr="009D52FD">
        <w:rPr>
          <w:sz w:val="20"/>
          <w:szCs w:val="20"/>
          <w:lang w:val="en-US"/>
        </w:rPr>
        <w:t>the Commission</w:t>
      </w:r>
      <w:r w:rsidR="007811B2" w:rsidRPr="009D52FD">
        <w:rPr>
          <w:sz w:val="20"/>
          <w:szCs w:val="20"/>
          <w:lang w:val="en-US"/>
        </w:rPr>
        <w:t xml:space="preserve"> </w:t>
      </w:r>
      <w:r w:rsidR="00423DA2" w:rsidRPr="009D52FD">
        <w:rPr>
          <w:sz w:val="20"/>
          <w:szCs w:val="20"/>
          <w:lang w:val="en-US"/>
        </w:rPr>
        <w:t>has not specified the amount disbursed for this concept, or presented any documentation to substantiate it. Furthermore, despite this having been requested, the Commission has not indicated the legal grounds and the procedure for this Court to undertake to order and, eventually, to monitor reimbursement to the Fund administered by the Commission. Therefore, the Court understands that it is not appropriate for it to order this as one of the measure</w:t>
      </w:r>
      <w:r w:rsidR="00966A04" w:rsidRPr="009D52FD">
        <w:rPr>
          <w:sz w:val="20"/>
          <w:szCs w:val="20"/>
          <w:lang w:val="en-US"/>
        </w:rPr>
        <w:t>s</w:t>
      </w:r>
      <w:r w:rsidR="00423DA2" w:rsidRPr="009D52FD">
        <w:rPr>
          <w:sz w:val="20"/>
          <w:szCs w:val="20"/>
          <w:lang w:val="en-US"/>
        </w:rPr>
        <w:t xml:space="preserve"> established in this judgment; rather the Commission must </w:t>
      </w:r>
      <w:r w:rsidR="005203DB" w:rsidRPr="009D52FD">
        <w:rPr>
          <w:sz w:val="20"/>
          <w:szCs w:val="20"/>
          <w:lang w:val="en-US"/>
        </w:rPr>
        <w:t xml:space="preserve">undertake the corresponding procedure within </w:t>
      </w:r>
      <w:r w:rsidR="00966A04" w:rsidRPr="009D52FD">
        <w:rPr>
          <w:sz w:val="20"/>
          <w:szCs w:val="20"/>
          <w:lang w:val="en-US"/>
        </w:rPr>
        <w:t>in own terms of reference.</w:t>
      </w:r>
    </w:p>
    <w:p w14:paraId="202ECE8F" w14:textId="77777777" w:rsidR="00935F35" w:rsidRPr="009D52FD" w:rsidRDefault="00935F35" w:rsidP="00935F35">
      <w:pPr>
        <w:spacing w:line="240" w:lineRule="auto"/>
        <w:ind w:left="142"/>
        <w:rPr>
          <w:sz w:val="20"/>
          <w:szCs w:val="20"/>
          <w:lang w:val="en-US"/>
        </w:rPr>
      </w:pPr>
    </w:p>
    <w:p w14:paraId="3EB70BE1" w14:textId="477A9F4B" w:rsidR="00935F35" w:rsidRPr="009D52FD" w:rsidRDefault="00DC2372" w:rsidP="00F11556">
      <w:pPr>
        <w:keepNext/>
        <w:keepLines/>
        <w:numPr>
          <w:ilvl w:val="0"/>
          <w:numId w:val="5"/>
        </w:numPr>
        <w:tabs>
          <w:tab w:val="left" w:pos="567"/>
          <w:tab w:val="left" w:pos="1134"/>
        </w:tabs>
        <w:spacing w:line="240" w:lineRule="auto"/>
        <w:ind w:left="567" w:firstLine="0"/>
        <w:textAlignment w:val="auto"/>
        <w:outlineLvl w:val="1"/>
        <w:rPr>
          <w:rFonts w:eastAsia="MS Mincho"/>
          <w:b/>
          <w:bCs/>
          <w:i/>
          <w:sz w:val="20"/>
          <w:szCs w:val="20"/>
          <w:lang w:val="en-US"/>
        </w:rPr>
      </w:pPr>
      <w:bookmarkStart w:id="143" w:name="_Toc51400127"/>
      <w:r w:rsidRPr="009D52FD">
        <w:rPr>
          <w:rFonts w:eastAsia="MS Mincho"/>
          <w:b/>
          <w:bCs/>
          <w:i/>
          <w:sz w:val="20"/>
          <w:szCs w:val="20"/>
          <w:lang w:val="en-US"/>
        </w:rPr>
        <w:t>Method of compliance with the payments ordered</w:t>
      </w:r>
      <w:bookmarkEnd w:id="139"/>
      <w:bookmarkEnd w:id="140"/>
      <w:bookmarkEnd w:id="141"/>
      <w:bookmarkEnd w:id="143"/>
    </w:p>
    <w:p w14:paraId="0F4F9EF8" w14:textId="77777777" w:rsidR="00935F35" w:rsidRPr="009D52FD" w:rsidRDefault="00935F35" w:rsidP="00935F35">
      <w:pPr>
        <w:tabs>
          <w:tab w:val="left" w:pos="720"/>
          <w:tab w:val="left" w:pos="84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240" w:lineRule="auto"/>
        <w:ind w:right="-90"/>
        <w:rPr>
          <w:bCs/>
          <w:sz w:val="20"/>
          <w:szCs w:val="20"/>
          <w:lang w:val="en-US"/>
        </w:rPr>
      </w:pPr>
    </w:p>
    <w:p w14:paraId="7C92369B" w14:textId="60E74592" w:rsidR="00935F35" w:rsidRPr="009D52FD" w:rsidRDefault="00DC2372" w:rsidP="00935F35">
      <w:pPr>
        <w:numPr>
          <w:ilvl w:val="0"/>
          <w:numId w:val="1"/>
        </w:numPr>
        <w:tabs>
          <w:tab w:val="left" w:pos="567"/>
          <w:tab w:val="num" w:pos="5057"/>
        </w:tabs>
        <w:spacing w:line="240" w:lineRule="auto"/>
        <w:ind w:left="0" w:firstLine="0"/>
        <w:rPr>
          <w:rFonts w:eastAsia="MS Mincho"/>
          <w:sz w:val="20"/>
          <w:szCs w:val="20"/>
          <w:lang w:val="en-US" w:bidi="en-US"/>
        </w:rPr>
      </w:pPr>
      <w:r w:rsidRPr="009D52FD">
        <w:rPr>
          <w:rFonts w:eastAsia="MS Mincho"/>
          <w:sz w:val="20"/>
          <w:szCs w:val="20"/>
          <w:lang w:val="en-US" w:bidi="en-US"/>
        </w:rPr>
        <w:t>The State shall</w:t>
      </w:r>
      <w:r w:rsidR="00DB0CD8" w:rsidRPr="009D52FD">
        <w:rPr>
          <w:rFonts w:eastAsia="MS Mincho"/>
          <w:sz w:val="20"/>
          <w:szCs w:val="20"/>
          <w:lang w:val="en-US" w:bidi="en-US"/>
        </w:rPr>
        <w:t xml:space="preserve"> make the payments for compensation of pecuniary and non-pecuniary damage and to reimburse</w:t>
      </w:r>
      <w:r w:rsidR="00935F35" w:rsidRPr="009D52FD">
        <w:rPr>
          <w:rFonts w:eastAsia="MS Mincho"/>
          <w:sz w:val="20"/>
          <w:szCs w:val="20"/>
          <w:lang w:val="en-US" w:bidi="en-US"/>
        </w:rPr>
        <w:t xml:space="preserve"> </w:t>
      </w:r>
      <w:r w:rsidR="00325A95" w:rsidRPr="009D52FD">
        <w:rPr>
          <w:rFonts w:eastAsia="MS Mincho"/>
          <w:sz w:val="20"/>
          <w:szCs w:val="20"/>
          <w:lang w:val="en-US" w:bidi="en-US"/>
        </w:rPr>
        <w:t>costs and expenses</w:t>
      </w:r>
      <w:r w:rsidR="00935F35" w:rsidRPr="009D52FD">
        <w:rPr>
          <w:rFonts w:eastAsia="MS Mincho"/>
          <w:sz w:val="20"/>
          <w:szCs w:val="20"/>
          <w:lang w:val="en-US" w:bidi="en-US"/>
        </w:rPr>
        <w:t xml:space="preserve"> establ</w:t>
      </w:r>
      <w:r w:rsidR="00DB0CD8" w:rsidRPr="009D52FD">
        <w:rPr>
          <w:rFonts w:eastAsia="MS Mincho"/>
          <w:sz w:val="20"/>
          <w:szCs w:val="20"/>
          <w:lang w:val="en-US" w:bidi="en-US"/>
        </w:rPr>
        <w:t xml:space="preserve">ished in this judgment directly to the persons and organizations indicated herein, within one year of notification of the judgment, </w:t>
      </w:r>
      <w:r w:rsidR="00996337" w:rsidRPr="009D52FD">
        <w:rPr>
          <w:rFonts w:eastAsia="MS Mincho"/>
          <w:sz w:val="20"/>
          <w:szCs w:val="20"/>
          <w:lang w:val="en-US" w:bidi="en-US"/>
        </w:rPr>
        <w:t>pursuant to</w:t>
      </w:r>
      <w:r w:rsidR="00935F35" w:rsidRPr="009D52FD">
        <w:rPr>
          <w:rFonts w:eastAsia="MS Mincho"/>
          <w:sz w:val="20"/>
          <w:szCs w:val="20"/>
          <w:lang w:val="en-US" w:bidi="en-US"/>
        </w:rPr>
        <w:t xml:space="preserve"> </w:t>
      </w:r>
      <w:r w:rsidR="00DB0CD8" w:rsidRPr="009D52FD">
        <w:rPr>
          <w:rFonts w:eastAsia="MS Mincho"/>
          <w:sz w:val="20"/>
          <w:szCs w:val="20"/>
          <w:lang w:val="en-US" w:bidi="en-US"/>
        </w:rPr>
        <w:t>the following</w:t>
      </w:r>
      <w:r w:rsidR="00935F35" w:rsidRPr="009D52FD">
        <w:rPr>
          <w:rFonts w:eastAsia="MS Mincho"/>
          <w:sz w:val="20"/>
          <w:szCs w:val="20"/>
          <w:lang w:val="en-US" w:bidi="en-US"/>
        </w:rPr>
        <w:t xml:space="preserve"> </w:t>
      </w:r>
      <w:r w:rsidR="009459E7" w:rsidRPr="009D52FD">
        <w:rPr>
          <w:rFonts w:eastAsia="MS Mincho"/>
          <w:sz w:val="20"/>
          <w:szCs w:val="20"/>
          <w:lang w:val="en-US" w:bidi="en-US"/>
        </w:rPr>
        <w:t>paragraph</w:t>
      </w:r>
      <w:r w:rsidR="00935F35" w:rsidRPr="009D52FD">
        <w:rPr>
          <w:rFonts w:eastAsia="MS Mincho"/>
          <w:sz w:val="20"/>
          <w:szCs w:val="20"/>
          <w:lang w:val="en-US" w:bidi="en-US"/>
        </w:rPr>
        <w:t>s.</w:t>
      </w:r>
    </w:p>
    <w:p w14:paraId="1045C016" w14:textId="77777777" w:rsidR="00935F35" w:rsidRPr="009D52FD" w:rsidRDefault="00935F35" w:rsidP="00935F35">
      <w:pPr>
        <w:tabs>
          <w:tab w:val="left" w:pos="720"/>
        </w:tabs>
        <w:spacing w:line="240" w:lineRule="auto"/>
        <w:ind w:right="-90"/>
        <w:contextualSpacing/>
        <w:rPr>
          <w:rFonts w:eastAsia="MS Mincho"/>
          <w:sz w:val="20"/>
          <w:szCs w:val="20"/>
          <w:lang w:val="en-US"/>
        </w:rPr>
      </w:pPr>
    </w:p>
    <w:p w14:paraId="5EE6D57F" w14:textId="5E740BCF" w:rsidR="00935F35" w:rsidRPr="009D52FD" w:rsidRDefault="00DB0CD8" w:rsidP="00935F35">
      <w:pPr>
        <w:numPr>
          <w:ilvl w:val="0"/>
          <w:numId w:val="1"/>
        </w:numPr>
        <w:tabs>
          <w:tab w:val="left" w:pos="567"/>
          <w:tab w:val="num" w:pos="5057"/>
        </w:tabs>
        <w:spacing w:line="240" w:lineRule="auto"/>
        <w:ind w:left="0" w:firstLine="0"/>
        <w:rPr>
          <w:rFonts w:eastAsia="MS Mincho"/>
          <w:sz w:val="20"/>
          <w:szCs w:val="20"/>
          <w:lang w:val="en-US" w:bidi="en-US"/>
        </w:rPr>
      </w:pPr>
      <w:r w:rsidRPr="009D52FD">
        <w:rPr>
          <w:rFonts w:eastAsia="MS Mincho"/>
          <w:sz w:val="20"/>
          <w:szCs w:val="20"/>
          <w:lang w:val="en-US" w:bidi="en-US"/>
        </w:rPr>
        <w:t xml:space="preserve">If any of the beneficiaries are deceased or die before the respective compensation is delivered to them, this shall be delivered directly to their heirs, in accordance with the applicable domestic law. </w:t>
      </w:r>
    </w:p>
    <w:p w14:paraId="58994A3E" w14:textId="77777777" w:rsidR="00935F35" w:rsidRPr="009D52FD" w:rsidRDefault="00935F35" w:rsidP="00935F35">
      <w:pPr>
        <w:tabs>
          <w:tab w:val="left" w:pos="0"/>
          <w:tab w:val="num" w:pos="11028"/>
        </w:tabs>
        <w:spacing w:line="240" w:lineRule="auto"/>
        <w:ind w:right="-90"/>
        <w:rPr>
          <w:rFonts w:eastAsia="MS Mincho"/>
          <w:sz w:val="20"/>
          <w:szCs w:val="20"/>
          <w:lang w:val="en-US" w:bidi="en-US"/>
        </w:rPr>
      </w:pPr>
    </w:p>
    <w:p w14:paraId="53E06BFB" w14:textId="5279AB95" w:rsidR="00DB0CD8" w:rsidRPr="009D52FD" w:rsidRDefault="00DB0CD8" w:rsidP="00935F35">
      <w:pPr>
        <w:numPr>
          <w:ilvl w:val="0"/>
          <w:numId w:val="1"/>
        </w:numPr>
        <w:tabs>
          <w:tab w:val="left" w:pos="567"/>
          <w:tab w:val="num" w:pos="5057"/>
        </w:tabs>
        <w:spacing w:line="240" w:lineRule="auto"/>
        <w:ind w:left="0" w:firstLine="0"/>
        <w:rPr>
          <w:rFonts w:eastAsia="MS Mincho"/>
          <w:sz w:val="20"/>
          <w:szCs w:val="20"/>
          <w:lang w:val="en-US" w:bidi="en-US"/>
        </w:rPr>
      </w:pPr>
      <w:r w:rsidRPr="009D52FD">
        <w:rPr>
          <w:rFonts w:eastAsia="MS Mincho"/>
          <w:sz w:val="20"/>
          <w:szCs w:val="20"/>
          <w:lang w:val="en-US" w:bidi="en-US"/>
        </w:rPr>
        <w:t>With regard to the currency for the payment of compensation and the reimbursement of costs and expenses, the State shall comply with its monetary obligations by the payment in United States dollars or, if this is not possible, the equivalent in Venezuelan currency, using the rate that is highest and most beneficial to the victims permitted by domestic law at the time of the payment. During the stage of monitoring compliance with judgment, the Court may readjust, prudently, the equivalent of these figures in Venezuelan currency to avoid exchange variations substantially affecting the purchasing power of the respective amounts.</w:t>
      </w:r>
    </w:p>
    <w:p w14:paraId="2FD0D48F" w14:textId="77777777" w:rsidR="00935F35" w:rsidRPr="009D52FD" w:rsidRDefault="00935F35" w:rsidP="00935F35">
      <w:pPr>
        <w:tabs>
          <w:tab w:val="left" w:pos="567"/>
        </w:tabs>
        <w:spacing w:line="240" w:lineRule="auto"/>
        <w:rPr>
          <w:rFonts w:eastAsia="MS Mincho"/>
          <w:sz w:val="20"/>
          <w:szCs w:val="20"/>
          <w:lang w:val="en-US" w:bidi="en-US"/>
        </w:rPr>
      </w:pPr>
    </w:p>
    <w:p w14:paraId="359B1B52" w14:textId="5E578761" w:rsidR="00DB0CD8" w:rsidRPr="009D52FD" w:rsidRDefault="00DB0CD8" w:rsidP="00935F35">
      <w:pPr>
        <w:numPr>
          <w:ilvl w:val="0"/>
          <w:numId w:val="1"/>
        </w:numPr>
        <w:tabs>
          <w:tab w:val="left" w:pos="567"/>
          <w:tab w:val="num" w:pos="5057"/>
        </w:tabs>
        <w:spacing w:line="240" w:lineRule="auto"/>
        <w:ind w:left="0" w:firstLine="0"/>
        <w:rPr>
          <w:rFonts w:eastAsia="MS Mincho"/>
          <w:sz w:val="20"/>
          <w:szCs w:val="20"/>
          <w:lang w:val="en-US" w:bidi="en-US"/>
        </w:rPr>
      </w:pPr>
      <w:r w:rsidRPr="009D52FD">
        <w:rPr>
          <w:rFonts w:eastAsia="MS Mincho"/>
          <w:sz w:val="20"/>
          <w:szCs w:val="20"/>
          <w:lang w:val="en-US" w:bidi="en-US"/>
        </w:rPr>
        <w:t xml:space="preserve">If, for reasons that can be attributed to the beneficiaries of the compensation or their heirs, it is not possible to pay the amounts established within the indicated time frame, the State shall deposit the amounts in their favor in a deposit account or certificate in a solvent Venezuelan financial institution, in United States dollars, and in the most favorable financial conditions permitted by banking law and practice. If the corresponding compensation is not claimed </w:t>
      </w:r>
      <w:r w:rsidR="00974CE8" w:rsidRPr="009D52FD">
        <w:rPr>
          <w:rFonts w:eastAsia="MS Mincho"/>
          <w:sz w:val="20"/>
          <w:szCs w:val="20"/>
          <w:lang w:val="en-US" w:bidi="en-US"/>
        </w:rPr>
        <w:t>within ten years, the amounts shall be returned to the State with the interest accrued.</w:t>
      </w:r>
    </w:p>
    <w:p w14:paraId="6E982D97" w14:textId="77777777" w:rsidR="00935F35" w:rsidRPr="009D52FD" w:rsidRDefault="00935F35" w:rsidP="00935F35">
      <w:pPr>
        <w:spacing w:line="240" w:lineRule="auto"/>
        <w:ind w:left="720"/>
        <w:rPr>
          <w:sz w:val="20"/>
          <w:szCs w:val="20"/>
          <w:lang w:val="en-US" w:eastAsia="x-none"/>
        </w:rPr>
      </w:pPr>
    </w:p>
    <w:p w14:paraId="5F19E860" w14:textId="58E7E52E" w:rsidR="00935F35" w:rsidRPr="009D52FD" w:rsidRDefault="00974CE8" w:rsidP="00935F35">
      <w:pPr>
        <w:numPr>
          <w:ilvl w:val="0"/>
          <w:numId w:val="1"/>
        </w:numPr>
        <w:tabs>
          <w:tab w:val="left" w:pos="567"/>
          <w:tab w:val="num" w:pos="5057"/>
        </w:tabs>
        <w:spacing w:line="240" w:lineRule="auto"/>
        <w:ind w:left="0" w:firstLine="0"/>
        <w:rPr>
          <w:rFonts w:eastAsia="MS Mincho"/>
          <w:sz w:val="20"/>
          <w:szCs w:val="20"/>
          <w:lang w:val="en-US" w:bidi="en-US"/>
        </w:rPr>
      </w:pPr>
      <w:r w:rsidRPr="009D52FD">
        <w:rPr>
          <w:rFonts w:eastAsia="MS Mincho"/>
          <w:sz w:val="20"/>
          <w:szCs w:val="20"/>
          <w:lang w:val="en-US" w:bidi="en-US"/>
        </w:rPr>
        <w:t>The amounts allocated in this judgment as compensation and to reimburse</w:t>
      </w:r>
      <w:r w:rsidR="00935F35" w:rsidRPr="009D52FD">
        <w:rPr>
          <w:rFonts w:eastAsia="MS Mincho"/>
          <w:sz w:val="20"/>
          <w:szCs w:val="20"/>
          <w:lang w:val="en-US" w:bidi="en-US"/>
        </w:rPr>
        <w:t xml:space="preserve"> </w:t>
      </w:r>
      <w:r w:rsidR="00325A95" w:rsidRPr="009D52FD">
        <w:rPr>
          <w:rFonts w:eastAsia="MS Mincho"/>
          <w:sz w:val="20"/>
          <w:szCs w:val="20"/>
          <w:lang w:val="en-US" w:bidi="en-US"/>
        </w:rPr>
        <w:t xml:space="preserve">costs and </w:t>
      </w:r>
      <w:r w:rsidR="00325A95" w:rsidRPr="009D52FD">
        <w:rPr>
          <w:rFonts w:eastAsia="MS Mincho"/>
          <w:sz w:val="20"/>
          <w:szCs w:val="20"/>
          <w:lang w:val="en-US" w:bidi="en-US"/>
        </w:rPr>
        <w:lastRenderedPageBreak/>
        <w:t>expenses</w:t>
      </w:r>
      <w:r w:rsidR="00935F35" w:rsidRPr="009D52FD">
        <w:rPr>
          <w:rFonts w:eastAsia="MS Mincho"/>
          <w:sz w:val="20"/>
          <w:szCs w:val="20"/>
          <w:lang w:val="en-US" w:bidi="en-US"/>
        </w:rPr>
        <w:t xml:space="preserve"> </w:t>
      </w:r>
      <w:r w:rsidRPr="009D52FD">
        <w:rPr>
          <w:rFonts w:eastAsia="MS Mincho"/>
          <w:sz w:val="20"/>
          <w:szCs w:val="20"/>
          <w:lang w:val="en-US" w:bidi="en-US"/>
        </w:rPr>
        <w:t>shall be delivered to the persons and organisations indicated integrally, as established in this judgment, without any deductions derived from possible taxes or charges.</w:t>
      </w:r>
    </w:p>
    <w:p w14:paraId="7FF481B7" w14:textId="77777777" w:rsidR="00935F35" w:rsidRPr="009D52FD" w:rsidRDefault="00935F35" w:rsidP="00935F35">
      <w:pPr>
        <w:spacing w:line="240" w:lineRule="auto"/>
        <w:ind w:left="720"/>
        <w:rPr>
          <w:sz w:val="20"/>
          <w:szCs w:val="20"/>
          <w:lang w:val="en-US" w:eastAsia="x-none"/>
        </w:rPr>
      </w:pPr>
    </w:p>
    <w:p w14:paraId="62213753" w14:textId="27AE120A" w:rsidR="00935F35" w:rsidRPr="009D52FD" w:rsidRDefault="00974CE8" w:rsidP="00935F35">
      <w:pPr>
        <w:numPr>
          <w:ilvl w:val="0"/>
          <w:numId w:val="1"/>
        </w:numPr>
        <w:tabs>
          <w:tab w:val="left" w:pos="567"/>
          <w:tab w:val="num" w:pos="5057"/>
        </w:tabs>
        <w:spacing w:line="240" w:lineRule="auto"/>
        <w:ind w:left="0" w:firstLine="0"/>
        <w:rPr>
          <w:rFonts w:eastAsia="MS Mincho"/>
          <w:sz w:val="20"/>
          <w:szCs w:val="20"/>
          <w:lang w:val="en-US" w:bidi="en-US"/>
        </w:rPr>
      </w:pPr>
      <w:r w:rsidRPr="009D52FD">
        <w:rPr>
          <w:rFonts w:eastAsia="MS Mincho"/>
          <w:spacing w:val="-2"/>
          <w:sz w:val="20"/>
          <w:szCs w:val="20"/>
          <w:lang w:val="en-US" w:bidi="en-US"/>
        </w:rPr>
        <w:t xml:space="preserve">If the State should fall into arrears, including in the </w:t>
      </w:r>
      <w:r w:rsidRPr="009D52FD">
        <w:rPr>
          <w:rFonts w:eastAsia="MS Mincho" w:cs="Verdana"/>
          <w:spacing w:val="-2"/>
          <w:sz w:val="20"/>
          <w:szCs w:val="20"/>
          <w:lang w:val="en-US" w:bidi="en-US"/>
        </w:rPr>
        <w:t>r</w:t>
      </w:r>
      <w:r w:rsidR="00864649" w:rsidRPr="009D52FD">
        <w:rPr>
          <w:rFonts w:eastAsia="MS Mincho" w:cs="Verdana"/>
          <w:spacing w:val="-2"/>
          <w:sz w:val="20"/>
          <w:szCs w:val="20"/>
          <w:lang w:val="en-US" w:bidi="en-US"/>
        </w:rPr>
        <w:t>eimbursement of expenses to the</w:t>
      </w:r>
      <w:r w:rsidR="00935F35" w:rsidRPr="009D52FD">
        <w:rPr>
          <w:rFonts w:eastAsia="MS Mincho" w:cs="Verdana"/>
          <w:spacing w:val="-2"/>
          <w:sz w:val="20"/>
          <w:szCs w:val="20"/>
          <w:lang w:val="en-US" w:bidi="en-US"/>
        </w:rPr>
        <w:t xml:space="preserve"> </w:t>
      </w:r>
      <w:r w:rsidR="00325A95" w:rsidRPr="009D52FD">
        <w:rPr>
          <w:rFonts w:eastAsia="MS Mincho" w:cs="Verdana"/>
          <w:spacing w:val="-2"/>
          <w:sz w:val="20"/>
          <w:szCs w:val="20"/>
          <w:lang w:val="en-US" w:bidi="en-US"/>
        </w:rPr>
        <w:t>Victims’ Legal Assistance Fund</w:t>
      </w:r>
      <w:r w:rsidR="003630BB" w:rsidRPr="009D52FD">
        <w:rPr>
          <w:rFonts w:eastAsia="MS Mincho" w:cs="Verdana"/>
          <w:spacing w:val="-2"/>
          <w:sz w:val="20"/>
          <w:szCs w:val="20"/>
          <w:lang w:val="en-US" w:bidi="en-US"/>
        </w:rPr>
        <w:t xml:space="preserve"> of the Court</w:t>
      </w:r>
      <w:r w:rsidR="00935F35" w:rsidRPr="009D52FD">
        <w:rPr>
          <w:rFonts w:eastAsia="MS Mincho"/>
          <w:spacing w:val="-2"/>
          <w:sz w:val="20"/>
          <w:szCs w:val="20"/>
          <w:lang w:val="en-US" w:bidi="en-US"/>
        </w:rPr>
        <w:t xml:space="preserve">, </w:t>
      </w:r>
      <w:r w:rsidRPr="009D52FD">
        <w:rPr>
          <w:rFonts w:eastAsia="MS Mincho"/>
          <w:spacing w:val="-2"/>
          <w:sz w:val="20"/>
          <w:szCs w:val="20"/>
          <w:lang w:val="en-US" w:bidi="en-US"/>
        </w:rPr>
        <w:t xml:space="preserve">it shall pay interest on the amount owed corresponding to banking interest on arrears in </w:t>
      </w:r>
      <w:r w:rsidR="0050774C" w:rsidRPr="009D52FD">
        <w:rPr>
          <w:rFonts w:eastAsia="MS Mincho"/>
          <w:spacing w:val="-2"/>
          <w:sz w:val="20"/>
          <w:szCs w:val="20"/>
          <w:lang w:val="en-US" w:bidi="en-US"/>
        </w:rPr>
        <w:t>the Bolivarian Republic of</w:t>
      </w:r>
      <w:r w:rsidR="00935F35" w:rsidRPr="009D52FD">
        <w:rPr>
          <w:rFonts w:eastAsia="MS Mincho"/>
          <w:spacing w:val="-2"/>
          <w:sz w:val="20"/>
          <w:szCs w:val="20"/>
          <w:lang w:val="en-US" w:bidi="en-US"/>
        </w:rPr>
        <w:t xml:space="preserve"> Venezuela.</w:t>
      </w:r>
    </w:p>
    <w:p w14:paraId="2F545015" w14:textId="77777777" w:rsidR="00935F35" w:rsidRPr="009D52FD" w:rsidRDefault="00935F35" w:rsidP="00935F35">
      <w:pPr>
        <w:tabs>
          <w:tab w:val="left" w:pos="567"/>
        </w:tabs>
        <w:spacing w:line="240" w:lineRule="auto"/>
        <w:rPr>
          <w:rFonts w:eastAsia="MS Mincho"/>
          <w:spacing w:val="-2"/>
          <w:sz w:val="20"/>
          <w:szCs w:val="20"/>
          <w:lang w:val="en-US" w:bidi="en-US"/>
        </w:rPr>
      </w:pPr>
    </w:p>
    <w:p w14:paraId="509102CE" w14:textId="32810F2E" w:rsidR="00577A4F" w:rsidRPr="009D52FD" w:rsidRDefault="00577A4F" w:rsidP="00577A4F">
      <w:pPr>
        <w:keepNext/>
        <w:keepLines/>
        <w:tabs>
          <w:tab w:val="left" w:pos="851"/>
        </w:tabs>
        <w:spacing w:line="240" w:lineRule="auto"/>
        <w:jc w:val="center"/>
        <w:outlineLvl w:val="0"/>
        <w:rPr>
          <w:rFonts w:cs="Verdana"/>
          <w:b/>
          <w:bCs/>
          <w:caps/>
          <w:snapToGrid w:val="0"/>
          <w:sz w:val="20"/>
          <w:szCs w:val="20"/>
          <w:lang w:val="en-US"/>
        </w:rPr>
      </w:pPr>
      <w:bookmarkStart w:id="144" w:name="_Toc495658707"/>
      <w:bookmarkStart w:id="145" w:name="_Toc470180115"/>
      <w:bookmarkStart w:id="146" w:name="_Toc459158160"/>
      <w:bookmarkStart w:id="147" w:name="_Toc375517156"/>
      <w:bookmarkStart w:id="148" w:name="_Toc514172675"/>
      <w:bookmarkStart w:id="149" w:name="_Toc51400128"/>
      <w:r w:rsidRPr="009D52FD">
        <w:rPr>
          <w:rFonts w:cs="Verdana"/>
          <w:b/>
          <w:bCs/>
          <w:caps/>
          <w:snapToGrid w:val="0"/>
          <w:sz w:val="20"/>
          <w:szCs w:val="20"/>
          <w:lang w:val="en-US"/>
        </w:rPr>
        <w:t>X</w:t>
      </w:r>
      <w:r w:rsidRPr="009D52FD">
        <w:rPr>
          <w:rFonts w:cs="Verdana"/>
          <w:b/>
          <w:bCs/>
          <w:caps/>
          <w:snapToGrid w:val="0"/>
          <w:sz w:val="20"/>
          <w:szCs w:val="20"/>
          <w:lang w:val="en-US"/>
        </w:rPr>
        <w:br/>
      </w:r>
      <w:r w:rsidR="00996337" w:rsidRPr="009D52FD">
        <w:rPr>
          <w:rFonts w:cs="Verdana"/>
          <w:b/>
          <w:bCs/>
          <w:caps/>
          <w:snapToGrid w:val="0"/>
          <w:sz w:val="20"/>
          <w:szCs w:val="20"/>
          <w:lang w:val="en-US"/>
        </w:rPr>
        <w:t>OPERATIVE PARAGRAPHS</w:t>
      </w:r>
      <w:bookmarkEnd w:id="144"/>
      <w:bookmarkEnd w:id="145"/>
      <w:bookmarkEnd w:id="146"/>
      <w:bookmarkEnd w:id="147"/>
      <w:bookmarkEnd w:id="148"/>
      <w:bookmarkEnd w:id="149"/>
    </w:p>
    <w:p w14:paraId="6625761F" w14:textId="77777777" w:rsidR="00577A4F" w:rsidRPr="009D52FD" w:rsidRDefault="00577A4F" w:rsidP="00577A4F">
      <w:pPr>
        <w:spacing w:line="240" w:lineRule="auto"/>
        <w:rPr>
          <w:sz w:val="20"/>
          <w:szCs w:val="20"/>
          <w:lang w:val="en-US"/>
        </w:rPr>
      </w:pPr>
    </w:p>
    <w:p w14:paraId="46316292" w14:textId="1C8C30E7" w:rsidR="00577A4F" w:rsidRPr="009D52FD" w:rsidRDefault="00996337" w:rsidP="00577A4F">
      <w:pPr>
        <w:numPr>
          <w:ilvl w:val="0"/>
          <w:numId w:val="1"/>
        </w:numPr>
        <w:tabs>
          <w:tab w:val="left" w:pos="567"/>
          <w:tab w:val="num" w:pos="5057"/>
        </w:tabs>
        <w:spacing w:line="240" w:lineRule="auto"/>
        <w:ind w:left="0" w:firstLine="0"/>
        <w:rPr>
          <w:sz w:val="20"/>
          <w:szCs w:val="20"/>
          <w:lang w:val="en-US"/>
        </w:rPr>
      </w:pPr>
      <w:r w:rsidRPr="009D52FD">
        <w:rPr>
          <w:sz w:val="20"/>
          <w:szCs w:val="20"/>
          <w:lang w:val="en-US"/>
        </w:rPr>
        <w:t>Therefore</w:t>
      </w:r>
      <w:r w:rsidR="00577A4F" w:rsidRPr="009D52FD">
        <w:rPr>
          <w:sz w:val="20"/>
          <w:szCs w:val="20"/>
          <w:lang w:val="en-US"/>
        </w:rPr>
        <w:t>,</w:t>
      </w:r>
    </w:p>
    <w:p w14:paraId="6F9F56AC" w14:textId="77777777" w:rsidR="00577A4F" w:rsidRPr="009D52FD" w:rsidRDefault="00577A4F" w:rsidP="00577A4F">
      <w:pPr>
        <w:tabs>
          <w:tab w:val="left" w:pos="720"/>
        </w:tabs>
        <w:spacing w:line="240" w:lineRule="auto"/>
        <w:ind w:left="720" w:right="-90"/>
        <w:contextualSpacing/>
        <w:rPr>
          <w:rFonts w:eastAsia="MS Mincho"/>
          <w:sz w:val="20"/>
          <w:szCs w:val="20"/>
          <w:lang w:val="en-US" w:bidi="en-US"/>
        </w:rPr>
      </w:pPr>
    </w:p>
    <w:p w14:paraId="4ECD0A4E" w14:textId="030D159C" w:rsidR="00577A4F" w:rsidRPr="009D52FD" w:rsidRDefault="003630BB" w:rsidP="00577A4F">
      <w:pPr>
        <w:tabs>
          <w:tab w:val="left" w:pos="720"/>
        </w:tabs>
        <w:spacing w:line="240" w:lineRule="auto"/>
        <w:ind w:right="-90"/>
        <w:contextualSpacing/>
        <w:rPr>
          <w:rFonts w:eastAsia="MS Mincho"/>
          <w:sz w:val="20"/>
          <w:szCs w:val="20"/>
          <w:lang w:val="en-US" w:bidi="en-US"/>
        </w:rPr>
      </w:pPr>
      <w:r w:rsidRPr="009D52FD">
        <w:rPr>
          <w:rFonts w:eastAsia="MS Mincho"/>
          <w:b/>
          <w:bCs/>
          <w:sz w:val="20"/>
          <w:szCs w:val="20"/>
          <w:lang w:val="en-US" w:bidi="en-US"/>
        </w:rPr>
        <w:t>THE COURT</w:t>
      </w:r>
    </w:p>
    <w:p w14:paraId="2B113C10" w14:textId="77777777" w:rsidR="00577A4F" w:rsidRPr="009D52FD" w:rsidRDefault="00577A4F" w:rsidP="00577A4F">
      <w:pPr>
        <w:tabs>
          <w:tab w:val="left" w:pos="720"/>
        </w:tabs>
        <w:spacing w:line="240" w:lineRule="auto"/>
        <w:ind w:right="-90"/>
        <w:contextualSpacing/>
        <w:rPr>
          <w:rFonts w:eastAsia="MS Mincho"/>
          <w:sz w:val="20"/>
          <w:szCs w:val="20"/>
          <w:lang w:val="en-US" w:bidi="en-US"/>
        </w:rPr>
      </w:pPr>
    </w:p>
    <w:p w14:paraId="4F39F09A" w14:textId="1B51816F" w:rsidR="00577A4F" w:rsidRPr="009D52FD" w:rsidRDefault="00577A4F" w:rsidP="00577A4F">
      <w:pPr>
        <w:tabs>
          <w:tab w:val="left" w:pos="720"/>
        </w:tabs>
        <w:spacing w:line="240" w:lineRule="auto"/>
        <w:ind w:right="-90"/>
        <w:contextualSpacing/>
        <w:rPr>
          <w:rFonts w:eastAsia="MS Mincho"/>
          <w:b/>
          <w:sz w:val="20"/>
          <w:szCs w:val="20"/>
          <w:lang w:val="en-US" w:bidi="en-US"/>
        </w:rPr>
      </w:pPr>
      <w:r w:rsidRPr="009D52FD">
        <w:rPr>
          <w:rFonts w:eastAsia="MS Mincho"/>
          <w:b/>
          <w:sz w:val="20"/>
          <w:szCs w:val="20"/>
          <w:lang w:val="en-US" w:bidi="en-US"/>
        </w:rPr>
        <w:t>DECIDE</w:t>
      </w:r>
      <w:r w:rsidR="00996337" w:rsidRPr="009D52FD">
        <w:rPr>
          <w:rFonts w:eastAsia="MS Mincho"/>
          <w:b/>
          <w:sz w:val="20"/>
          <w:szCs w:val="20"/>
          <w:lang w:val="en-US" w:bidi="en-US"/>
        </w:rPr>
        <w:t>S</w:t>
      </w:r>
      <w:r w:rsidRPr="009D52FD">
        <w:rPr>
          <w:rFonts w:eastAsia="MS Mincho"/>
          <w:b/>
          <w:sz w:val="20"/>
          <w:szCs w:val="20"/>
          <w:lang w:val="en-US" w:bidi="en-US"/>
        </w:rPr>
        <w:t>,</w:t>
      </w:r>
    </w:p>
    <w:p w14:paraId="7CD02606" w14:textId="77777777" w:rsidR="00577A4F" w:rsidRPr="009D52FD" w:rsidRDefault="00577A4F" w:rsidP="00577A4F">
      <w:pPr>
        <w:tabs>
          <w:tab w:val="left" w:pos="720"/>
        </w:tabs>
        <w:spacing w:line="240" w:lineRule="auto"/>
        <w:ind w:right="-90"/>
        <w:contextualSpacing/>
        <w:rPr>
          <w:rFonts w:eastAsia="MS Mincho"/>
          <w:sz w:val="20"/>
          <w:szCs w:val="20"/>
          <w:lang w:val="en-US" w:bidi="en-US"/>
        </w:rPr>
      </w:pPr>
    </w:p>
    <w:p w14:paraId="584FAB77" w14:textId="164B0DA2" w:rsidR="00577A4F" w:rsidRPr="009D52FD" w:rsidRDefault="00996337" w:rsidP="00577A4F">
      <w:pPr>
        <w:tabs>
          <w:tab w:val="left" w:pos="720"/>
        </w:tabs>
        <w:spacing w:line="240" w:lineRule="auto"/>
        <w:ind w:right="-90"/>
        <w:contextualSpacing/>
        <w:rPr>
          <w:rFonts w:eastAsia="MS Mincho"/>
          <w:sz w:val="20"/>
          <w:szCs w:val="20"/>
          <w:lang w:val="en-US" w:bidi="en-US"/>
        </w:rPr>
      </w:pPr>
      <w:r w:rsidRPr="009D52FD">
        <w:rPr>
          <w:rFonts w:eastAsia="MS Mincho"/>
          <w:sz w:val="20"/>
          <w:szCs w:val="20"/>
          <w:lang w:val="en-US" w:bidi="en-US"/>
        </w:rPr>
        <w:t>Unanimously,</w:t>
      </w:r>
    </w:p>
    <w:p w14:paraId="0371D4AB" w14:textId="77777777" w:rsidR="00577A4F" w:rsidRPr="009D52FD" w:rsidRDefault="00577A4F" w:rsidP="00577A4F">
      <w:pPr>
        <w:tabs>
          <w:tab w:val="left" w:pos="720"/>
        </w:tabs>
        <w:spacing w:line="240" w:lineRule="auto"/>
        <w:ind w:right="-90"/>
        <w:contextualSpacing/>
        <w:rPr>
          <w:rFonts w:eastAsia="MS Mincho"/>
          <w:sz w:val="20"/>
          <w:szCs w:val="20"/>
          <w:lang w:val="en-US" w:bidi="en-US"/>
        </w:rPr>
      </w:pPr>
    </w:p>
    <w:p w14:paraId="40F84ED5" w14:textId="4CF524E1" w:rsidR="00577A4F" w:rsidRPr="009D52FD" w:rsidRDefault="00996337" w:rsidP="00577A4F">
      <w:pPr>
        <w:numPr>
          <w:ilvl w:val="0"/>
          <w:numId w:val="7"/>
        </w:numPr>
        <w:tabs>
          <w:tab w:val="left" w:pos="720"/>
        </w:tabs>
        <w:spacing w:line="240" w:lineRule="auto"/>
        <w:ind w:right="-90"/>
        <w:contextualSpacing/>
        <w:rPr>
          <w:sz w:val="20"/>
          <w:szCs w:val="20"/>
          <w:lang w:val="en-US"/>
        </w:rPr>
      </w:pPr>
      <w:r w:rsidRPr="009D52FD">
        <w:rPr>
          <w:sz w:val="20"/>
          <w:szCs w:val="20"/>
          <w:lang w:val="en-US"/>
        </w:rPr>
        <w:t xml:space="preserve">To accept the partial acknowledgement of responsibility made by </w:t>
      </w:r>
      <w:r w:rsidR="003630BB" w:rsidRPr="009D52FD">
        <w:rPr>
          <w:sz w:val="20"/>
          <w:szCs w:val="20"/>
          <w:lang w:val="en-US"/>
        </w:rPr>
        <w:t>the State</w:t>
      </w:r>
      <w:r w:rsidR="00577A4F" w:rsidRPr="009D52FD">
        <w:rPr>
          <w:sz w:val="20"/>
          <w:szCs w:val="20"/>
          <w:lang w:val="en-US"/>
        </w:rPr>
        <w:t xml:space="preserve">, </w:t>
      </w:r>
      <w:r w:rsidRPr="009D52FD">
        <w:rPr>
          <w:sz w:val="20"/>
          <w:szCs w:val="20"/>
          <w:lang w:val="en-US"/>
        </w:rPr>
        <w:t>pursuant to</w:t>
      </w:r>
      <w:r w:rsidR="009074F5" w:rsidRPr="009D52FD">
        <w:rPr>
          <w:sz w:val="20"/>
          <w:szCs w:val="20"/>
          <w:lang w:val="en-US"/>
        </w:rPr>
        <w:t xml:space="preserve"> </w:t>
      </w:r>
      <w:r w:rsidR="009459E7" w:rsidRPr="009D52FD">
        <w:rPr>
          <w:sz w:val="20"/>
          <w:szCs w:val="20"/>
          <w:lang w:val="en-US"/>
        </w:rPr>
        <w:t>paragraph</w:t>
      </w:r>
      <w:r w:rsidR="009074F5" w:rsidRPr="009D52FD">
        <w:rPr>
          <w:sz w:val="20"/>
          <w:szCs w:val="20"/>
          <w:lang w:val="en-US"/>
        </w:rPr>
        <w:t xml:space="preserve">s 27 </w:t>
      </w:r>
      <w:r w:rsidRPr="009D52FD">
        <w:rPr>
          <w:sz w:val="20"/>
          <w:szCs w:val="20"/>
          <w:lang w:val="en-US"/>
        </w:rPr>
        <w:t>to</w:t>
      </w:r>
      <w:r w:rsidR="009074F5" w:rsidRPr="009D52FD">
        <w:rPr>
          <w:sz w:val="20"/>
          <w:szCs w:val="20"/>
          <w:lang w:val="en-US"/>
        </w:rPr>
        <w:t xml:space="preserve"> 36</w:t>
      </w:r>
      <w:r w:rsidR="00577A4F" w:rsidRPr="009D52FD">
        <w:rPr>
          <w:sz w:val="20"/>
          <w:szCs w:val="20"/>
          <w:lang w:val="en-US"/>
        </w:rPr>
        <w:t xml:space="preserve"> </w:t>
      </w:r>
      <w:r w:rsidR="00EB0EB6" w:rsidRPr="009D52FD">
        <w:rPr>
          <w:sz w:val="20"/>
          <w:szCs w:val="20"/>
          <w:lang w:val="en-US"/>
        </w:rPr>
        <w:t>of this judgment</w:t>
      </w:r>
      <w:r w:rsidR="00577A4F" w:rsidRPr="009D52FD">
        <w:rPr>
          <w:sz w:val="20"/>
          <w:szCs w:val="20"/>
          <w:lang w:val="en-US"/>
        </w:rPr>
        <w:t>.</w:t>
      </w:r>
    </w:p>
    <w:p w14:paraId="10F50963" w14:textId="77777777" w:rsidR="00577A4F" w:rsidRPr="009D52FD" w:rsidRDefault="00577A4F" w:rsidP="00577A4F">
      <w:pPr>
        <w:tabs>
          <w:tab w:val="left" w:pos="720"/>
        </w:tabs>
        <w:spacing w:line="240" w:lineRule="auto"/>
        <w:ind w:right="-90"/>
        <w:contextualSpacing/>
        <w:rPr>
          <w:sz w:val="20"/>
          <w:szCs w:val="20"/>
          <w:lang w:val="en-US"/>
        </w:rPr>
      </w:pPr>
    </w:p>
    <w:p w14:paraId="2375E3CC" w14:textId="068A272D" w:rsidR="00577A4F" w:rsidRPr="009D52FD" w:rsidRDefault="00577A4F" w:rsidP="00577A4F">
      <w:pPr>
        <w:tabs>
          <w:tab w:val="left" w:pos="720"/>
        </w:tabs>
        <w:spacing w:line="240" w:lineRule="auto"/>
        <w:ind w:right="-90"/>
        <w:contextualSpacing/>
        <w:rPr>
          <w:rFonts w:eastAsia="MS Mincho"/>
          <w:sz w:val="20"/>
          <w:szCs w:val="20"/>
          <w:lang w:val="en-US" w:bidi="en-US"/>
        </w:rPr>
      </w:pPr>
      <w:r w:rsidRPr="009D52FD">
        <w:rPr>
          <w:rFonts w:eastAsia="MS Mincho"/>
          <w:b/>
          <w:bCs/>
          <w:sz w:val="20"/>
          <w:szCs w:val="20"/>
          <w:lang w:val="en-US" w:bidi="en-US"/>
        </w:rPr>
        <w:t>DECLAR</w:t>
      </w:r>
      <w:r w:rsidR="00996337" w:rsidRPr="009D52FD">
        <w:rPr>
          <w:rFonts w:eastAsia="MS Mincho"/>
          <w:b/>
          <w:bCs/>
          <w:sz w:val="20"/>
          <w:szCs w:val="20"/>
          <w:lang w:val="en-US" w:bidi="en-US"/>
        </w:rPr>
        <w:t>ES</w:t>
      </w:r>
      <w:r w:rsidRPr="009D52FD">
        <w:rPr>
          <w:rFonts w:eastAsia="MS Mincho"/>
          <w:b/>
          <w:bCs/>
          <w:sz w:val="20"/>
          <w:szCs w:val="20"/>
          <w:lang w:val="en-US" w:bidi="en-US"/>
        </w:rPr>
        <w:t>:</w:t>
      </w:r>
    </w:p>
    <w:p w14:paraId="7CB0D1DD" w14:textId="77777777" w:rsidR="00577A4F" w:rsidRPr="009D52FD" w:rsidRDefault="00577A4F" w:rsidP="00577A4F">
      <w:pPr>
        <w:tabs>
          <w:tab w:val="left" w:pos="720"/>
        </w:tabs>
        <w:spacing w:line="240" w:lineRule="auto"/>
        <w:ind w:right="-90"/>
        <w:contextualSpacing/>
        <w:rPr>
          <w:rFonts w:eastAsia="MS Mincho"/>
          <w:sz w:val="20"/>
          <w:szCs w:val="20"/>
          <w:lang w:val="en-US" w:bidi="en-US"/>
        </w:rPr>
      </w:pPr>
    </w:p>
    <w:p w14:paraId="25DF41E5" w14:textId="2D79BA89" w:rsidR="00996337" w:rsidRPr="009D52FD" w:rsidRDefault="00996337" w:rsidP="00996337">
      <w:pPr>
        <w:tabs>
          <w:tab w:val="left" w:pos="720"/>
        </w:tabs>
        <w:spacing w:line="240" w:lineRule="auto"/>
        <w:ind w:right="-90"/>
        <w:contextualSpacing/>
        <w:rPr>
          <w:rFonts w:eastAsia="MS Mincho"/>
          <w:sz w:val="20"/>
          <w:szCs w:val="20"/>
          <w:lang w:val="en-US" w:bidi="en-US"/>
        </w:rPr>
      </w:pPr>
      <w:r w:rsidRPr="009D52FD">
        <w:rPr>
          <w:rFonts w:eastAsia="MS Mincho"/>
          <w:sz w:val="20"/>
          <w:szCs w:val="20"/>
          <w:lang w:val="en-US" w:bidi="en-US"/>
        </w:rPr>
        <w:t>Unanimously, that:</w:t>
      </w:r>
    </w:p>
    <w:p w14:paraId="2FDAD5BF" w14:textId="77777777" w:rsidR="00577A4F" w:rsidRPr="009D52FD" w:rsidRDefault="00577A4F" w:rsidP="00577A4F">
      <w:pPr>
        <w:spacing w:line="240" w:lineRule="auto"/>
        <w:ind w:right="-90"/>
        <w:contextualSpacing/>
        <w:rPr>
          <w:rFonts w:eastAsia="MS Mincho"/>
          <w:sz w:val="20"/>
          <w:szCs w:val="20"/>
          <w:lang w:val="en-US" w:bidi="en-US"/>
        </w:rPr>
      </w:pPr>
    </w:p>
    <w:p w14:paraId="7946D3DB" w14:textId="6A7242A1" w:rsidR="00577A4F" w:rsidRPr="009D52FD" w:rsidRDefault="003630BB" w:rsidP="00577A4F">
      <w:pPr>
        <w:numPr>
          <w:ilvl w:val="0"/>
          <w:numId w:val="7"/>
        </w:numPr>
        <w:tabs>
          <w:tab w:val="left" w:pos="720"/>
        </w:tabs>
        <w:spacing w:line="240" w:lineRule="auto"/>
        <w:ind w:right="-90"/>
        <w:contextualSpacing/>
        <w:rPr>
          <w:sz w:val="20"/>
          <w:szCs w:val="20"/>
          <w:lang w:val="en-US"/>
        </w:rPr>
      </w:pPr>
      <w:r w:rsidRPr="009D52FD">
        <w:rPr>
          <w:kern w:val="2"/>
          <w:sz w:val="20"/>
          <w:szCs w:val="20"/>
          <w:lang w:val="en-US"/>
        </w:rPr>
        <w:t>The State</w:t>
      </w:r>
      <w:r w:rsidR="00577A4F" w:rsidRPr="009D52FD">
        <w:rPr>
          <w:kern w:val="2"/>
          <w:sz w:val="20"/>
          <w:szCs w:val="20"/>
          <w:lang w:val="en-US"/>
        </w:rPr>
        <w:t xml:space="preserve"> </w:t>
      </w:r>
      <w:r w:rsidR="00996337" w:rsidRPr="009D52FD">
        <w:rPr>
          <w:kern w:val="2"/>
          <w:sz w:val="20"/>
          <w:szCs w:val="20"/>
          <w:lang w:val="en-US"/>
        </w:rPr>
        <w:t>is responsible for</w:t>
      </w:r>
      <w:r w:rsidR="00577A4F" w:rsidRPr="009D52FD">
        <w:rPr>
          <w:kern w:val="2"/>
          <w:sz w:val="20"/>
          <w:szCs w:val="20"/>
          <w:lang w:val="en-US"/>
        </w:rPr>
        <w:t xml:space="preserve"> </w:t>
      </w:r>
      <w:r w:rsidR="0064755C" w:rsidRPr="009D52FD">
        <w:rPr>
          <w:kern w:val="2"/>
          <w:sz w:val="20"/>
          <w:szCs w:val="20"/>
          <w:lang w:val="en-US"/>
        </w:rPr>
        <w:t>the violation of</w:t>
      </w:r>
      <w:r w:rsidR="00996337" w:rsidRPr="009D52FD">
        <w:rPr>
          <w:kern w:val="2"/>
          <w:sz w:val="20"/>
          <w:szCs w:val="20"/>
          <w:lang w:val="en-US"/>
        </w:rPr>
        <w:t xml:space="preserve"> the rights to recognition of juridical personality, </w:t>
      </w:r>
      <w:r w:rsidR="00997ADF" w:rsidRPr="009D52FD">
        <w:rPr>
          <w:kern w:val="2"/>
          <w:sz w:val="20"/>
          <w:szCs w:val="20"/>
          <w:lang w:val="en-US"/>
        </w:rPr>
        <w:t>personal integrity</w:t>
      </w:r>
      <w:r w:rsidR="00577A4F" w:rsidRPr="009D52FD">
        <w:rPr>
          <w:kern w:val="2"/>
          <w:sz w:val="20"/>
          <w:szCs w:val="20"/>
          <w:lang w:val="en-US"/>
        </w:rPr>
        <w:t xml:space="preserve">, </w:t>
      </w:r>
      <w:r w:rsidR="00996337" w:rsidRPr="009D52FD">
        <w:rPr>
          <w:kern w:val="2"/>
          <w:sz w:val="20"/>
          <w:szCs w:val="20"/>
          <w:lang w:val="en-US"/>
        </w:rPr>
        <w:t>prohibition of torture and other cruel, inhuman or degrading treatment</w:t>
      </w:r>
      <w:r w:rsidR="00577A4F" w:rsidRPr="009D52FD">
        <w:rPr>
          <w:kern w:val="2"/>
          <w:sz w:val="20"/>
          <w:szCs w:val="20"/>
          <w:lang w:val="en-US"/>
        </w:rPr>
        <w:t xml:space="preserve">, </w:t>
      </w:r>
      <w:r w:rsidR="00996337" w:rsidRPr="009D52FD">
        <w:rPr>
          <w:kern w:val="2"/>
          <w:sz w:val="20"/>
          <w:szCs w:val="20"/>
          <w:lang w:val="en-US"/>
        </w:rPr>
        <w:t>prohibition of slavery</w:t>
      </w:r>
      <w:r w:rsidR="0092385A" w:rsidRPr="009D52FD">
        <w:rPr>
          <w:kern w:val="2"/>
          <w:sz w:val="20"/>
          <w:szCs w:val="20"/>
          <w:lang w:val="en-US"/>
        </w:rPr>
        <w:t xml:space="preserve">, </w:t>
      </w:r>
      <w:r w:rsidR="00997ADF" w:rsidRPr="009D52FD">
        <w:rPr>
          <w:kern w:val="2"/>
          <w:sz w:val="20"/>
          <w:szCs w:val="20"/>
          <w:lang w:val="en-US"/>
        </w:rPr>
        <w:t>personal liberty</w:t>
      </w:r>
      <w:r w:rsidR="00577A4F" w:rsidRPr="009D52FD">
        <w:rPr>
          <w:kern w:val="2"/>
          <w:sz w:val="20"/>
          <w:szCs w:val="20"/>
          <w:lang w:val="en-US"/>
        </w:rPr>
        <w:t xml:space="preserve">, </w:t>
      </w:r>
      <w:r w:rsidR="00996337" w:rsidRPr="009D52FD">
        <w:rPr>
          <w:kern w:val="2"/>
          <w:sz w:val="20"/>
          <w:szCs w:val="20"/>
          <w:lang w:val="en-US"/>
        </w:rPr>
        <w:t>dignity, autonomy and privacy</w:t>
      </w:r>
      <w:r w:rsidR="00577A4F" w:rsidRPr="009D52FD">
        <w:rPr>
          <w:kern w:val="2"/>
          <w:sz w:val="20"/>
          <w:szCs w:val="20"/>
          <w:lang w:val="en-US"/>
        </w:rPr>
        <w:t xml:space="preserve">, </w:t>
      </w:r>
      <w:r w:rsidR="00996337" w:rsidRPr="009D52FD">
        <w:rPr>
          <w:kern w:val="2"/>
          <w:sz w:val="20"/>
          <w:szCs w:val="20"/>
          <w:lang w:val="en-US"/>
        </w:rPr>
        <w:t>movement and residence</w:t>
      </w:r>
      <w:r w:rsidR="009603E8" w:rsidRPr="009D52FD">
        <w:rPr>
          <w:kern w:val="2"/>
          <w:sz w:val="20"/>
          <w:szCs w:val="20"/>
          <w:lang w:val="en-US"/>
        </w:rPr>
        <w:t xml:space="preserve">, </w:t>
      </w:r>
      <w:r w:rsidR="00996337" w:rsidRPr="009D52FD">
        <w:rPr>
          <w:kern w:val="2"/>
          <w:sz w:val="20"/>
          <w:szCs w:val="20"/>
          <w:lang w:val="en-US"/>
        </w:rPr>
        <w:t>and equality before the law</w:t>
      </w:r>
      <w:r w:rsidR="009603E8" w:rsidRPr="009D52FD">
        <w:rPr>
          <w:kern w:val="2"/>
          <w:sz w:val="20"/>
          <w:szCs w:val="20"/>
          <w:lang w:val="en-US"/>
        </w:rPr>
        <w:t>,</w:t>
      </w:r>
      <w:r w:rsidR="00577A4F" w:rsidRPr="009D52FD">
        <w:rPr>
          <w:kern w:val="2"/>
          <w:sz w:val="20"/>
          <w:szCs w:val="20"/>
          <w:lang w:val="en-US"/>
        </w:rPr>
        <w:t xml:space="preserve"> </w:t>
      </w:r>
      <w:r w:rsidR="00997ADF" w:rsidRPr="009D52FD">
        <w:rPr>
          <w:kern w:val="2"/>
          <w:sz w:val="20"/>
          <w:szCs w:val="20"/>
          <w:lang w:val="en-US"/>
        </w:rPr>
        <w:t>in relation to</w:t>
      </w:r>
      <w:r w:rsidR="00577A4F" w:rsidRPr="009D52FD">
        <w:rPr>
          <w:kern w:val="2"/>
          <w:sz w:val="20"/>
          <w:szCs w:val="20"/>
          <w:lang w:val="en-US"/>
        </w:rPr>
        <w:t xml:space="preserve"> </w:t>
      </w:r>
      <w:r w:rsidR="00997ADF" w:rsidRPr="009D52FD">
        <w:rPr>
          <w:kern w:val="2"/>
          <w:sz w:val="20"/>
          <w:szCs w:val="20"/>
          <w:lang w:val="en-US"/>
        </w:rPr>
        <w:t>the obligations to respect and to ensure</w:t>
      </w:r>
      <w:r w:rsidR="00EC11EA" w:rsidRPr="009D52FD">
        <w:rPr>
          <w:kern w:val="2"/>
          <w:sz w:val="20"/>
          <w:szCs w:val="20"/>
          <w:lang w:val="en-US"/>
        </w:rPr>
        <w:t xml:space="preserve"> these</w:t>
      </w:r>
      <w:r w:rsidR="00997ADF" w:rsidRPr="009D52FD">
        <w:rPr>
          <w:kern w:val="2"/>
          <w:sz w:val="20"/>
          <w:szCs w:val="20"/>
          <w:lang w:val="en-US"/>
        </w:rPr>
        <w:t xml:space="preserve"> rights and not to discriminate</w:t>
      </w:r>
      <w:r w:rsidR="00577A4F" w:rsidRPr="009D52FD">
        <w:rPr>
          <w:kern w:val="2"/>
          <w:sz w:val="20"/>
          <w:szCs w:val="20"/>
          <w:lang w:val="en-US"/>
        </w:rPr>
        <w:t xml:space="preserve">, </w:t>
      </w:r>
      <w:r w:rsidR="00996337" w:rsidRPr="009D52FD">
        <w:rPr>
          <w:kern w:val="2"/>
          <w:sz w:val="20"/>
          <w:szCs w:val="20"/>
          <w:lang w:val="en-US"/>
        </w:rPr>
        <w:t>pursuant to</w:t>
      </w:r>
      <w:r w:rsidR="00577A4F" w:rsidRPr="009D52FD">
        <w:rPr>
          <w:kern w:val="2"/>
          <w:sz w:val="20"/>
          <w:szCs w:val="20"/>
          <w:lang w:val="en-US"/>
        </w:rPr>
        <w:t xml:space="preserve"> </w:t>
      </w:r>
      <w:r w:rsidRPr="009D52FD">
        <w:rPr>
          <w:kern w:val="2"/>
          <w:sz w:val="20"/>
          <w:szCs w:val="20"/>
          <w:lang w:val="en-US"/>
        </w:rPr>
        <w:t>Articles</w:t>
      </w:r>
      <w:r w:rsidR="00577A4F" w:rsidRPr="009D52FD">
        <w:rPr>
          <w:kern w:val="2"/>
          <w:sz w:val="20"/>
          <w:szCs w:val="20"/>
          <w:lang w:val="en-US"/>
        </w:rPr>
        <w:t xml:space="preserve"> 3,</w:t>
      </w:r>
      <w:r w:rsidR="00483040" w:rsidRPr="009D52FD">
        <w:rPr>
          <w:kern w:val="2"/>
          <w:sz w:val="20"/>
          <w:szCs w:val="20"/>
          <w:lang w:val="en-US"/>
        </w:rPr>
        <w:t xml:space="preserve"> 5(1)</w:t>
      </w:r>
      <w:r w:rsidR="00577A4F" w:rsidRPr="009D52FD">
        <w:rPr>
          <w:kern w:val="2"/>
          <w:sz w:val="20"/>
          <w:szCs w:val="20"/>
          <w:lang w:val="en-US"/>
        </w:rPr>
        <w:t>,</w:t>
      </w:r>
      <w:r w:rsidR="00483040" w:rsidRPr="009D52FD">
        <w:rPr>
          <w:kern w:val="2"/>
          <w:sz w:val="20"/>
          <w:szCs w:val="20"/>
          <w:lang w:val="en-US"/>
        </w:rPr>
        <w:t xml:space="preserve"> 5(2)</w:t>
      </w:r>
      <w:r w:rsidR="00577A4F" w:rsidRPr="009D52FD">
        <w:rPr>
          <w:kern w:val="2"/>
          <w:sz w:val="20"/>
          <w:szCs w:val="20"/>
          <w:lang w:val="en-US"/>
        </w:rPr>
        <w:t>,</w:t>
      </w:r>
      <w:r w:rsidR="0092385A" w:rsidRPr="009D52FD">
        <w:rPr>
          <w:kern w:val="2"/>
          <w:sz w:val="20"/>
          <w:szCs w:val="20"/>
          <w:lang w:val="en-US"/>
        </w:rPr>
        <w:t xml:space="preserve"> </w:t>
      </w:r>
      <w:r w:rsidR="00DC2372" w:rsidRPr="009D52FD">
        <w:rPr>
          <w:kern w:val="2"/>
          <w:sz w:val="20"/>
          <w:szCs w:val="20"/>
          <w:lang w:val="en-US"/>
        </w:rPr>
        <w:t>6(1)</w:t>
      </w:r>
      <w:r w:rsidR="0092385A" w:rsidRPr="009D52FD">
        <w:rPr>
          <w:kern w:val="2"/>
          <w:sz w:val="20"/>
          <w:szCs w:val="20"/>
          <w:lang w:val="en-US"/>
        </w:rPr>
        <w:t>,</w:t>
      </w:r>
      <w:r w:rsidR="00D32B3E" w:rsidRPr="009D52FD">
        <w:rPr>
          <w:kern w:val="2"/>
          <w:sz w:val="20"/>
          <w:szCs w:val="20"/>
          <w:lang w:val="en-US"/>
        </w:rPr>
        <w:t xml:space="preserve"> 7(1)</w:t>
      </w:r>
      <w:r w:rsidR="00577A4F" w:rsidRPr="009D52FD">
        <w:rPr>
          <w:kern w:val="2"/>
          <w:sz w:val="20"/>
          <w:szCs w:val="20"/>
          <w:lang w:val="en-US"/>
        </w:rPr>
        <w:t>,</w:t>
      </w:r>
      <w:r w:rsidR="00483040" w:rsidRPr="009D52FD">
        <w:rPr>
          <w:kern w:val="2"/>
          <w:sz w:val="20"/>
          <w:szCs w:val="20"/>
          <w:lang w:val="en-US"/>
        </w:rPr>
        <w:t xml:space="preserve"> 11(1)</w:t>
      </w:r>
      <w:r w:rsidR="00577A4F" w:rsidRPr="009D52FD">
        <w:rPr>
          <w:kern w:val="2"/>
          <w:sz w:val="20"/>
          <w:szCs w:val="20"/>
          <w:lang w:val="en-US"/>
        </w:rPr>
        <w:t>,</w:t>
      </w:r>
      <w:r w:rsidR="00D32B3E" w:rsidRPr="009D52FD">
        <w:rPr>
          <w:kern w:val="2"/>
          <w:sz w:val="20"/>
          <w:szCs w:val="20"/>
          <w:lang w:val="en-US"/>
        </w:rPr>
        <w:t xml:space="preserve"> 11(2)</w:t>
      </w:r>
      <w:r w:rsidR="0092385A" w:rsidRPr="009D52FD">
        <w:rPr>
          <w:kern w:val="2"/>
          <w:sz w:val="20"/>
          <w:szCs w:val="20"/>
          <w:lang w:val="en-US"/>
        </w:rPr>
        <w:t>,</w:t>
      </w:r>
      <w:r w:rsidR="00577A4F" w:rsidRPr="009D52FD">
        <w:rPr>
          <w:kern w:val="2"/>
          <w:sz w:val="20"/>
          <w:szCs w:val="20"/>
          <w:lang w:val="en-US"/>
        </w:rPr>
        <w:t xml:space="preserve"> 22</w:t>
      </w:r>
      <w:r w:rsidRPr="009D52FD">
        <w:rPr>
          <w:kern w:val="2"/>
          <w:sz w:val="20"/>
          <w:szCs w:val="20"/>
          <w:lang w:val="en-US"/>
        </w:rPr>
        <w:t xml:space="preserve"> and </w:t>
      </w:r>
      <w:r w:rsidR="00577A4F" w:rsidRPr="009D52FD">
        <w:rPr>
          <w:kern w:val="2"/>
          <w:sz w:val="20"/>
          <w:szCs w:val="20"/>
          <w:lang w:val="en-US"/>
        </w:rPr>
        <w:t>24</w:t>
      </w:r>
      <w:r w:rsidRPr="009D52FD">
        <w:rPr>
          <w:kern w:val="2"/>
          <w:sz w:val="20"/>
          <w:szCs w:val="20"/>
          <w:lang w:val="en-US"/>
        </w:rPr>
        <w:t xml:space="preserve"> of the American Convention on Human Rights</w:t>
      </w:r>
      <w:r w:rsidR="00577A4F" w:rsidRPr="009D52FD">
        <w:rPr>
          <w:kern w:val="2"/>
          <w:sz w:val="20"/>
          <w:szCs w:val="20"/>
          <w:lang w:val="en-US"/>
        </w:rPr>
        <w:t xml:space="preserve">, </w:t>
      </w:r>
      <w:r w:rsidR="00997ADF" w:rsidRPr="009D52FD">
        <w:rPr>
          <w:kern w:val="2"/>
          <w:sz w:val="20"/>
          <w:szCs w:val="20"/>
          <w:lang w:val="en-US"/>
        </w:rPr>
        <w:t>in relation to</w:t>
      </w:r>
      <w:r w:rsidR="00577A4F" w:rsidRPr="009D52FD">
        <w:rPr>
          <w:kern w:val="2"/>
          <w:sz w:val="20"/>
          <w:szCs w:val="20"/>
          <w:lang w:val="en-US"/>
        </w:rPr>
        <w:t xml:space="preserve"> </w:t>
      </w:r>
      <w:r w:rsidR="00483040" w:rsidRPr="009D52FD">
        <w:rPr>
          <w:kern w:val="2"/>
          <w:sz w:val="20"/>
          <w:szCs w:val="20"/>
          <w:lang w:val="en-US"/>
        </w:rPr>
        <w:t>Article 1(1)</w:t>
      </w:r>
      <w:r w:rsidR="00577A4F" w:rsidRPr="009D52FD">
        <w:rPr>
          <w:kern w:val="2"/>
          <w:sz w:val="20"/>
          <w:szCs w:val="20"/>
          <w:lang w:val="en-US"/>
        </w:rPr>
        <w:t xml:space="preserve"> </w:t>
      </w:r>
      <w:r w:rsidR="00996337" w:rsidRPr="009D52FD">
        <w:rPr>
          <w:kern w:val="2"/>
          <w:sz w:val="20"/>
          <w:szCs w:val="20"/>
          <w:lang w:val="en-US"/>
        </w:rPr>
        <w:t>of this instrument</w:t>
      </w:r>
      <w:r w:rsidR="00A65984" w:rsidRPr="009D52FD">
        <w:rPr>
          <w:kern w:val="2"/>
          <w:sz w:val="20"/>
          <w:szCs w:val="20"/>
          <w:lang w:val="en-US"/>
        </w:rPr>
        <w:t xml:space="preserve">, </w:t>
      </w:r>
      <w:r w:rsidRPr="009D52FD">
        <w:rPr>
          <w:kern w:val="2"/>
          <w:sz w:val="20"/>
          <w:szCs w:val="20"/>
          <w:lang w:val="en-US"/>
        </w:rPr>
        <w:t>Article</w:t>
      </w:r>
      <w:r w:rsidR="00577A4F" w:rsidRPr="009D52FD">
        <w:rPr>
          <w:kern w:val="2"/>
          <w:sz w:val="20"/>
          <w:szCs w:val="20"/>
          <w:lang w:val="en-US"/>
        </w:rPr>
        <w:t xml:space="preserve"> </w:t>
      </w:r>
      <w:r w:rsidR="00996337" w:rsidRPr="009D52FD">
        <w:rPr>
          <w:kern w:val="2"/>
          <w:sz w:val="20"/>
          <w:szCs w:val="20"/>
          <w:lang w:val="en-US"/>
        </w:rPr>
        <w:t>7(a)</w:t>
      </w:r>
      <w:r w:rsidRPr="009D52FD">
        <w:rPr>
          <w:kern w:val="2"/>
          <w:sz w:val="20"/>
          <w:szCs w:val="20"/>
          <w:lang w:val="en-US"/>
        </w:rPr>
        <w:t xml:space="preserve"> and </w:t>
      </w:r>
      <w:r w:rsidR="00996337" w:rsidRPr="009D52FD">
        <w:rPr>
          <w:kern w:val="2"/>
          <w:sz w:val="20"/>
          <w:szCs w:val="20"/>
          <w:lang w:val="en-US"/>
        </w:rPr>
        <w:t>7(b)</w:t>
      </w:r>
      <w:r w:rsidR="00577A4F" w:rsidRPr="009D52FD">
        <w:rPr>
          <w:kern w:val="2"/>
          <w:sz w:val="20"/>
          <w:szCs w:val="20"/>
          <w:lang w:val="en-US"/>
        </w:rPr>
        <w:t xml:space="preserve"> </w:t>
      </w:r>
      <w:r w:rsidRPr="009D52FD">
        <w:rPr>
          <w:kern w:val="2"/>
          <w:sz w:val="20"/>
          <w:szCs w:val="20"/>
          <w:lang w:val="en-US"/>
        </w:rPr>
        <w:t xml:space="preserve">of the </w:t>
      </w:r>
      <w:r w:rsidR="00D32B3E" w:rsidRPr="009D52FD">
        <w:rPr>
          <w:rFonts w:eastAsia="Times"/>
          <w:sz w:val="20"/>
          <w:szCs w:val="20"/>
          <w:lang w:val="en-US"/>
        </w:rPr>
        <w:t>Inter-American Convention for the Prevention, Punishment and Eradication of Violence against Women</w:t>
      </w:r>
      <w:r w:rsidR="00577A4F" w:rsidRPr="009D52FD">
        <w:rPr>
          <w:kern w:val="2"/>
          <w:sz w:val="20"/>
          <w:szCs w:val="20"/>
          <w:lang w:val="en-US"/>
        </w:rPr>
        <w:t>,</w:t>
      </w:r>
      <w:r w:rsidRPr="009D52FD">
        <w:rPr>
          <w:kern w:val="2"/>
          <w:sz w:val="20"/>
          <w:szCs w:val="20"/>
          <w:lang w:val="en-US"/>
        </w:rPr>
        <w:t xml:space="preserve"> and Articles</w:t>
      </w:r>
      <w:r w:rsidR="00A65984" w:rsidRPr="009D52FD">
        <w:rPr>
          <w:kern w:val="2"/>
          <w:sz w:val="20"/>
          <w:szCs w:val="20"/>
          <w:lang w:val="en-US"/>
        </w:rPr>
        <w:t xml:space="preserve"> 1, 6</w:t>
      </w:r>
      <w:r w:rsidRPr="009D52FD">
        <w:rPr>
          <w:kern w:val="2"/>
          <w:sz w:val="20"/>
          <w:szCs w:val="20"/>
          <w:lang w:val="en-US"/>
        </w:rPr>
        <w:t xml:space="preserve"> and </w:t>
      </w:r>
      <w:r w:rsidR="00A65984" w:rsidRPr="009D52FD">
        <w:rPr>
          <w:kern w:val="2"/>
          <w:sz w:val="20"/>
          <w:szCs w:val="20"/>
          <w:lang w:val="en-US"/>
        </w:rPr>
        <w:t>8</w:t>
      </w:r>
      <w:r w:rsidRPr="009D52FD">
        <w:rPr>
          <w:kern w:val="2"/>
          <w:sz w:val="20"/>
          <w:szCs w:val="20"/>
          <w:lang w:val="en-US"/>
        </w:rPr>
        <w:t xml:space="preserve"> of the </w:t>
      </w:r>
      <w:r w:rsidR="00D32B3E" w:rsidRPr="009D52FD">
        <w:rPr>
          <w:kern w:val="2"/>
          <w:sz w:val="20"/>
          <w:szCs w:val="20"/>
          <w:lang w:val="en-US"/>
        </w:rPr>
        <w:t>Inter-American Convention to Prevent and Punish Torture</w:t>
      </w:r>
      <w:r w:rsidR="00A65984" w:rsidRPr="009D52FD">
        <w:rPr>
          <w:kern w:val="2"/>
          <w:sz w:val="20"/>
          <w:szCs w:val="20"/>
          <w:lang w:val="en-US"/>
        </w:rPr>
        <w:t>,</w:t>
      </w:r>
      <w:r w:rsidR="00577A4F" w:rsidRPr="009D52FD">
        <w:rPr>
          <w:kern w:val="2"/>
          <w:sz w:val="20"/>
          <w:szCs w:val="20"/>
          <w:lang w:val="en-US"/>
        </w:rPr>
        <w:t xml:space="preserve"> </w:t>
      </w:r>
      <w:r w:rsidR="00483040" w:rsidRPr="009D52FD">
        <w:rPr>
          <w:kern w:val="2"/>
          <w:sz w:val="20"/>
          <w:szCs w:val="20"/>
          <w:lang w:val="en-US"/>
        </w:rPr>
        <w:t>to the detriment of</w:t>
      </w:r>
      <w:r w:rsidR="00577A4F" w:rsidRPr="009D52FD">
        <w:rPr>
          <w:kern w:val="2"/>
          <w:sz w:val="20"/>
          <w:szCs w:val="20"/>
          <w:lang w:val="en-US"/>
        </w:rPr>
        <w:t xml:space="preserve"> Linda Loaiza López Soto,</w:t>
      </w:r>
      <w:r w:rsidR="00577A4F" w:rsidRPr="009D52FD">
        <w:rPr>
          <w:sz w:val="20"/>
          <w:szCs w:val="20"/>
          <w:lang w:val="en-US"/>
        </w:rPr>
        <w:t xml:space="preserve"> </w:t>
      </w:r>
      <w:r w:rsidR="00996337" w:rsidRPr="009D52FD">
        <w:rPr>
          <w:sz w:val="20"/>
          <w:szCs w:val="20"/>
          <w:lang w:val="en-US"/>
        </w:rPr>
        <w:t>pursuant to</w:t>
      </w:r>
      <w:r w:rsidR="00577A4F" w:rsidRPr="009D52FD">
        <w:rPr>
          <w:sz w:val="20"/>
          <w:szCs w:val="20"/>
          <w:lang w:val="en-US"/>
        </w:rPr>
        <w:t xml:space="preserve"> </w:t>
      </w:r>
      <w:r w:rsidR="009459E7" w:rsidRPr="009D52FD">
        <w:rPr>
          <w:sz w:val="20"/>
          <w:szCs w:val="20"/>
          <w:lang w:val="en-US"/>
        </w:rPr>
        <w:t>paragraph</w:t>
      </w:r>
      <w:r w:rsidR="00577A4F" w:rsidRPr="009D52FD">
        <w:rPr>
          <w:sz w:val="20"/>
          <w:szCs w:val="20"/>
          <w:lang w:val="en-US"/>
        </w:rPr>
        <w:t xml:space="preserve">s </w:t>
      </w:r>
      <w:r w:rsidR="00235B47" w:rsidRPr="009D52FD">
        <w:rPr>
          <w:sz w:val="20"/>
          <w:szCs w:val="20"/>
          <w:lang w:val="en-US"/>
        </w:rPr>
        <w:t>124</w:t>
      </w:r>
      <w:r w:rsidR="00577A4F" w:rsidRPr="009D52FD">
        <w:rPr>
          <w:sz w:val="20"/>
          <w:szCs w:val="20"/>
          <w:lang w:val="en-US"/>
        </w:rPr>
        <w:t xml:space="preserve"> </w:t>
      </w:r>
      <w:r w:rsidR="00996337" w:rsidRPr="009D52FD">
        <w:rPr>
          <w:sz w:val="20"/>
          <w:szCs w:val="20"/>
          <w:lang w:val="en-US"/>
        </w:rPr>
        <w:t>to</w:t>
      </w:r>
      <w:r w:rsidR="00577A4F" w:rsidRPr="009D52FD">
        <w:rPr>
          <w:sz w:val="20"/>
          <w:szCs w:val="20"/>
          <w:lang w:val="en-US"/>
        </w:rPr>
        <w:t xml:space="preserve"> </w:t>
      </w:r>
      <w:r w:rsidR="00235B47" w:rsidRPr="009D52FD">
        <w:rPr>
          <w:sz w:val="20"/>
          <w:szCs w:val="20"/>
          <w:lang w:val="en-US"/>
        </w:rPr>
        <w:t>200</w:t>
      </w:r>
      <w:r w:rsidR="00577A4F" w:rsidRPr="009D52FD">
        <w:rPr>
          <w:sz w:val="20"/>
          <w:szCs w:val="20"/>
          <w:lang w:val="en-US"/>
        </w:rPr>
        <w:t xml:space="preserve"> </w:t>
      </w:r>
      <w:r w:rsidR="00EB0EB6" w:rsidRPr="009D52FD">
        <w:rPr>
          <w:sz w:val="20"/>
          <w:szCs w:val="20"/>
          <w:lang w:val="en-US"/>
        </w:rPr>
        <w:t>of this judgment</w:t>
      </w:r>
      <w:r w:rsidR="00577A4F" w:rsidRPr="009D52FD">
        <w:rPr>
          <w:sz w:val="20"/>
          <w:szCs w:val="20"/>
          <w:lang w:val="en-US"/>
        </w:rPr>
        <w:t>.</w:t>
      </w:r>
    </w:p>
    <w:p w14:paraId="2D3A5FBD" w14:textId="77777777" w:rsidR="00577A4F" w:rsidRPr="009D52FD" w:rsidRDefault="00577A4F" w:rsidP="00577A4F">
      <w:pPr>
        <w:spacing w:line="240" w:lineRule="auto"/>
        <w:ind w:right="-90"/>
        <w:contextualSpacing/>
        <w:rPr>
          <w:rFonts w:eastAsia="MS Mincho"/>
          <w:sz w:val="20"/>
          <w:szCs w:val="20"/>
          <w:lang w:val="en-US" w:bidi="en-US"/>
        </w:rPr>
      </w:pPr>
    </w:p>
    <w:p w14:paraId="33778DC8" w14:textId="105C043B" w:rsidR="00577A4F" w:rsidRPr="009D52FD" w:rsidRDefault="003630BB" w:rsidP="00577A4F">
      <w:pPr>
        <w:numPr>
          <w:ilvl w:val="0"/>
          <w:numId w:val="7"/>
        </w:numPr>
        <w:tabs>
          <w:tab w:val="left" w:pos="720"/>
        </w:tabs>
        <w:spacing w:line="240" w:lineRule="auto"/>
        <w:ind w:right="-90"/>
        <w:contextualSpacing/>
        <w:rPr>
          <w:sz w:val="20"/>
          <w:szCs w:val="20"/>
          <w:lang w:val="en-US"/>
        </w:rPr>
      </w:pPr>
      <w:r w:rsidRPr="009D52FD">
        <w:rPr>
          <w:sz w:val="20"/>
          <w:szCs w:val="20"/>
          <w:lang w:val="en-US"/>
        </w:rPr>
        <w:t>The State</w:t>
      </w:r>
      <w:r w:rsidR="00577A4F" w:rsidRPr="009D52FD">
        <w:rPr>
          <w:sz w:val="20"/>
          <w:szCs w:val="20"/>
          <w:lang w:val="en-US"/>
        </w:rPr>
        <w:t xml:space="preserve"> </w:t>
      </w:r>
      <w:r w:rsidR="00996337" w:rsidRPr="009D52FD">
        <w:rPr>
          <w:sz w:val="20"/>
          <w:szCs w:val="20"/>
          <w:lang w:val="en-US"/>
        </w:rPr>
        <w:t>is responsible for</w:t>
      </w:r>
      <w:r w:rsidR="00577A4F" w:rsidRPr="009D52FD">
        <w:rPr>
          <w:sz w:val="20"/>
          <w:szCs w:val="20"/>
          <w:lang w:val="en-US"/>
        </w:rPr>
        <w:t xml:space="preserve"> </w:t>
      </w:r>
      <w:r w:rsidR="0064755C" w:rsidRPr="009D52FD">
        <w:rPr>
          <w:sz w:val="20"/>
          <w:szCs w:val="20"/>
          <w:lang w:val="en-US"/>
        </w:rPr>
        <w:t>the violation of</w:t>
      </w:r>
      <w:r w:rsidR="00577A4F" w:rsidRPr="009D52FD">
        <w:rPr>
          <w:sz w:val="20"/>
          <w:szCs w:val="20"/>
          <w:lang w:val="en-US"/>
        </w:rPr>
        <w:t xml:space="preserve"> </w:t>
      </w:r>
      <w:r w:rsidR="00997ADF" w:rsidRPr="009D52FD">
        <w:rPr>
          <w:sz w:val="20"/>
          <w:szCs w:val="20"/>
          <w:lang w:val="en-US"/>
        </w:rPr>
        <w:t>the rights to</w:t>
      </w:r>
      <w:r w:rsidR="00577A4F" w:rsidRPr="009D52FD">
        <w:rPr>
          <w:sz w:val="20"/>
          <w:szCs w:val="20"/>
          <w:lang w:val="en-US"/>
        </w:rPr>
        <w:t xml:space="preserve"> </w:t>
      </w:r>
      <w:r w:rsidR="00997ADF" w:rsidRPr="009D52FD">
        <w:rPr>
          <w:sz w:val="20"/>
          <w:szCs w:val="20"/>
          <w:lang w:val="en-US"/>
        </w:rPr>
        <w:t>personal integrity</w:t>
      </w:r>
      <w:r w:rsidR="00577A4F" w:rsidRPr="009D52FD">
        <w:rPr>
          <w:sz w:val="20"/>
          <w:szCs w:val="20"/>
          <w:lang w:val="en-US"/>
        </w:rPr>
        <w:t xml:space="preserve">, </w:t>
      </w:r>
      <w:r w:rsidR="00996337" w:rsidRPr="009D52FD">
        <w:rPr>
          <w:sz w:val="20"/>
          <w:szCs w:val="20"/>
          <w:lang w:val="en-US"/>
        </w:rPr>
        <w:t>prohibition of torture and other cruel, inhuman or degrading treatment</w:t>
      </w:r>
      <w:r w:rsidR="00192513" w:rsidRPr="009D52FD">
        <w:rPr>
          <w:sz w:val="20"/>
          <w:szCs w:val="20"/>
          <w:lang w:val="en-US"/>
        </w:rPr>
        <w:t>,</w:t>
      </w:r>
      <w:r w:rsidR="00577A4F" w:rsidRPr="009D52FD">
        <w:rPr>
          <w:sz w:val="20"/>
          <w:szCs w:val="20"/>
          <w:lang w:val="en-US"/>
        </w:rPr>
        <w:t xml:space="preserve"> </w:t>
      </w:r>
      <w:r w:rsidR="00996337" w:rsidRPr="009D52FD">
        <w:rPr>
          <w:sz w:val="20"/>
          <w:szCs w:val="20"/>
          <w:lang w:val="en-US"/>
        </w:rPr>
        <w:t>judicial guarantees</w:t>
      </w:r>
      <w:r w:rsidR="00577A4F" w:rsidRPr="009D52FD">
        <w:rPr>
          <w:sz w:val="20"/>
          <w:szCs w:val="20"/>
          <w:lang w:val="en-US"/>
        </w:rPr>
        <w:t xml:space="preserve">, </w:t>
      </w:r>
      <w:r w:rsidR="00996337" w:rsidRPr="009D52FD">
        <w:rPr>
          <w:kern w:val="2"/>
          <w:sz w:val="20"/>
          <w:szCs w:val="20"/>
          <w:lang w:val="en-US"/>
        </w:rPr>
        <w:t>dignity, autonomy and privacy</w:t>
      </w:r>
      <w:r w:rsidR="00DD6911" w:rsidRPr="009D52FD">
        <w:rPr>
          <w:sz w:val="20"/>
          <w:szCs w:val="20"/>
          <w:lang w:val="en-US"/>
        </w:rPr>
        <w:t xml:space="preserve">, </w:t>
      </w:r>
      <w:r w:rsidR="00996337" w:rsidRPr="009D52FD">
        <w:rPr>
          <w:sz w:val="20"/>
          <w:szCs w:val="20"/>
          <w:lang w:val="en-US"/>
        </w:rPr>
        <w:t>equality before the law</w:t>
      </w:r>
      <w:r w:rsidRPr="009D52FD">
        <w:rPr>
          <w:sz w:val="20"/>
          <w:szCs w:val="20"/>
          <w:lang w:val="en-US"/>
        </w:rPr>
        <w:t xml:space="preserve"> and </w:t>
      </w:r>
      <w:r w:rsidR="00996337" w:rsidRPr="009D52FD">
        <w:rPr>
          <w:sz w:val="20"/>
          <w:szCs w:val="20"/>
          <w:lang w:val="en-US"/>
        </w:rPr>
        <w:t>judicial protection</w:t>
      </w:r>
      <w:r w:rsidR="00577A4F" w:rsidRPr="009D52FD">
        <w:rPr>
          <w:sz w:val="20"/>
          <w:szCs w:val="20"/>
          <w:lang w:val="en-US"/>
        </w:rPr>
        <w:t xml:space="preserve">, </w:t>
      </w:r>
      <w:r w:rsidR="00997ADF" w:rsidRPr="009D52FD">
        <w:rPr>
          <w:sz w:val="20"/>
          <w:szCs w:val="20"/>
          <w:lang w:val="en-US"/>
        </w:rPr>
        <w:t>in relation to</w:t>
      </w:r>
      <w:r w:rsidR="00577A4F" w:rsidRPr="009D52FD">
        <w:rPr>
          <w:sz w:val="20"/>
          <w:szCs w:val="20"/>
          <w:lang w:val="en-US"/>
        </w:rPr>
        <w:t xml:space="preserve"> </w:t>
      </w:r>
      <w:r w:rsidR="00996337" w:rsidRPr="009D52FD">
        <w:rPr>
          <w:sz w:val="20"/>
          <w:szCs w:val="20"/>
          <w:lang w:val="en-US"/>
        </w:rPr>
        <w:t xml:space="preserve">the obligations to respect and to ensure </w:t>
      </w:r>
      <w:r w:rsidR="00EC11EA" w:rsidRPr="009D52FD">
        <w:rPr>
          <w:sz w:val="20"/>
          <w:szCs w:val="20"/>
          <w:lang w:val="en-US"/>
        </w:rPr>
        <w:t xml:space="preserve">these </w:t>
      </w:r>
      <w:r w:rsidR="00996337" w:rsidRPr="009D52FD">
        <w:rPr>
          <w:sz w:val="20"/>
          <w:szCs w:val="20"/>
          <w:lang w:val="en-US"/>
        </w:rPr>
        <w:t>rights, not to discriminate</w:t>
      </w:r>
      <w:r w:rsidR="00577A4F" w:rsidRPr="009D52FD">
        <w:rPr>
          <w:sz w:val="20"/>
          <w:szCs w:val="20"/>
          <w:lang w:val="en-US"/>
        </w:rPr>
        <w:t>,</w:t>
      </w:r>
      <w:r w:rsidRPr="009D52FD">
        <w:rPr>
          <w:sz w:val="20"/>
          <w:szCs w:val="20"/>
          <w:lang w:val="en-US"/>
        </w:rPr>
        <w:t xml:space="preserve"> and </w:t>
      </w:r>
      <w:r w:rsidR="00996337" w:rsidRPr="009D52FD">
        <w:rPr>
          <w:sz w:val="20"/>
          <w:szCs w:val="20"/>
          <w:lang w:val="en-US"/>
        </w:rPr>
        <w:t xml:space="preserve">to adopt domestic </w:t>
      </w:r>
      <w:r w:rsidR="004E1BEA" w:rsidRPr="009D52FD">
        <w:rPr>
          <w:sz w:val="20"/>
          <w:szCs w:val="20"/>
          <w:lang w:val="en-US"/>
        </w:rPr>
        <w:t>legal provisions</w:t>
      </w:r>
      <w:r w:rsidR="00577A4F" w:rsidRPr="009D52FD">
        <w:rPr>
          <w:sz w:val="20"/>
          <w:szCs w:val="20"/>
          <w:lang w:val="en-US"/>
        </w:rPr>
        <w:t xml:space="preserve">, </w:t>
      </w:r>
      <w:r w:rsidR="00996337" w:rsidRPr="009D52FD">
        <w:rPr>
          <w:sz w:val="20"/>
          <w:szCs w:val="20"/>
          <w:lang w:val="en-US"/>
        </w:rPr>
        <w:t>pursuant to</w:t>
      </w:r>
      <w:r w:rsidR="00577A4F" w:rsidRPr="009D52FD">
        <w:rPr>
          <w:sz w:val="20"/>
          <w:szCs w:val="20"/>
          <w:lang w:val="en-US"/>
        </w:rPr>
        <w:t xml:space="preserve"> </w:t>
      </w:r>
      <w:r w:rsidRPr="009D52FD">
        <w:rPr>
          <w:sz w:val="20"/>
          <w:szCs w:val="20"/>
          <w:lang w:val="en-US"/>
        </w:rPr>
        <w:t>Articles</w:t>
      </w:r>
      <w:r w:rsidR="00483040" w:rsidRPr="009D52FD">
        <w:rPr>
          <w:sz w:val="20"/>
          <w:szCs w:val="20"/>
          <w:lang w:val="en-US"/>
        </w:rPr>
        <w:t xml:space="preserve"> 5(1)</w:t>
      </w:r>
      <w:r w:rsidR="00577A4F" w:rsidRPr="009D52FD">
        <w:rPr>
          <w:sz w:val="20"/>
          <w:szCs w:val="20"/>
          <w:lang w:val="en-US"/>
        </w:rPr>
        <w:t>,</w:t>
      </w:r>
      <w:r w:rsidR="00483040" w:rsidRPr="009D52FD">
        <w:rPr>
          <w:sz w:val="20"/>
          <w:szCs w:val="20"/>
          <w:lang w:val="en-US"/>
        </w:rPr>
        <w:t xml:space="preserve"> 5(2)</w:t>
      </w:r>
      <w:r w:rsidR="00DD6911" w:rsidRPr="009D52FD">
        <w:rPr>
          <w:sz w:val="20"/>
          <w:szCs w:val="20"/>
          <w:lang w:val="en-US"/>
        </w:rPr>
        <w:t>,</w:t>
      </w:r>
      <w:r w:rsidR="00483040" w:rsidRPr="009D52FD">
        <w:rPr>
          <w:sz w:val="20"/>
          <w:szCs w:val="20"/>
          <w:lang w:val="en-US"/>
        </w:rPr>
        <w:t xml:space="preserve"> 8(1)</w:t>
      </w:r>
      <w:r w:rsidR="0092385A" w:rsidRPr="009D52FD">
        <w:rPr>
          <w:sz w:val="20"/>
          <w:szCs w:val="20"/>
          <w:lang w:val="en-US"/>
        </w:rPr>
        <w:t>, 11, 24</w:t>
      </w:r>
      <w:r w:rsidRPr="009D52FD">
        <w:rPr>
          <w:sz w:val="20"/>
          <w:szCs w:val="20"/>
          <w:lang w:val="en-US"/>
        </w:rPr>
        <w:t xml:space="preserve"> and</w:t>
      </w:r>
      <w:r w:rsidR="00D32B3E" w:rsidRPr="009D52FD">
        <w:rPr>
          <w:sz w:val="20"/>
          <w:szCs w:val="20"/>
          <w:lang w:val="en-US"/>
        </w:rPr>
        <w:t xml:space="preserve"> 25(1)</w:t>
      </w:r>
      <w:r w:rsidRPr="009D52FD">
        <w:rPr>
          <w:sz w:val="20"/>
          <w:szCs w:val="20"/>
          <w:lang w:val="en-US"/>
        </w:rPr>
        <w:t xml:space="preserve"> of the American Convention on Human Rights</w:t>
      </w:r>
      <w:r w:rsidR="00577A4F" w:rsidRPr="009D52FD">
        <w:rPr>
          <w:sz w:val="20"/>
          <w:szCs w:val="20"/>
          <w:lang w:val="en-US"/>
        </w:rPr>
        <w:t xml:space="preserve">, </w:t>
      </w:r>
      <w:r w:rsidR="00997ADF" w:rsidRPr="009D52FD">
        <w:rPr>
          <w:sz w:val="20"/>
          <w:szCs w:val="20"/>
          <w:lang w:val="en-US"/>
        </w:rPr>
        <w:t>in relation to</w:t>
      </w:r>
      <w:r w:rsidR="009603E8" w:rsidRPr="009D52FD">
        <w:rPr>
          <w:sz w:val="20"/>
          <w:szCs w:val="20"/>
          <w:lang w:val="en-US"/>
        </w:rPr>
        <w:t xml:space="preserve"> </w:t>
      </w:r>
      <w:r w:rsidR="00483040" w:rsidRPr="009D52FD">
        <w:rPr>
          <w:sz w:val="20"/>
          <w:szCs w:val="20"/>
          <w:lang w:val="en-US"/>
        </w:rPr>
        <w:t>Articles 1(1)</w:t>
      </w:r>
      <w:r w:rsidRPr="009D52FD">
        <w:rPr>
          <w:sz w:val="20"/>
          <w:szCs w:val="20"/>
          <w:lang w:val="en-US"/>
        </w:rPr>
        <w:t xml:space="preserve"> and </w:t>
      </w:r>
      <w:r w:rsidR="009603E8" w:rsidRPr="009D52FD">
        <w:rPr>
          <w:sz w:val="20"/>
          <w:szCs w:val="20"/>
          <w:lang w:val="en-US"/>
        </w:rPr>
        <w:t xml:space="preserve">2 </w:t>
      </w:r>
      <w:r w:rsidR="00483040" w:rsidRPr="009D52FD">
        <w:rPr>
          <w:sz w:val="20"/>
          <w:szCs w:val="20"/>
          <w:lang w:val="en-US"/>
        </w:rPr>
        <w:t>of this instrument</w:t>
      </w:r>
      <w:r w:rsidR="00A65984" w:rsidRPr="009D52FD">
        <w:rPr>
          <w:sz w:val="20"/>
          <w:szCs w:val="20"/>
          <w:lang w:val="en-US"/>
        </w:rPr>
        <w:t xml:space="preserve">, </w:t>
      </w:r>
      <w:r w:rsidRPr="009D52FD">
        <w:rPr>
          <w:sz w:val="20"/>
          <w:szCs w:val="20"/>
          <w:lang w:val="en-US"/>
        </w:rPr>
        <w:t>Article</w:t>
      </w:r>
      <w:r w:rsidR="009603E8" w:rsidRPr="009D52FD">
        <w:rPr>
          <w:sz w:val="20"/>
          <w:szCs w:val="20"/>
          <w:lang w:val="en-US"/>
        </w:rPr>
        <w:t xml:space="preserve"> </w:t>
      </w:r>
      <w:r w:rsidR="00577A4F" w:rsidRPr="009D52FD">
        <w:rPr>
          <w:sz w:val="20"/>
          <w:szCs w:val="20"/>
          <w:lang w:val="en-US"/>
        </w:rPr>
        <w:t>7</w:t>
      </w:r>
      <w:r w:rsidRPr="009D52FD">
        <w:rPr>
          <w:sz w:val="20"/>
          <w:szCs w:val="20"/>
          <w:lang w:val="en-US"/>
        </w:rPr>
        <w:t xml:space="preserve"> of the </w:t>
      </w:r>
      <w:r w:rsidR="00D32B3E" w:rsidRPr="009D52FD">
        <w:rPr>
          <w:rFonts w:eastAsia="Times"/>
          <w:sz w:val="20"/>
          <w:szCs w:val="20"/>
          <w:lang w:val="en-US"/>
        </w:rPr>
        <w:t>Inter-American Convention for the Prevention, Punishment and Eradication of Violence against Women</w:t>
      </w:r>
      <w:r w:rsidR="00DC2372" w:rsidRPr="009D52FD">
        <w:rPr>
          <w:rFonts w:eastAsia="Times"/>
          <w:sz w:val="20"/>
          <w:szCs w:val="20"/>
          <w:lang w:val="en-US"/>
        </w:rPr>
        <w:t>,</w:t>
      </w:r>
      <w:r w:rsidRPr="009D52FD">
        <w:rPr>
          <w:sz w:val="20"/>
          <w:szCs w:val="20"/>
          <w:lang w:val="en-US"/>
        </w:rPr>
        <w:t xml:space="preserve"> and Articles</w:t>
      </w:r>
      <w:r w:rsidR="00A65984" w:rsidRPr="009D52FD">
        <w:rPr>
          <w:sz w:val="20"/>
          <w:szCs w:val="20"/>
          <w:lang w:val="en-US"/>
        </w:rPr>
        <w:t xml:space="preserve"> 1, 6</w:t>
      </w:r>
      <w:r w:rsidRPr="009D52FD">
        <w:rPr>
          <w:sz w:val="20"/>
          <w:szCs w:val="20"/>
          <w:lang w:val="en-US"/>
        </w:rPr>
        <w:t xml:space="preserve"> and </w:t>
      </w:r>
      <w:r w:rsidR="00A65984" w:rsidRPr="009D52FD">
        <w:rPr>
          <w:sz w:val="20"/>
          <w:szCs w:val="20"/>
          <w:lang w:val="en-US"/>
        </w:rPr>
        <w:t>8</w:t>
      </w:r>
      <w:r w:rsidRPr="009D52FD">
        <w:rPr>
          <w:sz w:val="20"/>
          <w:szCs w:val="20"/>
          <w:lang w:val="en-US"/>
        </w:rPr>
        <w:t xml:space="preserve"> of the </w:t>
      </w:r>
      <w:r w:rsidR="00D32B3E" w:rsidRPr="009D52FD">
        <w:rPr>
          <w:sz w:val="20"/>
          <w:szCs w:val="20"/>
          <w:lang w:val="en-US"/>
        </w:rPr>
        <w:t>Inter-American Convention to Prevent and Punish Torture</w:t>
      </w:r>
      <w:r w:rsidR="00A65984" w:rsidRPr="009D52FD">
        <w:rPr>
          <w:sz w:val="20"/>
          <w:szCs w:val="20"/>
          <w:lang w:val="en-US"/>
        </w:rPr>
        <w:t>,</w:t>
      </w:r>
      <w:r w:rsidR="00577A4F" w:rsidRPr="009D52FD">
        <w:rPr>
          <w:sz w:val="20"/>
          <w:szCs w:val="20"/>
          <w:lang w:val="en-US"/>
        </w:rPr>
        <w:t xml:space="preserve"> </w:t>
      </w:r>
      <w:r w:rsidR="00483040" w:rsidRPr="009D52FD">
        <w:rPr>
          <w:sz w:val="20"/>
          <w:szCs w:val="20"/>
          <w:lang w:val="en-US"/>
        </w:rPr>
        <w:t>to the detriment of</w:t>
      </w:r>
      <w:r w:rsidR="00577A4F" w:rsidRPr="009D52FD">
        <w:rPr>
          <w:sz w:val="20"/>
          <w:szCs w:val="20"/>
          <w:lang w:val="en-US"/>
        </w:rPr>
        <w:t xml:space="preserve"> Linda Loaiza López Soto, </w:t>
      </w:r>
      <w:r w:rsidR="00996337" w:rsidRPr="009D52FD">
        <w:rPr>
          <w:sz w:val="20"/>
          <w:szCs w:val="20"/>
          <w:lang w:val="en-US"/>
        </w:rPr>
        <w:t>pursuant to</w:t>
      </w:r>
      <w:r w:rsidR="00577A4F" w:rsidRPr="009D52FD">
        <w:rPr>
          <w:sz w:val="20"/>
          <w:szCs w:val="20"/>
          <w:lang w:val="en-US"/>
        </w:rPr>
        <w:t xml:space="preserve"> </w:t>
      </w:r>
      <w:r w:rsidR="009459E7" w:rsidRPr="009D52FD">
        <w:rPr>
          <w:sz w:val="20"/>
          <w:szCs w:val="20"/>
          <w:lang w:val="en-US"/>
        </w:rPr>
        <w:t>paragraph</w:t>
      </w:r>
      <w:r w:rsidR="00577A4F" w:rsidRPr="009D52FD">
        <w:rPr>
          <w:sz w:val="20"/>
          <w:szCs w:val="20"/>
          <w:lang w:val="en-US"/>
        </w:rPr>
        <w:t xml:space="preserve">s </w:t>
      </w:r>
      <w:r w:rsidR="00235B47" w:rsidRPr="009D52FD">
        <w:rPr>
          <w:sz w:val="20"/>
          <w:szCs w:val="20"/>
          <w:lang w:val="en-US"/>
        </w:rPr>
        <w:t>213</w:t>
      </w:r>
      <w:r w:rsidR="00577A4F" w:rsidRPr="009D52FD">
        <w:rPr>
          <w:sz w:val="20"/>
          <w:szCs w:val="20"/>
          <w:lang w:val="en-US"/>
        </w:rPr>
        <w:t xml:space="preserve"> </w:t>
      </w:r>
      <w:r w:rsidR="00996337" w:rsidRPr="009D52FD">
        <w:rPr>
          <w:sz w:val="20"/>
          <w:szCs w:val="20"/>
          <w:lang w:val="en-US"/>
        </w:rPr>
        <w:t>to</w:t>
      </w:r>
      <w:r w:rsidR="00577A4F" w:rsidRPr="009D52FD">
        <w:rPr>
          <w:sz w:val="20"/>
          <w:szCs w:val="20"/>
          <w:lang w:val="en-US"/>
        </w:rPr>
        <w:t xml:space="preserve"> </w:t>
      </w:r>
      <w:r w:rsidR="00235B47" w:rsidRPr="009D52FD">
        <w:rPr>
          <w:sz w:val="20"/>
          <w:szCs w:val="20"/>
          <w:lang w:val="en-US"/>
        </w:rPr>
        <w:t xml:space="preserve">258 </w:t>
      </w:r>
      <w:r w:rsidR="00996337" w:rsidRPr="009D52FD">
        <w:rPr>
          <w:sz w:val="20"/>
          <w:szCs w:val="20"/>
          <w:lang w:val="en-US"/>
        </w:rPr>
        <w:t>of this judgment</w:t>
      </w:r>
      <w:r w:rsidR="00235B47" w:rsidRPr="009D52FD">
        <w:rPr>
          <w:sz w:val="20"/>
          <w:szCs w:val="20"/>
          <w:lang w:val="en-US"/>
        </w:rPr>
        <w:t>.</w:t>
      </w:r>
    </w:p>
    <w:p w14:paraId="0C870D5F" w14:textId="77777777" w:rsidR="00577A4F" w:rsidRPr="009D52FD" w:rsidRDefault="00577A4F" w:rsidP="00577A4F">
      <w:pPr>
        <w:tabs>
          <w:tab w:val="left" w:pos="720"/>
        </w:tabs>
        <w:spacing w:line="240" w:lineRule="auto"/>
        <w:ind w:right="-90"/>
        <w:contextualSpacing/>
        <w:rPr>
          <w:sz w:val="20"/>
          <w:szCs w:val="20"/>
          <w:lang w:val="en-US"/>
        </w:rPr>
      </w:pPr>
    </w:p>
    <w:p w14:paraId="3418B594" w14:textId="34F2A4C0" w:rsidR="00577A4F" w:rsidRPr="009D52FD" w:rsidRDefault="003630BB" w:rsidP="00577A4F">
      <w:pPr>
        <w:numPr>
          <w:ilvl w:val="0"/>
          <w:numId w:val="7"/>
        </w:numPr>
        <w:tabs>
          <w:tab w:val="left" w:pos="720"/>
        </w:tabs>
        <w:spacing w:line="240" w:lineRule="auto"/>
        <w:ind w:right="-90"/>
        <w:contextualSpacing/>
        <w:rPr>
          <w:sz w:val="20"/>
          <w:szCs w:val="20"/>
          <w:lang w:val="en-US"/>
        </w:rPr>
      </w:pPr>
      <w:r w:rsidRPr="009D52FD">
        <w:rPr>
          <w:sz w:val="20"/>
          <w:szCs w:val="20"/>
          <w:lang w:val="en-US"/>
        </w:rPr>
        <w:t>The State</w:t>
      </w:r>
      <w:r w:rsidR="00577A4F" w:rsidRPr="009D52FD">
        <w:rPr>
          <w:sz w:val="20"/>
          <w:szCs w:val="20"/>
          <w:lang w:val="en-US"/>
        </w:rPr>
        <w:t xml:space="preserve"> </w:t>
      </w:r>
      <w:r w:rsidR="00996337" w:rsidRPr="009D52FD">
        <w:rPr>
          <w:sz w:val="20"/>
          <w:szCs w:val="20"/>
          <w:lang w:val="en-US"/>
        </w:rPr>
        <w:t>is responsible for</w:t>
      </w:r>
      <w:r w:rsidR="00577A4F" w:rsidRPr="009D52FD">
        <w:rPr>
          <w:sz w:val="20"/>
          <w:szCs w:val="20"/>
          <w:lang w:val="en-US"/>
        </w:rPr>
        <w:t xml:space="preserve"> </w:t>
      </w:r>
      <w:r w:rsidR="0064755C" w:rsidRPr="009D52FD">
        <w:rPr>
          <w:sz w:val="20"/>
          <w:szCs w:val="20"/>
          <w:lang w:val="en-US"/>
        </w:rPr>
        <w:t xml:space="preserve">the violation </w:t>
      </w:r>
      <w:r w:rsidR="007D3D4F" w:rsidRPr="009D52FD">
        <w:rPr>
          <w:sz w:val="20"/>
          <w:szCs w:val="20"/>
          <w:lang w:val="en-US"/>
        </w:rPr>
        <w:t>of the right to</w:t>
      </w:r>
      <w:r w:rsidR="00577A4F" w:rsidRPr="009D52FD">
        <w:rPr>
          <w:sz w:val="20"/>
          <w:szCs w:val="20"/>
          <w:lang w:val="en-US"/>
        </w:rPr>
        <w:t xml:space="preserve"> </w:t>
      </w:r>
      <w:r w:rsidR="00997ADF" w:rsidRPr="009D52FD">
        <w:rPr>
          <w:sz w:val="20"/>
          <w:szCs w:val="20"/>
          <w:lang w:val="en-US"/>
        </w:rPr>
        <w:t>personal integrity</w:t>
      </w:r>
      <w:r w:rsidR="009603E8" w:rsidRPr="009D52FD">
        <w:rPr>
          <w:sz w:val="20"/>
          <w:szCs w:val="20"/>
          <w:lang w:val="en-US"/>
        </w:rPr>
        <w:t xml:space="preserve">, </w:t>
      </w:r>
      <w:r w:rsidR="007D3D4F" w:rsidRPr="009D52FD">
        <w:rPr>
          <w:sz w:val="20"/>
          <w:szCs w:val="20"/>
          <w:lang w:val="en-US"/>
        </w:rPr>
        <w:t>recognized in</w:t>
      </w:r>
      <w:r w:rsidR="009603E8" w:rsidRPr="009D52FD">
        <w:rPr>
          <w:sz w:val="20"/>
          <w:szCs w:val="20"/>
          <w:lang w:val="en-US"/>
        </w:rPr>
        <w:t xml:space="preserve"> </w:t>
      </w:r>
      <w:r w:rsidRPr="009D52FD">
        <w:rPr>
          <w:sz w:val="20"/>
          <w:szCs w:val="20"/>
          <w:lang w:val="en-US"/>
        </w:rPr>
        <w:t>Article</w:t>
      </w:r>
      <w:r w:rsidR="00483040" w:rsidRPr="009D52FD">
        <w:rPr>
          <w:sz w:val="20"/>
          <w:szCs w:val="20"/>
          <w:lang w:val="en-US"/>
        </w:rPr>
        <w:t xml:space="preserve"> 5(1)</w:t>
      </w:r>
      <w:r w:rsidRPr="009D52FD">
        <w:rPr>
          <w:sz w:val="20"/>
          <w:szCs w:val="20"/>
          <w:lang w:val="en-US"/>
        </w:rPr>
        <w:t xml:space="preserve"> of the American Convention</w:t>
      </w:r>
      <w:r w:rsidR="00577A4F" w:rsidRPr="009D52FD">
        <w:rPr>
          <w:sz w:val="20"/>
          <w:szCs w:val="20"/>
          <w:lang w:val="en-US"/>
        </w:rPr>
        <w:t xml:space="preserve"> </w:t>
      </w:r>
      <w:r w:rsidR="00DC2372" w:rsidRPr="009D52FD">
        <w:rPr>
          <w:sz w:val="20"/>
          <w:szCs w:val="20"/>
          <w:lang w:val="en-US"/>
        </w:rPr>
        <w:t>on Human Rights</w:t>
      </w:r>
      <w:r w:rsidR="00577A4F" w:rsidRPr="009D52FD">
        <w:rPr>
          <w:sz w:val="20"/>
          <w:szCs w:val="20"/>
          <w:lang w:val="en-US"/>
        </w:rPr>
        <w:t xml:space="preserve">, </w:t>
      </w:r>
      <w:r w:rsidR="00997ADF" w:rsidRPr="009D52FD">
        <w:rPr>
          <w:sz w:val="20"/>
          <w:szCs w:val="20"/>
          <w:lang w:val="en-US"/>
        </w:rPr>
        <w:t>in relation to</w:t>
      </w:r>
      <w:r w:rsidR="009603E8" w:rsidRPr="009D52FD">
        <w:rPr>
          <w:sz w:val="20"/>
          <w:szCs w:val="20"/>
          <w:lang w:val="en-US"/>
        </w:rPr>
        <w:t xml:space="preserve"> </w:t>
      </w:r>
      <w:r w:rsidR="00483040" w:rsidRPr="009D52FD">
        <w:rPr>
          <w:sz w:val="20"/>
          <w:szCs w:val="20"/>
          <w:lang w:val="en-US"/>
        </w:rPr>
        <w:t>Article 1(1)</w:t>
      </w:r>
      <w:r w:rsidR="009603E8" w:rsidRPr="009D52FD">
        <w:rPr>
          <w:sz w:val="20"/>
          <w:szCs w:val="20"/>
          <w:lang w:val="en-US"/>
        </w:rPr>
        <w:t xml:space="preserve"> </w:t>
      </w:r>
      <w:r w:rsidR="00996337" w:rsidRPr="009D52FD">
        <w:rPr>
          <w:sz w:val="20"/>
          <w:szCs w:val="20"/>
          <w:lang w:val="en-US"/>
        </w:rPr>
        <w:t>of this instrument</w:t>
      </w:r>
      <w:r w:rsidR="009603E8" w:rsidRPr="009D52FD">
        <w:rPr>
          <w:sz w:val="20"/>
          <w:szCs w:val="20"/>
          <w:lang w:val="en-US"/>
        </w:rPr>
        <w:t xml:space="preserve">, </w:t>
      </w:r>
      <w:r w:rsidR="00483040" w:rsidRPr="009D52FD">
        <w:rPr>
          <w:sz w:val="20"/>
          <w:szCs w:val="20"/>
          <w:lang w:val="en-US"/>
        </w:rPr>
        <w:t>to the detriment of</w:t>
      </w:r>
      <w:r w:rsidR="00577A4F" w:rsidRPr="009D52FD">
        <w:rPr>
          <w:sz w:val="20"/>
          <w:szCs w:val="20"/>
          <w:lang w:val="en-US"/>
        </w:rPr>
        <w:t xml:space="preserve"> Nelson López Meza, Paulina Soto </w:t>
      </w:r>
      <w:r w:rsidR="003A093C" w:rsidRPr="009D52FD">
        <w:rPr>
          <w:sz w:val="20"/>
          <w:szCs w:val="20"/>
          <w:lang w:val="en-US"/>
        </w:rPr>
        <w:t>Chaustre</w:t>
      </w:r>
      <w:r w:rsidR="00577A4F" w:rsidRPr="009D52FD">
        <w:rPr>
          <w:sz w:val="20"/>
          <w:szCs w:val="20"/>
          <w:lang w:val="en-US"/>
        </w:rPr>
        <w:t xml:space="preserve">, Ana Secilia López Soto, Diana Carolina López Soto, Anyi Karina López Soto, Nelson Enrique López </w:t>
      </w:r>
      <w:r w:rsidR="00BD6749" w:rsidRPr="009D52FD">
        <w:rPr>
          <w:sz w:val="20"/>
          <w:szCs w:val="20"/>
          <w:lang w:val="en-US"/>
        </w:rPr>
        <w:t>S</w:t>
      </w:r>
      <w:r w:rsidR="00577A4F" w:rsidRPr="009D52FD">
        <w:rPr>
          <w:sz w:val="20"/>
          <w:szCs w:val="20"/>
          <w:lang w:val="en-US"/>
        </w:rPr>
        <w:t>oto, Elith Johana López Soto,</w:t>
      </w:r>
      <w:r w:rsidR="00FA5A6A" w:rsidRPr="009D52FD">
        <w:rPr>
          <w:sz w:val="20"/>
          <w:szCs w:val="20"/>
          <w:lang w:val="en-US"/>
        </w:rPr>
        <w:t xml:space="preserve"> </w:t>
      </w:r>
      <w:r w:rsidR="00FA5A6A" w:rsidRPr="009D52FD">
        <w:rPr>
          <w:rFonts w:eastAsia="Verdana" w:cs="Verdana"/>
          <w:sz w:val="20"/>
          <w:szCs w:val="20"/>
          <w:lang w:val="en-US"/>
        </w:rPr>
        <w:t>Gerson José López Soto,</w:t>
      </w:r>
      <w:r w:rsidR="00577A4F" w:rsidRPr="009D52FD">
        <w:rPr>
          <w:sz w:val="20"/>
          <w:szCs w:val="20"/>
          <w:lang w:val="en-US"/>
        </w:rPr>
        <w:t xml:space="preserve"> Yusmely del Valle López Soto, Luz Paulina López Soto, José Isidro López Soto</w:t>
      </w:r>
      <w:r w:rsidRPr="009D52FD">
        <w:rPr>
          <w:sz w:val="20"/>
          <w:szCs w:val="20"/>
          <w:lang w:val="en-US"/>
        </w:rPr>
        <w:t xml:space="preserve"> and </w:t>
      </w:r>
      <w:r w:rsidR="00577A4F" w:rsidRPr="009D52FD">
        <w:rPr>
          <w:sz w:val="20"/>
          <w:szCs w:val="20"/>
          <w:lang w:val="en-US"/>
        </w:rPr>
        <w:t xml:space="preserve">Emmanuel </w:t>
      </w:r>
      <w:r w:rsidR="00BD6749" w:rsidRPr="009D52FD">
        <w:rPr>
          <w:sz w:val="20"/>
          <w:szCs w:val="20"/>
          <w:lang w:val="en-US"/>
        </w:rPr>
        <w:t xml:space="preserve">Adrián </w:t>
      </w:r>
      <w:r w:rsidR="00577A4F" w:rsidRPr="009D52FD">
        <w:rPr>
          <w:sz w:val="20"/>
          <w:szCs w:val="20"/>
          <w:lang w:val="en-US"/>
        </w:rPr>
        <w:t xml:space="preserve">López Soto, </w:t>
      </w:r>
      <w:r w:rsidR="00996337" w:rsidRPr="009D52FD">
        <w:rPr>
          <w:rFonts w:eastAsia="Batang"/>
          <w:sz w:val="20"/>
          <w:szCs w:val="20"/>
          <w:lang w:val="en-US"/>
        </w:rPr>
        <w:t>pursuant to</w:t>
      </w:r>
      <w:r w:rsidR="00577A4F" w:rsidRPr="009D52FD">
        <w:rPr>
          <w:rFonts w:eastAsia="Batang"/>
          <w:sz w:val="20"/>
          <w:szCs w:val="20"/>
          <w:lang w:val="en-US"/>
        </w:rPr>
        <w:t xml:space="preserve"> </w:t>
      </w:r>
      <w:r w:rsidR="009459E7" w:rsidRPr="009D52FD">
        <w:rPr>
          <w:rFonts w:eastAsia="Batang"/>
          <w:sz w:val="20"/>
          <w:szCs w:val="20"/>
          <w:lang w:val="en-US"/>
        </w:rPr>
        <w:t>paragraph</w:t>
      </w:r>
      <w:r w:rsidR="00577A4F" w:rsidRPr="009D52FD">
        <w:rPr>
          <w:rFonts w:eastAsia="Batang"/>
          <w:sz w:val="20"/>
          <w:szCs w:val="20"/>
          <w:lang w:val="en-US"/>
        </w:rPr>
        <w:t xml:space="preserve">s </w:t>
      </w:r>
      <w:r w:rsidR="00235B47" w:rsidRPr="009D52FD">
        <w:rPr>
          <w:rFonts w:eastAsia="Batang"/>
          <w:sz w:val="20"/>
          <w:szCs w:val="20"/>
          <w:lang w:val="en-US"/>
        </w:rPr>
        <w:t>262</w:t>
      </w:r>
      <w:r w:rsidR="00577A4F" w:rsidRPr="009D52FD">
        <w:rPr>
          <w:rFonts w:eastAsia="Batang"/>
          <w:sz w:val="20"/>
          <w:szCs w:val="20"/>
          <w:lang w:val="en-US"/>
        </w:rPr>
        <w:t xml:space="preserve"> </w:t>
      </w:r>
      <w:r w:rsidR="007D3D4F" w:rsidRPr="009D52FD">
        <w:rPr>
          <w:rFonts w:eastAsia="Batang"/>
          <w:sz w:val="20"/>
          <w:szCs w:val="20"/>
          <w:lang w:val="en-US"/>
        </w:rPr>
        <w:t>to</w:t>
      </w:r>
      <w:r w:rsidR="00577A4F" w:rsidRPr="009D52FD">
        <w:rPr>
          <w:rFonts w:eastAsia="Batang"/>
          <w:sz w:val="20"/>
          <w:szCs w:val="20"/>
          <w:lang w:val="en-US"/>
        </w:rPr>
        <w:t xml:space="preserve"> </w:t>
      </w:r>
      <w:r w:rsidR="00235B47" w:rsidRPr="009D52FD">
        <w:rPr>
          <w:rFonts w:eastAsia="Batang"/>
          <w:sz w:val="20"/>
          <w:szCs w:val="20"/>
          <w:lang w:val="en-US"/>
        </w:rPr>
        <w:t>267</w:t>
      </w:r>
      <w:r w:rsidR="00577A4F" w:rsidRPr="009D52FD">
        <w:rPr>
          <w:rFonts w:eastAsia="Batang"/>
          <w:sz w:val="20"/>
          <w:szCs w:val="20"/>
          <w:lang w:val="en-US"/>
        </w:rPr>
        <w:t xml:space="preserve"> </w:t>
      </w:r>
      <w:r w:rsidR="00EB0EB6" w:rsidRPr="009D52FD">
        <w:rPr>
          <w:sz w:val="20"/>
          <w:szCs w:val="20"/>
          <w:lang w:val="en-US"/>
        </w:rPr>
        <w:t>of this judgment</w:t>
      </w:r>
      <w:r w:rsidR="00577A4F" w:rsidRPr="009D52FD">
        <w:rPr>
          <w:sz w:val="20"/>
          <w:szCs w:val="20"/>
          <w:lang w:val="en-US"/>
        </w:rPr>
        <w:t>.</w:t>
      </w:r>
    </w:p>
    <w:p w14:paraId="32FAADDB" w14:textId="77777777" w:rsidR="00577A4F" w:rsidRPr="009D52FD" w:rsidRDefault="00577A4F" w:rsidP="00577A4F">
      <w:pPr>
        <w:tabs>
          <w:tab w:val="left" w:pos="720"/>
        </w:tabs>
        <w:spacing w:line="240" w:lineRule="auto"/>
        <w:ind w:right="-90"/>
        <w:contextualSpacing/>
        <w:rPr>
          <w:sz w:val="20"/>
          <w:szCs w:val="20"/>
          <w:lang w:val="en-US"/>
        </w:rPr>
      </w:pPr>
    </w:p>
    <w:p w14:paraId="55EC8226" w14:textId="31A5C641" w:rsidR="00577A4F" w:rsidRPr="009D52FD" w:rsidRDefault="00996337" w:rsidP="00577A4F">
      <w:pPr>
        <w:tabs>
          <w:tab w:val="left" w:pos="720"/>
        </w:tabs>
        <w:spacing w:line="240" w:lineRule="auto"/>
        <w:ind w:right="-90"/>
        <w:contextualSpacing/>
        <w:rPr>
          <w:rFonts w:eastAsia="MS Mincho"/>
          <w:b/>
          <w:bCs/>
          <w:sz w:val="20"/>
          <w:szCs w:val="20"/>
          <w:lang w:val="en-US" w:bidi="en-US"/>
        </w:rPr>
      </w:pPr>
      <w:r w:rsidRPr="009D52FD">
        <w:rPr>
          <w:rFonts w:eastAsia="MS Mincho"/>
          <w:b/>
          <w:bCs/>
          <w:sz w:val="20"/>
          <w:szCs w:val="20"/>
          <w:lang w:val="en-US" w:bidi="en-US"/>
        </w:rPr>
        <w:lastRenderedPageBreak/>
        <w:t>AND ESTABLISHES</w:t>
      </w:r>
      <w:r w:rsidR="007D3D4F" w:rsidRPr="009D52FD">
        <w:rPr>
          <w:rFonts w:eastAsia="MS Mincho"/>
          <w:b/>
          <w:bCs/>
          <w:sz w:val="20"/>
          <w:szCs w:val="20"/>
          <w:lang w:val="en-US" w:bidi="en-US"/>
        </w:rPr>
        <w:t>:</w:t>
      </w:r>
    </w:p>
    <w:p w14:paraId="6D49D29B" w14:textId="77777777" w:rsidR="00577A4F" w:rsidRPr="009D52FD" w:rsidRDefault="00577A4F" w:rsidP="00577A4F">
      <w:pPr>
        <w:tabs>
          <w:tab w:val="left" w:pos="720"/>
        </w:tabs>
        <w:spacing w:line="240" w:lineRule="auto"/>
        <w:ind w:right="-90"/>
        <w:contextualSpacing/>
        <w:rPr>
          <w:rFonts w:eastAsia="MS Mincho"/>
          <w:b/>
          <w:bCs/>
          <w:sz w:val="20"/>
          <w:szCs w:val="20"/>
          <w:lang w:val="en-US" w:bidi="en-US"/>
        </w:rPr>
      </w:pPr>
    </w:p>
    <w:p w14:paraId="4421663D" w14:textId="22D33C88" w:rsidR="00577A4F" w:rsidRPr="009D52FD" w:rsidRDefault="007D3D4F" w:rsidP="00577A4F">
      <w:pPr>
        <w:tabs>
          <w:tab w:val="left" w:pos="720"/>
        </w:tabs>
        <w:spacing w:line="240" w:lineRule="auto"/>
        <w:ind w:right="-90"/>
        <w:contextualSpacing/>
        <w:jc w:val="left"/>
        <w:rPr>
          <w:rFonts w:eastAsia="MS Mincho"/>
          <w:sz w:val="20"/>
          <w:szCs w:val="20"/>
          <w:lang w:val="en-US" w:bidi="en-US"/>
        </w:rPr>
      </w:pPr>
      <w:r w:rsidRPr="009D52FD">
        <w:rPr>
          <w:rFonts w:eastAsia="MS Mincho"/>
          <w:sz w:val="20"/>
          <w:szCs w:val="20"/>
          <w:lang w:val="en-US" w:bidi="en-US"/>
        </w:rPr>
        <w:t>Unanimously, that</w:t>
      </w:r>
      <w:r w:rsidR="00577A4F" w:rsidRPr="009D52FD">
        <w:rPr>
          <w:rFonts w:eastAsia="MS Mincho"/>
          <w:bCs/>
          <w:sz w:val="20"/>
          <w:szCs w:val="20"/>
          <w:lang w:val="en-US" w:bidi="en-US"/>
        </w:rPr>
        <w:t>:</w:t>
      </w:r>
    </w:p>
    <w:p w14:paraId="505C1B95" w14:textId="77777777" w:rsidR="00577A4F" w:rsidRPr="009D52FD" w:rsidRDefault="00577A4F" w:rsidP="00577A4F">
      <w:pPr>
        <w:tabs>
          <w:tab w:val="left" w:pos="720"/>
        </w:tabs>
        <w:spacing w:line="240" w:lineRule="auto"/>
        <w:ind w:right="-90"/>
        <w:contextualSpacing/>
        <w:rPr>
          <w:rFonts w:eastAsia="MS Mincho"/>
          <w:bCs/>
          <w:sz w:val="20"/>
          <w:szCs w:val="20"/>
          <w:lang w:val="en-US" w:bidi="en-US"/>
        </w:rPr>
      </w:pPr>
    </w:p>
    <w:p w14:paraId="789B12C5" w14:textId="2E43CC99" w:rsidR="00577A4F" w:rsidRPr="009D52FD" w:rsidRDefault="007D3D4F" w:rsidP="00577A4F">
      <w:pPr>
        <w:numPr>
          <w:ilvl w:val="0"/>
          <w:numId w:val="7"/>
        </w:numPr>
        <w:tabs>
          <w:tab w:val="left" w:pos="720"/>
        </w:tabs>
        <w:spacing w:line="240" w:lineRule="auto"/>
        <w:ind w:right="-90"/>
        <w:contextualSpacing/>
        <w:rPr>
          <w:bCs/>
          <w:sz w:val="20"/>
          <w:szCs w:val="20"/>
          <w:lang w:val="en-US"/>
        </w:rPr>
      </w:pPr>
      <w:r w:rsidRPr="009D52FD">
        <w:rPr>
          <w:sz w:val="20"/>
          <w:szCs w:val="20"/>
          <w:lang w:val="en-US"/>
        </w:rPr>
        <w:t xml:space="preserve">This judgment constitutes, </w:t>
      </w:r>
      <w:r w:rsidRPr="009D52FD">
        <w:rPr>
          <w:i/>
          <w:iCs/>
          <w:sz w:val="20"/>
          <w:szCs w:val="20"/>
          <w:lang w:val="en-US"/>
        </w:rPr>
        <w:t>per se</w:t>
      </w:r>
      <w:r w:rsidRPr="009D52FD">
        <w:rPr>
          <w:sz w:val="20"/>
          <w:szCs w:val="20"/>
          <w:lang w:val="en-US"/>
        </w:rPr>
        <w:t>, a form of reparation.</w:t>
      </w:r>
    </w:p>
    <w:p w14:paraId="702C0221" w14:textId="77777777" w:rsidR="00577A4F" w:rsidRPr="009D52FD" w:rsidRDefault="00577A4F" w:rsidP="00577A4F">
      <w:pPr>
        <w:spacing w:line="240" w:lineRule="auto"/>
        <w:rPr>
          <w:sz w:val="20"/>
          <w:szCs w:val="20"/>
          <w:lang w:val="en-US"/>
        </w:rPr>
      </w:pPr>
    </w:p>
    <w:p w14:paraId="635AA1D9" w14:textId="0E1BEB13" w:rsidR="00577A4F" w:rsidRPr="009D52FD" w:rsidRDefault="00DC2372" w:rsidP="00577A4F">
      <w:pPr>
        <w:numPr>
          <w:ilvl w:val="0"/>
          <w:numId w:val="7"/>
        </w:numPr>
        <w:tabs>
          <w:tab w:val="left" w:pos="720"/>
        </w:tabs>
        <w:spacing w:line="240" w:lineRule="auto"/>
        <w:ind w:right="-90"/>
        <w:contextualSpacing/>
        <w:rPr>
          <w:bCs/>
          <w:sz w:val="20"/>
          <w:szCs w:val="20"/>
          <w:lang w:val="en-US"/>
        </w:rPr>
      </w:pPr>
      <w:r w:rsidRPr="009D52FD">
        <w:rPr>
          <w:rFonts w:eastAsia="MS Mincho" w:cs="Verdana"/>
          <w:sz w:val="20"/>
          <w:szCs w:val="20"/>
          <w:lang w:val="en-US" w:bidi="en-US"/>
        </w:rPr>
        <w:t>The State shall</w:t>
      </w:r>
      <w:r w:rsidR="00577A4F" w:rsidRPr="009D52FD">
        <w:rPr>
          <w:rFonts w:eastAsia="MS Mincho" w:cs="Verdana"/>
          <w:sz w:val="20"/>
          <w:szCs w:val="20"/>
          <w:lang w:val="en-US" w:bidi="en-US"/>
        </w:rPr>
        <w:t xml:space="preserve">, </w:t>
      </w:r>
      <w:r w:rsidR="007D3D4F" w:rsidRPr="009D52FD">
        <w:rPr>
          <w:rFonts w:eastAsia="MS Mincho" w:cs="Verdana"/>
          <w:sz w:val="20"/>
          <w:szCs w:val="20"/>
          <w:lang w:val="en-US" w:bidi="en-US"/>
        </w:rPr>
        <w:t>within a reasonable time</w:t>
      </w:r>
      <w:r w:rsidR="00577A4F" w:rsidRPr="009D52FD">
        <w:rPr>
          <w:rFonts w:eastAsia="MS Mincho" w:cs="Verdana"/>
          <w:sz w:val="20"/>
          <w:szCs w:val="20"/>
          <w:lang w:val="en-US" w:bidi="en-US"/>
        </w:rPr>
        <w:t>, continu</w:t>
      </w:r>
      <w:r w:rsidR="00757706" w:rsidRPr="009D52FD">
        <w:rPr>
          <w:rFonts w:eastAsia="MS Mincho" w:cs="Verdana"/>
          <w:sz w:val="20"/>
          <w:szCs w:val="20"/>
          <w:lang w:val="en-US" w:bidi="en-US"/>
        </w:rPr>
        <w:t xml:space="preserve">e effectively the substantiation of the criminal proceedings underway in the domestic sphere and, as appropriate, punish those responsible for the acts of torture </w:t>
      </w:r>
      <w:r w:rsidR="003630BB" w:rsidRPr="009D52FD">
        <w:rPr>
          <w:rFonts w:eastAsia="MS Mincho" w:cs="Verdana"/>
          <w:sz w:val="20"/>
          <w:szCs w:val="20"/>
          <w:lang w:val="en-US" w:bidi="en-US"/>
        </w:rPr>
        <w:t xml:space="preserve">and </w:t>
      </w:r>
      <w:r w:rsidR="0081578D" w:rsidRPr="009D52FD">
        <w:rPr>
          <w:rFonts w:eastAsia="MS Mincho" w:cs="Verdana"/>
          <w:sz w:val="20"/>
          <w:szCs w:val="20"/>
          <w:lang w:val="en-US" w:bidi="en-US"/>
        </w:rPr>
        <w:t>sexual violence</w:t>
      </w:r>
      <w:r w:rsidR="00577A4F" w:rsidRPr="009D52FD">
        <w:rPr>
          <w:rFonts w:eastAsia="MS Mincho" w:cs="Verdana"/>
          <w:sz w:val="20"/>
          <w:szCs w:val="20"/>
          <w:lang w:val="en-US" w:bidi="en-US"/>
        </w:rPr>
        <w:t xml:space="preserve"> </w:t>
      </w:r>
      <w:r w:rsidR="00757706" w:rsidRPr="009D52FD">
        <w:rPr>
          <w:rFonts w:eastAsia="MS Mincho" w:cs="Verdana"/>
          <w:sz w:val="20"/>
          <w:szCs w:val="20"/>
          <w:lang w:val="en-US" w:bidi="en-US"/>
        </w:rPr>
        <w:t>against</w:t>
      </w:r>
      <w:r w:rsidR="00577A4F" w:rsidRPr="009D52FD">
        <w:rPr>
          <w:rFonts w:eastAsia="MS Mincho" w:cs="Verdana"/>
          <w:sz w:val="20"/>
          <w:szCs w:val="20"/>
          <w:lang w:val="en-US" w:bidi="en-US"/>
        </w:rPr>
        <w:t xml:space="preserve"> Linda Loaiza López Soto, </w:t>
      </w:r>
      <w:r w:rsidRPr="009D52FD">
        <w:rPr>
          <w:rFonts w:eastAsia="MS Mincho" w:cs="Verdana"/>
          <w:sz w:val="20"/>
          <w:szCs w:val="20"/>
          <w:lang w:val="en-US" w:bidi="en-US"/>
        </w:rPr>
        <w:t>pursuant to paragraph</w:t>
      </w:r>
      <w:r w:rsidR="00577A4F" w:rsidRPr="009D52FD">
        <w:rPr>
          <w:rFonts w:eastAsia="MS Mincho" w:cs="Verdana"/>
          <w:sz w:val="20"/>
          <w:szCs w:val="20"/>
          <w:lang w:val="en-US" w:bidi="en-US"/>
        </w:rPr>
        <w:t xml:space="preserve"> </w:t>
      </w:r>
      <w:r w:rsidR="008020A8" w:rsidRPr="009D52FD">
        <w:rPr>
          <w:rFonts w:eastAsia="MS Mincho" w:cs="Verdana"/>
          <w:sz w:val="20"/>
          <w:szCs w:val="20"/>
          <w:lang w:val="en-US" w:bidi="en-US"/>
        </w:rPr>
        <w:t>278</w:t>
      </w:r>
      <w:r w:rsidR="00577A4F" w:rsidRPr="009D52FD">
        <w:rPr>
          <w:rFonts w:eastAsia="MS Mincho" w:cs="Verdana"/>
          <w:sz w:val="20"/>
          <w:szCs w:val="20"/>
          <w:lang w:val="en-US" w:bidi="en-US"/>
        </w:rPr>
        <w:t xml:space="preserve"> </w:t>
      </w:r>
      <w:r w:rsidR="00996337" w:rsidRPr="009D52FD">
        <w:rPr>
          <w:rFonts w:eastAsia="MS Mincho" w:cs="Verdana"/>
          <w:sz w:val="20"/>
          <w:szCs w:val="20"/>
          <w:lang w:val="en-US" w:bidi="en-US"/>
        </w:rPr>
        <w:t>of this judgment</w:t>
      </w:r>
      <w:r w:rsidR="00577A4F" w:rsidRPr="009D52FD">
        <w:rPr>
          <w:rFonts w:eastAsia="MS Mincho" w:cs="Verdana"/>
          <w:sz w:val="20"/>
          <w:szCs w:val="20"/>
          <w:lang w:val="en-US" w:bidi="en-US"/>
        </w:rPr>
        <w:t>.</w:t>
      </w:r>
    </w:p>
    <w:p w14:paraId="26FFF765" w14:textId="77777777" w:rsidR="00577A4F" w:rsidRPr="009D52FD" w:rsidRDefault="00577A4F" w:rsidP="00530E0E">
      <w:pPr>
        <w:tabs>
          <w:tab w:val="left" w:pos="720"/>
        </w:tabs>
        <w:spacing w:line="240" w:lineRule="auto"/>
        <w:ind w:right="-90"/>
        <w:contextualSpacing/>
        <w:rPr>
          <w:bCs/>
          <w:sz w:val="20"/>
          <w:szCs w:val="20"/>
          <w:lang w:val="en-US"/>
        </w:rPr>
      </w:pPr>
    </w:p>
    <w:p w14:paraId="44C2B74E" w14:textId="7EEF1E32" w:rsidR="00577A4F" w:rsidRPr="009D52FD" w:rsidRDefault="00DC2372" w:rsidP="00577A4F">
      <w:pPr>
        <w:numPr>
          <w:ilvl w:val="0"/>
          <w:numId w:val="7"/>
        </w:numPr>
        <w:tabs>
          <w:tab w:val="left" w:pos="720"/>
        </w:tabs>
        <w:spacing w:line="240" w:lineRule="auto"/>
        <w:ind w:right="-90"/>
        <w:contextualSpacing/>
        <w:rPr>
          <w:bCs/>
          <w:sz w:val="20"/>
          <w:szCs w:val="20"/>
          <w:lang w:val="en-US"/>
        </w:rPr>
      </w:pPr>
      <w:r w:rsidRPr="009D52FD">
        <w:rPr>
          <w:rFonts w:eastAsia="MS Mincho" w:cs="Verdana"/>
          <w:sz w:val="20"/>
          <w:szCs w:val="20"/>
          <w:lang w:val="en-US" w:bidi="en-US"/>
        </w:rPr>
        <w:t>The State shall</w:t>
      </w:r>
      <w:r w:rsidR="00577A4F" w:rsidRPr="009D52FD">
        <w:rPr>
          <w:rFonts w:eastAsia="MS Mincho" w:cs="Verdana"/>
          <w:sz w:val="20"/>
          <w:szCs w:val="20"/>
          <w:lang w:val="en-US" w:bidi="en-US"/>
        </w:rPr>
        <w:t xml:space="preserve">, </w:t>
      </w:r>
      <w:r w:rsidR="007D3D4F" w:rsidRPr="009D52FD">
        <w:rPr>
          <w:rFonts w:eastAsia="MS Mincho" w:cs="Verdana"/>
          <w:sz w:val="20"/>
          <w:szCs w:val="20"/>
          <w:lang w:val="en-US" w:bidi="en-US"/>
        </w:rPr>
        <w:t>within a reasonable time</w:t>
      </w:r>
      <w:r w:rsidR="00577A4F" w:rsidRPr="009D52FD">
        <w:rPr>
          <w:rFonts w:eastAsia="MS Mincho" w:cs="Verdana"/>
          <w:sz w:val="20"/>
          <w:szCs w:val="20"/>
          <w:lang w:val="en-US" w:bidi="en-US"/>
        </w:rPr>
        <w:t xml:space="preserve">, </w:t>
      </w:r>
      <w:r w:rsidR="00757706" w:rsidRPr="009D52FD">
        <w:rPr>
          <w:rFonts w:eastAsia="MS Mincho" w:cs="Verdana"/>
          <w:sz w:val="20"/>
          <w:szCs w:val="20"/>
          <w:lang w:val="en-US" w:bidi="en-US"/>
        </w:rPr>
        <w:t xml:space="preserve">conduct the necessary investigations to identify, prosecute and, eventually, punish those responsible for the harassment, attacks and threats opportunely reported by the victims and the lawyer, </w:t>
      </w:r>
      <w:r w:rsidR="00577A4F" w:rsidRPr="009D52FD">
        <w:rPr>
          <w:rFonts w:eastAsia="MS Mincho" w:cs="Verdana"/>
          <w:sz w:val="20"/>
          <w:szCs w:val="20"/>
          <w:lang w:val="en-US" w:bidi="en-US"/>
        </w:rPr>
        <w:t xml:space="preserve">Juan Bernardo Delgado Linares, </w:t>
      </w:r>
      <w:r w:rsidRPr="009D52FD">
        <w:rPr>
          <w:rFonts w:eastAsia="MS Mincho" w:cs="Verdana"/>
          <w:sz w:val="20"/>
          <w:szCs w:val="20"/>
          <w:lang w:val="en-US" w:bidi="en-US"/>
        </w:rPr>
        <w:t>pursuant to paragraph</w:t>
      </w:r>
      <w:r w:rsidR="009A7A06" w:rsidRPr="009D52FD">
        <w:rPr>
          <w:rFonts w:eastAsia="MS Mincho" w:cs="Verdana"/>
          <w:sz w:val="20"/>
          <w:szCs w:val="20"/>
          <w:lang w:val="en-US" w:bidi="en-US"/>
        </w:rPr>
        <w:t xml:space="preserve"> </w:t>
      </w:r>
      <w:r w:rsidR="008020A8" w:rsidRPr="009D52FD">
        <w:rPr>
          <w:rFonts w:eastAsia="MS Mincho" w:cs="Verdana"/>
          <w:sz w:val="20"/>
          <w:szCs w:val="20"/>
          <w:lang w:val="en-US" w:bidi="en-US"/>
        </w:rPr>
        <w:t>279</w:t>
      </w:r>
      <w:r w:rsidR="00577A4F" w:rsidRPr="009D52FD">
        <w:rPr>
          <w:rFonts w:eastAsia="MS Mincho" w:cs="Verdana"/>
          <w:sz w:val="20"/>
          <w:szCs w:val="20"/>
          <w:lang w:val="en-US" w:bidi="en-US"/>
        </w:rPr>
        <w:t xml:space="preserve"> </w:t>
      </w:r>
      <w:r w:rsidR="00996337" w:rsidRPr="009D52FD">
        <w:rPr>
          <w:rFonts w:eastAsia="MS Mincho" w:cs="Verdana"/>
          <w:sz w:val="20"/>
          <w:szCs w:val="20"/>
          <w:lang w:val="en-US" w:bidi="en-US"/>
        </w:rPr>
        <w:t>of this judgment</w:t>
      </w:r>
      <w:r w:rsidR="009A7A06" w:rsidRPr="009D52FD">
        <w:rPr>
          <w:rFonts w:eastAsia="MS Mincho" w:cs="Verdana"/>
          <w:sz w:val="20"/>
          <w:szCs w:val="20"/>
          <w:lang w:val="en-US" w:bidi="en-US"/>
        </w:rPr>
        <w:t>.</w:t>
      </w:r>
    </w:p>
    <w:p w14:paraId="7CFF0E76" w14:textId="77777777" w:rsidR="00577A4F" w:rsidRPr="009D52FD" w:rsidRDefault="00577A4F" w:rsidP="00577A4F">
      <w:pPr>
        <w:tabs>
          <w:tab w:val="left" w:pos="720"/>
        </w:tabs>
        <w:spacing w:line="240" w:lineRule="auto"/>
        <w:ind w:right="-90"/>
        <w:contextualSpacing/>
        <w:rPr>
          <w:bCs/>
          <w:sz w:val="20"/>
          <w:szCs w:val="20"/>
          <w:lang w:val="en-US"/>
        </w:rPr>
      </w:pPr>
    </w:p>
    <w:p w14:paraId="5FDAD0FB" w14:textId="3B909BE5" w:rsidR="009A7A06" w:rsidRPr="009D52FD" w:rsidRDefault="00DC2372" w:rsidP="00757706">
      <w:pPr>
        <w:numPr>
          <w:ilvl w:val="0"/>
          <w:numId w:val="7"/>
        </w:numPr>
        <w:tabs>
          <w:tab w:val="left" w:pos="720"/>
        </w:tabs>
        <w:spacing w:line="240" w:lineRule="auto"/>
        <w:ind w:right="-90"/>
        <w:contextualSpacing/>
        <w:rPr>
          <w:sz w:val="20"/>
          <w:szCs w:val="20"/>
          <w:lang w:val="en-US" w:bidi="en-US"/>
        </w:rPr>
      </w:pPr>
      <w:r w:rsidRPr="009D52FD">
        <w:rPr>
          <w:sz w:val="20"/>
          <w:szCs w:val="20"/>
          <w:lang w:val="en-US" w:bidi="en-US"/>
        </w:rPr>
        <w:t>The State shall</w:t>
      </w:r>
      <w:r w:rsidR="009A7A06" w:rsidRPr="009D52FD">
        <w:rPr>
          <w:sz w:val="20"/>
          <w:szCs w:val="20"/>
          <w:lang w:val="en-US" w:bidi="en-US"/>
        </w:rPr>
        <w:t xml:space="preserve">, </w:t>
      </w:r>
      <w:r w:rsidR="007D3D4F" w:rsidRPr="009D52FD">
        <w:rPr>
          <w:sz w:val="20"/>
          <w:szCs w:val="20"/>
          <w:lang w:val="en-US" w:bidi="en-US"/>
        </w:rPr>
        <w:t>immediately</w:t>
      </w:r>
      <w:r w:rsidR="009A7A06" w:rsidRPr="009D52FD">
        <w:rPr>
          <w:sz w:val="20"/>
          <w:szCs w:val="20"/>
          <w:lang w:val="en-US" w:bidi="en-US"/>
        </w:rPr>
        <w:t xml:space="preserve">, </w:t>
      </w:r>
      <w:r w:rsidR="00757706" w:rsidRPr="009D52FD">
        <w:rPr>
          <w:sz w:val="20"/>
          <w:szCs w:val="20"/>
          <w:lang w:val="en-US" w:bidi="en-US"/>
        </w:rPr>
        <w:t xml:space="preserve">adopt all the necessary measures to ensure that the victims and their legal representatives have all the due guarantees for their safety during the </w:t>
      </w:r>
      <w:r w:rsidR="00EC11EA" w:rsidRPr="009D52FD">
        <w:rPr>
          <w:sz w:val="20"/>
          <w:szCs w:val="20"/>
          <w:lang w:val="en-US" w:bidi="en-US"/>
        </w:rPr>
        <w:t>implementation</w:t>
      </w:r>
      <w:r w:rsidR="00757706" w:rsidRPr="009D52FD">
        <w:rPr>
          <w:sz w:val="20"/>
          <w:szCs w:val="20"/>
          <w:lang w:val="en-US" w:bidi="en-US"/>
        </w:rPr>
        <w:t xml:space="preserve"> of the investigations and judicial proceedings ordered above, as established in </w:t>
      </w:r>
      <w:r w:rsidR="009459E7" w:rsidRPr="009D52FD">
        <w:rPr>
          <w:rFonts w:eastAsia="MS Mincho" w:cs="Verdana"/>
          <w:sz w:val="20"/>
          <w:szCs w:val="20"/>
          <w:lang w:val="en-US" w:bidi="en-US"/>
        </w:rPr>
        <w:t>paragraph</w:t>
      </w:r>
      <w:r w:rsidR="009A7A06" w:rsidRPr="009D52FD">
        <w:rPr>
          <w:rFonts w:eastAsia="MS Mincho" w:cs="Verdana"/>
          <w:sz w:val="20"/>
          <w:szCs w:val="20"/>
          <w:lang w:val="en-US" w:bidi="en-US"/>
        </w:rPr>
        <w:t xml:space="preserve"> </w:t>
      </w:r>
      <w:r w:rsidR="008020A8" w:rsidRPr="009D52FD">
        <w:rPr>
          <w:rFonts w:eastAsia="MS Mincho" w:cs="Verdana"/>
          <w:sz w:val="20"/>
          <w:szCs w:val="20"/>
          <w:lang w:val="en-US" w:bidi="en-US"/>
        </w:rPr>
        <w:t>280</w:t>
      </w:r>
      <w:r w:rsidR="009A7A06" w:rsidRPr="009D52FD">
        <w:rPr>
          <w:rFonts w:eastAsia="MS Mincho" w:cs="Verdana"/>
          <w:sz w:val="20"/>
          <w:szCs w:val="20"/>
          <w:lang w:val="en-US" w:bidi="en-US"/>
        </w:rPr>
        <w:t xml:space="preserve"> </w:t>
      </w:r>
      <w:r w:rsidR="00996337" w:rsidRPr="009D52FD">
        <w:rPr>
          <w:rFonts w:eastAsia="MS Mincho" w:cs="Verdana"/>
          <w:sz w:val="20"/>
          <w:szCs w:val="20"/>
          <w:lang w:val="en-US" w:bidi="en-US"/>
        </w:rPr>
        <w:t>of this judgment</w:t>
      </w:r>
      <w:r w:rsidR="009A7A06" w:rsidRPr="009D52FD">
        <w:rPr>
          <w:rFonts w:eastAsia="MS Mincho" w:cs="Verdana"/>
          <w:sz w:val="20"/>
          <w:szCs w:val="20"/>
          <w:lang w:val="en-US" w:bidi="en-US"/>
        </w:rPr>
        <w:t>.</w:t>
      </w:r>
    </w:p>
    <w:p w14:paraId="689020CC" w14:textId="77777777" w:rsidR="009A7A06" w:rsidRPr="009D52FD" w:rsidRDefault="009A7A06" w:rsidP="00577A4F">
      <w:pPr>
        <w:tabs>
          <w:tab w:val="left" w:pos="720"/>
        </w:tabs>
        <w:spacing w:line="240" w:lineRule="auto"/>
        <w:ind w:right="-90"/>
        <w:contextualSpacing/>
        <w:rPr>
          <w:bCs/>
          <w:sz w:val="20"/>
          <w:szCs w:val="20"/>
          <w:lang w:val="en-US"/>
        </w:rPr>
      </w:pPr>
    </w:p>
    <w:p w14:paraId="7C47165C" w14:textId="2774579D" w:rsidR="00577A4F" w:rsidRPr="009D52FD" w:rsidRDefault="00DC2372" w:rsidP="00757706">
      <w:pPr>
        <w:numPr>
          <w:ilvl w:val="0"/>
          <w:numId w:val="7"/>
        </w:numPr>
        <w:tabs>
          <w:tab w:val="left" w:pos="720"/>
        </w:tabs>
        <w:spacing w:line="240" w:lineRule="auto"/>
        <w:ind w:right="-90"/>
        <w:contextualSpacing/>
        <w:rPr>
          <w:bCs/>
          <w:sz w:val="20"/>
          <w:szCs w:val="20"/>
          <w:lang w:val="en-US"/>
        </w:rPr>
      </w:pPr>
      <w:r w:rsidRPr="009D52FD">
        <w:rPr>
          <w:rFonts w:eastAsia="MS Mincho" w:cs="Verdana"/>
          <w:sz w:val="20"/>
          <w:szCs w:val="20"/>
          <w:lang w:val="en-US" w:bidi="en-US"/>
        </w:rPr>
        <w:t>The State shall</w:t>
      </w:r>
      <w:r w:rsidR="00577A4F" w:rsidRPr="009D52FD">
        <w:rPr>
          <w:rFonts w:eastAsia="MS Mincho" w:cs="Verdana"/>
          <w:sz w:val="20"/>
          <w:szCs w:val="20"/>
          <w:lang w:val="en-US" w:bidi="en-US"/>
        </w:rPr>
        <w:t xml:space="preserve">, </w:t>
      </w:r>
      <w:r w:rsidR="007D3D4F" w:rsidRPr="009D52FD">
        <w:rPr>
          <w:rFonts w:eastAsia="MS Mincho" w:cs="Verdana"/>
          <w:sz w:val="20"/>
          <w:szCs w:val="20"/>
          <w:lang w:val="en-US" w:bidi="en-US"/>
        </w:rPr>
        <w:t>within a reasonable time</w:t>
      </w:r>
      <w:r w:rsidR="00577A4F" w:rsidRPr="009D52FD">
        <w:rPr>
          <w:rFonts w:eastAsia="MS Mincho" w:cs="Verdana"/>
          <w:sz w:val="20"/>
          <w:szCs w:val="20"/>
          <w:lang w:val="en-US" w:bidi="en-US"/>
        </w:rPr>
        <w:t>, determin</w:t>
      </w:r>
      <w:r w:rsidR="00757706" w:rsidRPr="009D52FD">
        <w:rPr>
          <w:rFonts w:eastAsia="MS Mincho" w:cs="Verdana"/>
          <w:sz w:val="20"/>
          <w:szCs w:val="20"/>
          <w:lang w:val="en-US" w:bidi="en-US"/>
        </w:rPr>
        <w:t xml:space="preserve">e, through the competent public institutions, the eventual responsibilities of the officials who failed to investigate what happened to </w:t>
      </w:r>
      <w:r w:rsidR="00757706" w:rsidRPr="009D52FD">
        <w:rPr>
          <w:rFonts w:eastAsia="MS Mincho"/>
          <w:sz w:val="20"/>
          <w:szCs w:val="20"/>
          <w:lang w:val="en-US" w:bidi="en-US"/>
        </w:rPr>
        <w:t>Linda Loaiza López Soto immediately, and also those responsible for the irregularities and the unjustified delays during the investigation</w:t>
      </w:r>
      <w:r w:rsidR="00EC11EA" w:rsidRPr="009D52FD">
        <w:rPr>
          <w:rFonts w:eastAsia="MS Mincho"/>
          <w:sz w:val="20"/>
          <w:szCs w:val="20"/>
          <w:lang w:val="en-US" w:bidi="en-US"/>
        </w:rPr>
        <w:t>s</w:t>
      </w:r>
      <w:r w:rsidR="00757706" w:rsidRPr="009D52FD">
        <w:rPr>
          <w:rFonts w:eastAsia="MS Mincho"/>
          <w:sz w:val="20"/>
          <w:szCs w:val="20"/>
          <w:lang w:val="en-US" w:bidi="en-US"/>
        </w:rPr>
        <w:t xml:space="preserve"> and the judicial proceedings conducted in the domestic sphere and, as appropriate, apply the legal consequences,</w:t>
      </w:r>
      <w:r w:rsidR="00757706" w:rsidRPr="009D52FD">
        <w:rPr>
          <w:bCs/>
          <w:sz w:val="20"/>
          <w:szCs w:val="20"/>
          <w:lang w:val="en-US"/>
        </w:rPr>
        <w:t xml:space="preserve"> </w:t>
      </w:r>
      <w:r w:rsidRPr="009D52FD">
        <w:rPr>
          <w:rFonts w:eastAsia="MS Mincho" w:cs="Verdana"/>
          <w:sz w:val="20"/>
          <w:szCs w:val="20"/>
          <w:lang w:val="en-US" w:bidi="en-US"/>
        </w:rPr>
        <w:t>pursuant to paragraph</w:t>
      </w:r>
      <w:r w:rsidR="009A7A06" w:rsidRPr="009D52FD">
        <w:rPr>
          <w:rFonts w:eastAsia="MS Mincho" w:cs="Verdana"/>
          <w:sz w:val="20"/>
          <w:szCs w:val="20"/>
          <w:lang w:val="en-US" w:bidi="en-US"/>
        </w:rPr>
        <w:t xml:space="preserve"> </w:t>
      </w:r>
      <w:r w:rsidR="00A66442" w:rsidRPr="009D52FD">
        <w:rPr>
          <w:rFonts w:eastAsia="MS Mincho" w:cs="Verdana"/>
          <w:sz w:val="20"/>
          <w:szCs w:val="20"/>
          <w:lang w:val="en-US" w:bidi="en-US"/>
        </w:rPr>
        <w:t>286</w:t>
      </w:r>
      <w:r w:rsidR="009A7A06" w:rsidRPr="009D52FD">
        <w:rPr>
          <w:rFonts w:eastAsia="MS Mincho" w:cs="Verdana"/>
          <w:sz w:val="20"/>
          <w:szCs w:val="20"/>
          <w:lang w:val="en-US" w:bidi="en-US"/>
        </w:rPr>
        <w:t xml:space="preserve"> </w:t>
      </w:r>
      <w:r w:rsidR="00996337" w:rsidRPr="009D52FD">
        <w:rPr>
          <w:rFonts w:eastAsia="MS Mincho" w:cs="Verdana"/>
          <w:sz w:val="20"/>
          <w:szCs w:val="20"/>
          <w:lang w:val="en-US" w:bidi="en-US"/>
        </w:rPr>
        <w:t>of this judgment</w:t>
      </w:r>
      <w:r w:rsidR="009A7A06" w:rsidRPr="009D52FD">
        <w:rPr>
          <w:rFonts w:eastAsia="MS Mincho" w:cs="Verdana"/>
          <w:sz w:val="20"/>
          <w:szCs w:val="20"/>
          <w:lang w:val="en-US" w:bidi="en-US"/>
        </w:rPr>
        <w:t>.</w:t>
      </w:r>
    </w:p>
    <w:p w14:paraId="4E31C8F9" w14:textId="77777777" w:rsidR="00577A4F" w:rsidRPr="009D52FD" w:rsidRDefault="00577A4F" w:rsidP="00577A4F">
      <w:pPr>
        <w:tabs>
          <w:tab w:val="left" w:pos="720"/>
        </w:tabs>
        <w:spacing w:line="240" w:lineRule="auto"/>
        <w:ind w:right="-90"/>
        <w:contextualSpacing/>
        <w:rPr>
          <w:bCs/>
          <w:sz w:val="20"/>
          <w:szCs w:val="20"/>
          <w:lang w:val="en-US"/>
        </w:rPr>
      </w:pPr>
    </w:p>
    <w:p w14:paraId="66F7D48B" w14:textId="7E35E741" w:rsidR="00577A4F" w:rsidRPr="009D52FD" w:rsidRDefault="00DC2372" w:rsidP="009A7A06">
      <w:pPr>
        <w:numPr>
          <w:ilvl w:val="0"/>
          <w:numId w:val="7"/>
        </w:numPr>
        <w:tabs>
          <w:tab w:val="left" w:pos="720"/>
        </w:tabs>
        <w:spacing w:line="240" w:lineRule="auto"/>
        <w:ind w:right="-90"/>
        <w:contextualSpacing/>
        <w:rPr>
          <w:bCs/>
          <w:sz w:val="20"/>
          <w:szCs w:val="20"/>
          <w:lang w:val="en-US"/>
        </w:rPr>
      </w:pPr>
      <w:r w:rsidRPr="009D52FD">
        <w:rPr>
          <w:bCs/>
          <w:sz w:val="20"/>
          <w:szCs w:val="20"/>
          <w:lang w:val="en-US"/>
        </w:rPr>
        <w:t>The State shall</w:t>
      </w:r>
      <w:r w:rsidR="00577A4F" w:rsidRPr="009D52FD">
        <w:rPr>
          <w:rFonts w:eastAsia="Times"/>
          <w:sz w:val="20"/>
          <w:szCs w:val="20"/>
          <w:lang w:val="en-US"/>
        </w:rPr>
        <w:t xml:space="preserve"> </w:t>
      </w:r>
      <w:r w:rsidR="00757706" w:rsidRPr="009D52FD">
        <w:rPr>
          <w:rFonts w:eastAsia="Times"/>
          <w:sz w:val="20"/>
          <w:szCs w:val="20"/>
          <w:lang w:val="en-US"/>
        </w:rPr>
        <w:t>provide</w:t>
      </w:r>
      <w:r w:rsidR="00EC11EA" w:rsidRPr="009D52FD">
        <w:rPr>
          <w:rFonts w:eastAsia="Times"/>
          <w:sz w:val="20"/>
          <w:szCs w:val="20"/>
          <w:lang w:val="en-US"/>
        </w:rPr>
        <w:t>,</w:t>
      </w:r>
      <w:r w:rsidR="00757706" w:rsidRPr="009D52FD">
        <w:rPr>
          <w:rFonts w:eastAsia="Times"/>
          <w:sz w:val="20"/>
          <w:szCs w:val="20"/>
          <w:lang w:val="en-US"/>
        </w:rPr>
        <w:t xml:space="preserve"> free of cost </w:t>
      </w:r>
      <w:r w:rsidR="003630BB" w:rsidRPr="009D52FD">
        <w:rPr>
          <w:rFonts w:eastAsia="MS Mincho"/>
          <w:sz w:val="20"/>
          <w:szCs w:val="20"/>
          <w:lang w:val="en-US" w:bidi="en-US"/>
        </w:rPr>
        <w:t xml:space="preserve">and </w:t>
      </w:r>
      <w:r w:rsidR="007D3D4F" w:rsidRPr="009D52FD">
        <w:rPr>
          <w:rFonts w:eastAsia="MS Mincho"/>
          <w:sz w:val="20"/>
          <w:szCs w:val="20"/>
          <w:lang w:val="en-US" w:bidi="en-US"/>
        </w:rPr>
        <w:t>immediately</w:t>
      </w:r>
      <w:r w:rsidR="009A7A06" w:rsidRPr="009D52FD">
        <w:rPr>
          <w:rFonts w:eastAsia="MS Mincho"/>
          <w:sz w:val="20"/>
          <w:szCs w:val="20"/>
          <w:lang w:val="en-US" w:bidi="en-US"/>
        </w:rPr>
        <w:t xml:space="preserve">, </w:t>
      </w:r>
      <w:r w:rsidR="00757706" w:rsidRPr="009D52FD">
        <w:rPr>
          <w:rFonts w:eastAsia="MS Mincho"/>
          <w:sz w:val="20"/>
          <w:szCs w:val="20"/>
          <w:lang w:val="en-US" w:bidi="en-US"/>
        </w:rPr>
        <w:t xml:space="preserve">appropriate, adequate and effective medical and psychological and/or psychiatric treatment to </w:t>
      </w:r>
      <w:r w:rsidR="009A7A06" w:rsidRPr="009D52FD">
        <w:rPr>
          <w:rFonts w:eastAsia="MS Mincho"/>
          <w:sz w:val="20"/>
          <w:szCs w:val="20"/>
          <w:lang w:val="en-US" w:bidi="en-US"/>
        </w:rPr>
        <w:t xml:space="preserve">Linda Loaiza </w:t>
      </w:r>
      <w:r w:rsidR="008B4EB3" w:rsidRPr="009D52FD">
        <w:rPr>
          <w:rFonts w:eastAsia="MS Mincho"/>
          <w:sz w:val="20"/>
          <w:szCs w:val="20"/>
          <w:lang w:val="en-US" w:bidi="en-US"/>
        </w:rPr>
        <w:t>López Soto</w:t>
      </w:r>
      <w:r w:rsidR="003630BB" w:rsidRPr="009D52FD">
        <w:rPr>
          <w:rFonts w:eastAsia="MS Mincho"/>
          <w:sz w:val="20"/>
          <w:szCs w:val="20"/>
          <w:lang w:val="en-US" w:bidi="en-US"/>
        </w:rPr>
        <w:t xml:space="preserve"> and</w:t>
      </w:r>
      <w:r w:rsidR="00757706" w:rsidRPr="009D52FD">
        <w:rPr>
          <w:rFonts w:eastAsia="MS Mincho"/>
          <w:sz w:val="20"/>
          <w:szCs w:val="20"/>
          <w:lang w:val="en-US" w:bidi="en-US"/>
        </w:rPr>
        <w:t xml:space="preserve"> to the members of her family who have been declared beneficiaries of this judgment, </w:t>
      </w:r>
      <w:r w:rsidR="00EC11EA" w:rsidRPr="009D52FD">
        <w:rPr>
          <w:rFonts w:eastAsia="MS Mincho"/>
          <w:sz w:val="20"/>
          <w:szCs w:val="20"/>
          <w:lang w:val="en-US" w:bidi="en-US"/>
        </w:rPr>
        <w:t>to be</w:t>
      </w:r>
      <w:r w:rsidR="00757706" w:rsidRPr="009D52FD">
        <w:rPr>
          <w:rFonts w:eastAsia="MS Mincho"/>
          <w:sz w:val="20"/>
          <w:szCs w:val="20"/>
          <w:lang w:val="en-US" w:bidi="en-US"/>
        </w:rPr>
        <w:t xml:space="preserve"> provided by professionals of their choice in </w:t>
      </w:r>
      <w:r w:rsidR="00976432" w:rsidRPr="009D52FD">
        <w:rPr>
          <w:rFonts w:eastAsia="MS Mincho"/>
          <w:sz w:val="20"/>
          <w:szCs w:val="20"/>
          <w:lang w:val="en-US" w:bidi="en-US"/>
        </w:rPr>
        <w:t>Venezuela</w:t>
      </w:r>
      <w:r w:rsidR="00577A4F" w:rsidRPr="009D52FD">
        <w:rPr>
          <w:rFonts w:eastAsia="Times"/>
          <w:sz w:val="20"/>
          <w:szCs w:val="20"/>
          <w:lang w:val="en-US"/>
        </w:rPr>
        <w:t xml:space="preserve">, </w:t>
      </w:r>
      <w:r w:rsidRPr="009D52FD">
        <w:rPr>
          <w:rFonts w:eastAsia="Times"/>
          <w:sz w:val="20"/>
          <w:szCs w:val="20"/>
          <w:lang w:val="en-US"/>
        </w:rPr>
        <w:t>pursuant to paragraph</w:t>
      </w:r>
      <w:r w:rsidR="00577A4F" w:rsidRPr="009D52FD">
        <w:rPr>
          <w:rFonts w:eastAsia="Times"/>
          <w:sz w:val="20"/>
          <w:szCs w:val="20"/>
          <w:lang w:val="en-US"/>
        </w:rPr>
        <w:t xml:space="preserve"> </w:t>
      </w:r>
      <w:r w:rsidR="008B4EB3" w:rsidRPr="009D52FD">
        <w:rPr>
          <w:rFonts w:eastAsia="Times"/>
          <w:sz w:val="20"/>
          <w:szCs w:val="20"/>
          <w:lang w:val="en-US"/>
        </w:rPr>
        <w:t>293</w:t>
      </w:r>
      <w:r w:rsidR="00577A4F" w:rsidRPr="009D52FD">
        <w:rPr>
          <w:rFonts w:eastAsia="Times"/>
          <w:sz w:val="20"/>
          <w:szCs w:val="20"/>
          <w:lang w:val="en-US"/>
        </w:rPr>
        <w:t xml:space="preserve"> </w:t>
      </w:r>
      <w:r w:rsidR="00996337" w:rsidRPr="009D52FD">
        <w:rPr>
          <w:rFonts w:eastAsia="Times"/>
          <w:sz w:val="20"/>
          <w:szCs w:val="20"/>
          <w:lang w:val="en-US"/>
        </w:rPr>
        <w:t>of this judgment</w:t>
      </w:r>
      <w:r w:rsidR="00577A4F" w:rsidRPr="009D52FD">
        <w:rPr>
          <w:rFonts w:eastAsia="Times"/>
          <w:sz w:val="20"/>
          <w:szCs w:val="20"/>
          <w:lang w:val="en-US"/>
        </w:rPr>
        <w:t>.</w:t>
      </w:r>
    </w:p>
    <w:p w14:paraId="4CA1BB67" w14:textId="77777777" w:rsidR="009A7A06" w:rsidRPr="009D52FD" w:rsidRDefault="009A7A06" w:rsidP="009A7A06">
      <w:pPr>
        <w:tabs>
          <w:tab w:val="left" w:pos="720"/>
        </w:tabs>
        <w:spacing w:line="240" w:lineRule="auto"/>
        <w:ind w:right="-90"/>
        <w:contextualSpacing/>
        <w:rPr>
          <w:bCs/>
          <w:sz w:val="20"/>
          <w:szCs w:val="20"/>
          <w:lang w:val="en-US"/>
        </w:rPr>
      </w:pPr>
    </w:p>
    <w:p w14:paraId="739F2F43" w14:textId="1B72A707" w:rsidR="00D902B5" w:rsidRPr="009D52FD" w:rsidRDefault="00DC2372" w:rsidP="00976432">
      <w:pPr>
        <w:numPr>
          <w:ilvl w:val="0"/>
          <w:numId w:val="7"/>
        </w:numPr>
        <w:tabs>
          <w:tab w:val="left" w:pos="720"/>
        </w:tabs>
        <w:spacing w:line="240" w:lineRule="auto"/>
        <w:ind w:right="-90"/>
        <w:contextualSpacing/>
        <w:rPr>
          <w:rFonts w:eastAsia="MS Mincho" w:cs="Verdana"/>
          <w:sz w:val="20"/>
          <w:szCs w:val="20"/>
          <w:lang w:val="en-US" w:bidi="en-US"/>
        </w:rPr>
      </w:pPr>
      <w:r w:rsidRPr="009D52FD">
        <w:rPr>
          <w:rFonts w:eastAsia="MS Mincho" w:cs="Verdana"/>
          <w:bCs/>
          <w:sz w:val="20"/>
          <w:szCs w:val="20"/>
          <w:lang w:val="en-US" w:bidi="en-US"/>
        </w:rPr>
        <w:t>The State shall</w:t>
      </w:r>
      <w:r w:rsidR="00D902B5" w:rsidRPr="009D52FD">
        <w:rPr>
          <w:rFonts w:eastAsia="MS Mincho" w:cs="Verdana"/>
          <w:bCs/>
          <w:sz w:val="20"/>
          <w:szCs w:val="20"/>
          <w:lang w:val="en-US" w:bidi="en-US"/>
        </w:rPr>
        <w:t xml:space="preserve"> pa</w:t>
      </w:r>
      <w:r w:rsidR="00757706" w:rsidRPr="009D52FD">
        <w:rPr>
          <w:rFonts w:eastAsia="MS Mincho" w:cs="Verdana"/>
          <w:bCs/>
          <w:sz w:val="20"/>
          <w:szCs w:val="20"/>
          <w:lang w:val="en-US" w:bidi="en-US"/>
        </w:rPr>
        <w:t>y</w:t>
      </w:r>
      <w:r w:rsidR="00D902B5" w:rsidRPr="009D52FD">
        <w:rPr>
          <w:rFonts w:eastAsia="MS Mincho" w:cs="Verdana"/>
          <w:bCs/>
          <w:sz w:val="20"/>
          <w:szCs w:val="20"/>
          <w:lang w:val="en-US" w:bidi="en-US"/>
        </w:rPr>
        <w:t xml:space="preserve"> Diana Carolina López Soto </w:t>
      </w:r>
      <w:r w:rsidR="00757706" w:rsidRPr="009D52FD">
        <w:rPr>
          <w:rFonts w:eastAsia="MS Mincho" w:cs="Verdana"/>
          <w:bCs/>
          <w:sz w:val="20"/>
          <w:szCs w:val="20"/>
          <w:lang w:val="en-US" w:bidi="en-US"/>
        </w:rPr>
        <w:t xml:space="preserve">the sum established to cover the costs of medical and psychological and/or psychiatric treatment, </w:t>
      </w:r>
      <w:r w:rsidRPr="009D52FD">
        <w:rPr>
          <w:rFonts w:eastAsia="MS Mincho" w:cs="Verdana"/>
          <w:bCs/>
          <w:sz w:val="20"/>
          <w:szCs w:val="20"/>
          <w:lang w:val="en-US" w:bidi="en-US"/>
        </w:rPr>
        <w:t>pursuant to paragraph</w:t>
      </w:r>
      <w:r w:rsidR="00FA5A6A" w:rsidRPr="009D52FD">
        <w:rPr>
          <w:rFonts w:eastAsia="MS Mincho" w:cs="Verdana"/>
          <w:bCs/>
          <w:sz w:val="20"/>
          <w:szCs w:val="20"/>
          <w:lang w:val="en-US" w:bidi="en-US"/>
        </w:rPr>
        <w:t xml:space="preserve"> </w:t>
      </w:r>
      <w:r w:rsidR="001746FB" w:rsidRPr="009D52FD">
        <w:rPr>
          <w:rFonts w:eastAsia="MS Mincho" w:cs="Verdana"/>
          <w:bCs/>
          <w:sz w:val="20"/>
          <w:szCs w:val="20"/>
          <w:lang w:val="en-US" w:bidi="en-US"/>
        </w:rPr>
        <w:t>294</w:t>
      </w:r>
      <w:r w:rsidR="00D902B5" w:rsidRPr="009D52FD">
        <w:rPr>
          <w:rFonts w:eastAsia="MS Mincho" w:cs="Verdana"/>
          <w:bCs/>
          <w:sz w:val="20"/>
          <w:szCs w:val="20"/>
          <w:lang w:val="en-US" w:bidi="en-US"/>
        </w:rPr>
        <w:t xml:space="preserve"> </w:t>
      </w:r>
      <w:r w:rsidR="00EB0EB6" w:rsidRPr="009D52FD">
        <w:rPr>
          <w:rFonts w:eastAsia="MS Mincho" w:cs="Verdana"/>
          <w:bCs/>
          <w:sz w:val="20"/>
          <w:szCs w:val="20"/>
          <w:lang w:val="en-US" w:bidi="en-US"/>
        </w:rPr>
        <w:t>of this judgment</w:t>
      </w:r>
      <w:r w:rsidR="00D902B5" w:rsidRPr="009D52FD">
        <w:rPr>
          <w:rFonts w:eastAsia="MS Mincho" w:cs="Verdana"/>
          <w:bCs/>
          <w:sz w:val="20"/>
          <w:szCs w:val="20"/>
          <w:lang w:val="en-US" w:bidi="en-US"/>
        </w:rPr>
        <w:t>.</w:t>
      </w:r>
    </w:p>
    <w:p w14:paraId="3CE51D2B" w14:textId="77777777" w:rsidR="00D902B5" w:rsidRPr="009D52FD" w:rsidRDefault="00D902B5" w:rsidP="009A7A06">
      <w:pPr>
        <w:tabs>
          <w:tab w:val="left" w:pos="720"/>
        </w:tabs>
        <w:spacing w:line="240" w:lineRule="auto"/>
        <w:ind w:right="-90"/>
        <w:contextualSpacing/>
        <w:rPr>
          <w:bCs/>
          <w:sz w:val="20"/>
          <w:szCs w:val="20"/>
          <w:lang w:val="en-US"/>
        </w:rPr>
      </w:pPr>
    </w:p>
    <w:p w14:paraId="3C9CCFF7" w14:textId="6E3A1058" w:rsidR="00577A4F" w:rsidRPr="009D52FD" w:rsidRDefault="00DC2372" w:rsidP="00577A4F">
      <w:pPr>
        <w:numPr>
          <w:ilvl w:val="0"/>
          <w:numId w:val="7"/>
        </w:numPr>
        <w:tabs>
          <w:tab w:val="left" w:pos="720"/>
        </w:tabs>
        <w:spacing w:line="240" w:lineRule="auto"/>
        <w:ind w:right="-90"/>
        <w:contextualSpacing/>
        <w:rPr>
          <w:bCs/>
          <w:sz w:val="20"/>
          <w:szCs w:val="20"/>
          <w:lang w:val="en-US"/>
        </w:rPr>
      </w:pPr>
      <w:r w:rsidRPr="009D52FD">
        <w:rPr>
          <w:bCs/>
          <w:sz w:val="20"/>
          <w:szCs w:val="20"/>
          <w:lang w:val="en-US"/>
        </w:rPr>
        <w:t>The State shall</w:t>
      </w:r>
      <w:r w:rsidR="009A7A06" w:rsidRPr="009D52FD">
        <w:rPr>
          <w:rFonts w:eastAsia="MS Mincho"/>
          <w:sz w:val="20"/>
          <w:szCs w:val="20"/>
          <w:lang w:val="en-US" w:bidi="en-US"/>
        </w:rPr>
        <w:t xml:space="preserve">, </w:t>
      </w:r>
      <w:r w:rsidR="002D30E0" w:rsidRPr="009D52FD">
        <w:rPr>
          <w:rFonts w:eastAsia="MS Mincho"/>
          <w:sz w:val="20"/>
          <w:szCs w:val="20"/>
          <w:lang w:val="en-US" w:bidi="en-US"/>
        </w:rPr>
        <w:t>through its specialized institutions, conduct a comprehensive evaluation of</w:t>
      </w:r>
      <w:r w:rsidR="009A7A06" w:rsidRPr="009D52FD">
        <w:rPr>
          <w:rFonts w:eastAsia="MS Mincho"/>
          <w:sz w:val="20"/>
          <w:szCs w:val="20"/>
          <w:lang w:val="en-US" w:bidi="en-US"/>
        </w:rPr>
        <w:t xml:space="preserve"> </w:t>
      </w:r>
      <w:r w:rsidR="009A7A06" w:rsidRPr="009D52FD">
        <w:rPr>
          <w:bCs/>
          <w:sz w:val="20"/>
          <w:szCs w:val="20"/>
          <w:lang w:val="en-US"/>
        </w:rPr>
        <w:t>Emmanuel</w:t>
      </w:r>
      <w:r w:rsidR="00BD6749" w:rsidRPr="009D52FD">
        <w:rPr>
          <w:bCs/>
          <w:sz w:val="20"/>
          <w:szCs w:val="20"/>
          <w:lang w:val="en-US"/>
        </w:rPr>
        <w:t xml:space="preserve"> Adrián</w:t>
      </w:r>
      <w:r w:rsidR="009A7A06" w:rsidRPr="009D52FD">
        <w:rPr>
          <w:bCs/>
          <w:sz w:val="20"/>
          <w:szCs w:val="20"/>
          <w:lang w:val="en-US"/>
        </w:rPr>
        <w:t xml:space="preserve"> López Soto,</w:t>
      </w:r>
      <w:r w:rsidR="002D30E0" w:rsidRPr="009D52FD">
        <w:rPr>
          <w:bCs/>
          <w:sz w:val="20"/>
          <w:szCs w:val="20"/>
          <w:lang w:val="en-US"/>
        </w:rPr>
        <w:t xml:space="preserve"> in order to provide him with adequate medical and educational treatment, free of charge and</w:t>
      </w:r>
      <w:r w:rsidR="009A7A06" w:rsidRPr="009D52FD">
        <w:rPr>
          <w:bCs/>
          <w:sz w:val="20"/>
          <w:szCs w:val="20"/>
          <w:lang w:val="en-US"/>
        </w:rPr>
        <w:t xml:space="preserve"> </w:t>
      </w:r>
      <w:r w:rsidR="007D3D4F" w:rsidRPr="009D52FD">
        <w:rPr>
          <w:rFonts w:eastAsia="MS Mincho"/>
          <w:sz w:val="20"/>
          <w:szCs w:val="20"/>
          <w:lang w:val="en-US" w:bidi="en-US"/>
        </w:rPr>
        <w:t>immediately</w:t>
      </w:r>
      <w:r w:rsidR="002D30E0" w:rsidRPr="009D52FD">
        <w:rPr>
          <w:rFonts w:eastAsia="MS Mincho"/>
          <w:sz w:val="20"/>
          <w:szCs w:val="20"/>
          <w:lang w:val="en-US" w:bidi="en-US"/>
        </w:rPr>
        <w:t>, so that he may develop his linguistic</w:t>
      </w:r>
      <w:r w:rsidR="00757706" w:rsidRPr="009D52FD">
        <w:rPr>
          <w:rFonts w:eastAsia="MS Mincho"/>
          <w:sz w:val="20"/>
          <w:szCs w:val="20"/>
          <w:lang w:val="en-US" w:bidi="en-US"/>
        </w:rPr>
        <w:t>, cognitive and motor skills, pursuant to</w:t>
      </w:r>
      <w:r w:rsidR="002D30E0" w:rsidRPr="009D52FD">
        <w:rPr>
          <w:rFonts w:eastAsia="MS Mincho"/>
          <w:sz w:val="20"/>
          <w:szCs w:val="20"/>
          <w:lang w:val="en-US" w:bidi="en-US"/>
        </w:rPr>
        <w:t xml:space="preserve"> </w:t>
      </w:r>
      <w:r w:rsidR="009459E7" w:rsidRPr="009D52FD">
        <w:rPr>
          <w:bCs/>
          <w:sz w:val="20"/>
          <w:szCs w:val="20"/>
          <w:lang w:val="en-US"/>
        </w:rPr>
        <w:t>paragraph</w:t>
      </w:r>
      <w:r w:rsidR="005613A1" w:rsidRPr="009D52FD">
        <w:rPr>
          <w:bCs/>
          <w:sz w:val="20"/>
          <w:szCs w:val="20"/>
          <w:lang w:val="en-US"/>
        </w:rPr>
        <w:t xml:space="preserve"> 296</w:t>
      </w:r>
      <w:r w:rsidR="00577A4F" w:rsidRPr="009D52FD">
        <w:rPr>
          <w:bCs/>
          <w:sz w:val="20"/>
          <w:szCs w:val="20"/>
          <w:lang w:val="en-US"/>
        </w:rPr>
        <w:t xml:space="preserve"> </w:t>
      </w:r>
      <w:r w:rsidR="00996337" w:rsidRPr="009D52FD">
        <w:rPr>
          <w:bCs/>
          <w:sz w:val="20"/>
          <w:szCs w:val="20"/>
          <w:lang w:val="en-US"/>
        </w:rPr>
        <w:t>of this judgment</w:t>
      </w:r>
      <w:r w:rsidR="00577A4F" w:rsidRPr="009D52FD">
        <w:rPr>
          <w:bCs/>
          <w:sz w:val="20"/>
          <w:szCs w:val="20"/>
          <w:lang w:val="en-US"/>
        </w:rPr>
        <w:t>.</w:t>
      </w:r>
    </w:p>
    <w:p w14:paraId="66E30C4C" w14:textId="1EB88BE7" w:rsidR="00577A4F" w:rsidRPr="009D52FD" w:rsidRDefault="00577A4F" w:rsidP="00577A4F">
      <w:pPr>
        <w:tabs>
          <w:tab w:val="left" w:pos="720"/>
        </w:tabs>
        <w:spacing w:line="240" w:lineRule="auto"/>
        <w:ind w:right="-90"/>
        <w:contextualSpacing/>
        <w:rPr>
          <w:bCs/>
          <w:sz w:val="20"/>
          <w:szCs w:val="20"/>
          <w:lang w:val="en-US"/>
        </w:rPr>
      </w:pPr>
    </w:p>
    <w:p w14:paraId="2F5BAA15" w14:textId="66BE8290" w:rsidR="00577A4F" w:rsidRPr="009D52FD" w:rsidRDefault="00DC2372" w:rsidP="00577A4F">
      <w:pPr>
        <w:numPr>
          <w:ilvl w:val="0"/>
          <w:numId w:val="7"/>
        </w:numPr>
        <w:tabs>
          <w:tab w:val="left" w:pos="720"/>
        </w:tabs>
        <w:spacing w:line="240" w:lineRule="auto"/>
        <w:ind w:right="-90"/>
        <w:contextualSpacing/>
        <w:rPr>
          <w:bCs/>
          <w:sz w:val="20"/>
          <w:szCs w:val="20"/>
          <w:lang w:val="en-US"/>
        </w:rPr>
      </w:pPr>
      <w:r w:rsidRPr="009D52FD">
        <w:rPr>
          <w:bCs/>
          <w:sz w:val="20"/>
          <w:szCs w:val="20"/>
          <w:lang w:val="en-US"/>
        </w:rPr>
        <w:t>The State shall</w:t>
      </w:r>
      <w:r w:rsidR="00577A4F" w:rsidRPr="009D52FD">
        <w:rPr>
          <w:bCs/>
          <w:sz w:val="20"/>
          <w:szCs w:val="20"/>
          <w:lang w:val="en-US"/>
        </w:rPr>
        <w:t xml:space="preserve"> </w:t>
      </w:r>
      <w:r w:rsidRPr="009D52FD">
        <w:rPr>
          <w:bCs/>
          <w:sz w:val="20"/>
          <w:szCs w:val="20"/>
          <w:lang w:val="en-US"/>
        </w:rPr>
        <w:t>make the publications indicated in</w:t>
      </w:r>
      <w:r w:rsidR="00577A4F" w:rsidRPr="009D52FD">
        <w:rPr>
          <w:bCs/>
          <w:sz w:val="20"/>
          <w:szCs w:val="20"/>
          <w:lang w:val="en-US"/>
        </w:rPr>
        <w:t xml:space="preserve"> </w:t>
      </w:r>
      <w:r w:rsidR="009459E7" w:rsidRPr="009D52FD">
        <w:rPr>
          <w:bCs/>
          <w:sz w:val="20"/>
          <w:szCs w:val="20"/>
          <w:lang w:val="en-US"/>
        </w:rPr>
        <w:t>paragraph</w:t>
      </w:r>
      <w:r w:rsidR="00577A4F" w:rsidRPr="009D52FD">
        <w:rPr>
          <w:bCs/>
          <w:sz w:val="20"/>
          <w:szCs w:val="20"/>
          <w:lang w:val="en-US"/>
        </w:rPr>
        <w:t xml:space="preserve"> </w:t>
      </w:r>
      <w:r w:rsidR="00D4123E" w:rsidRPr="009D52FD">
        <w:rPr>
          <w:bCs/>
          <w:sz w:val="20"/>
          <w:szCs w:val="20"/>
          <w:lang w:val="en-US"/>
        </w:rPr>
        <w:t>299</w:t>
      </w:r>
      <w:r w:rsidR="00577A4F" w:rsidRPr="009D52FD">
        <w:rPr>
          <w:bCs/>
          <w:sz w:val="20"/>
          <w:szCs w:val="20"/>
          <w:lang w:val="en-US"/>
        </w:rPr>
        <w:t xml:space="preserve"> </w:t>
      </w:r>
      <w:r w:rsidR="00EB0EB6" w:rsidRPr="009D52FD">
        <w:rPr>
          <w:bCs/>
          <w:sz w:val="20"/>
          <w:szCs w:val="20"/>
          <w:lang w:val="en-US"/>
        </w:rPr>
        <w:t>of this judgment</w:t>
      </w:r>
      <w:r w:rsidR="00577A4F" w:rsidRPr="009D52FD">
        <w:rPr>
          <w:bCs/>
          <w:sz w:val="20"/>
          <w:szCs w:val="20"/>
          <w:lang w:val="en-US"/>
        </w:rPr>
        <w:t>.</w:t>
      </w:r>
    </w:p>
    <w:p w14:paraId="6A98C5BD" w14:textId="77777777" w:rsidR="00577A4F" w:rsidRPr="009D52FD" w:rsidRDefault="00577A4F" w:rsidP="00577A4F">
      <w:pPr>
        <w:spacing w:line="240" w:lineRule="auto"/>
        <w:ind w:right="-90"/>
        <w:contextualSpacing/>
        <w:rPr>
          <w:rFonts w:eastAsia="MS Mincho"/>
          <w:bCs/>
          <w:sz w:val="20"/>
          <w:szCs w:val="20"/>
          <w:lang w:val="en-US" w:bidi="en-US"/>
        </w:rPr>
      </w:pPr>
    </w:p>
    <w:p w14:paraId="01E6C2E6" w14:textId="720A84C4" w:rsidR="00577A4F" w:rsidRPr="009D52FD" w:rsidRDefault="00DC2372" w:rsidP="00577A4F">
      <w:pPr>
        <w:numPr>
          <w:ilvl w:val="0"/>
          <w:numId w:val="7"/>
        </w:numPr>
        <w:tabs>
          <w:tab w:val="left" w:pos="720"/>
        </w:tabs>
        <w:spacing w:line="240" w:lineRule="auto"/>
        <w:ind w:right="-90"/>
        <w:contextualSpacing/>
        <w:rPr>
          <w:bCs/>
          <w:sz w:val="20"/>
          <w:szCs w:val="20"/>
          <w:lang w:val="en-US"/>
        </w:rPr>
      </w:pPr>
      <w:r w:rsidRPr="009D52FD">
        <w:rPr>
          <w:bCs/>
          <w:sz w:val="20"/>
          <w:szCs w:val="20"/>
          <w:lang w:val="en-US"/>
        </w:rPr>
        <w:t>The State shall</w:t>
      </w:r>
      <w:r w:rsidR="00577A4F" w:rsidRPr="009D52FD">
        <w:rPr>
          <w:bCs/>
          <w:sz w:val="20"/>
          <w:szCs w:val="20"/>
          <w:lang w:val="en-US"/>
        </w:rPr>
        <w:t xml:space="preserve"> </w:t>
      </w:r>
      <w:r w:rsidRPr="009D52FD">
        <w:rPr>
          <w:bCs/>
          <w:sz w:val="20"/>
          <w:szCs w:val="20"/>
          <w:lang w:val="en-US"/>
        </w:rPr>
        <w:t xml:space="preserve">organize a public act to acknowledge </w:t>
      </w:r>
      <w:r w:rsidR="0098665D" w:rsidRPr="009D52FD">
        <w:rPr>
          <w:bCs/>
          <w:sz w:val="20"/>
          <w:szCs w:val="20"/>
          <w:lang w:val="en-US"/>
        </w:rPr>
        <w:t>international responsibility</w:t>
      </w:r>
      <w:r w:rsidR="00577A4F" w:rsidRPr="009D52FD">
        <w:rPr>
          <w:bCs/>
          <w:sz w:val="20"/>
          <w:szCs w:val="20"/>
          <w:lang w:val="en-US"/>
        </w:rPr>
        <w:t xml:space="preserve"> </w:t>
      </w:r>
      <w:r w:rsidRPr="009D52FD">
        <w:rPr>
          <w:bCs/>
          <w:sz w:val="20"/>
          <w:szCs w:val="20"/>
          <w:lang w:val="en-US"/>
        </w:rPr>
        <w:t>i</w:t>
      </w:r>
      <w:r w:rsidR="00577A4F" w:rsidRPr="009D52FD">
        <w:rPr>
          <w:bCs/>
          <w:sz w:val="20"/>
          <w:szCs w:val="20"/>
          <w:lang w:val="en-US"/>
        </w:rPr>
        <w:t xml:space="preserve">n Venezuela, </w:t>
      </w:r>
      <w:r w:rsidRPr="009D52FD">
        <w:rPr>
          <w:bCs/>
          <w:sz w:val="20"/>
          <w:szCs w:val="20"/>
          <w:lang w:val="en-US"/>
        </w:rPr>
        <w:t>as indicated in</w:t>
      </w:r>
      <w:r w:rsidR="00577A4F" w:rsidRPr="009D52FD">
        <w:rPr>
          <w:bCs/>
          <w:sz w:val="20"/>
          <w:szCs w:val="20"/>
          <w:lang w:val="en-US"/>
        </w:rPr>
        <w:t xml:space="preserve"> </w:t>
      </w:r>
      <w:r w:rsidR="009459E7" w:rsidRPr="009D52FD">
        <w:rPr>
          <w:bCs/>
          <w:sz w:val="20"/>
          <w:szCs w:val="20"/>
          <w:lang w:val="en-US"/>
        </w:rPr>
        <w:t>paragraph</w:t>
      </w:r>
      <w:r w:rsidR="00577A4F" w:rsidRPr="009D52FD">
        <w:rPr>
          <w:bCs/>
          <w:sz w:val="20"/>
          <w:szCs w:val="20"/>
          <w:lang w:val="en-US"/>
        </w:rPr>
        <w:t xml:space="preserve"> </w:t>
      </w:r>
      <w:r w:rsidR="00F07550" w:rsidRPr="009D52FD">
        <w:rPr>
          <w:bCs/>
          <w:sz w:val="20"/>
          <w:szCs w:val="20"/>
          <w:lang w:val="en-US"/>
        </w:rPr>
        <w:t>303</w:t>
      </w:r>
      <w:r w:rsidR="005613A1" w:rsidRPr="009D52FD">
        <w:rPr>
          <w:bCs/>
          <w:sz w:val="20"/>
          <w:szCs w:val="20"/>
          <w:lang w:val="en-US"/>
        </w:rPr>
        <w:t xml:space="preserve"> </w:t>
      </w:r>
      <w:r w:rsidR="00996337" w:rsidRPr="009D52FD">
        <w:rPr>
          <w:bCs/>
          <w:sz w:val="20"/>
          <w:szCs w:val="20"/>
          <w:lang w:val="en-US"/>
        </w:rPr>
        <w:t>of this judgment</w:t>
      </w:r>
      <w:r w:rsidR="005613A1" w:rsidRPr="009D52FD">
        <w:rPr>
          <w:bCs/>
          <w:sz w:val="20"/>
          <w:szCs w:val="20"/>
          <w:lang w:val="en-US"/>
        </w:rPr>
        <w:t>.</w:t>
      </w:r>
    </w:p>
    <w:p w14:paraId="0CCF9FDD" w14:textId="77777777" w:rsidR="00577A4F" w:rsidRPr="009D52FD" w:rsidRDefault="00577A4F" w:rsidP="00577A4F">
      <w:pPr>
        <w:tabs>
          <w:tab w:val="left" w:pos="720"/>
        </w:tabs>
        <w:spacing w:line="240" w:lineRule="auto"/>
        <w:ind w:right="-90"/>
        <w:contextualSpacing/>
        <w:rPr>
          <w:bCs/>
          <w:sz w:val="20"/>
          <w:szCs w:val="20"/>
          <w:lang w:val="en-US"/>
        </w:rPr>
      </w:pPr>
    </w:p>
    <w:p w14:paraId="14349E82" w14:textId="4229EBD2" w:rsidR="00577A4F" w:rsidRPr="009D52FD" w:rsidRDefault="00DC2372" w:rsidP="00577A4F">
      <w:pPr>
        <w:numPr>
          <w:ilvl w:val="0"/>
          <w:numId w:val="7"/>
        </w:numPr>
        <w:tabs>
          <w:tab w:val="left" w:pos="720"/>
        </w:tabs>
        <w:spacing w:line="240" w:lineRule="auto"/>
        <w:ind w:right="-90"/>
        <w:contextualSpacing/>
        <w:rPr>
          <w:bCs/>
          <w:sz w:val="20"/>
          <w:szCs w:val="20"/>
          <w:lang w:val="en-US"/>
        </w:rPr>
      </w:pPr>
      <w:r w:rsidRPr="009D52FD">
        <w:rPr>
          <w:bCs/>
          <w:sz w:val="20"/>
          <w:szCs w:val="20"/>
          <w:lang w:val="en-US"/>
        </w:rPr>
        <w:t>The State shall</w:t>
      </w:r>
      <w:r w:rsidR="00577A4F" w:rsidRPr="009D52FD">
        <w:rPr>
          <w:bCs/>
          <w:sz w:val="20"/>
          <w:szCs w:val="20"/>
          <w:lang w:val="en-US"/>
        </w:rPr>
        <w:t xml:space="preserve"> </w:t>
      </w:r>
      <w:r w:rsidR="002D30E0" w:rsidRPr="009D52FD">
        <w:rPr>
          <w:bCs/>
          <w:sz w:val="20"/>
          <w:szCs w:val="20"/>
          <w:lang w:val="en-US"/>
        </w:rPr>
        <w:t>grant</w:t>
      </w:r>
      <w:r w:rsidR="0087540E" w:rsidRPr="009D52FD">
        <w:rPr>
          <w:sz w:val="20"/>
          <w:szCs w:val="20"/>
          <w:lang w:val="en-US"/>
        </w:rPr>
        <w:t xml:space="preserve"> Linda Loaiza</w:t>
      </w:r>
      <w:r w:rsidR="0014406B" w:rsidRPr="009D52FD">
        <w:rPr>
          <w:sz w:val="20"/>
          <w:szCs w:val="20"/>
          <w:lang w:val="en-US"/>
        </w:rPr>
        <w:t xml:space="preserve"> López Soto</w:t>
      </w:r>
      <w:r w:rsidR="0087540E" w:rsidRPr="009D52FD">
        <w:rPr>
          <w:sz w:val="20"/>
          <w:szCs w:val="20"/>
          <w:lang w:val="en-US"/>
        </w:rPr>
        <w:t xml:space="preserve"> </w:t>
      </w:r>
      <w:r w:rsidR="002D30E0" w:rsidRPr="009D52FD">
        <w:rPr>
          <w:sz w:val="20"/>
          <w:szCs w:val="20"/>
          <w:lang w:val="en-US"/>
        </w:rPr>
        <w:t xml:space="preserve">a scholarship so that she may conclude her professional training in a local or foreign university to which she </w:t>
      </w:r>
      <w:r w:rsidR="00EC11EA" w:rsidRPr="009D52FD">
        <w:rPr>
          <w:sz w:val="20"/>
          <w:szCs w:val="20"/>
          <w:lang w:val="en-US"/>
        </w:rPr>
        <w:t>is</w:t>
      </w:r>
      <w:r w:rsidR="002D30E0" w:rsidRPr="009D52FD">
        <w:rPr>
          <w:sz w:val="20"/>
          <w:szCs w:val="20"/>
          <w:lang w:val="en-US"/>
        </w:rPr>
        <w:t xml:space="preserve"> admitted, </w:t>
      </w:r>
      <w:r w:rsidRPr="009D52FD">
        <w:rPr>
          <w:bCs/>
          <w:sz w:val="20"/>
          <w:szCs w:val="20"/>
          <w:lang w:val="en-US"/>
        </w:rPr>
        <w:t>pursuant to paragraph</w:t>
      </w:r>
      <w:r w:rsidR="00577A4F" w:rsidRPr="009D52FD">
        <w:rPr>
          <w:bCs/>
          <w:sz w:val="20"/>
          <w:szCs w:val="20"/>
          <w:lang w:val="en-US"/>
        </w:rPr>
        <w:t xml:space="preserve"> </w:t>
      </w:r>
      <w:r w:rsidR="0014406B" w:rsidRPr="009D52FD">
        <w:rPr>
          <w:bCs/>
          <w:sz w:val="20"/>
          <w:szCs w:val="20"/>
          <w:lang w:val="en-US"/>
        </w:rPr>
        <w:t>310</w:t>
      </w:r>
      <w:r w:rsidR="00C844C9" w:rsidRPr="009D52FD">
        <w:rPr>
          <w:bCs/>
          <w:sz w:val="20"/>
          <w:szCs w:val="20"/>
          <w:lang w:val="en-US"/>
        </w:rPr>
        <w:t xml:space="preserve"> </w:t>
      </w:r>
      <w:r w:rsidR="00996337" w:rsidRPr="009D52FD">
        <w:rPr>
          <w:bCs/>
          <w:sz w:val="20"/>
          <w:szCs w:val="20"/>
          <w:lang w:val="en-US"/>
        </w:rPr>
        <w:t>of this judgment</w:t>
      </w:r>
      <w:r w:rsidR="00C844C9" w:rsidRPr="009D52FD">
        <w:rPr>
          <w:bCs/>
          <w:sz w:val="20"/>
          <w:szCs w:val="20"/>
          <w:lang w:val="en-US"/>
        </w:rPr>
        <w:t>.</w:t>
      </w:r>
    </w:p>
    <w:p w14:paraId="41B194B1" w14:textId="77777777" w:rsidR="00577A4F" w:rsidRPr="009D52FD" w:rsidRDefault="00577A4F" w:rsidP="00577A4F">
      <w:pPr>
        <w:tabs>
          <w:tab w:val="left" w:pos="720"/>
        </w:tabs>
        <w:spacing w:line="240" w:lineRule="auto"/>
        <w:ind w:right="-90"/>
        <w:contextualSpacing/>
        <w:rPr>
          <w:bCs/>
          <w:sz w:val="20"/>
          <w:szCs w:val="20"/>
          <w:lang w:val="en-US"/>
        </w:rPr>
      </w:pPr>
    </w:p>
    <w:p w14:paraId="54A23316" w14:textId="45FB4423" w:rsidR="00577A4F" w:rsidRPr="009D52FD" w:rsidRDefault="00DC2372" w:rsidP="00577A4F">
      <w:pPr>
        <w:numPr>
          <w:ilvl w:val="0"/>
          <w:numId w:val="7"/>
        </w:numPr>
        <w:tabs>
          <w:tab w:val="left" w:pos="720"/>
        </w:tabs>
        <w:spacing w:line="240" w:lineRule="auto"/>
        <w:ind w:right="-90"/>
        <w:contextualSpacing/>
        <w:rPr>
          <w:bCs/>
          <w:sz w:val="20"/>
          <w:szCs w:val="20"/>
          <w:lang w:val="en-US"/>
        </w:rPr>
      </w:pPr>
      <w:r w:rsidRPr="009D52FD">
        <w:rPr>
          <w:bCs/>
          <w:sz w:val="20"/>
          <w:szCs w:val="20"/>
          <w:lang w:val="en-US"/>
        </w:rPr>
        <w:t>The State shall</w:t>
      </w:r>
      <w:r w:rsidR="00577A4F" w:rsidRPr="009D52FD">
        <w:rPr>
          <w:bCs/>
          <w:sz w:val="20"/>
          <w:szCs w:val="20"/>
          <w:lang w:val="en-US"/>
        </w:rPr>
        <w:t xml:space="preserve"> </w:t>
      </w:r>
      <w:r w:rsidR="002D30E0" w:rsidRPr="009D52FD">
        <w:rPr>
          <w:bCs/>
          <w:sz w:val="20"/>
          <w:szCs w:val="20"/>
          <w:lang w:val="en-US"/>
        </w:rPr>
        <w:t xml:space="preserve">grant a scholarship in a Venezuelan public institution of their choice to </w:t>
      </w:r>
      <w:r w:rsidR="00C844C9" w:rsidRPr="009D52FD">
        <w:rPr>
          <w:sz w:val="20"/>
          <w:szCs w:val="20"/>
          <w:lang w:val="en-US"/>
        </w:rPr>
        <w:t>Ana Secilia, Anyi Karina, Nelson Enrique, Elith Johana, Yusmely del Valle, Luz Paulina</w:t>
      </w:r>
      <w:r w:rsidR="003630BB" w:rsidRPr="009D52FD">
        <w:rPr>
          <w:sz w:val="20"/>
          <w:szCs w:val="20"/>
          <w:lang w:val="en-US"/>
        </w:rPr>
        <w:t xml:space="preserve"> and </w:t>
      </w:r>
      <w:r w:rsidR="00C844C9" w:rsidRPr="009D52FD">
        <w:rPr>
          <w:sz w:val="20"/>
          <w:szCs w:val="20"/>
          <w:lang w:val="en-US"/>
        </w:rPr>
        <w:t xml:space="preserve">José Isidro, </w:t>
      </w:r>
      <w:r w:rsidR="002D30E0" w:rsidRPr="009D52FD">
        <w:rPr>
          <w:sz w:val="20"/>
          <w:szCs w:val="20"/>
          <w:lang w:val="en-US"/>
        </w:rPr>
        <w:t xml:space="preserve">all </w:t>
      </w:r>
      <w:r w:rsidR="002D30E0" w:rsidRPr="009D52FD">
        <w:rPr>
          <w:sz w:val="20"/>
          <w:szCs w:val="20"/>
          <w:lang w:val="en-US"/>
        </w:rPr>
        <w:lastRenderedPageBreak/>
        <w:t xml:space="preserve">with the last name </w:t>
      </w:r>
      <w:r w:rsidR="00C844C9" w:rsidRPr="009D52FD">
        <w:rPr>
          <w:sz w:val="20"/>
          <w:szCs w:val="20"/>
          <w:lang w:val="en-US"/>
        </w:rPr>
        <w:t>López Soto</w:t>
      </w:r>
      <w:r w:rsidR="00577A4F" w:rsidRPr="009D52FD">
        <w:rPr>
          <w:sz w:val="20"/>
          <w:szCs w:val="20"/>
          <w:lang w:val="en-US"/>
        </w:rPr>
        <w:t xml:space="preserve">, </w:t>
      </w:r>
      <w:r w:rsidR="002D30E0" w:rsidRPr="009D52FD">
        <w:rPr>
          <w:sz w:val="20"/>
          <w:szCs w:val="20"/>
          <w:lang w:val="en-US"/>
        </w:rPr>
        <w:t>so they may pursue technical or university high</w:t>
      </w:r>
      <w:r w:rsidR="00EC11EA" w:rsidRPr="009D52FD">
        <w:rPr>
          <w:sz w:val="20"/>
          <w:szCs w:val="20"/>
          <w:lang w:val="en-US"/>
        </w:rPr>
        <w:t>er</w:t>
      </w:r>
      <w:r w:rsidR="002D30E0" w:rsidRPr="009D52FD">
        <w:rPr>
          <w:sz w:val="20"/>
          <w:szCs w:val="20"/>
          <w:lang w:val="en-US"/>
        </w:rPr>
        <w:t xml:space="preserve"> education, or</w:t>
      </w:r>
      <w:r w:rsidR="00EC11EA" w:rsidRPr="009D52FD">
        <w:rPr>
          <w:sz w:val="20"/>
          <w:szCs w:val="20"/>
          <w:lang w:val="en-US"/>
        </w:rPr>
        <w:t xml:space="preserve"> professional</w:t>
      </w:r>
      <w:r w:rsidR="002D30E0" w:rsidRPr="009D52FD">
        <w:rPr>
          <w:sz w:val="20"/>
          <w:szCs w:val="20"/>
          <w:lang w:val="en-US"/>
        </w:rPr>
        <w:t xml:space="preserve"> train</w:t>
      </w:r>
      <w:r w:rsidR="00EC11EA" w:rsidRPr="009D52FD">
        <w:rPr>
          <w:sz w:val="20"/>
          <w:szCs w:val="20"/>
          <w:lang w:val="en-US"/>
        </w:rPr>
        <w:t>ing</w:t>
      </w:r>
      <w:r w:rsidR="00577A4F" w:rsidRPr="009D52FD">
        <w:rPr>
          <w:bCs/>
          <w:sz w:val="20"/>
          <w:szCs w:val="20"/>
          <w:lang w:val="en-US"/>
        </w:rPr>
        <w:t xml:space="preserve">, </w:t>
      </w:r>
      <w:r w:rsidRPr="009D52FD">
        <w:rPr>
          <w:bCs/>
          <w:sz w:val="20"/>
          <w:szCs w:val="20"/>
          <w:lang w:val="en-US"/>
        </w:rPr>
        <w:t>pursuant to</w:t>
      </w:r>
      <w:r w:rsidR="00577A4F" w:rsidRPr="009D52FD">
        <w:rPr>
          <w:bCs/>
          <w:sz w:val="20"/>
          <w:szCs w:val="20"/>
          <w:lang w:val="en-US"/>
        </w:rPr>
        <w:t xml:space="preserve"> </w:t>
      </w:r>
      <w:r w:rsidR="009459E7" w:rsidRPr="009D52FD">
        <w:rPr>
          <w:bCs/>
          <w:sz w:val="20"/>
          <w:szCs w:val="20"/>
          <w:lang w:val="en-US"/>
        </w:rPr>
        <w:t>paragraph</w:t>
      </w:r>
      <w:r w:rsidR="00637F84" w:rsidRPr="009D52FD">
        <w:rPr>
          <w:bCs/>
          <w:sz w:val="20"/>
          <w:szCs w:val="20"/>
          <w:lang w:val="en-US"/>
        </w:rPr>
        <w:t>s</w:t>
      </w:r>
      <w:r w:rsidR="00577A4F" w:rsidRPr="009D52FD">
        <w:rPr>
          <w:bCs/>
          <w:sz w:val="20"/>
          <w:szCs w:val="20"/>
          <w:lang w:val="en-US"/>
        </w:rPr>
        <w:t xml:space="preserve"> </w:t>
      </w:r>
      <w:r w:rsidR="00637F84" w:rsidRPr="009D52FD">
        <w:rPr>
          <w:bCs/>
          <w:sz w:val="20"/>
          <w:szCs w:val="20"/>
          <w:lang w:val="en-US"/>
        </w:rPr>
        <w:t>311</w:t>
      </w:r>
      <w:r w:rsidR="003630BB" w:rsidRPr="009D52FD">
        <w:rPr>
          <w:bCs/>
          <w:sz w:val="20"/>
          <w:szCs w:val="20"/>
          <w:lang w:val="en-US"/>
        </w:rPr>
        <w:t xml:space="preserve"> and </w:t>
      </w:r>
      <w:r w:rsidR="00637F84" w:rsidRPr="009D52FD">
        <w:rPr>
          <w:bCs/>
          <w:sz w:val="20"/>
          <w:szCs w:val="20"/>
          <w:lang w:val="en-US"/>
        </w:rPr>
        <w:t>312</w:t>
      </w:r>
      <w:r w:rsidR="00577A4F" w:rsidRPr="009D52FD">
        <w:rPr>
          <w:bCs/>
          <w:sz w:val="20"/>
          <w:szCs w:val="20"/>
          <w:lang w:val="en-US"/>
        </w:rPr>
        <w:t xml:space="preserve"> </w:t>
      </w:r>
      <w:r w:rsidR="00EB0EB6" w:rsidRPr="009D52FD">
        <w:rPr>
          <w:bCs/>
          <w:sz w:val="20"/>
          <w:szCs w:val="20"/>
          <w:lang w:val="en-US"/>
        </w:rPr>
        <w:t>of this judgment</w:t>
      </w:r>
      <w:r w:rsidR="00577A4F" w:rsidRPr="009D52FD">
        <w:rPr>
          <w:bCs/>
          <w:sz w:val="20"/>
          <w:szCs w:val="20"/>
          <w:lang w:val="en-US"/>
        </w:rPr>
        <w:t>.</w:t>
      </w:r>
    </w:p>
    <w:p w14:paraId="6D8EC0FC" w14:textId="77777777" w:rsidR="00577A4F" w:rsidRPr="009D52FD" w:rsidRDefault="00577A4F" w:rsidP="00577A4F">
      <w:pPr>
        <w:spacing w:line="240" w:lineRule="auto"/>
        <w:rPr>
          <w:sz w:val="20"/>
          <w:szCs w:val="20"/>
          <w:lang w:val="en-US"/>
        </w:rPr>
      </w:pPr>
    </w:p>
    <w:p w14:paraId="188E7644" w14:textId="7DF11D4F" w:rsidR="00577A4F" w:rsidRPr="009D52FD" w:rsidRDefault="00DC2372" w:rsidP="00577A4F">
      <w:pPr>
        <w:numPr>
          <w:ilvl w:val="0"/>
          <w:numId w:val="7"/>
        </w:numPr>
        <w:tabs>
          <w:tab w:val="left" w:pos="720"/>
        </w:tabs>
        <w:spacing w:line="240" w:lineRule="auto"/>
        <w:ind w:right="-90"/>
        <w:contextualSpacing/>
        <w:rPr>
          <w:rFonts w:eastAsia="MS Mincho" w:cs="Verdana"/>
          <w:sz w:val="20"/>
          <w:szCs w:val="20"/>
          <w:lang w:val="en-US" w:bidi="en-US"/>
        </w:rPr>
      </w:pPr>
      <w:r w:rsidRPr="009D52FD">
        <w:rPr>
          <w:rFonts w:eastAsia="MS Mincho" w:cs="Verdana"/>
          <w:bCs/>
          <w:sz w:val="20"/>
          <w:szCs w:val="20"/>
          <w:lang w:val="en-US" w:bidi="en-US"/>
        </w:rPr>
        <w:t>The State shall</w:t>
      </w:r>
      <w:r w:rsidR="00577A4F" w:rsidRPr="009D52FD">
        <w:rPr>
          <w:rFonts w:eastAsia="MS Mincho" w:cs="Verdana"/>
          <w:bCs/>
          <w:sz w:val="20"/>
          <w:szCs w:val="20"/>
          <w:lang w:val="en-US" w:bidi="en-US"/>
        </w:rPr>
        <w:t xml:space="preserve"> pa</w:t>
      </w:r>
      <w:r w:rsidR="002D30E0" w:rsidRPr="009D52FD">
        <w:rPr>
          <w:rFonts w:eastAsia="MS Mincho" w:cs="Verdana"/>
          <w:bCs/>
          <w:sz w:val="20"/>
          <w:szCs w:val="20"/>
          <w:lang w:val="en-US" w:bidi="en-US"/>
        </w:rPr>
        <w:t>y</w:t>
      </w:r>
      <w:r w:rsidR="00577A4F" w:rsidRPr="009D52FD">
        <w:rPr>
          <w:rFonts w:eastAsia="MS Mincho" w:cs="Verdana"/>
          <w:bCs/>
          <w:sz w:val="20"/>
          <w:szCs w:val="20"/>
          <w:lang w:val="en-US" w:bidi="en-US"/>
        </w:rPr>
        <w:t xml:space="preserve"> Diana Carolina López Soto </w:t>
      </w:r>
      <w:r w:rsidR="002D30E0" w:rsidRPr="009D52FD">
        <w:rPr>
          <w:rFonts w:eastAsia="MS Mincho" w:cs="Verdana"/>
          <w:bCs/>
          <w:sz w:val="20"/>
          <w:szCs w:val="20"/>
          <w:lang w:val="en-US" w:bidi="en-US"/>
        </w:rPr>
        <w:t xml:space="preserve">the sum established to cover the necessary expenses to conclude her </w:t>
      </w:r>
      <w:r w:rsidR="00002A76" w:rsidRPr="009D52FD">
        <w:rPr>
          <w:rFonts w:eastAsia="MS Mincho" w:cs="Verdana"/>
          <w:bCs/>
          <w:sz w:val="20"/>
          <w:szCs w:val="20"/>
          <w:lang w:val="en-US" w:bidi="en-US"/>
        </w:rPr>
        <w:t>professional</w:t>
      </w:r>
      <w:r w:rsidR="002D30E0" w:rsidRPr="009D52FD">
        <w:rPr>
          <w:rFonts w:eastAsia="MS Mincho" w:cs="Verdana"/>
          <w:bCs/>
          <w:sz w:val="20"/>
          <w:szCs w:val="20"/>
          <w:lang w:val="en-US" w:bidi="en-US"/>
        </w:rPr>
        <w:t xml:space="preserve"> training in her country of residence,</w:t>
      </w:r>
      <w:r w:rsidR="00577A4F" w:rsidRPr="009D52FD">
        <w:rPr>
          <w:rFonts w:eastAsia="MS Mincho" w:cs="Verdana"/>
          <w:bCs/>
          <w:sz w:val="20"/>
          <w:szCs w:val="20"/>
          <w:lang w:val="en-US" w:bidi="en-US"/>
        </w:rPr>
        <w:t xml:space="preserve"> </w:t>
      </w:r>
      <w:r w:rsidRPr="009D52FD">
        <w:rPr>
          <w:rFonts w:eastAsia="MS Mincho" w:cs="Verdana"/>
          <w:bCs/>
          <w:sz w:val="20"/>
          <w:szCs w:val="20"/>
          <w:lang w:val="en-US" w:bidi="en-US"/>
        </w:rPr>
        <w:t>pursuant to paragraph</w:t>
      </w:r>
      <w:r w:rsidR="008775CA" w:rsidRPr="009D52FD">
        <w:rPr>
          <w:rFonts w:eastAsia="MS Mincho" w:cs="Verdana"/>
          <w:bCs/>
          <w:sz w:val="20"/>
          <w:szCs w:val="20"/>
          <w:lang w:val="en-US" w:bidi="en-US"/>
        </w:rPr>
        <w:t xml:space="preserve"> 313</w:t>
      </w:r>
      <w:r w:rsidR="00C844C9" w:rsidRPr="009D52FD">
        <w:rPr>
          <w:rFonts w:eastAsia="MS Mincho" w:cs="Verdana"/>
          <w:bCs/>
          <w:sz w:val="20"/>
          <w:szCs w:val="20"/>
          <w:lang w:val="en-US" w:bidi="en-US"/>
        </w:rPr>
        <w:t xml:space="preserve"> </w:t>
      </w:r>
      <w:r w:rsidR="00EB0EB6" w:rsidRPr="009D52FD">
        <w:rPr>
          <w:rFonts w:eastAsia="MS Mincho" w:cs="Verdana"/>
          <w:bCs/>
          <w:sz w:val="20"/>
          <w:szCs w:val="20"/>
          <w:lang w:val="en-US" w:bidi="en-US"/>
        </w:rPr>
        <w:t>of this judgment</w:t>
      </w:r>
      <w:r w:rsidR="00C844C9" w:rsidRPr="009D52FD">
        <w:rPr>
          <w:rFonts w:eastAsia="MS Mincho" w:cs="Verdana"/>
          <w:bCs/>
          <w:sz w:val="20"/>
          <w:szCs w:val="20"/>
          <w:lang w:val="en-US" w:bidi="en-US"/>
        </w:rPr>
        <w:t>.</w:t>
      </w:r>
    </w:p>
    <w:p w14:paraId="2C5BC5C7" w14:textId="77777777" w:rsidR="00577A4F" w:rsidRPr="009D52FD" w:rsidRDefault="00577A4F" w:rsidP="00577A4F">
      <w:pPr>
        <w:tabs>
          <w:tab w:val="left" w:pos="720"/>
        </w:tabs>
        <w:spacing w:line="240" w:lineRule="auto"/>
        <w:ind w:right="-90"/>
        <w:contextualSpacing/>
        <w:rPr>
          <w:rFonts w:eastAsia="MS Mincho" w:cs="Verdana"/>
          <w:sz w:val="20"/>
          <w:szCs w:val="20"/>
          <w:lang w:val="en-US" w:bidi="en-US"/>
        </w:rPr>
      </w:pPr>
    </w:p>
    <w:p w14:paraId="57BF2A2D" w14:textId="7D2D39AD" w:rsidR="00577A4F" w:rsidRPr="009D52FD" w:rsidRDefault="00DC2372" w:rsidP="00577A4F">
      <w:pPr>
        <w:numPr>
          <w:ilvl w:val="0"/>
          <w:numId w:val="7"/>
        </w:numPr>
        <w:tabs>
          <w:tab w:val="left" w:pos="720"/>
        </w:tabs>
        <w:spacing w:line="240" w:lineRule="auto"/>
        <w:ind w:right="-90"/>
        <w:contextualSpacing/>
        <w:rPr>
          <w:rFonts w:eastAsia="MS Mincho" w:cs="Verdana"/>
          <w:sz w:val="20"/>
          <w:szCs w:val="20"/>
          <w:lang w:val="en-US" w:bidi="en-US"/>
        </w:rPr>
      </w:pPr>
      <w:r w:rsidRPr="009D52FD">
        <w:rPr>
          <w:rFonts w:eastAsia="MS Mincho" w:cs="Verdana"/>
          <w:bCs/>
          <w:sz w:val="20"/>
          <w:szCs w:val="20"/>
          <w:lang w:val="en-US" w:bidi="en-US"/>
        </w:rPr>
        <w:t>The State shall</w:t>
      </w:r>
      <w:r w:rsidR="00577A4F" w:rsidRPr="009D52FD">
        <w:rPr>
          <w:rFonts w:eastAsia="MS Mincho" w:cs="Verdana"/>
          <w:bCs/>
          <w:sz w:val="20"/>
          <w:szCs w:val="20"/>
          <w:lang w:val="en-US" w:bidi="en-US"/>
        </w:rPr>
        <w:t xml:space="preserve">, </w:t>
      </w:r>
      <w:r w:rsidRPr="009D52FD">
        <w:rPr>
          <w:rFonts w:eastAsia="MS Mincho" w:cs="Verdana"/>
          <w:bCs/>
          <w:sz w:val="20"/>
          <w:szCs w:val="20"/>
          <w:lang w:val="en-US" w:bidi="en-US"/>
        </w:rPr>
        <w:t>within one year</w:t>
      </w:r>
      <w:r w:rsidR="00577A4F" w:rsidRPr="009D52FD">
        <w:rPr>
          <w:rFonts w:eastAsia="MS Mincho" w:cs="Verdana"/>
          <w:bCs/>
          <w:sz w:val="20"/>
          <w:szCs w:val="20"/>
          <w:lang w:val="en-US" w:bidi="en-US"/>
        </w:rPr>
        <w:t xml:space="preserve">, </w:t>
      </w:r>
      <w:r w:rsidR="002D30E0" w:rsidRPr="009D52FD">
        <w:rPr>
          <w:rFonts w:eastAsia="MS Mincho" w:cs="Verdana"/>
          <w:bCs/>
          <w:sz w:val="20"/>
          <w:szCs w:val="20"/>
          <w:lang w:val="en-US" w:bidi="en-US"/>
        </w:rPr>
        <w:t>issue the regulations corresponding to the</w:t>
      </w:r>
      <w:r w:rsidR="00577A4F" w:rsidRPr="009D52FD">
        <w:rPr>
          <w:rFonts w:eastAsia="MS Mincho" w:cs="Verdana"/>
          <w:bCs/>
          <w:sz w:val="20"/>
          <w:szCs w:val="20"/>
          <w:lang w:val="en-US" w:bidi="en-US"/>
        </w:rPr>
        <w:t xml:space="preserve"> </w:t>
      </w:r>
      <w:r w:rsidR="00864649" w:rsidRPr="009D52FD">
        <w:rPr>
          <w:sz w:val="20"/>
          <w:szCs w:val="20"/>
          <w:lang w:val="en-US"/>
        </w:rPr>
        <w:t>Organic Law on the Right of Women to a Life Free of Violence</w:t>
      </w:r>
      <w:r w:rsidR="00577A4F" w:rsidRPr="009D52FD">
        <w:rPr>
          <w:rFonts w:eastAsia="MS Mincho" w:cs="Verdana"/>
          <w:bCs/>
          <w:sz w:val="20"/>
          <w:szCs w:val="20"/>
          <w:lang w:val="en-US" w:bidi="en-US"/>
        </w:rPr>
        <w:t xml:space="preserve">, </w:t>
      </w:r>
      <w:r w:rsidRPr="009D52FD">
        <w:rPr>
          <w:rFonts w:eastAsia="MS Mincho" w:cs="Verdana"/>
          <w:bCs/>
          <w:sz w:val="20"/>
          <w:szCs w:val="20"/>
          <w:lang w:val="en-US" w:bidi="en-US"/>
        </w:rPr>
        <w:t>pursuant to paragraph</w:t>
      </w:r>
      <w:r w:rsidR="00566C5B" w:rsidRPr="009D52FD">
        <w:rPr>
          <w:rFonts w:eastAsia="MS Mincho" w:cs="Verdana"/>
          <w:bCs/>
          <w:sz w:val="20"/>
          <w:szCs w:val="20"/>
          <w:lang w:val="en-US" w:bidi="en-US"/>
        </w:rPr>
        <w:t xml:space="preserve"> </w:t>
      </w:r>
      <w:r w:rsidR="004344C1" w:rsidRPr="009D52FD">
        <w:rPr>
          <w:rFonts w:eastAsia="MS Mincho" w:cs="Verdana"/>
          <w:bCs/>
          <w:sz w:val="20"/>
          <w:szCs w:val="20"/>
          <w:lang w:val="en-US" w:bidi="en-US"/>
        </w:rPr>
        <w:t xml:space="preserve">321 </w:t>
      </w:r>
      <w:r w:rsidR="00996337" w:rsidRPr="009D52FD">
        <w:rPr>
          <w:rFonts w:eastAsia="MS Mincho" w:cs="Verdana"/>
          <w:bCs/>
          <w:sz w:val="20"/>
          <w:szCs w:val="20"/>
          <w:lang w:val="en-US" w:bidi="en-US"/>
        </w:rPr>
        <w:t>of this judgment</w:t>
      </w:r>
      <w:r w:rsidR="00566C5B" w:rsidRPr="009D52FD">
        <w:rPr>
          <w:rFonts w:eastAsia="MS Mincho" w:cs="Verdana"/>
          <w:bCs/>
          <w:sz w:val="20"/>
          <w:szCs w:val="20"/>
          <w:lang w:val="en-US" w:bidi="en-US"/>
        </w:rPr>
        <w:t>.</w:t>
      </w:r>
    </w:p>
    <w:p w14:paraId="5BC1D3BE" w14:textId="77777777" w:rsidR="00577A4F" w:rsidRPr="009D52FD" w:rsidRDefault="00577A4F" w:rsidP="00577A4F">
      <w:pPr>
        <w:tabs>
          <w:tab w:val="left" w:pos="720"/>
        </w:tabs>
        <w:spacing w:line="240" w:lineRule="auto"/>
        <w:ind w:right="-90"/>
        <w:contextualSpacing/>
        <w:rPr>
          <w:rFonts w:eastAsia="MS Mincho" w:cs="Verdana"/>
          <w:sz w:val="20"/>
          <w:szCs w:val="20"/>
          <w:lang w:val="en-US" w:bidi="en-US"/>
        </w:rPr>
      </w:pPr>
    </w:p>
    <w:p w14:paraId="35E5003B" w14:textId="4525CEF0" w:rsidR="00577A4F" w:rsidRPr="009D52FD" w:rsidRDefault="00DC2372" w:rsidP="00577A4F">
      <w:pPr>
        <w:numPr>
          <w:ilvl w:val="0"/>
          <w:numId w:val="7"/>
        </w:numPr>
        <w:tabs>
          <w:tab w:val="left" w:pos="720"/>
        </w:tabs>
        <w:spacing w:line="240" w:lineRule="auto"/>
        <w:ind w:right="-90"/>
        <w:contextualSpacing/>
        <w:rPr>
          <w:rFonts w:eastAsia="MS Mincho" w:cs="Verdana"/>
          <w:sz w:val="20"/>
          <w:szCs w:val="20"/>
          <w:lang w:val="en-US" w:bidi="en-US"/>
        </w:rPr>
      </w:pPr>
      <w:r w:rsidRPr="009D52FD">
        <w:rPr>
          <w:rFonts w:eastAsia="MS Mincho" w:cs="Verdana"/>
          <w:bCs/>
          <w:sz w:val="20"/>
          <w:szCs w:val="20"/>
          <w:lang w:val="en-US" w:bidi="en-US"/>
        </w:rPr>
        <w:t>The State shall</w:t>
      </w:r>
      <w:r w:rsidR="00CE32BD" w:rsidRPr="009D52FD">
        <w:rPr>
          <w:rFonts w:eastAsia="MS Mincho" w:cs="Verdana"/>
          <w:bCs/>
          <w:sz w:val="20"/>
          <w:szCs w:val="20"/>
          <w:lang w:val="en-US" w:bidi="en-US"/>
        </w:rPr>
        <w:t xml:space="preserve">, </w:t>
      </w:r>
      <w:r w:rsidR="007D3D4F" w:rsidRPr="009D52FD">
        <w:rPr>
          <w:rFonts w:eastAsia="MS Mincho" w:cs="Verdana"/>
          <w:bCs/>
          <w:sz w:val="20"/>
          <w:szCs w:val="20"/>
          <w:lang w:val="en-US" w:bidi="en-US"/>
        </w:rPr>
        <w:t>within a reasonable time</w:t>
      </w:r>
      <w:r w:rsidR="00577A4F" w:rsidRPr="009D52FD">
        <w:rPr>
          <w:rFonts w:eastAsia="MS Mincho" w:cs="Verdana"/>
          <w:bCs/>
          <w:sz w:val="20"/>
          <w:szCs w:val="20"/>
          <w:lang w:val="en-US" w:bidi="en-US"/>
        </w:rPr>
        <w:t xml:space="preserve">, </w:t>
      </w:r>
      <w:r w:rsidR="002D30E0" w:rsidRPr="009D52FD">
        <w:rPr>
          <w:rFonts w:eastAsia="MS Mincho" w:cs="Verdana"/>
          <w:bCs/>
          <w:sz w:val="20"/>
          <w:szCs w:val="20"/>
          <w:lang w:val="en-US" w:bidi="en-US"/>
        </w:rPr>
        <w:t xml:space="preserve">ensure the adequate functioning of the </w:t>
      </w:r>
      <w:r w:rsidR="00EC11EA" w:rsidRPr="009D52FD">
        <w:rPr>
          <w:rFonts w:eastAsia="MS Mincho" w:cs="Verdana"/>
          <w:bCs/>
          <w:sz w:val="20"/>
          <w:szCs w:val="20"/>
          <w:lang w:val="en-US" w:bidi="en-US"/>
        </w:rPr>
        <w:t>special c</w:t>
      </w:r>
      <w:r w:rsidR="002D30E0" w:rsidRPr="009D52FD">
        <w:rPr>
          <w:rFonts w:eastAsia="MS Mincho" w:cs="Verdana"/>
          <w:bCs/>
          <w:sz w:val="20"/>
          <w:szCs w:val="20"/>
          <w:lang w:val="en-US" w:bidi="en-US"/>
        </w:rPr>
        <w:t xml:space="preserve">ourts </w:t>
      </w:r>
      <w:r w:rsidR="00EC11EA" w:rsidRPr="009D52FD">
        <w:rPr>
          <w:rFonts w:eastAsia="MS Mincho" w:cs="Verdana"/>
          <w:bCs/>
          <w:sz w:val="20"/>
          <w:szCs w:val="20"/>
          <w:lang w:val="en-US" w:bidi="en-US"/>
        </w:rPr>
        <w:t>for</w:t>
      </w:r>
      <w:r w:rsidR="002D30E0" w:rsidRPr="009D52FD">
        <w:rPr>
          <w:rFonts w:eastAsia="MS Mincho" w:cs="Verdana"/>
          <w:bCs/>
          <w:sz w:val="20"/>
          <w:szCs w:val="20"/>
          <w:lang w:val="en-US" w:bidi="en-US"/>
        </w:rPr>
        <w:t xml:space="preserve"> v</w:t>
      </w:r>
      <w:r w:rsidR="005935CA" w:rsidRPr="009D52FD">
        <w:rPr>
          <w:rFonts w:eastAsia="MS Mincho" w:cs="Verdana"/>
          <w:bCs/>
          <w:sz w:val="20"/>
          <w:szCs w:val="20"/>
          <w:lang w:val="en-US" w:bidi="en-US"/>
        </w:rPr>
        <w:t>iolence against women</w:t>
      </w:r>
      <w:r w:rsidR="00577A4F" w:rsidRPr="009D52FD">
        <w:rPr>
          <w:rFonts w:eastAsia="MS Mincho" w:cs="Verdana"/>
          <w:bCs/>
          <w:sz w:val="20"/>
          <w:szCs w:val="20"/>
          <w:lang w:val="en-US" w:bidi="en-US"/>
        </w:rPr>
        <w:t xml:space="preserve"> </w:t>
      </w:r>
      <w:r w:rsidR="002D30E0" w:rsidRPr="009D52FD">
        <w:rPr>
          <w:rFonts w:eastAsia="MS Mincho" w:cs="Verdana"/>
          <w:bCs/>
          <w:sz w:val="20"/>
          <w:szCs w:val="20"/>
          <w:lang w:val="en-US" w:bidi="en-US"/>
        </w:rPr>
        <w:t>in the capital of each state</w:t>
      </w:r>
      <w:r w:rsidR="00577A4F" w:rsidRPr="009D52FD">
        <w:rPr>
          <w:rFonts w:eastAsia="MS Mincho" w:cs="Verdana"/>
          <w:bCs/>
          <w:sz w:val="20"/>
          <w:szCs w:val="20"/>
          <w:lang w:val="en-US" w:bidi="en-US"/>
        </w:rPr>
        <w:t xml:space="preserve">, </w:t>
      </w:r>
      <w:r w:rsidRPr="009D52FD">
        <w:rPr>
          <w:rFonts w:eastAsia="MS Mincho" w:cs="Verdana"/>
          <w:bCs/>
          <w:sz w:val="20"/>
          <w:szCs w:val="20"/>
          <w:lang w:val="en-US" w:bidi="en-US"/>
        </w:rPr>
        <w:t>pursuant to paragraph</w:t>
      </w:r>
      <w:r w:rsidR="00577A4F" w:rsidRPr="009D52FD">
        <w:rPr>
          <w:rFonts w:eastAsia="MS Mincho" w:cs="Verdana"/>
          <w:bCs/>
          <w:sz w:val="20"/>
          <w:szCs w:val="20"/>
          <w:lang w:val="en-US" w:bidi="en-US"/>
        </w:rPr>
        <w:t xml:space="preserve"> </w:t>
      </w:r>
      <w:r w:rsidR="000707F1" w:rsidRPr="009D52FD">
        <w:rPr>
          <w:rFonts w:eastAsia="MS Mincho" w:cs="Verdana"/>
          <w:bCs/>
          <w:sz w:val="20"/>
          <w:szCs w:val="20"/>
          <w:lang w:val="en-US" w:bidi="en-US"/>
        </w:rPr>
        <w:t xml:space="preserve">324 </w:t>
      </w:r>
      <w:r w:rsidR="00996337" w:rsidRPr="009D52FD">
        <w:rPr>
          <w:rFonts w:eastAsia="MS Mincho" w:cs="Verdana"/>
          <w:bCs/>
          <w:sz w:val="20"/>
          <w:szCs w:val="20"/>
          <w:lang w:val="en-US" w:bidi="en-US"/>
        </w:rPr>
        <w:t>of this judgment</w:t>
      </w:r>
      <w:r w:rsidR="000707F1" w:rsidRPr="009D52FD">
        <w:rPr>
          <w:rFonts w:eastAsia="MS Mincho" w:cs="Verdana"/>
          <w:bCs/>
          <w:sz w:val="20"/>
          <w:szCs w:val="20"/>
          <w:lang w:val="en-US" w:bidi="en-US"/>
        </w:rPr>
        <w:t>.</w:t>
      </w:r>
    </w:p>
    <w:p w14:paraId="2D46B9F7" w14:textId="5DFE8C85" w:rsidR="00577A4F" w:rsidRPr="009D52FD" w:rsidRDefault="00577A4F" w:rsidP="00577A4F">
      <w:pPr>
        <w:tabs>
          <w:tab w:val="left" w:pos="720"/>
        </w:tabs>
        <w:spacing w:line="240" w:lineRule="auto"/>
        <w:ind w:right="-90"/>
        <w:contextualSpacing/>
        <w:rPr>
          <w:rFonts w:eastAsia="MS Mincho" w:cs="Verdana"/>
          <w:sz w:val="20"/>
          <w:szCs w:val="20"/>
          <w:lang w:val="en-US" w:bidi="en-US"/>
        </w:rPr>
      </w:pPr>
    </w:p>
    <w:p w14:paraId="0D590D1A" w14:textId="3E89D0F5" w:rsidR="00577A4F" w:rsidRPr="009D52FD" w:rsidRDefault="00DC2372" w:rsidP="00577A4F">
      <w:pPr>
        <w:numPr>
          <w:ilvl w:val="0"/>
          <w:numId w:val="7"/>
        </w:numPr>
        <w:tabs>
          <w:tab w:val="left" w:pos="720"/>
        </w:tabs>
        <w:spacing w:line="240" w:lineRule="auto"/>
        <w:ind w:right="-90"/>
        <w:contextualSpacing/>
        <w:rPr>
          <w:rFonts w:eastAsia="MS Mincho" w:cs="Verdana"/>
          <w:sz w:val="20"/>
          <w:szCs w:val="20"/>
          <w:lang w:val="en-US" w:bidi="en-US"/>
        </w:rPr>
      </w:pPr>
      <w:r w:rsidRPr="009D52FD">
        <w:rPr>
          <w:sz w:val="20"/>
          <w:szCs w:val="20"/>
          <w:lang w:val="en-US"/>
        </w:rPr>
        <w:t>The State shall</w:t>
      </w:r>
      <w:r w:rsidR="00577A4F" w:rsidRPr="009D52FD">
        <w:rPr>
          <w:sz w:val="20"/>
          <w:szCs w:val="20"/>
          <w:lang w:val="en-US"/>
        </w:rPr>
        <w:t xml:space="preserve">, </w:t>
      </w:r>
      <w:r w:rsidRPr="009D52FD">
        <w:rPr>
          <w:sz w:val="20"/>
          <w:szCs w:val="20"/>
          <w:lang w:val="en-US"/>
        </w:rPr>
        <w:t>within two years</w:t>
      </w:r>
      <w:r w:rsidR="00577A4F" w:rsidRPr="009D52FD">
        <w:rPr>
          <w:sz w:val="20"/>
          <w:szCs w:val="20"/>
          <w:lang w:val="en-US"/>
        </w:rPr>
        <w:t>, adopt, implement</w:t>
      </w:r>
      <w:r w:rsidR="003630BB" w:rsidRPr="009D52FD">
        <w:rPr>
          <w:sz w:val="20"/>
          <w:szCs w:val="20"/>
          <w:lang w:val="en-US"/>
        </w:rPr>
        <w:t xml:space="preserve"> and </w:t>
      </w:r>
      <w:r w:rsidR="002D30E0" w:rsidRPr="009D52FD">
        <w:rPr>
          <w:sz w:val="20"/>
          <w:szCs w:val="20"/>
          <w:lang w:val="en-US"/>
        </w:rPr>
        <w:t xml:space="preserve">monitor protocols for the investigation and comprehensive assistance to women victims of violence, </w:t>
      </w:r>
      <w:r w:rsidRPr="009D52FD">
        <w:rPr>
          <w:bCs/>
          <w:sz w:val="20"/>
          <w:szCs w:val="20"/>
          <w:lang w:val="en-US"/>
        </w:rPr>
        <w:t>pursuant to</w:t>
      </w:r>
      <w:r w:rsidR="00577A4F" w:rsidRPr="009D52FD">
        <w:rPr>
          <w:bCs/>
          <w:sz w:val="20"/>
          <w:szCs w:val="20"/>
          <w:lang w:val="en-US"/>
        </w:rPr>
        <w:t xml:space="preserve"> </w:t>
      </w:r>
      <w:r w:rsidR="009459E7" w:rsidRPr="009D52FD">
        <w:rPr>
          <w:bCs/>
          <w:sz w:val="20"/>
          <w:szCs w:val="20"/>
          <w:lang w:val="en-US"/>
        </w:rPr>
        <w:t>paragraph</w:t>
      </w:r>
      <w:r w:rsidR="00F53E99" w:rsidRPr="009D52FD">
        <w:rPr>
          <w:bCs/>
          <w:sz w:val="20"/>
          <w:szCs w:val="20"/>
          <w:lang w:val="en-US"/>
        </w:rPr>
        <w:t>s</w:t>
      </w:r>
      <w:r w:rsidR="00577A4F" w:rsidRPr="009D52FD">
        <w:rPr>
          <w:bCs/>
          <w:sz w:val="20"/>
          <w:szCs w:val="20"/>
          <w:lang w:val="en-US"/>
        </w:rPr>
        <w:t xml:space="preserve"> </w:t>
      </w:r>
      <w:r w:rsidR="00F53E99" w:rsidRPr="009D52FD">
        <w:rPr>
          <w:bCs/>
          <w:sz w:val="20"/>
          <w:szCs w:val="20"/>
          <w:lang w:val="en-US"/>
        </w:rPr>
        <w:t>332</w:t>
      </w:r>
      <w:r w:rsidR="003630BB" w:rsidRPr="009D52FD">
        <w:rPr>
          <w:bCs/>
          <w:sz w:val="20"/>
          <w:szCs w:val="20"/>
          <w:lang w:val="en-US"/>
        </w:rPr>
        <w:t xml:space="preserve"> and </w:t>
      </w:r>
      <w:r w:rsidR="00F53E99" w:rsidRPr="009D52FD">
        <w:rPr>
          <w:bCs/>
          <w:sz w:val="20"/>
          <w:szCs w:val="20"/>
          <w:lang w:val="en-US"/>
        </w:rPr>
        <w:t>333</w:t>
      </w:r>
      <w:r w:rsidR="00577A4F" w:rsidRPr="009D52FD">
        <w:rPr>
          <w:bCs/>
          <w:sz w:val="20"/>
          <w:szCs w:val="20"/>
          <w:lang w:val="en-US"/>
        </w:rPr>
        <w:t xml:space="preserve"> </w:t>
      </w:r>
      <w:r w:rsidR="00996337" w:rsidRPr="009D52FD">
        <w:rPr>
          <w:bCs/>
          <w:sz w:val="20"/>
          <w:szCs w:val="20"/>
          <w:lang w:val="en-US"/>
        </w:rPr>
        <w:t>of this judgment</w:t>
      </w:r>
      <w:r w:rsidR="00577A4F" w:rsidRPr="009D52FD">
        <w:rPr>
          <w:bCs/>
          <w:sz w:val="20"/>
          <w:szCs w:val="20"/>
          <w:lang w:val="en-US"/>
        </w:rPr>
        <w:t>.</w:t>
      </w:r>
    </w:p>
    <w:p w14:paraId="2C586627" w14:textId="77777777" w:rsidR="00577A4F" w:rsidRPr="009D52FD" w:rsidRDefault="00577A4F" w:rsidP="00577A4F">
      <w:pPr>
        <w:tabs>
          <w:tab w:val="left" w:pos="720"/>
        </w:tabs>
        <w:spacing w:line="240" w:lineRule="auto"/>
        <w:ind w:right="-90"/>
        <w:contextualSpacing/>
        <w:rPr>
          <w:rFonts w:eastAsia="MS Mincho" w:cs="Verdana"/>
          <w:sz w:val="20"/>
          <w:szCs w:val="20"/>
          <w:lang w:val="en-US" w:bidi="en-US"/>
        </w:rPr>
      </w:pPr>
    </w:p>
    <w:p w14:paraId="5653B97D" w14:textId="783B4E45" w:rsidR="00577A4F" w:rsidRPr="009D52FD" w:rsidRDefault="00DC2372" w:rsidP="00577A4F">
      <w:pPr>
        <w:pStyle w:val="ListParagraph"/>
        <w:numPr>
          <w:ilvl w:val="0"/>
          <w:numId w:val="7"/>
        </w:numPr>
        <w:tabs>
          <w:tab w:val="clear" w:pos="5057"/>
          <w:tab w:val="num" w:pos="0"/>
        </w:tabs>
        <w:spacing w:line="240" w:lineRule="auto"/>
        <w:ind w:left="0" w:right="-90"/>
        <w:contextualSpacing/>
        <w:rPr>
          <w:rFonts w:cs="Verdana"/>
          <w:iCs/>
          <w:sz w:val="20"/>
          <w:szCs w:val="20"/>
          <w:lang w:val="en-US"/>
        </w:rPr>
      </w:pPr>
      <w:r w:rsidRPr="009D52FD">
        <w:rPr>
          <w:rFonts w:cs="Verdana"/>
          <w:iCs/>
          <w:sz w:val="20"/>
          <w:szCs w:val="20"/>
          <w:lang w:val="en-US"/>
        </w:rPr>
        <w:t>The State shall</w:t>
      </w:r>
      <w:r w:rsidR="00577A4F" w:rsidRPr="009D52FD">
        <w:rPr>
          <w:rFonts w:cs="Verdana"/>
          <w:iCs/>
          <w:sz w:val="20"/>
          <w:szCs w:val="20"/>
          <w:lang w:val="en-US"/>
        </w:rPr>
        <w:t xml:space="preserve">, </w:t>
      </w:r>
      <w:r w:rsidR="002D30E0" w:rsidRPr="009D52FD">
        <w:rPr>
          <w:rFonts w:cs="Verdana"/>
          <w:iCs/>
          <w:sz w:val="20"/>
          <w:szCs w:val="20"/>
          <w:lang w:val="en-US"/>
        </w:rPr>
        <w:t>within two years</w:t>
      </w:r>
      <w:r w:rsidR="00577A4F" w:rsidRPr="009D52FD">
        <w:rPr>
          <w:rFonts w:cs="Verdana"/>
          <w:iCs/>
          <w:sz w:val="20"/>
          <w:szCs w:val="20"/>
          <w:lang w:val="en-US"/>
        </w:rPr>
        <w:t xml:space="preserve">, </w:t>
      </w:r>
      <w:r w:rsidR="00577A4F" w:rsidRPr="009D52FD">
        <w:rPr>
          <w:sz w:val="20"/>
          <w:szCs w:val="20"/>
          <w:lang w:val="en-US"/>
        </w:rPr>
        <w:t>adopt</w:t>
      </w:r>
      <w:r w:rsidR="002D30E0" w:rsidRPr="009D52FD">
        <w:rPr>
          <w:sz w:val="20"/>
          <w:szCs w:val="20"/>
          <w:lang w:val="en-US"/>
        </w:rPr>
        <w:t xml:space="preserve"> and implement the permanent and compulsory training programs and courses ordered in </w:t>
      </w:r>
      <w:r w:rsidR="009459E7" w:rsidRPr="009D52FD">
        <w:rPr>
          <w:bCs/>
          <w:sz w:val="20"/>
          <w:szCs w:val="20"/>
          <w:lang w:val="en-US"/>
        </w:rPr>
        <w:t>paragraph</w:t>
      </w:r>
      <w:r w:rsidR="00577A4F" w:rsidRPr="009D52FD">
        <w:rPr>
          <w:bCs/>
          <w:sz w:val="20"/>
          <w:szCs w:val="20"/>
          <w:lang w:val="en-US"/>
        </w:rPr>
        <w:t xml:space="preserve">s </w:t>
      </w:r>
      <w:r w:rsidR="00F53E99" w:rsidRPr="009D52FD">
        <w:rPr>
          <w:bCs/>
          <w:sz w:val="20"/>
          <w:szCs w:val="20"/>
          <w:lang w:val="en-US"/>
        </w:rPr>
        <w:t>338, 339</w:t>
      </w:r>
      <w:r w:rsidR="003630BB" w:rsidRPr="009D52FD">
        <w:rPr>
          <w:bCs/>
          <w:sz w:val="20"/>
          <w:szCs w:val="20"/>
          <w:lang w:val="en-US"/>
        </w:rPr>
        <w:t xml:space="preserve"> and </w:t>
      </w:r>
      <w:r w:rsidR="00F53E99" w:rsidRPr="009D52FD">
        <w:rPr>
          <w:bCs/>
          <w:sz w:val="20"/>
          <w:szCs w:val="20"/>
          <w:lang w:val="en-US"/>
        </w:rPr>
        <w:t xml:space="preserve">340 </w:t>
      </w:r>
      <w:r w:rsidR="00996337" w:rsidRPr="009D52FD">
        <w:rPr>
          <w:bCs/>
          <w:sz w:val="20"/>
          <w:szCs w:val="20"/>
          <w:lang w:val="en-US"/>
        </w:rPr>
        <w:t>of this judgment</w:t>
      </w:r>
      <w:r w:rsidR="00F53E99" w:rsidRPr="009D52FD">
        <w:rPr>
          <w:bCs/>
          <w:sz w:val="20"/>
          <w:szCs w:val="20"/>
          <w:lang w:val="en-US"/>
        </w:rPr>
        <w:t xml:space="preserve">, </w:t>
      </w:r>
      <w:r w:rsidRPr="009D52FD">
        <w:rPr>
          <w:bCs/>
          <w:sz w:val="20"/>
          <w:szCs w:val="20"/>
          <w:lang w:val="en-US"/>
        </w:rPr>
        <w:t>pursuant to</w:t>
      </w:r>
      <w:r w:rsidR="00F53E99" w:rsidRPr="009D52FD">
        <w:rPr>
          <w:bCs/>
          <w:sz w:val="20"/>
          <w:szCs w:val="20"/>
          <w:lang w:val="en-US"/>
        </w:rPr>
        <w:t xml:space="preserve"> </w:t>
      </w:r>
      <w:r w:rsidR="00EC11EA" w:rsidRPr="009D52FD">
        <w:rPr>
          <w:bCs/>
          <w:sz w:val="20"/>
          <w:szCs w:val="20"/>
          <w:lang w:val="en-US"/>
        </w:rPr>
        <w:t xml:space="preserve">its </w:t>
      </w:r>
      <w:r w:rsidR="009459E7" w:rsidRPr="009D52FD">
        <w:rPr>
          <w:bCs/>
          <w:sz w:val="20"/>
          <w:szCs w:val="20"/>
          <w:lang w:val="en-US"/>
        </w:rPr>
        <w:t>paragraph</w:t>
      </w:r>
      <w:r w:rsidR="00F53E99" w:rsidRPr="009D52FD">
        <w:rPr>
          <w:bCs/>
          <w:sz w:val="20"/>
          <w:szCs w:val="20"/>
          <w:lang w:val="en-US"/>
        </w:rPr>
        <w:t xml:space="preserve"> 34</w:t>
      </w:r>
      <w:r w:rsidR="00EC11EA" w:rsidRPr="009D52FD">
        <w:rPr>
          <w:bCs/>
          <w:sz w:val="20"/>
          <w:szCs w:val="20"/>
          <w:lang w:val="en-US"/>
        </w:rPr>
        <w:t>1</w:t>
      </w:r>
      <w:r w:rsidR="00577A4F" w:rsidRPr="009D52FD">
        <w:rPr>
          <w:bCs/>
          <w:sz w:val="20"/>
          <w:szCs w:val="20"/>
          <w:lang w:val="en-US"/>
        </w:rPr>
        <w:t>.</w:t>
      </w:r>
    </w:p>
    <w:p w14:paraId="64FFC9A6" w14:textId="77777777" w:rsidR="00577A4F" w:rsidRPr="009D52FD" w:rsidRDefault="00577A4F" w:rsidP="00577A4F">
      <w:pPr>
        <w:spacing w:line="240" w:lineRule="auto"/>
        <w:rPr>
          <w:sz w:val="20"/>
          <w:szCs w:val="20"/>
          <w:lang w:val="en-US"/>
        </w:rPr>
      </w:pPr>
    </w:p>
    <w:p w14:paraId="43E7CBF5" w14:textId="2179E897" w:rsidR="00577A4F" w:rsidRPr="009D52FD" w:rsidRDefault="00DC2372" w:rsidP="00577A4F">
      <w:pPr>
        <w:numPr>
          <w:ilvl w:val="0"/>
          <w:numId w:val="7"/>
        </w:numPr>
        <w:tabs>
          <w:tab w:val="left" w:pos="720"/>
        </w:tabs>
        <w:spacing w:line="240" w:lineRule="auto"/>
        <w:ind w:right="-90"/>
        <w:contextualSpacing/>
        <w:rPr>
          <w:bCs/>
          <w:sz w:val="20"/>
          <w:szCs w:val="20"/>
          <w:lang w:val="en-US"/>
        </w:rPr>
      </w:pPr>
      <w:r w:rsidRPr="009D52FD">
        <w:rPr>
          <w:bCs/>
          <w:sz w:val="20"/>
          <w:szCs w:val="20"/>
          <w:lang w:val="en-US"/>
        </w:rPr>
        <w:t>The State shall</w:t>
      </w:r>
      <w:r w:rsidR="00577A4F" w:rsidRPr="009D52FD">
        <w:rPr>
          <w:bCs/>
          <w:sz w:val="20"/>
          <w:szCs w:val="20"/>
          <w:lang w:val="en-US"/>
        </w:rPr>
        <w:t xml:space="preserve">, </w:t>
      </w:r>
      <w:r w:rsidR="002D30E0" w:rsidRPr="009D52FD">
        <w:rPr>
          <w:bCs/>
          <w:sz w:val="20"/>
          <w:szCs w:val="20"/>
          <w:lang w:val="en-US"/>
        </w:rPr>
        <w:t>within a reasonable time</w:t>
      </w:r>
      <w:r w:rsidR="00577A4F" w:rsidRPr="009D52FD">
        <w:rPr>
          <w:bCs/>
          <w:sz w:val="20"/>
          <w:szCs w:val="20"/>
          <w:lang w:val="en-US"/>
        </w:rPr>
        <w:t>, incorpora</w:t>
      </w:r>
      <w:r w:rsidR="002D30E0" w:rsidRPr="009D52FD">
        <w:rPr>
          <w:bCs/>
          <w:sz w:val="20"/>
          <w:szCs w:val="20"/>
          <w:lang w:val="en-US"/>
        </w:rPr>
        <w:t xml:space="preserve">te into the national curriculum of the national education system, at all levels and all educational models, a permanent education program bearing the name of </w:t>
      </w:r>
      <w:r w:rsidR="00566C5B" w:rsidRPr="009D52FD">
        <w:rPr>
          <w:rFonts w:eastAsia="MS Mincho"/>
          <w:iCs/>
          <w:sz w:val="20"/>
          <w:szCs w:val="20"/>
          <w:lang w:val="en-US" w:bidi="en-US"/>
        </w:rPr>
        <w:t>“Linda Loaiza</w:t>
      </w:r>
      <w:r w:rsidR="002D30E0" w:rsidRPr="009D52FD">
        <w:rPr>
          <w:rFonts w:eastAsia="MS Mincho"/>
          <w:iCs/>
          <w:sz w:val="20"/>
          <w:szCs w:val="20"/>
          <w:lang w:val="en-US" w:bidi="en-US"/>
        </w:rPr>
        <w:t>,</w:t>
      </w:r>
      <w:r w:rsidR="00566C5B" w:rsidRPr="009D52FD">
        <w:rPr>
          <w:rFonts w:eastAsia="MS Mincho"/>
          <w:iCs/>
          <w:sz w:val="20"/>
          <w:szCs w:val="20"/>
          <w:lang w:val="en-US" w:bidi="en-US"/>
        </w:rPr>
        <w:t>”</w:t>
      </w:r>
      <w:r w:rsidR="00577A4F" w:rsidRPr="009D52FD">
        <w:rPr>
          <w:bCs/>
          <w:sz w:val="20"/>
          <w:szCs w:val="20"/>
          <w:lang w:val="en-US"/>
        </w:rPr>
        <w:t xml:space="preserve"> </w:t>
      </w:r>
      <w:r w:rsidRPr="009D52FD">
        <w:rPr>
          <w:bCs/>
          <w:sz w:val="20"/>
          <w:szCs w:val="20"/>
          <w:lang w:val="en-US"/>
        </w:rPr>
        <w:t>as indicated in</w:t>
      </w:r>
      <w:r w:rsidR="00577A4F" w:rsidRPr="009D52FD">
        <w:rPr>
          <w:bCs/>
          <w:sz w:val="20"/>
          <w:szCs w:val="20"/>
          <w:lang w:val="en-US"/>
        </w:rPr>
        <w:t xml:space="preserve"> </w:t>
      </w:r>
      <w:r w:rsidR="009459E7" w:rsidRPr="009D52FD">
        <w:rPr>
          <w:bCs/>
          <w:sz w:val="20"/>
          <w:szCs w:val="20"/>
          <w:lang w:val="en-US"/>
        </w:rPr>
        <w:t>paragraph</w:t>
      </w:r>
      <w:r w:rsidR="00577A4F" w:rsidRPr="009D52FD">
        <w:rPr>
          <w:bCs/>
          <w:sz w:val="20"/>
          <w:szCs w:val="20"/>
          <w:lang w:val="en-US"/>
        </w:rPr>
        <w:t xml:space="preserve"> </w:t>
      </w:r>
      <w:r w:rsidR="00C21D7D" w:rsidRPr="009D52FD">
        <w:rPr>
          <w:bCs/>
          <w:sz w:val="20"/>
          <w:szCs w:val="20"/>
          <w:lang w:val="en-US"/>
        </w:rPr>
        <w:t>345</w:t>
      </w:r>
      <w:r w:rsidR="00577A4F" w:rsidRPr="009D52FD">
        <w:rPr>
          <w:bCs/>
          <w:sz w:val="20"/>
          <w:szCs w:val="20"/>
          <w:lang w:val="en-US"/>
        </w:rPr>
        <w:t xml:space="preserve"> </w:t>
      </w:r>
      <w:r w:rsidR="00996337" w:rsidRPr="009D52FD">
        <w:rPr>
          <w:bCs/>
          <w:sz w:val="20"/>
          <w:szCs w:val="20"/>
          <w:lang w:val="en-US"/>
        </w:rPr>
        <w:t>of this judgment</w:t>
      </w:r>
      <w:r w:rsidR="00577A4F" w:rsidRPr="009D52FD">
        <w:rPr>
          <w:bCs/>
          <w:sz w:val="20"/>
          <w:szCs w:val="20"/>
          <w:lang w:val="en-US"/>
        </w:rPr>
        <w:t>.</w:t>
      </w:r>
    </w:p>
    <w:p w14:paraId="2E884A00" w14:textId="77777777" w:rsidR="00577A4F" w:rsidRPr="009D52FD" w:rsidRDefault="00577A4F" w:rsidP="00577A4F">
      <w:pPr>
        <w:tabs>
          <w:tab w:val="left" w:pos="720"/>
        </w:tabs>
        <w:spacing w:line="240" w:lineRule="auto"/>
        <w:ind w:right="-90"/>
        <w:contextualSpacing/>
        <w:rPr>
          <w:bCs/>
          <w:sz w:val="20"/>
          <w:szCs w:val="20"/>
          <w:lang w:val="en-US"/>
        </w:rPr>
      </w:pPr>
    </w:p>
    <w:p w14:paraId="3D8BAD3A" w14:textId="6E8C30CC" w:rsidR="00577A4F" w:rsidRPr="009D52FD" w:rsidRDefault="00DC2372" w:rsidP="00577A4F">
      <w:pPr>
        <w:numPr>
          <w:ilvl w:val="0"/>
          <w:numId w:val="7"/>
        </w:numPr>
        <w:tabs>
          <w:tab w:val="left" w:pos="720"/>
        </w:tabs>
        <w:spacing w:line="240" w:lineRule="auto"/>
        <w:ind w:right="-90"/>
        <w:contextualSpacing/>
        <w:rPr>
          <w:bCs/>
          <w:sz w:val="20"/>
          <w:szCs w:val="20"/>
          <w:lang w:val="en-US"/>
        </w:rPr>
      </w:pPr>
      <w:r w:rsidRPr="009D52FD">
        <w:rPr>
          <w:bCs/>
          <w:sz w:val="20"/>
          <w:szCs w:val="20"/>
          <w:lang w:val="en-US"/>
        </w:rPr>
        <w:t>The State shall</w:t>
      </w:r>
      <w:r w:rsidR="00577A4F" w:rsidRPr="009D52FD">
        <w:rPr>
          <w:bCs/>
          <w:sz w:val="20"/>
          <w:szCs w:val="20"/>
          <w:lang w:val="en-US"/>
        </w:rPr>
        <w:t xml:space="preserve"> implement</w:t>
      </w:r>
      <w:r w:rsidR="0051609B" w:rsidRPr="009D52FD">
        <w:rPr>
          <w:bCs/>
          <w:sz w:val="20"/>
          <w:szCs w:val="20"/>
          <w:lang w:val="en-US"/>
        </w:rPr>
        <w:t xml:space="preserve"> </w:t>
      </w:r>
      <w:r w:rsidR="007D3D4F" w:rsidRPr="009D52FD">
        <w:rPr>
          <w:bCs/>
          <w:sz w:val="20"/>
          <w:szCs w:val="20"/>
          <w:lang w:val="en-US"/>
        </w:rPr>
        <w:t>immediately</w:t>
      </w:r>
      <w:r w:rsidR="00577A4F" w:rsidRPr="009D52FD">
        <w:rPr>
          <w:bCs/>
          <w:sz w:val="20"/>
          <w:szCs w:val="20"/>
          <w:lang w:val="en-US"/>
        </w:rPr>
        <w:t xml:space="preserve">, </w:t>
      </w:r>
      <w:r w:rsidR="002D30E0" w:rsidRPr="009D52FD">
        <w:rPr>
          <w:bCs/>
          <w:sz w:val="20"/>
          <w:szCs w:val="20"/>
          <w:lang w:val="en-US"/>
        </w:rPr>
        <w:t xml:space="preserve">through the corresponding state institution, a system for the collection and data and </w:t>
      </w:r>
      <w:r w:rsidR="00E108BF" w:rsidRPr="009D52FD">
        <w:rPr>
          <w:bCs/>
          <w:sz w:val="20"/>
          <w:szCs w:val="20"/>
          <w:lang w:val="en-US"/>
        </w:rPr>
        <w:t>figures</w:t>
      </w:r>
      <w:r w:rsidR="002D30E0" w:rsidRPr="009D52FD">
        <w:rPr>
          <w:bCs/>
          <w:sz w:val="20"/>
          <w:szCs w:val="20"/>
          <w:lang w:val="en-US"/>
        </w:rPr>
        <w:t xml:space="preserve"> on the cases of violence against women throughout national territory, </w:t>
      </w:r>
      <w:r w:rsidRPr="009D52FD">
        <w:rPr>
          <w:bCs/>
          <w:sz w:val="20"/>
          <w:szCs w:val="20"/>
          <w:lang w:val="en-US"/>
        </w:rPr>
        <w:t>as indicated in</w:t>
      </w:r>
      <w:r w:rsidR="00577A4F" w:rsidRPr="009D52FD">
        <w:rPr>
          <w:bCs/>
          <w:sz w:val="20"/>
          <w:szCs w:val="20"/>
          <w:lang w:val="en-US"/>
        </w:rPr>
        <w:t xml:space="preserve"> </w:t>
      </w:r>
      <w:r w:rsidR="009459E7" w:rsidRPr="009D52FD">
        <w:rPr>
          <w:bCs/>
          <w:sz w:val="20"/>
          <w:szCs w:val="20"/>
          <w:lang w:val="en-US"/>
        </w:rPr>
        <w:t>paragraph</w:t>
      </w:r>
      <w:r w:rsidR="00577A4F" w:rsidRPr="009D52FD">
        <w:rPr>
          <w:bCs/>
          <w:sz w:val="20"/>
          <w:szCs w:val="20"/>
          <w:lang w:val="en-US"/>
        </w:rPr>
        <w:t xml:space="preserve"> </w:t>
      </w:r>
      <w:r w:rsidR="00926FB8" w:rsidRPr="009D52FD">
        <w:rPr>
          <w:bCs/>
          <w:sz w:val="20"/>
          <w:szCs w:val="20"/>
          <w:lang w:val="en-US"/>
        </w:rPr>
        <w:t>349</w:t>
      </w:r>
      <w:r w:rsidR="00577A4F" w:rsidRPr="009D52FD">
        <w:rPr>
          <w:bCs/>
          <w:sz w:val="20"/>
          <w:szCs w:val="20"/>
          <w:lang w:val="en-US"/>
        </w:rPr>
        <w:t xml:space="preserve"> </w:t>
      </w:r>
      <w:r w:rsidR="00996337" w:rsidRPr="009D52FD">
        <w:rPr>
          <w:bCs/>
          <w:sz w:val="20"/>
          <w:szCs w:val="20"/>
          <w:lang w:val="en-US"/>
        </w:rPr>
        <w:t>of this judgment</w:t>
      </w:r>
      <w:r w:rsidR="00577A4F" w:rsidRPr="009D52FD">
        <w:rPr>
          <w:bCs/>
          <w:sz w:val="20"/>
          <w:szCs w:val="20"/>
          <w:lang w:val="en-US"/>
        </w:rPr>
        <w:t>.</w:t>
      </w:r>
    </w:p>
    <w:p w14:paraId="328171FF" w14:textId="77777777" w:rsidR="00577A4F" w:rsidRPr="009D52FD" w:rsidRDefault="00577A4F" w:rsidP="00577A4F">
      <w:pPr>
        <w:tabs>
          <w:tab w:val="left" w:pos="720"/>
        </w:tabs>
        <w:spacing w:line="240" w:lineRule="auto"/>
        <w:ind w:right="-90"/>
        <w:contextualSpacing/>
        <w:rPr>
          <w:bCs/>
          <w:sz w:val="20"/>
          <w:szCs w:val="20"/>
          <w:lang w:val="en-US"/>
        </w:rPr>
      </w:pPr>
    </w:p>
    <w:p w14:paraId="2AFF1B01" w14:textId="377D508C" w:rsidR="00577A4F" w:rsidRPr="009D52FD" w:rsidRDefault="00DC2372" w:rsidP="00577A4F">
      <w:pPr>
        <w:numPr>
          <w:ilvl w:val="0"/>
          <w:numId w:val="7"/>
        </w:numPr>
        <w:tabs>
          <w:tab w:val="left" w:pos="720"/>
        </w:tabs>
        <w:spacing w:line="240" w:lineRule="auto"/>
        <w:ind w:right="-90"/>
        <w:contextualSpacing/>
        <w:rPr>
          <w:bCs/>
          <w:sz w:val="20"/>
          <w:szCs w:val="20"/>
          <w:lang w:val="en-US"/>
        </w:rPr>
      </w:pPr>
      <w:r w:rsidRPr="009D52FD">
        <w:rPr>
          <w:bCs/>
          <w:sz w:val="20"/>
          <w:szCs w:val="20"/>
          <w:lang w:val="en-US"/>
        </w:rPr>
        <w:t>The State shall</w:t>
      </w:r>
      <w:r w:rsidR="00577A4F" w:rsidRPr="009D52FD">
        <w:rPr>
          <w:bCs/>
          <w:sz w:val="20"/>
          <w:szCs w:val="20"/>
          <w:lang w:val="en-US"/>
        </w:rPr>
        <w:t xml:space="preserve"> </w:t>
      </w:r>
      <w:r w:rsidRPr="009D52FD">
        <w:rPr>
          <w:bCs/>
          <w:sz w:val="20"/>
          <w:szCs w:val="20"/>
          <w:lang w:val="en-US"/>
        </w:rPr>
        <w:t xml:space="preserve">pay the amounts established in </w:t>
      </w:r>
      <w:r w:rsidR="009459E7" w:rsidRPr="009D52FD">
        <w:rPr>
          <w:bCs/>
          <w:sz w:val="20"/>
          <w:szCs w:val="20"/>
          <w:lang w:val="en-US"/>
        </w:rPr>
        <w:t>paragraph</w:t>
      </w:r>
      <w:r w:rsidR="00577A4F" w:rsidRPr="009D52FD">
        <w:rPr>
          <w:bCs/>
          <w:sz w:val="20"/>
          <w:szCs w:val="20"/>
          <w:lang w:val="en-US"/>
        </w:rPr>
        <w:t xml:space="preserve">s </w:t>
      </w:r>
      <w:r w:rsidR="008903C4" w:rsidRPr="009D52FD">
        <w:rPr>
          <w:bCs/>
          <w:sz w:val="20"/>
          <w:szCs w:val="20"/>
          <w:lang w:val="en-US"/>
        </w:rPr>
        <w:t>365</w:t>
      </w:r>
      <w:r w:rsidR="00577A4F" w:rsidRPr="009D52FD">
        <w:rPr>
          <w:bCs/>
          <w:sz w:val="20"/>
          <w:szCs w:val="20"/>
          <w:lang w:val="en-US"/>
        </w:rPr>
        <w:t>,</w:t>
      </w:r>
      <w:r w:rsidR="0051609B" w:rsidRPr="009D52FD">
        <w:rPr>
          <w:bCs/>
          <w:sz w:val="20"/>
          <w:szCs w:val="20"/>
          <w:lang w:val="en-US"/>
        </w:rPr>
        <w:t xml:space="preserve"> </w:t>
      </w:r>
      <w:r w:rsidR="008903C4" w:rsidRPr="009D52FD">
        <w:rPr>
          <w:bCs/>
          <w:sz w:val="20"/>
          <w:szCs w:val="20"/>
          <w:lang w:val="en-US"/>
        </w:rPr>
        <w:t>368</w:t>
      </w:r>
      <w:r w:rsidR="00577A4F" w:rsidRPr="009D52FD">
        <w:rPr>
          <w:bCs/>
          <w:sz w:val="20"/>
          <w:szCs w:val="20"/>
          <w:lang w:val="en-US"/>
        </w:rPr>
        <w:t>,</w:t>
      </w:r>
      <w:r w:rsidR="0051609B" w:rsidRPr="009D52FD">
        <w:rPr>
          <w:bCs/>
          <w:sz w:val="20"/>
          <w:szCs w:val="20"/>
          <w:lang w:val="en-US"/>
        </w:rPr>
        <w:t xml:space="preserve"> </w:t>
      </w:r>
      <w:r w:rsidR="007B3985" w:rsidRPr="009D52FD">
        <w:rPr>
          <w:bCs/>
          <w:sz w:val="20"/>
          <w:szCs w:val="20"/>
          <w:lang w:val="en-US"/>
        </w:rPr>
        <w:t>374, 375, 376</w:t>
      </w:r>
      <w:r w:rsidR="003630BB" w:rsidRPr="009D52FD">
        <w:rPr>
          <w:bCs/>
          <w:sz w:val="20"/>
          <w:szCs w:val="20"/>
          <w:lang w:val="en-US"/>
        </w:rPr>
        <w:t xml:space="preserve"> and </w:t>
      </w:r>
      <w:r w:rsidR="002C4E99" w:rsidRPr="009D52FD">
        <w:rPr>
          <w:bCs/>
          <w:sz w:val="20"/>
          <w:szCs w:val="20"/>
          <w:lang w:val="en-US"/>
        </w:rPr>
        <w:t>385</w:t>
      </w:r>
      <w:r w:rsidR="00577A4F" w:rsidRPr="009D52FD">
        <w:rPr>
          <w:bCs/>
          <w:sz w:val="20"/>
          <w:szCs w:val="20"/>
          <w:lang w:val="en-US"/>
        </w:rPr>
        <w:t xml:space="preserve"> </w:t>
      </w:r>
      <w:r w:rsidR="00EB0EB6" w:rsidRPr="009D52FD">
        <w:rPr>
          <w:bCs/>
          <w:sz w:val="20"/>
          <w:szCs w:val="20"/>
          <w:lang w:val="en-US"/>
        </w:rPr>
        <w:t>of this judgment</w:t>
      </w:r>
      <w:r w:rsidRPr="009D52FD">
        <w:rPr>
          <w:bCs/>
          <w:sz w:val="20"/>
          <w:szCs w:val="20"/>
          <w:lang w:val="en-US"/>
        </w:rPr>
        <w:t xml:space="preserve"> as compensation f</w:t>
      </w:r>
      <w:r w:rsidR="00577A4F" w:rsidRPr="009D52FD">
        <w:rPr>
          <w:bCs/>
          <w:sz w:val="20"/>
          <w:szCs w:val="20"/>
          <w:lang w:val="en-US"/>
        </w:rPr>
        <w:t xml:space="preserve">or </w:t>
      </w:r>
      <w:r w:rsidR="007D3D4F" w:rsidRPr="009D52FD">
        <w:rPr>
          <w:bCs/>
          <w:sz w:val="20"/>
          <w:szCs w:val="20"/>
          <w:lang w:val="en-US"/>
        </w:rPr>
        <w:t xml:space="preserve">pecuniary </w:t>
      </w:r>
      <w:r w:rsidRPr="009D52FD">
        <w:rPr>
          <w:bCs/>
          <w:sz w:val="20"/>
          <w:szCs w:val="20"/>
          <w:lang w:val="en-US"/>
        </w:rPr>
        <w:t xml:space="preserve">and non-pecuniary </w:t>
      </w:r>
      <w:r w:rsidR="007D3D4F" w:rsidRPr="009D52FD">
        <w:rPr>
          <w:bCs/>
          <w:sz w:val="20"/>
          <w:szCs w:val="20"/>
          <w:lang w:val="en-US"/>
        </w:rPr>
        <w:t>damag</w:t>
      </w:r>
      <w:r w:rsidR="00577A4F" w:rsidRPr="009D52FD">
        <w:rPr>
          <w:bCs/>
          <w:sz w:val="20"/>
          <w:szCs w:val="20"/>
          <w:lang w:val="en-US"/>
        </w:rPr>
        <w:t>e,</w:t>
      </w:r>
      <w:r w:rsidR="003630BB" w:rsidRPr="009D52FD">
        <w:rPr>
          <w:bCs/>
          <w:sz w:val="20"/>
          <w:szCs w:val="20"/>
          <w:lang w:val="en-US"/>
        </w:rPr>
        <w:t xml:space="preserve"> and </w:t>
      </w:r>
      <w:r w:rsidRPr="009D52FD">
        <w:rPr>
          <w:bCs/>
          <w:sz w:val="20"/>
          <w:szCs w:val="20"/>
          <w:lang w:val="en-US"/>
        </w:rPr>
        <w:t>to reimburse</w:t>
      </w:r>
      <w:r w:rsidR="00577A4F" w:rsidRPr="009D52FD">
        <w:rPr>
          <w:bCs/>
          <w:sz w:val="20"/>
          <w:szCs w:val="20"/>
          <w:lang w:val="en-US"/>
        </w:rPr>
        <w:t xml:space="preserve"> </w:t>
      </w:r>
      <w:r w:rsidR="00325A95" w:rsidRPr="009D52FD">
        <w:rPr>
          <w:bCs/>
          <w:sz w:val="20"/>
          <w:szCs w:val="20"/>
          <w:lang w:val="en-US"/>
        </w:rPr>
        <w:t>costs and expenses</w:t>
      </w:r>
      <w:r w:rsidR="00577A4F" w:rsidRPr="009D52FD">
        <w:rPr>
          <w:bCs/>
          <w:sz w:val="20"/>
          <w:szCs w:val="20"/>
          <w:lang w:val="en-US"/>
        </w:rPr>
        <w:t xml:space="preserve">, </w:t>
      </w:r>
      <w:r w:rsidR="00996337" w:rsidRPr="009D52FD">
        <w:rPr>
          <w:bCs/>
          <w:sz w:val="20"/>
          <w:szCs w:val="20"/>
          <w:lang w:val="en-US"/>
        </w:rPr>
        <w:t>pursuant to</w:t>
      </w:r>
      <w:r w:rsidR="00577A4F" w:rsidRPr="009D52FD">
        <w:rPr>
          <w:bCs/>
          <w:sz w:val="20"/>
          <w:szCs w:val="20"/>
          <w:lang w:val="en-US"/>
        </w:rPr>
        <w:t xml:space="preserve"> </w:t>
      </w:r>
      <w:r w:rsidRPr="009D52FD">
        <w:rPr>
          <w:bCs/>
          <w:sz w:val="20"/>
          <w:szCs w:val="20"/>
          <w:lang w:val="en-US"/>
        </w:rPr>
        <w:t xml:space="preserve">the said </w:t>
      </w:r>
      <w:r w:rsidR="009459E7" w:rsidRPr="009D52FD">
        <w:rPr>
          <w:bCs/>
          <w:sz w:val="20"/>
          <w:szCs w:val="20"/>
          <w:lang w:val="en-US"/>
        </w:rPr>
        <w:t>paragraph</w:t>
      </w:r>
      <w:r w:rsidR="00577A4F" w:rsidRPr="009D52FD">
        <w:rPr>
          <w:bCs/>
          <w:sz w:val="20"/>
          <w:szCs w:val="20"/>
          <w:lang w:val="en-US"/>
        </w:rPr>
        <w:t>s</w:t>
      </w:r>
      <w:r w:rsidR="003630BB" w:rsidRPr="009D52FD">
        <w:rPr>
          <w:bCs/>
          <w:sz w:val="20"/>
          <w:szCs w:val="20"/>
          <w:lang w:val="en-US"/>
        </w:rPr>
        <w:t xml:space="preserve"> and </w:t>
      </w:r>
      <w:r w:rsidR="009459E7" w:rsidRPr="009D52FD">
        <w:rPr>
          <w:bCs/>
          <w:sz w:val="20"/>
          <w:szCs w:val="20"/>
          <w:lang w:val="en-US"/>
        </w:rPr>
        <w:t>paragraph</w:t>
      </w:r>
      <w:r w:rsidR="00577A4F" w:rsidRPr="009D52FD">
        <w:rPr>
          <w:bCs/>
          <w:sz w:val="20"/>
          <w:szCs w:val="20"/>
          <w:lang w:val="en-US"/>
        </w:rPr>
        <w:t xml:space="preserve">s </w:t>
      </w:r>
      <w:r w:rsidR="001A7F10" w:rsidRPr="009D52FD">
        <w:rPr>
          <w:bCs/>
          <w:sz w:val="20"/>
          <w:szCs w:val="20"/>
          <w:lang w:val="en-US"/>
        </w:rPr>
        <w:t>390</w:t>
      </w:r>
      <w:r w:rsidR="00577A4F" w:rsidRPr="009D52FD">
        <w:rPr>
          <w:bCs/>
          <w:sz w:val="20"/>
          <w:szCs w:val="20"/>
          <w:lang w:val="en-US"/>
        </w:rPr>
        <w:t xml:space="preserve"> </w:t>
      </w:r>
      <w:r w:rsidR="00EC11EA" w:rsidRPr="009D52FD">
        <w:rPr>
          <w:bCs/>
          <w:sz w:val="20"/>
          <w:szCs w:val="20"/>
          <w:lang w:val="en-US"/>
        </w:rPr>
        <w:t>to</w:t>
      </w:r>
      <w:r w:rsidR="00577A4F" w:rsidRPr="009D52FD">
        <w:rPr>
          <w:bCs/>
          <w:sz w:val="20"/>
          <w:szCs w:val="20"/>
          <w:lang w:val="en-US"/>
        </w:rPr>
        <w:t xml:space="preserve"> </w:t>
      </w:r>
      <w:r w:rsidR="001A7F10" w:rsidRPr="009D52FD">
        <w:rPr>
          <w:bCs/>
          <w:sz w:val="20"/>
          <w:szCs w:val="20"/>
          <w:lang w:val="en-US"/>
        </w:rPr>
        <w:t>395</w:t>
      </w:r>
      <w:r w:rsidR="00577A4F" w:rsidRPr="009D52FD">
        <w:rPr>
          <w:bCs/>
          <w:sz w:val="20"/>
          <w:szCs w:val="20"/>
          <w:lang w:val="en-US"/>
        </w:rPr>
        <w:t>.</w:t>
      </w:r>
    </w:p>
    <w:p w14:paraId="17BBC743" w14:textId="77777777" w:rsidR="00577A4F" w:rsidRPr="009D52FD" w:rsidRDefault="00577A4F" w:rsidP="00577A4F">
      <w:pPr>
        <w:spacing w:line="240" w:lineRule="auto"/>
        <w:ind w:right="-90"/>
        <w:contextualSpacing/>
        <w:rPr>
          <w:rFonts w:eastAsia="MS Mincho"/>
          <w:bCs/>
          <w:sz w:val="20"/>
          <w:szCs w:val="20"/>
          <w:lang w:val="en-US" w:bidi="en-US"/>
        </w:rPr>
      </w:pPr>
    </w:p>
    <w:p w14:paraId="19D81D46" w14:textId="30C0349C" w:rsidR="00577A4F" w:rsidRPr="009D52FD" w:rsidRDefault="00DC2372" w:rsidP="00577A4F">
      <w:pPr>
        <w:numPr>
          <w:ilvl w:val="0"/>
          <w:numId w:val="7"/>
        </w:numPr>
        <w:tabs>
          <w:tab w:val="left" w:pos="720"/>
        </w:tabs>
        <w:spacing w:line="240" w:lineRule="auto"/>
        <w:ind w:right="-90"/>
        <w:contextualSpacing/>
        <w:rPr>
          <w:sz w:val="20"/>
          <w:szCs w:val="20"/>
          <w:lang w:val="en-US"/>
        </w:rPr>
      </w:pPr>
      <w:r w:rsidRPr="009D52FD">
        <w:rPr>
          <w:sz w:val="20"/>
          <w:szCs w:val="20"/>
          <w:lang w:val="en-US"/>
        </w:rPr>
        <w:t>The State shall</w:t>
      </w:r>
      <w:r w:rsidR="00577A4F" w:rsidRPr="009D52FD">
        <w:rPr>
          <w:sz w:val="20"/>
          <w:szCs w:val="20"/>
          <w:lang w:val="en-US"/>
        </w:rPr>
        <w:t xml:space="preserve"> </w:t>
      </w:r>
      <w:r w:rsidRPr="009D52FD">
        <w:rPr>
          <w:sz w:val="20"/>
          <w:szCs w:val="20"/>
          <w:lang w:val="en-US"/>
        </w:rPr>
        <w:t>reimburse the</w:t>
      </w:r>
      <w:r w:rsidR="00577A4F" w:rsidRPr="009D52FD">
        <w:rPr>
          <w:sz w:val="20"/>
          <w:szCs w:val="20"/>
          <w:lang w:val="en-US"/>
        </w:rPr>
        <w:t xml:space="preserve"> </w:t>
      </w:r>
      <w:r w:rsidR="00325A95" w:rsidRPr="009D52FD">
        <w:rPr>
          <w:sz w:val="20"/>
          <w:szCs w:val="20"/>
          <w:lang w:val="en-US"/>
        </w:rPr>
        <w:t>Victims’ Legal Assistance Fund</w:t>
      </w:r>
      <w:r w:rsidR="003630BB" w:rsidRPr="009D52FD">
        <w:rPr>
          <w:sz w:val="20"/>
          <w:szCs w:val="20"/>
          <w:lang w:val="en-US"/>
        </w:rPr>
        <w:t xml:space="preserve"> of the Inter-American Court of Human Rights</w:t>
      </w:r>
      <w:r w:rsidR="00577A4F" w:rsidRPr="009D52FD">
        <w:rPr>
          <w:sz w:val="20"/>
          <w:szCs w:val="20"/>
          <w:lang w:val="en-US"/>
        </w:rPr>
        <w:t xml:space="preserve"> </w:t>
      </w:r>
      <w:r w:rsidRPr="009D52FD">
        <w:rPr>
          <w:sz w:val="20"/>
          <w:szCs w:val="20"/>
          <w:lang w:val="en-US"/>
        </w:rPr>
        <w:t xml:space="preserve">the sum disbursed during the processing of this case, </w:t>
      </w:r>
      <w:r w:rsidR="00996337" w:rsidRPr="009D52FD">
        <w:rPr>
          <w:sz w:val="20"/>
          <w:szCs w:val="20"/>
          <w:lang w:val="en-US"/>
        </w:rPr>
        <w:t>pursuant to</w:t>
      </w:r>
      <w:r w:rsidR="001A7F10" w:rsidRPr="009D52FD">
        <w:rPr>
          <w:sz w:val="20"/>
          <w:szCs w:val="20"/>
          <w:lang w:val="en-US"/>
        </w:rPr>
        <w:t xml:space="preserve"> </w:t>
      </w:r>
      <w:r w:rsidR="009459E7" w:rsidRPr="009D52FD">
        <w:rPr>
          <w:sz w:val="20"/>
          <w:szCs w:val="20"/>
          <w:lang w:val="en-US"/>
        </w:rPr>
        <w:t>paragraph</w:t>
      </w:r>
      <w:r w:rsidR="001A7F10" w:rsidRPr="009D52FD">
        <w:rPr>
          <w:sz w:val="20"/>
          <w:szCs w:val="20"/>
          <w:lang w:val="en-US"/>
        </w:rPr>
        <w:t>s 387</w:t>
      </w:r>
      <w:r w:rsidR="003630BB" w:rsidRPr="009D52FD">
        <w:rPr>
          <w:sz w:val="20"/>
          <w:szCs w:val="20"/>
          <w:lang w:val="en-US"/>
        </w:rPr>
        <w:t xml:space="preserve"> and </w:t>
      </w:r>
      <w:r w:rsidR="001A7F10" w:rsidRPr="009D52FD">
        <w:rPr>
          <w:sz w:val="20"/>
          <w:szCs w:val="20"/>
          <w:lang w:val="en-US"/>
        </w:rPr>
        <w:t>395</w:t>
      </w:r>
      <w:r w:rsidR="00577A4F" w:rsidRPr="009D52FD">
        <w:rPr>
          <w:sz w:val="20"/>
          <w:szCs w:val="20"/>
          <w:lang w:val="en-US"/>
        </w:rPr>
        <w:t xml:space="preserve"> </w:t>
      </w:r>
      <w:r w:rsidR="00996337" w:rsidRPr="009D52FD">
        <w:rPr>
          <w:sz w:val="20"/>
          <w:szCs w:val="20"/>
          <w:lang w:val="en-US"/>
        </w:rPr>
        <w:t>of this judgment</w:t>
      </w:r>
      <w:r w:rsidR="00577A4F" w:rsidRPr="009D52FD">
        <w:rPr>
          <w:sz w:val="20"/>
          <w:szCs w:val="20"/>
          <w:lang w:val="en-US"/>
        </w:rPr>
        <w:t>.</w:t>
      </w:r>
    </w:p>
    <w:p w14:paraId="12E7C84B" w14:textId="2655CE70" w:rsidR="00577A4F" w:rsidRPr="009D52FD" w:rsidRDefault="00577A4F" w:rsidP="00577A4F">
      <w:pPr>
        <w:spacing w:line="240" w:lineRule="auto"/>
        <w:ind w:right="-90"/>
        <w:contextualSpacing/>
        <w:rPr>
          <w:rFonts w:eastAsia="MS Mincho"/>
          <w:bCs/>
          <w:sz w:val="20"/>
          <w:szCs w:val="20"/>
          <w:lang w:val="en-US" w:bidi="en-US"/>
        </w:rPr>
      </w:pPr>
    </w:p>
    <w:p w14:paraId="60FBB21F" w14:textId="7CA75B2A" w:rsidR="00577A4F" w:rsidRPr="009D52FD" w:rsidRDefault="003630BB" w:rsidP="00577A4F">
      <w:pPr>
        <w:numPr>
          <w:ilvl w:val="0"/>
          <w:numId w:val="7"/>
        </w:numPr>
        <w:tabs>
          <w:tab w:val="left" w:pos="720"/>
        </w:tabs>
        <w:spacing w:line="240" w:lineRule="auto"/>
        <w:ind w:right="-90"/>
        <w:contextualSpacing/>
        <w:rPr>
          <w:bCs/>
          <w:sz w:val="20"/>
          <w:szCs w:val="20"/>
          <w:lang w:val="en-US"/>
        </w:rPr>
      </w:pPr>
      <w:r w:rsidRPr="009D52FD">
        <w:rPr>
          <w:bCs/>
          <w:sz w:val="20"/>
          <w:szCs w:val="20"/>
          <w:lang w:val="en-US"/>
        </w:rPr>
        <w:t>The State</w:t>
      </w:r>
      <w:r w:rsidR="00577A4F" w:rsidRPr="009D52FD">
        <w:rPr>
          <w:bCs/>
          <w:sz w:val="20"/>
          <w:szCs w:val="20"/>
          <w:lang w:val="en-US"/>
        </w:rPr>
        <w:t xml:space="preserve">, </w:t>
      </w:r>
      <w:r w:rsidR="00DC2372" w:rsidRPr="009D52FD">
        <w:rPr>
          <w:bCs/>
          <w:sz w:val="20"/>
          <w:szCs w:val="20"/>
          <w:lang w:val="en-US"/>
        </w:rPr>
        <w:t>within one year of notification</w:t>
      </w:r>
      <w:r w:rsidR="00577A4F" w:rsidRPr="009D52FD">
        <w:rPr>
          <w:bCs/>
          <w:sz w:val="20"/>
          <w:szCs w:val="20"/>
          <w:lang w:val="en-US"/>
        </w:rPr>
        <w:t xml:space="preserve"> </w:t>
      </w:r>
      <w:r w:rsidR="00996337" w:rsidRPr="009D52FD">
        <w:rPr>
          <w:bCs/>
          <w:sz w:val="20"/>
          <w:szCs w:val="20"/>
          <w:lang w:val="en-US"/>
        </w:rPr>
        <w:t>of this judgment</w:t>
      </w:r>
      <w:r w:rsidR="00577A4F" w:rsidRPr="009D52FD">
        <w:rPr>
          <w:bCs/>
          <w:sz w:val="20"/>
          <w:szCs w:val="20"/>
          <w:lang w:val="en-US"/>
        </w:rPr>
        <w:t xml:space="preserve">, </w:t>
      </w:r>
      <w:r w:rsidR="00DC2372" w:rsidRPr="009D52FD">
        <w:rPr>
          <w:bCs/>
          <w:sz w:val="20"/>
          <w:szCs w:val="20"/>
          <w:lang w:val="en-US"/>
        </w:rPr>
        <w:t>shall provide</w:t>
      </w:r>
      <w:r w:rsidRPr="009D52FD">
        <w:rPr>
          <w:bCs/>
          <w:sz w:val="20"/>
          <w:szCs w:val="20"/>
          <w:lang w:val="en-US"/>
        </w:rPr>
        <w:t xml:space="preserve"> the Court</w:t>
      </w:r>
      <w:r w:rsidR="00577A4F" w:rsidRPr="009D52FD">
        <w:rPr>
          <w:bCs/>
          <w:sz w:val="20"/>
          <w:szCs w:val="20"/>
          <w:lang w:val="en-US"/>
        </w:rPr>
        <w:t xml:space="preserve"> </w:t>
      </w:r>
      <w:r w:rsidR="00DC2372" w:rsidRPr="009D52FD">
        <w:rPr>
          <w:bCs/>
          <w:sz w:val="20"/>
          <w:szCs w:val="20"/>
          <w:lang w:val="en-US"/>
        </w:rPr>
        <w:t xml:space="preserve">with a report on the measures adopted to comply with it, notwithstanding the contents of </w:t>
      </w:r>
      <w:r w:rsidR="009459E7" w:rsidRPr="009D52FD">
        <w:rPr>
          <w:bCs/>
          <w:sz w:val="20"/>
          <w:szCs w:val="20"/>
          <w:lang w:val="en-US"/>
        </w:rPr>
        <w:t>paragraph</w:t>
      </w:r>
      <w:r w:rsidR="00577A4F" w:rsidRPr="009D52FD">
        <w:rPr>
          <w:bCs/>
          <w:sz w:val="20"/>
          <w:szCs w:val="20"/>
          <w:lang w:val="en-US"/>
        </w:rPr>
        <w:t xml:space="preserve"> </w:t>
      </w:r>
      <w:r w:rsidR="001A7F10" w:rsidRPr="009D52FD">
        <w:rPr>
          <w:bCs/>
          <w:sz w:val="20"/>
          <w:szCs w:val="20"/>
          <w:lang w:val="en-US"/>
        </w:rPr>
        <w:t>299</w:t>
      </w:r>
      <w:r w:rsidR="00577A4F" w:rsidRPr="009D52FD">
        <w:rPr>
          <w:bCs/>
          <w:sz w:val="20"/>
          <w:szCs w:val="20"/>
          <w:lang w:val="en-US"/>
        </w:rPr>
        <w:t xml:space="preserve"> </w:t>
      </w:r>
      <w:r w:rsidR="00EB0EB6" w:rsidRPr="009D52FD">
        <w:rPr>
          <w:bCs/>
          <w:sz w:val="20"/>
          <w:szCs w:val="20"/>
          <w:lang w:val="en-US"/>
        </w:rPr>
        <w:t>of this judgment</w:t>
      </w:r>
      <w:r w:rsidR="00577A4F" w:rsidRPr="009D52FD">
        <w:rPr>
          <w:bCs/>
          <w:sz w:val="20"/>
          <w:szCs w:val="20"/>
          <w:lang w:val="en-US"/>
        </w:rPr>
        <w:t>.</w:t>
      </w:r>
    </w:p>
    <w:p w14:paraId="32ED370A" w14:textId="77777777" w:rsidR="00577A4F" w:rsidRPr="009D52FD" w:rsidRDefault="00577A4F" w:rsidP="00577A4F">
      <w:pPr>
        <w:spacing w:line="240" w:lineRule="auto"/>
        <w:ind w:right="-90"/>
        <w:contextualSpacing/>
        <w:rPr>
          <w:rFonts w:eastAsia="MS Mincho"/>
          <w:bCs/>
          <w:sz w:val="20"/>
          <w:szCs w:val="20"/>
          <w:lang w:val="en-US" w:bidi="en-US"/>
        </w:rPr>
      </w:pPr>
    </w:p>
    <w:p w14:paraId="51654410" w14:textId="1DFA471D" w:rsidR="00577A4F" w:rsidRPr="009D52FD" w:rsidRDefault="003630BB" w:rsidP="00577A4F">
      <w:pPr>
        <w:numPr>
          <w:ilvl w:val="0"/>
          <w:numId w:val="7"/>
        </w:numPr>
        <w:tabs>
          <w:tab w:val="left" w:pos="720"/>
        </w:tabs>
        <w:spacing w:line="240" w:lineRule="auto"/>
        <w:ind w:right="-90"/>
        <w:contextualSpacing/>
        <w:rPr>
          <w:bCs/>
          <w:sz w:val="20"/>
          <w:szCs w:val="20"/>
          <w:lang w:val="en-US"/>
        </w:rPr>
      </w:pPr>
      <w:r w:rsidRPr="009D52FD">
        <w:rPr>
          <w:bCs/>
          <w:sz w:val="20"/>
          <w:szCs w:val="20"/>
          <w:lang w:val="en-US"/>
        </w:rPr>
        <w:t>The Court</w:t>
      </w:r>
      <w:r w:rsidR="00577A4F" w:rsidRPr="009D52FD">
        <w:rPr>
          <w:bCs/>
          <w:sz w:val="20"/>
          <w:szCs w:val="20"/>
          <w:lang w:val="en-US"/>
        </w:rPr>
        <w:t xml:space="preserve"> </w:t>
      </w:r>
      <w:r w:rsidR="00DC2372" w:rsidRPr="009D52FD">
        <w:rPr>
          <w:bCs/>
          <w:sz w:val="20"/>
          <w:szCs w:val="20"/>
          <w:lang w:val="en-US"/>
        </w:rPr>
        <w:t xml:space="preserve">will monitor full compliance with </w:t>
      </w:r>
      <w:r w:rsidR="00996337" w:rsidRPr="009D52FD">
        <w:rPr>
          <w:bCs/>
          <w:sz w:val="20"/>
          <w:szCs w:val="20"/>
          <w:lang w:val="en-US"/>
        </w:rPr>
        <w:t>this judgment</w:t>
      </w:r>
      <w:r w:rsidR="00577A4F" w:rsidRPr="009D52FD">
        <w:rPr>
          <w:bCs/>
          <w:sz w:val="20"/>
          <w:szCs w:val="20"/>
          <w:lang w:val="en-US"/>
        </w:rPr>
        <w:t xml:space="preserve">, </w:t>
      </w:r>
      <w:r w:rsidR="00DC2372" w:rsidRPr="009D52FD">
        <w:rPr>
          <w:bCs/>
          <w:sz w:val="20"/>
          <w:szCs w:val="20"/>
          <w:lang w:val="en-US"/>
        </w:rPr>
        <w:t>in exercise of its attributes and in fulfillment of its duties under</w:t>
      </w:r>
      <w:r w:rsidR="00577A4F" w:rsidRPr="009D52FD">
        <w:rPr>
          <w:bCs/>
          <w:sz w:val="20"/>
          <w:szCs w:val="20"/>
          <w:lang w:val="en-US"/>
        </w:rPr>
        <w:t xml:space="preserve"> </w:t>
      </w:r>
      <w:r w:rsidRPr="009D52FD">
        <w:rPr>
          <w:bCs/>
          <w:sz w:val="20"/>
          <w:szCs w:val="20"/>
          <w:lang w:val="en-US"/>
        </w:rPr>
        <w:t>the American Convention on Human Rights</w:t>
      </w:r>
      <w:r w:rsidR="00577A4F" w:rsidRPr="009D52FD">
        <w:rPr>
          <w:bCs/>
          <w:sz w:val="20"/>
          <w:szCs w:val="20"/>
          <w:lang w:val="en-US"/>
        </w:rPr>
        <w:t>,</w:t>
      </w:r>
      <w:r w:rsidRPr="009D52FD">
        <w:rPr>
          <w:bCs/>
          <w:sz w:val="20"/>
          <w:szCs w:val="20"/>
          <w:lang w:val="en-US"/>
        </w:rPr>
        <w:t xml:space="preserve"> and </w:t>
      </w:r>
      <w:r w:rsidR="00DC2372" w:rsidRPr="009D52FD">
        <w:rPr>
          <w:bCs/>
          <w:sz w:val="20"/>
          <w:szCs w:val="20"/>
          <w:lang w:val="en-US"/>
        </w:rPr>
        <w:t>will close this case when the State has complied fully with all its provisions.</w:t>
      </w:r>
    </w:p>
    <w:p w14:paraId="34F0F3F4" w14:textId="77777777" w:rsidR="00577A4F" w:rsidRPr="009D52FD" w:rsidRDefault="00577A4F" w:rsidP="00577A4F">
      <w:pPr>
        <w:tabs>
          <w:tab w:val="left" w:pos="720"/>
        </w:tabs>
        <w:spacing w:line="240" w:lineRule="auto"/>
        <w:ind w:right="-90"/>
        <w:contextualSpacing/>
        <w:rPr>
          <w:b/>
          <w:bCs/>
          <w:sz w:val="20"/>
          <w:szCs w:val="20"/>
          <w:lang w:val="en-US"/>
        </w:rPr>
      </w:pPr>
    </w:p>
    <w:p w14:paraId="4BA366DF" w14:textId="5BB84EB0" w:rsidR="00D11354" w:rsidRPr="009D52FD" w:rsidRDefault="001A3DB9" w:rsidP="001A3DB9">
      <w:pPr>
        <w:tabs>
          <w:tab w:val="left" w:pos="720"/>
        </w:tabs>
        <w:spacing w:line="240" w:lineRule="auto"/>
        <w:ind w:right="-90"/>
        <w:contextualSpacing/>
        <w:rPr>
          <w:bCs/>
          <w:sz w:val="20"/>
          <w:szCs w:val="20"/>
          <w:lang w:val="en-US"/>
        </w:rPr>
      </w:pPr>
      <w:r w:rsidRPr="009D52FD">
        <w:rPr>
          <w:bCs/>
          <w:sz w:val="20"/>
          <w:szCs w:val="20"/>
          <w:lang w:val="en-US"/>
        </w:rPr>
        <w:t xml:space="preserve">DONE, at </w:t>
      </w:r>
      <w:r w:rsidR="00577A4F" w:rsidRPr="009D52FD">
        <w:rPr>
          <w:bCs/>
          <w:sz w:val="20"/>
          <w:szCs w:val="20"/>
          <w:lang w:val="en-US"/>
        </w:rPr>
        <w:t xml:space="preserve">San José, Costa Rica, </w:t>
      </w:r>
      <w:r w:rsidRPr="009D52FD">
        <w:rPr>
          <w:bCs/>
          <w:sz w:val="20"/>
          <w:szCs w:val="20"/>
          <w:lang w:val="en-US"/>
        </w:rPr>
        <w:t>on September 26,</w:t>
      </w:r>
      <w:r w:rsidR="00577A4F" w:rsidRPr="009D52FD">
        <w:rPr>
          <w:bCs/>
          <w:sz w:val="20"/>
          <w:szCs w:val="20"/>
          <w:lang w:val="en-US"/>
        </w:rPr>
        <w:t xml:space="preserve"> 2018</w:t>
      </w:r>
      <w:r w:rsidRPr="009D52FD">
        <w:rPr>
          <w:bCs/>
          <w:sz w:val="20"/>
          <w:szCs w:val="20"/>
          <w:lang w:val="en-US"/>
        </w:rPr>
        <w:t>, in the Spanish language.</w:t>
      </w:r>
    </w:p>
    <w:p w14:paraId="559A6CE5" w14:textId="77777777" w:rsidR="008A6211" w:rsidRPr="009D52FD" w:rsidRDefault="008A6211">
      <w:pPr>
        <w:widowControl/>
        <w:adjustRightInd/>
        <w:spacing w:after="200" w:line="276" w:lineRule="auto"/>
        <w:jc w:val="left"/>
        <w:textAlignment w:val="auto"/>
        <w:rPr>
          <w:sz w:val="20"/>
          <w:lang w:val="en-US"/>
        </w:rPr>
      </w:pPr>
      <w:r w:rsidRPr="009D52FD">
        <w:rPr>
          <w:sz w:val="20"/>
          <w:lang w:val="en-US"/>
        </w:rPr>
        <w:br w:type="page"/>
      </w:r>
    </w:p>
    <w:p w14:paraId="29B42098" w14:textId="5C30C24A" w:rsidR="00D11354" w:rsidRPr="009D52FD" w:rsidRDefault="001A3DB9" w:rsidP="008A6211">
      <w:pPr>
        <w:spacing w:line="240" w:lineRule="auto"/>
        <w:rPr>
          <w:sz w:val="20"/>
          <w:lang w:val="en-US"/>
        </w:rPr>
      </w:pPr>
      <w:r w:rsidRPr="009D52FD">
        <w:rPr>
          <w:sz w:val="20"/>
          <w:lang w:val="en-US"/>
        </w:rPr>
        <w:lastRenderedPageBreak/>
        <w:t>1/A Court HR</w:t>
      </w:r>
      <w:r w:rsidR="00D11354" w:rsidRPr="009D52FD">
        <w:rPr>
          <w:sz w:val="20"/>
          <w:lang w:val="en-US"/>
        </w:rPr>
        <w:t xml:space="preserve"> Cas</w:t>
      </w:r>
      <w:r w:rsidRPr="009D52FD">
        <w:rPr>
          <w:sz w:val="20"/>
          <w:lang w:val="en-US"/>
        </w:rPr>
        <w:t>e of</w:t>
      </w:r>
      <w:r w:rsidR="00D11354" w:rsidRPr="009D52FD">
        <w:rPr>
          <w:sz w:val="20"/>
          <w:lang w:val="en-US"/>
        </w:rPr>
        <w:t xml:space="preserve"> </w:t>
      </w:r>
      <w:r w:rsidR="00D11354" w:rsidRPr="009D52FD">
        <w:rPr>
          <w:i/>
          <w:sz w:val="20"/>
          <w:lang w:val="en-US"/>
        </w:rPr>
        <w:t xml:space="preserve">López </w:t>
      </w:r>
      <w:r w:rsidR="003630BB" w:rsidRPr="009D52FD">
        <w:rPr>
          <w:i/>
          <w:sz w:val="20"/>
          <w:lang w:val="en-US"/>
        </w:rPr>
        <w:t>Soto et al.</w:t>
      </w:r>
      <w:r w:rsidR="00D11354" w:rsidRPr="009D52FD">
        <w:rPr>
          <w:i/>
          <w:sz w:val="20"/>
          <w:lang w:val="en-US"/>
        </w:rPr>
        <w:t xml:space="preserve"> </w:t>
      </w:r>
      <w:r w:rsidR="003630BB" w:rsidRPr="009D52FD">
        <w:rPr>
          <w:i/>
          <w:sz w:val="20"/>
          <w:lang w:val="en-US"/>
        </w:rPr>
        <w:t>v.</w:t>
      </w:r>
      <w:r w:rsidR="00D11354" w:rsidRPr="009D52FD">
        <w:rPr>
          <w:i/>
          <w:sz w:val="20"/>
          <w:lang w:val="en-US"/>
        </w:rPr>
        <w:t xml:space="preserve"> Venezuela</w:t>
      </w:r>
      <w:r w:rsidR="00D11354" w:rsidRPr="009D52FD">
        <w:rPr>
          <w:sz w:val="20"/>
          <w:lang w:val="en-US"/>
        </w:rPr>
        <w:t xml:space="preserve">. </w:t>
      </w:r>
      <w:r w:rsidR="003630BB" w:rsidRPr="009D52FD">
        <w:rPr>
          <w:sz w:val="20"/>
          <w:lang w:val="en-US"/>
        </w:rPr>
        <w:t>Merits, reparations and costs</w:t>
      </w:r>
      <w:r w:rsidR="00D11354" w:rsidRPr="009D52FD">
        <w:rPr>
          <w:sz w:val="20"/>
          <w:lang w:val="en-US"/>
        </w:rPr>
        <w:t xml:space="preserve">. </w:t>
      </w:r>
      <w:r w:rsidRPr="009D52FD">
        <w:rPr>
          <w:sz w:val="20"/>
          <w:lang w:val="en-US"/>
        </w:rPr>
        <w:t>Judgment of September</w:t>
      </w:r>
      <w:r w:rsidR="00D11354" w:rsidRPr="009D52FD">
        <w:rPr>
          <w:sz w:val="20"/>
          <w:lang w:val="en-US"/>
        </w:rPr>
        <w:t xml:space="preserve"> 26</w:t>
      </w:r>
      <w:r w:rsidRPr="009D52FD">
        <w:rPr>
          <w:sz w:val="20"/>
          <w:lang w:val="en-US"/>
        </w:rPr>
        <w:t xml:space="preserve">, </w:t>
      </w:r>
      <w:r w:rsidR="00D11354" w:rsidRPr="009D52FD">
        <w:rPr>
          <w:sz w:val="20"/>
          <w:lang w:val="en-US"/>
        </w:rPr>
        <w:t>2018.</w:t>
      </w:r>
    </w:p>
    <w:p w14:paraId="7E532C60" w14:textId="77777777" w:rsidR="00D11354" w:rsidRPr="009D52FD" w:rsidRDefault="00D11354" w:rsidP="00D11354">
      <w:pPr>
        <w:jc w:val="center"/>
        <w:rPr>
          <w:sz w:val="20"/>
          <w:lang w:val="en-US"/>
        </w:rPr>
      </w:pPr>
    </w:p>
    <w:p w14:paraId="1DBD80AC" w14:textId="77777777" w:rsidR="00D11354" w:rsidRPr="009D52FD" w:rsidRDefault="00D11354" w:rsidP="001A3DB9">
      <w:pPr>
        <w:rPr>
          <w:sz w:val="20"/>
          <w:lang w:val="en-US"/>
        </w:rPr>
      </w:pPr>
    </w:p>
    <w:p w14:paraId="09FE1709" w14:textId="77777777" w:rsidR="00D11354" w:rsidRPr="009D52FD" w:rsidRDefault="00D11354" w:rsidP="00D11354">
      <w:pPr>
        <w:jc w:val="center"/>
        <w:rPr>
          <w:sz w:val="20"/>
          <w:lang w:val="en-US"/>
        </w:rPr>
      </w:pPr>
    </w:p>
    <w:p w14:paraId="73C671DC" w14:textId="77777777" w:rsidR="00D11354" w:rsidRPr="009D52FD" w:rsidRDefault="00D11354" w:rsidP="00D11354">
      <w:pPr>
        <w:spacing w:line="240" w:lineRule="auto"/>
        <w:jc w:val="center"/>
        <w:rPr>
          <w:sz w:val="20"/>
          <w:lang w:val="en-US"/>
        </w:rPr>
      </w:pPr>
      <w:r w:rsidRPr="009D52FD">
        <w:rPr>
          <w:sz w:val="20"/>
          <w:lang w:val="en-US"/>
        </w:rPr>
        <w:t>Eduardo Ferrer Mac-Gregor Poisot</w:t>
      </w:r>
    </w:p>
    <w:p w14:paraId="1F0AEA9A" w14:textId="4FD41426" w:rsidR="00D11354" w:rsidRPr="009D52FD" w:rsidRDefault="003630BB" w:rsidP="00D11354">
      <w:pPr>
        <w:spacing w:line="240" w:lineRule="auto"/>
        <w:jc w:val="center"/>
        <w:rPr>
          <w:sz w:val="20"/>
          <w:lang w:val="en-US"/>
        </w:rPr>
      </w:pPr>
      <w:r w:rsidRPr="009D52FD">
        <w:rPr>
          <w:sz w:val="20"/>
          <w:lang w:val="en-US"/>
        </w:rPr>
        <w:t>President</w:t>
      </w:r>
      <w:r w:rsidR="00D11354" w:rsidRPr="009D52FD">
        <w:rPr>
          <w:sz w:val="20"/>
          <w:lang w:val="en-US"/>
        </w:rPr>
        <w:t xml:space="preserve"> </w:t>
      </w:r>
    </w:p>
    <w:p w14:paraId="00D6DC28" w14:textId="77777777" w:rsidR="00D11354" w:rsidRPr="009D52FD" w:rsidRDefault="00D11354" w:rsidP="00D11354">
      <w:pPr>
        <w:spacing w:line="240" w:lineRule="auto"/>
        <w:jc w:val="center"/>
        <w:rPr>
          <w:sz w:val="20"/>
          <w:lang w:val="en-US"/>
        </w:rPr>
      </w:pPr>
    </w:p>
    <w:p w14:paraId="4DC8A593" w14:textId="77777777" w:rsidR="00D11354" w:rsidRPr="009D52FD" w:rsidRDefault="00D11354" w:rsidP="00D11354">
      <w:pPr>
        <w:spacing w:line="240" w:lineRule="auto"/>
        <w:rPr>
          <w:sz w:val="20"/>
          <w:lang w:val="en-US"/>
        </w:rPr>
      </w:pPr>
    </w:p>
    <w:p w14:paraId="2584D757" w14:textId="77777777" w:rsidR="00D11354" w:rsidRPr="009D52FD" w:rsidRDefault="00D11354" w:rsidP="00D11354">
      <w:pPr>
        <w:spacing w:line="240" w:lineRule="auto"/>
        <w:rPr>
          <w:sz w:val="20"/>
          <w:lang w:val="en-US"/>
        </w:rPr>
      </w:pPr>
    </w:p>
    <w:p w14:paraId="39035255" w14:textId="77777777" w:rsidR="00D11354" w:rsidRPr="009D52FD" w:rsidRDefault="00D11354" w:rsidP="00D11354">
      <w:pPr>
        <w:spacing w:line="240" w:lineRule="auto"/>
        <w:rPr>
          <w:sz w:val="20"/>
          <w:lang w:val="en-US"/>
        </w:rPr>
      </w:pPr>
    </w:p>
    <w:p w14:paraId="4F7A5E05" w14:textId="77777777" w:rsidR="00D11354" w:rsidRPr="009D52FD" w:rsidRDefault="00D11354" w:rsidP="00D11354">
      <w:pPr>
        <w:spacing w:line="240" w:lineRule="auto"/>
        <w:rPr>
          <w:sz w:val="20"/>
          <w:lang w:val="en-US"/>
        </w:rPr>
      </w:pPr>
      <w:r w:rsidRPr="009D52FD">
        <w:rPr>
          <w:sz w:val="20"/>
          <w:lang w:val="en-US"/>
        </w:rPr>
        <w:t xml:space="preserve"> Eduardo Vio Grossi</w:t>
      </w:r>
      <w:r w:rsidRPr="009D52FD">
        <w:rPr>
          <w:sz w:val="20"/>
          <w:lang w:val="en-US"/>
        </w:rPr>
        <w:tab/>
      </w:r>
      <w:r w:rsidRPr="009D52FD">
        <w:rPr>
          <w:sz w:val="20"/>
          <w:lang w:val="en-US"/>
        </w:rPr>
        <w:tab/>
      </w:r>
      <w:r w:rsidRPr="009D52FD">
        <w:rPr>
          <w:sz w:val="20"/>
          <w:lang w:val="en-US"/>
        </w:rPr>
        <w:tab/>
      </w:r>
      <w:r w:rsidRPr="009D52FD">
        <w:rPr>
          <w:sz w:val="20"/>
          <w:lang w:val="en-US"/>
        </w:rPr>
        <w:tab/>
      </w:r>
      <w:r w:rsidRPr="009D52FD">
        <w:rPr>
          <w:sz w:val="20"/>
          <w:lang w:val="en-US"/>
        </w:rPr>
        <w:tab/>
      </w:r>
      <w:r w:rsidRPr="009D52FD">
        <w:rPr>
          <w:sz w:val="20"/>
          <w:lang w:val="en-US"/>
        </w:rPr>
        <w:tab/>
      </w:r>
      <w:r w:rsidRPr="009D52FD">
        <w:rPr>
          <w:sz w:val="20"/>
          <w:lang w:val="en-US"/>
        </w:rPr>
        <w:tab/>
        <w:t xml:space="preserve">         Humberto A. Sierra Porto</w:t>
      </w:r>
      <w:r w:rsidRPr="009D52FD">
        <w:rPr>
          <w:sz w:val="20"/>
          <w:lang w:val="en-US"/>
        </w:rPr>
        <w:tab/>
      </w:r>
      <w:r w:rsidRPr="009D52FD">
        <w:rPr>
          <w:sz w:val="20"/>
          <w:lang w:val="en-US"/>
        </w:rPr>
        <w:tab/>
      </w:r>
      <w:r w:rsidRPr="009D52FD">
        <w:rPr>
          <w:sz w:val="20"/>
          <w:lang w:val="en-US"/>
        </w:rPr>
        <w:tab/>
      </w:r>
    </w:p>
    <w:p w14:paraId="2475C92C" w14:textId="77777777" w:rsidR="00D11354" w:rsidRPr="009D52FD" w:rsidRDefault="00D11354" w:rsidP="00D11354">
      <w:pPr>
        <w:spacing w:line="240" w:lineRule="auto"/>
        <w:rPr>
          <w:sz w:val="20"/>
          <w:lang w:val="en-US"/>
        </w:rPr>
      </w:pPr>
    </w:p>
    <w:p w14:paraId="048903A3" w14:textId="77777777" w:rsidR="00D11354" w:rsidRPr="009D52FD" w:rsidRDefault="00D11354" w:rsidP="00D11354">
      <w:pPr>
        <w:spacing w:line="240" w:lineRule="auto"/>
        <w:rPr>
          <w:sz w:val="20"/>
          <w:lang w:val="en-US"/>
        </w:rPr>
      </w:pPr>
    </w:p>
    <w:p w14:paraId="175D36B8" w14:textId="77777777" w:rsidR="00D11354" w:rsidRPr="009D52FD" w:rsidRDefault="00D11354" w:rsidP="00D11354">
      <w:pPr>
        <w:spacing w:line="240" w:lineRule="auto"/>
        <w:rPr>
          <w:sz w:val="20"/>
          <w:lang w:val="en-US"/>
        </w:rPr>
      </w:pPr>
    </w:p>
    <w:p w14:paraId="6E08F4A7" w14:textId="77777777" w:rsidR="00D11354" w:rsidRPr="009D52FD" w:rsidRDefault="00D11354" w:rsidP="00D11354">
      <w:pPr>
        <w:spacing w:line="240" w:lineRule="auto"/>
        <w:rPr>
          <w:sz w:val="20"/>
          <w:lang w:val="en-US"/>
        </w:rPr>
      </w:pPr>
    </w:p>
    <w:p w14:paraId="689E9344" w14:textId="77777777" w:rsidR="00D11354" w:rsidRPr="009D52FD" w:rsidRDefault="00D11354" w:rsidP="00D11354">
      <w:pPr>
        <w:spacing w:line="240" w:lineRule="auto"/>
        <w:rPr>
          <w:sz w:val="20"/>
          <w:lang w:val="en-US"/>
        </w:rPr>
      </w:pPr>
      <w:r w:rsidRPr="009D52FD">
        <w:rPr>
          <w:sz w:val="20"/>
          <w:lang w:val="en-US"/>
        </w:rPr>
        <w:t>Eugenio Raúl Zaffaroni</w:t>
      </w:r>
      <w:r w:rsidRPr="009D52FD">
        <w:rPr>
          <w:sz w:val="20"/>
          <w:lang w:val="en-US"/>
        </w:rPr>
        <w:tab/>
      </w:r>
      <w:r w:rsidRPr="009D52FD">
        <w:rPr>
          <w:sz w:val="20"/>
          <w:lang w:val="en-US"/>
        </w:rPr>
        <w:tab/>
      </w:r>
      <w:r w:rsidRPr="009D52FD">
        <w:rPr>
          <w:sz w:val="20"/>
          <w:lang w:val="en-US"/>
        </w:rPr>
        <w:tab/>
      </w:r>
      <w:r w:rsidRPr="009D52FD">
        <w:rPr>
          <w:sz w:val="20"/>
          <w:lang w:val="en-US"/>
        </w:rPr>
        <w:tab/>
      </w:r>
      <w:r w:rsidRPr="009D52FD">
        <w:rPr>
          <w:sz w:val="20"/>
          <w:lang w:val="en-US"/>
        </w:rPr>
        <w:tab/>
      </w:r>
      <w:r w:rsidRPr="009D52FD">
        <w:rPr>
          <w:sz w:val="20"/>
          <w:lang w:val="en-US"/>
        </w:rPr>
        <w:tab/>
        <w:t xml:space="preserve">         L. Patricio Pazmiño Freire</w:t>
      </w:r>
    </w:p>
    <w:p w14:paraId="2684876C" w14:textId="77777777" w:rsidR="00D11354" w:rsidRPr="009D52FD" w:rsidRDefault="00D11354" w:rsidP="00D11354">
      <w:pPr>
        <w:spacing w:line="240" w:lineRule="auto"/>
        <w:rPr>
          <w:sz w:val="20"/>
          <w:lang w:val="en-US"/>
        </w:rPr>
      </w:pPr>
    </w:p>
    <w:p w14:paraId="454C0D68" w14:textId="77777777" w:rsidR="00D11354" w:rsidRPr="009D52FD" w:rsidRDefault="00D11354" w:rsidP="00D11354">
      <w:pPr>
        <w:spacing w:line="240" w:lineRule="auto"/>
        <w:rPr>
          <w:sz w:val="20"/>
          <w:lang w:val="en-US"/>
        </w:rPr>
      </w:pPr>
    </w:p>
    <w:p w14:paraId="6C148685" w14:textId="77777777" w:rsidR="002B0613" w:rsidRPr="009D52FD" w:rsidRDefault="002B0613" w:rsidP="00D11354">
      <w:pPr>
        <w:spacing w:line="240" w:lineRule="auto"/>
        <w:rPr>
          <w:sz w:val="20"/>
          <w:lang w:val="en-US"/>
        </w:rPr>
      </w:pPr>
    </w:p>
    <w:p w14:paraId="6A7995EC" w14:textId="77777777" w:rsidR="002B0613" w:rsidRPr="009D52FD" w:rsidRDefault="002B0613" w:rsidP="00D11354">
      <w:pPr>
        <w:spacing w:line="240" w:lineRule="auto"/>
        <w:rPr>
          <w:sz w:val="20"/>
          <w:lang w:val="en-US"/>
        </w:rPr>
      </w:pPr>
    </w:p>
    <w:p w14:paraId="55797771" w14:textId="77777777" w:rsidR="002B0613" w:rsidRPr="009D52FD" w:rsidRDefault="002B0613" w:rsidP="00D11354">
      <w:pPr>
        <w:spacing w:line="240" w:lineRule="auto"/>
        <w:rPr>
          <w:sz w:val="20"/>
          <w:lang w:val="en-US"/>
        </w:rPr>
      </w:pPr>
    </w:p>
    <w:p w14:paraId="2FE81BCB" w14:textId="77777777" w:rsidR="00D11354" w:rsidRPr="009D52FD" w:rsidRDefault="00D11354" w:rsidP="00D11354">
      <w:pPr>
        <w:spacing w:line="240" w:lineRule="auto"/>
        <w:jc w:val="center"/>
        <w:rPr>
          <w:sz w:val="20"/>
          <w:lang w:val="en-US"/>
        </w:rPr>
      </w:pPr>
      <w:r w:rsidRPr="009D52FD">
        <w:rPr>
          <w:sz w:val="20"/>
          <w:lang w:val="en-US"/>
        </w:rPr>
        <w:t>Pablo Saavedra Alessandri</w:t>
      </w:r>
    </w:p>
    <w:p w14:paraId="767F0A3E" w14:textId="2003DB5C" w:rsidR="00D11354" w:rsidRPr="009D52FD" w:rsidRDefault="003630BB" w:rsidP="00D11354">
      <w:pPr>
        <w:spacing w:line="240" w:lineRule="auto"/>
        <w:jc w:val="center"/>
        <w:rPr>
          <w:sz w:val="20"/>
          <w:lang w:val="en-US"/>
        </w:rPr>
      </w:pPr>
      <w:r w:rsidRPr="009D52FD">
        <w:rPr>
          <w:sz w:val="20"/>
          <w:lang w:val="en-US"/>
        </w:rPr>
        <w:t>Secretary</w:t>
      </w:r>
    </w:p>
    <w:p w14:paraId="02B8E204" w14:textId="77777777" w:rsidR="00D11354" w:rsidRPr="009D52FD" w:rsidRDefault="00D11354" w:rsidP="00D11354">
      <w:pPr>
        <w:spacing w:line="240" w:lineRule="auto"/>
        <w:jc w:val="center"/>
        <w:rPr>
          <w:sz w:val="20"/>
          <w:lang w:val="en-US"/>
        </w:rPr>
      </w:pPr>
    </w:p>
    <w:p w14:paraId="09C35FBD" w14:textId="77777777" w:rsidR="002B0613" w:rsidRPr="009D52FD" w:rsidRDefault="002B0613" w:rsidP="00D11354">
      <w:pPr>
        <w:spacing w:line="240" w:lineRule="auto"/>
        <w:jc w:val="center"/>
        <w:rPr>
          <w:sz w:val="20"/>
          <w:lang w:val="en-US"/>
        </w:rPr>
      </w:pPr>
    </w:p>
    <w:p w14:paraId="273C968D" w14:textId="77777777" w:rsidR="002B0613" w:rsidRPr="009D52FD" w:rsidRDefault="002B0613" w:rsidP="00D11354">
      <w:pPr>
        <w:spacing w:line="240" w:lineRule="auto"/>
        <w:jc w:val="center"/>
        <w:rPr>
          <w:sz w:val="20"/>
          <w:lang w:val="en-US"/>
        </w:rPr>
      </w:pPr>
    </w:p>
    <w:p w14:paraId="5A68753B" w14:textId="77777777" w:rsidR="002B0613" w:rsidRPr="009D52FD" w:rsidRDefault="002B0613" w:rsidP="00D11354">
      <w:pPr>
        <w:spacing w:line="240" w:lineRule="auto"/>
        <w:jc w:val="center"/>
        <w:rPr>
          <w:sz w:val="20"/>
          <w:lang w:val="en-US"/>
        </w:rPr>
      </w:pPr>
    </w:p>
    <w:p w14:paraId="7466371A" w14:textId="77777777" w:rsidR="00D11354" w:rsidRPr="009D52FD" w:rsidRDefault="00D11354" w:rsidP="00D11354">
      <w:pPr>
        <w:pStyle w:val="FootnoteText"/>
        <w:rPr>
          <w:lang w:val="en-US"/>
        </w:rPr>
      </w:pPr>
    </w:p>
    <w:p w14:paraId="105CE0BA" w14:textId="7F1CC285" w:rsidR="00D11354" w:rsidRPr="009D52FD" w:rsidRDefault="001A3DB9" w:rsidP="00D11354">
      <w:pPr>
        <w:spacing w:line="240" w:lineRule="auto"/>
        <w:rPr>
          <w:sz w:val="20"/>
          <w:lang w:val="en-US"/>
        </w:rPr>
      </w:pPr>
      <w:r w:rsidRPr="009D52FD">
        <w:rPr>
          <w:sz w:val="20"/>
          <w:lang w:val="en-US"/>
        </w:rPr>
        <w:t>So ordered</w:t>
      </w:r>
      <w:r w:rsidR="00D11354" w:rsidRPr="009D52FD">
        <w:rPr>
          <w:sz w:val="20"/>
          <w:lang w:val="en-US"/>
        </w:rPr>
        <w:t>,</w:t>
      </w:r>
    </w:p>
    <w:p w14:paraId="5625F1D9" w14:textId="77777777" w:rsidR="00D11354" w:rsidRPr="009D52FD" w:rsidRDefault="00D11354" w:rsidP="00D11354">
      <w:pPr>
        <w:spacing w:line="240" w:lineRule="auto"/>
        <w:rPr>
          <w:sz w:val="20"/>
          <w:lang w:val="en-US"/>
        </w:rPr>
      </w:pPr>
    </w:p>
    <w:p w14:paraId="58EB5797" w14:textId="77777777" w:rsidR="002B0613" w:rsidRPr="009D52FD" w:rsidRDefault="002B0613" w:rsidP="00D11354">
      <w:pPr>
        <w:spacing w:line="240" w:lineRule="auto"/>
        <w:rPr>
          <w:sz w:val="20"/>
          <w:lang w:val="en-US"/>
        </w:rPr>
      </w:pPr>
    </w:p>
    <w:p w14:paraId="578C1997" w14:textId="77777777" w:rsidR="00D11354" w:rsidRPr="009D52FD" w:rsidRDefault="00D11354" w:rsidP="00D11354">
      <w:pPr>
        <w:spacing w:line="240" w:lineRule="auto"/>
        <w:jc w:val="right"/>
        <w:rPr>
          <w:sz w:val="20"/>
          <w:lang w:val="en-US"/>
        </w:rPr>
      </w:pPr>
    </w:p>
    <w:p w14:paraId="34BE989D" w14:textId="77777777" w:rsidR="00D11354" w:rsidRPr="009D52FD" w:rsidRDefault="00D11354" w:rsidP="00D11354">
      <w:pPr>
        <w:spacing w:line="240" w:lineRule="auto"/>
        <w:jc w:val="center"/>
        <w:rPr>
          <w:sz w:val="20"/>
          <w:lang w:val="en-US"/>
        </w:rPr>
      </w:pPr>
      <w:r w:rsidRPr="009D52FD">
        <w:rPr>
          <w:sz w:val="20"/>
          <w:lang w:val="en-US"/>
        </w:rPr>
        <w:t xml:space="preserve">                                                                                   Eduardo Ferrer Mac-Gregor Poisot</w:t>
      </w:r>
    </w:p>
    <w:p w14:paraId="0EF181F3" w14:textId="5F586CC4" w:rsidR="00D11354" w:rsidRPr="009D52FD" w:rsidRDefault="00D11354" w:rsidP="00D11354">
      <w:pPr>
        <w:spacing w:line="240" w:lineRule="auto"/>
        <w:ind w:left="6480"/>
        <w:rPr>
          <w:sz w:val="20"/>
          <w:lang w:val="en-US"/>
        </w:rPr>
      </w:pPr>
      <w:r w:rsidRPr="009D52FD">
        <w:rPr>
          <w:sz w:val="20"/>
          <w:lang w:val="en-US"/>
        </w:rPr>
        <w:t xml:space="preserve">           </w:t>
      </w:r>
      <w:r w:rsidR="003630BB" w:rsidRPr="009D52FD">
        <w:rPr>
          <w:sz w:val="20"/>
          <w:lang w:val="en-US"/>
        </w:rPr>
        <w:t>President</w:t>
      </w:r>
      <w:r w:rsidRPr="009D52FD">
        <w:rPr>
          <w:sz w:val="20"/>
          <w:lang w:val="en-US"/>
        </w:rPr>
        <w:t xml:space="preserve"> </w:t>
      </w:r>
    </w:p>
    <w:p w14:paraId="6213029E" w14:textId="77777777" w:rsidR="00D11354" w:rsidRPr="009D52FD" w:rsidRDefault="00D11354" w:rsidP="00D11354">
      <w:pPr>
        <w:spacing w:line="240" w:lineRule="auto"/>
        <w:rPr>
          <w:sz w:val="20"/>
          <w:lang w:val="en-US"/>
        </w:rPr>
      </w:pPr>
    </w:p>
    <w:p w14:paraId="0E586236" w14:textId="77777777" w:rsidR="002B0613" w:rsidRPr="009D52FD" w:rsidRDefault="002B0613" w:rsidP="00D11354">
      <w:pPr>
        <w:spacing w:line="240" w:lineRule="auto"/>
        <w:rPr>
          <w:sz w:val="20"/>
          <w:lang w:val="en-US"/>
        </w:rPr>
      </w:pPr>
    </w:p>
    <w:p w14:paraId="6FBC59ED" w14:textId="77777777" w:rsidR="00D11354" w:rsidRPr="009D52FD" w:rsidRDefault="00D11354" w:rsidP="00D11354">
      <w:pPr>
        <w:spacing w:line="240" w:lineRule="auto"/>
        <w:rPr>
          <w:sz w:val="20"/>
          <w:lang w:val="en-US"/>
        </w:rPr>
      </w:pPr>
    </w:p>
    <w:p w14:paraId="27D2CEA9" w14:textId="77777777" w:rsidR="00D11354" w:rsidRPr="009D52FD" w:rsidRDefault="00D11354" w:rsidP="00D11354">
      <w:pPr>
        <w:spacing w:line="240" w:lineRule="auto"/>
        <w:rPr>
          <w:sz w:val="20"/>
          <w:lang w:val="en-US"/>
        </w:rPr>
      </w:pPr>
      <w:r w:rsidRPr="009D52FD">
        <w:rPr>
          <w:sz w:val="20"/>
          <w:lang w:val="en-US"/>
        </w:rPr>
        <w:t>Pablo Saavedra Alessandri</w:t>
      </w:r>
    </w:p>
    <w:p w14:paraId="5D4F0315" w14:textId="47A951A7" w:rsidR="00D11354" w:rsidRPr="00592C8A" w:rsidRDefault="00D11354" w:rsidP="002B0613">
      <w:pPr>
        <w:spacing w:line="240" w:lineRule="auto"/>
        <w:rPr>
          <w:sz w:val="20"/>
          <w:szCs w:val="20"/>
          <w:lang w:val="en-US"/>
        </w:rPr>
      </w:pPr>
      <w:r w:rsidRPr="009D52FD">
        <w:rPr>
          <w:sz w:val="20"/>
          <w:lang w:val="en-US"/>
        </w:rPr>
        <w:tab/>
      </w:r>
      <w:r w:rsidR="003630BB" w:rsidRPr="009D52FD">
        <w:rPr>
          <w:sz w:val="20"/>
          <w:lang w:val="en-US"/>
        </w:rPr>
        <w:t>Secretary</w:t>
      </w:r>
    </w:p>
    <w:sectPr w:rsidR="00D11354" w:rsidRPr="00592C8A" w:rsidSect="009A03A1">
      <w:headerReference w:type="default" r:id="rId8"/>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0D2A4" w14:textId="77777777" w:rsidR="000A04EE" w:rsidRDefault="000A04EE" w:rsidP="00833D5A">
      <w:pPr>
        <w:spacing w:line="240" w:lineRule="auto"/>
      </w:pPr>
      <w:r>
        <w:separator/>
      </w:r>
    </w:p>
  </w:endnote>
  <w:endnote w:type="continuationSeparator" w:id="0">
    <w:p w14:paraId="1E50537A" w14:textId="77777777" w:rsidR="000A04EE" w:rsidRDefault="000A04EE" w:rsidP="00833D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Verdana,Italic">
    <w:altName w:val="Times New Roman"/>
    <w:panose1 w:val="00000000000000000000"/>
    <w:charset w:val="00"/>
    <w:family w:val="roman"/>
    <w:notTrueType/>
    <w:pitch w:val="default"/>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TE16D1F90t00">
    <w:altName w:val="Times New Roman"/>
    <w:panose1 w:val="00000000000000000000"/>
    <w:charset w:val="4D"/>
    <w:family w:val="auto"/>
    <w:notTrueType/>
    <w:pitch w:val="default"/>
    <w:sig w:usb0="00000003" w:usb1="00000000" w:usb2="00000000" w:usb3="00000000" w:csb0="00000001" w:csb1="00000000"/>
  </w:font>
  <w:font w:name="TimesNewRoman">
    <w:altName w:val="MS Mincho"/>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4D"/>
    <w:family w:val="swiss"/>
    <w:notTrueType/>
    <w:pitch w:val="default"/>
    <w:sig w:usb0="00000003" w:usb1="08070000" w:usb2="00000010" w:usb3="00000000" w:csb0="00020001" w:csb1="00000000"/>
  </w:font>
  <w:font w:name="MS ????">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AA4E0" w14:textId="77777777" w:rsidR="000A04EE" w:rsidRDefault="000A04EE" w:rsidP="00833D5A">
      <w:pPr>
        <w:spacing w:line="240" w:lineRule="auto"/>
      </w:pPr>
      <w:r>
        <w:separator/>
      </w:r>
    </w:p>
  </w:footnote>
  <w:footnote w:type="continuationSeparator" w:id="0">
    <w:p w14:paraId="605D0DDE" w14:textId="77777777" w:rsidR="000A04EE" w:rsidRDefault="000A04EE" w:rsidP="00833D5A">
      <w:pPr>
        <w:spacing w:line="240" w:lineRule="auto"/>
      </w:pPr>
      <w:r>
        <w:continuationSeparator/>
      </w:r>
    </w:p>
  </w:footnote>
  <w:footnote w:id="1">
    <w:p w14:paraId="40D64EF3" w14:textId="29E5F7B3" w:rsidR="009D52FD" w:rsidRPr="009D52FD" w:rsidRDefault="009D52FD" w:rsidP="008778DD">
      <w:pPr>
        <w:pStyle w:val="FootnoteText"/>
        <w:tabs>
          <w:tab w:val="left" w:pos="567"/>
        </w:tabs>
        <w:spacing w:after="60"/>
        <w:rPr>
          <w:sz w:val="16"/>
          <w:szCs w:val="16"/>
          <w:lang w:val="en-US"/>
        </w:rPr>
      </w:pPr>
      <w:r w:rsidRPr="009D52FD">
        <w:rPr>
          <w:rFonts w:cs="Microsoft Sans Serif"/>
          <w:sz w:val="16"/>
          <w:szCs w:val="16"/>
          <w:vertAlign w:val="superscript"/>
          <w:lang w:val="en-US"/>
        </w:rPr>
        <w:t xml:space="preserve">* </w:t>
      </w:r>
      <w:r w:rsidRPr="009D52FD">
        <w:rPr>
          <w:rFonts w:cs="Microsoft Sans Serif"/>
          <w:sz w:val="16"/>
          <w:szCs w:val="16"/>
          <w:vertAlign w:val="superscript"/>
          <w:lang w:val="en-US"/>
        </w:rPr>
        <w:tab/>
      </w:r>
      <w:r w:rsidRPr="009D52FD">
        <w:rPr>
          <w:sz w:val="16"/>
          <w:szCs w:val="16"/>
          <w:lang w:val="en-US"/>
        </w:rPr>
        <w:t>Judge Elizabeth Odio Benito, for reasons beyond her control that were accepted by the full Court, did not take part in the deliberation and signature of this judgment.</w:t>
      </w:r>
    </w:p>
  </w:footnote>
  <w:footnote w:id="2">
    <w:p w14:paraId="789F8702" w14:textId="73AA1539"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The members of Linda Loaiza López Soto’s family identified as presumed victims are: 1. Nelson López Meza (who also appears as Nelson López Mesa); 2. Paulina Soto Chaustre (who also appear as Paulina Soto de López); 3. Ana Secilia López Soto; 4. Diana Carolina López Soto; 5. Anyi Karina López Soto; 6. Nelson Enrique López Soto; 7. Elith Johana López Soto; 8. Gerson José López Soto; 9. Yusmely del Valle López Soto; 10. Luz Paulina López Soto; 11. José Isidro López Soto, and 12. Emmanuel Adrián López Soto.</w:t>
      </w:r>
    </w:p>
  </w:footnote>
  <w:footnote w:id="3">
    <w:p w14:paraId="1B0B438D" w14:textId="0FE70D75"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In this report, the Commission decided that the petition was admissible with regard to the presumed violation of the rights recognized in Articles 2, 5(1), 5(2), 8(1), 11(1), 24 and 25 of the American Convention, all in relation to Article 1(1) of this instrument and Article 7 of the Convention of Belém do Pará to the detriment of Linda Loaiza López Soto, and also, in the case of Articles 5(1), 8(1) and 25 of the American Convention in relation to Article 1(1) of this instrument, to the detriment of the family members identified. </w:t>
      </w:r>
      <w:r w:rsidRPr="009D52FD">
        <w:rPr>
          <w:i/>
          <w:sz w:val="16"/>
          <w:szCs w:val="16"/>
          <w:lang w:val="en-US"/>
        </w:rPr>
        <w:t xml:space="preserve">Cf. </w:t>
      </w:r>
      <w:r w:rsidRPr="009D52FD">
        <w:rPr>
          <w:sz w:val="16"/>
          <w:szCs w:val="16"/>
          <w:lang w:val="en-US"/>
        </w:rPr>
        <w:t xml:space="preserve">Admissibility Report No. 154/10, </w:t>
      </w:r>
      <w:r w:rsidRPr="009D52FD">
        <w:rPr>
          <w:i/>
          <w:sz w:val="16"/>
          <w:szCs w:val="16"/>
          <w:lang w:val="en-US"/>
        </w:rPr>
        <w:t>Case of Linda Loaiza López Soto and family v. Venezuela</w:t>
      </w:r>
      <w:r w:rsidRPr="009D52FD">
        <w:rPr>
          <w:sz w:val="16"/>
          <w:szCs w:val="16"/>
          <w:lang w:val="en-US"/>
        </w:rPr>
        <w:t>, November 1, 2010 (file of procedure before the Commission, volume I, folios 150 to 164).</w:t>
      </w:r>
    </w:p>
  </w:footnote>
  <w:footnote w:id="4">
    <w:p w14:paraId="1A2B3A63" w14:textId="59D5095B"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The Commission concluded that the State of Venezuela was responsible for “[t]he violation of the rights established in Articles 5(1), 5(2), 7(1), 11(1), 11(2) and 24 of the American Convention, in relation to the obligations established in Article 1(1) of this instrument, to the detriment of Linda Loaiza López.” The Commission also concluded that the State had violated Articles 1 and 6 of the Inter-American Convention to Prevent and Punish Torture, in addition to failing to comply with the obligation established in Article 7(a) and (b) of the Inter-American Convention for the Prevention, Punishment and Eradication of Violence against Women, to the detriment of Linda Loaiza López. Similarly, the Commission considered that the State had violated “the rights established in Articles 8(1) and  25(1) of the American Convention in relation to Article 1(1) of this instrument, as well as […] its duty to investigate acts of torture and violence against women, established respectively in Articles 1, 6 and 8 of the ICPPT and Article 7 of the Convention of Belém do Pará, and the right established in Article XVIII of the American Declaration, all to the detriment of Linda Loaiza López.” The Commission also determined “[t]he violation of the rights established in Articles 5(1), 8(1), 11, 24 and 25 of the American Convention, in relation to Articles 1(1) and 2 of this instrument; as well as the violation of Article 7 of the Convention of Belém do Pará, all to the detriment of Linda Loaiza López.” Lastly, the Commission concluded that the State had violated the “right to mental and moral integrity established in Article 5(1) of the American Convention to the detriment of the family members of Linda Loaiza López [who had been] identified.”</w:t>
      </w:r>
    </w:p>
  </w:footnote>
  <w:footnote w:id="5">
    <w:p w14:paraId="076BAA5B" w14:textId="55C2F1E0" w:rsidR="009D52FD" w:rsidRPr="009D52FD" w:rsidRDefault="009D52FD" w:rsidP="008778DD">
      <w:pPr>
        <w:widowControl/>
        <w:tabs>
          <w:tab w:val="left" w:pos="567"/>
        </w:tabs>
        <w:adjustRightInd/>
        <w:spacing w:after="60" w:line="240" w:lineRule="auto"/>
        <w:textAlignment w:val="auto"/>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Consequently, the Commission made a series of recommendations to the State:</w:t>
      </w:r>
    </w:p>
    <w:p w14:paraId="403403CF" w14:textId="69B7FFFC" w:rsidR="009D52FD" w:rsidRPr="009D52FD" w:rsidRDefault="009D52FD" w:rsidP="00AA48D7">
      <w:pPr>
        <w:pStyle w:val="ListParagraph"/>
        <w:widowControl/>
        <w:numPr>
          <w:ilvl w:val="0"/>
          <w:numId w:val="8"/>
        </w:numPr>
        <w:adjustRightInd/>
        <w:spacing w:after="60" w:line="240" w:lineRule="auto"/>
        <w:ind w:left="720" w:right="360"/>
        <w:contextualSpacing/>
        <w:textAlignment w:val="auto"/>
        <w:rPr>
          <w:sz w:val="16"/>
          <w:szCs w:val="16"/>
          <w:lang w:val="en-US"/>
        </w:rPr>
      </w:pPr>
      <w:r w:rsidRPr="009D52FD">
        <w:rPr>
          <w:sz w:val="16"/>
          <w:szCs w:val="16"/>
          <w:lang w:val="en-US"/>
        </w:rPr>
        <w:t xml:space="preserve">Investigate effectively, with due diligence and within a reasonable time, the sexual violence suffered by Linda Loaiza López. The corresponding investigations and judicial proceedings must be carried out according to the standards described in th[e] report. </w:t>
      </w:r>
    </w:p>
    <w:p w14:paraId="6C3BBC4D" w14:textId="77777777" w:rsidR="009D52FD" w:rsidRPr="009D52FD" w:rsidRDefault="009D52FD" w:rsidP="00AA48D7">
      <w:pPr>
        <w:pStyle w:val="ListParagraph"/>
        <w:widowControl/>
        <w:adjustRightInd/>
        <w:spacing w:after="60" w:line="240" w:lineRule="auto"/>
        <w:ind w:left="720" w:right="360"/>
        <w:contextualSpacing/>
        <w:textAlignment w:val="auto"/>
        <w:rPr>
          <w:sz w:val="6"/>
          <w:szCs w:val="6"/>
          <w:lang w:val="en-US"/>
        </w:rPr>
      </w:pPr>
    </w:p>
    <w:p w14:paraId="30D1326A" w14:textId="52E4616E" w:rsidR="009D52FD" w:rsidRPr="009D52FD" w:rsidRDefault="009D52FD" w:rsidP="00AA48D7">
      <w:pPr>
        <w:pStyle w:val="ListParagraph"/>
        <w:widowControl/>
        <w:numPr>
          <w:ilvl w:val="0"/>
          <w:numId w:val="8"/>
        </w:numPr>
        <w:adjustRightInd/>
        <w:spacing w:after="60" w:line="240" w:lineRule="auto"/>
        <w:ind w:left="720" w:right="360"/>
        <w:contextualSpacing/>
        <w:textAlignment w:val="auto"/>
        <w:rPr>
          <w:sz w:val="16"/>
          <w:szCs w:val="16"/>
          <w:lang w:val="en-US"/>
        </w:rPr>
      </w:pPr>
      <w:r w:rsidRPr="009D52FD">
        <w:rPr>
          <w:sz w:val="16"/>
          <w:szCs w:val="16"/>
          <w:lang w:val="en-US"/>
        </w:rPr>
        <w:t xml:space="preserve">Order the administrative, disciplinary, or criminal measures that correspond to the acts or omissions of the State officials who contributed to the different factors involved in denial of justice identified in th[e] report. </w:t>
      </w:r>
    </w:p>
    <w:p w14:paraId="6B38D459" w14:textId="77777777" w:rsidR="009D52FD" w:rsidRPr="009D52FD" w:rsidRDefault="009D52FD" w:rsidP="00AA48D7">
      <w:pPr>
        <w:pStyle w:val="ListParagraph"/>
        <w:widowControl/>
        <w:adjustRightInd/>
        <w:spacing w:after="60" w:line="240" w:lineRule="auto"/>
        <w:ind w:left="720" w:right="360"/>
        <w:contextualSpacing/>
        <w:textAlignment w:val="auto"/>
        <w:rPr>
          <w:sz w:val="6"/>
          <w:szCs w:val="6"/>
          <w:lang w:val="en-US"/>
        </w:rPr>
      </w:pPr>
    </w:p>
    <w:p w14:paraId="7D115757" w14:textId="14D80BA8" w:rsidR="009D52FD" w:rsidRPr="009D52FD" w:rsidRDefault="009D52FD" w:rsidP="00AA48D7">
      <w:pPr>
        <w:pStyle w:val="ListParagraph"/>
        <w:widowControl/>
        <w:numPr>
          <w:ilvl w:val="0"/>
          <w:numId w:val="8"/>
        </w:numPr>
        <w:adjustRightInd/>
        <w:spacing w:after="60" w:line="240" w:lineRule="auto"/>
        <w:ind w:left="720" w:right="360"/>
        <w:contextualSpacing/>
        <w:textAlignment w:val="auto"/>
        <w:rPr>
          <w:sz w:val="16"/>
          <w:szCs w:val="16"/>
          <w:lang w:val="en-US"/>
        </w:rPr>
      </w:pPr>
      <w:r w:rsidRPr="009D52FD">
        <w:rPr>
          <w:sz w:val="16"/>
          <w:szCs w:val="16"/>
          <w:lang w:val="en-US"/>
        </w:rPr>
        <w:t>Provide comprehensive reparation to Linda Loaiza López and her family for the human rights violations found to her detriment. This reparation must include measures of monetary compensation and satisfaction to redress both the pecuniary and non-pecuniary damage. The measures of satisfaction should include: (</w:t>
      </w:r>
      <w:r w:rsidRPr="009D52FD">
        <w:rPr>
          <w:sz w:val="16"/>
          <w:szCs w:val="16"/>
          <w:lang w:val="en-US" w:eastAsia="es-ES"/>
        </w:rPr>
        <w:t>i) an act of public apology to Linda Loaiza López and her family for the denial of justice represented by the facts of this case; (ii) dissemination of the standards developed in th[e] report through campaigns to raise awareness in the community on violence against women, and (iii) coordinating with Linda Loaiza López to provide her with a scholarship for her professional development.</w:t>
      </w:r>
    </w:p>
    <w:p w14:paraId="00EFE0F4" w14:textId="77777777" w:rsidR="009D52FD" w:rsidRPr="009D52FD" w:rsidRDefault="009D52FD" w:rsidP="00AA48D7">
      <w:pPr>
        <w:pStyle w:val="ListParagraph"/>
        <w:widowControl/>
        <w:adjustRightInd/>
        <w:spacing w:after="60" w:line="240" w:lineRule="auto"/>
        <w:ind w:left="720" w:right="360"/>
        <w:contextualSpacing/>
        <w:textAlignment w:val="auto"/>
        <w:rPr>
          <w:sz w:val="6"/>
          <w:szCs w:val="6"/>
          <w:lang w:val="en-US"/>
        </w:rPr>
      </w:pPr>
    </w:p>
    <w:p w14:paraId="2733ECC2" w14:textId="57055725" w:rsidR="009D52FD" w:rsidRPr="009D52FD" w:rsidRDefault="009D52FD" w:rsidP="00AA48D7">
      <w:pPr>
        <w:pStyle w:val="ListParagraph"/>
        <w:widowControl/>
        <w:numPr>
          <w:ilvl w:val="0"/>
          <w:numId w:val="8"/>
        </w:numPr>
        <w:adjustRightInd/>
        <w:spacing w:after="60" w:line="240" w:lineRule="auto"/>
        <w:ind w:left="720" w:right="360"/>
        <w:contextualSpacing/>
        <w:textAlignment w:val="auto"/>
        <w:rPr>
          <w:sz w:val="16"/>
          <w:szCs w:val="16"/>
          <w:lang w:val="en-US" w:eastAsia="es-ES"/>
        </w:rPr>
      </w:pPr>
      <w:r w:rsidRPr="009D52FD">
        <w:rPr>
          <w:rFonts w:cs="Times-Roman"/>
          <w:sz w:val="16"/>
          <w:szCs w:val="16"/>
          <w:lang w:val="en-US"/>
        </w:rPr>
        <w:t xml:space="preserve">Provide free and immediate medical and psychological or psychiatric care, as appropriate, for as long as necessary to the victims of this case who request this and in coordination with them. </w:t>
      </w:r>
    </w:p>
    <w:p w14:paraId="02ECFB44" w14:textId="77777777" w:rsidR="009D52FD" w:rsidRPr="009D52FD" w:rsidRDefault="009D52FD" w:rsidP="00AA48D7">
      <w:pPr>
        <w:pStyle w:val="ListParagraph"/>
        <w:widowControl/>
        <w:adjustRightInd/>
        <w:spacing w:after="60" w:line="240" w:lineRule="auto"/>
        <w:ind w:left="720" w:right="360"/>
        <w:contextualSpacing/>
        <w:textAlignment w:val="auto"/>
        <w:rPr>
          <w:sz w:val="6"/>
          <w:szCs w:val="6"/>
          <w:lang w:val="en-US" w:eastAsia="es-ES"/>
        </w:rPr>
      </w:pPr>
    </w:p>
    <w:p w14:paraId="5D08FA39" w14:textId="3EA4A44A" w:rsidR="009D52FD" w:rsidRPr="009D52FD" w:rsidRDefault="009D52FD" w:rsidP="00AA48D7">
      <w:pPr>
        <w:pStyle w:val="ListParagraph"/>
        <w:widowControl/>
        <w:numPr>
          <w:ilvl w:val="0"/>
          <w:numId w:val="8"/>
        </w:numPr>
        <w:adjustRightInd/>
        <w:spacing w:after="60" w:line="240" w:lineRule="auto"/>
        <w:ind w:left="720" w:right="360"/>
        <w:contextualSpacing/>
        <w:textAlignment w:val="auto"/>
        <w:rPr>
          <w:color w:val="000000"/>
          <w:sz w:val="16"/>
          <w:szCs w:val="16"/>
          <w:lang w:val="en-US" w:eastAsia="es-ES"/>
        </w:rPr>
      </w:pPr>
      <w:r w:rsidRPr="009D52FD">
        <w:rPr>
          <w:sz w:val="16"/>
          <w:szCs w:val="16"/>
          <w:lang w:val="en-US" w:eastAsia="es-ES"/>
        </w:rPr>
        <w:t>Provide mechanisms of non-repetition that include: (i) adoption of legislative, administrative or other measures to guarantee access to justice for women victims of violence in Venezuela; (ii) design and implementation of a national policy on prevention of violence against women and gender-based violence that includes effective supervision and oversight mechanisms; (iii) strengthening the institutional capacity for responding to the structural problems identified in this case as factors of impunity in cases of violence against women; (iv) design and implementation of adequate and accessible reporting mechanisms for women who are victims of violence, including sexual violence, in Venezuela, pursuant to the standards established in th[e] report; (v) design and implementation of multidisciplinary health care services for women victims of sexual violence that address the specific needs of victims of this type of violence for their recovery and rehabilitation; (vi) design of protocols to facilitate and foster effective, uniform, and transparent investigation of acts of physical, sexual, and psychological violence that include a description of the complexity of the evidence and specify the minimum evidence that must be collected to have adequate evidentiary grounds, taking into account the international standards set forth in the Istanbul Protocol, and (vii) design of training programs for all agents of justice who come in contact with and/or are in charge of investigating cases of violence against women, including sexual violence.</w:t>
      </w:r>
    </w:p>
    <w:p w14:paraId="00AEC988" w14:textId="77777777" w:rsidR="009D52FD" w:rsidRPr="009D52FD" w:rsidRDefault="009D52FD" w:rsidP="00AA48D7">
      <w:pPr>
        <w:pStyle w:val="ListParagraph"/>
        <w:widowControl/>
        <w:adjustRightInd/>
        <w:spacing w:after="60" w:line="240" w:lineRule="auto"/>
        <w:ind w:left="720" w:right="360"/>
        <w:contextualSpacing/>
        <w:textAlignment w:val="auto"/>
        <w:rPr>
          <w:color w:val="000000"/>
          <w:sz w:val="6"/>
          <w:szCs w:val="6"/>
          <w:lang w:val="en-US" w:eastAsia="es-ES"/>
        </w:rPr>
      </w:pPr>
    </w:p>
    <w:p w14:paraId="51E9814D" w14:textId="7E51DDEC" w:rsidR="009D52FD" w:rsidRPr="009D52FD" w:rsidRDefault="009D52FD" w:rsidP="00AA48D7">
      <w:pPr>
        <w:pStyle w:val="ListParagraph"/>
        <w:widowControl/>
        <w:numPr>
          <w:ilvl w:val="0"/>
          <w:numId w:val="8"/>
        </w:numPr>
        <w:adjustRightInd/>
        <w:spacing w:after="60" w:line="240" w:lineRule="auto"/>
        <w:ind w:left="720" w:right="360"/>
        <w:contextualSpacing/>
        <w:textAlignment w:val="auto"/>
        <w:rPr>
          <w:sz w:val="16"/>
          <w:szCs w:val="16"/>
          <w:lang w:val="en-US"/>
        </w:rPr>
      </w:pPr>
      <w:r w:rsidRPr="009D52FD">
        <w:rPr>
          <w:sz w:val="16"/>
          <w:szCs w:val="16"/>
          <w:lang w:val="en-US" w:eastAsia="es-ES"/>
        </w:rPr>
        <w:t>Reimburse the Victims’ Legal Assistance Fund of the Inter-American Commission on Human Rights the funds expended during the processing of this case.</w:t>
      </w:r>
    </w:p>
  </w:footnote>
  <w:footnote w:id="6">
    <w:p w14:paraId="0612539F" w14:textId="4D3F7EFD" w:rsidR="009D52FD" w:rsidRPr="009D52FD" w:rsidRDefault="009D52FD" w:rsidP="008778DD">
      <w:pPr>
        <w:pStyle w:val="FootnoteText"/>
        <w:tabs>
          <w:tab w:val="left" w:pos="567"/>
        </w:tabs>
        <w:spacing w:after="60"/>
        <w:rPr>
          <w:b/>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The Commission appointed Commissioner Francisco Eguiguren Praeli and Executive Secretary Paulo Abrão as its delegates before the Court, and Elizabeth Abi-Mershed, then Deputy Executive Secretary, together with Silvia Serrano Guzmán and Selene Soto Rodríguez, Executive Secretariat lawyers, as legal advisers.</w:t>
      </w:r>
    </w:p>
  </w:footnote>
  <w:footnote w:id="7">
    <w:p w14:paraId="081EBCC7" w14:textId="1621EC79" w:rsidR="009D52FD" w:rsidRPr="009D52FD" w:rsidRDefault="009D52FD" w:rsidP="008778DD">
      <w:pPr>
        <w:pStyle w:val="FootnoteText"/>
        <w:tabs>
          <w:tab w:val="left" w:pos="567"/>
        </w:tabs>
        <w:spacing w:after="60"/>
        <w:rPr>
          <w:b/>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Juan Bernardo Delgado Linares; the Center for Justice and International Law (CEJIL), and the Comité de Familiares de las Víctimas de los Sucesos de Febrero-Marzo de 1989 (COFAVIC), represented the presumed victims in this case.</w:t>
      </w:r>
    </w:p>
  </w:footnote>
  <w:footnote w:id="8">
    <w:p w14:paraId="1E3CD2BF" w14:textId="6E3E89EA" w:rsidR="009D52FD" w:rsidRPr="009D52FD" w:rsidRDefault="009D52FD" w:rsidP="008778DD">
      <w:pPr>
        <w:pStyle w:val="FootnoteText"/>
        <w:tabs>
          <w:tab w:val="left" w:pos="567"/>
        </w:tabs>
        <w:spacing w:after="60"/>
        <w:rPr>
          <w:b/>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In a communication of February 17, 2017, the State appointed Larry Devoe Márquez as its Agent.</w:t>
      </w:r>
    </w:p>
  </w:footnote>
  <w:footnote w:id="9">
    <w:p w14:paraId="1E6DA28F" w14:textId="44826EF9"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Case of López Soto et al. v. Venezuela. Victims’ Legal Assistance Fund. </w:t>
      </w:r>
      <w:r w:rsidRPr="009D52FD">
        <w:rPr>
          <w:sz w:val="16"/>
          <w:szCs w:val="16"/>
          <w:lang w:val="en-US"/>
        </w:rPr>
        <w:t xml:space="preserve">Order of the President of the Inter-American Court of August 22, 2017. Available at: </w:t>
      </w:r>
      <w:hyperlink r:id="rId1" w:history="1">
        <w:r w:rsidRPr="009D52FD">
          <w:rPr>
            <w:rStyle w:val="Hyperlink"/>
            <w:sz w:val="16"/>
            <w:szCs w:val="16"/>
            <w:lang w:val="en-US"/>
          </w:rPr>
          <w:t>http://www.corteidh.or.cr/docs/asuntos/lopezsoto_fv_17.pdf</w:t>
        </w:r>
      </w:hyperlink>
      <w:r w:rsidRPr="009D52FD">
        <w:rPr>
          <w:sz w:val="16"/>
          <w:szCs w:val="16"/>
          <w:lang w:val="en-US"/>
        </w:rPr>
        <w:t xml:space="preserve">. </w:t>
      </w:r>
    </w:p>
  </w:footnote>
  <w:footnote w:id="10">
    <w:p w14:paraId="6F021220" w14:textId="1A6D61FD"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Case of López Soto et al. v. Venezuela. Call to a hearing. </w:t>
      </w:r>
      <w:r w:rsidRPr="009D52FD">
        <w:rPr>
          <w:sz w:val="16"/>
          <w:szCs w:val="16"/>
          <w:lang w:val="en-US"/>
        </w:rPr>
        <w:t xml:space="preserve">Order of the President of the Inter-American Court of December 13, 2017. Available at: </w:t>
      </w:r>
      <w:hyperlink r:id="rId2" w:history="1">
        <w:r w:rsidRPr="009D52FD">
          <w:rPr>
            <w:rStyle w:val="Hyperlink"/>
            <w:sz w:val="16"/>
            <w:szCs w:val="16"/>
            <w:lang w:val="en-US"/>
          </w:rPr>
          <w:t>http://www.corteidh.or.cr/docs/asuntos/lopez_soto_13_12_17.pdf</w:t>
        </w:r>
      </w:hyperlink>
      <w:r w:rsidRPr="009D52FD">
        <w:rPr>
          <w:sz w:val="16"/>
          <w:szCs w:val="16"/>
          <w:lang w:val="en-US"/>
        </w:rPr>
        <w:t xml:space="preserve">. </w:t>
      </w:r>
    </w:p>
  </w:footnote>
  <w:footnote w:id="11">
    <w:p w14:paraId="3D7E4F16" w14:textId="6241B77E"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In a communication of January 17, 2018, the State advised that the witness, María Hernández Royett, called to testify during the public hearing, was unable to attend the hearing for reasons beyond her control, and asked that the Court receive her testimony by affidavit. The State also asked the Court to call expert witness María Lucrecia Hernández, whose opinion had been required by affidavit, to attend the public hearing. After consulting the representatives and the Inter-American Commission, the President of the Court decided to accept the State’s request and to modify the way in which the testimony of María Hernández Royett was received; accordingly, this was provided by affidavit. Nevertheless, this testimony was not submitted. The Court also decided to accept the State’s request to modify the way in which the opinion of expert witness María Lucrecia Hernández Vitar was received and, accordingly, her expert opinion was provided during the public hearing.</w:t>
      </w:r>
    </w:p>
  </w:footnote>
  <w:footnote w:id="12">
    <w:p w14:paraId="31ACC367" w14:textId="6A0D643B"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There appeared at this hearing: (a) for the Inter-American Commission: the President of the Commission, Commissioner Francisco Eguiguren Praeli, and the Executive Secretariat lawyers, Silvia Serrano Guzmán and Selene Soto Rodríguez; (b) for the representatives of the presumed victims: the General Coordinator, Liliana Ortega, and the lawyers, Ronnie Boquier and Karla Subero, of the Comité de Familiares de las Víctimas de los Sucesos de Febrero-Marzo de 1999 (COFAVIC), and for the Center for Justice and International Law (CEJIL), the Executive Director, Viviana Krsticevic, the Program Director for the Andean, North American and Caribbean Region, Francisco Quintana, the Director of Legal Affairs, Alejandra Vicente, the senior lawyer, Elsa Meany, and the communications official, Alexandra McAnarney, and (c) for the State of Venezuela: Larry Devoe Márquez, State Agent before the international human rights system, and Alexis Crespo Daza, Adviser to the Ministry of the People’s Power for Foreign Affairs.</w:t>
      </w:r>
    </w:p>
  </w:footnote>
  <w:footnote w:id="13">
    <w:p w14:paraId="4BD11A0A" w14:textId="0BFE9013"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On January 12, 2018, Katherine Romero advised that, for personal reasons beyond her control, she would be unable to present her expert opinion, which had been proposed by the representatives.</w:t>
      </w:r>
    </w:p>
  </w:footnote>
  <w:footnote w:id="14">
    <w:p w14:paraId="2FE0C062" w14:textId="263D1D86"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The brief was signed by Fabiola Romero of the Centro Hispanoamericano de la Mujer and by Beatriz Borges of the Centro por la Justicia y Paz. It presented a series of considerations on the institutional violence to which women are presumably subjected by Venezuelan state agencies. It also described the situation of impunity that reigned in relation to complaints filed by Venezuelan women.</w:t>
      </w:r>
    </w:p>
  </w:footnote>
  <w:footnote w:id="15">
    <w:p w14:paraId="5C4145C5" w14:textId="199164A3"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The brief was signed by Gerald Staberock, Secretary General of the World Organization against Torture, and by Teresa Fernández Paredes, lawyer, of Women’s Link Worldwide. The brief presented considerations on the following aspects: (a) the meaning and scope of State obligations with regard to the right to personal integrity, in particular, the right not to be subjected to torture or other cruel, inhuman or degrading treatment or punishment, from a gender perspective; (b) the gender perspective in the examination of violence; (c) discriminatory violence against women as a form of torture, and (d) the State obligation to prevent acts that constitute torture or ill-treatment and to investigate, prosecute, punish and redress such acts.</w:t>
      </w:r>
    </w:p>
  </w:footnote>
  <w:footnote w:id="16">
    <w:p w14:paraId="4F1E6C0F" w14:textId="11A272F4"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The brief was signed by Susana SáCouto, of the Academy on Human Rights and International Humanitarian Law, and by Claudia Martin, of the War Crimes Research Office. The brief presented an analysis of the criteria for assessing evidence used by the Inter-American Court in cases of violence against women in order to determine the international responsibility of the State. The brief also addressed the concept of “consistent testimony” in the practice of this Court and other international courts.</w:t>
      </w:r>
    </w:p>
  </w:footnote>
  <w:footnote w:id="17">
    <w:p w14:paraId="5D245EF4" w14:textId="7377F7A1"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rFonts w:eastAsiaTheme="minorHAnsi" w:cstheme="minorBidi"/>
          <w:sz w:val="16"/>
          <w:szCs w:val="16"/>
          <w:lang w:val="en-US"/>
        </w:rPr>
        <w:t>Article 78(2) of the Convention establishes that ”[s]</w:t>
      </w:r>
      <w:r w:rsidRPr="009D52FD">
        <w:rPr>
          <w:spacing w:val="-3"/>
          <w:sz w:val="16"/>
          <w:szCs w:val="16"/>
          <w:lang w:val="en-US"/>
        </w:rPr>
        <w:t>uch a denunciation shall not have the effect of releasing the State Party concerned from the obligations contained in this Convention with respect to any act that may constitute a violation of those obligations and that has been taken by that State prior to the effective date of denunciation.</w:t>
      </w:r>
      <w:r w:rsidRPr="009D52FD">
        <w:rPr>
          <w:rFonts w:eastAsiaTheme="minorHAnsi" w:cstheme="minorBidi"/>
          <w:sz w:val="16"/>
          <w:szCs w:val="16"/>
          <w:lang w:val="en-US"/>
        </w:rPr>
        <w:t>”</w:t>
      </w:r>
    </w:p>
  </w:footnote>
  <w:footnote w:id="18">
    <w:p w14:paraId="575B98DF" w14:textId="62768566"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The State contested several facts, namely: 1. The assertion of the supposed existence of a complaint that Ana Secilia López Soto, Linda Loaiza’s sister, had filed or attempted to file on March 28, 2001, in the offices of the former Judicial Technical Police located in Urdaneta Avenue in Caracas; 2. The assertion that Ana Secilia López Soto, Linda Loaiza’s sister, had supposedly attempted to file this complaint on six (6) occasions and had not received an appropriate response from the police agents; 3. The assertion that the Venezuelan State had been or should have been aware of the situation of Linda Loaiza López Soto prior to her rescue on July 19, 2001, as there was no complaint that advised the competent authorities of the existence of the “disappearance” of this person; 4. The assertion that it corresponded to the State to prove that the complaint had not been filed on March 28, 2001. 5. The Commission’s assertion regarding the Court’s supposed position on the assessment of evidence in situations in which it is alleged that the respective authority refused to receive a complaint of the disappearance of a women promptly and in a specific context. In particular, the Commission had argued that the Court had considered this situation proved based on the statements of family members, and given the inexistence of proof to the contrary by the State; 6. The assertion that, at the time and even nowadays, a permissive context exists towards gender-based violence and that the competent authorities paid very little attention to this issue, and 7. The assertion that the Venezuelan authorities had shown “scant sensitivity” in the treatment accorded to Linda Loaiza’s parents when they came to Caracas to meet up with their daughter.</w:t>
      </w:r>
    </w:p>
  </w:footnote>
  <w:footnote w:id="19">
    <w:p w14:paraId="700481DE" w14:textId="250F42FD" w:rsidR="009D52FD" w:rsidRPr="009D52FD" w:rsidRDefault="009D52FD" w:rsidP="00FF127C">
      <w:pPr>
        <w:pStyle w:val="FootnoteText"/>
        <w:tabs>
          <w:tab w:val="left" w:pos="567"/>
        </w:tabs>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Article 62. Acquiescence</w:t>
      </w:r>
    </w:p>
    <w:p w14:paraId="77F72033" w14:textId="4ACE60E5" w:rsidR="009D52FD" w:rsidRPr="009D52FD" w:rsidRDefault="009D52FD" w:rsidP="008778DD">
      <w:pPr>
        <w:pStyle w:val="FootnoteText"/>
        <w:tabs>
          <w:tab w:val="left" w:pos="567"/>
        </w:tabs>
        <w:spacing w:after="60"/>
        <w:ind w:left="567"/>
        <w:rPr>
          <w:sz w:val="16"/>
          <w:szCs w:val="16"/>
          <w:lang w:val="en-US"/>
        </w:rPr>
      </w:pPr>
      <w:r w:rsidRPr="009D52FD">
        <w:rPr>
          <w:sz w:val="16"/>
          <w:szCs w:val="16"/>
          <w:lang w:val="en-US"/>
        </w:rPr>
        <w:t>If the respondent informs the Court of its acceptance of the facts or its total or partial acquiescence to the claims stated in the presentation of the case or in the brief submitted by the alleged victims or their representatives, the Court shall decide, having heard the opinions of all those participating in the proceedings and at the appropriate procedural moment, whether to accept that acquiescence, and shall rule upon its juridical effects</w:t>
      </w:r>
    </w:p>
  </w:footnote>
  <w:footnote w:id="20">
    <w:p w14:paraId="5E9B3CC9" w14:textId="1817B951" w:rsidR="009D52FD" w:rsidRPr="009D52FD" w:rsidRDefault="009D52FD" w:rsidP="00FF127C">
      <w:pPr>
        <w:pStyle w:val="FootnoteText"/>
        <w:tabs>
          <w:tab w:val="left" w:pos="567"/>
        </w:tabs>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Article 64. Continuation of a case</w:t>
      </w:r>
    </w:p>
    <w:p w14:paraId="0477D965" w14:textId="1741D8D2" w:rsidR="009D52FD" w:rsidRPr="009D52FD" w:rsidRDefault="009D52FD" w:rsidP="00FF127C">
      <w:pPr>
        <w:autoSpaceDE w:val="0"/>
        <w:autoSpaceDN w:val="0"/>
        <w:spacing w:line="240" w:lineRule="auto"/>
        <w:ind w:left="540"/>
        <w:rPr>
          <w:sz w:val="16"/>
          <w:szCs w:val="16"/>
          <w:lang w:val="en-US"/>
        </w:rPr>
      </w:pPr>
      <w:r w:rsidRPr="009D52FD">
        <w:rPr>
          <w:sz w:val="16"/>
          <w:szCs w:val="16"/>
          <w:lang w:val="en-US"/>
        </w:rPr>
        <w:t>Bearing in mind its responsibility to protect human rights, the Court may decide to continue the consideration of a case notwithstanding the existence of the conditions indicated in the preceding Articles.</w:t>
      </w:r>
    </w:p>
  </w:footnote>
  <w:footnote w:id="21">
    <w:p w14:paraId="04DB9A2A" w14:textId="6C055066" w:rsidR="009D52FD" w:rsidRPr="009D52FD" w:rsidRDefault="009D52FD" w:rsidP="008778DD">
      <w:pPr>
        <w:tabs>
          <w:tab w:val="left" w:pos="567"/>
        </w:tabs>
        <w:spacing w:after="60" w:line="240" w:lineRule="auto"/>
        <w:rPr>
          <w:sz w:val="16"/>
          <w:szCs w:val="16"/>
          <w:lang w:val="en-US"/>
        </w:rPr>
      </w:pPr>
      <w:r w:rsidRPr="009D52FD">
        <w:rPr>
          <w:rStyle w:val="FootnoteReference"/>
          <w:rFonts w:eastAsiaTheme="majorEastAsia"/>
          <w:sz w:val="16"/>
          <w:szCs w:val="16"/>
          <w:lang w:val="en-US"/>
        </w:rPr>
        <w:footnoteRef/>
      </w:r>
      <w:r w:rsidRPr="009D52FD">
        <w:rPr>
          <w:sz w:val="16"/>
          <w:szCs w:val="16"/>
          <w:vertAlign w:val="superscript"/>
          <w:lang w:val="en-US"/>
        </w:rPr>
        <w:t xml:space="preserve"> </w:t>
      </w:r>
      <w:r w:rsidRPr="009D52FD">
        <w:rPr>
          <w:sz w:val="16"/>
          <w:szCs w:val="16"/>
          <w:lang w:val="en-US"/>
        </w:rPr>
        <w:tab/>
      </w:r>
      <w:r w:rsidRPr="009D52FD">
        <w:rPr>
          <w:i/>
          <w:sz w:val="16"/>
          <w:szCs w:val="16"/>
          <w:lang w:val="en-US"/>
        </w:rPr>
        <w:t>Cf. Case of Zambrano Vélez et al. v. Ecuador. Merits, reparations and costs.</w:t>
      </w:r>
      <w:r w:rsidRPr="009D52FD">
        <w:rPr>
          <w:sz w:val="16"/>
          <w:szCs w:val="16"/>
          <w:lang w:val="en-US"/>
        </w:rPr>
        <w:t xml:space="preserve"> Judgment of July 4, 2007. Series C No. 16, para. 17, and </w:t>
      </w:r>
      <w:r w:rsidRPr="009D52FD">
        <w:rPr>
          <w:i/>
          <w:sz w:val="16"/>
          <w:szCs w:val="16"/>
          <w:lang w:val="en-US"/>
        </w:rPr>
        <w:t>Case of Ramírez Escobar et al. v. Guatemala. Merits, reparations and costs</w:t>
      </w:r>
      <w:r w:rsidRPr="009D52FD">
        <w:rPr>
          <w:sz w:val="16"/>
          <w:szCs w:val="16"/>
          <w:lang w:val="en-US"/>
        </w:rPr>
        <w:t>. Judgment of March 9, 2018. Series C No. 351, para. 28.</w:t>
      </w:r>
    </w:p>
  </w:footnote>
  <w:footnote w:id="22">
    <w:p w14:paraId="77B5DFA6" w14:textId="4AA5C234"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Regarding the State’s acknowledgement in relation to the violation of Article XVIII of the American Declaration of the Rights and Duties of Man, which establishes the right to justice, the Court notes that, in this case, the specific and primary source of the State’s international obligations is the American Convention; consequently, it does not correspond to the Court to rule on the said article of the American Declaration. See, similarly</w:t>
      </w:r>
      <w:r w:rsidRPr="009D52FD">
        <w:rPr>
          <w:rFonts w:eastAsia="Calibri" w:cs="Verdana"/>
          <w:snapToGrid w:val="0"/>
          <w:sz w:val="16"/>
          <w:szCs w:val="16"/>
          <w:lang w:val="en-US" w:eastAsia="es-ES"/>
        </w:rPr>
        <w:t xml:space="preserve">, </w:t>
      </w:r>
      <w:r w:rsidRPr="009D52FD">
        <w:rPr>
          <w:rFonts w:cs="Courier New"/>
          <w:i/>
          <w:sz w:val="16"/>
          <w:szCs w:val="16"/>
          <w:lang w:val="en-US"/>
        </w:rPr>
        <w:t>Case of Ruano Torres et al. v. El Salvador. Merits, reparations and costs</w:t>
      </w:r>
      <w:r w:rsidRPr="009D52FD">
        <w:rPr>
          <w:rFonts w:cs="Courier New"/>
          <w:sz w:val="16"/>
          <w:szCs w:val="16"/>
          <w:lang w:val="en-US"/>
        </w:rPr>
        <w:t xml:space="preserve">. Judgment of October 5, 2015. Series C No. 303, </w:t>
      </w:r>
      <w:r w:rsidRPr="009D52FD">
        <w:rPr>
          <w:rFonts w:eastAsia="Calibri" w:cs="Verdana"/>
          <w:snapToGrid w:val="0"/>
          <w:sz w:val="16"/>
          <w:szCs w:val="16"/>
          <w:lang w:val="en-US" w:eastAsia="es-ES"/>
        </w:rPr>
        <w:t>para. 29.</w:t>
      </w:r>
    </w:p>
  </w:footnote>
  <w:footnote w:id="23">
    <w:p w14:paraId="1751CB75" w14:textId="4E8F15B2" w:rsidR="009D52FD" w:rsidRPr="009D52FD" w:rsidRDefault="009D52FD" w:rsidP="008778DD">
      <w:pPr>
        <w:tabs>
          <w:tab w:val="left" w:pos="567"/>
        </w:tabs>
        <w:spacing w:after="60" w:line="240" w:lineRule="auto"/>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b/>
          <w:i/>
          <w:sz w:val="16"/>
          <w:szCs w:val="16"/>
          <w:lang w:val="en-US"/>
        </w:rPr>
        <w:t xml:space="preserve"> </w:t>
      </w:r>
      <w:r w:rsidRPr="009D52FD">
        <w:rPr>
          <w:i/>
          <w:sz w:val="16"/>
          <w:szCs w:val="16"/>
          <w:lang w:val="en-US"/>
        </w:rPr>
        <w:t>Case of Benavides Cevallos v. Ecuador. Merits, reparations and costs</w:t>
      </w:r>
      <w:r w:rsidRPr="009D52FD">
        <w:rPr>
          <w:sz w:val="16"/>
          <w:szCs w:val="16"/>
          <w:lang w:val="en-US"/>
        </w:rPr>
        <w:t xml:space="preserve">. Judgment of June 19, 1998. Series C No. 38, para. 57; </w:t>
      </w:r>
      <w:r w:rsidRPr="009D52FD">
        <w:rPr>
          <w:i/>
          <w:sz w:val="16"/>
          <w:szCs w:val="16"/>
          <w:lang w:val="en-US"/>
        </w:rPr>
        <w:t xml:space="preserve">Case of Manuel Cepeda Vargas v. Colombia. Preliminary objections, merits and reparations. </w:t>
      </w:r>
      <w:r w:rsidRPr="009D52FD">
        <w:rPr>
          <w:sz w:val="16"/>
          <w:szCs w:val="16"/>
          <w:lang w:val="en-US"/>
        </w:rPr>
        <w:t xml:space="preserve">Judgment of May 26, 2010. Series C No. 213, para. 18, and </w:t>
      </w:r>
      <w:r w:rsidRPr="009D52FD">
        <w:rPr>
          <w:i/>
          <w:sz w:val="16"/>
          <w:szCs w:val="16"/>
          <w:lang w:val="en-US"/>
        </w:rPr>
        <w:t>Case of Ramírez Escobar v. Guatemala, supra</w:t>
      </w:r>
      <w:r w:rsidRPr="009D52FD">
        <w:rPr>
          <w:sz w:val="16"/>
          <w:szCs w:val="16"/>
          <w:lang w:val="en-US"/>
        </w:rPr>
        <w:t>, para. 34.</w:t>
      </w:r>
    </w:p>
  </w:footnote>
  <w:footnote w:id="24">
    <w:p w14:paraId="37F70D90" w14:textId="6971B9A9" w:rsidR="009D52FD" w:rsidRPr="009D52FD" w:rsidRDefault="009D52FD" w:rsidP="008778DD">
      <w:pPr>
        <w:tabs>
          <w:tab w:val="left" w:pos="567"/>
        </w:tabs>
        <w:spacing w:after="60" w:line="240" w:lineRule="auto"/>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Case of Kimel v. Argentina. Merits, reparations and costs. </w:t>
      </w:r>
      <w:r w:rsidRPr="009D52FD">
        <w:rPr>
          <w:sz w:val="16"/>
          <w:szCs w:val="16"/>
          <w:lang w:val="en-US"/>
        </w:rPr>
        <w:t>Judgment of May 2, 2008. Series C No. 177, paras. 23 to 25</w:t>
      </w:r>
      <w:r w:rsidRPr="009D52FD">
        <w:rPr>
          <w:iCs/>
          <w:sz w:val="16"/>
          <w:szCs w:val="16"/>
          <w:lang w:val="en-US"/>
        </w:rPr>
        <w:t>, and</w:t>
      </w:r>
      <w:r w:rsidRPr="009D52FD">
        <w:rPr>
          <w:sz w:val="16"/>
          <w:szCs w:val="16"/>
          <w:lang w:val="en-US"/>
        </w:rPr>
        <w:t xml:space="preserve"> </w:t>
      </w:r>
      <w:r w:rsidRPr="009D52FD">
        <w:rPr>
          <w:i/>
          <w:sz w:val="16"/>
          <w:szCs w:val="16"/>
          <w:lang w:val="en-US"/>
        </w:rPr>
        <w:t>Case of</w:t>
      </w:r>
      <w:r w:rsidRPr="009D52FD">
        <w:rPr>
          <w:sz w:val="16"/>
          <w:szCs w:val="16"/>
          <w:lang w:val="en-US"/>
        </w:rPr>
        <w:t xml:space="preserve"> </w:t>
      </w:r>
      <w:r w:rsidRPr="009D52FD">
        <w:rPr>
          <w:i/>
          <w:sz w:val="16"/>
          <w:szCs w:val="16"/>
          <w:lang w:val="en-US"/>
        </w:rPr>
        <w:t>Ramírez Escobar v. Guatemala, supra</w:t>
      </w:r>
      <w:r w:rsidRPr="009D52FD">
        <w:rPr>
          <w:sz w:val="16"/>
          <w:szCs w:val="16"/>
          <w:lang w:val="en-US"/>
        </w:rPr>
        <w:t>, para. 35.</w:t>
      </w:r>
    </w:p>
  </w:footnote>
  <w:footnote w:id="25">
    <w:p w14:paraId="1BD020C9" w14:textId="536B7A2D" w:rsidR="009D52FD" w:rsidRPr="009D52FD" w:rsidRDefault="009D52FD" w:rsidP="008778DD">
      <w:pPr>
        <w:pStyle w:val="FootnoteText"/>
        <w:tabs>
          <w:tab w:val="left" w:pos="567"/>
        </w:tabs>
        <w:spacing w:after="60"/>
        <w:rPr>
          <w:sz w:val="16"/>
          <w:szCs w:val="16"/>
          <w:lang w:val="en-US"/>
        </w:rPr>
      </w:pPr>
      <w:r w:rsidRPr="009D52FD">
        <w:rPr>
          <w:rStyle w:val="FootnoteReference"/>
          <w:rFonts w:eastAsiaTheme="majorEastAsia"/>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w:t>
      </w:r>
      <w:r w:rsidRPr="009D52FD">
        <w:rPr>
          <w:rStyle w:val="Strong"/>
          <w:rFonts w:eastAsia="Batang"/>
          <w:b w:val="0"/>
          <w:i/>
          <w:color w:val="000000"/>
          <w:sz w:val="16"/>
          <w:szCs w:val="16"/>
          <w:shd w:val="clear" w:color="auto" w:fill="FFFFFF"/>
          <w:lang w:val="en-US"/>
        </w:rPr>
        <w:t>Case of Cruz Sánchez et al. v. Peru</w:t>
      </w:r>
      <w:r w:rsidRPr="009D52FD">
        <w:rPr>
          <w:rStyle w:val="Strong"/>
          <w:rFonts w:eastAsiaTheme="majorEastAsia"/>
          <w:b w:val="0"/>
          <w:color w:val="000000"/>
          <w:sz w:val="16"/>
          <w:szCs w:val="16"/>
          <w:shd w:val="clear" w:color="auto" w:fill="FFFFFF"/>
          <w:lang w:val="en-US"/>
        </w:rPr>
        <w:t xml:space="preserve">. </w:t>
      </w:r>
      <w:r w:rsidRPr="009D52FD">
        <w:rPr>
          <w:rStyle w:val="Strong"/>
          <w:rFonts w:eastAsiaTheme="majorEastAsia"/>
          <w:b w:val="0"/>
          <w:i/>
          <w:color w:val="000000"/>
          <w:sz w:val="16"/>
          <w:szCs w:val="16"/>
          <w:shd w:val="clear" w:color="auto" w:fill="FFFFFF"/>
          <w:lang w:val="en-US"/>
        </w:rPr>
        <w:t>Preliminary objections, merits, reparations and costs</w:t>
      </w:r>
      <w:r w:rsidRPr="009D52FD">
        <w:rPr>
          <w:rStyle w:val="Strong"/>
          <w:rFonts w:eastAsiaTheme="majorEastAsia"/>
          <w:b w:val="0"/>
          <w:color w:val="000000"/>
          <w:sz w:val="16"/>
          <w:szCs w:val="16"/>
          <w:shd w:val="clear" w:color="auto" w:fill="FFFFFF"/>
          <w:lang w:val="en-US"/>
        </w:rPr>
        <w:t xml:space="preserve">. Judgment of April 17, 2015. Series No. 292, para. </w:t>
      </w:r>
      <w:r w:rsidRPr="009D52FD">
        <w:rPr>
          <w:rFonts w:eastAsia="Verdana" w:cs="Verdana"/>
          <w:sz w:val="16"/>
          <w:szCs w:val="16"/>
          <w:lang w:val="en-US"/>
        </w:rPr>
        <w:t xml:space="preserve">43, and </w:t>
      </w:r>
      <w:r w:rsidRPr="009D52FD">
        <w:rPr>
          <w:rFonts w:eastAsia="Verdana" w:cs="Verdana"/>
          <w:i/>
          <w:sz w:val="16"/>
          <w:szCs w:val="16"/>
          <w:lang w:val="en-US"/>
        </w:rPr>
        <w:t xml:space="preserve">Case of Amrhein et al. v. Costa Rica. Preliminary objections, merits, reparations and costs. </w:t>
      </w:r>
      <w:r w:rsidRPr="009D52FD">
        <w:rPr>
          <w:rFonts w:eastAsia="Verdana" w:cs="Verdana"/>
          <w:sz w:val="16"/>
          <w:szCs w:val="16"/>
          <w:lang w:val="en-US"/>
        </w:rPr>
        <w:t>Judgment of April 25, 2018. Series C No. 354, para. 71.</w:t>
      </w:r>
    </w:p>
  </w:footnote>
  <w:footnote w:id="26">
    <w:p w14:paraId="1A867FD6" w14:textId="0640921F"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bCs/>
          <w:i/>
          <w:sz w:val="16"/>
          <w:szCs w:val="16"/>
          <w:lang w:val="en-US"/>
        </w:rPr>
        <w:t xml:space="preserve">Case of Furlan and family v. Argentina. </w:t>
      </w:r>
      <w:r w:rsidRPr="009D52FD">
        <w:rPr>
          <w:i/>
          <w:sz w:val="16"/>
          <w:szCs w:val="16"/>
          <w:lang w:val="en-US"/>
        </w:rPr>
        <w:t>Preliminary objections, merits, reparations and costs.</w:t>
      </w:r>
      <w:r w:rsidRPr="009D52FD">
        <w:rPr>
          <w:sz w:val="16"/>
          <w:szCs w:val="16"/>
          <w:lang w:val="en-US"/>
        </w:rPr>
        <w:t xml:space="preserve"> Judgment of August 31, 2012. Series C No. 246, para. 52.</w:t>
      </w:r>
    </w:p>
  </w:footnote>
  <w:footnote w:id="27">
    <w:p w14:paraId="34E2ECCA" w14:textId="10FBDD05"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bCs/>
          <w:i/>
          <w:sz w:val="16"/>
          <w:szCs w:val="16"/>
          <w:lang w:val="en-US"/>
        </w:rPr>
        <w:t>Case of Furlan and family v. Argentina</w:t>
      </w:r>
      <w:r w:rsidRPr="009D52FD">
        <w:rPr>
          <w:i/>
          <w:sz w:val="16"/>
          <w:szCs w:val="16"/>
          <w:lang w:val="en-US"/>
        </w:rPr>
        <w:t>, supra</w:t>
      </w:r>
      <w:r w:rsidRPr="009D52FD">
        <w:rPr>
          <w:sz w:val="16"/>
          <w:szCs w:val="16"/>
          <w:lang w:val="en-US"/>
        </w:rPr>
        <w:t>, para. 52.</w:t>
      </w:r>
    </w:p>
  </w:footnote>
  <w:footnote w:id="28">
    <w:p w14:paraId="00A2D622" w14:textId="5A0A050B"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bCs/>
          <w:i/>
          <w:sz w:val="16"/>
          <w:szCs w:val="16"/>
          <w:lang w:val="en-US"/>
        </w:rPr>
        <w:t>Case of Furlan and family v. Argentina</w:t>
      </w:r>
      <w:r w:rsidRPr="009D52FD">
        <w:rPr>
          <w:i/>
          <w:sz w:val="16"/>
          <w:szCs w:val="16"/>
          <w:lang w:val="en-US"/>
        </w:rPr>
        <w:t>, supra</w:t>
      </w:r>
      <w:r w:rsidRPr="009D52FD">
        <w:rPr>
          <w:sz w:val="16"/>
          <w:szCs w:val="16"/>
          <w:lang w:val="en-US"/>
        </w:rPr>
        <w:t>, paras. 52 to 59.</w:t>
      </w:r>
    </w:p>
  </w:footnote>
  <w:footnote w:id="29">
    <w:p w14:paraId="01FD742D" w14:textId="04D29463"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In addition, it indicated that the content of the record of complaints and/or complainants did not constitute an essential element to elucidate the dispute regarding whether or not </w:t>
      </w:r>
      <w:r w:rsidRPr="009D52FD">
        <w:rPr>
          <w:rFonts w:eastAsiaTheme="minorHAnsi" w:cs="Arial"/>
          <w:sz w:val="16"/>
          <w:szCs w:val="16"/>
          <w:lang w:val="en-US" w:eastAsia="en-US"/>
        </w:rPr>
        <w:t>Ana Secilia López attempted to file complaints owing to the presumed “disappearance” of Linda Loaiza López Soto, especially considering that the parties have argued either that those attempts to file a complaint were not made or else that they were unsuccessful. Consequently, according to the State, the said records would not reflect whether or not Ana Secilia López Soto went to the police station.</w:t>
      </w:r>
    </w:p>
  </w:footnote>
  <w:footnote w:id="30">
    <w:p w14:paraId="735EA110" w14:textId="66E48B88"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Case of Radilla Pacheco v. Mexico. Preliminary objections, merits, reparations and costs. </w:t>
      </w:r>
      <w:r w:rsidRPr="009D52FD">
        <w:rPr>
          <w:sz w:val="16"/>
          <w:szCs w:val="16"/>
          <w:lang w:val="en-US"/>
        </w:rPr>
        <w:t xml:space="preserve">Judgment of November 23, 2009. Series C No. 209, para. 89. See also, </w:t>
      </w:r>
      <w:r w:rsidRPr="009D52FD">
        <w:rPr>
          <w:rFonts w:cs="Courier New"/>
          <w:i/>
          <w:sz w:val="16"/>
          <w:szCs w:val="16"/>
          <w:lang w:val="en-US"/>
        </w:rPr>
        <w:t>Case of Velásquez Rodríguez v. Honduras. Merits</w:t>
      </w:r>
      <w:r w:rsidRPr="009D52FD">
        <w:rPr>
          <w:rFonts w:cs="Courier New"/>
          <w:sz w:val="16"/>
          <w:szCs w:val="16"/>
          <w:lang w:val="en-US"/>
        </w:rPr>
        <w:t xml:space="preserve">. Judgment of July 29, 1988. Series C No. 4, para. 135, and </w:t>
      </w:r>
      <w:r w:rsidRPr="009D52FD">
        <w:rPr>
          <w:rFonts w:cs="Courier New"/>
          <w:i/>
          <w:sz w:val="16"/>
          <w:szCs w:val="16"/>
          <w:lang w:val="en-US"/>
        </w:rPr>
        <w:t>Case of Rodríguez Vera et al. (Disappeared from the Palace of Justice) v. Colombia. Preliminary objections, merits, reparations and costs</w:t>
      </w:r>
      <w:r w:rsidRPr="009D52FD">
        <w:rPr>
          <w:rFonts w:cs="Courier New"/>
          <w:sz w:val="16"/>
          <w:szCs w:val="16"/>
          <w:lang w:val="en-US"/>
        </w:rPr>
        <w:t>. Judgment of November 14, 2014. Series C No. 287, para. 230.</w:t>
      </w:r>
    </w:p>
  </w:footnote>
  <w:footnote w:id="31">
    <w:p w14:paraId="1055C96D" w14:textId="015DD816" w:rsidR="009D52FD" w:rsidRPr="009D52FD" w:rsidRDefault="009D52FD" w:rsidP="008778DD">
      <w:pPr>
        <w:pStyle w:val="FootnoteText"/>
        <w:tabs>
          <w:tab w:val="left" w:pos="567"/>
        </w:tabs>
        <w:spacing w:after="60"/>
        <w:rPr>
          <w:rFonts w:eastAsia="ヒラギノ角ゴ Pro W3"/>
          <w:sz w:val="16"/>
          <w:szCs w:val="16"/>
          <w:lang w:val="en-US"/>
        </w:rPr>
      </w:pPr>
      <w:r w:rsidRPr="009D52FD">
        <w:rPr>
          <w:rStyle w:val="FootnoteReference"/>
          <w:rFonts w:eastAsia="Calibri"/>
          <w:sz w:val="16"/>
          <w:szCs w:val="16"/>
          <w:lang w:val="en-US"/>
        </w:rPr>
        <w:footnoteRef/>
      </w:r>
      <w:r w:rsidRPr="009D52FD">
        <w:rPr>
          <w:sz w:val="16"/>
          <w:szCs w:val="16"/>
          <w:lang w:val="en-US"/>
        </w:rPr>
        <w:t xml:space="preserve"> </w:t>
      </w:r>
      <w:r w:rsidRPr="009D52FD">
        <w:rPr>
          <w:sz w:val="16"/>
          <w:szCs w:val="16"/>
          <w:lang w:val="en-US"/>
        </w:rPr>
        <w:tab/>
        <w:t>The Court received the affidavits of Nelson López Meza, Paulina Soto Chaustre, Diana Carolina López Soto, Anyi Karina López Soto, Nelson Enrique López Soto, Elith Johana López Soto, Yusmely del Valle López Soto, Luz Paulina López Soto, and José Isidro López Soto; the witnesses Juan Bernardo Delgado Linares, proposed by the representatives, and Marelis Pérez Marcano and Carmen Zuleta de Merchán, proposed by the State; the expert witnesses proposed by the representatives, Magaly Vásquez González, Magaly Josefina Huggins Castañeda, Rossana Ramírez Velasco and Maritza Durán, and the expert witness proposed by the State, Kiezler Francisco Pacheco Morales and Ana Margarita Ratti León, and the expert witness proposed by the Commission, Juan E. Méndez. Regarding the evidence provided during the public hearing, the Court received the statements of presumed victims Linda Loaiza López Soto and Ana Secilia López Soto, and the opinions of expert witnesses Daniela Kravetz, Marie Christine Chinkin and María Lucrecia Hernández Vitar, proposed, respectively, by the representatives, the Commission, and the State. The purposes of all these statements was established in the order of the President of the Inter-American Court of December 13, 2017. Available at:</w:t>
      </w:r>
      <w:r w:rsidRPr="009D52FD">
        <w:rPr>
          <w:rFonts w:cs="Verdana"/>
          <w:bCs/>
          <w:caps/>
          <w:snapToGrid w:val="0"/>
          <w:sz w:val="16"/>
          <w:szCs w:val="16"/>
          <w:lang w:val="en-US"/>
        </w:rPr>
        <w:t xml:space="preserve"> </w:t>
      </w:r>
      <w:hyperlink r:id="rId3" w:history="1">
        <w:r w:rsidRPr="009D52FD">
          <w:rPr>
            <w:rStyle w:val="Hyperlink"/>
            <w:sz w:val="16"/>
            <w:szCs w:val="16"/>
            <w:lang w:val="en-US"/>
          </w:rPr>
          <w:t>http://www.corteidh.or.cr/docs/asuntos/lopez_soto_13_12_17.pdf</w:t>
        </w:r>
      </w:hyperlink>
      <w:r w:rsidRPr="009D52FD">
        <w:rPr>
          <w:sz w:val="16"/>
          <w:szCs w:val="16"/>
          <w:lang w:val="en-US"/>
        </w:rPr>
        <w:t>.</w:t>
      </w:r>
    </w:p>
  </w:footnote>
  <w:footnote w:id="32">
    <w:p w14:paraId="461D2766" w14:textId="5FF0DB5A"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 Case of Díaz Peña v. Venezuela. Preliminary objection, merits, reparations and costs</w:t>
      </w:r>
      <w:r w:rsidRPr="009D52FD">
        <w:rPr>
          <w:sz w:val="16"/>
          <w:szCs w:val="16"/>
          <w:lang w:val="en-US"/>
        </w:rPr>
        <w:t xml:space="preserve">. Judgment of June 26, 2012. Series C No. 244, para. 33, and </w:t>
      </w:r>
      <w:r w:rsidRPr="009D52FD">
        <w:rPr>
          <w:i/>
          <w:sz w:val="16"/>
          <w:szCs w:val="16"/>
          <w:lang w:val="en-US"/>
        </w:rPr>
        <w:t xml:space="preserve">Case of San Miguel Sosa et al. v. Venezuela. Merits, reparations and costs. </w:t>
      </w:r>
      <w:r w:rsidRPr="009D52FD">
        <w:rPr>
          <w:sz w:val="16"/>
          <w:szCs w:val="16"/>
          <w:lang w:val="en-US"/>
        </w:rPr>
        <w:t>Judgment of February 8, 2018. Series C No. 348, para. 36.</w:t>
      </w:r>
    </w:p>
  </w:footnote>
  <w:footnote w:id="33">
    <w:p w14:paraId="677D54DC" w14:textId="6697F4F9"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Case of Ortiz Hernández v. Venezuela. </w:t>
      </w:r>
      <w:r w:rsidRPr="009D52FD">
        <w:rPr>
          <w:bCs/>
          <w:i/>
          <w:sz w:val="16"/>
          <w:szCs w:val="16"/>
          <w:lang w:val="en-US"/>
        </w:rPr>
        <w:t>Merits, reparations and costs.</w:t>
      </w:r>
      <w:r w:rsidRPr="009D52FD">
        <w:rPr>
          <w:bCs/>
          <w:sz w:val="16"/>
          <w:szCs w:val="16"/>
          <w:lang w:val="en-US"/>
        </w:rPr>
        <w:t xml:space="preserve"> Judgment of August 22, 2017. Series C No. 338</w:t>
      </w:r>
      <w:r w:rsidRPr="009D52FD">
        <w:rPr>
          <w:sz w:val="16"/>
          <w:szCs w:val="16"/>
          <w:lang w:val="en-US"/>
        </w:rPr>
        <w:t>,</w:t>
      </w:r>
      <w:r w:rsidRPr="009D52FD">
        <w:rPr>
          <w:i/>
          <w:sz w:val="16"/>
          <w:szCs w:val="16"/>
          <w:lang w:val="en-US"/>
        </w:rPr>
        <w:t xml:space="preserve"> </w:t>
      </w:r>
      <w:r w:rsidRPr="009D52FD">
        <w:rPr>
          <w:sz w:val="16"/>
          <w:szCs w:val="16"/>
          <w:lang w:val="en-US"/>
        </w:rPr>
        <w:t xml:space="preserve">para. 49, and </w:t>
      </w:r>
      <w:r w:rsidRPr="009D52FD">
        <w:rPr>
          <w:i/>
          <w:sz w:val="16"/>
          <w:szCs w:val="16"/>
          <w:lang w:val="en-US"/>
        </w:rPr>
        <w:t>Case of San Miguel Sosa et al. v. Venezuela, supra</w:t>
      </w:r>
      <w:r w:rsidRPr="009D52FD">
        <w:rPr>
          <w:sz w:val="16"/>
          <w:szCs w:val="16"/>
          <w:lang w:val="en-US"/>
        </w:rPr>
        <w:t>, para. 36.</w:t>
      </w:r>
    </w:p>
  </w:footnote>
  <w:footnote w:id="34">
    <w:p w14:paraId="4E2D6FD6" w14:textId="0BE3E1DB"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w:t>
      </w:r>
      <w:r w:rsidRPr="009D52FD">
        <w:rPr>
          <w:i/>
          <w:sz w:val="16"/>
          <w:szCs w:val="16"/>
          <w:lang w:val="en-US"/>
        </w:rPr>
        <w:t>Case of Escué Zapata v. Colombia.</w:t>
      </w:r>
      <w:r w:rsidRPr="009D52FD">
        <w:rPr>
          <w:sz w:val="16"/>
          <w:szCs w:val="16"/>
          <w:lang w:val="en-US"/>
        </w:rPr>
        <w:t xml:space="preserve"> Order of the Court of December 20, 2006, </w:t>
      </w:r>
      <w:r w:rsidRPr="009D52FD">
        <w:rPr>
          <w:i/>
          <w:iCs/>
          <w:sz w:val="16"/>
          <w:szCs w:val="16"/>
          <w:lang w:val="en-US"/>
        </w:rPr>
        <w:t>considerandum</w:t>
      </w:r>
      <w:r w:rsidRPr="009D52FD">
        <w:rPr>
          <w:sz w:val="16"/>
          <w:szCs w:val="16"/>
          <w:lang w:val="en-US"/>
        </w:rPr>
        <w:t xml:space="preserve"> 21, and </w:t>
      </w:r>
      <w:r w:rsidRPr="009D52FD">
        <w:rPr>
          <w:i/>
          <w:sz w:val="16"/>
          <w:szCs w:val="16"/>
          <w:lang w:val="en-US"/>
        </w:rPr>
        <w:t>Case of Díaz Peña v. Venezuela, supra</w:t>
      </w:r>
      <w:r w:rsidRPr="009D52FD">
        <w:rPr>
          <w:sz w:val="16"/>
          <w:szCs w:val="16"/>
          <w:lang w:val="en-US"/>
        </w:rPr>
        <w:t>, para. 29.</w:t>
      </w:r>
    </w:p>
  </w:footnote>
  <w:footnote w:id="35">
    <w:p w14:paraId="40283E82" w14:textId="376B11CB"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Bolivarian Republic of Venezuela identity documents of Nelson Enrique López Soto, Anyi Karina López Soto, Diana Carolina López Soto, Elith Johana López Soto, Emmanuel Adrián López Soto, José Isidro López Soto, Linda Loaiza López Soto, Luz Paulina López Soto, Yusmely del Valle López Soto and Ana Secilia López Soto (evidence file, volume XIII, annex 1A to the pleadings and motions brief, folios 8030 to 8034 and 8036 to 8040); Birth certificates of Ana Secilia López Soto, Anyi Karina López Soto, Diana Carolina López Soto, Elith Johana López Soto, Emmanuel Adrián López Soto, Gerson José López Soto, José Isidro López Soto, Linda Loaiza López Soto, Luz Paulina López Soto, Yusmely del Valle López Soto and Nelson Enrique López Soto (evidence file, volume XIII, annex 1B to the pleadings and motions brief, folios 8041, 8042, 8044, 8046, 8049, 8052, 8054, 8056, 8057, 8060 and 8062); Marriage certificate of Nelson López Meza and Paulina Soto Chaustre (evidence file, volume XIII, annex 1C to the pleadings and motions brief, folio 8064), and Death certificate of Gerson José López Soto of January 3, 2013 (evidence file, volume XIII, annex 1A to the pleadings and motions brief, folio 8028).</w:t>
      </w:r>
    </w:p>
  </w:footnote>
  <w:footnote w:id="36">
    <w:p w14:paraId="62F2CBEE" w14:textId="47E6079E"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 xml:space="preserve">Certification of the Director of the </w:t>
      </w:r>
      <w:r w:rsidRPr="009D52FD">
        <w:rPr>
          <w:rFonts w:eastAsiaTheme="minorHAnsi" w:cstheme="minorBidi"/>
          <w:sz w:val="16"/>
          <w:szCs w:val="16"/>
          <w:lang w:val="en-US" w:eastAsia="en-US"/>
        </w:rPr>
        <w:t xml:space="preserve">El Cenizo Agricultural Technical College, </w:t>
      </w:r>
      <w:r w:rsidRPr="009D52FD">
        <w:rPr>
          <w:sz w:val="16"/>
          <w:szCs w:val="16"/>
          <w:lang w:val="en-US"/>
        </w:rPr>
        <w:t>Trujillo state, of July 17, 2000 (evidence file, volume X, annex 5 to the Merits Report, folio 6100).</w:t>
      </w:r>
    </w:p>
  </w:footnote>
  <w:footnote w:id="37">
    <w:p w14:paraId="178646F9" w14:textId="1B392A05"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Statement by Linda Loaiza López Soto recorded in the judgment handed down by the Twentieth Trial Court of the Caracas Metropolitan Area on November 5, 2004 (evidence file, volume IX, annex 4 to the Merits Report, folios 5811 to 5812); Statement made by Ana Secilia López Soto during the public hearing before the Inter-American Court on February 6, 2018; Statement made by Paulina Soto Chaustre (evidence file, volume XLIV, affidavits, folio 31027), and Statement made by Nelson López Meza (evidence file, volume XLIV, affidavits, folio 31020).</w:t>
      </w:r>
    </w:p>
  </w:footnote>
  <w:footnote w:id="38">
    <w:p w14:paraId="155D8C4F" w14:textId="526D205F"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Statement by Linda Loaiza López Soto in the record of the public oral hearing of the Twentieth Trial Court of the Caracas Metropolitan Area of September 9, 2004 (evidence file, annexes to the answering brief, volume XXXIII, folios 22803 to 22808), and Statement made by Linda Loaiza López Soto during the public hearing before the Inter-American Court on February 6, 2018.</w:t>
      </w:r>
    </w:p>
  </w:footnote>
  <w:footnote w:id="39">
    <w:p w14:paraId="40DC81F9" w14:textId="195365CF"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Receipt for payment made by Luis Antonio Carrera Almoina on March 16, 2001, for a room at the Aventura Hotel from March 26, 2001, to May 26, 2001 (evidence file, volume XXV, annexes to the answering brief of the State, folio 16853); Room reservation receipt of March 16, 2001 (evidence file, volume XXV, annexes to the answering brief of the State, folio 16855); Record of arrival of Luis Antonio Carrera Almoina at the Aventura Hotel on March 27, 2001 (evidence file, volume XXV, annexes to the answering brief of the State, folio 16852), and Official Ledger recording guest arrivals and departures (evidence file, volume XXV, annexes to the answering brief of the State, folios 16857 to 16858). See also, Judgment handed down by the Twentieth Trial Court of the Caracas Metropolitan Area on November 5, 2004 (evidence file, volume IX, annex 4 to the Merits Report, folio 5725).</w:t>
      </w:r>
    </w:p>
  </w:footnote>
  <w:footnote w:id="40">
    <w:p w14:paraId="66730E0A" w14:textId="3B92DC15"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Judgment handed down by the Twentieth Trial Court of the Caracas Metropolitan Area on November 5, 2004 (evidence file, volume IX, annex 4 to the Merits Report, folio 5806); Record of arrival of Luis Antonio Carrera Almoina at the Aventural Hotel on March 27, 2001 (evidence file, volume XXV, annexes to the answering brief of the State, folio 16852); Official Ledger recording guest arrivals and departures (evidence file, volume XXV, annexes to the answering brief of the State, folios 16857 to 16858), and Statement by Linda Loaiza López Soto in the record of the public oral hearing of September 6, 2004 (evidence file, volume XXXIII, annexes to the answering brief, folio 22803).</w:t>
      </w:r>
    </w:p>
  </w:footnote>
  <w:footnote w:id="41">
    <w:p w14:paraId="66EE74A4" w14:textId="05FBCAD2"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Statement by Linda Loaiza López Soto recorded in the judgment handed down by the Twentieth Trial Court of the Caracas Metropolitan Area on November 5, 2004 (evidence file, volume IX, annex 4 to the Merits Report, folio 5816), and Statement by Linda Loaiza López Soto in the record of the public oral hearing of September 6, 2004 (evidence file, volume XXXIII, annexes to the answering brief, folios 22805 to 22807).</w:t>
      </w:r>
    </w:p>
  </w:footnote>
  <w:footnote w:id="42">
    <w:p w14:paraId="64FD9DB4" w14:textId="7808F925"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Judgment handed down by the Twentieth Trial Court of the Caracas Metropolitan Area on November 5, 2004 (evidence file, volume IX, annex 4 to the Merits Report, folio 5726).</w:t>
      </w:r>
    </w:p>
  </w:footnote>
  <w:footnote w:id="43">
    <w:p w14:paraId="7097F255" w14:textId="06B42EBD"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Statement by Linda Loaiza López Soto recorded in the judgment handed down by the Twentieth Trial Court of the Caracas Metropolitan Area on November 5, 2004 (evidence file, volume IX, annex 4 to the Merits Report, folios 5725, 5726 and 5810).</w:t>
      </w:r>
    </w:p>
  </w:footnote>
  <w:footnote w:id="44">
    <w:p w14:paraId="10388EF5" w14:textId="76A4634A"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Judgment handed down by the Twentieth Trial Court of the Caracas Metropolitan Area on November 5, 2004 (evidence file, volume IX, annex 4 to the Merits Report, folio 5726).</w:t>
      </w:r>
    </w:p>
  </w:footnote>
  <w:footnote w:id="45">
    <w:p w14:paraId="64D10C04" w14:textId="05536D0F"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A resident of Petare stated that, with his wife, “when tourists arrive[d], we ma[de] arepas; she ma[de] arepas for them, […] she called them and [Carrera Almoina] came to get them; once she told me that she had heard someone moaning; […] he came out […] and said that it was his wife, that she was passionate.” Statement made by Serrano Gil Miguel José, recorded in the judgment handed down by the Twentieth Trial Court of the Caracas Metropolitan Area on November 5, 2004 (evidence file, volume IX, annex 4 to the Merits Report, folio 5964). See also, Statement by Linda Loaiza López Soto recorded in the judgment handed down by the Twentieth Trial Court of the Caracas Metropolitan Area on November 5, 2004 (evidence file, volume IX, annex 4 to the Merits Report, folio 5807).</w:t>
      </w:r>
    </w:p>
  </w:footnote>
  <w:footnote w:id="46">
    <w:p w14:paraId="42C6EC70" w14:textId="6197091C"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Statement by Linda Loaiza López Soto recorded in the judgment handed down by the Twentieth Trial Court of the Caracas Metropolitan Area on November 5, 2004 (evidence file, volume IX, annex 4 to the Merits Report, folios 5806 to 5819).</w:t>
      </w:r>
    </w:p>
  </w:footnote>
  <w:footnote w:id="47">
    <w:p w14:paraId="64696F9C" w14:textId="27730BE1"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During the domestic criminal proceedings, Linda Loaiza López Soto stated: “I could never talk to my family by telephone; rather, once he forced me to call my sister and to insult her with obscenities; as he had my address book, he called my sister and told her that I was fine, that I was studying to be a model.” Statement by Linda Loaiza López Soto recorded in the judgment handed down by the Twentieth Trial Court of the Caracas Metropolitan Area on November 5, 2004 (evidence file, volume IX, annex 4 to the Merits Report, folio 5807). See also, Statement by Linda Loaiza López Soto in the record of the public oral hearing of September 6, 2004 (evidence file, volume XXXIII, annexes to the answering brief, folio 22806). The victim’s father, Nelson López Meza, stated that: “we used to call each other two or three times a day; […] then I stopped hearing from Linda from the moment she was kidnapped, from 27-03-01; I talked to Ana Secilia even more. When she told me that Linda Loaiza had disappeared I just told her that she should file a report with the Judicial Technical Police; she told me that [Linda] had left and not returned; this is what concerned us, because after Linda Loaiza was kidnapped Ana had no further communication with her.” Statement by Nelson López Meza recorded in the judgment handed down by the Twentieth Trial Court of the Caracas Metropolitan Area on November 5, 2004 (evidence file, volume IX, annex 4 to the Merits Report, folio 5941).</w:t>
      </w:r>
    </w:p>
  </w:footnote>
  <w:footnote w:id="48">
    <w:p w14:paraId="3BEB953B" w14:textId="5C786E56"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Statement by Linda Loaiza López Soto recorded in the judgment handed down by the Twentieth Trial Court of the Caracas Metropolitan Area on November 5, 2004 (evidence file, volume IX, annex 4 to the Merits Report, folios 5808 to 5814).</w:t>
      </w:r>
    </w:p>
  </w:footnote>
  <w:footnote w:id="49">
    <w:p w14:paraId="57C8BEF1" w14:textId="735ACF82"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Statement by Linda Loaiza López Soto recorded in the judgment handed down by the Twentieth Trial Court of the Caracas Metropolitan Area on November 5, 2004 (evidence file, volume IX, annex 4 to the Merits Report, folio 5809).</w:t>
      </w:r>
    </w:p>
  </w:footnote>
  <w:footnote w:id="50">
    <w:p w14:paraId="4B51FA78" w14:textId="38E73C81"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Statement by Linda Loaiza López Soto recorded in the judgment handed down by the Twentieth Trial Court of the Caracas Metropolitan Area on November 5, 2004 (evidence file, volume IX, annex 4 to the Merits Report, folio 5810). See also, Statement made by Linda Loaiza López Soto during the public hearing before the Inter-American Court on February 6, 2018.</w:t>
      </w:r>
    </w:p>
  </w:footnote>
  <w:footnote w:id="51">
    <w:p w14:paraId="23029C0C" w14:textId="010046E3"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Statement by Ana Secilia López Soto recorded in the judgment handed down by the Twentieth Trial Court of the Caracas Metropolitan Area on November 5, 2004 (evidence file, volume IX, annex 4 to the Merits Report, folios 5945 to 5952), and Statement by Ana Secilia López Soto in the record of the public oral hearing before the Seventh Trial Court of the Caracas Metropolitan Area on April 8, 2006 (evidence file, volume IX, annex 3 to the Merits Report, folios 5679 to 5683).</w:t>
      </w:r>
    </w:p>
  </w:footnote>
  <w:footnote w:id="52">
    <w:p w14:paraId="362932A8" w14:textId="3FFFDDFD"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Statement by Ana Secilia López Soto recorded in the judgment handed down by the Twentieth Trial Court of the Caracas Metropolitan Area on November 5, 2004 (evidence file, volume IX, annex 4 to the Merits Report, folio 5946).</w:t>
      </w:r>
    </w:p>
  </w:footnote>
  <w:footnote w:id="53">
    <w:p w14:paraId="658916A5" w14:textId="2B5BEC03"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Statement by Nelson López Meza recorded in the judgment handed down by the Twentieth Trial Court of the Caracas Metropolitan Area on November 5, 2004 (evidence file, volume IX, annex 4 to the Merits Report, folio 5941), and Statement made by Nelson López Meza (evidence file, volume XLIV, affidavits, folio 31020).</w:t>
      </w:r>
    </w:p>
  </w:footnote>
  <w:footnote w:id="54">
    <w:p w14:paraId="573699F2" w14:textId="559F9B4C" w:rsidR="009D52FD" w:rsidRPr="009D52FD" w:rsidRDefault="009D52FD" w:rsidP="008778DD">
      <w:pPr>
        <w:pStyle w:val="FootnoteText"/>
        <w:tabs>
          <w:tab w:val="left" w:pos="567"/>
        </w:tabs>
        <w:spacing w:after="60"/>
        <w:rPr>
          <w:sz w:val="16"/>
          <w:szCs w:val="16"/>
          <w:u w:val="single"/>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rFonts w:eastAsiaTheme="minorHAnsi" w:cstheme="minorBidi"/>
          <w:sz w:val="16"/>
          <w:szCs w:val="16"/>
          <w:lang w:val="en-US" w:eastAsia="en-US"/>
        </w:rPr>
        <w:t xml:space="preserve">Nelson López Meza stated that, over the following months, he received “threatening calls, telling [them] to keep quiet […] female and male voices; that they knew where [they] were, that they could kill [them].” </w:t>
      </w:r>
      <w:r w:rsidRPr="009D52FD">
        <w:rPr>
          <w:sz w:val="16"/>
          <w:szCs w:val="16"/>
          <w:lang w:val="en-US"/>
        </w:rPr>
        <w:t>Statement by Nelson López Meza recorded in the judgment handed down by the Twentieth Trial Court of the Caracas Metropolitan Area on November 5, 2004 (evidence file, volume IX, annex 4 to the Merits Report, folio 5943).</w:t>
      </w:r>
    </w:p>
  </w:footnote>
  <w:footnote w:id="55">
    <w:p w14:paraId="64BCC93B" w14:textId="28355CB0" w:rsidR="009D52FD" w:rsidRPr="009D52FD" w:rsidRDefault="009D52FD" w:rsidP="008778DD">
      <w:pPr>
        <w:pStyle w:val="FootnoteText"/>
        <w:tabs>
          <w:tab w:val="left" w:pos="567"/>
        </w:tabs>
        <w:spacing w:after="60"/>
        <w:rPr>
          <w:rFonts w:eastAsiaTheme="minorHAnsi" w:cstheme="minorBidi"/>
          <w:sz w:val="16"/>
          <w:szCs w:val="16"/>
          <w:lang w:val="en-US" w:eastAsia="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rFonts w:eastAsiaTheme="minorHAnsi" w:cstheme="minorBidi"/>
          <w:sz w:val="16"/>
          <w:szCs w:val="16"/>
          <w:lang w:val="en-US" w:eastAsia="en-US"/>
        </w:rPr>
        <w:t xml:space="preserve">On one occasion, Luis Antonio Carrera Almoina “told [her] that Linda had gone to France to study to be a model and, on another, he told [her] that he would kill [her].” Ana Secilia López Soto stated that, on another occasion, “about a month or a month and a half [after the disappearance],” “when [she returned home she found] a piece of paper telling [her] where Linda was, [she plucked up courage] to call the local telephone number and a man answered and [she] told him that she wanted to have news of Carrera Almoina and he told [her] that Carrera Almoina was his son and […] that his name was Gustavo Carrera Damas and [she told him] that [her] sister had disappeared and had been kidnapped and he told [her] not to make a nuisance of [herself], not to call that number again and that he had no information; on another occasion, [she] called again and he insulted [her] and told [her] not to call him because he would tell his son to look for [her] and kill [her] and that [she] should not call that number again.” </w:t>
      </w:r>
      <w:r w:rsidRPr="009D52FD">
        <w:rPr>
          <w:sz w:val="16"/>
          <w:szCs w:val="16"/>
          <w:lang w:val="en-US"/>
        </w:rPr>
        <w:t>Statement by Ana Secilia López Soto recorded in the judgment handed down by the Twentieth Trial Court of the Caracas Metropolitan Area on November 5, 2004 (evidence file, volume IX, annex 4 to the Merits Report, folios 5946, 5950 and 5951).</w:t>
      </w:r>
    </w:p>
  </w:footnote>
  <w:footnote w:id="56">
    <w:p w14:paraId="3980C0FD" w14:textId="6E6E8565"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Statement by Ana Secilia López Soto recorded in the judgment handed down by the Twentieth Trial Court of the Caracas Metropolitan Area on November 5, 2004 (evidence file, volume IX, annex 4 to the Merits Report, folio 5946). Ana Secilia López Soto also indicated that “at the police station [they said to her] that they must be a couple.” Statement by Ana Secilia López Soto in the record of the public oral hearing of the Seventh Criminal Trial Court of the Criminal Judicial Circuit of the Caracas Metropolitan Area on April 8, 2016 (evidence file, volume IV, annex 3 to the Merits Report, folio 5680). See also, Statement made by Ana Secilia López Soto during the public hearing before the Inter-American Court on February 6, 2018.</w:t>
      </w:r>
    </w:p>
  </w:footnote>
  <w:footnote w:id="57">
    <w:p w14:paraId="1B787A9C" w14:textId="12B77FCF"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Complaint of May 26, 2001 (merits file, volume I, folio 910), and Statement by Ana Secilia López Soto recorded in the judgment handed down by the Twentieth Trial Court of the Caracas Metropolitan Area on November 5, 2004 (evidence file, volume IX, annex 4 to the Merits Report, folio 5946).</w:t>
      </w:r>
    </w:p>
  </w:footnote>
  <w:footnote w:id="58">
    <w:p w14:paraId="78047E32" w14:textId="6EDF1CCC"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Ana Secilia López Soto stated that: “at the police station they said that they were going to investigate, that I should return in five days; the person before whom I filed the complaint never reappeared; […] they gave me a [copy of my complaint] which should be in the case file because I gave it to them […]. I went to the police station twice, what more could I do.” Judgment handed down by the Seventh Trial Court of the Caracas Metropolitan Area on May 22, 2006 (evidence file, volume X, annex 6 to the Merits Report, folios 6248 and 6249).</w:t>
      </w:r>
    </w:p>
  </w:footnote>
  <w:footnote w:id="59">
    <w:p w14:paraId="5F6A47F6" w14:textId="64056E58"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Statement by Ana Secilia López Soto recorded in the judgment handed down by the Twentieth Trial Court of the Caracas Metropolitan Area on November 5, 2004 (evidence file, volume IX, annex 4 to the Merits Report, folios 5946 and 5947), and Statement made by Ana Secilia López Soto during the public hearing before the Inter-American Court on February 6, 2018.</w:t>
      </w:r>
    </w:p>
  </w:footnote>
  <w:footnote w:id="60">
    <w:p w14:paraId="0B5795B1" w14:textId="2EC65E4D"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Statement by Ana Secilia López Soto recorded in the judgment handed down by the Twentieth Trial Court of the Caracas Metropolitan Area on November 5, 2004 (evidence file, volume IX, annex 4 to the Merits Report, folio 5947).</w:t>
      </w:r>
    </w:p>
  </w:footnote>
  <w:footnote w:id="61">
    <w:p w14:paraId="3A165B4D" w14:textId="654A0348" w:rsidR="009D52FD" w:rsidRPr="009D52FD" w:rsidRDefault="009D52FD" w:rsidP="008778DD">
      <w:pPr>
        <w:pStyle w:val="FootnoteText"/>
        <w:tabs>
          <w:tab w:val="left" w:pos="567"/>
        </w:tabs>
        <w:spacing w:after="60"/>
        <w:rPr>
          <w:i/>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Statement made by Linda Loaiza López Soto during the public hearing before the Inter-American Court on February 6, 2018.</w:t>
      </w:r>
    </w:p>
  </w:footnote>
  <w:footnote w:id="62">
    <w:p w14:paraId="06B97510" w14:textId="3231440E"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Statement by Linda Loaiza López Soto recorded in the judgment handed down by the Twentieth Trial Court of the Caracas Metropolitan Area on November 5, 2004 (evidence file, volume IX, annex 4 to the Merits Report, folios 5810 to 5811). See also, Statement made by Linda Loaiza López Soto during the public hearing before the Inter-American Court on February 6, 2018.</w:t>
      </w:r>
    </w:p>
  </w:footnote>
  <w:footnote w:id="63">
    <w:p w14:paraId="13CCA35C" w14:textId="0E762431"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Police record No. 2001-1540 of July 19, 2001, of the Head of Services, of the Operations Division of the Chacao Municipal Police in the state of Miranda (evidence file, volume IX, annex 4 to the Merits Report, folios 5824 to 5825).</w:t>
      </w:r>
    </w:p>
  </w:footnote>
  <w:footnote w:id="64">
    <w:p w14:paraId="2CA3AAE8" w14:textId="101E0C51"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Statement by Giovanni José Chicco Salas recorded in the judgment handed down by the Twentieth Trial Court of the Caracas Metropolitan Area on November 5, 2004 (evidence file, volume IX, annex 4 to the Merits Report, folios 5821 to 5822).</w:t>
      </w:r>
    </w:p>
  </w:footnote>
  <w:footnote w:id="65">
    <w:p w14:paraId="1DE05FBF" w14:textId="593A83F9"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Police record No. 2001-1540 of July 19, 2001, of the Head of Services, of the Operations Division of the Chacao Municipal Police in the state of Miranda (evidence file, volume IX, annex 4 to the Merits Report, folios 5824 to 5825); Statement by José Miguel Calzadilla Itriago recorded in the judgment handed down by the Twentieth Trial Court of the Caracas Metropolitan Area on November 5, 2004 (evidence file, volume IX, annex 4 to the Merits Report, folios 5825 to 5827); Police record of July 19, 2001, signed by Juan Guzmán attached to the Chaco Police Station of the Judicial Technical Police (evidence file, volume IX, annex 4 to the Merits Report, folios 5832 to 5833).</w:t>
      </w:r>
    </w:p>
  </w:footnote>
  <w:footnote w:id="66">
    <w:p w14:paraId="43C5F795" w14:textId="72465F25"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Nutritional evaluation of November 8, 2001, conducted in the Caracas University Hospital (evidence file, volume X, annex 23 to the Merits Report, folios 6342 to 6343).</w:t>
      </w:r>
    </w:p>
  </w:footnote>
  <w:footnote w:id="67">
    <w:p w14:paraId="1CB7D6C3" w14:textId="6E1504E7"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Medical report signed by Dr. Robert A. Lam, of the Caracas University Hospital, Surgery Department, dated September 4, 2001 (evidence file, volume X, annex 10 to the Merits Report, folio 6306).</w:t>
      </w:r>
    </w:p>
  </w:footnote>
  <w:footnote w:id="68">
    <w:p w14:paraId="53B6C331" w14:textId="5F26C8FC"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Forensic medical examination signed by Dr. José Enrique Moros, forensic physician of the National Criminal Investigations Directorate, Judicial Technical Police, Forensic Medicine Division, dated July 30, 2001 (evidence file, volume X, annex 13 to the Merits Report, folios 6312 to 6313).</w:t>
      </w:r>
    </w:p>
  </w:footnote>
  <w:footnote w:id="69">
    <w:p w14:paraId="256B0C2A" w14:textId="7EBE3720"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Record of visual inspection of November 2, 2001, conducted by a forensic physician attached to the Forensic Medicine Division of Caracas, Forensic Medicine Directorate, in the presence of the judge of the Eighteenth Trial Court of the Criminal Judicial Circuit of the Caracas Metropolitan Area, a nurse, and Fiscal No. 33 of the Public Prosecution Service (file of procedure before the Commission, volume II, folios 862 to 863).</w:t>
      </w:r>
    </w:p>
  </w:footnote>
  <w:footnote w:id="70">
    <w:p w14:paraId="16BE672D" w14:textId="14062EAF"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The surgeon of the Caracas University Hospital declared that the victim “had five grams of hemoglobin when she was admitted, which is not normal in an individual; the normal is twelve grams; she was severely anemic.” Statement by Robert Ángel Lam Leung recorded in the judgment handed down by the Twentieth Trial Court of the Caracas Metropolitan Area on November 5, 2004 (evidence file, volume IX, annex 4 to the Merits Report, folio 5855).</w:t>
      </w:r>
    </w:p>
  </w:footnote>
  <w:footnote w:id="71">
    <w:p w14:paraId="2188DA81" w14:textId="22D662AD"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Medical report signed by Dr. Robert A. Lam, of the Caracas University Hospital, Surgery Department, dated September 4, 2001 (evidence file, volume X, annex 10 to the Merits Report, folios 6306 to 6307), and Medical report signed by Dr. Freddy Sánchez Rivero, of the Caracas University Hospital, Surgery Department, dated December 7, 2001 (evidence file, volume X, annex 11 to the Merits Report, folios 6309 to 6310).</w:t>
      </w:r>
    </w:p>
  </w:footnote>
  <w:footnote w:id="72">
    <w:p w14:paraId="1A334056" w14:textId="69D47044"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Communication No. AMC.C-33-660-2001 of July 25, 2001, of Prosecutor No. 33 of the Public Prosecution Service of the Caracas Metropolitan Area addressed to the Legal Department of the Caracas University Hospital, granting permission for Linda Loaiza López Soto’s parents and aunt to visit her (file of procedure before the Commission, volume II, folio 864).</w:t>
      </w:r>
    </w:p>
  </w:footnote>
  <w:footnote w:id="73">
    <w:p w14:paraId="31B0EAD1" w14:textId="77777777" w:rsidR="009D52FD" w:rsidRPr="009D52FD" w:rsidRDefault="009D52FD" w:rsidP="00D42423">
      <w:pPr>
        <w:pStyle w:val="FootnoteText"/>
        <w:tabs>
          <w:tab w:val="left" w:pos="567"/>
        </w:tabs>
        <w:spacing w:after="60"/>
        <w:rPr>
          <w:i/>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Statement made by Paulina Soto Chaustre (evidence file, volume XLIV, affidavits, folio 31028), and Statement made by Nelson López Meza (evidence file, volume XLIV, affidavits, folio 31020).</w:t>
      </w:r>
    </w:p>
  </w:footnote>
  <w:footnote w:id="74">
    <w:p w14:paraId="55B1EDB7" w14:textId="390FE804" w:rsidR="009D52FD" w:rsidRPr="009D52FD" w:rsidRDefault="009D52FD" w:rsidP="00D42423">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Communication No. AMC.C-33-2001 of July 25, 2001, of Prosecutor No. 33 of the Public Prosecution Service of the Caracas Metropolitan Area addressed to Dr. Luis Virgilio Parra of the Legal Department of the University Hospital of the Universidad Central de Venezuela (file of procedure before the Commission, volume II, folio 864).</w:t>
      </w:r>
    </w:p>
  </w:footnote>
  <w:footnote w:id="75">
    <w:p w14:paraId="104F6786" w14:textId="0D84BC38"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Communication No. AMC-33-992-2001 of November 7, 2001, of Assistant Prosecutor No. 33 of the Public Prosecution Service of the Caracas Metropolitan Area addressed to the Director of the Caracas University Hospital (evidence file, volume X, annex 16 to the Merits Report, folio 6319).</w:t>
      </w:r>
    </w:p>
  </w:footnote>
  <w:footnote w:id="76">
    <w:p w14:paraId="51433E3E" w14:textId="113F3207"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Medical report of September 4, 2001, prepared by Dr. Roberto A. Lam of the Caracas University Hospital (evidence file, volume X, annex 10 to the Merits Report, folios 6306 to 6307), and Medical report of December 7, 2001, prepared by Dr. Freddy Sánchez Rivero of the Caracas University Hospital (evidence file, volume X, annex 11 to the Merits Report, folios 6309 to 6310).</w:t>
      </w:r>
    </w:p>
  </w:footnote>
  <w:footnote w:id="77">
    <w:p w14:paraId="1BB7C411" w14:textId="16F24E74"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Medical report (undated) prepared by Dr. Luis Nicomedes Fariña and Dr. María A. Villagrasa of the “Dr. Carlos Arvelo” Military Hospital (evidence file, volume X, annex 17 to the Merits Report, folio 6321).</w:t>
      </w:r>
    </w:p>
  </w:footnote>
  <w:footnote w:id="78">
    <w:p w14:paraId="73E97718" w14:textId="66A15919"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Summary of discharge from hospital of Linda Loaiza López Soto on June 10, 2002, prepared by Colonel (AV) Dr. Jacinto Lara Sanchez and Dr. Víctor Bracho of the “Dr. Carlos Arvelo” Military Hospital (evidence file, volume X, annex 18 to the Merits Report, folios 6323 to 6325).</w:t>
      </w:r>
    </w:p>
  </w:footnote>
  <w:footnote w:id="79">
    <w:p w14:paraId="5E8AD964" w14:textId="68AA7E39"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Medical report of October 18, 2002, prepared by Dr. María A. Villagrasa of the “Dr. Carlos Arvelo” Military Hospital (evidence file, volume X, annex 19 to the Merits Report, folio 6327); Ophthalmological report  of January 30, 2003, prepared by Dr. Janeidy Cabrera of the G. Behrens Belisario Foundation (evidence file, volume X, annex 19 to the Merits Report, folio 6328), and Medical report of April 9, 2012, prepared by Dr. Manuel Vicente Gordon Parra of La Trinidad Teaching Hospital (file, volume X, annex 20 to the Merits Report, folio 6331).</w:t>
      </w:r>
    </w:p>
  </w:footnote>
  <w:footnote w:id="80">
    <w:p w14:paraId="0FC2ACF8" w14:textId="751C83BA"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With regard to facial and mandibular reconstruction surgery: Medical report signed by Dr. Robert A. Lam, of the Caracas University Hospital, Surgery Department, dated September 4, 2001 (evidence file, volume X, annex 10 to the Merits Report, folios 6306 to 6307), and Medical report of December 7, 2001, prepared by Dr. Freddy Sánchez Rivero of the Surgery Department of the Caracas University Hospital (evidence file, volume X, annex 11 to the Merits Report, folios 6309 to 6310); With regard to nasal reconstruction surgery: Medical report of April 9, 2012, prepared by Dr. Manuel Vicente Gordon Parra of the La Trinidad Teaching Hospital (evidence file, volume X, annex 20 to the Merits Report, folio 6331); With regard to auricular reconstruction: Medical report of February 22, 2013, prepared by Dr. Marcos Oziel of the La Floresta Medical Institute (evidence file, volume X, annex 21 to the Merits Report, folio 6333); and With regard to surgery of the lower labial area: Medical report of July 26, 2013, prepared by Dr. Macos Oziel of the La Floresta Medical Institute (evidence file, volume X, annex 21 to the Merits Report, folio 6334).</w:t>
      </w:r>
    </w:p>
  </w:footnote>
  <w:footnote w:id="81">
    <w:p w14:paraId="3A725F31" w14:textId="015B80BB"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Testimony of Dr. Osiel David Jimenez, Forensic Psychiatrist of the Scientific, Criminal and Criminalistic Investigations Unit, recorded in the judgment handed down by the Twentieth Trial Court of the Caracas Metropolitan Area on November 5, 2004 (evidence file, volume IX, annex 4 to the Merits Report, folio 5919).</w:t>
      </w:r>
    </w:p>
  </w:footnote>
  <w:footnote w:id="82">
    <w:p w14:paraId="50BA9E03" w14:textId="2F2BD009"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Communication of July 19, 2001, ordering the opening of the investigation by Prosecutor No. 33 of the Public Prosecution Service (evidence file, volume XXV, annex to the State’s answering brief, folio 16772).</w:t>
      </w:r>
    </w:p>
  </w:footnote>
  <w:footnote w:id="83">
    <w:p w14:paraId="224CB04F" w14:textId="6C417650"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Police record of the Chacao Police Station of August 19, 2001 (evidence file, volume IX, annex 4 to the Merits Report, folio 5837), and Visual inspection No. 048 of July 19, 2001 (evidence file, volume XLVI, helpful evidence, folios 31419 and 31420).</w:t>
      </w:r>
    </w:p>
  </w:footnote>
  <w:footnote w:id="84">
    <w:p w14:paraId="73148AA8" w14:textId="3D68E113"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Judgment handed down by the Twentieth Trial Court of the Caracas Metropolitan Area on November 5, 2004 (evidence file, volume IX, annex 4 to the Merits Report, folio 5846).</w:t>
      </w:r>
    </w:p>
  </w:footnote>
  <w:footnote w:id="85">
    <w:p w14:paraId="76184591" w14:textId="475CDE36"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Police record of the Chacao Police Station of July 19, 2001 (evidence file, volume XLVI, helpful evidence, folios 31409 and 31410), and Record of interview with Linda Loaiza López Soto by the Chacao Police Station on July 26, 2001 (evidence file, volume XLVI, helpful evidence, folios 31411 to 31414).</w:t>
      </w:r>
    </w:p>
  </w:footnote>
  <w:footnote w:id="86">
    <w:p w14:paraId="1C31B34E" w14:textId="49EF78F2"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Record of the public oral hearing of the Twentieth Trial Court of the Criminal Judicial Circuit of the Caracas Metropolitan Area (evidence file, volume XXXIII, annex to the State’s answering brief, folio 22811); Judgment handed down by the Twentieth Trial Court of the Caracas Metropolitan Area on November 5, 2004 (evidence file, volume IX, annex 4 to the Merits Report, folios 5814 and 5815); Brief addressed by Juan Bernardo Delgado, as legal representative of Linda Loaiza López, to the member of the National Assembly, César López, President of the Special Committee that investigated the case of Linda L. López, dated November 26, 2001 (evidence file, volume X, annex 29 to the Merits Report, folios 6585 to 6587), and Brief addressed by Juan Bernardo Delgado to the Prosecutor General on November 14, 2001 (evidence file, volume X, annex 30 to the Merits Report, folios 6589 to 6591).</w:t>
      </w:r>
    </w:p>
  </w:footnote>
  <w:footnote w:id="87">
    <w:p w14:paraId="39B872E8" w14:textId="11C6CF92"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Sworn statement of Paulina Soto Chaustre and Nelson López Soto before the Consulate General of Colombia in Venezuela on April 25, 2002 (evidence file, volume X, annex 7 to the Merits Report, folios 6286 and 6287). See also, Statement by Linda Loaiza López Soto during the public hearing before the Inter-American Court on February 6, 2018.</w:t>
      </w:r>
    </w:p>
  </w:footnote>
  <w:footnote w:id="88">
    <w:p w14:paraId="741CF144" w14:textId="6DF2AC3F"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Communication No. DID-16-1224-65772 of the Director of Inspection and Discipline, Office of the Prosecutor General, of September 28, 2004 (evidence file, volume X, annex 31 to the Merits Report, folio 6593).</w:t>
      </w:r>
    </w:p>
  </w:footnote>
  <w:footnote w:id="89">
    <w:p w14:paraId="38ACC4DC" w14:textId="03B9B429" w:rsidR="009D52FD" w:rsidRPr="009D52FD" w:rsidRDefault="009D52FD" w:rsidP="00CE476F">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Request submitted by Prosecutor No. 33 of the Public Prosecution Service of the Caracas Metropolitan Area to the first instance oversight court of the same judicial district, on August 22, 2001 (evidence file, volume XXV, annex to the State’s answering brief, folios 16764 to 16767).</w:t>
      </w:r>
    </w:p>
  </w:footnote>
  <w:footnote w:id="90">
    <w:p w14:paraId="37DBA7A3" w14:textId="7D228425"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Decision of the Eighteenth First Instance Oversight Court of the Caracas Metropolitan Area of September 10, 2001 (evidence file, volume X, annex 37 to the Merits Report, folios 6618 to 6626).</w:t>
      </w:r>
    </w:p>
  </w:footnote>
  <w:footnote w:id="91">
    <w:p w14:paraId="00BAEE3D" w14:textId="1898BA8A"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Decision of the Eighteenth First Instance Oversight Court of the Caracas Metropolitan Area of September 10, 2001 (evidence file, volume X, annex 37 to the Merits Report, folio 6625).</w:t>
      </w:r>
    </w:p>
  </w:footnote>
  <w:footnote w:id="92">
    <w:p w14:paraId="1E523B5B" w14:textId="6595F360"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Decision of the Appellate Court of the Caracas Metropolitan Area, Chamber No. 9, of October 11, 2001 (evidence file, volume XXV, annex to the State’s answering brief, folios 17436 to 17442).</w:t>
      </w:r>
    </w:p>
  </w:footnote>
  <w:footnote w:id="93">
    <w:p w14:paraId="53BBD771" w14:textId="4795A16C"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Hearing agenda of the Ombudsman for October 3, 2001, Case of No. E11684-01 (evidence file, volume X, annex 39 to the Merits Report, folios 6636 and 6637).</w:t>
      </w:r>
    </w:p>
  </w:footnote>
  <w:footnote w:id="94">
    <w:p w14:paraId="6844F708" w14:textId="3E6D29AD"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Communication No. 1977 of the Eighteenth First Instance Oversight Court of the Caracas Metropolitan Area addressed to Director of the Capital El Rodeo I Detention Center, on November 2, 2001 (evidence file, volume X, annex 41 to the Merits Report, folio 6643).</w:t>
      </w:r>
    </w:p>
  </w:footnote>
  <w:footnote w:id="95">
    <w:p w14:paraId="38C5E27F" w14:textId="47AD9CB9"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Communication No. 1992 of the Eighteenth First Instance Oversight Court of the Caracas Metropolitan Area addressed to Director of the Autonomous Institute of the Police of Chacao, of November 6, 2001 (evidence file, volume X, annex 42 to the Merits Report, folio 6645).</w:t>
      </w:r>
    </w:p>
  </w:footnote>
  <w:footnote w:id="96">
    <w:p w14:paraId="1A8EEDE4" w14:textId="68A2F5E1"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Final report of the team of parliamentarians in compliance with the mandate of the National Assembly Plenary Agreement related to the judicial decision taken in the case of the citizen Linda Loaiza López Soto of February 25, 2005 (evidence file, volume X, annex 44 to the Merits Report, folio 6688).</w:t>
      </w:r>
    </w:p>
  </w:footnote>
  <w:footnote w:id="97">
    <w:p w14:paraId="78490FCD" w14:textId="2CB61013"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Record of the opening of the investigation of the Fortieth Prosecutor of the Public Prosecution Service of the Caracas Metropolitan Area of November 6, 2001 (evidence file, volume X, annex 46 to the Merits Report, folio 6710).</w:t>
      </w:r>
    </w:p>
  </w:footnote>
  <w:footnote w:id="98">
    <w:p w14:paraId="25F032B8" w14:textId="0B031126"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Decision issued by the Forty-fourth Criminal Trial Oversight Court of the Caracas Metropolitan Area on November 8, 2001 (evidence file, volume X, annex 48 to the Merits Report, folio 6743).</w:t>
      </w:r>
    </w:p>
  </w:footnote>
  <w:footnote w:id="99">
    <w:p w14:paraId="0AD69171" w14:textId="4540943D"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Judgment handed down by the Twentieth Trial Court of the Caracas Metropolitan Area on November 5, 2004 (evidence file, volume IX, annex 4 to the Merits Report, folios 6095 and 6096).</w:t>
      </w:r>
    </w:p>
  </w:footnote>
  <w:footnote w:id="100">
    <w:p w14:paraId="6496524C" w14:textId="03E2C269"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Resolution No. 073 of the Committee on the Operation and Restructuring of the Judicial System of November 7, 2001 (evidence file, volume X, annex 43 to the Merits Report, folio 6647).</w:t>
      </w:r>
    </w:p>
  </w:footnote>
  <w:footnote w:id="101">
    <w:p w14:paraId="75E01AED" w14:textId="31F60F04"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Charges filed by Prosecutor No. 33 of the Public Prosecution Service of the Caracas Metropolitan Area before the Eighteenth First Instance Oversight Court of the Caracas Metropolitan Area on November 5, 2001 (evidence file, volume X, annex 49 to the Merits Report, folios 6746 a 6800).</w:t>
      </w:r>
    </w:p>
  </w:footnote>
  <w:footnote w:id="102">
    <w:p w14:paraId="3175F6D3" w14:textId="45EA7DE9"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First private prosecution brief filed on November 19, 2001, before the Eighteenth First Instance Oversight Court of the Caracas Metropolitan Area (evidence file, volume X, annex 51 to the Merits Report, folios 6804 to 6879).</w:t>
      </w:r>
    </w:p>
  </w:footnote>
  <w:footnote w:id="103">
    <w:p w14:paraId="158AD8E4" w14:textId="08E9C167"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Second private prosecution brief filed on December 11, 2001, before the Eighteenth First Instance Oversight Court of the Caracas Metropolitan Area (evidence file, volume XI, annex 52 to the Merits Report, folios 6881 to 6985).</w:t>
      </w:r>
    </w:p>
  </w:footnote>
  <w:footnote w:id="104">
    <w:p w14:paraId="0AAF6D4F" w14:textId="170209FE"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Record of the preliminary hearing of the Eighteenth First Instance Oversight Court of the Criminal Judicial Circuit of the Caracas Metropolitan Area of December 17, 2001 (evidence file, volume XI, annex 53 to the Merits Report, folios 7028 to 7042).</w:t>
      </w:r>
    </w:p>
  </w:footnote>
  <w:footnote w:id="105">
    <w:p w14:paraId="0701384F" w14:textId="5771CB74"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Order to start the criminal trial of the Eighteenth First Instance Oversight Court of the Criminal Judicial Circuit of the Caracas Metropolitan Area of January 2, 2002 (evidence file, volume XI, annex 54 to the Merits Report, folio 7044).</w:t>
      </w:r>
    </w:p>
  </w:footnote>
  <w:footnote w:id="106">
    <w:p w14:paraId="54D9E28C" w14:textId="0F671749"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Decision cited by the State in its brief with observations of October 22, 2014 (file of procedure before the Commission, volume II, folio 890).</w:t>
      </w:r>
    </w:p>
  </w:footnote>
  <w:footnote w:id="107">
    <w:p w14:paraId="45D5095F" w14:textId="5168D400"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Decisions cited by the State in its brief with observations of October 22, 2014 (file of procedure before the Commission, volume II, folios 890 to 892); Decision of the Constitutional Chamber of the Supreme Court of Justice, File No. 04-0469, of August 19, 2004 (evidence file, volume XI, annex 55 to the Merits Report, folios 7080 to 7086), and Decision issued by Contingency Chamber No. 3 of the Appellate Court of the Caracas Metropolitan Area, acting as constitutional judge, on January 26, 2004 (evidence file, volume XI, annex 56 to the Merits Report, folio 7089).</w:t>
      </w:r>
    </w:p>
  </w:footnote>
  <w:footnote w:id="108">
    <w:p w14:paraId="18D56CA9" w14:textId="147929CC"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Decision issued by Contingency Chamber No. 3 of the Appellate Court of the Caracas Metropolitan Area, acting as constitutional judge, on January 26, 2004 (evidence file, volume XI, annex 56 to the Merits Report, folio 7103).</w:t>
      </w:r>
    </w:p>
  </w:footnote>
  <w:footnote w:id="109">
    <w:p w14:paraId="4EB65F7E" w14:textId="224EEEC6"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Decision issued by Contingency Chamber No. 3 of the Appellate Court of the Caracas Metropolitan Area, acting as constitutional judge, on January 26, 2004</w:t>
      </w:r>
      <w:r w:rsidRPr="009D52FD" w:rsidDel="002A1125">
        <w:rPr>
          <w:sz w:val="16"/>
          <w:szCs w:val="16"/>
          <w:lang w:val="en-US"/>
        </w:rPr>
        <w:t xml:space="preserve"> </w:t>
      </w:r>
      <w:r w:rsidRPr="009D52FD">
        <w:rPr>
          <w:sz w:val="16"/>
          <w:szCs w:val="16"/>
          <w:lang w:val="en-US"/>
        </w:rPr>
        <w:t>(evidence file, volume XI, annex 56 to the Merits Report, folios 7103 to 7104).</w:t>
      </w:r>
    </w:p>
  </w:footnote>
  <w:footnote w:id="110">
    <w:p w14:paraId="457A4548" w14:textId="513CB11F"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Decisions cited by the State in its brief with observations of October 22, 2014 (file of procedure before the Commission, volume II, folios 893 to 905).</w:t>
      </w:r>
    </w:p>
  </w:footnote>
  <w:footnote w:id="111">
    <w:p w14:paraId="7EC0B332" w14:textId="40935CDB"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Brief filed by Juan Bernardo Delgado, in representation of Linda Loaiza López Soto, before the Supreme Court of Justice, Constitutional Chamber, on August 3, 2004 (evidence file, volume XI, annex 64 to the Merits Report, folio 7189).</w:t>
      </w:r>
    </w:p>
  </w:footnote>
  <w:footnote w:id="112">
    <w:p w14:paraId="41A76F6A" w14:textId="1C569EF0"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Decision issued by Contingency Chamber No. 3 of the Appellate Court of the Caracas Metropolitan Area, acting as constitutional judge, on January 26, 2004 (evidence file, volume XI, annex 56 to the Merits Report, folios 7088 to 7116).</w:t>
      </w:r>
    </w:p>
  </w:footnote>
  <w:footnote w:id="113">
    <w:p w14:paraId="4F69FEDD" w14:textId="26E4ED83"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Complaint filed by Linda Loaiza López Soto on September 9, 2003, against the judge of the Thirtieth Trial Court with the General Inspectorate of Courts (evidence file, volume XI, annex 61 to the Merits Report, folios 7171 and 7172)</w:t>
      </w:r>
    </w:p>
  </w:footnote>
  <w:footnote w:id="114">
    <w:p w14:paraId="30633775" w14:textId="237D6698"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Complaint filed by Linda Loaiza López Soto on November 12, 2003, against the judge of the Thirtieth Trial Court with the Ombudsman (evidence file, volume XI, annex 63 to the Merits Report, folios 7181 to 7184).</w:t>
      </w:r>
    </w:p>
  </w:footnote>
  <w:footnote w:id="115">
    <w:p w14:paraId="69534ECE" w14:textId="7DFE0784"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 xml:space="preserve">Complaint file by the President of the </w:t>
      </w:r>
      <w:r w:rsidRPr="009D52FD">
        <w:rPr>
          <w:rFonts w:eastAsiaTheme="minorHAnsi" w:cstheme="minorBidi"/>
          <w:sz w:val="16"/>
          <w:szCs w:val="16"/>
          <w:lang w:val="en-US" w:eastAsia="en-US"/>
        </w:rPr>
        <w:t xml:space="preserve">Permanent Committee on Domestic Policy, Justice, Human Rights and Constitutional Guarantees of the National Assembly </w:t>
      </w:r>
      <w:r w:rsidRPr="009D52FD">
        <w:rPr>
          <w:sz w:val="16"/>
          <w:szCs w:val="16"/>
          <w:lang w:val="en-US"/>
        </w:rPr>
        <w:t>with the General Inspectorate of Courts on September 22, 2003 (evidence file, volume XI, annex 62 to the Merits Report, folios 7177 to 7179).</w:t>
      </w:r>
    </w:p>
  </w:footnote>
  <w:footnote w:id="116">
    <w:p w14:paraId="3C0323BB" w14:textId="2CADEF91"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Recusal of the Third Judge of the Criminal Trial Court of the Criminal Judicial Circuit of the Caracas Metropolitan Area of September 18, 2003 (evidence file, volume XI, annex 65 to the Merits Report, folios 7192 to 7196); Recusal of the Tenth Criminal Trial Court of the Judicial Circuit of the Caracas Metropolitan Area of October 27, 2003 (evidence file, volume XI, annex 66 to the Merits Report, folios 7198 to 7200); Recusal of November 4, 2003, Fifteenth Criminal Trial Court of the Caracas Metropolitan Area (evidence file, volume XI, annex 67 to the Merits Report, folios 7202 to 7203); Recusal of May 10, 2004, Twentieth Criminal Trial Court of the Caracas Metropolitan Area (evidence file, volume XI, annex 68 to the Merits Report, folios 7205 to 7207); Recusal of the Twelfth Criminal Trial Court of the Caracas Metropolitan Area of July 28, 2004 (evidence file, volume XI, annex 69 to the Merits Report, folios 7209 to 7211); Recusal of the Twentieth Criminal Trial Court of the Caracas Metropolitan Area of August 17, 2004 (evidence file, volume XI, annex 70 to the Merits Report, folios 7213 to 7218); Recusal of August 19, 2004, First Criminal Trial Court of the Caracas Metropolitan Area (evidence file, volume XI, annex 71 to the Merits Report, folios 7220 to 7224), and Communication No. FMP-74°-AMC-1802-03 of the Fortieth and Seventy-fourth Prosecutor of the Caracas Metropolitan Area, addressed to the Twentieth Criminal Trial Judge of the Caracas Metropolitan Area of December 4, 2003 (evidence file, volume XI, annex 72 to the Merits Report, folio 7226).</w:t>
      </w:r>
    </w:p>
  </w:footnote>
  <w:footnote w:id="117">
    <w:p w14:paraId="5F7E902D" w14:textId="1FD1D298"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Final report of the team of parliamentarians in compliance with the mandate of the National Assembly Plenary Agreement related to the judicial decision taken in the case of the citizen Linda Loaiza López Soto, dated February 25, 2005 (evidence file, volume X, annex 44 to the Merits Report, folio 6689 to 6694).</w:t>
      </w:r>
    </w:p>
  </w:footnote>
  <w:footnote w:id="118">
    <w:p w14:paraId="156E06FC" w14:textId="3DD36B8C"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Complaint filed by Juan Bernardo Delgado with the Ombudsman on September 3, 2004 (evidence file, volume XI, annex 75 to the Merits Report, folios 7233 to 7241).</w:t>
      </w:r>
    </w:p>
  </w:footnote>
  <w:footnote w:id="119">
    <w:p w14:paraId="390EB5F5" w14:textId="62076033"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Complaint filed by Juan Bernardo Delgado with the General Inspectorate of Courts on September 15, 2004, and its expansion on May 31, 2006 (evidence file, volume XI, annex 76 to the Merits Report, folios 7243 to 7263).</w:t>
      </w:r>
    </w:p>
  </w:footnote>
  <w:footnote w:id="120">
    <w:p w14:paraId="04674BA1" w14:textId="0BAF66D7"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News article in “eluniversal.com” of August 26, 2004, entitled “Linda Loaiza declares herself on hunger strike” (evidence file, volume XI, annex 79 to the Merits Report, folio 7300).</w:t>
      </w:r>
    </w:p>
  </w:footnote>
  <w:footnote w:id="121">
    <w:p w14:paraId="09CD07E1" w14:textId="63278505"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Inter-American Commission on Human Rights. Merits hearing No. 17. Case of Linda Loaiza López Soto and family (Venezuela), 154th session, March 2015. Statement by Linda Loaiza López Soto. Available at: </w:t>
      </w:r>
      <w:hyperlink r:id="rId4" w:history="1">
        <w:r w:rsidRPr="009D52FD">
          <w:rPr>
            <w:rStyle w:val="Hyperlink"/>
            <w:sz w:val="16"/>
            <w:szCs w:val="16"/>
            <w:lang w:val="en-US"/>
          </w:rPr>
          <w:t>http://www.oas.org/es/cidh/multimedia/sesiones/154/default.asp</w:t>
        </w:r>
      </w:hyperlink>
      <w:r w:rsidRPr="009D52FD">
        <w:rPr>
          <w:b/>
          <w:sz w:val="16"/>
          <w:szCs w:val="16"/>
          <w:lang w:val="en-US"/>
        </w:rPr>
        <w:t xml:space="preserve"> </w:t>
      </w:r>
    </w:p>
  </w:footnote>
  <w:footnote w:id="122">
    <w:p w14:paraId="19B3F28C" w14:textId="1A33296E"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Record of the public oral hearing of the Twentieth Trial Court of the Criminal Judicial Circuit of the Caracas Metropolitan Area (evidence file, volume XXXIII, annex to the State’s answering brief, folio 22758).</w:t>
      </w:r>
    </w:p>
  </w:footnote>
  <w:footnote w:id="123">
    <w:p w14:paraId="276C93FE" w14:textId="10712DF1" w:rsidR="009D52FD" w:rsidRPr="009D52FD" w:rsidRDefault="009D52FD" w:rsidP="008778DD">
      <w:pPr>
        <w:pStyle w:val="FootnoteText"/>
        <w:tabs>
          <w:tab w:val="left" w:pos="567"/>
        </w:tabs>
        <w:spacing w:after="60"/>
        <w:rPr>
          <w:rFonts w:eastAsiaTheme="minorHAnsi" w:cstheme="minorBidi"/>
          <w:sz w:val="16"/>
          <w:szCs w:val="16"/>
          <w:lang w:val="en-US" w:eastAsia="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rFonts w:eastAsiaTheme="minorHAnsi" w:cstheme="minorBidi"/>
          <w:sz w:val="16"/>
          <w:szCs w:val="16"/>
          <w:lang w:val="en-US" w:eastAsia="en-US"/>
        </w:rPr>
        <w:t xml:space="preserve">Prior to the opening of the hearing, Carrera Almoina’s defense counsel asked that the oral trial be held “behind closed doors” pursuant to the Organic Code of Criminal Procedure in force at that time for certain actionable offenses. Linda Loaiza López Soto had asked that the trial be held publicly. The judge determined that the trial would be held “partially behind closed doors,” specifically when the crimes “against morality” were being examined. </w:t>
      </w:r>
      <w:r w:rsidRPr="009D52FD">
        <w:rPr>
          <w:sz w:val="16"/>
          <w:szCs w:val="16"/>
          <w:lang w:val="en-US"/>
        </w:rPr>
        <w:t>Record of the public oral hearing of the Twentieth Trial Court of the Criminal Judicial Circuit of the Caracas Metropolitan Area (evidence file, volume XXXIII, annex to the State’s answering brief, folios 22759 to 22760).</w:t>
      </w:r>
    </w:p>
  </w:footnote>
  <w:footnote w:id="124">
    <w:p w14:paraId="0B76346B" w14:textId="44C2A1C4"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Record of the public oral hearing of the Twentieth Trial Court of the Criminal Judicial Circuit of the Caracas Metropolitan Area (evidence file, volume XXXIII, annex to the State’s answering brief, folios 22915 to 22925).</w:t>
      </w:r>
    </w:p>
  </w:footnote>
  <w:footnote w:id="125">
    <w:p w14:paraId="50C5A8BD" w14:textId="0C20C34F"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Judgment handed down by the Twentieth Trial Court of the Caracas Metropolitan Area on November 5, 2004 (evidence file, volume IX, annex 4 to the Merits Report, folios 5695 to 6098).</w:t>
      </w:r>
    </w:p>
  </w:footnote>
  <w:footnote w:id="126">
    <w:p w14:paraId="49E73985" w14:textId="48A2DE9C"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Judgment handed down by the Twentieth Trial Court of the Caracas Metropolitan Area on November 5, 2004 (evidence file, volume IX, annex 4 to the Merits Report, folios 5850 to 5851).</w:t>
      </w:r>
    </w:p>
  </w:footnote>
  <w:footnote w:id="127">
    <w:p w14:paraId="6929EB83" w14:textId="77777777" w:rsidR="009D52FD" w:rsidRPr="009D52FD" w:rsidRDefault="009D52FD" w:rsidP="00E43469">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Judgment handed down by the Twentieth Trial Court of the Caracas Metropolitan Area on November 5, 2004 (evidence file, volume IX, annex 4 to the Merits Report, folios 6004 to 6005).</w:t>
      </w:r>
    </w:p>
  </w:footnote>
  <w:footnote w:id="128">
    <w:p w14:paraId="160CFC0D" w14:textId="76726C63"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Judgment handed down by the Twentieth Trial Court of the Caracas Metropolitan Area on November 5, 2004 (evidence file, volume IX, annex 4 to the Merits Report, folios 5841 to 5846).</w:t>
      </w:r>
    </w:p>
  </w:footnote>
  <w:footnote w:id="129">
    <w:p w14:paraId="0B2E3FB0" w14:textId="20E6372C"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Judgment handed down by the Twentieth Trial Court of the Caracas Metropolitan Area on November 5, 2004 (evidence file, volume IX, annex 4 to the Merits Report, folios 5841 to 5842).</w:t>
      </w:r>
    </w:p>
  </w:footnote>
  <w:footnote w:id="130">
    <w:p w14:paraId="084E08ED" w14:textId="5561C544"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Judgment handed down by the Twentieth Trial Court of the Caracas Metropolitan Area on November 5, 2004 (evidence file, volume IX, annex 4 to the Merits Report, folio 6019).</w:t>
      </w:r>
    </w:p>
  </w:footnote>
  <w:footnote w:id="131">
    <w:p w14:paraId="34B9123D" w14:textId="6EA8C829"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Complaint filed by Juan Bernardo Delgado with the Supreme Court of Justice on October 25, 2004 (evidence file, volume XI, annex 81 to the Merits Report, folios 7353 to 7359).</w:t>
      </w:r>
    </w:p>
  </w:footnote>
  <w:footnote w:id="132">
    <w:p w14:paraId="3AFD7318" w14:textId="7DFAF1E6"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Complaint filed by Juan Bernardo Delgado with the Prosecutor General on October 25, 2004 (evidence file, volume XI, annex 82 to the Merits Report, folio 7361).</w:t>
      </w:r>
    </w:p>
  </w:footnote>
  <w:footnote w:id="133">
    <w:p w14:paraId="28353DC1" w14:textId="029F0878"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Complaint filed by Juan Bernardo Delgado with the Ombudsman on October 27, 2004 (evidence file, volume XI, annex 83 to the Merits Report, folios 7363 to 7364).</w:t>
      </w:r>
    </w:p>
  </w:footnote>
  <w:footnote w:id="134">
    <w:p w14:paraId="1D8EED62" w14:textId="69122108"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Decision issued by the General Inspectorate of Courts on June 21, 2005 (evidence file, volume XI, annex 85 to the Merits Report, folios 7369 to 7377).</w:t>
      </w:r>
    </w:p>
  </w:footnote>
  <w:footnote w:id="135">
    <w:p w14:paraId="0F357B08" w14:textId="165D85CC"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Complaint filed by Juan Bernardo Delgado with the General Inspectorate of Courts on November 13, 2006 (evidence file, volume XI, annex 86 to the Merits Report, folios 7379 to 7383).</w:t>
      </w:r>
    </w:p>
  </w:footnote>
  <w:footnote w:id="136">
    <w:p w14:paraId="11BD9EC0" w14:textId="6C7E7A33"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Decision No. 1656-07 of the Committee on the Operation and Restructuring of the Judicial System of November 8, 2007 (evidence file, volume XI, annex 87 to the Merits Report, folios 7385 to 7396).</w:t>
      </w:r>
    </w:p>
  </w:footnote>
  <w:footnote w:id="137">
    <w:p w14:paraId="327FF21C" w14:textId="211E3B6E"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Press release of the National Assembly published on “asamblenacional.gob.ve” entitled “</w:t>
      </w:r>
      <w:r w:rsidRPr="009D52FD">
        <w:rPr>
          <w:i/>
          <w:iCs/>
          <w:sz w:val="16"/>
          <w:szCs w:val="16"/>
          <w:lang w:val="en-US"/>
        </w:rPr>
        <w:t>AN repudia sentencia contra Linda Loaiza</w:t>
      </w:r>
      <w:r w:rsidRPr="009D52FD">
        <w:rPr>
          <w:sz w:val="16"/>
          <w:szCs w:val="16"/>
          <w:lang w:val="en-US"/>
        </w:rPr>
        <w:t>” [NA rejects judgment against Linda Loaiza] (evidence file, volume XI, annex 88 to the Merits Report, folios 7398 to 7399).</w:t>
      </w:r>
    </w:p>
  </w:footnote>
  <w:footnote w:id="138">
    <w:p w14:paraId="7177E526" w14:textId="57EB001D"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Final report of the team of parliamentarians in compliance with the mandate of the National Assembly Plenary Agreement related to the judicial decision taken in the case of the citizen Linda Loaiza López Soto, dated February 25, 2005 (evidence file, volume X, annex 44 to the Merits Report, folio 6650 to 6694).</w:t>
      </w:r>
    </w:p>
  </w:footnote>
  <w:footnote w:id="139">
    <w:p w14:paraId="1F9EDFDD" w14:textId="71AF8DD3"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Appeal filed by the Nineteenth Prosecutor of the Public Prosecution Service against the acquittal decreed on November 5, 2004 (evidence file, volume XI, annex 90 to the Merits Report, folios 7419 to 7484), and Actions cited by the State in its brief with observations of October 22, 2014 (file of procedure before the Commission, volume II, folio 907).</w:t>
      </w:r>
    </w:p>
  </w:footnote>
  <w:footnote w:id="140">
    <w:p w14:paraId="2CFEDAE8" w14:textId="4FEAE7AC" w:rsidR="009D52FD" w:rsidRPr="009D52FD" w:rsidRDefault="009D52FD" w:rsidP="008778DD">
      <w:pPr>
        <w:pStyle w:val="FootnoteText"/>
        <w:tabs>
          <w:tab w:val="left" w:pos="567"/>
        </w:tabs>
        <w:spacing w:after="60"/>
        <w:rPr>
          <w:rFonts w:eastAsiaTheme="minorHAnsi" w:cstheme="minorBidi"/>
          <w:sz w:val="16"/>
          <w:szCs w:val="16"/>
          <w:lang w:val="en-US" w:eastAsia="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 xml:space="preserve">Brief filed by Juan Bernardo Delgado with the </w:t>
      </w:r>
      <w:r w:rsidRPr="009D52FD">
        <w:rPr>
          <w:rFonts w:eastAsiaTheme="minorHAnsi" w:cstheme="minorBidi"/>
          <w:sz w:val="16"/>
          <w:szCs w:val="16"/>
          <w:lang w:val="en-US" w:eastAsia="en-US"/>
        </w:rPr>
        <w:t xml:space="preserve">Permanent Committee on Domestic Policy, Justice, Human Rights and Constitutional Guarantees on February 16, </w:t>
      </w:r>
      <w:r w:rsidRPr="009D52FD">
        <w:rPr>
          <w:sz w:val="16"/>
          <w:szCs w:val="16"/>
          <w:lang w:val="en-US"/>
        </w:rPr>
        <w:t>2005 (evidence file, volume XI, annex 91 to the Merits Report, folios 7486 to 7487); Brief filed by Juan Bernardo Delgado with the Judicial Committee of the Supreme Court of Justice on February 11, 2005 (evidence file, volume XI, annex 92 to the Merits Report, folio 7489), and Brief filed by Juan Bernardo Delgado with the Executive Directorate of the Judiciary of the Supreme Court of Justice on January 20, 2005 (evidence file, volume XI, annex 93 to the Merits Report, folio 7491).</w:t>
      </w:r>
    </w:p>
  </w:footnote>
  <w:footnote w:id="141">
    <w:p w14:paraId="4820C3E8" w14:textId="43DD2A66"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Decision issued by the Seventh Chamber of the Appellate Court of the Criminal Judicial Circuit of the Caracas Metropolitan Area on April 12, 2005 (evidence file, volume XI, annex 94 to the Merits Report, folios 7493 to 7672).</w:t>
      </w:r>
    </w:p>
  </w:footnote>
  <w:footnote w:id="142">
    <w:p w14:paraId="2C087C04" w14:textId="4EEE71A7"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Judgment handed down by the Seventh Trial Court of the Caracas Metropolitan Area on May 22, 2006 (evidence file, volume X, annex 6 to the Merits Report, folios 6102 to 6284).</w:t>
      </w:r>
    </w:p>
  </w:footnote>
  <w:footnote w:id="143">
    <w:p w14:paraId="5C8A6C09" w14:textId="66A11C90"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Record of the public oral hearing of the Seventh Trial Court of the Caracas Metropolitan Area of November 9, 2006 (evidence file, volume IX, annex 3 to the Merits Report, folios 5537 to 5692).</w:t>
      </w:r>
    </w:p>
  </w:footnote>
  <w:footnote w:id="144">
    <w:p w14:paraId="455F7328" w14:textId="670E99AF"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Judgment handed down by the Seventh Trial Court of the Caracas Metropolitan Area on May 22, 2006 (evidence file, volume X, annex 6 to the Merits Report, folios 6282 to 6284).</w:t>
      </w:r>
    </w:p>
  </w:footnote>
  <w:footnote w:id="145">
    <w:p w14:paraId="79D18FDB" w14:textId="1FFB801E"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Judgment handed down by the Seventh Trial Court of the Caracas Metropolitan Area on May 22, 2006 (evidence file, volume X, annex 6 to the Merits Report, folios 6102 to 6284).</w:t>
      </w:r>
    </w:p>
  </w:footnote>
  <w:footnote w:id="146">
    <w:p w14:paraId="7788CBF3" w14:textId="7FB7B645"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Judgment handed down by the Seventh Trial Court of the Caracas Metropolitan Area on May 22, 2006 (evidence file, volume X, annex 6 to the Merits Report, folios 6274 to 6275).</w:t>
      </w:r>
    </w:p>
  </w:footnote>
  <w:footnote w:id="147">
    <w:p w14:paraId="5605322C" w14:textId="1D7C19C7"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Judgment handed down by the Seventh Trial Court of the Caracas Metropolitan Area on May 22, 2006 (evidence file, volume X, annex 6 to the Merits Report, folios 6275 to 6284).</w:t>
      </w:r>
    </w:p>
  </w:footnote>
  <w:footnote w:id="148">
    <w:p w14:paraId="2062966E" w14:textId="2933506A"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Actions cited by the State in its brief with observations of October 22, 2014 (file of procedure before the Commission, volume II, folios 917 to 918).</w:t>
      </w:r>
    </w:p>
  </w:footnote>
  <w:footnote w:id="149">
    <w:p w14:paraId="0131C8A4" w14:textId="57C0A6CE"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Decision issued by the Contingent Criminal Cassation Chamber of the Supreme Court of Justice on May 11, 2007 (evidence file, volume XI, annex 95 to the Merits Report, folios 7675 to 7688).</w:t>
      </w:r>
    </w:p>
  </w:footnote>
  <w:footnote w:id="150">
    <w:p w14:paraId="6DEAE469" w14:textId="18957EDA"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Complaint filed by Juan Bernardo Delgado with the General Inspectorate of Courts on November 10, 2006 (evidence file, volume XI, annex 78 to the Merits Report, folio 7266).</w:t>
      </w:r>
    </w:p>
  </w:footnote>
  <w:footnote w:id="151">
    <w:p w14:paraId="6749901F" w14:textId="289AC9C2"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Decision of the Sixth Court for Execution of Judgments of the Caracas Metropolitan Area of May 8, 2008 (evidence file, volume XI, annex 96 to the Merits Report, folios 7697 to 7699).</w:t>
      </w:r>
    </w:p>
  </w:footnote>
  <w:footnote w:id="152">
    <w:p w14:paraId="0C2AE3EF" w14:textId="4D03B63E"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Decision of the Sixth Court for Execution of Judgments of the Caracas Metropolitan Area of May 8, 2008 (evidence file, volume XI, annex 96 to the Merits Report, folios 7700 to 7702).</w:t>
      </w:r>
    </w:p>
  </w:footnote>
  <w:footnote w:id="153">
    <w:p w14:paraId="6477062A" w14:textId="5244DECE"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Resolution of the Constitutional Chamber of the Supreme Court of the Bolivarian Republic of Venezuela on December 15, 2016 (evidence file, volume XXV, annexes to the answering brief of the State, folios 16734 to 16760).</w:t>
      </w:r>
    </w:p>
  </w:footnote>
  <w:footnote w:id="154">
    <w:p w14:paraId="453457E4" w14:textId="646E490A"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Decision of the Forty-first Trial Court of the Caracas Metropolitan Area of October 30, 2003 (evidence file, volume XIX, annex 8X to the pleadings and motions brief, folio 12797); Communication No. 1610-03 addressed to the General Directorate of the Intelligence and Protection Services (DISIP) on November 25, 2003 (evidence file, volume XIX, annex 8X to the pleadings and motions brief, folio 12799); Brief filed by Linda Loaiza López Soto with the Forty-first Trial Court of the Caracas Metropolitan Area, of December 5, 2003 (evidence file, volume XIX, annex 8X to the pleadings and motions brief, folio 12800); Communication No. 1700-03 addressed to the General Directorate of the Intelligence and Protection Services (DISIP) on December 9, 2003 (evidence file, volume XIX, annex 8X to the pleadings and motions brief, folio 12802), and Communication No. 1502-2003 addressed to the Forty-first Trial Court of the Caracas Metropolitan Area, of December 26, 2003 (evidence file, volume XIX, annex 8X to the pleadings and motions brief, folio 12806).</w:t>
      </w:r>
    </w:p>
  </w:footnote>
  <w:footnote w:id="155">
    <w:p w14:paraId="041CAF7B" w14:textId="69C9EB75"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ab/>
      </w:r>
      <w:r w:rsidRPr="009D52FD">
        <w:rPr>
          <w:i/>
          <w:sz w:val="16"/>
          <w:szCs w:val="16"/>
          <w:lang w:val="en-US"/>
        </w:rPr>
        <w:t>Cf.</w:t>
      </w:r>
      <w:r w:rsidRPr="009D52FD">
        <w:rPr>
          <w:sz w:val="16"/>
          <w:szCs w:val="16"/>
          <w:lang w:val="en-US"/>
        </w:rPr>
        <w:t xml:space="preserve"> Brief filed by Juan Bernardo Delgado Linares with the Forty-first Trial Court of the Caracas Metropolitan Area on May 28, 2004 (evidence file, volume XIX, annex 8X to the pleadings and motions brief, folio 12809); Order of the Forty-first Trial Court of the Caracas Metropolitan Area of May 31, 2004 (evidence file, volume XIX, annex 8X to the pleadings and motions brief, folio 12810); Record of appearance of Linda Loaiza López Soto of July 23, 2004 (evidence file, volume XIX, annex 8X to the pleadings and motions brief, folio 12815), and Brief filed by Juan Bernardo Delgado Linares with the Forty-first Trial Court of the Caracas Metropolitan Area, on August 18, 2004 (evidence file, volume XIX, annex 8X to the pleadings and motions brief, folio 12817).</w:t>
      </w:r>
    </w:p>
  </w:footnote>
  <w:footnote w:id="156">
    <w:p w14:paraId="5B84B981" w14:textId="6748BBFF"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Complaint G-653.612, before the Scientific, Criminal and Criminalistic Investigations Unit (CICPC) of September 14, 2004 (evidence file, volume XI, annex 97 to the Merits Report, folio 7705).</w:t>
      </w:r>
    </w:p>
  </w:footnote>
  <w:footnote w:id="157">
    <w:p w14:paraId="0DCD7012" w14:textId="10ACD492"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Resolution of the Ninth First Instance Oversight Court of the Criminal Judicial Circuit of the Caracas Metropolitan Area, of September 17, 2004 (evidence file, volume XIX, annex 8X to the pleadings and motions brief, folios 12840 to 12842), and Communication No. 1343-04 of the Ninth First Instance Oversight Court of the Criminal Judicial Circuit of the Caracas Metropolitan Area, of September 17, 2004 (evidence file, volume XIX, annex 8X to the pleadings and motions brief, folio 12845).</w:t>
      </w:r>
    </w:p>
  </w:footnote>
  <w:footnote w:id="158">
    <w:p w14:paraId="1D510CBA" w14:textId="59C1C2BF"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Complaint filed by Linda Loaiza López Soto with Regional Command Office No. 5 of the National Guard, Ministry of Defense, on February 4, 2005 (evidence file, volume XI, annex 98 to the Merits Report, folios 7707 to 7708).</w:t>
      </w:r>
    </w:p>
  </w:footnote>
  <w:footnote w:id="159">
    <w:p w14:paraId="4961F929" w14:textId="4DE32F6C"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Actions cited by the State in its brief with observations of October 22, 2014 (file of procedure before the Commission, volume II, folios 967 to 968).</w:t>
      </w:r>
    </w:p>
  </w:footnote>
  <w:footnote w:id="160">
    <w:p w14:paraId="4EA07F92" w14:textId="7D1BB177"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Brief filed by Linda Loaiza López Soto with the Senior Prosecutor of the Public Prosecution Service on June 20, 2007 (evidence file, volume XI, annex 100 to the Merits Report, folios 7713 to 7714).</w:t>
      </w:r>
    </w:p>
  </w:footnote>
  <w:footnote w:id="161">
    <w:p w14:paraId="7E4AF088" w14:textId="66745569"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Case file No. 10416-07 before the Thirty-ninth First Instance Oversight Court of the Criminal Judicial Circuit of the Caracas Metropolitan Area (evidence file, volume XI, annex 101 to the Merits Report, folios 7717 to 7741).</w:t>
      </w:r>
    </w:p>
  </w:footnote>
  <w:footnote w:id="162">
    <w:p w14:paraId="1BFA9236" w14:textId="67A08524"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Recusal of Judge Renee Moros Troccoli of June 26, 2007 (evidence file, volume XI, annex 101 to the Merits Report, folios 7728 to 7729).</w:t>
      </w:r>
    </w:p>
  </w:footnote>
  <w:footnote w:id="163">
    <w:p w14:paraId="76C7DE62" w14:textId="3466E933"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Complaint filed by Juan Bernardo Delgado with the Director for Ordinary Crimes of the Prosecutor General’s Office on October 20, 2006 (evidence file, volume XI, annex 102 to the Merits Report, folios 7743 to 7744), and Communication No. DDC-SD-972-72460 of November 3, 2006, of the Director for Ordinary Crimes addressed to Juan Bernardo Delgado (evidence file, volume XI, annex 103 to the Merits Report, folio 7746).</w:t>
      </w:r>
    </w:p>
  </w:footnote>
  <w:footnote w:id="164">
    <w:p w14:paraId="6CAB3B5A" w14:textId="67C4413E"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E-mails of November 19, 2004, signed by “family and friends of Carrera,” stating that he was “the lawyer of cheap prostitutes,” telling him to “die,” “learn to be correct; you’re so vile and avaricious that it will kill you, you bastard […]”; “[name omitted] beat you with no tricks” (evidence file, volume XI, annex 104 to the Merits Report, folios 7748 to 7773), and Statement made by Juan Bernardo Delgado Linares (evidence file, volume XLIV, affidavits, folios 31100 to 31102).</w:t>
      </w:r>
    </w:p>
  </w:footnote>
  <w:footnote w:id="165">
    <w:p w14:paraId="0010DF50" w14:textId="6EF382C5"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Repot issued by the Senior Prosecutor of the Public Prosecution Service of the Judicial District of the Caracas Metropolitan Area on October 26, 2004 (evidence file, volume XLIV, affidavits, folios 31104 to 31111).</w:t>
      </w:r>
    </w:p>
  </w:footnote>
  <w:footnote w:id="166">
    <w:p w14:paraId="2253BE08" w14:textId="2AAB4425"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Record of interview of Juan Bernardo Delgado Linares with the Fifty-fourth Prosecutor of the Judicial Circuit of the Caracas Metropolitan Area, on October 22, 2004 (evidence file, volume XLIV, affidavits, folios 31116 to 31117).</w:t>
      </w:r>
    </w:p>
  </w:footnote>
  <w:footnote w:id="167">
    <w:p w14:paraId="01ADF4B4" w14:textId="25D9120C"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Resolution issued by the Sixteenth First Instance Oversight Court of the Criminal Circuit of the Caracas Metropolitan Area on October 26, 2004 (evidence file, affidavits, volume XLIV, folios 31119 to 31123).</w:t>
      </w:r>
    </w:p>
  </w:footnote>
  <w:footnote w:id="168">
    <w:p w14:paraId="09915C8F" w14:textId="708924DC"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Communication No. 976-04 addressed to the Chief of Police of Libertador municipality of October 26, 2004 (evidence file, volume XLIV, affidavits, folios 31124 to 31125)</w:t>
      </w:r>
    </w:p>
  </w:footnote>
  <w:footnote w:id="169">
    <w:p w14:paraId="297395CF" w14:textId="75603A2B" w:rsidR="009D52FD" w:rsidRPr="009D52FD" w:rsidRDefault="009D52FD" w:rsidP="006B506A">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Constitution of the Bolivarian Republic of Venezuela, Special Official Gazette No. 5908, of February 19, 2009, Article 21.1 and 21.2 (evidence file, volume XIII, Annex 2A to the pleadings and motions brief, folio 8138).</w:t>
      </w:r>
    </w:p>
  </w:footnote>
  <w:footnote w:id="170">
    <w:p w14:paraId="2952FA45" w14:textId="4EBAF7E1" w:rsidR="009D52FD" w:rsidRPr="009D52FD" w:rsidRDefault="009D52FD" w:rsidP="006B506A">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Constitution of the Bolivarian Republic of Venezuela, Special Official Gazette No. 5908, of February 19, 2009, Article 54 (evidence file, volume XIII, annex 2A to the pleadings and motions brief, folio 8146).</w:t>
      </w:r>
    </w:p>
  </w:footnote>
  <w:footnote w:id="171">
    <w:p w14:paraId="221E3BE4" w14:textId="0855A8F3"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Constitution of the Bolivarian Republic of Venezuela, Special Official Gazette No. 5908, of February 19, 2009, Article 46 and 46.1 (evidence file, volume XIII, annex 2A to the pleadings and motions brief, folio 8144).</w:t>
      </w:r>
    </w:p>
  </w:footnote>
  <w:footnote w:id="172">
    <w:p w14:paraId="7CEC6EAF" w14:textId="6476075B"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Constitution of the Bolivarian Republic of Venezuela, Special Official Gazette No. 5908, of February 19, 2009, Fourth Transitory Provision, section 1 (evidence file, volume XIII, annex 2A to the pleadings and motions brief, folio 8222).</w:t>
      </w:r>
    </w:p>
  </w:footnote>
  <w:footnote w:id="173">
    <w:p w14:paraId="155F1FC8" w14:textId="215739D9"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Criminal Code of the Bolivarian Republic of Venezuela, Official Gazette No. 915, of June 30, 1964, article 375 (evidence file, volume XIII, annex 2B to the pleadings and motions brief, folio 8312).</w:t>
      </w:r>
    </w:p>
  </w:footnote>
  <w:footnote w:id="174">
    <w:p w14:paraId="7D53029C" w14:textId="4AD3FC75"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Criminal Code of the Bolivarian Republic of Venezuela, Official Gazette No. 915, of June 30, 1964, article 393 (evidence file, volume XIII, annex 2B to the pleadings and motions brief, folio 8315).</w:t>
      </w:r>
    </w:p>
  </w:footnote>
  <w:footnote w:id="175">
    <w:p w14:paraId="74981B65" w14:textId="4F3C5BFD"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The possibility of halting criminal proceedings that were underway or the execution of the sentence owing to marriage between the victim and the accused was only established in the case of perpetrators of the crimes of rape, seduction, prostitution and corruption, excluding criminal conducts included in the legal definition of kidnapping, in any of its forms. However, if the marriage did not take place, the perpetrators of the crimes of kidnapping, seduction and rape were sentenced by the civil jurisdiction to payment of a dowry, provided the victim was a widow, a spinster or an honest woman. </w:t>
      </w:r>
      <w:r w:rsidRPr="009D52FD">
        <w:rPr>
          <w:i/>
          <w:sz w:val="16"/>
          <w:szCs w:val="16"/>
          <w:lang w:val="en-US"/>
        </w:rPr>
        <w:t xml:space="preserve">Cf. </w:t>
      </w:r>
      <w:r w:rsidRPr="009D52FD">
        <w:rPr>
          <w:sz w:val="16"/>
          <w:szCs w:val="16"/>
          <w:lang w:val="en-US"/>
        </w:rPr>
        <w:t>Criminal Code of the Bolivarian Republic of Venezuela, Official Gazette No. 915, of June 30, 1964, article 395 (evidence file, volume XIII, annex 2B to the pleadings and motions brief, folio 8315).</w:t>
      </w:r>
    </w:p>
  </w:footnote>
  <w:footnote w:id="176">
    <w:p w14:paraId="0A5FF44C" w14:textId="0C479997"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Criminal Code of the Bolivarian Republic of Venezuela, Official Gazette No. 915 of June 30, 1964, article 182, second paragraph (evidence file, volume XIII, annex 2B to the pleadings and motions brief, folio 8285).</w:t>
      </w:r>
    </w:p>
  </w:footnote>
  <w:footnote w:id="177">
    <w:p w14:paraId="1E2BABCD" w14:textId="5CCCB0F6"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The legislators established the penalty of six to twelve years’ imprisonment for the crime of reduction to slavery. </w:t>
      </w:r>
      <w:r w:rsidRPr="009D52FD">
        <w:rPr>
          <w:i/>
          <w:sz w:val="16"/>
          <w:szCs w:val="16"/>
          <w:lang w:val="en-US"/>
        </w:rPr>
        <w:t>Cf.</w:t>
      </w:r>
      <w:r w:rsidRPr="009D52FD">
        <w:rPr>
          <w:sz w:val="16"/>
          <w:szCs w:val="16"/>
          <w:lang w:val="en-US"/>
        </w:rPr>
        <w:t xml:space="preserve"> Criminal Code of the Bolivarian Republic of Venezuela, Official Gazette No. 915 of June 30, 1964, article 174 (evidence file, volume XIII, annex 2B to the pleadings and motions brief, folio 8284).</w:t>
      </w:r>
    </w:p>
  </w:footnote>
  <w:footnote w:id="178">
    <w:p w14:paraId="5D2F91B5" w14:textId="2CC87651" w:rsidR="009D52FD" w:rsidRPr="009D52FD" w:rsidRDefault="009D52FD" w:rsidP="00AE4C9E">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Official Gazette No. 36,531 of September 3, 1998 (evidence file, volume XIII, annex 2G to the pleadings and motions brief, folios 8450 to 8457).</w:t>
      </w:r>
    </w:p>
  </w:footnote>
  <w:footnote w:id="179">
    <w:p w14:paraId="59B5A99D" w14:textId="5A109ED3" w:rsidR="009D52FD" w:rsidRPr="009D52FD" w:rsidRDefault="009D52FD" w:rsidP="00AE4C9E">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Special Official Gazette No. 5398 of October 26, 1999 (evidence file, volume XIII, Annex 2E to the pleadings and motions brief, folios 8435 to 8446).</w:t>
      </w:r>
    </w:p>
  </w:footnote>
  <w:footnote w:id="180">
    <w:p w14:paraId="318329AB" w14:textId="59A1D273"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Articles 1 and 4 of the Law on Violence against Women and the Family.</w:t>
      </w:r>
    </w:p>
  </w:footnote>
  <w:footnote w:id="181">
    <w:p w14:paraId="0FE24663" w14:textId="72B50ED6"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Articles 16 to 21 define as crimes: threats, physical violence, rape, sexual abuse, psychological violence and the aggravating circumstances. </w:t>
      </w:r>
      <w:r w:rsidRPr="009D52FD">
        <w:rPr>
          <w:i/>
          <w:sz w:val="16"/>
          <w:szCs w:val="16"/>
          <w:lang w:val="en-US"/>
        </w:rPr>
        <w:t>Cf.</w:t>
      </w:r>
      <w:r w:rsidRPr="009D52FD">
        <w:rPr>
          <w:sz w:val="16"/>
          <w:szCs w:val="16"/>
          <w:lang w:val="en-US"/>
        </w:rPr>
        <w:t xml:space="preserve"> Law on Violence against Women and the Family, Official Gazette No. 36,531 of September 3, 1998, articles 16 to 21 (evidence file, volume XIII, annex 2G to the pleadings and motions brief, folios 8452 to 8453).</w:t>
      </w:r>
    </w:p>
  </w:footnote>
  <w:footnote w:id="182">
    <w:p w14:paraId="76B2FF74" w14:textId="38873B97"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Articles 22, 23 and 24 establish as misdemeanors the omission of administrative measures in cases of sexual abuse, the failure of the health professional who treat victims of any of the types of violence established by the law to advise the police or judicial authorities, or the failure to respond to complaints by the officials who receive them. </w:t>
      </w:r>
      <w:r w:rsidRPr="009D52FD">
        <w:rPr>
          <w:i/>
          <w:sz w:val="16"/>
          <w:szCs w:val="16"/>
          <w:lang w:val="en-US"/>
        </w:rPr>
        <w:t>Cf.</w:t>
      </w:r>
      <w:r w:rsidRPr="009D52FD">
        <w:rPr>
          <w:sz w:val="16"/>
          <w:szCs w:val="16"/>
          <w:lang w:val="en-US"/>
        </w:rPr>
        <w:t xml:space="preserve"> Law on Violence against Women and the Family, Official Gazette No. 36,531 of September 3, 1998, articles 22 to 24 (evidence file, volume XIII, annex 2G to the pleadings and motions brief, folio 8453).</w:t>
      </w:r>
    </w:p>
  </w:footnote>
  <w:footnote w:id="183">
    <w:p w14:paraId="4BFF0DE2" w14:textId="12AF4FE0"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Law on Violence against Women and the Family, Official Gazette No. 36,531 of September 3, 1998, article 24 (evidence file, volume XIII, annex 2G to the pleadings and motions brief, folio 8453).</w:t>
      </w:r>
    </w:p>
  </w:footnote>
  <w:footnote w:id="184">
    <w:p w14:paraId="12C483FA" w14:textId="64316AAD"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Law on Violence against Women and the Family, Official Gazette No. 36,531 of September 3, 1998, article 3 (evidence file, volume XIII, annex 2G to the pleadings and motions brief, folio 8450).</w:t>
      </w:r>
    </w:p>
  </w:footnote>
  <w:footnote w:id="185">
    <w:p w14:paraId="1807BE60" w14:textId="7A0A7EFF"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 xml:space="preserve">Law on Violence against Women and the Family, Official Gazette No. 36,531 of September 3, 1998, article 32 (evidence file, volume XIII, annex 2G to the pleadings and motions brief, folio 8454), and Expert opinion provided by Magaly Mercedes Vásquez González (evidence file, volume XLIV, affidavits, folios 31129 and 31130). Also expert witness María Lucrecia Hernández emphasized that, following the adoption of the Law on Violence against Women and the Family in 1998, the justices of the peace and the family, criminal trial courts, prefectures and civil bureaus, police departments, and the Public Prosecution Service were empowered to act as agencies to which any woman victim of violence could resort to file her complaint, either orally or in writing. </w:t>
      </w:r>
      <w:r w:rsidRPr="009D52FD">
        <w:rPr>
          <w:i/>
          <w:sz w:val="16"/>
          <w:szCs w:val="16"/>
          <w:lang w:val="en-US"/>
        </w:rPr>
        <w:t>Cf.</w:t>
      </w:r>
      <w:r w:rsidRPr="009D52FD">
        <w:rPr>
          <w:sz w:val="16"/>
          <w:szCs w:val="16"/>
          <w:lang w:val="en-US"/>
        </w:rPr>
        <w:t xml:space="preserve"> Statement by María Lucrecia Hernández Vitar before the Inter-American Court during the public hearing on February 6, 2018.</w:t>
      </w:r>
    </w:p>
  </w:footnote>
  <w:footnote w:id="186">
    <w:p w14:paraId="7C1F3752" w14:textId="4323C1EF"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Law on Violence against Women and the Family, Official Gazette No. 36,531 of September 3, 1998, articles 32 and 38 (evidence file, volume XIII, annex 2G to the pleadings and motions brief, folios 8454 and 8455). </w:t>
      </w:r>
    </w:p>
  </w:footnote>
  <w:footnote w:id="187">
    <w:p w14:paraId="549A4BCF" w14:textId="4C703C74" w:rsidR="009D52FD" w:rsidRPr="009D52FD" w:rsidRDefault="009D52FD" w:rsidP="000874BC">
      <w:pPr>
        <w:pStyle w:val="FootnoteText"/>
        <w:tabs>
          <w:tab w:val="left" w:pos="567"/>
          <w:tab w:val="center" w:pos="5040"/>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Among the precautionary measures that the authorities responsible for receiving complaints could establish were ordering: the aggressor to leave the home; the transfer of the victim to a safe place; the arrest of the accused for no more than 72 hours; the return of the victim to the home, or any other measure of personal protection aimed at safeguarding the physical or emotional integrity of the victim, her family, or partner. Meanwhile, the judge, in addition to ordering the said measures or confirming them, was authorized by the law to establish a maintenance allowance for the family group; a regime of guardianship, custody or child visits, or any other measure that was pertinent for the family group. </w:t>
      </w:r>
      <w:r w:rsidRPr="009D52FD">
        <w:rPr>
          <w:i/>
          <w:sz w:val="16"/>
          <w:szCs w:val="16"/>
          <w:lang w:val="en-US"/>
        </w:rPr>
        <w:t>Cf.</w:t>
      </w:r>
      <w:r w:rsidRPr="009D52FD">
        <w:rPr>
          <w:sz w:val="16"/>
          <w:szCs w:val="16"/>
          <w:lang w:val="en-US"/>
        </w:rPr>
        <w:t xml:space="preserve"> Law on Violence against Women and the Family, Official Gazette No. 36,531 of September 3, 1998, articles 39 and 40 (evidence file, volume XIII, annex 2G to the pleadings and motions brief, folio 8456).</w:t>
      </w:r>
    </w:p>
  </w:footnote>
  <w:footnote w:id="188">
    <w:p w14:paraId="3E5B2A54" w14:textId="6E72D17F"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On May 9, 2006, the Supreme Court of Justice ruled on the appeal filed on August 26, 2003, by the Prosecutor General, proposing the annulment of article 3(4), 32 and 39(1), (3) and (5) of the Law on Violence against Women and the Family. Article 3(4) and 39 contested by the Prosecutor General were those that authorized the agencies receiving the complaints to adopt precautionary measures, order arrests, and coordinate conciliation procedures. Article 32 listed the agencies authorized to receive complaints for the crimes or misdemeanors listed in the law – that is the justices of the peace and the family, criminal trial courts, prefectures and civil bureaus, police departments, the Public Prosecution Service. The Supreme Court of Justice partially admitted the proposal, while maintaining the authority to order an arrest pursuant to the law, only for the criminal and family courts, revoking this authority in the case of the non-judicial agencies named in the law as competent to receive complaints. Regarding the establishment of precautionary measures to protect the victims, the Supreme Court authorized the administrative bodies to grant measures of exclusion from the home, but subjected their implementation to the existence of the respective judicial authorization. It made the same ruling with regard to the other measures listed in article 39, because they became subject to review by the judge who intervened in the investigation, provided that an investigation was opened. To the contrary, the measure would automatically be annulled. </w:t>
      </w:r>
      <w:r w:rsidRPr="009D52FD">
        <w:rPr>
          <w:i/>
          <w:sz w:val="16"/>
          <w:szCs w:val="16"/>
          <w:lang w:val="en-US"/>
        </w:rPr>
        <w:t xml:space="preserve">Cf. </w:t>
      </w:r>
      <w:r w:rsidRPr="009D52FD">
        <w:rPr>
          <w:sz w:val="16"/>
          <w:szCs w:val="16"/>
          <w:lang w:val="en-US"/>
        </w:rPr>
        <w:t>Judgment of the Supreme Court of Justice of the Bolivarian Republic of Venezuela, Constitutional Chamber, of May 9, 2006 (evidence file, volume XIII, annex 2K to the pleadings and motions brief, folios 8605, 8640 and 8641).</w:t>
      </w:r>
    </w:p>
  </w:footnote>
  <w:footnote w:id="189">
    <w:p w14:paraId="4A73A218" w14:textId="5C4CBA3E"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Law on Equal Opportunities for Women, Special Official Gazette No. 5398 of October 26, 1999, article 2 (evidence file, volume XIII, annex 2E to the pleadings and motions brief, folio 8435).</w:t>
      </w:r>
    </w:p>
  </w:footnote>
  <w:footnote w:id="190">
    <w:p w14:paraId="511E5ACB" w14:textId="232FAFDE"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Law on Equal Opportunities for Women, Special Official Gazette No. 5398 of October 26, 1999, article 47 (evidence file, volume XIII, annex 2E to the pleadings and motions brief, folio 8442).</w:t>
      </w:r>
    </w:p>
  </w:footnote>
  <w:footnote w:id="191">
    <w:p w14:paraId="148E030D" w14:textId="61FBE297"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In addition to receiving the complaints, the Office for the Defense of Women’s Rights also had the powers to evaluate whether the acts denounced constituted a violation of women’s rights. Furthermore, the Office was authorized to investigate those acts, to institute conciliatory actions to end the situation of inequality or discrimination against the woman and, even to represent her in judicial and extrajudicial instances. </w:t>
      </w:r>
      <w:r w:rsidRPr="009D52FD">
        <w:rPr>
          <w:i/>
          <w:sz w:val="16"/>
          <w:szCs w:val="16"/>
          <w:lang w:val="en-US"/>
        </w:rPr>
        <w:t>Cf.</w:t>
      </w:r>
      <w:r w:rsidRPr="009D52FD">
        <w:rPr>
          <w:sz w:val="16"/>
          <w:szCs w:val="16"/>
          <w:lang w:val="en-US"/>
        </w:rPr>
        <w:t xml:space="preserve"> Law on Equal Opportunities for Women, Special Official Gazette No. 5398 of October 26, 1999, articles 52 and 54(d) and (e) (evidence file, volume XIII, annex 2E to the pleadings and motions brief, folios 8443 and 8444).</w:t>
      </w:r>
    </w:p>
  </w:footnote>
  <w:footnote w:id="192">
    <w:p w14:paraId="2717D361" w14:textId="176442AD"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Law on Equal Opportunities for Women, Special Official Gazette No. 5398 of October 26, 1999, articles 57 and 58 (evidence file, volume XIII, annex 2E to the pleadings and motions brief, folio 8444).</w:t>
      </w:r>
    </w:p>
  </w:footnote>
  <w:footnote w:id="193">
    <w:p w14:paraId="5814F8EB" w14:textId="54D3269B"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Expert opinion provided by Maritza Durán (evidence file, volume XLIV, affidavits, folio 31224).</w:t>
      </w:r>
    </w:p>
  </w:footnote>
  <w:footnote w:id="194">
    <w:p w14:paraId="379E308E" w14:textId="2D03F92E" w:rsidR="009D52FD" w:rsidRPr="009D52FD" w:rsidRDefault="009D52FD" w:rsidP="007A24B8">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Article 3 of the Convention establishes: “</w:t>
      </w:r>
      <w:r w:rsidRPr="009D52FD">
        <w:rPr>
          <w:rFonts w:cs="Tahoma"/>
          <w:color w:val="000000"/>
          <w:sz w:val="16"/>
          <w:szCs w:val="16"/>
          <w:lang w:val="en-US"/>
        </w:rPr>
        <w:t>[e]</w:t>
      </w:r>
      <w:r w:rsidRPr="009D52FD">
        <w:rPr>
          <w:spacing w:val="-3"/>
          <w:sz w:val="16"/>
          <w:szCs w:val="16"/>
          <w:lang w:val="en-US"/>
        </w:rPr>
        <w:t>very person has the right to recognition as a person before the law.</w:t>
      </w:r>
      <w:r w:rsidRPr="009D52FD">
        <w:rPr>
          <w:sz w:val="16"/>
          <w:szCs w:val="16"/>
          <w:lang w:val="en-US"/>
        </w:rPr>
        <w:t>”</w:t>
      </w:r>
    </w:p>
  </w:footnote>
  <w:footnote w:id="195">
    <w:p w14:paraId="4AB9819D" w14:textId="7198E47C" w:rsidR="009D52FD" w:rsidRPr="009D52FD" w:rsidRDefault="009D52FD" w:rsidP="007A24B8">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Article 5(1) of the Convention recognizes that: “[e]</w:t>
      </w:r>
      <w:r w:rsidRPr="009D52FD">
        <w:rPr>
          <w:spacing w:val="-3"/>
          <w:sz w:val="16"/>
          <w:szCs w:val="16"/>
          <w:lang w:val="en-US"/>
        </w:rPr>
        <w:t>very person has the right to have his physical, mental, and moral integrity respected</w:t>
      </w:r>
      <w:r w:rsidRPr="009D52FD">
        <w:rPr>
          <w:sz w:val="16"/>
          <w:szCs w:val="16"/>
          <w:lang w:val="en-US"/>
        </w:rPr>
        <w:t>.”</w:t>
      </w:r>
    </w:p>
  </w:footnote>
  <w:footnote w:id="196">
    <w:p w14:paraId="49AE4F8F" w14:textId="5F02D569" w:rsidR="009D52FD" w:rsidRPr="009D52FD" w:rsidRDefault="009D52FD" w:rsidP="007A24B8">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Article 5(2) of the Convention establishes that: “[n]</w:t>
      </w:r>
      <w:r w:rsidRPr="009D52FD">
        <w:rPr>
          <w:spacing w:val="-3"/>
          <w:sz w:val="16"/>
          <w:szCs w:val="16"/>
          <w:lang w:val="en-US"/>
        </w:rPr>
        <w:t>o one shall be subjected to torture or to cruel, inhuman or degrading punishment or treatment.</w:t>
      </w:r>
      <w:r w:rsidRPr="009D52FD">
        <w:rPr>
          <w:sz w:val="16"/>
          <w:szCs w:val="16"/>
          <w:lang w:val="en-US"/>
        </w:rPr>
        <w:t>”</w:t>
      </w:r>
    </w:p>
  </w:footnote>
  <w:footnote w:id="197">
    <w:p w14:paraId="3F2EED87" w14:textId="18E26639" w:rsidR="009D52FD" w:rsidRPr="009D52FD" w:rsidRDefault="009D52FD" w:rsidP="007A24B8">
      <w:pPr>
        <w:tabs>
          <w:tab w:val="left" w:pos="567"/>
          <w:tab w:val="left" w:pos="630"/>
          <w:tab w:val="left" w:pos="1080"/>
          <w:tab w:val="left" w:pos="1680"/>
          <w:tab w:val="left" w:pos="5400"/>
        </w:tabs>
        <w:suppressAutoHyphens/>
        <w:spacing w:after="60" w:line="240" w:lineRule="auto"/>
        <w:rPr>
          <w:spacing w:val="-3"/>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Article 6(1) of the Convention stipulates that: “[n]</w:t>
      </w:r>
      <w:r w:rsidRPr="009D52FD">
        <w:rPr>
          <w:spacing w:val="-3"/>
          <w:sz w:val="16"/>
          <w:szCs w:val="16"/>
          <w:lang w:val="en-US"/>
        </w:rPr>
        <w:t>o one shall be subject to slavery or to involuntary servitude, which are prohibited in all their forms, as are the slave trade and traffic in women.</w:t>
      </w:r>
      <w:r w:rsidRPr="009D52FD">
        <w:rPr>
          <w:sz w:val="16"/>
          <w:szCs w:val="16"/>
          <w:lang w:val="en-US"/>
        </w:rPr>
        <w:t>”</w:t>
      </w:r>
    </w:p>
  </w:footnote>
  <w:footnote w:id="198">
    <w:p w14:paraId="065B1FF3" w14:textId="43D191A5" w:rsidR="009D52FD" w:rsidRPr="009D52FD" w:rsidRDefault="009D52FD" w:rsidP="007A24B8">
      <w:pPr>
        <w:pStyle w:val="FootnoteText"/>
        <w:tabs>
          <w:tab w:val="left" w:pos="567"/>
          <w:tab w:val="left" w:pos="720"/>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The pertinent part of Article 7 of the Convention establishes that: “[e]</w:t>
      </w:r>
      <w:r w:rsidRPr="009D52FD">
        <w:rPr>
          <w:spacing w:val="-3"/>
          <w:sz w:val="16"/>
          <w:szCs w:val="16"/>
          <w:lang w:val="en-US"/>
        </w:rPr>
        <w:t>very person has the right to personal liberty and security.</w:t>
      </w:r>
      <w:r w:rsidRPr="009D52FD">
        <w:rPr>
          <w:sz w:val="16"/>
          <w:szCs w:val="16"/>
          <w:lang w:val="en-US"/>
        </w:rPr>
        <w:t>”</w:t>
      </w:r>
    </w:p>
  </w:footnote>
  <w:footnote w:id="199">
    <w:p w14:paraId="70E560D3" w14:textId="3024C852" w:rsidR="009D52FD" w:rsidRPr="009D52FD" w:rsidRDefault="009D52FD" w:rsidP="007A24B8">
      <w:pPr>
        <w:pStyle w:val="FootnoteText"/>
        <w:tabs>
          <w:tab w:val="left" w:pos="567"/>
          <w:tab w:val="left" w:pos="720"/>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Article 11(2) and 11(2)</w:t>
      </w:r>
      <w:r w:rsidRPr="009D52FD">
        <w:rPr>
          <w:rFonts w:cs="Tahoma"/>
          <w:sz w:val="16"/>
          <w:szCs w:val="16"/>
          <w:lang w:val="en-US"/>
        </w:rPr>
        <w:t xml:space="preserve"> of the </w:t>
      </w:r>
      <w:r w:rsidRPr="009D52FD">
        <w:rPr>
          <w:sz w:val="16"/>
          <w:szCs w:val="16"/>
          <w:lang w:val="en-US"/>
        </w:rPr>
        <w:t>Convention establish that: “[e]</w:t>
      </w:r>
      <w:r w:rsidRPr="009D52FD">
        <w:rPr>
          <w:spacing w:val="-3"/>
          <w:sz w:val="16"/>
          <w:szCs w:val="16"/>
          <w:lang w:val="en-US"/>
        </w:rPr>
        <w:t>veryone has the right to have his honor respected and his dignity recognized</w:t>
      </w:r>
      <w:r w:rsidRPr="009D52FD">
        <w:rPr>
          <w:sz w:val="16"/>
          <w:szCs w:val="16"/>
          <w:lang w:val="en-US"/>
        </w:rPr>
        <w:t xml:space="preserve">” and </w:t>
      </w:r>
      <w:r w:rsidRPr="009D52FD">
        <w:rPr>
          <w:rFonts w:cs="Tahoma"/>
          <w:sz w:val="16"/>
          <w:szCs w:val="16"/>
          <w:lang w:val="en-US"/>
        </w:rPr>
        <w:t>“</w:t>
      </w:r>
      <w:r w:rsidRPr="009D52FD">
        <w:rPr>
          <w:sz w:val="16"/>
          <w:szCs w:val="16"/>
          <w:lang w:val="en-US"/>
        </w:rPr>
        <w:t>[n]</w:t>
      </w:r>
      <w:r w:rsidRPr="009D52FD">
        <w:rPr>
          <w:spacing w:val="-3"/>
          <w:sz w:val="16"/>
          <w:szCs w:val="16"/>
          <w:lang w:val="en-US"/>
        </w:rPr>
        <w:t>o one may be the object of arbitrary or abusive interference with his private life, his family, his home, or his correspondence, or of unlawful attacks on his honor or reputation.</w:t>
      </w:r>
      <w:r w:rsidRPr="009D52FD">
        <w:rPr>
          <w:sz w:val="16"/>
          <w:szCs w:val="16"/>
          <w:lang w:val="en-US"/>
        </w:rPr>
        <w:t>”</w:t>
      </w:r>
    </w:p>
  </w:footnote>
  <w:footnote w:id="200">
    <w:p w14:paraId="2AC07DA8" w14:textId="1FA08020" w:rsidR="009D52FD" w:rsidRPr="009D52FD" w:rsidRDefault="009D52FD" w:rsidP="007A24B8">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Article 22(1) of the Convention stipulates that: “[e]</w:t>
      </w:r>
      <w:r w:rsidRPr="009D52FD">
        <w:rPr>
          <w:spacing w:val="-3"/>
          <w:sz w:val="16"/>
          <w:szCs w:val="16"/>
          <w:lang w:val="en-US"/>
        </w:rPr>
        <w:t>very person lawfully in the territory of a State Party has the right to move about in it, and to reside in it subject to the provisions of the law.</w:t>
      </w:r>
      <w:r w:rsidRPr="009D52FD">
        <w:rPr>
          <w:sz w:val="16"/>
          <w:szCs w:val="16"/>
          <w:lang w:val="en-US"/>
        </w:rPr>
        <w:t>”</w:t>
      </w:r>
    </w:p>
  </w:footnote>
  <w:footnote w:id="201">
    <w:p w14:paraId="35A16B60" w14:textId="1D3AD762" w:rsidR="009D52FD" w:rsidRPr="009D52FD" w:rsidRDefault="009D52FD" w:rsidP="007A24B8">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Article 24 of the Convention establishes que: “[a]</w:t>
      </w:r>
      <w:r w:rsidRPr="009D52FD">
        <w:rPr>
          <w:spacing w:val="-3"/>
          <w:sz w:val="16"/>
          <w:szCs w:val="16"/>
          <w:lang w:val="en-US"/>
        </w:rPr>
        <w:t>ll persons are equal before the law. Consequently, they are entitled, without discrimination, to equal protection of the law.</w:t>
      </w:r>
      <w:r w:rsidRPr="009D52FD">
        <w:rPr>
          <w:sz w:val="16"/>
          <w:szCs w:val="16"/>
          <w:lang w:val="en-US"/>
        </w:rPr>
        <w:t>”.</w:t>
      </w:r>
    </w:p>
  </w:footnote>
  <w:footnote w:id="202">
    <w:p w14:paraId="0CA11772" w14:textId="6C051599"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Article 1(1)</w:t>
      </w:r>
      <w:r w:rsidRPr="009D52FD">
        <w:rPr>
          <w:rFonts w:cs="Tahoma"/>
          <w:sz w:val="16"/>
          <w:szCs w:val="16"/>
          <w:lang w:val="en-US"/>
        </w:rPr>
        <w:t xml:space="preserve"> of the </w:t>
      </w:r>
      <w:r w:rsidRPr="009D52FD">
        <w:rPr>
          <w:sz w:val="16"/>
          <w:szCs w:val="16"/>
          <w:lang w:val="en-US"/>
        </w:rPr>
        <w:t>Convention</w:t>
      </w:r>
      <w:r w:rsidRPr="009D52FD">
        <w:rPr>
          <w:rFonts w:cs="Tahoma"/>
          <w:sz w:val="16"/>
          <w:szCs w:val="16"/>
          <w:lang w:val="en-US"/>
        </w:rPr>
        <w:t xml:space="preserve"> stipulates that: “</w:t>
      </w:r>
      <w:r w:rsidRPr="009D52FD">
        <w:rPr>
          <w:sz w:val="16"/>
          <w:szCs w:val="16"/>
          <w:lang w:val="en-US"/>
        </w:rPr>
        <w:t>[t]</w:t>
      </w:r>
      <w:r w:rsidRPr="009D52FD">
        <w:rPr>
          <w:spacing w:val="-3"/>
          <w:sz w:val="16"/>
          <w:szCs w:val="16"/>
          <w:lang w:val="en-US"/>
        </w:rPr>
        <w: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r w:rsidRPr="009D52FD">
        <w:rPr>
          <w:sz w:val="16"/>
          <w:szCs w:val="16"/>
          <w:lang w:val="en-US"/>
        </w:rPr>
        <w:t>”.</w:t>
      </w:r>
    </w:p>
  </w:footnote>
  <w:footnote w:id="203">
    <w:p w14:paraId="1B0D3487" w14:textId="33F70CD0" w:rsidR="009D52FD" w:rsidRPr="009D52FD" w:rsidRDefault="009D52FD" w:rsidP="004C3916">
      <w:pPr>
        <w:pStyle w:val="Default"/>
        <w:spacing w:after="60"/>
        <w:jc w:val="both"/>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The pertinent part of Article 7 of the Convention of Belém do Pará establishes that: “[t]he States Parties condemn all forms of violence against women and agree to pursue, by all appropriate means and without delay, policies to prevent, punish and eradicate such violence and undertake to: (a) refrain from engaging in any act or practice of violence against women and to ensure that their authorities, officials, personnel, agents, and institutions act in conformity with this obligation; (b) apply due diligence to prevent, investigate and impose penalties for violence against women […] .”</w:t>
      </w:r>
    </w:p>
  </w:footnote>
  <w:footnote w:id="204">
    <w:p w14:paraId="64A4D6CA" w14:textId="4C8E0DA1" w:rsidR="009D52FD" w:rsidRPr="009D52FD" w:rsidRDefault="009D52FD" w:rsidP="003D4195">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Venezuela deposited the instruments ratifying the Inter-American Convention to Prevent and Punish Torture and the Inter-American Convention for the Prevention, Punishment and Eradication of Violence against Women “Convention of Belém do Pará,” on August 26, 1991, and February 3, 1995, respectively.</w:t>
      </w:r>
    </w:p>
  </w:footnote>
  <w:footnote w:id="205">
    <w:p w14:paraId="22D0E29E" w14:textId="1FDDD0E9" w:rsidR="009D52FD" w:rsidRPr="009D52FD" w:rsidRDefault="009D52FD" w:rsidP="003D4195">
      <w:pPr>
        <w:pStyle w:val="NormalWeb"/>
        <w:tabs>
          <w:tab w:val="left" w:pos="567"/>
        </w:tabs>
        <w:spacing w:before="90" w:after="45" w:line="240" w:lineRule="auto"/>
        <w:ind w:right="75"/>
        <w:rPr>
          <w:rFonts w:ascii="Verdana" w:hAnsi="Verdana" w:cs="Arial"/>
          <w:sz w:val="16"/>
          <w:szCs w:val="16"/>
          <w:lang w:val="en-US"/>
        </w:rPr>
      </w:pPr>
      <w:r w:rsidRPr="009D52FD">
        <w:rPr>
          <w:rStyle w:val="FootnoteReference"/>
          <w:rFonts w:ascii="Verdana" w:hAnsi="Verdana"/>
          <w:sz w:val="16"/>
          <w:szCs w:val="16"/>
          <w:lang w:val="en-US"/>
        </w:rPr>
        <w:footnoteRef/>
      </w:r>
      <w:r w:rsidRPr="009D52FD">
        <w:rPr>
          <w:rFonts w:ascii="Verdana" w:hAnsi="Verdana"/>
          <w:sz w:val="16"/>
          <w:szCs w:val="16"/>
          <w:lang w:val="en-US"/>
        </w:rPr>
        <w:t xml:space="preserve"> </w:t>
      </w:r>
      <w:r w:rsidRPr="009D52FD">
        <w:rPr>
          <w:rFonts w:ascii="Verdana" w:hAnsi="Verdana"/>
          <w:sz w:val="16"/>
          <w:szCs w:val="16"/>
          <w:lang w:val="en-US"/>
        </w:rPr>
        <w:tab/>
        <w:t>Article 1 of the ICPPT stipulates that: “[t]</w:t>
      </w:r>
      <w:r w:rsidRPr="009D52FD">
        <w:rPr>
          <w:rFonts w:ascii="Verdana" w:hAnsi="Verdana" w:cs="Tahoma"/>
          <w:sz w:val="16"/>
          <w:szCs w:val="16"/>
          <w:lang w:val="en-US"/>
        </w:rPr>
        <w:t xml:space="preserve">he State Parties undertake to prevent and punish torture in accordance with the terms of this Convention.” Meanwhile, </w:t>
      </w:r>
      <w:r w:rsidRPr="009D52FD">
        <w:rPr>
          <w:rFonts w:ascii="Verdana" w:hAnsi="Verdana"/>
          <w:sz w:val="16"/>
          <w:szCs w:val="16"/>
          <w:lang w:val="en-US"/>
        </w:rPr>
        <w:t xml:space="preserve">Article 6 establishes that: “[…] </w:t>
      </w:r>
      <w:r w:rsidRPr="009D52FD">
        <w:rPr>
          <w:rFonts w:ascii="Verdana" w:hAnsi="Verdana" w:cs="Tahoma"/>
          <w:sz w:val="16"/>
          <w:szCs w:val="16"/>
          <w:lang w:val="en-US"/>
        </w:rPr>
        <w:t>the States Parties shall take effective measures to prevent and punish torture within their jurisdiction.</w:t>
      </w:r>
      <w:r w:rsidRPr="009D52FD">
        <w:rPr>
          <w:rFonts w:ascii="Verdana" w:hAnsi="Verdana" w:cs="Arial"/>
          <w:sz w:val="16"/>
          <w:szCs w:val="16"/>
          <w:lang w:val="en-US"/>
        </w:rPr>
        <w:t xml:space="preserve"> </w:t>
      </w:r>
      <w:r w:rsidRPr="009D52FD">
        <w:rPr>
          <w:rFonts w:ascii="Verdana" w:hAnsi="Verdana" w:cs="Tahoma"/>
          <w:sz w:val="16"/>
          <w:szCs w:val="16"/>
          <w:lang w:val="en-US"/>
        </w:rPr>
        <w:t>The States Parties shall ensure that all acts of torture and attempts to commit torture are offenses under their criminal law and shall make such acts punishable by severe penalties that take into account their serious nature.</w:t>
      </w:r>
      <w:r w:rsidRPr="009D52FD">
        <w:rPr>
          <w:rFonts w:ascii="Verdana" w:hAnsi="Verdana" w:cs="Arial"/>
          <w:sz w:val="16"/>
          <w:szCs w:val="16"/>
          <w:lang w:val="en-US"/>
        </w:rPr>
        <w:t xml:space="preserve"> </w:t>
      </w:r>
      <w:r w:rsidRPr="009D52FD">
        <w:rPr>
          <w:rFonts w:ascii="Verdana" w:hAnsi="Verdana" w:cs="Tahoma"/>
          <w:sz w:val="16"/>
          <w:szCs w:val="16"/>
          <w:lang w:val="en-US"/>
        </w:rPr>
        <w:t>The States Parties likewise shall take effective measures to prevent and punish other cruel, inhuman or degrading treatment or punishment within their jurisdiction.” And, the relevant part of Article 8 stipulates that: “[t]he States Parties shall guarantee that any person making an accusation of having been subjected to torture within their jurisdiction shall have the right to an impartial examination of his case. Likewise, if there is an accusation or well-grounded reason to believe that an act of torture has been committed within their jurisdiction, the States Parties shall guarantee that their respective authorities will proceed properly and immediately to conduct an investigation into the case and to initiate, whenever appropriate, the corresponding criminal process.”</w:t>
      </w:r>
    </w:p>
  </w:footnote>
  <w:footnote w:id="206">
    <w:p w14:paraId="42929C11" w14:textId="67D201C6"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The Commission clarified that it had made two types of determination about the context in relation to the State’s response in cases of violence against women in Venezuela. On the one hand, both the situation recorded at the time of the events and subsequent declarations at both the national and the international level, revealed that the situation of impunity in such cases continued. On the other hand, the Commission’s determination of the context was one of the elements used to give probative value to the testimony of Ana Secilia López Soto; specifically, that although she tried to file the report concerning her sister’s disappearance almost immediately the police authorities had refused to receive it, at times suggesting that it was related to “relationship problems.” </w:t>
      </w:r>
    </w:p>
  </w:footnote>
  <w:footnote w:id="207">
    <w:p w14:paraId="0D7A1BC2" w14:textId="5C2A28AF" w:rsidR="009D52FD" w:rsidRPr="009D52FD" w:rsidRDefault="009D52FD" w:rsidP="00145634">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The Court note that Article 11 of the American Convention protects one of the most fundamental values of the human person, understood as a rational being, and this is the recognition of their dignity. Indeed, the first paragraph of this article contains a universal clause on protection of dignity, which is based on both the principle of a person’s autonomy and on the idea that every individual should be treated equally, as ends in themselves, in keeping with their intentions, will and personal life decisions. Meanwhile, the second paragraph establishes the inviolability of private and family life, among other protected spheres. The concept of privacy includes, among other protected areas, a person’s sexual life. The Court finds that rape and the other forms of sexual violence perpetrated against </w:t>
      </w:r>
      <w:r w:rsidRPr="009D52FD">
        <w:rPr>
          <w:rFonts w:eastAsia="Calibri"/>
          <w:sz w:val="16"/>
          <w:szCs w:val="16"/>
          <w:lang w:val="en-US"/>
        </w:rPr>
        <w:t>Linda Loaiza López Soto violated essential values and aspects of her privacy, constituted interference in her sexual life and annulled her right to freely take decisions regarding who she wished to have sexual relations with, so that she completely lost control over her most personal and intimate decisions, and over her basic bodily functions</w:t>
      </w:r>
      <w:r w:rsidRPr="009D52FD">
        <w:rPr>
          <w:sz w:val="16"/>
          <w:szCs w:val="16"/>
          <w:lang w:val="en-US"/>
        </w:rPr>
        <w:t xml:space="preserve">. </w:t>
      </w:r>
      <w:r w:rsidRPr="009D52FD">
        <w:rPr>
          <w:rFonts w:eastAsiaTheme="minorHAnsi" w:cs="Verdana,Italic"/>
          <w:i/>
          <w:iCs/>
          <w:sz w:val="16"/>
          <w:szCs w:val="16"/>
          <w:lang w:val="en-US"/>
        </w:rPr>
        <w:t xml:space="preserve">Cf. Case of Fernández Ortega et al. v. Mexico. </w:t>
      </w:r>
      <w:r w:rsidRPr="009D52FD">
        <w:rPr>
          <w:bCs/>
          <w:i/>
          <w:sz w:val="16"/>
          <w:szCs w:val="16"/>
          <w:lang w:val="en-US"/>
        </w:rPr>
        <w:t xml:space="preserve">Preliminary objection, merits, reparations and costs. </w:t>
      </w:r>
      <w:r w:rsidRPr="009D52FD">
        <w:rPr>
          <w:bCs/>
          <w:sz w:val="16"/>
          <w:szCs w:val="16"/>
          <w:lang w:val="en-US"/>
        </w:rPr>
        <w:t xml:space="preserve">Judgment of August 30, 2010. Series C No. 215, </w:t>
      </w:r>
      <w:r w:rsidRPr="009D52FD">
        <w:rPr>
          <w:rFonts w:eastAsiaTheme="minorHAnsi" w:cs="Verdana"/>
          <w:sz w:val="16"/>
          <w:szCs w:val="16"/>
          <w:lang w:val="en-US"/>
        </w:rPr>
        <w:t xml:space="preserve">para. 129, and </w:t>
      </w:r>
      <w:r w:rsidRPr="009D52FD">
        <w:rPr>
          <w:i/>
          <w:sz w:val="16"/>
          <w:szCs w:val="16"/>
          <w:lang w:val="en-US"/>
        </w:rPr>
        <w:t xml:space="preserve">Case of I.V. v. Bolivia. Preliminary objections, merits, reparations and costs. </w:t>
      </w:r>
      <w:r w:rsidRPr="009D52FD">
        <w:rPr>
          <w:sz w:val="16"/>
          <w:szCs w:val="16"/>
          <w:lang w:val="en-US"/>
        </w:rPr>
        <w:t>Judgment of November 30, 2016</w:t>
      </w:r>
      <w:r w:rsidRPr="009D52FD">
        <w:rPr>
          <w:i/>
          <w:sz w:val="16"/>
          <w:szCs w:val="16"/>
          <w:lang w:val="en-US"/>
        </w:rPr>
        <w:t xml:space="preserve">. </w:t>
      </w:r>
      <w:r w:rsidRPr="009D52FD">
        <w:rPr>
          <w:sz w:val="16"/>
          <w:szCs w:val="16"/>
          <w:lang w:val="en-US"/>
        </w:rPr>
        <w:t>Series C No. 329</w:t>
      </w:r>
      <w:r w:rsidRPr="009D52FD">
        <w:rPr>
          <w:i/>
          <w:sz w:val="16"/>
          <w:szCs w:val="16"/>
          <w:lang w:val="en-US"/>
        </w:rPr>
        <w:t xml:space="preserve">, </w:t>
      </w:r>
      <w:r w:rsidRPr="009D52FD">
        <w:rPr>
          <w:sz w:val="16"/>
          <w:szCs w:val="16"/>
          <w:lang w:val="en-US"/>
        </w:rPr>
        <w:t>para. 149.</w:t>
      </w:r>
    </w:p>
  </w:footnote>
  <w:footnote w:id="208">
    <w:p w14:paraId="2087A451" w14:textId="7F3FBAFD" w:rsidR="009D52FD" w:rsidRPr="009D52FD" w:rsidRDefault="009D52FD" w:rsidP="00145634">
      <w:pPr>
        <w:tabs>
          <w:tab w:val="left" w:pos="567"/>
          <w:tab w:val="center" w:pos="5400"/>
        </w:tabs>
        <w:suppressAutoHyphens/>
        <w:spacing w:after="60" w:line="240" w:lineRule="auto"/>
        <w:rPr>
          <w:color w:val="000000"/>
          <w:sz w:val="16"/>
          <w:szCs w:val="16"/>
          <w:lang w:val="en-US" w:eastAsia="en-US"/>
        </w:rPr>
      </w:pPr>
      <w:r w:rsidRPr="009D52FD">
        <w:rPr>
          <w:rStyle w:val="FootnoteReference"/>
          <w:rFonts w:eastAsia="Calibri"/>
          <w:color w:val="000000" w:themeColor="text1"/>
          <w:sz w:val="16"/>
          <w:szCs w:val="16"/>
          <w:lang w:val="en-US"/>
        </w:rPr>
        <w:footnoteRef/>
      </w:r>
      <w:r w:rsidRPr="009D52FD">
        <w:rPr>
          <w:color w:val="000000" w:themeColor="text1"/>
          <w:sz w:val="16"/>
          <w:szCs w:val="16"/>
          <w:lang w:val="en-US"/>
        </w:rPr>
        <w:t xml:space="preserve"> </w:t>
      </w:r>
      <w:r w:rsidRPr="009D52FD">
        <w:rPr>
          <w:color w:val="000000" w:themeColor="text1"/>
          <w:sz w:val="16"/>
          <w:szCs w:val="16"/>
          <w:lang w:val="en-US"/>
        </w:rPr>
        <w:tab/>
      </w:r>
      <w:r w:rsidRPr="009D52FD">
        <w:rPr>
          <w:color w:val="000000"/>
          <w:sz w:val="16"/>
          <w:szCs w:val="16"/>
          <w:lang w:val="en-US" w:eastAsia="en-US"/>
        </w:rPr>
        <w:t>In this regard, Article 1 of the Convention</w:t>
      </w:r>
      <w:r w:rsidRPr="009D52FD">
        <w:rPr>
          <w:bCs/>
          <w:color w:val="000000"/>
          <w:sz w:val="16"/>
          <w:szCs w:val="16"/>
          <w:lang w:val="en-US" w:eastAsia="en-US"/>
        </w:rPr>
        <w:t xml:space="preserve"> of Belém do Pará </w:t>
      </w:r>
      <w:r w:rsidRPr="009D52FD">
        <w:rPr>
          <w:color w:val="000000"/>
          <w:sz w:val="16"/>
          <w:szCs w:val="16"/>
          <w:lang w:val="en-US" w:eastAsia="en-US"/>
        </w:rPr>
        <w:t>defines that “</w:t>
      </w:r>
      <w:r w:rsidRPr="009D52FD">
        <w:rPr>
          <w:sz w:val="16"/>
          <w:szCs w:val="16"/>
          <w:lang w:val="en-US"/>
        </w:rPr>
        <w:t>violence against women shall be understood as any act or conduct, based on gender, which causes death or physical, sexual or psychological harm or suffering to women, whether in the public or the private sphere.</w:t>
      </w:r>
      <w:r w:rsidRPr="009D52FD">
        <w:rPr>
          <w:color w:val="000000"/>
          <w:sz w:val="16"/>
          <w:szCs w:val="16"/>
          <w:lang w:val="en-US" w:eastAsia="en-US"/>
        </w:rPr>
        <w:t xml:space="preserve">” While Article 2 specifies that violence against women includes </w:t>
      </w:r>
      <w:r w:rsidRPr="009D52FD">
        <w:rPr>
          <w:sz w:val="16"/>
          <w:szCs w:val="16"/>
          <w:lang w:val="en-US"/>
        </w:rPr>
        <w:t>physical, sexual and psychological violence – mentioning, as examples, conducts such as rape, battery, sexual abuse</w:t>
      </w:r>
      <w:r w:rsidRPr="009D52FD">
        <w:rPr>
          <w:color w:val="000000"/>
          <w:sz w:val="16"/>
          <w:szCs w:val="16"/>
          <w:lang w:val="en-US" w:eastAsia="en-US"/>
        </w:rPr>
        <w:t>, torture, trafficking in persons, forced prostitution, kidnapping and sexual harassment – that occurs within the family or domestic unit, or within any other interpersonal relationship or in the community, and may be perpetrated by either an individual or by the State or its agents, or be condoned by the State.</w:t>
      </w:r>
    </w:p>
  </w:footnote>
  <w:footnote w:id="209">
    <w:p w14:paraId="0EB76BCE" w14:textId="45F0838E" w:rsidR="009D52FD" w:rsidRPr="009D52FD" w:rsidRDefault="009D52FD" w:rsidP="00145634">
      <w:pPr>
        <w:tabs>
          <w:tab w:val="left" w:pos="567"/>
          <w:tab w:val="center" w:pos="5400"/>
        </w:tabs>
        <w:suppressAutoHyphens/>
        <w:spacing w:line="240" w:lineRule="auto"/>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bCs/>
          <w:sz w:val="16"/>
          <w:szCs w:val="16"/>
          <w:lang w:val="en-US"/>
        </w:rPr>
        <w:t xml:space="preserve">The Committee on the Elimination of Discrimination against Women </w:t>
      </w:r>
      <w:r w:rsidRPr="009D52FD">
        <w:rPr>
          <w:rFonts w:eastAsia="Batang" w:cs="Arial"/>
          <w:sz w:val="16"/>
          <w:szCs w:val="16"/>
          <w:lang w:val="en-US" w:eastAsia="es-MX"/>
        </w:rPr>
        <w:t>has indicated that “</w:t>
      </w:r>
      <w:r w:rsidRPr="009D52FD">
        <w:rPr>
          <w:rFonts w:cs="Arial"/>
          <w:sz w:val="16"/>
          <w:szCs w:val="16"/>
          <w:lang w:val="en-US"/>
        </w:rPr>
        <w:t>[g]ender-based violence is a form of discrimination that seriously inhibits women's ability to enjoy rights and freedoms on a basis of equality with men.</w:t>
      </w:r>
      <w:r w:rsidRPr="009D52FD">
        <w:rPr>
          <w:rFonts w:eastAsia="Batang" w:cs="Arial"/>
          <w:sz w:val="16"/>
          <w:szCs w:val="16"/>
          <w:lang w:val="en-US" w:eastAsia="es-MX"/>
        </w:rPr>
        <w:t xml:space="preserve">” </w:t>
      </w:r>
      <w:r w:rsidRPr="009D52FD">
        <w:rPr>
          <w:sz w:val="16"/>
          <w:szCs w:val="16"/>
          <w:lang w:val="en-US"/>
        </w:rPr>
        <w:t xml:space="preserve">UN, Committee on the Elimination of Discrimination against Women, General recommendation No. 19, </w:t>
      </w:r>
      <w:r w:rsidRPr="009D52FD">
        <w:rPr>
          <w:i/>
          <w:sz w:val="16"/>
          <w:szCs w:val="16"/>
          <w:lang w:val="en-US"/>
        </w:rPr>
        <w:t>Violence against women</w:t>
      </w:r>
      <w:r w:rsidRPr="009D52FD">
        <w:rPr>
          <w:sz w:val="16"/>
          <w:szCs w:val="16"/>
          <w:lang w:val="en-US"/>
        </w:rPr>
        <w:t>, 1992,</w:t>
      </w:r>
      <w:r w:rsidRPr="009D52FD">
        <w:rPr>
          <w:rFonts w:cs="Vrinda"/>
          <w:color w:val="000000"/>
          <w:sz w:val="16"/>
          <w:szCs w:val="16"/>
          <w:lang w:val="en-US"/>
        </w:rPr>
        <w:t xml:space="preserve"> para. 1.</w:t>
      </w:r>
    </w:p>
  </w:footnote>
  <w:footnote w:id="210">
    <w:p w14:paraId="2DAF700A" w14:textId="3D24755C"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i/>
          <w:color w:val="000000"/>
          <w:sz w:val="16"/>
          <w:szCs w:val="16"/>
          <w:lang w:val="en-US" w:eastAsia="en-US"/>
        </w:rPr>
        <w:t xml:space="preserve">Case of </w:t>
      </w:r>
      <w:r w:rsidRPr="009D52FD">
        <w:rPr>
          <w:i/>
          <w:sz w:val="16"/>
          <w:szCs w:val="16"/>
          <w:lang w:val="en-US"/>
        </w:rPr>
        <w:t>Velásquez Rodríguez</w:t>
      </w:r>
      <w:r w:rsidRPr="009D52FD">
        <w:rPr>
          <w:rFonts w:eastAsia="Calibri"/>
          <w:i/>
          <w:sz w:val="16"/>
          <w:szCs w:val="16"/>
          <w:lang w:val="en-US"/>
        </w:rPr>
        <w:t xml:space="preserve"> </w:t>
      </w:r>
      <w:r w:rsidRPr="009D52FD">
        <w:rPr>
          <w:i/>
          <w:sz w:val="16"/>
          <w:szCs w:val="16"/>
          <w:lang w:val="en-US"/>
        </w:rPr>
        <w:t>v. Honduras. Merits, supra</w:t>
      </w:r>
      <w:r w:rsidRPr="009D52FD">
        <w:rPr>
          <w:sz w:val="16"/>
          <w:szCs w:val="16"/>
          <w:lang w:val="en-US"/>
        </w:rPr>
        <w:t>, para. 164</w:t>
      </w:r>
      <w:r w:rsidRPr="009D52FD">
        <w:rPr>
          <w:color w:val="000000"/>
          <w:sz w:val="16"/>
          <w:szCs w:val="16"/>
          <w:lang w:val="en-US" w:eastAsia="en-US"/>
        </w:rPr>
        <w:t xml:space="preserve">, and </w:t>
      </w:r>
      <w:r w:rsidRPr="009D52FD">
        <w:rPr>
          <w:i/>
          <w:color w:val="000000"/>
          <w:sz w:val="16"/>
          <w:szCs w:val="16"/>
          <w:lang w:val="en-US" w:eastAsia="en-US"/>
        </w:rPr>
        <w:t>Case of I.V. v. Bolivia</w:t>
      </w:r>
      <w:r w:rsidRPr="009D52FD">
        <w:rPr>
          <w:i/>
          <w:sz w:val="16"/>
          <w:szCs w:val="16"/>
          <w:lang w:val="en-US"/>
        </w:rPr>
        <w:t>, supra</w:t>
      </w:r>
      <w:r w:rsidRPr="009D52FD">
        <w:rPr>
          <w:color w:val="000000"/>
          <w:sz w:val="16"/>
          <w:szCs w:val="16"/>
          <w:lang w:val="en-US" w:eastAsia="en-US"/>
        </w:rPr>
        <w:t>, para. 221</w:t>
      </w:r>
      <w:r w:rsidRPr="009D52FD">
        <w:rPr>
          <w:sz w:val="16"/>
          <w:szCs w:val="16"/>
          <w:lang w:val="en-US"/>
        </w:rPr>
        <w:t>.</w:t>
      </w:r>
    </w:p>
  </w:footnote>
  <w:footnote w:id="211">
    <w:p w14:paraId="3E69FDEF" w14:textId="0FC7F76E" w:rsidR="009D52FD" w:rsidRPr="009D52FD" w:rsidRDefault="009D52FD" w:rsidP="00525314">
      <w:pPr>
        <w:tabs>
          <w:tab w:val="left" w:pos="567"/>
        </w:tabs>
        <w:spacing w:after="60" w:line="240" w:lineRule="auto"/>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hyperlink r:id="rId5" w:history="1">
        <w:r w:rsidRPr="009D52FD">
          <w:rPr>
            <w:i/>
            <w:sz w:val="16"/>
            <w:szCs w:val="16"/>
            <w:lang w:val="en-US"/>
          </w:rPr>
          <w:t>The Word "Laws " in Article 30 of the American Convention on Human Rights</w:t>
        </w:r>
      </w:hyperlink>
      <w:r w:rsidRPr="009D52FD">
        <w:rPr>
          <w:i/>
          <w:sz w:val="16"/>
          <w:szCs w:val="16"/>
          <w:lang w:val="en-US"/>
        </w:rPr>
        <w:t xml:space="preserve">, </w:t>
      </w:r>
      <w:r w:rsidRPr="009D52FD">
        <w:rPr>
          <w:sz w:val="16"/>
          <w:szCs w:val="16"/>
          <w:lang w:val="en-US"/>
        </w:rPr>
        <w:t xml:space="preserve">Advisory Opinion OC-6/86, May 9, 1986. Series A No. 6, para. 21, and </w:t>
      </w:r>
      <w:r w:rsidRPr="009D52FD">
        <w:rPr>
          <w:i/>
          <w:sz w:val="16"/>
          <w:szCs w:val="16"/>
          <w:lang w:val="en-US"/>
        </w:rPr>
        <w:t>Case of I.V. v. Bolivia, supra</w:t>
      </w:r>
      <w:r w:rsidRPr="009D52FD">
        <w:rPr>
          <w:sz w:val="16"/>
          <w:szCs w:val="16"/>
          <w:lang w:val="en-US"/>
        </w:rPr>
        <w:t>, para. 222.</w:t>
      </w:r>
    </w:p>
  </w:footnote>
  <w:footnote w:id="212">
    <w:p w14:paraId="033F8C8D" w14:textId="0CC282B9" w:rsidR="009D52FD" w:rsidRPr="009D52FD" w:rsidRDefault="009D52FD" w:rsidP="008778DD">
      <w:pPr>
        <w:tabs>
          <w:tab w:val="left" w:pos="567"/>
        </w:tabs>
        <w:spacing w:after="60" w:line="240" w:lineRule="auto"/>
        <w:rPr>
          <w:i/>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i/>
          <w:sz w:val="16"/>
          <w:szCs w:val="16"/>
          <w:lang w:val="en-US"/>
        </w:rPr>
        <w:tab/>
        <w:t xml:space="preserve">Cf. Case of Velásquez Rodríguez v. Honduras. Merits, supra, </w:t>
      </w:r>
      <w:r w:rsidRPr="009D52FD">
        <w:rPr>
          <w:sz w:val="16"/>
          <w:szCs w:val="16"/>
          <w:lang w:val="en-US"/>
        </w:rPr>
        <w:t xml:space="preserve">paras. 165 and 166, and </w:t>
      </w:r>
      <w:r w:rsidRPr="009D52FD">
        <w:rPr>
          <w:rFonts w:cs="Courier New"/>
          <w:i/>
          <w:sz w:val="16"/>
          <w:szCs w:val="16"/>
          <w:lang w:val="en-US"/>
        </w:rPr>
        <w:t>Case of Velásquez Paiz et al. v. Guatemala. Preliminary objections, merits, reparations and costs</w:t>
      </w:r>
      <w:r w:rsidRPr="009D52FD">
        <w:rPr>
          <w:rFonts w:cs="Courier New"/>
          <w:sz w:val="16"/>
          <w:szCs w:val="16"/>
          <w:lang w:val="en-US"/>
        </w:rPr>
        <w:t>. Judgment of November 19, 2015. Series C No. 307</w:t>
      </w:r>
      <w:r w:rsidRPr="009D52FD">
        <w:rPr>
          <w:sz w:val="16"/>
          <w:szCs w:val="16"/>
          <w:lang w:val="en-US"/>
        </w:rPr>
        <w:t>, para. 106.</w:t>
      </w:r>
    </w:p>
  </w:footnote>
  <w:footnote w:id="213">
    <w:p w14:paraId="37FF9EB7" w14:textId="0C542127" w:rsidR="009D52FD" w:rsidRPr="009D52FD" w:rsidRDefault="009D52FD" w:rsidP="008778DD">
      <w:pPr>
        <w:pStyle w:val="FootnoteText"/>
        <w:tabs>
          <w:tab w:val="left" w:pos="567"/>
        </w:tabs>
        <w:spacing w:after="60"/>
        <w:rPr>
          <w:i/>
          <w:sz w:val="16"/>
          <w:szCs w:val="16"/>
          <w:lang w:val="en-US"/>
        </w:rPr>
      </w:pPr>
      <w:r w:rsidRPr="009D52FD">
        <w:rPr>
          <w:rStyle w:val="FootnoteReference"/>
          <w:rFonts w:eastAsia="MS Gothic"/>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Case of Velásquez Rodríguez v. Honduras. Merits, supra, </w:t>
      </w:r>
      <w:r w:rsidRPr="009D52FD">
        <w:rPr>
          <w:sz w:val="16"/>
          <w:szCs w:val="16"/>
          <w:lang w:val="en-US"/>
        </w:rPr>
        <w:t xml:space="preserve">para. 166, and </w:t>
      </w:r>
      <w:r w:rsidRPr="009D52FD">
        <w:rPr>
          <w:rFonts w:cs="Courier New"/>
          <w:i/>
          <w:sz w:val="16"/>
          <w:szCs w:val="16"/>
          <w:lang w:val="en-US"/>
        </w:rPr>
        <w:t xml:space="preserve">Case of </w:t>
      </w:r>
      <w:r w:rsidRPr="009D52FD">
        <w:rPr>
          <w:i/>
          <w:color w:val="000000"/>
          <w:sz w:val="16"/>
          <w:szCs w:val="16"/>
          <w:lang w:val="en-US" w:eastAsia="en-US"/>
        </w:rPr>
        <w:t>I.V. v. Bolivia</w:t>
      </w:r>
      <w:r w:rsidRPr="009D52FD">
        <w:rPr>
          <w:i/>
          <w:sz w:val="16"/>
          <w:szCs w:val="16"/>
          <w:lang w:val="en-US"/>
        </w:rPr>
        <w:t>, supra</w:t>
      </w:r>
      <w:r w:rsidRPr="009D52FD">
        <w:rPr>
          <w:color w:val="000000"/>
          <w:sz w:val="16"/>
          <w:szCs w:val="16"/>
          <w:lang w:val="en-US" w:eastAsia="en-US"/>
        </w:rPr>
        <w:t>, para. 208</w:t>
      </w:r>
      <w:r w:rsidRPr="009D52FD">
        <w:rPr>
          <w:sz w:val="16"/>
          <w:szCs w:val="16"/>
          <w:lang w:val="en-US"/>
        </w:rPr>
        <w:t>.</w:t>
      </w:r>
    </w:p>
  </w:footnote>
  <w:footnote w:id="214">
    <w:p w14:paraId="6478B3BD" w14:textId="68374686"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In its Articles 1 and 2, see</w:t>
      </w:r>
      <w:r w:rsidRPr="009D52FD">
        <w:rPr>
          <w:i/>
          <w:sz w:val="16"/>
          <w:szCs w:val="16"/>
          <w:lang w:val="en-US"/>
        </w:rPr>
        <w:t xml:space="preserve"> supra</w:t>
      </w:r>
      <w:r w:rsidRPr="009D52FD">
        <w:rPr>
          <w:sz w:val="16"/>
          <w:szCs w:val="16"/>
          <w:lang w:val="en-US"/>
        </w:rPr>
        <w:t>.</w:t>
      </w:r>
    </w:p>
  </w:footnote>
  <w:footnote w:id="215">
    <w:p w14:paraId="059441AA" w14:textId="157D33F9"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Case of the Miguel Castro Castro Prison v. Peru. Merits, reparations and costs. </w:t>
      </w:r>
      <w:r w:rsidRPr="009D52FD">
        <w:rPr>
          <w:sz w:val="16"/>
          <w:szCs w:val="16"/>
          <w:lang w:val="en-US"/>
        </w:rPr>
        <w:t xml:space="preserve">Judgment of November 25, 2006. Series C No. 160, para. 346, and </w:t>
      </w:r>
      <w:r w:rsidRPr="009D52FD">
        <w:rPr>
          <w:rFonts w:cs="Courier New"/>
          <w:i/>
          <w:sz w:val="16"/>
          <w:szCs w:val="16"/>
          <w:lang w:val="en-US"/>
        </w:rPr>
        <w:t>Case of Velásquez Paiz et al. v. Guatemala</w:t>
      </w:r>
      <w:r w:rsidRPr="009D52FD">
        <w:rPr>
          <w:i/>
          <w:sz w:val="16"/>
          <w:szCs w:val="16"/>
          <w:lang w:val="en-US"/>
        </w:rPr>
        <w:t>, supra</w:t>
      </w:r>
      <w:r w:rsidRPr="009D52FD">
        <w:rPr>
          <w:sz w:val="16"/>
          <w:szCs w:val="16"/>
          <w:lang w:val="en-US"/>
        </w:rPr>
        <w:t>, para. 108.</w:t>
      </w:r>
    </w:p>
  </w:footnote>
  <w:footnote w:id="216">
    <w:p w14:paraId="23A7CEBB" w14:textId="27352888"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Case of González et al. (“Cotton Field”) v. Mexico. Preliminary objection, merits, reparations and costs. </w:t>
      </w:r>
      <w:r w:rsidRPr="009D52FD">
        <w:rPr>
          <w:sz w:val="16"/>
          <w:szCs w:val="16"/>
          <w:lang w:val="en-US"/>
        </w:rPr>
        <w:t xml:space="preserve">Judgment of November 16, 2009. Series C No. 205, para. 258, and </w:t>
      </w:r>
      <w:r w:rsidRPr="009D52FD">
        <w:rPr>
          <w:rFonts w:cs="Courier New"/>
          <w:i/>
          <w:sz w:val="16"/>
          <w:szCs w:val="16"/>
          <w:lang w:val="en-US"/>
        </w:rPr>
        <w:t xml:space="preserve">Case of V.R.P., V.P.C. et al. v. Nicaragua. Preliminary objections, merits, reparations and costs. </w:t>
      </w:r>
      <w:r w:rsidRPr="009D52FD">
        <w:rPr>
          <w:rFonts w:cs="Courier New"/>
          <w:sz w:val="16"/>
          <w:szCs w:val="16"/>
          <w:lang w:val="en-US"/>
        </w:rPr>
        <w:t>Judgment of March 8, 2018.</w:t>
      </w:r>
      <w:r w:rsidRPr="009D52FD">
        <w:rPr>
          <w:rFonts w:cs="Courier New"/>
          <w:i/>
          <w:sz w:val="16"/>
          <w:szCs w:val="16"/>
          <w:lang w:val="en-US"/>
        </w:rPr>
        <w:t xml:space="preserve"> </w:t>
      </w:r>
      <w:r w:rsidRPr="009D52FD">
        <w:rPr>
          <w:rFonts w:cs="Courier New"/>
          <w:sz w:val="16"/>
          <w:szCs w:val="16"/>
          <w:lang w:val="en-US"/>
        </w:rPr>
        <w:t>Series C No. 350, para. 153</w:t>
      </w:r>
      <w:r w:rsidRPr="009D52FD">
        <w:rPr>
          <w:sz w:val="16"/>
          <w:szCs w:val="16"/>
          <w:lang w:val="en-US"/>
        </w:rPr>
        <w:t>.</w:t>
      </w:r>
    </w:p>
  </w:footnote>
  <w:footnote w:id="217">
    <w:p w14:paraId="77B2A9B5" w14:textId="0D2630B9"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Case of González et al. (“Cotton Field”) v. Mexico, supra, </w:t>
      </w:r>
      <w:r w:rsidRPr="009D52FD">
        <w:rPr>
          <w:sz w:val="16"/>
          <w:szCs w:val="16"/>
          <w:lang w:val="en-US"/>
        </w:rPr>
        <w:t xml:space="preserve">para. 258, and </w:t>
      </w:r>
      <w:r w:rsidRPr="009D52FD">
        <w:rPr>
          <w:i/>
          <w:sz w:val="16"/>
          <w:szCs w:val="16"/>
          <w:lang w:val="en-US"/>
        </w:rPr>
        <w:t xml:space="preserve">Case of Favela Nova Brasilia v. Brazil. Preliminary objections, merits, reparations and costs. </w:t>
      </w:r>
      <w:r w:rsidRPr="009D52FD">
        <w:rPr>
          <w:sz w:val="16"/>
          <w:szCs w:val="16"/>
          <w:lang w:val="en-US"/>
        </w:rPr>
        <w:t>Judgment of February 16, 2017. Series C No. 333, para. 243.</w:t>
      </w:r>
    </w:p>
  </w:footnote>
  <w:footnote w:id="218">
    <w:p w14:paraId="1C25736D" w14:textId="630FF7F9" w:rsidR="009D52FD" w:rsidRPr="009D52FD" w:rsidRDefault="009D52FD" w:rsidP="008778DD">
      <w:pPr>
        <w:pStyle w:val="ListParagraph"/>
        <w:tabs>
          <w:tab w:val="left" w:pos="567"/>
        </w:tabs>
        <w:spacing w:after="60" w:line="240" w:lineRule="auto"/>
        <w:ind w:left="0"/>
        <w:rPr>
          <w:bCs/>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iCs/>
          <w:sz w:val="16"/>
          <w:szCs w:val="16"/>
          <w:lang w:val="en-US"/>
        </w:rPr>
        <w:t xml:space="preserve">Cf. </w:t>
      </w:r>
      <w:r w:rsidRPr="009D52FD">
        <w:rPr>
          <w:i/>
          <w:sz w:val="16"/>
          <w:szCs w:val="16"/>
          <w:lang w:val="en-US"/>
        </w:rPr>
        <w:t xml:space="preserve">Case of González et al. (“Cotton Field”) v. Mexico, supra, </w:t>
      </w:r>
      <w:r w:rsidRPr="009D52FD">
        <w:rPr>
          <w:sz w:val="16"/>
          <w:szCs w:val="16"/>
          <w:lang w:val="en-US"/>
        </w:rPr>
        <w:t xml:space="preserve">para. 388, and </w:t>
      </w:r>
      <w:r w:rsidRPr="009D52FD">
        <w:rPr>
          <w:rFonts w:cs="Courier New"/>
          <w:i/>
          <w:sz w:val="16"/>
          <w:szCs w:val="16"/>
          <w:lang w:val="en-US"/>
        </w:rPr>
        <w:t>Case of Velásquez Paiz et al. v. Guatemala</w:t>
      </w:r>
      <w:r w:rsidRPr="009D52FD">
        <w:rPr>
          <w:i/>
          <w:sz w:val="16"/>
          <w:szCs w:val="16"/>
          <w:lang w:val="en-US"/>
        </w:rPr>
        <w:t>, supra</w:t>
      </w:r>
      <w:r w:rsidRPr="009D52FD">
        <w:rPr>
          <w:rFonts w:cs="Courier New"/>
          <w:sz w:val="16"/>
          <w:szCs w:val="16"/>
          <w:lang w:val="en-US"/>
        </w:rPr>
        <w:t>, para. 148</w:t>
      </w:r>
      <w:r w:rsidRPr="009D52FD">
        <w:rPr>
          <w:sz w:val="16"/>
          <w:szCs w:val="16"/>
          <w:lang w:val="en-US"/>
        </w:rPr>
        <w:t xml:space="preserve">. </w:t>
      </w:r>
      <w:r w:rsidRPr="009D52FD">
        <w:rPr>
          <w:bCs/>
          <w:sz w:val="16"/>
          <w:szCs w:val="16"/>
          <w:lang w:val="en-US"/>
        </w:rPr>
        <w:t xml:space="preserve">This may be done by standardizing the protocols, manuals, expert and judicial services used in the investigation of all offenses that relate to disappearances, sexual violence and murder of women, based on the Istanbul Protocol, the United Nations Manual on the Effective Prevention and Investigation of Extra-Legal, Arbitrary and Summary Executions, and international standards on the search for disappeared persons with a gender-based perspective. </w:t>
      </w:r>
    </w:p>
  </w:footnote>
  <w:footnote w:id="219">
    <w:p w14:paraId="63C9DB03" w14:textId="3EC4816A"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Expert opinion provided by affidavit by Juan E. Méndez on January 24, 2018 (evidence file, volume XLIV, affidavits, folio 31251).</w:t>
      </w:r>
    </w:p>
  </w:footnote>
  <w:footnote w:id="220">
    <w:p w14:paraId="51E3E7B1" w14:textId="383D4C0D"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Thus, the Court has already noted that “CEDAW has established that ‘States may also be responsible for private acts if they fail to act with due diligence to prevent violations of rights or to investigate and punish acts of violence, and for providing compensation.’” </w:t>
      </w:r>
      <w:r w:rsidRPr="009D52FD">
        <w:rPr>
          <w:i/>
          <w:sz w:val="16"/>
          <w:szCs w:val="16"/>
          <w:lang w:val="en-US"/>
        </w:rPr>
        <w:t>Case of González et al. (“Cotton Field”), supra</w:t>
      </w:r>
      <w:r w:rsidRPr="009D52FD">
        <w:rPr>
          <w:sz w:val="16"/>
          <w:szCs w:val="16"/>
          <w:lang w:val="en-US"/>
        </w:rPr>
        <w:t xml:space="preserve">, para. 254, citing UN, Committee on the Elimination of Discrimination against Women, General recommendation No. 19, </w:t>
      </w:r>
      <w:r w:rsidRPr="009D52FD">
        <w:rPr>
          <w:i/>
          <w:sz w:val="16"/>
          <w:szCs w:val="16"/>
          <w:lang w:val="en-US"/>
        </w:rPr>
        <w:t>Violence against women</w:t>
      </w:r>
      <w:r w:rsidRPr="009D52FD">
        <w:rPr>
          <w:sz w:val="16"/>
          <w:szCs w:val="16"/>
          <w:lang w:val="en-US"/>
        </w:rPr>
        <w:t xml:space="preserve">, 1992, para. 9. Also, article 4 of the Declaration on the Elimination of  Violence against Women (proclaimed by the United Nations General Assembly at its 85th plenary session, on December 20, 1993), indicates, </w:t>
      </w:r>
      <w:r w:rsidRPr="009D52FD">
        <w:rPr>
          <w:i/>
          <w:sz w:val="16"/>
          <w:szCs w:val="16"/>
          <w:lang w:val="en-US"/>
        </w:rPr>
        <w:t>inter alia</w:t>
      </w:r>
      <w:r w:rsidRPr="009D52FD">
        <w:rPr>
          <w:sz w:val="16"/>
          <w:szCs w:val="16"/>
          <w:lang w:val="en-US"/>
        </w:rPr>
        <w:t xml:space="preserve">, that “States should pursue by all appropriate means and without delay a policy of eliminating violence against women and, to this end, should: […] (c) Exercise due diligence to prevent, investigate and, in accordance with national legislation, punish acts of violence against women, whether those acts are perpetrated by the State or by private persons.” In addition, in 1995, the Beijing Declaration and Platform of Action, adopted by the Fourth World Conference on Women (at the 16th plenary session, held on September 15, 1995) indicated – in paragraph 29 of the Declaration – the commitment of the Governments to, </w:t>
      </w:r>
      <w:r w:rsidRPr="009D52FD">
        <w:rPr>
          <w:i/>
          <w:sz w:val="16"/>
          <w:szCs w:val="16"/>
          <w:lang w:val="en-US"/>
        </w:rPr>
        <w:t>inter alia</w:t>
      </w:r>
      <w:r w:rsidRPr="009D52FD">
        <w:rPr>
          <w:sz w:val="16"/>
          <w:szCs w:val="16"/>
          <w:lang w:val="en-US"/>
        </w:rPr>
        <w:t xml:space="preserve">, “[p]revent and eliminate all forms of violence against women and girls.” Paragraph 124 (b) and (d) of the Platform of Action indicated the obligation of Governments to adopt measures to prevent and investigate acts of violence against women, even those perpetrated by private persons. Meanwhile, the United Nations Special Rapporteur on violence against women, its causes and consequences, determined that general international human rights law established the responsibility of the State for violations of women’s rights by private citizens. UN, </w:t>
      </w:r>
      <w:r w:rsidRPr="009D52FD">
        <w:rPr>
          <w:i/>
          <w:sz w:val="16"/>
          <w:szCs w:val="16"/>
          <w:lang w:val="en-US"/>
        </w:rPr>
        <w:t>Preliminary report submitted by the Special Rapporteur on violence against women, its causes and consequences</w:t>
      </w:r>
      <w:r w:rsidRPr="009D52FD">
        <w:rPr>
          <w:sz w:val="16"/>
          <w:szCs w:val="16"/>
          <w:lang w:val="en-US"/>
        </w:rPr>
        <w:t>,</w:t>
      </w:r>
      <w:r w:rsidRPr="009D52FD">
        <w:rPr>
          <w:i/>
          <w:iCs/>
          <w:sz w:val="16"/>
          <w:szCs w:val="16"/>
          <w:lang w:val="en-US"/>
        </w:rPr>
        <w:t xml:space="preserve"> Ms.</w:t>
      </w:r>
      <w:r w:rsidRPr="009D52FD">
        <w:rPr>
          <w:sz w:val="16"/>
          <w:szCs w:val="16"/>
          <w:lang w:val="en-US"/>
        </w:rPr>
        <w:t xml:space="preserve"> </w:t>
      </w:r>
      <w:r w:rsidRPr="009D52FD">
        <w:rPr>
          <w:i/>
          <w:sz w:val="16"/>
          <w:szCs w:val="16"/>
          <w:lang w:val="en-US"/>
        </w:rPr>
        <w:t xml:space="preserve">Radhika Coomaraswamy, </w:t>
      </w:r>
      <w:r w:rsidRPr="009D52FD">
        <w:rPr>
          <w:sz w:val="16"/>
          <w:szCs w:val="16"/>
          <w:lang w:val="en-US"/>
        </w:rPr>
        <w:t>E/CN.4/1995/42, November 22, 1994, paras. 5 and 99 to 102.</w:t>
      </w:r>
    </w:p>
  </w:footnote>
  <w:footnote w:id="221">
    <w:p w14:paraId="2F3C56D4" w14:textId="3D6380DE" w:rsidR="009D52FD" w:rsidRPr="009D52FD" w:rsidRDefault="009D52FD" w:rsidP="008778DD">
      <w:pPr>
        <w:tabs>
          <w:tab w:val="left" w:pos="567"/>
        </w:tabs>
        <w:autoSpaceDE w:val="0"/>
        <w:autoSpaceDN w:val="0"/>
        <w:spacing w:after="60" w:line="240" w:lineRule="auto"/>
        <w:ind w:right="18"/>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Case of González et al. (“Cotton Field”) v. Mexico, supra, </w:t>
      </w:r>
      <w:r w:rsidRPr="009D52FD">
        <w:rPr>
          <w:sz w:val="16"/>
          <w:szCs w:val="16"/>
          <w:lang w:val="en-US"/>
        </w:rPr>
        <w:t xml:space="preserve">para. 258, and </w:t>
      </w:r>
      <w:r w:rsidRPr="009D52FD">
        <w:rPr>
          <w:rFonts w:cs="Courier New"/>
          <w:i/>
          <w:sz w:val="16"/>
          <w:szCs w:val="16"/>
          <w:lang w:val="en-US"/>
        </w:rPr>
        <w:t>Case of Velásquez Paiz et al. v. Guatemala</w:t>
      </w:r>
      <w:r w:rsidRPr="009D52FD">
        <w:rPr>
          <w:i/>
          <w:sz w:val="16"/>
          <w:szCs w:val="16"/>
          <w:lang w:val="en-US"/>
        </w:rPr>
        <w:t>, supra</w:t>
      </w:r>
      <w:r w:rsidRPr="009D52FD">
        <w:rPr>
          <w:sz w:val="16"/>
          <w:szCs w:val="16"/>
          <w:lang w:val="en-US"/>
        </w:rPr>
        <w:t>, para. 256, citing UN, Report of the Special Rapporteur on violence against women, its causes and consequences</w:t>
      </w:r>
      <w:r w:rsidRPr="009D52FD">
        <w:rPr>
          <w:rFonts w:cs="Courier New"/>
          <w:sz w:val="16"/>
          <w:szCs w:val="16"/>
          <w:lang w:val="en-US"/>
        </w:rPr>
        <w:t xml:space="preserve">, Ms. Radhika Coomaraswamy, </w:t>
      </w:r>
      <w:r w:rsidRPr="009D52FD">
        <w:rPr>
          <w:rFonts w:cs="Courier New"/>
          <w:i/>
          <w:sz w:val="16"/>
          <w:szCs w:val="16"/>
          <w:lang w:val="en-US" w:eastAsia="x-none"/>
        </w:rPr>
        <w:t>Violence against women in the family</w:t>
      </w:r>
      <w:r w:rsidRPr="009D52FD">
        <w:rPr>
          <w:rFonts w:cs="Courier New"/>
          <w:i/>
          <w:sz w:val="16"/>
          <w:szCs w:val="16"/>
          <w:lang w:val="en-US"/>
        </w:rPr>
        <w:t>,</w:t>
      </w:r>
      <w:r w:rsidRPr="009D52FD">
        <w:rPr>
          <w:rFonts w:cs="Courier New"/>
          <w:sz w:val="16"/>
          <w:szCs w:val="16"/>
          <w:lang w:val="en-US"/>
        </w:rPr>
        <w:t xml:space="preserve"> E/CN.4/1999/68, March 10, 1999, para. 25.</w:t>
      </w:r>
    </w:p>
  </w:footnote>
  <w:footnote w:id="222">
    <w:p w14:paraId="38DBE193" w14:textId="3AC15BE1" w:rsidR="009D52FD" w:rsidRPr="009D52FD" w:rsidRDefault="009D52FD" w:rsidP="008778DD">
      <w:pPr>
        <w:widowControl/>
        <w:tabs>
          <w:tab w:val="left" w:pos="567"/>
        </w:tabs>
        <w:adjustRightInd/>
        <w:spacing w:after="60" w:line="240" w:lineRule="auto"/>
        <w:textAlignment w:val="auto"/>
        <w:rPr>
          <w:color w:val="000000"/>
          <w:sz w:val="16"/>
          <w:szCs w:val="16"/>
          <w:lang w:val="en-US" w:eastAsia="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color w:val="000000"/>
          <w:sz w:val="16"/>
          <w:szCs w:val="16"/>
          <w:lang w:val="en-US" w:eastAsia="en-US"/>
        </w:rPr>
        <w:t xml:space="preserve">Expert opinion provided by Daniela Kravetz during the public hearing before the Inter-American Court on February 6, 2018. </w:t>
      </w:r>
      <w:r w:rsidRPr="009D52FD">
        <w:rPr>
          <w:sz w:val="16"/>
          <w:szCs w:val="16"/>
          <w:lang w:val="en-US"/>
        </w:rPr>
        <w:t>See also, Written version of the expert opinion provided by</w:t>
      </w:r>
      <w:r w:rsidRPr="009D52FD">
        <w:rPr>
          <w:color w:val="000000"/>
          <w:sz w:val="16"/>
          <w:szCs w:val="16"/>
          <w:lang w:val="en-US" w:eastAsia="en-US"/>
        </w:rPr>
        <w:t xml:space="preserve"> Daniela Kravetz during the public hearing before the Inter-American Court on February 6, 2018 (merits file, volume I, folio 836).</w:t>
      </w:r>
    </w:p>
  </w:footnote>
  <w:footnote w:id="223">
    <w:p w14:paraId="6669A715" w14:textId="3D05B715" w:rsidR="009D52FD" w:rsidRPr="009D52FD" w:rsidRDefault="009D52FD" w:rsidP="008778DD">
      <w:pPr>
        <w:widowControl/>
        <w:tabs>
          <w:tab w:val="left" w:pos="567"/>
        </w:tabs>
        <w:adjustRightInd/>
        <w:spacing w:after="60" w:line="240" w:lineRule="auto"/>
        <w:textAlignment w:val="auto"/>
        <w:rPr>
          <w:i/>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rFonts w:cs="Courier New"/>
          <w:i/>
          <w:sz w:val="16"/>
          <w:szCs w:val="16"/>
          <w:lang w:val="en-US"/>
        </w:rPr>
        <w:t>Case of González et al. (“Cotton Field”) v. Mexico</w:t>
      </w:r>
      <w:r w:rsidRPr="009D52FD">
        <w:rPr>
          <w:i/>
          <w:sz w:val="16"/>
          <w:szCs w:val="16"/>
          <w:lang w:val="en-US"/>
        </w:rPr>
        <w:t>, supra</w:t>
      </w:r>
      <w:r w:rsidRPr="009D52FD">
        <w:rPr>
          <w:rFonts w:cs="Courier New"/>
          <w:sz w:val="16"/>
          <w:szCs w:val="16"/>
          <w:lang w:val="en-US"/>
        </w:rPr>
        <w:t xml:space="preserve">, para. 401, and </w:t>
      </w:r>
      <w:r w:rsidRPr="009D52FD">
        <w:rPr>
          <w:rFonts w:cs="Courier New"/>
          <w:i/>
          <w:sz w:val="16"/>
          <w:szCs w:val="16"/>
          <w:lang w:val="en-US"/>
        </w:rPr>
        <w:t>Case of Velásquez Paiz et al. v. Guatemala</w:t>
      </w:r>
      <w:r w:rsidRPr="009D52FD">
        <w:rPr>
          <w:i/>
          <w:sz w:val="16"/>
          <w:szCs w:val="16"/>
          <w:lang w:val="en-US"/>
        </w:rPr>
        <w:t>, supra</w:t>
      </w:r>
      <w:r w:rsidRPr="009D52FD">
        <w:rPr>
          <w:sz w:val="16"/>
          <w:szCs w:val="16"/>
          <w:lang w:val="en-US"/>
        </w:rPr>
        <w:t>, paras. 180 to 183.</w:t>
      </w:r>
    </w:p>
  </w:footnote>
  <w:footnote w:id="224">
    <w:p w14:paraId="7E3BB2EE" w14:textId="262833BC"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Case of the “Mapiripán Massacre” v. Colombia. Merits, reparations and costs</w:t>
      </w:r>
      <w:r w:rsidRPr="009D52FD">
        <w:rPr>
          <w:sz w:val="16"/>
          <w:szCs w:val="16"/>
          <w:lang w:val="en-US"/>
        </w:rPr>
        <w:t xml:space="preserve">. Judgment of September 15, 2005. Series C No. 134, para. 111, and </w:t>
      </w:r>
      <w:r w:rsidRPr="009D52FD">
        <w:rPr>
          <w:rFonts w:cs="Courier New"/>
          <w:i/>
          <w:sz w:val="16"/>
          <w:szCs w:val="16"/>
          <w:lang w:val="en-US"/>
        </w:rPr>
        <w:t>Case of Valle Jaramillo et al. v. Colombia. Merits, reparations and costs</w:t>
      </w:r>
      <w:r w:rsidRPr="009D52FD">
        <w:rPr>
          <w:rFonts w:cs="Courier New"/>
          <w:sz w:val="16"/>
          <w:szCs w:val="16"/>
          <w:lang w:val="en-US"/>
        </w:rPr>
        <w:t>. Judgment of November 27, 2008. Series C No. 192, para. 77</w:t>
      </w:r>
      <w:r w:rsidRPr="009D52FD">
        <w:rPr>
          <w:sz w:val="16"/>
          <w:szCs w:val="16"/>
          <w:lang w:val="en-US"/>
        </w:rPr>
        <w:t>.</w:t>
      </w:r>
    </w:p>
  </w:footnote>
  <w:footnote w:id="225">
    <w:p w14:paraId="534C60A7" w14:textId="569CB6EF"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 Case of the Pueblo Bello Massacre v. Colombia. Merits, reparations and costs</w:t>
      </w:r>
      <w:r w:rsidRPr="009D52FD">
        <w:rPr>
          <w:sz w:val="16"/>
          <w:szCs w:val="16"/>
          <w:lang w:val="en-US"/>
        </w:rPr>
        <w:t xml:space="preserve">. Judgment of January 31, 2006. Series C No. 140, para. 123, and </w:t>
      </w:r>
      <w:r w:rsidRPr="009D52FD">
        <w:rPr>
          <w:i/>
          <w:sz w:val="16"/>
          <w:szCs w:val="16"/>
          <w:lang w:val="en-US"/>
        </w:rPr>
        <w:t xml:space="preserve">Case of Carvajal Carvajal et al. v. Colombia. Merits, reparations and costs. </w:t>
      </w:r>
      <w:r w:rsidRPr="009D52FD">
        <w:rPr>
          <w:sz w:val="16"/>
          <w:szCs w:val="16"/>
          <w:lang w:val="en-US"/>
        </w:rPr>
        <w:t>Judgment of March 13, 2018. Series C No. 352, para. 161.</w:t>
      </w:r>
    </w:p>
  </w:footnote>
  <w:footnote w:id="226">
    <w:p w14:paraId="3424BAD0" w14:textId="29727EDF"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 Case of the Pueblo Bello Massacre v. Colombia, supra</w:t>
      </w:r>
      <w:r w:rsidRPr="009D52FD">
        <w:rPr>
          <w:sz w:val="16"/>
          <w:szCs w:val="16"/>
          <w:lang w:val="en-US"/>
        </w:rPr>
        <w:t xml:space="preserve">, para. 123, and </w:t>
      </w:r>
      <w:r w:rsidRPr="009D52FD">
        <w:rPr>
          <w:i/>
          <w:sz w:val="16"/>
          <w:szCs w:val="16"/>
          <w:lang w:val="en-US"/>
        </w:rPr>
        <w:t>Case of Gutiérrez Hernández et al. v. Guatemala. Preliminary objections, merits, reparations and costs.</w:t>
      </w:r>
      <w:r w:rsidRPr="009D52FD">
        <w:rPr>
          <w:sz w:val="16"/>
          <w:szCs w:val="16"/>
          <w:lang w:val="en-US"/>
        </w:rPr>
        <w:t xml:space="preserve"> Judgment of August 24, 2017. Series C No. 339, para. 140</w:t>
      </w:r>
      <w:r w:rsidRPr="009D52FD">
        <w:rPr>
          <w:color w:val="000000"/>
          <w:sz w:val="16"/>
          <w:szCs w:val="16"/>
          <w:lang w:val="en-US"/>
        </w:rPr>
        <w:t>.</w:t>
      </w:r>
    </w:p>
  </w:footnote>
  <w:footnote w:id="227">
    <w:p w14:paraId="001F96BB" w14:textId="4AC8EA3C"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Case of the Pueblo Bello Massacre v. Colombia, supra</w:t>
      </w:r>
      <w:r w:rsidRPr="009D52FD">
        <w:rPr>
          <w:sz w:val="16"/>
          <w:szCs w:val="16"/>
          <w:lang w:val="en-US"/>
        </w:rPr>
        <w:t>, para. 123, citing ECHR</w:t>
      </w:r>
      <w:r w:rsidRPr="009D52FD">
        <w:rPr>
          <w:i/>
          <w:sz w:val="16"/>
          <w:szCs w:val="16"/>
          <w:lang w:val="en-US"/>
        </w:rPr>
        <w:t>, Case of Kiliç v. Turkey</w:t>
      </w:r>
      <w:r w:rsidRPr="009D52FD">
        <w:rPr>
          <w:sz w:val="16"/>
          <w:szCs w:val="16"/>
          <w:lang w:val="en-US"/>
        </w:rPr>
        <w:t xml:space="preserve">, No. 22492/93. Judgment of March 28, 2000, paras. 62 and 63, and </w:t>
      </w:r>
      <w:r w:rsidRPr="009D52FD">
        <w:rPr>
          <w:i/>
          <w:sz w:val="16"/>
          <w:szCs w:val="16"/>
          <w:lang w:val="en-US"/>
        </w:rPr>
        <w:t>Osman v. The United Kingdom,</w:t>
      </w:r>
      <w:r w:rsidRPr="009D52FD">
        <w:rPr>
          <w:sz w:val="16"/>
          <w:szCs w:val="16"/>
          <w:lang w:val="en-US"/>
        </w:rPr>
        <w:t xml:space="preserve"> No. 23452/94. Judgment of October 28, 1998, paras. 115 and 116.</w:t>
      </w:r>
    </w:p>
  </w:footnote>
  <w:footnote w:id="228">
    <w:p w14:paraId="56E63D41" w14:textId="78182462"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w:t>
      </w:r>
      <w:r w:rsidRPr="009D52FD">
        <w:rPr>
          <w:i/>
          <w:sz w:val="16"/>
          <w:szCs w:val="16"/>
          <w:lang w:val="en-US"/>
        </w:rPr>
        <w:t xml:space="preserve">Case of the Sawhoyamaxa Indigenous Community v. Paraguay. Merits, reparations and costs. </w:t>
      </w:r>
      <w:r w:rsidRPr="009D52FD">
        <w:rPr>
          <w:sz w:val="16"/>
          <w:szCs w:val="16"/>
          <w:lang w:val="en-US"/>
        </w:rPr>
        <w:t>Judgment of March 29, 2006. Series C No. 146</w:t>
      </w:r>
      <w:r w:rsidRPr="009D52FD">
        <w:rPr>
          <w:i/>
          <w:sz w:val="16"/>
          <w:szCs w:val="16"/>
          <w:lang w:val="en-US"/>
        </w:rPr>
        <w:t xml:space="preserve">, </w:t>
      </w:r>
      <w:r w:rsidRPr="009D52FD">
        <w:rPr>
          <w:sz w:val="16"/>
          <w:szCs w:val="16"/>
          <w:lang w:val="en-US"/>
        </w:rPr>
        <w:t xml:space="preserve">para. 155; </w:t>
      </w:r>
      <w:r w:rsidRPr="009D52FD">
        <w:rPr>
          <w:i/>
          <w:sz w:val="16"/>
          <w:szCs w:val="16"/>
          <w:lang w:val="en-US"/>
        </w:rPr>
        <w:t>Case of</w:t>
      </w:r>
      <w:r w:rsidRPr="009D52FD">
        <w:rPr>
          <w:sz w:val="16"/>
          <w:szCs w:val="16"/>
          <w:lang w:val="en-US"/>
        </w:rPr>
        <w:t xml:space="preserve"> </w:t>
      </w:r>
      <w:r w:rsidRPr="009D52FD">
        <w:rPr>
          <w:i/>
          <w:sz w:val="16"/>
          <w:szCs w:val="16"/>
          <w:lang w:val="en-US"/>
        </w:rPr>
        <w:t>González et al. (“Cotton Field”) v. Mexico, supra</w:t>
      </w:r>
      <w:r w:rsidRPr="009D52FD">
        <w:rPr>
          <w:rFonts w:cs="Courier New"/>
          <w:i/>
          <w:sz w:val="16"/>
          <w:szCs w:val="16"/>
          <w:lang w:val="en-US"/>
        </w:rPr>
        <w:t xml:space="preserve">, </w:t>
      </w:r>
      <w:r w:rsidRPr="009D52FD">
        <w:rPr>
          <w:sz w:val="16"/>
          <w:szCs w:val="16"/>
          <w:lang w:val="en-US"/>
        </w:rPr>
        <w:t>paras. 283 and 284;</w:t>
      </w:r>
      <w:r w:rsidRPr="009D52FD">
        <w:rPr>
          <w:i/>
          <w:sz w:val="16"/>
          <w:szCs w:val="16"/>
          <w:lang w:val="en-US"/>
        </w:rPr>
        <w:t xml:space="preserve"> Case of the Xákmok Kásek Indigenous Community v. Paraguay. Merits, reparations and costs. </w:t>
      </w:r>
      <w:r w:rsidRPr="009D52FD">
        <w:rPr>
          <w:sz w:val="16"/>
          <w:szCs w:val="16"/>
          <w:lang w:val="en-US"/>
        </w:rPr>
        <w:t>Judgment of August 24, 2010. Series C No. 214, para. 188;</w:t>
      </w:r>
      <w:r w:rsidRPr="009D52FD">
        <w:rPr>
          <w:i/>
          <w:sz w:val="16"/>
          <w:szCs w:val="16"/>
          <w:lang w:val="en-US"/>
        </w:rPr>
        <w:t xml:space="preserve"> Case of Castillo González et al. v. Venezuela. Merits. </w:t>
      </w:r>
      <w:r w:rsidRPr="009D52FD">
        <w:rPr>
          <w:sz w:val="16"/>
          <w:szCs w:val="16"/>
          <w:lang w:val="en-US"/>
        </w:rPr>
        <w:t>Judgment of November 27, 2012. Series C No. 256, para. 128;</w:t>
      </w:r>
      <w:r w:rsidRPr="009D52FD">
        <w:rPr>
          <w:i/>
          <w:sz w:val="16"/>
          <w:szCs w:val="16"/>
          <w:lang w:val="en-US"/>
        </w:rPr>
        <w:t xml:space="preserve"> Case of Luna López v. Honduras. Merits, reparations and costs. </w:t>
      </w:r>
      <w:r w:rsidRPr="009D52FD">
        <w:rPr>
          <w:sz w:val="16"/>
          <w:szCs w:val="16"/>
          <w:lang w:val="en-US"/>
        </w:rPr>
        <w:t xml:space="preserve">Judgment of October 10, 2013. Series C No. 269, para. 124; </w:t>
      </w:r>
      <w:r w:rsidRPr="009D52FD">
        <w:rPr>
          <w:i/>
          <w:sz w:val="16"/>
          <w:szCs w:val="16"/>
          <w:lang w:val="en-US"/>
        </w:rPr>
        <w:t>Case of the Human Rights Defender et al. v. Guatemala</w:t>
      </w:r>
      <w:r w:rsidRPr="009D52FD">
        <w:rPr>
          <w:sz w:val="16"/>
          <w:szCs w:val="16"/>
          <w:lang w:val="en-US"/>
        </w:rPr>
        <w:t xml:space="preserve">. </w:t>
      </w:r>
      <w:r w:rsidRPr="009D52FD">
        <w:rPr>
          <w:i/>
          <w:sz w:val="16"/>
          <w:szCs w:val="16"/>
          <w:lang w:val="en-US"/>
        </w:rPr>
        <w:t xml:space="preserve">Preliminary objections, merits, reparations and costs. </w:t>
      </w:r>
      <w:r w:rsidRPr="009D52FD">
        <w:rPr>
          <w:sz w:val="16"/>
          <w:szCs w:val="16"/>
          <w:lang w:val="en-US"/>
        </w:rPr>
        <w:t xml:space="preserve">Judgment of August 28, 2014. Series C No. 283, para. 143; </w:t>
      </w:r>
      <w:r w:rsidRPr="009D52FD">
        <w:rPr>
          <w:i/>
          <w:sz w:val="16"/>
          <w:szCs w:val="16"/>
          <w:lang w:val="en-US"/>
        </w:rPr>
        <w:t xml:space="preserve">Case of Rodríguez Vera et al. (Disappeared from the Palace of Justice) v. Colombia, supra, </w:t>
      </w:r>
      <w:r w:rsidRPr="009D52FD">
        <w:rPr>
          <w:sz w:val="16"/>
          <w:szCs w:val="16"/>
          <w:lang w:val="en-US"/>
        </w:rPr>
        <w:t xml:space="preserve">para. 527; </w:t>
      </w:r>
      <w:r w:rsidRPr="009D52FD">
        <w:rPr>
          <w:rFonts w:cs="Courier New"/>
          <w:i/>
          <w:sz w:val="16"/>
          <w:szCs w:val="16"/>
          <w:lang w:val="en-US"/>
        </w:rPr>
        <w:t>Case of Velásquez Paiz et al. v. Guatemala</w:t>
      </w:r>
      <w:r w:rsidRPr="009D52FD">
        <w:rPr>
          <w:i/>
          <w:sz w:val="16"/>
          <w:szCs w:val="16"/>
          <w:lang w:val="en-US"/>
        </w:rPr>
        <w:t>, supra</w:t>
      </w:r>
      <w:r w:rsidRPr="009D52FD">
        <w:rPr>
          <w:sz w:val="16"/>
          <w:szCs w:val="16"/>
          <w:lang w:val="en-US"/>
        </w:rPr>
        <w:t xml:space="preserve">, para. 109, and </w:t>
      </w:r>
      <w:r w:rsidRPr="009D52FD">
        <w:rPr>
          <w:i/>
          <w:sz w:val="16"/>
          <w:szCs w:val="16"/>
          <w:lang w:val="en-US"/>
        </w:rPr>
        <w:t>Case of Carvajal Carvajal et al. v. Colombia, supra</w:t>
      </w:r>
      <w:r w:rsidRPr="009D52FD">
        <w:rPr>
          <w:sz w:val="16"/>
          <w:szCs w:val="16"/>
          <w:lang w:val="en-US"/>
        </w:rPr>
        <w:t>, para. 161.</w:t>
      </w:r>
    </w:p>
  </w:footnote>
  <w:footnote w:id="229">
    <w:p w14:paraId="59C8BEBB" w14:textId="1E317F66"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 Case of González et al. (“Cotton Field”) v. Mexico, supra</w:t>
      </w:r>
      <w:r w:rsidRPr="009D52FD">
        <w:rPr>
          <w:sz w:val="16"/>
          <w:szCs w:val="16"/>
          <w:lang w:val="en-US"/>
        </w:rPr>
        <w:t xml:space="preserve">, para. 283, and </w:t>
      </w:r>
      <w:r w:rsidRPr="009D52FD">
        <w:rPr>
          <w:i/>
          <w:sz w:val="16"/>
          <w:szCs w:val="16"/>
          <w:lang w:val="en-US"/>
        </w:rPr>
        <w:t>Case of the Hacienda Brasil Verde Workers v. Brazil. Preliminary objections, merits, reparations and costs.</w:t>
      </w:r>
      <w:r w:rsidRPr="009D52FD">
        <w:rPr>
          <w:sz w:val="16"/>
          <w:szCs w:val="16"/>
          <w:lang w:val="en-US"/>
        </w:rPr>
        <w:t xml:space="preserve"> Judgment of October 20, 2016. Series C No. 318, para. 427.</w:t>
      </w:r>
      <w:r w:rsidRPr="009D52FD">
        <w:rPr>
          <w:i/>
          <w:sz w:val="16"/>
          <w:szCs w:val="16"/>
          <w:lang w:val="en-US"/>
        </w:rPr>
        <w:t xml:space="preserve"> </w:t>
      </w:r>
      <w:r w:rsidRPr="009D52FD">
        <w:rPr>
          <w:sz w:val="16"/>
          <w:szCs w:val="16"/>
          <w:lang w:val="en-US"/>
        </w:rPr>
        <w:t xml:space="preserve">Similarly, </w:t>
      </w:r>
      <w:r w:rsidRPr="009D52FD">
        <w:rPr>
          <w:color w:val="000000"/>
          <w:sz w:val="16"/>
          <w:szCs w:val="16"/>
          <w:lang w:val="en-US" w:eastAsia="en-US"/>
        </w:rPr>
        <w:t>Expert opinion provided by Daniela Kravetz during the public hearing before the Inter-American Court on February 6, 2018.</w:t>
      </w:r>
    </w:p>
  </w:footnote>
  <w:footnote w:id="230">
    <w:p w14:paraId="0549E52D" w14:textId="343DBA2B" w:rsidR="009D52FD" w:rsidRPr="009D52FD" w:rsidRDefault="009D52FD" w:rsidP="008778DD">
      <w:pPr>
        <w:tabs>
          <w:tab w:val="left" w:pos="567"/>
        </w:tabs>
        <w:spacing w:after="60" w:line="240" w:lineRule="auto"/>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 Case of</w:t>
      </w:r>
      <w:r w:rsidRPr="009D52FD">
        <w:rPr>
          <w:sz w:val="16"/>
          <w:szCs w:val="16"/>
          <w:lang w:val="en-US"/>
        </w:rPr>
        <w:t xml:space="preserve"> </w:t>
      </w:r>
      <w:r w:rsidRPr="009D52FD">
        <w:rPr>
          <w:i/>
          <w:sz w:val="16"/>
          <w:szCs w:val="16"/>
          <w:lang w:val="en-US"/>
        </w:rPr>
        <w:t>González et al. (“Cotton Field”) v. Mexico, supra,</w:t>
      </w:r>
      <w:r w:rsidRPr="009D52FD">
        <w:rPr>
          <w:sz w:val="16"/>
          <w:szCs w:val="16"/>
          <w:lang w:val="en-US"/>
        </w:rPr>
        <w:t xml:space="preserve"> paras. 283 and 284.</w:t>
      </w:r>
    </w:p>
  </w:footnote>
  <w:footnote w:id="231">
    <w:p w14:paraId="7EE9AFA2" w14:textId="5AB527A3"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 Case of Veliz Franco et al. v. Guatemala. Preliminary objections, merits, reparations and costs.</w:t>
      </w:r>
      <w:r w:rsidRPr="009D52FD">
        <w:rPr>
          <w:sz w:val="16"/>
          <w:szCs w:val="16"/>
          <w:lang w:val="en-US"/>
        </w:rPr>
        <w:t xml:space="preserve"> Judgment of May 19, 2014. Series C No. 277, paras. 141 to 146.</w:t>
      </w:r>
    </w:p>
  </w:footnote>
  <w:footnote w:id="232">
    <w:p w14:paraId="6603D435" w14:textId="03A5063E"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rFonts w:cs="Courier New"/>
          <w:i/>
          <w:sz w:val="16"/>
          <w:szCs w:val="16"/>
          <w:lang w:val="en-US"/>
        </w:rPr>
        <w:t>Case of Velásquez Paiz et al. v. Guatemala</w:t>
      </w:r>
      <w:r w:rsidRPr="009D52FD">
        <w:rPr>
          <w:i/>
          <w:sz w:val="16"/>
          <w:szCs w:val="16"/>
          <w:lang w:val="en-US"/>
        </w:rPr>
        <w:t>, supra</w:t>
      </w:r>
      <w:r w:rsidRPr="009D52FD">
        <w:rPr>
          <w:rFonts w:cs="Courier New"/>
          <w:sz w:val="16"/>
          <w:szCs w:val="16"/>
          <w:lang w:val="en-US"/>
        </w:rPr>
        <w:t>, para.</w:t>
      </w:r>
      <w:r w:rsidRPr="009D52FD">
        <w:rPr>
          <w:sz w:val="16"/>
          <w:szCs w:val="16"/>
          <w:lang w:val="en-US"/>
        </w:rPr>
        <w:t xml:space="preserve"> 121.</w:t>
      </w:r>
    </w:p>
  </w:footnote>
  <w:footnote w:id="233">
    <w:p w14:paraId="3BF0E6EC" w14:textId="6576276F" w:rsidR="009D52FD" w:rsidRPr="009D52FD" w:rsidRDefault="009D52FD" w:rsidP="008778DD">
      <w:pPr>
        <w:widowControl/>
        <w:tabs>
          <w:tab w:val="left" w:pos="567"/>
        </w:tabs>
        <w:adjustRightInd/>
        <w:spacing w:after="60" w:line="240" w:lineRule="auto"/>
        <w:textAlignment w:val="auto"/>
        <w:rPr>
          <w:color w:val="000000"/>
          <w:sz w:val="16"/>
          <w:szCs w:val="16"/>
          <w:lang w:val="en-US" w:eastAsia="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color w:val="000000"/>
          <w:sz w:val="16"/>
          <w:szCs w:val="16"/>
          <w:lang w:val="en-US" w:eastAsia="en-US"/>
        </w:rPr>
        <w:t>Expert opinion provided by Daniela Kravetz during the public hearing before the Inter-American Court on February 6, 2018.</w:t>
      </w:r>
    </w:p>
  </w:footnote>
  <w:footnote w:id="234">
    <w:p w14:paraId="23D7B444" w14:textId="7366CB79"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In the Inter-American Court’s case law, the cases of acquiescence generally refer to the actions of paramilitary agents in Colombia. In the </w:t>
      </w:r>
      <w:r w:rsidRPr="009D52FD">
        <w:rPr>
          <w:rFonts w:cs="Verdana"/>
          <w:i/>
          <w:sz w:val="16"/>
          <w:szCs w:val="16"/>
          <w:lang w:val="en-US"/>
        </w:rPr>
        <w:t>Case of the</w:t>
      </w:r>
      <w:r w:rsidRPr="009D52FD">
        <w:rPr>
          <w:rFonts w:cs="Verdana"/>
          <w:sz w:val="16"/>
          <w:szCs w:val="16"/>
          <w:lang w:val="en-US"/>
        </w:rPr>
        <w:t xml:space="preserve"> </w:t>
      </w:r>
      <w:r w:rsidRPr="009D52FD">
        <w:rPr>
          <w:rFonts w:cs="Verdana"/>
          <w:i/>
          <w:sz w:val="16"/>
          <w:szCs w:val="16"/>
          <w:lang w:val="en-US"/>
        </w:rPr>
        <w:t xml:space="preserve">19 Traders, </w:t>
      </w:r>
      <w:r w:rsidRPr="009D52FD">
        <w:rPr>
          <w:rFonts w:cs="Verdana"/>
          <w:iCs/>
          <w:sz w:val="16"/>
          <w:szCs w:val="16"/>
          <w:lang w:val="en-US"/>
        </w:rPr>
        <w:t>the Court found Colombia responsible based on its collaboration in acts that preceded the wrongful act of third parties, the State’s acquiescence to the meeting of the third parties in which the act was planned, and the State’s active collaboration in the execution of the wrongful acts of the third parties.</w:t>
      </w:r>
      <w:r w:rsidRPr="009D52FD">
        <w:rPr>
          <w:iCs/>
          <w:sz w:val="16"/>
          <w:szCs w:val="16"/>
          <w:lang w:val="en-US"/>
        </w:rPr>
        <w:t xml:space="preserve"> </w:t>
      </w:r>
      <w:r w:rsidRPr="009D52FD">
        <w:rPr>
          <w:rFonts w:cs="Verdana"/>
          <w:i/>
          <w:sz w:val="16"/>
          <w:szCs w:val="16"/>
          <w:lang w:val="en-US"/>
        </w:rPr>
        <w:t>Cf.</w:t>
      </w:r>
      <w:r w:rsidRPr="009D52FD">
        <w:rPr>
          <w:rFonts w:cs="Verdana"/>
          <w:sz w:val="16"/>
          <w:szCs w:val="16"/>
          <w:lang w:val="en-US"/>
        </w:rPr>
        <w:t xml:space="preserve"> </w:t>
      </w:r>
      <w:r w:rsidRPr="009D52FD">
        <w:rPr>
          <w:rFonts w:cs="Verdana"/>
          <w:i/>
          <w:sz w:val="16"/>
          <w:szCs w:val="16"/>
          <w:lang w:val="en-US"/>
        </w:rPr>
        <w:t xml:space="preserve">Case of the </w:t>
      </w:r>
      <w:r w:rsidRPr="009D52FD">
        <w:rPr>
          <w:rFonts w:cs="Times"/>
          <w:i/>
          <w:iCs/>
          <w:sz w:val="16"/>
          <w:szCs w:val="16"/>
          <w:lang w:val="en-US"/>
        </w:rPr>
        <w:t>19 Traders v. Colombia</w:t>
      </w:r>
      <w:r w:rsidRPr="009D52FD">
        <w:rPr>
          <w:rFonts w:cs="Times"/>
          <w:sz w:val="16"/>
          <w:szCs w:val="16"/>
          <w:lang w:val="en-US"/>
        </w:rPr>
        <w:t xml:space="preserve">. </w:t>
      </w:r>
      <w:r w:rsidRPr="009D52FD">
        <w:rPr>
          <w:rFonts w:cs="Times"/>
          <w:i/>
          <w:sz w:val="16"/>
          <w:szCs w:val="16"/>
          <w:lang w:val="en-US"/>
        </w:rPr>
        <w:t xml:space="preserve">Merits, reparations and costs. </w:t>
      </w:r>
      <w:r w:rsidRPr="009D52FD">
        <w:rPr>
          <w:rFonts w:cs="Times"/>
          <w:sz w:val="16"/>
          <w:szCs w:val="16"/>
          <w:lang w:val="en-US"/>
        </w:rPr>
        <w:t xml:space="preserve">Judgment of July 5, 2004, Series C No. 109, para. 135. In the </w:t>
      </w:r>
      <w:r w:rsidRPr="009D52FD">
        <w:rPr>
          <w:rFonts w:cs="Times"/>
          <w:i/>
          <w:sz w:val="16"/>
          <w:szCs w:val="16"/>
          <w:lang w:val="en-US"/>
        </w:rPr>
        <w:t>Case of the</w:t>
      </w:r>
      <w:r w:rsidRPr="009D52FD">
        <w:rPr>
          <w:rFonts w:cs="Verdana"/>
          <w:i/>
          <w:sz w:val="16"/>
          <w:szCs w:val="16"/>
          <w:lang w:val="en-US"/>
        </w:rPr>
        <w:t xml:space="preserve"> </w:t>
      </w:r>
      <w:r w:rsidRPr="009D52FD">
        <w:rPr>
          <w:rFonts w:cs="Verdana"/>
          <w:sz w:val="16"/>
          <w:szCs w:val="16"/>
          <w:lang w:val="en-US"/>
        </w:rPr>
        <w:t>“</w:t>
      </w:r>
      <w:r w:rsidRPr="009D52FD">
        <w:rPr>
          <w:rFonts w:cs="Verdana"/>
          <w:i/>
          <w:sz w:val="16"/>
          <w:szCs w:val="16"/>
          <w:lang w:val="en-US"/>
        </w:rPr>
        <w:t xml:space="preserve">Mapiripán Massacre,” </w:t>
      </w:r>
      <w:r w:rsidRPr="009D52FD">
        <w:rPr>
          <w:rFonts w:cs="Verdana"/>
          <w:sz w:val="16"/>
          <w:szCs w:val="16"/>
          <w:lang w:val="en-US"/>
        </w:rPr>
        <w:t xml:space="preserve">the Court concluded that Colombia was responsible based on the coordination of acts and omissions between state agents and private individuals aimed at the perpetration of the massacre because, even though it was perpetrated by paramilitary groups, it could not have been executed without the assistance of the State’s Armed Forces. </w:t>
      </w:r>
      <w:r w:rsidRPr="009D52FD">
        <w:rPr>
          <w:rFonts w:cs="Verdana"/>
          <w:i/>
          <w:sz w:val="16"/>
          <w:szCs w:val="16"/>
          <w:lang w:val="en-US"/>
        </w:rPr>
        <w:t>Cf.</w:t>
      </w:r>
      <w:r w:rsidRPr="009D52FD">
        <w:rPr>
          <w:rFonts w:cs="Verdana"/>
          <w:sz w:val="16"/>
          <w:szCs w:val="16"/>
          <w:lang w:val="en-US"/>
        </w:rPr>
        <w:t xml:space="preserve"> </w:t>
      </w:r>
      <w:r w:rsidRPr="009D52FD">
        <w:rPr>
          <w:rFonts w:cs="Verdana"/>
          <w:i/>
          <w:sz w:val="16"/>
          <w:szCs w:val="16"/>
          <w:lang w:val="en-US"/>
        </w:rPr>
        <w:t xml:space="preserve">Case of the </w:t>
      </w:r>
      <w:r w:rsidRPr="009D52FD">
        <w:rPr>
          <w:i/>
          <w:iCs/>
          <w:sz w:val="16"/>
          <w:szCs w:val="16"/>
          <w:lang w:val="en-US"/>
        </w:rPr>
        <w:t xml:space="preserve">"Mapiripán Massacre" v. Colombia, </w:t>
      </w:r>
      <w:r w:rsidRPr="009D52FD">
        <w:rPr>
          <w:i/>
          <w:sz w:val="16"/>
          <w:szCs w:val="16"/>
          <w:lang w:val="en-US"/>
        </w:rPr>
        <w:t>supra</w:t>
      </w:r>
      <w:r w:rsidRPr="009D52FD">
        <w:rPr>
          <w:sz w:val="16"/>
          <w:szCs w:val="16"/>
          <w:lang w:val="en-US"/>
        </w:rPr>
        <w:t xml:space="preserve">, para. 123. </w:t>
      </w:r>
      <w:r w:rsidRPr="009D52FD">
        <w:rPr>
          <w:rFonts w:cs="Verdana"/>
          <w:sz w:val="16"/>
          <w:szCs w:val="16"/>
          <w:lang w:val="en-US"/>
        </w:rPr>
        <w:t xml:space="preserve">In the </w:t>
      </w:r>
      <w:r w:rsidRPr="009D52FD">
        <w:rPr>
          <w:rFonts w:cs="Verdana"/>
          <w:i/>
          <w:sz w:val="16"/>
          <w:szCs w:val="16"/>
          <w:lang w:val="en-US"/>
        </w:rPr>
        <w:t xml:space="preserve">Case of the Ituango Massacres, </w:t>
      </w:r>
      <w:r w:rsidRPr="009D52FD">
        <w:rPr>
          <w:rFonts w:cs="Verdana"/>
          <w:sz w:val="16"/>
          <w:szCs w:val="16"/>
          <w:lang w:val="en-US"/>
        </w:rPr>
        <w:t xml:space="preserve">the Court found the State responsible based on the Army’s acquiescence to, or tolerance of, the acts perpetrated by paramilitary agents. </w:t>
      </w:r>
      <w:r w:rsidRPr="009D52FD">
        <w:rPr>
          <w:rFonts w:cs="Verdana"/>
          <w:i/>
          <w:sz w:val="16"/>
          <w:szCs w:val="16"/>
          <w:lang w:val="en-US"/>
        </w:rPr>
        <w:t>Cf.</w:t>
      </w:r>
      <w:r w:rsidRPr="009D52FD">
        <w:rPr>
          <w:rFonts w:cs="Verdana"/>
          <w:sz w:val="16"/>
          <w:szCs w:val="16"/>
          <w:lang w:val="en-US"/>
        </w:rPr>
        <w:t xml:space="preserve"> </w:t>
      </w:r>
      <w:r w:rsidRPr="009D52FD">
        <w:rPr>
          <w:rFonts w:cs="Verdana"/>
          <w:i/>
          <w:sz w:val="16"/>
          <w:szCs w:val="16"/>
          <w:lang w:val="en-US"/>
        </w:rPr>
        <w:t>Case of the Ituango Massacres</w:t>
      </w:r>
      <w:r w:rsidRPr="009D52FD">
        <w:rPr>
          <w:i/>
          <w:iCs/>
          <w:sz w:val="16"/>
          <w:szCs w:val="16"/>
          <w:lang w:val="en-US"/>
        </w:rPr>
        <w:t xml:space="preserve"> v. Colombia. Preliminary objections, merits, reparations and costs. </w:t>
      </w:r>
      <w:r w:rsidRPr="009D52FD">
        <w:rPr>
          <w:iCs/>
          <w:sz w:val="16"/>
          <w:szCs w:val="16"/>
          <w:lang w:val="en-US"/>
        </w:rPr>
        <w:t>Judgment of July 1, 2006. Series C No. 148</w:t>
      </w:r>
      <w:r w:rsidRPr="009D52FD">
        <w:rPr>
          <w:sz w:val="16"/>
          <w:szCs w:val="16"/>
          <w:lang w:val="en-US"/>
        </w:rPr>
        <w:t xml:space="preserve">, paras. 132, 150, 153, 166, 197 and 219. Also, in the case of </w:t>
      </w:r>
      <w:r w:rsidRPr="009D52FD">
        <w:rPr>
          <w:rFonts w:cs="Verdana"/>
          <w:i/>
          <w:sz w:val="16"/>
          <w:szCs w:val="16"/>
          <w:lang w:val="en-US"/>
        </w:rPr>
        <w:t xml:space="preserve">Operation Genesis, </w:t>
      </w:r>
      <w:r w:rsidRPr="009D52FD">
        <w:rPr>
          <w:rFonts w:cs="Verdana"/>
          <w:sz w:val="16"/>
          <w:szCs w:val="16"/>
          <w:lang w:val="en-US"/>
        </w:rPr>
        <w:t xml:space="preserve">the Court determined that the State had been acquiescent in the perpetration of the wrongful act based on a “causality test,” owing to which it considered that a theory that the wrongful act could have been committed without the State’s assistance was inadmissible. </w:t>
      </w:r>
      <w:r w:rsidRPr="009D52FD">
        <w:rPr>
          <w:rFonts w:cs="Verdana"/>
          <w:i/>
          <w:sz w:val="16"/>
          <w:szCs w:val="16"/>
          <w:lang w:val="en-US"/>
        </w:rPr>
        <w:t>Cf.</w:t>
      </w:r>
      <w:r w:rsidRPr="009D52FD">
        <w:rPr>
          <w:rFonts w:cs="Verdana"/>
          <w:sz w:val="16"/>
          <w:szCs w:val="16"/>
          <w:lang w:val="en-US"/>
        </w:rPr>
        <w:t xml:space="preserve"> </w:t>
      </w:r>
      <w:r w:rsidRPr="009D52FD">
        <w:rPr>
          <w:i/>
          <w:sz w:val="16"/>
          <w:szCs w:val="16"/>
          <w:lang w:val="en-US"/>
        </w:rPr>
        <w:t xml:space="preserve">Case of the Afrodescendant Communities of the Cacarica River Basin (Operation Genesis) v. Colombia. Preliminary objections, merits, reparations and costs. </w:t>
      </w:r>
      <w:r w:rsidRPr="009D52FD">
        <w:rPr>
          <w:sz w:val="16"/>
          <w:szCs w:val="16"/>
          <w:lang w:val="en-US"/>
        </w:rPr>
        <w:t xml:space="preserve">Judgment of November 20, 2013. Series C No. 270, para. 280. In the cases of </w:t>
      </w:r>
      <w:r w:rsidRPr="009D52FD">
        <w:rPr>
          <w:i/>
          <w:sz w:val="16"/>
          <w:szCs w:val="16"/>
          <w:lang w:val="en-US"/>
        </w:rPr>
        <w:t>Kawas Fernández v. Honduras</w:t>
      </w:r>
      <w:r w:rsidRPr="009D52FD">
        <w:rPr>
          <w:sz w:val="16"/>
          <w:szCs w:val="16"/>
          <w:lang w:val="en-US"/>
        </w:rPr>
        <w:t xml:space="preserve"> and </w:t>
      </w:r>
      <w:r w:rsidRPr="009D52FD">
        <w:rPr>
          <w:rFonts w:eastAsia="MS Mincho"/>
          <w:i/>
          <w:sz w:val="16"/>
          <w:szCs w:val="16"/>
          <w:lang w:val="en-US"/>
        </w:rPr>
        <w:t>Gutiérrez and family v. Argentina</w:t>
      </w:r>
      <w:r w:rsidRPr="009D52FD">
        <w:rPr>
          <w:sz w:val="16"/>
          <w:szCs w:val="16"/>
          <w:lang w:val="en-US"/>
        </w:rPr>
        <w:t xml:space="preserve">, the Court stressed a series of indications of the participation of state agents in the respective homicides, even when the perpetrators were not fully identified in the domestic sphere, and also the obstruction of the investigation, to conclude that the State could be attributed with responsibility. </w:t>
      </w:r>
      <w:r w:rsidRPr="009D52FD">
        <w:rPr>
          <w:i/>
          <w:sz w:val="16"/>
          <w:szCs w:val="16"/>
          <w:lang w:val="en-US"/>
        </w:rPr>
        <w:t xml:space="preserve">Cf. </w:t>
      </w:r>
      <w:r w:rsidRPr="009D52FD">
        <w:rPr>
          <w:bCs/>
          <w:i/>
          <w:sz w:val="16"/>
          <w:szCs w:val="16"/>
          <w:lang w:val="en-US"/>
        </w:rPr>
        <w:t xml:space="preserve">Case of Kawas Fernández v. Honduras. </w:t>
      </w:r>
      <w:r w:rsidRPr="009D52FD">
        <w:rPr>
          <w:i/>
          <w:sz w:val="16"/>
          <w:szCs w:val="16"/>
          <w:lang w:val="en-US"/>
        </w:rPr>
        <w:t xml:space="preserve">Merits, reparations and costs. </w:t>
      </w:r>
      <w:r w:rsidRPr="009D52FD">
        <w:rPr>
          <w:sz w:val="16"/>
          <w:szCs w:val="16"/>
          <w:lang w:val="en-US"/>
        </w:rPr>
        <w:t xml:space="preserve">Judgment of April 3, 2009. Series C No. 196, paras. 84 to 99, and </w:t>
      </w:r>
      <w:hyperlink r:id="rId6" w:history="1">
        <w:r w:rsidRPr="009D52FD">
          <w:rPr>
            <w:rFonts w:cs="Arial"/>
            <w:i/>
            <w:sz w:val="16"/>
            <w:szCs w:val="16"/>
            <w:lang w:val="en-US"/>
          </w:rPr>
          <w:t>Case of Gutiérrez and family v. Argentina. Merits, reparations and costs</w:t>
        </w:r>
        <w:r w:rsidRPr="009D52FD">
          <w:rPr>
            <w:rFonts w:cs="Arial"/>
            <w:sz w:val="16"/>
            <w:szCs w:val="16"/>
            <w:lang w:val="en-US"/>
          </w:rPr>
          <w:t>. Judgment of November 25, 2013. Series C No. 271</w:t>
        </w:r>
      </w:hyperlink>
      <w:r w:rsidRPr="009D52FD">
        <w:rPr>
          <w:sz w:val="16"/>
          <w:szCs w:val="16"/>
          <w:lang w:val="en-US"/>
        </w:rPr>
        <w:t>, paras. 80 to 90</w:t>
      </w:r>
      <w:r w:rsidRPr="009D52FD">
        <w:rPr>
          <w:i/>
          <w:sz w:val="16"/>
          <w:szCs w:val="16"/>
          <w:lang w:val="en-US"/>
        </w:rPr>
        <w:t>.</w:t>
      </w:r>
      <w:r w:rsidRPr="009D52FD">
        <w:rPr>
          <w:sz w:val="16"/>
          <w:szCs w:val="16"/>
          <w:lang w:val="en-US"/>
        </w:rPr>
        <w:t xml:space="preserve"> In the </w:t>
      </w:r>
      <w:r w:rsidRPr="009D52FD">
        <w:rPr>
          <w:i/>
          <w:sz w:val="16"/>
          <w:szCs w:val="16"/>
          <w:lang w:val="en-US"/>
        </w:rPr>
        <w:t>Case of Vereda La Esperanza</w:t>
      </w:r>
      <w:r w:rsidRPr="009D52FD">
        <w:rPr>
          <w:sz w:val="16"/>
          <w:szCs w:val="16"/>
          <w:lang w:val="en-US"/>
        </w:rPr>
        <w:t xml:space="preserve">, the Court concluded that the forced disappearances that occurred in Vereda La Esperanza could be attributed to the State owing to the support and acquiescence of law enforcement agents to the actions of the paramilitary group, which facilitated the raids on Vereda La Esperanza and encouraged or permitted the perpetration of the acts, contrary to an international obligation; thus constituting the international wrongful act of forced disappearance. </w:t>
      </w:r>
      <w:r w:rsidRPr="009D52FD">
        <w:rPr>
          <w:i/>
          <w:sz w:val="16"/>
          <w:szCs w:val="16"/>
          <w:lang w:val="en-US"/>
        </w:rPr>
        <w:t xml:space="preserve">Cf. Case of Vereda La Esperanza v. Colombia. Preliminary objection, merits, reparations and costs. </w:t>
      </w:r>
      <w:r w:rsidRPr="009D52FD">
        <w:rPr>
          <w:sz w:val="16"/>
          <w:szCs w:val="16"/>
          <w:lang w:val="en-US"/>
        </w:rPr>
        <w:t>Judgment of August 31, 2017. Series C No. 341, para. 168.</w:t>
      </w:r>
    </w:p>
  </w:footnote>
  <w:footnote w:id="235">
    <w:p w14:paraId="252B67F3" w14:textId="4DF34D1D"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Case of Velásquez Rodriguez v. Honduras. Merits, supra, </w:t>
      </w:r>
      <w:r w:rsidRPr="009D52FD">
        <w:rPr>
          <w:sz w:val="16"/>
          <w:szCs w:val="16"/>
          <w:lang w:val="en-US"/>
        </w:rPr>
        <w:t xml:space="preserve">para. 173, and </w:t>
      </w:r>
      <w:r w:rsidRPr="009D52FD">
        <w:rPr>
          <w:rFonts w:cs="Verdana"/>
          <w:i/>
          <w:sz w:val="16"/>
          <w:szCs w:val="16"/>
          <w:lang w:val="en-US"/>
        </w:rPr>
        <w:t>Case of the Landaeta Mejías Brothers et al. v. Venezuela. Preliminary objections, merits, reparations and costs</w:t>
      </w:r>
      <w:r w:rsidRPr="009D52FD">
        <w:rPr>
          <w:rFonts w:cs="Verdana"/>
          <w:sz w:val="16"/>
          <w:szCs w:val="16"/>
          <w:lang w:val="en-US"/>
        </w:rPr>
        <w:t>. Judgment August 27, 2014, para. 181</w:t>
      </w:r>
      <w:r w:rsidRPr="009D52FD">
        <w:rPr>
          <w:sz w:val="16"/>
          <w:szCs w:val="16"/>
          <w:lang w:val="en-US"/>
        </w:rPr>
        <w:t>.</w:t>
      </w:r>
    </w:p>
  </w:footnote>
  <w:footnote w:id="236">
    <w:p w14:paraId="0D3FA78D" w14:textId="47F59FA8"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rFonts w:cs="Courier New"/>
          <w:i/>
          <w:sz w:val="16"/>
          <w:szCs w:val="16"/>
          <w:lang w:val="en-US"/>
        </w:rPr>
        <w:t>Case of Velásquez Rodríguez v. Honduras. Merits</w:t>
      </w:r>
      <w:r w:rsidRPr="009D52FD">
        <w:rPr>
          <w:i/>
          <w:sz w:val="16"/>
          <w:szCs w:val="16"/>
          <w:lang w:val="en-US"/>
        </w:rPr>
        <w:t>, supra</w:t>
      </w:r>
      <w:r w:rsidRPr="009D52FD">
        <w:rPr>
          <w:rFonts w:cs="Courier New"/>
          <w:sz w:val="16"/>
          <w:szCs w:val="16"/>
          <w:lang w:val="en-US"/>
        </w:rPr>
        <w:t>, para. 172.</w:t>
      </w:r>
    </w:p>
  </w:footnote>
  <w:footnote w:id="237">
    <w:p w14:paraId="5E0B90A1" w14:textId="0A6E7C32"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Case of Yarce et al. v. Colombia. Preliminary objection, merits, reparations and costs. </w:t>
      </w:r>
      <w:r w:rsidRPr="009D52FD">
        <w:rPr>
          <w:sz w:val="16"/>
          <w:szCs w:val="16"/>
          <w:lang w:val="en-US"/>
        </w:rPr>
        <w:t xml:space="preserve">Judgment of November 22, 2016. Series C No. 352, para. 180, and </w:t>
      </w:r>
      <w:r w:rsidRPr="009D52FD">
        <w:rPr>
          <w:i/>
          <w:sz w:val="16"/>
          <w:szCs w:val="16"/>
          <w:lang w:val="en-US"/>
        </w:rPr>
        <w:t>Case of Vereda La Esperanza v. Colombia, supra</w:t>
      </w:r>
      <w:r w:rsidRPr="009D52FD">
        <w:rPr>
          <w:sz w:val="16"/>
          <w:szCs w:val="16"/>
          <w:lang w:val="en-US"/>
        </w:rPr>
        <w:t>, para. 152.</w:t>
      </w:r>
    </w:p>
  </w:footnote>
  <w:footnote w:id="238">
    <w:p w14:paraId="7CB86A78" w14:textId="53A2555F"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Expert opinion provided by affidavit by Juan E. Méndez on January 24, 2018 (evidence file, volume XLIV, affidavits, folio 31249).</w:t>
      </w:r>
    </w:p>
  </w:footnote>
  <w:footnote w:id="239">
    <w:p w14:paraId="49D972B5" w14:textId="5CA5FE8C" w:rsidR="009D52FD" w:rsidRPr="009D52FD" w:rsidRDefault="009D52FD" w:rsidP="008778DD">
      <w:pPr>
        <w:pStyle w:val="FootnoteText"/>
        <w:tabs>
          <w:tab w:val="left" w:pos="567"/>
        </w:tabs>
        <w:spacing w:after="60"/>
        <w:rPr>
          <w:rFonts w:eastAsiaTheme="minorHAnsi" w:cstheme="minorBidi"/>
          <w:i/>
          <w:sz w:val="16"/>
          <w:szCs w:val="16"/>
          <w:lang w:val="en-US" w:eastAsia="en-US"/>
        </w:rPr>
      </w:pPr>
      <w:r w:rsidRPr="009D52FD">
        <w:rPr>
          <w:rStyle w:val="FootnoteReference"/>
          <w:rFonts w:eastAsia="Calibri"/>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Case of Loayza Tamayo v. Peru. Merits. </w:t>
      </w:r>
      <w:r w:rsidRPr="009D52FD">
        <w:rPr>
          <w:sz w:val="16"/>
          <w:szCs w:val="16"/>
          <w:lang w:val="en-US"/>
        </w:rPr>
        <w:t xml:space="preserve">Judgment of September 17, 1997. Series C No. 33, para. 43, and </w:t>
      </w:r>
      <w:r w:rsidRPr="009D52FD">
        <w:rPr>
          <w:rFonts w:eastAsiaTheme="minorHAnsi" w:cstheme="minorBidi"/>
          <w:i/>
          <w:sz w:val="16"/>
          <w:szCs w:val="16"/>
          <w:lang w:val="en-US" w:eastAsia="en-US"/>
        </w:rPr>
        <w:t xml:space="preserve">Case of Pacheco León et al. v. Honduras. Merits, reparations and costs. </w:t>
      </w:r>
      <w:r w:rsidRPr="009D52FD">
        <w:rPr>
          <w:rFonts w:eastAsiaTheme="minorHAnsi" w:cstheme="minorBidi"/>
          <w:sz w:val="16"/>
          <w:szCs w:val="16"/>
          <w:lang w:val="en-US" w:eastAsia="en-US"/>
        </w:rPr>
        <w:t>Judgment of November 15, 2017. Series C No. 342, para. 20.</w:t>
      </w:r>
    </w:p>
  </w:footnote>
  <w:footnote w:id="240">
    <w:p w14:paraId="36125FFF" w14:textId="4C6D848D"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Report filed on May 26, 2001 (merits file, volume I, folio 910).</w:t>
      </w:r>
    </w:p>
  </w:footnote>
  <w:footnote w:id="241">
    <w:p w14:paraId="79F99618" w14:textId="670C5DFB"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In the statemen she made in the first domestic proceedings, Ana Secilia López Soto indicated: “I tried [to file the report] on six occasions and it was only about two and a half months later that my report was received. […] I went several times, but the date on which they took a statement from me was about two and a half months later.” Statement by Ana Secilia López Soto recorded in the judgment handed down by the Twentieth Trial Court of the Caracas Metropolitan Area on November 5, 2004 (evidence file, volume IX, annex 4 to the Merits Report, folios 5946 and 5949). In the statement she made in the second public oral hearing, Ana Secilia indicated that: “[f]ollowing the disappearance, I filed two reports; as I had obtained the number [of Carrera Almoina], I gave it to the police; they told me that they must be partners […]. I filed the report at the beginning of April and the other in March, I can’t remember the exact dates.” Statement by Ana Secilia López Soto in the record of the public oral hearing of the Seventh Trial Court of the Caracas Metropolitan Area on April 8, 2006 (evidence file, volume IX, annex 3 to the Merits Report, folio 5680). In the statement by Ana Secilia López Soto at the public hearing before this Court, she indicated that: “[a]fter I had filed the first report – gone to file the report for the first time – the second day, I received a phone call from Luis Carrera Almoina telling me that he was my sister’s boyfriend. […] I went again in the late evening, 48 hours had already passed, I went to give the information [of the phone call]. I went on other occasions because I wanted some kind of response, but this police unit never gave me a response. […] I had already been to the Technical Police Unit about four times; I went again because I had received a phone call threatening to kill me […]. The fifth time they received my report; in reality I went to this police station six times; my report was there but this police unit did not respond in any way and then, a sixth time, there was no response […]. Of the six occasions, only once did they give me a receipt […]. I went to the police station six times and they only received the report once.”</w:t>
      </w:r>
    </w:p>
  </w:footnote>
  <w:footnote w:id="242">
    <w:p w14:paraId="77001C76" w14:textId="66D27332"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There is even testimony in this regard provided in the domestic criminal proceedings. Thus, the witness Nohelia María Gomes Rodrígues, a neighbor of the Urbanización El Rosal in Caracas, stated that “some nights, [she] woke up alarmed because she head a girl crying, moaning; at first [she] thought that someone had turned up the television volume and it was a terror film, but then [she] heard it again; [she] did not call or pass on any information because [she] thought it a family problem and because [she] knew that they did not respond to that type of call […].” Statement by Nohelia María Gomes Rodrígues recorded in the judgment handed down by the Twentieth Trial Court of the Caracas Metropolitan Area on November 5, 2004 (evidence file, volume IX, annex 4 to the Merits Report, folio 5902).</w:t>
      </w:r>
    </w:p>
  </w:footnote>
  <w:footnote w:id="243">
    <w:p w14:paraId="5A50E3E9" w14:textId="30940935"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The 2001 report of the United Nations Development Programme (UNDP) indicated that the phenomenon of </w:t>
      </w:r>
      <w:r w:rsidRPr="009D52FD">
        <w:rPr>
          <w:bCs/>
          <w:sz w:val="16"/>
          <w:szCs w:val="16"/>
          <w:lang w:val="en-US"/>
        </w:rPr>
        <w:t>violence against women in Venezuelan had taken on “a dramatic cast” because, according to data provided by the Statistics Division of the Judicial Technical Police in the context of couple relationships, only in 1997, every 12 days a man was responsible for the death of a woman; in that year, 7,426 sexual offenses against women had been recorded, including rape and kidnapping, and this resulted in a total of 11.9 women raped every day in Venezuela; however, it clarified that the figures were the result of the complaints filed before the country’s police agencies.</w:t>
      </w:r>
      <w:r w:rsidRPr="009D52FD">
        <w:rPr>
          <w:sz w:val="16"/>
          <w:szCs w:val="16"/>
          <w:lang w:val="en-US"/>
        </w:rPr>
        <w:t xml:space="preserve"> </w:t>
      </w:r>
      <w:r w:rsidRPr="009D52FD">
        <w:rPr>
          <w:bCs/>
          <w:i/>
          <w:sz w:val="16"/>
          <w:szCs w:val="16"/>
          <w:lang w:val="en-US"/>
        </w:rPr>
        <w:t>Cf.</w:t>
      </w:r>
      <w:r w:rsidRPr="009D52FD">
        <w:rPr>
          <w:bCs/>
          <w:sz w:val="16"/>
          <w:szCs w:val="16"/>
          <w:lang w:val="en-US"/>
        </w:rPr>
        <w:t xml:space="preserve"> </w:t>
      </w:r>
      <w:r w:rsidRPr="009D52FD">
        <w:rPr>
          <w:sz w:val="16"/>
          <w:szCs w:val="16"/>
          <w:lang w:val="en-US"/>
        </w:rPr>
        <w:t xml:space="preserve">UNDP Regional Project, </w:t>
      </w:r>
      <w:r w:rsidRPr="009D52FD">
        <w:rPr>
          <w:iCs/>
          <w:sz w:val="16"/>
          <w:szCs w:val="16"/>
          <w:lang w:val="en-US"/>
        </w:rPr>
        <w:t>National reports on the situation of gender-based violence against women</w:t>
      </w:r>
      <w:r w:rsidRPr="009D52FD">
        <w:rPr>
          <w:rFonts w:eastAsiaTheme="minorHAnsi" w:cstheme="minorBidi"/>
          <w:bCs/>
          <w:i/>
          <w:sz w:val="16"/>
          <w:szCs w:val="16"/>
          <w:lang w:val="en-US" w:eastAsia="en-US"/>
        </w:rPr>
        <w:t>. Informe Nacional</w:t>
      </w:r>
      <w:r w:rsidRPr="009D52FD">
        <w:rPr>
          <w:i/>
          <w:sz w:val="16"/>
          <w:szCs w:val="16"/>
          <w:lang w:val="en-US"/>
        </w:rPr>
        <w:t xml:space="preserve">, </w:t>
      </w:r>
      <w:r w:rsidRPr="009D52FD">
        <w:rPr>
          <w:sz w:val="16"/>
          <w:szCs w:val="16"/>
          <w:lang w:val="en-US"/>
        </w:rPr>
        <w:t xml:space="preserve">May 1999 (evidence file, annex to the representatives’ brief on merits before the IACHR, volume VI, folios 2872 and 2873). See also, Human Rights Committee, </w:t>
      </w:r>
      <w:r w:rsidRPr="009D52FD">
        <w:rPr>
          <w:i/>
          <w:sz w:val="16"/>
          <w:szCs w:val="16"/>
          <w:lang w:val="en-US"/>
        </w:rPr>
        <w:t xml:space="preserve">Consideration of Reports submitted by States Parties under Article 40 of the Covenant. Concluding observations: Venezuela, </w:t>
      </w:r>
      <w:r w:rsidRPr="009D52FD">
        <w:rPr>
          <w:sz w:val="16"/>
          <w:szCs w:val="16"/>
          <w:lang w:val="en-US"/>
        </w:rPr>
        <w:t xml:space="preserve">CCPR/CO/71/VEN, April 26, 2001, para. 17, and Committee on Economic, Social and Cultural Rights, </w:t>
      </w:r>
      <w:r w:rsidRPr="009D52FD">
        <w:rPr>
          <w:i/>
          <w:sz w:val="16"/>
          <w:szCs w:val="16"/>
          <w:lang w:val="en-US"/>
        </w:rPr>
        <w:t>Consideration of Reports submitted by States Parties under Articles 16 and 17 of the Covenant</w:t>
      </w:r>
      <w:r w:rsidRPr="009D52FD">
        <w:rPr>
          <w:sz w:val="16"/>
          <w:szCs w:val="16"/>
          <w:lang w:val="en-US"/>
        </w:rPr>
        <w:t xml:space="preserve">. </w:t>
      </w:r>
      <w:r w:rsidRPr="009D52FD">
        <w:rPr>
          <w:i/>
          <w:iCs/>
          <w:sz w:val="16"/>
          <w:szCs w:val="16"/>
          <w:lang w:val="en-US"/>
        </w:rPr>
        <w:t>Concluding observations: Venezuela</w:t>
      </w:r>
      <w:r w:rsidRPr="009D52FD">
        <w:rPr>
          <w:sz w:val="16"/>
          <w:szCs w:val="16"/>
          <w:lang w:val="en-US"/>
        </w:rPr>
        <w:t>, E/C.12/1/Add.56, May 21, 2001, para. 16.</w:t>
      </w:r>
    </w:p>
  </w:footnote>
  <w:footnote w:id="244">
    <w:p w14:paraId="6C444406" w14:textId="39C6F1BE"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The United Nations</w:t>
      </w:r>
      <w:r w:rsidRPr="009D52FD">
        <w:rPr>
          <w:bCs/>
          <w:sz w:val="16"/>
          <w:szCs w:val="16"/>
          <w:lang w:val="en-US"/>
        </w:rPr>
        <w:t xml:space="preserve"> Human Rights Committee expressed its concern about the level of violence against women recorded in Venezuela in 2001, stressing the many reported cases of kidnapping and murder of women that had not resulted in arrests or prosecution of those responsible. </w:t>
      </w:r>
      <w:r w:rsidRPr="009D52FD">
        <w:rPr>
          <w:bCs/>
          <w:i/>
          <w:sz w:val="16"/>
          <w:szCs w:val="16"/>
          <w:lang w:val="en-US"/>
        </w:rPr>
        <w:t>Cf.</w:t>
      </w:r>
      <w:r w:rsidRPr="009D52FD">
        <w:rPr>
          <w:bCs/>
          <w:sz w:val="16"/>
          <w:szCs w:val="16"/>
          <w:lang w:val="en-US"/>
        </w:rPr>
        <w:t xml:space="preserve"> </w:t>
      </w:r>
      <w:r w:rsidRPr="009D52FD">
        <w:rPr>
          <w:sz w:val="16"/>
          <w:szCs w:val="16"/>
          <w:lang w:val="en-US"/>
        </w:rPr>
        <w:t xml:space="preserve">Human Rights Committee, </w:t>
      </w:r>
      <w:r w:rsidRPr="009D52FD">
        <w:rPr>
          <w:i/>
          <w:sz w:val="16"/>
          <w:szCs w:val="16"/>
          <w:lang w:val="en-US"/>
        </w:rPr>
        <w:t xml:space="preserve">Consideration of Reports submitted by States Parties under Article 40 of the Covenant. Concluding observations: Venezuela, </w:t>
      </w:r>
      <w:r w:rsidRPr="009D52FD">
        <w:rPr>
          <w:sz w:val="16"/>
          <w:szCs w:val="16"/>
          <w:lang w:val="en-US"/>
        </w:rPr>
        <w:t xml:space="preserve">CCPR/CO/71/VEN, April 26, 2001, para. 17. See also, Committee on Economic, Social and Cultural Rights, </w:t>
      </w:r>
      <w:r w:rsidRPr="009D52FD">
        <w:rPr>
          <w:i/>
          <w:sz w:val="16"/>
          <w:szCs w:val="16"/>
          <w:lang w:val="en-US"/>
        </w:rPr>
        <w:t>Consideration of Reports submitted by States Parties under Articles 16 and 17 of the Covenant</w:t>
      </w:r>
      <w:r w:rsidRPr="009D52FD">
        <w:rPr>
          <w:sz w:val="16"/>
          <w:szCs w:val="16"/>
          <w:lang w:val="en-US"/>
        </w:rPr>
        <w:t xml:space="preserve">. </w:t>
      </w:r>
      <w:r w:rsidRPr="009D52FD">
        <w:rPr>
          <w:i/>
          <w:iCs/>
          <w:sz w:val="16"/>
          <w:szCs w:val="16"/>
          <w:lang w:val="en-US"/>
        </w:rPr>
        <w:t>Concluding observations: Venezuela</w:t>
      </w:r>
      <w:r w:rsidRPr="009D52FD">
        <w:rPr>
          <w:sz w:val="16"/>
          <w:szCs w:val="16"/>
          <w:lang w:val="en-US"/>
        </w:rPr>
        <w:t>, E/C.12/1/Add.56, May 21, 2001, para. 16.</w:t>
      </w:r>
    </w:p>
  </w:footnote>
  <w:footnote w:id="245">
    <w:p w14:paraId="11F286FB" w14:textId="28E05119"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The 2001 Annual Report of the Ministry of the Interior and Justice indicated that the Judicial Technical Police had received reports of 5,858 cases of the offenses referred to as “against the decency and good order of the family,” 4,979 of which were referred for their subsequent investigation to the prosecutors; the same year, the Ombudsman’s Office received 787 complaints of violence against women, 144 of which occurred within the Caracas Metropolitan Area. Also, over the period 2000-2003, the Office for the Defense of Women’s Rights received a total of 11,456 complaints – that is an average of 2,864 complaints a year. Also, the free help line “0-800-Mujeres” reported that it had received a yearly average of 2,486 complaints from 1999 to 2003. </w:t>
      </w:r>
      <w:r w:rsidRPr="009D52FD">
        <w:rPr>
          <w:i/>
          <w:sz w:val="16"/>
          <w:szCs w:val="16"/>
          <w:lang w:val="en-US"/>
        </w:rPr>
        <w:t>Cf.</w:t>
      </w:r>
      <w:r w:rsidRPr="009D52FD">
        <w:rPr>
          <w:sz w:val="16"/>
          <w:szCs w:val="16"/>
          <w:lang w:val="en-US"/>
        </w:rPr>
        <w:t xml:space="preserve"> 2001 Annual Report of the Ministry of the Interior and Justice of the Bolivarian Republic of Venezuela (evidence file, volume XLVI, helpful evidence, folio 31401), and Digital presentation by the State during the public hearing before the Inter-American Court on February 6, 2018 (merits file, volume I, folios 932 to 935). See also </w:t>
      </w:r>
      <w:r w:rsidRPr="009D52FD">
        <w:rPr>
          <w:rFonts w:eastAsiaTheme="minorHAnsi" w:cstheme="minorBidi"/>
          <w:sz w:val="16"/>
          <w:szCs w:val="16"/>
          <w:lang w:val="en-US" w:eastAsia="en-US"/>
        </w:rPr>
        <w:t xml:space="preserve">United Nations Development Programme, </w:t>
      </w:r>
      <w:r w:rsidRPr="009D52FD">
        <w:rPr>
          <w:iCs/>
          <w:sz w:val="16"/>
          <w:szCs w:val="16"/>
          <w:lang w:val="en-US"/>
        </w:rPr>
        <w:t xml:space="preserve">National reports on the situation of gender-based violence against women. </w:t>
      </w:r>
      <w:r w:rsidRPr="009D52FD">
        <w:rPr>
          <w:rFonts w:eastAsiaTheme="minorHAnsi" w:cstheme="minorBidi"/>
          <w:bCs/>
          <w:i/>
          <w:sz w:val="16"/>
          <w:szCs w:val="16"/>
          <w:lang w:val="en-US" w:eastAsia="en-US"/>
        </w:rPr>
        <w:t xml:space="preserve">Informe Nacional </w:t>
      </w:r>
      <w:r w:rsidRPr="009D52FD">
        <w:rPr>
          <w:i/>
          <w:sz w:val="16"/>
          <w:szCs w:val="16"/>
          <w:lang w:val="en-US"/>
        </w:rPr>
        <w:t xml:space="preserve">Venezuela, </w:t>
      </w:r>
      <w:r w:rsidRPr="009D52FD">
        <w:rPr>
          <w:sz w:val="16"/>
          <w:szCs w:val="16"/>
          <w:lang w:val="en-US"/>
        </w:rPr>
        <w:t xml:space="preserve">May 1999 </w:t>
      </w:r>
      <w:r w:rsidRPr="009D52FD">
        <w:rPr>
          <w:rFonts w:eastAsiaTheme="minorHAnsi" w:cstheme="minorBidi"/>
          <w:sz w:val="16"/>
          <w:szCs w:val="16"/>
          <w:lang w:val="en-US" w:eastAsia="en-US"/>
        </w:rPr>
        <w:t>(evidence file, volume VI, annexes to the representatives’ brief on merits before the IACHR, folio 2872)</w:t>
      </w:r>
      <w:r w:rsidRPr="009D52FD">
        <w:rPr>
          <w:sz w:val="16"/>
          <w:szCs w:val="16"/>
          <w:lang w:val="en-US"/>
        </w:rPr>
        <w:t>.</w:t>
      </w:r>
    </w:p>
  </w:footnote>
  <w:footnote w:id="246">
    <w:p w14:paraId="1C2302E0" w14:textId="22E93D35"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The United Nations Development Programme </w:t>
      </w:r>
      <w:r w:rsidRPr="009D52FD">
        <w:rPr>
          <w:bCs/>
          <w:sz w:val="16"/>
          <w:szCs w:val="16"/>
          <w:lang w:val="en-US"/>
        </w:rPr>
        <w:t xml:space="preserve">indicated that the information available on domestic and sexual violence against women was “limited because the data obtained only relate to partial records.” </w:t>
      </w:r>
      <w:r w:rsidRPr="009D52FD">
        <w:rPr>
          <w:bCs/>
          <w:i/>
          <w:sz w:val="16"/>
          <w:szCs w:val="16"/>
          <w:lang w:val="en-US"/>
        </w:rPr>
        <w:t>Cf.</w:t>
      </w:r>
      <w:r w:rsidRPr="009D52FD">
        <w:rPr>
          <w:bCs/>
          <w:sz w:val="16"/>
          <w:szCs w:val="16"/>
          <w:lang w:val="en-US"/>
        </w:rPr>
        <w:t xml:space="preserve"> United Nations Development Programme, </w:t>
      </w:r>
      <w:r w:rsidRPr="009D52FD">
        <w:rPr>
          <w:iCs/>
          <w:sz w:val="16"/>
          <w:szCs w:val="16"/>
          <w:lang w:val="en-US"/>
        </w:rPr>
        <w:t>National reports on the situation of gender-based violence against women.</w:t>
      </w:r>
      <w:r w:rsidRPr="009D52FD">
        <w:rPr>
          <w:rFonts w:eastAsiaTheme="minorHAnsi" w:cstheme="minorBidi"/>
          <w:bCs/>
          <w:i/>
          <w:sz w:val="16"/>
          <w:szCs w:val="16"/>
          <w:lang w:val="en-US" w:eastAsia="en-US"/>
        </w:rPr>
        <w:t xml:space="preserve"> Informe Nacional</w:t>
      </w:r>
      <w:r w:rsidRPr="009D52FD">
        <w:rPr>
          <w:i/>
          <w:sz w:val="16"/>
          <w:szCs w:val="16"/>
          <w:lang w:val="en-US"/>
        </w:rPr>
        <w:t xml:space="preserve"> Venezuela, </w:t>
      </w:r>
      <w:r w:rsidRPr="009D52FD">
        <w:rPr>
          <w:sz w:val="16"/>
          <w:szCs w:val="16"/>
          <w:lang w:val="en-US"/>
        </w:rPr>
        <w:t xml:space="preserve">May 1999 (evidence file, volume VI, annex to the representatives’ brief on merits before the IACHR, folio 2870). Similarly, UN, Committee on the Elimination of Discrimination against Women, </w:t>
      </w:r>
      <w:r w:rsidRPr="009D52FD">
        <w:rPr>
          <w:i/>
          <w:sz w:val="16"/>
          <w:szCs w:val="16"/>
          <w:lang w:val="en-US"/>
        </w:rPr>
        <w:t>Concluding comments: Bolivarian Republic of Venezuela</w:t>
      </w:r>
      <w:r w:rsidRPr="009D52FD">
        <w:rPr>
          <w:sz w:val="16"/>
          <w:szCs w:val="16"/>
          <w:lang w:val="en-US"/>
        </w:rPr>
        <w:t xml:space="preserve">, CEDAW/C/VEN/CO/6, January 31, 2006, para. 25 </w:t>
      </w:r>
      <w:r w:rsidRPr="009D52FD">
        <w:rPr>
          <w:i/>
          <w:sz w:val="16"/>
          <w:szCs w:val="16"/>
          <w:lang w:val="en-US"/>
        </w:rPr>
        <w:t>in fine</w:t>
      </w:r>
      <w:r w:rsidRPr="009D52FD">
        <w:rPr>
          <w:sz w:val="16"/>
          <w:szCs w:val="16"/>
          <w:lang w:val="en-US"/>
        </w:rPr>
        <w:t xml:space="preserve"> (evidence file, volume XVI, annex 4C to the pleadings and motions brief, folio 10740); Inter-American Commission of Women – </w:t>
      </w:r>
      <w:r w:rsidRPr="009D52FD">
        <w:rPr>
          <w:rStyle w:val="Strong"/>
          <w:b w:val="0"/>
          <w:bCs w:val="0"/>
          <w:sz w:val="16"/>
          <w:szCs w:val="16"/>
          <w:lang w:val="en-US"/>
        </w:rPr>
        <w:t>Follow-up Mechanism to the Belém do Pará Convention</w:t>
      </w:r>
      <w:r w:rsidRPr="009D52FD">
        <w:rPr>
          <w:b/>
          <w:bCs/>
          <w:sz w:val="16"/>
          <w:szCs w:val="16"/>
          <w:lang w:val="en-US"/>
        </w:rPr>
        <w:t xml:space="preserve"> </w:t>
      </w:r>
      <w:r w:rsidRPr="009D52FD">
        <w:rPr>
          <w:sz w:val="16"/>
          <w:szCs w:val="16"/>
          <w:lang w:val="en-US"/>
        </w:rPr>
        <w:t xml:space="preserve">(MESECVI). </w:t>
      </w:r>
      <w:r w:rsidRPr="009D52FD">
        <w:rPr>
          <w:i/>
          <w:sz w:val="16"/>
          <w:szCs w:val="16"/>
          <w:lang w:val="en-US"/>
        </w:rPr>
        <w:t xml:space="preserve">Country report approved by the Committee of Experts on Violence, </w:t>
      </w:r>
      <w:r w:rsidRPr="009D52FD">
        <w:rPr>
          <w:sz w:val="16"/>
          <w:szCs w:val="16"/>
          <w:lang w:val="en-US"/>
        </w:rPr>
        <w:t>OEA/Ser.L/II.7.10, June 25, 2008 (evidence file, volume XVI, annex 4K to the pleadings and motions brief, folio 3732);</w:t>
      </w:r>
      <w:r w:rsidRPr="009D52FD">
        <w:rPr>
          <w:rFonts w:eastAsiaTheme="minorHAnsi" w:cstheme="minorBidi"/>
          <w:i/>
          <w:sz w:val="16"/>
          <w:szCs w:val="16"/>
          <w:lang w:val="en-US" w:eastAsia="en-US"/>
        </w:rPr>
        <w:t xml:space="preserve"> </w:t>
      </w:r>
      <w:r w:rsidRPr="009D52FD">
        <w:rPr>
          <w:sz w:val="16"/>
          <w:szCs w:val="16"/>
          <w:lang w:val="en-US"/>
        </w:rPr>
        <w:t xml:space="preserve">Inter-American Commission on Human Rights, </w:t>
      </w:r>
      <w:r w:rsidRPr="009D52FD">
        <w:rPr>
          <w:i/>
          <w:sz w:val="16"/>
          <w:szCs w:val="16"/>
          <w:lang w:val="en-US"/>
        </w:rPr>
        <w:t>Democracy and Human Rights in Venezuela</w:t>
      </w:r>
      <w:r w:rsidRPr="009D52FD">
        <w:rPr>
          <w:sz w:val="16"/>
          <w:szCs w:val="16"/>
          <w:lang w:val="en-US"/>
        </w:rPr>
        <w:t xml:space="preserve">, OEA/Ser.L/V/II; Doc. 54, December 30, 2009, para. 945 (evidence file, volume VII, annexes to the representatives’ brief on merits before the IACHR, folio 4502); Venezuelan Observatory on Women’s Human Rights, </w:t>
      </w:r>
      <w:r w:rsidRPr="009D52FD">
        <w:rPr>
          <w:i/>
          <w:sz w:val="16"/>
          <w:szCs w:val="16"/>
          <w:lang w:val="en-US"/>
        </w:rPr>
        <w:t xml:space="preserve">Report on the Bolivarian Republic of Venezuela – Twelfth session of the Universal Periodic Review </w:t>
      </w:r>
      <w:r w:rsidRPr="009D52FD">
        <w:rPr>
          <w:sz w:val="16"/>
          <w:szCs w:val="16"/>
          <w:lang w:val="en-US"/>
        </w:rPr>
        <w:t xml:space="preserve">– October 2011 (evidence file, volume XII, annex 108 to the Merits Report, folio 7989), and UN, Committee on the Elimination of Discrimination against Women, </w:t>
      </w:r>
      <w:r w:rsidRPr="009D52FD">
        <w:rPr>
          <w:i/>
          <w:sz w:val="16"/>
          <w:szCs w:val="16"/>
          <w:lang w:val="en-US"/>
        </w:rPr>
        <w:t>Concluding observations on the combined seventh and eighth periodic reports of the Bolivarian Republic of Venezuela</w:t>
      </w:r>
      <w:r w:rsidRPr="009D52FD">
        <w:rPr>
          <w:sz w:val="16"/>
          <w:szCs w:val="16"/>
          <w:lang w:val="en-US"/>
        </w:rPr>
        <w:t>, CEDAW/C/VEN/CO/7-8, November 14, 2014, para. 18 (evidence file, volume XVI, annex 4B to the pleadings and motions brief, folio 10727).</w:t>
      </w:r>
    </w:p>
  </w:footnote>
  <w:footnote w:id="247">
    <w:p w14:paraId="112AFC24" w14:textId="24F89942"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The report of the United Nations Development Programme, after indicating that, from 1994 to 1997, a total of 29,471 cases of sexual offenses had been reported – a number significantly lower than for the preceding period </w:t>
      </w:r>
      <w:r w:rsidRPr="009D52FD">
        <w:rPr>
          <w:rFonts w:eastAsiaTheme="minorHAnsi" w:cstheme="minorBidi"/>
          <w:bCs/>
          <w:sz w:val="16"/>
          <w:szCs w:val="16"/>
          <w:lang w:val="en-US" w:eastAsia="en-US"/>
        </w:rPr>
        <w:t>(1989-1993) because the number of reports during that period amounted to 41,401 – clarified that those figures were an under-recording of the problem because they only corresponded to the cases reported. That was due to the numerous difficulties that women faced when filing complaints for this type of act, which meant that many of them decided not to come forward. Regarding how cases of sexual violence against women were processed, it indicated that reports of this type of offense were not processed appropriately, unless “physical evidence” was verified; to the contrary, “it was considered that sexual violence had not occurred,” and this led to the closure of the police investigation.</w:t>
      </w:r>
      <w:r w:rsidRPr="009D52FD">
        <w:rPr>
          <w:sz w:val="16"/>
          <w:szCs w:val="16"/>
          <w:lang w:val="en-US"/>
        </w:rPr>
        <w:t xml:space="preserve"> </w:t>
      </w:r>
      <w:r w:rsidRPr="009D52FD">
        <w:rPr>
          <w:rFonts w:eastAsiaTheme="minorHAnsi" w:cstheme="minorBidi"/>
          <w:bCs/>
          <w:i/>
          <w:sz w:val="16"/>
          <w:szCs w:val="16"/>
          <w:lang w:val="en-US" w:eastAsia="en-US"/>
        </w:rPr>
        <w:t>Cf.</w:t>
      </w:r>
      <w:r w:rsidRPr="009D52FD">
        <w:rPr>
          <w:rFonts w:eastAsiaTheme="minorHAnsi" w:cstheme="minorBidi"/>
          <w:bCs/>
          <w:sz w:val="16"/>
          <w:szCs w:val="16"/>
          <w:lang w:val="en-US" w:eastAsia="en-US"/>
        </w:rPr>
        <w:t xml:space="preserve"> UNDP, </w:t>
      </w:r>
      <w:r w:rsidRPr="009D52FD">
        <w:rPr>
          <w:iCs/>
          <w:sz w:val="16"/>
          <w:szCs w:val="16"/>
          <w:lang w:val="en-US"/>
        </w:rPr>
        <w:t xml:space="preserve">National reports on the situation of gender-based violence against women. </w:t>
      </w:r>
      <w:r w:rsidRPr="009D52FD">
        <w:rPr>
          <w:rFonts w:eastAsiaTheme="minorHAnsi" w:cstheme="minorBidi"/>
          <w:bCs/>
          <w:i/>
          <w:sz w:val="16"/>
          <w:szCs w:val="16"/>
          <w:lang w:val="en-US" w:eastAsia="en-US"/>
        </w:rPr>
        <w:t>Informe Nacional Venezuela</w:t>
      </w:r>
      <w:r w:rsidRPr="009D52FD">
        <w:rPr>
          <w:rFonts w:eastAsiaTheme="minorHAnsi" w:cstheme="minorBidi"/>
          <w:bCs/>
          <w:sz w:val="16"/>
          <w:szCs w:val="16"/>
          <w:lang w:val="en-US" w:eastAsia="en-US"/>
        </w:rPr>
        <w:t>, May 1999 (evidence file, volume VI, annex to the representatives’ brief on merits before the IACHR, folios 2872, 2873 and 2902)</w:t>
      </w:r>
      <w:r w:rsidRPr="009D52FD">
        <w:rPr>
          <w:sz w:val="16"/>
          <w:szCs w:val="16"/>
          <w:lang w:val="en-US"/>
        </w:rPr>
        <w:t>.</w:t>
      </w:r>
    </w:p>
  </w:footnote>
  <w:footnote w:id="248">
    <w:p w14:paraId="3917AB00" w14:textId="544E0E7B"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Statement by Ana Secilia López Soto before the Chacao Police Station on July 27, 2001 (evidence file, volume XLVI, helpful evidence, folio 31422).</w:t>
      </w:r>
    </w:p>
  </w:footnote>
  <w:footnote w:id="249">
    <w:p w14:paraId="5C07E222" w14:textId="352E5605"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Police record of July 19, 2001, No. 2001-1540, of the Services Office of the Operations Division of the Chacao Municipal Police of the State Miranda (evidence file, volume IX, annex 4 to the Merits Report, folios 5824 and 5825); Statement by Giovanni José Chicco Salas recorded in the judgment of the Twentieth Trial Court of the Caracas Metropolitan Area on November 5, 2004 (evidence file, volume IX, annex 4 to the Merits Report, folios 5820 to 5824), and Statement by Alfredo José Saldeño Madero recorded in the judgment handed down by the Twentieth Trial Court of the Caracas Metropolitan Area on November 5, 2004 (evidence file, volume IX, annex 4 to the Merits Report, folios 5868 and 5869). See also, Statement by Olaf Sander Montilla in the record of the public oral hearing of the Seventh Trial Court of the Caracas Metropolitan Area of February 8, 2006 (evidence file, volume IX, annex 3 to the Merits Report, folio 5643).</w:t>
      </w:r>
    </w:p>
  </w:footnote>
  <w:footnote w:id="250">
    <w:p w14:paraId="357B28F7" w14:textId="7B15CEAD"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Request presented by Prosecutor No. 33 of the Public Prosecution Service of the Caracas Metropolitan Area to the First Instance Oversight Court of the same judicial circuit on August 22, 2001 (evidence file, volume XXV, annex to the State’s answering brief, folio 16765).</w:t>
      </w:r>
    </w:p>
  </w:footnote>
  <w:footnote w:id="251">
    <w:p w14:paraId="50DF53D0" w14:textId="5EDEFF73"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Statements by Jorge Luis González and Iginio Manuel Rivas in the judgment handed down by the Twentieth Trial Court of the Caracas Metropolitan Area on November 5, 2004 (evidence file, volume IX, annex 4 to the Merits Report, folios 5961 and 5967).</w:t>
      </w:r>
    </w:p>
  </w:footnote>
  <w:footnote w:id="252">
    <w:p w14:paraId="229F225D" w14:textId="012B6E43"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Statement made by Ana Secilia López Soto during the public hearing before the Inter-American Court on February 6, 2018.</w:t>
      </w:r>
    </w:p>
  </w:footnote>
  <w:footnote w:id="253">
    <w:p w14:paraId="4DF60E6B" w14:textId="61F411C4" w:rsidR="009D52FD" w:rsidRPr="009D52FD" w:rsidRDefault="009D52FD" w:rsidP="008778DD">
      <w:pPr>
        <w:pStyle w:val="FootnoteText"/>
        <w:tabs>
          <w:tab w:val="left" w:pos="567"/>
        </w:tabs>
        <w:spacing w:after="60"/>
        <w:rPr>
          <w:i/>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Statement made by Linda Loaiza López Soto during the public hearing before the Inter-American Court on February 6, 2018.</w:t>
      </w:r>
    </w:p>
  </w:footnote>
  <w:footnote w:id="254">
    <w:p w14:paraId="73940765" w14:textId="72F1EF83" w:rsidR="009D52FD" w:rsidRPr="009D52FD" w:rsidRDefault="009D52FD" w:rsidP="008778DD">
      <w:pPr>
        <w:pStyle w:val="FootnoteText"/>
        <w:tabs>
          <w:tab w:val="left" w:pos="567"/>
        </w:tabs>
        <w:spacing w:after="60"/>
        <w:rPr>
          <w:bCs/>
          <w:iCs/>
          <w:sz w:val="16"/>
          <w:szCs w:val="16"/>
          <w:lang w:val="en-US" w:bidi="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rFonts w:eastAsia="Times"/>
          <w:i/>
          <w:sz w:val="16"/>
          <w:szCs w:val="16"/>
          <w:lang w:val="en-US"/>
        </w:rPr>
        <w:t>Case of the “Five Pensioners” v. Peru. Merits, reparations and costs.</w:t>
      </w:r>
      <w:r w:rsidRPr="009D52FD">
        <w:rPr>
          <w:rFonts w:eastAsia="Times"/>
          <w:sz w:val="16"/>
          <w:szCs w:val="16"/>
          <w:lang w:val="en-US"/>
        </w:rPr>
        <w:t xml:space="preserve"> Judgment of February 28, 2003. Series C No. 98, </w:t>
      </w:r>
      <w:r w:rsidRPr="009D52FD">
        <w:rPr>
          <w:iCs/>
          <w:sz w:val="16"/>
          <w:szCs w:val="16"/>
          <w:lang w:val="en-US" w:bidi="en-US"/>
        </w:rPr>
        <w:t xml:space="preserve">para. 155, and </w:t>
      </w:r>
      <w:r w:rsidRPr="009D52FD">
        <w:rPr>
          <w:i/>
          <w:sz w:val="16"/>
          <w:szCs w:val="16"/>
          <w:lang w:val="en-US"/>
        </w:rPr>
        <w:t>Case of Ramírez Escobar et al. v. Guatemala, supra</w:t>
      </w:r>
      <w:r w:rsidRPr="009D52FD">
        <w:rPr>
          <w:sz w:val="16"/>
          <w:szCs w:val="16"/>
          <w:lang w:val="en-US"/>
        </w:rPr>
        <w:t>, para. 267</w:t>
      </w:r>
      <w:r w:rsidRPr="009D52FD">
        <w:rPr>
          <w:bCs/>
          <w:iCs/>
          <w:sz w:val="16"/>
          <w:szCs w:val="16"/>
          <w:lang w:val="en-US" w:bidi="en-US"/>
        </w:rPr>
        <w:t>.</w:t>
      </w:r>
    </w:p>
  </w:footnote>
  <w:footnote w:id="255">
    <w:p w14:paraId="10EC9672" w14:textId="4834AD24" w:rsidR="009D52FD" w:rsidRPr="009D52FD" w:rsidRDefault="009D52FD" w:rsidP="008778DD">
      <w:pPr>
        <w:pStyle w:val="FootnoteText"/>
        <w:tabs>
          <w:tab w:val="left" w:pos="567"/>
        </w:tabs>
        <w:spacing w:after="60"/>
        <w:rPr>
          <w:i/>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 Case of the Hacienda Brasil Verde Workers v. Brazil, supra</w:t>
      </w:r>
      <w:r w:rsidRPr="009D52FD">
        <w:rPr>
          <w:sz w:val="16"/>
          <w:szCs w:val="16"/>
          <w:lang w:val="en-US"/>
        </w:rPr>
        <w:t>, para. 269.</w:t>
      </w:r>
    </w:p>
  </w:footnote>
  <w:footnote w:id="256">
    <w:p w14:paraId="5F54447E" w14:textId="4CF1515D"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 Case of the Hacienda Brasil Verde Workers v. Brazil, supra</w:t>
      </w:r>
      <w:r w:rsidRPr="009D52FD">
        <w:rPr>
          <w:sz w:val="16"/>
          <w:szCs w:val="16"/>
          <w:lang w:val="en-US"/>
        </w:rPr>
        <w:t>, para. 272.</w:t>
      </w:r>
    </w:p>
  </w:footnote>
  <w:footnote w:id="257">
    <w:p w14:paraId="3ED46EA4" w14:textId="12FF70DD"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Written version of the expert opinion provided by</w:t>
      </w:r>
      <w:r w:rsidRPr="009D52FD">
        <w:rPr>
          <w:color w:val="000000"/>
          <w:sz w:val="16"/>
          <w:szCs w:val="16"/>
          <w:lang w:val="en-US" w:eastAsia="en-US"/>
        </w:rPr>
        <w:t xml:space="preserve"> Daniela Kravetz during the public hearing before the Inter-American Court on February 6, 2018 (merits file, volume I, folio 8</w:t>
      </w:r>
      <w:r w:rsidRPr="009D52FD">
        <w:rPr>
          <w:color w:val="000000"/>
          <w:sz w:val="16"/>
          <w:szCs w:val="16"/>
          <w:lang w:val="en-US"/>
        </w:rPr>
        <w:t>30</w:t>
      </w:r>
      <w:r w:rsidRPr="009D52FD">
        <w:rPr>
          <w:color w:val="000000"/>
          <w:sz w:val="16"/>
          <w:szCs w:val="16"/>
          <w:lang w:val="en-US" w:eastAsia="en-US"/>
        </w:rPr>
        <w:t>)</w:t>
      </w:r>
      <w:r w:rsidRPr="009D52FD">
        <w:rPr>
          <w:color w:val="000000"/>
          <w:sz w:val="16"/>
          <w:szCs w:val="16"/>
          <w:lang w:val="en-US"/>
        </w:rPr>
        <w:t xml:space="preserve">, citing UN, </w:t>
      </w:r>
      <w:r w:rsidRPr="009D52FD">
        <w:rPr>
          <w:i/>
          <w:iCs/>
          <w:color w:val="000000"/>
          <w:sz w:val="16"/>
          <w:szCs w:val="16"/>
          <w:lang w:val="en-US"/>
        </w:rPr>
        <w:t>Systematic rape, sexual slavery and slavery-like practices during armed conflict</w:t>
      </w:r>
      <w:r w:rsidRPr="009D52FD">
        <w:rPr>
          <w:iCs/>
          <w:sz w:val="16"/>
          <w:szCs w:val="16"/>
          <w:lang w:val="en-US"/>
        </w:rPr>
        <w:t xml:space="preserve">, </w:t>
      </w:r>
      <w:r w:rsidRPr="009D52FD">
        <w:rPr>
          <w:i/>
          <w:iCs/>
          <w:sz w:val="16"/>
          <w:szCs w:val="16"/>
          <w:lang w:val="en-US"/>
        </w:rPr>
        <w:t>Final report submitted by Ms. Gay J. McDougall</w:t>
      </w:r>
      <w:r w:rsidRPr="009D52FD">
        <w:rPr>
          <w:sz w:val="16"/>
          <w:szCs w:val="16"/>
          <w:lang w:val="en-US"/>
        </w:rPr>
        <w:t xml:space="preserve">, </w:t>
      </w:r>
      <w:r w:rsidRPr="009D52FD">
        <w:rPr>
          <w:i/>
          <w:iCs/>
          <w:sz w:val="16"/>
          <w:szCs w:val="16"/>
          <w:lang w:val="en-US"/>
        </w:rPr>
        <w:t xml:space="preserve">Special Rapporteur, </w:t>
      </w:r>
      <w:r w:rsidRPr="009D52FD">
        <w:rPr>
          <w:sz w:val="16"/>
          <w:szCs w:val="16"/>
          <w:lang w:val="en-US"/>
        </w:rPr>
        <w:t>E/CN.4/Sub.2/1998/13, 2000, para. 29.</w:t>
      </w:r>
    </w:p>
  </w:footnote>
  <w:footnote w:id="258">
    <w:p w14:paraId="76A54D63" w14:textId="15BA2594"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Sexual violence is understood to mean “any violence, physical or psychological, carried out through sexual means or by targeting sexuality.” This “covers both physical and psychological attacks directed at a person’s sexual characteristics, such as forcing a person to strip naked in public, mutilating a person’s genitals,” as well as situations in which the purpose is ”to inflict severe humiliation on the victims,” such as forcing two victims to perform sexual acts on one another or when others are forced to watch acts of sexual violence for purposes of intimidation. </w:t>
      </w:r>
      <w:r w:rsidRPr="009D52FD">
        <w:rPr>
          <w:i/>
          <w:sz w:val="16"/>
          <w:szCs w:val="16"/>
          <w:lang w:val="en-US"/>
        </w:rPr>
        <w:t xml:space="preserve">Cf. </w:t>
      </w:r>
      <w:r w:rsidRPr="009D52FD">
        <w:rPr>
          <w:color w:val="000000"/>
          <w:sz w:val="16"/>
          <w:szCs w:val="16"/>
          <w:lang w:val="en-US"/>
        </w:rPr>
        <w:t xml:space="preserve">UN, </w:t>
      </w:r>
      <w:r w:rsidRPr="009D52FD">
        <w:rPr>
          <w:i/>
          <w:iCs/>
          <w:color w:val="000000"/>
          <w:sz w:val="16"/>
          <w:szCs w:val="16"/>
          <w:lang w:val="en-US"/>
        </w:rPr>
        <w:t>Systematic rape, sexual slavery and slavery-like practices during armed conflict</w:t>
      </w:r>
      <w:r w:rsidRPr="009D52FD">
        <w:rPr>
          <w:iCs/>
          <w:sz w:val="16"/>
          <w:szCs w:val="16"/>
          <w:lang w:val="en-US"/>
        </w:rPr>
        <w:t xml:space="preserve">, </w:t>
      </w:r>
      <w:r w:rsidRPr="009D52FD">
        <w:rPr>
          <w:i/>
          <w:iCs/>
          <w:sz w:val="16"/>
          <w:szCs w:val="16"/>
          <w:lang w:val="en-US"/>
        </w:rPr>
        <w:t>Final report submitted by Ms. Gay J. McDougall</w:t>
      </w:r>
      <w:r w:rsidRPr="009D52FD">
        <w:rPr>
          <w:sz w:val="16"/>
          <w:szCs w:val="16"/>
          <w:lang w:val="en-US"/>
        </w:rPr>
        <w:t xml:space="preserve">, </w:t>
      </w:r>
      <w:r w:rsidRPr="009D52FD">
        <w:rPr>
          <w:i/>
          <w:iCs/>
          <w:sz w:val="16"/>
          <w:szCs w:val="16"/>
          <w:lang w:val="en-US"/>
        </w:rPr>
        <w:t xml:space="preserve">Special Rapporteur, </w:t>
      </w:r>
      <w:r w:rsidRPr="009D52FD">
        <w:rPr>
          <w:sz w:val="16"/>
          <w:szCs w:val="16"/>
          <w:lang w:val="en-US"/>
        </w:rPr>
        <w:t>E/CN.4/Sub.2/1998/13, 2000, paras. 21 and 22.</w:t>
      </w:r>
    </w:p>
  </w:footnote>
  <w:footnote w:id="259">
    <w:p w14:paraId="3E96B791" w14:textId="6F49064D"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 Case of the Hacienda Brasil Verde Workers v. Brazil, supra</w:t>
      </w:r>
      <w:r w:rsidRPr="009D52FD">
        <w:rPr>
          <w:sz w:val="16"/>
          <w:szCs w:val="16"/>
          <w:lang w:val="en-US"/>
        </w:rPr>
        <w:t>, paras. 243 and 249.</w:t>
      </w:r>
    </w:p>
  </w:footnote>
  <w:footnote w:id="260">
    <w:p w14:paraId="370CFF08" w14:textId="10EA9A4B" w:rsidR="009D52FD" w:rsidRPr="009D52FD" w:rsidRDefault="009D52FD" w:rsidP="008778DD">
      <w:pPr>
        <w:tabs>
          <w:tab w:val="left" w:pos="567"/>
        </w:tabs>
        <w:autoSpaceDE w:val="0"/>
        <w:autoSpaceDN w:val="0"/>
        <w:spacing w:after="60" w:line="240" w:lineRule="auto"/>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color w:val="000000"/>
          <w:sz w:val="16"/>
          <w:szCs w:val="16"/>
          <w:lang w:val="en-US"/>
        </w:rPr>
        <w:t xml:space="preserve">UN, </w:t>
      </w:r>
      <w:r w:rsidRPr="009D52FD">
        <w:rPr>
          <w:i/>
          <w:iCs/>
          <w:color w:val="000000"/>
          <w:sz w:val="16"/>
          <w:szCs w:val="16"/>
          <w:lang w:val="en-US"/>
        </w:rPr>
        <w:t>Systematic rape, sexual slavery and slavery-like practices during armed conflict</w:t>
      </w:r>
      <w:r w:rsidRPr="009D52FD">
        <w:rPr>
          <w:iCs/>
          <w:sz w:val="16"/>
          <w:szCs w:val="16"/>
          <w:lang w:val="en-US"/>
        </w:rPr>
        <w:t xml:space="preserve">, </w:t>
      </w:r>
      <w:r w:rsidRPr="009D52FD">
        <w:rPr>
          <w:i/>
          <w:iCs/>
          <w:sz w:val="16"/>
          <w:szCs w:val="16"/>
          <w:lang w:val="en-US"/>
        </w:rPr>
        <w:t>Final report submitted by Ms. Gay J. McDougall</w:t>
      </w:r>
      <w:r w:rsidRPr="009D52FD">
        <w:rPr>
          <w:sz w:val="16"/>
          <w:szCs w:val="16"/>
          <w:lang w:val="en-US"/>
        </w:rPr>
        <w:t xml:space="preserve">, </w:t>
      </w:r>
      <w:r w:rsidRPr="009D52FD">
        <w:rPr>
          <w:i/>
          <w:iCs/>
          <w:sz w:val="16"/>
          <w:szCs w:val="16"/>
          <w:lang w:val="en-US"/>
        </w:rPr>
        <w:t xml:space="preserve">Special Rapporteur, </w:t>
      </w:r>
      <w:r w:rsidRPr="009D52FD">
        <w:rPr>
          <w:sz w:val="16"/>
          <w:szCs w:val="16"/>
          <w:lang w:val="en-US"/>
        </w:rPr>
        <w:t>E/CN.4/Sub.2/1998/13, 2000, para. 27.</w:t>
      </w:r>
    </w:p>
  </w:footnote>
  <w:footnote w:id="261">
    <w:p w14:paraId="08A0A915" w14:textId="7D502E96" w:rsidR="009D52FD" w:rsidRPr="009D52FD" w:rsidRDefault="009D52FD" w:rsidP="008778DD">
      <w:pPr>
        <w:tabs>
          <w:tab w:val="left" w:pos="567"/>
        </w:tabs>
        <w:autoSpaceDE w:val="0"/>
        <w:autoSpaceDN w:val="0"/>
        <w:spacing w:after="60" w:line="240" w:lineRule="auto"/>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color w:val="000000"/>
          <w:sz w:val="16"/>
          <w:szCs w:val="16"/>
          <w:lang w:val="en-US"/>
        </w:rPr>
        <w:t xml:space="preserve">UN, </w:t>
      </w:r>
      <w:r w:rsidRPr="009D52FD">
        <w:rPr>
          <w:i/>
          <w:iCs/>
          <w:color w:val="000000"/>
          <w:sz w:val="16"/>
          <w:szCs w:val="16"/>
          <w:lang w:val="en-US"/>
        </w:rPr>
        <w:t>Systematic rape, sexual slavery and slavery-like practices during armed conflict</w:t>
      </w:r>
      <w:r w:rsidRPr="009D52FD">
        <w:rPr>
          <w:iCs/>
          <w:sz w:val="16"/>
          <w:szCs w:val="16"/>
          <w:lang w:val="en-US"/>
        </w:rPr>
        <w:t xml:space="preserve">, </w:t>
      </w:r>
      <w:r w:rsidRPr="009D52FD">
        <w:rPr>
          <w:i/>
          <w:iCs/>
          <w:sz w:val="16"/>
          <w:szCs w:val="16"/>
          <w:lang w:val="en-US"/>
        </w:rPr>
        <w:t>Final report submitted by Ms. Gay J. McDougall</w:t>
      </w:r>
      <w:r w:rsidRPr="009D52FD">
        <w:rPr>
          <w:sz w:val="16"/>
          <w:szCs w:val="16"/>
          <w:lang w:val="en-US"/>
        </w:rPr>
        <w:t xml:space="preserve">, </w:t>
      </w:r>
      <w:r w:rsidRPr="009D52FD">
        <w:rPr>
          <w:i/>
          <w:iCs/>
          <w:sz w:val="16"/>
          <w:szCs w:val="16"/>
          <w:lang w:val="en-US"/>
        </w:rPr>
        <w:t xml:space="preserve">Special Rapporteur, </w:t>
      </w:r>
      <w:r w:rsidRPr="009D52FD">
        <w:rPr>
          <w:sz w:val="16"/>
          <w:szCs w:val="16"/>
          <w:lang w:val="en-US"/>
        </w:rPr>
        <w:t>E/CN.4/Sub.2/1998/13, 2000, para. 8.</w:t>
      </w:r>
    </w:p>
  </w:footnote>
  <w:footnote w:id="262">
    <w:p w14:paraId="16832F92" w14:textId="5BBEC233"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Case of the Hacienda Brasil Verde Workers v. Brazil, supra</w:t>
      </w:r>
      <w:r w:rsidRPr="009D52FD">
        <w:rPr>
          <w:sz w:val="16"/>
          <w:szCs w:val="16"/>
          <w:lang w:val="en-US"/>
        </w:rPr>
        <w:t>, para. 273.</w:t>
      </w:r>
    </w:p>
  </w:footnote>
  <w:footnote w:id="263">
    <w:p w14:paraId="41C4BC92" w14:textId="4D408D35" w:rsidR="009D52FD" w:rsidRPr="009D52FD" w:rsidRDefault="009D52FD" w:rsidP="008778DD">
      <w:pPr>
        <w:pStyle w:val="FootnoteText"/>
        <w:tabs>
          <w:tab w:val="left" w:pos="567"/>
        </w:tabs>
        <w:spacing w:after="60"/>
        <w:rPr>
          <w:i/>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 Case of I.V. v. Bolivia, supra</w:t>
      </w:r>
      <w:r w:rsidRPr="009D52FD">
        <w:rPr>
          <w:sz w:val="16"/>
          <w:szCs w:val="16"/>
          <w:lang w:val="en-US"/>
        </w:rPr>
        <w:t>, para. 155.</w:t>
      </w:r>
    </w:p>
  </w:footnote>
  <w:footnote w:id="264">
    <w:p w14:paraId="33830049" w14:textId="6E9621C6"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Written version of the expert opinion provided by</w:t>
      </w:r>
      <w:r w:rsidRPr="009D52FD">
        <w:rPr>
          <w:color w:val="000000"/>
          <w:sz w:val="16"/>
          <w:szCs w:val="16"/>
          <w:lang w:val="en-US" w:eastAsia="en-US"/>
        </w:rPr>
        <w:t xml:space="preserve"> Daniela Kravetz during the public hearing before the Inter-American Court on February 6, 2018 (merits file, volume I, folio 8</w:t>
      </w:r>
      <w:r w:rsidRPr="009D52FD">
        <w:rPr>
          <w:color w:val="000000"/>
          <w:sz w:val="16"/>
          <w:szCs w:val="16"/>
          <w:lang w:val="en-US"/>
        </w:rPr>
        <w:t>24</w:t>
      </w:r>
      <w:r w:rsidRPr="009D52FD">
        <w:rPr>
          <w:color w:val="000000"/>
          <w:sz w:val="16"/>
          <w:szCs w:val="16"/>
          <w:lang w:val="en-US" w:eastAsia="en-US"/>
        </w:rPr>
        <w:t>).</w:t>
      </w:r>
    </w:p>
  </w:footnote>
  <w:footnote w:id="265">
    <w:p w14:paraId="1AF446DD" w14:textId="12992339" w:rsidR="009D52FD" w:rsidRPr="009D52FD" w:rsidRDefault="009D52FD" w:rsidP="001759CB">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Statement by Linda Loaiza López Soto recorded in the judgment handed down by the Twentieth Trial Court of the Caracas Metropolitan Area on November 5, 2004 (evidence file, volume IX, annex 4 to the Merits Report, folios 13361 to 13367); Statement by Linda Loaiza López Soto before the IACHR during merits hearing No. 17, 154</w:t>
      </w:r>
      <w:r w:rsidRPr="009D52FD">
        <w:rPr>
          <w:sz w:val="16"/>
          <w:szCs w:val="16"/>
          <w:vertAlign w:val="superscript"/>
          <w:lang w:val="en-US"/>
        </w:rPr>
        <w:t>th</w:t>
      </w:r>
      <w:r w:rsidRPr="009D52FD">
        <w:rPr>
          <w:sz w:val="16"/>
          <w:szCs w:val="16"/>
          <w:lang w:val="en-US"/>
        </w:rPr>
        <w:t xml:space="preserve"> session, March 2015, and Statement made by Linda Loaiza López Soto during the public hearing before the Inter-American Court on February 6, 2018. See also, Record of interview of Lawrence Edwards Nash at the Chacao Police Station on August 13, 2001 (evidence file, volume XVII, annex 8G to the pleadings and motions brief, folios 11878 and 11879).</w:t>
      </w:r>
    </w:p>
  </w:footnote>
  <w:footnote w:id="266">
    <w:p w14:paraId="105861D9" w14:textId="63CC12B0" w:rsidR="009D52FD" w:rsidRPr="009D52FD" w:rsidRDefault="009D52FD" w:rsidP="001759CB">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The emergency physician indicated that the patient was admitted with malnutrition and signs of evident physical abuse. </w:t>
      </w:r>
      <w:r w:rsidRPr="009D52FD">
        <w:rPr>
          <w:i/>
          <w:sz w:val="16"/>
          <w:szCs w:val="16"/>
          <w:lang w:val="en-US"/>
        </w:rPr>
        <w:t>Cf.</w:t>
      </w:r>
      <w:r w:rsidRPr="009D52FD">
        <w:rPr>
          <w:sz w:val="16"/>
          <w:szCs w:val="16"/>
          <w:lang w:val="en-US"/>
        </w:rPr>
        <w:t xml:space="preserve"> Statement by Alfredo José Saldeño </w:t>
      </w:r>
      <w:r w:rsidRPr="009D52FD">
        <w:rPr>
          <w:rFonts w:cs="Arial"/>
          <w:sz w:val="16"/>
          <w:szCs w:val="16"/>
          <w:lang w:val="en-US"/>
        </w:rPr>
        <w:t>recorded in the judgment</w:t>
      </w:r>
      <w:r w:rsidRPr="009D52FD">
        <w:rPr>
          <w:sz w:val="16"/>
          <w:szCs w:val="16"/>
          <w:lang w:val="en-US"/>
        </w:rPr>
        <w:t xml:space="preserve"> handed down by the Twentieth Trial Court of the Caracas Metropolitan Area on November 5, 2004 (evidence file, volume IX,</w:t>
      </w:r>
      <w:r w:rsidRPr="009D52FD" w:rsidDel="00731713">
        <w:rPr>
          <w:sz w:val="16"/>
          <w:szCs w:val="16"/>
          <w:lang w:val="en-US"/>
        </w:rPr>
        <w:t xml:space="preserve"> </w:t>
      </w:r>
      <w:r w:rsidRPr="009D52FD">
        <w:rPr>
          <w:sz w:val="16"/>
          <w:szCs w:val="16"/>
          <w:lang w:val="en-US"/>
        </w:rPr>
        <w:t>annex 4 to the Merits Report,</w:t>
      </w:r>
      <w:r w:rsidRPr="009D52FD" w:rsidDel="00731713">
        <w:rPr>
          <w:sz w:val="16"/>
          <w:szCs w:val="16"/>
          <w:lang w:val="en-US"/>
        </w:rPr>
        <w:t xml:space="preserve"> </w:t>
      </w:r>
      <w:r w:rsidRPr="009D52FD">
        <w:rPr>
          <w:sz w:val="16"/>
          <w:szCs w:val="16"/>
          <w:lang w:val="en-US"/>
        </w:rPr>
        <w:t>folios 5867 and 5868).</w:t>
      </w:r>
    </w:p>
  </w:footnote>
  <w:footnote w:id="267">
    <w:p w14:paraId="4A539427" w14:textId="67B11629"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In her statement before this Court, Linda Loaiza indicated: “[…] when I was in captivity the aggressor threatened me saying that they would never harm him and he would never be in prison and, therefore, my sister Ana must withdraw the complaint that is what he told me during my captivity; he threatened me, telling me that he was a friend of the Vice President of the Republic at the time; that he was, his father was a friend of the Prosecutor General, of the former prosecutor general.” </w:t>
      </w:r>
      <w:r w:rsidRPr="009D52FD">
        <w:rPr>
          <w:i/>
          <w:sz w:val="16"/>
          <w:szCs w:val="16"/>
          <w:lang w:val="en-US"/>
        </w:rPr>
        <w:t>Cf.</w:t>
      </w:r>
      <w:r w:rsidRPr="009D52FD">
        <w:rPr>
          <w:sz w:val="16"/>
          <w:szCs w:val="16"/>
          <w:lang w:val="en-US"/>
        </w:rPr>
        <w:t xml:space="preserve"> Statement made by Linda Loaiza López Soto during the public hearing before the Inter-American Court on February 6, 2018.</w:t>
      </w:r>
    </w:p>
  </w:footnote>
  <w:footnote w:id="268">
    <w:p w14:paraId="03676AEC" w14:textId="0F696A28" w:rsidR="009D52FD" w:rsidRPr="009D52FD" w:rsidRDefault="009D52FD" w:rsidP="008778DD">
      <w:pPr>
        <w:tabs>
          <w:tab w:val="left" w:pos="567"/>
        </w:tabs>
        <w:autoSpaceDE w:val="0"/>
        <w:autoSpaceDN w:val="0"/>
        <w:spacing w:after="60" w:line="240" w:lineRule="auto"/>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An official present during the rescue stated that “[w]hat caught my attention was her lips, because it was as if they had been torn off </w:t>
      </w:r>
      <w:r w:rsidRPr="009D52FD">
        <w:rPr>
          <w:rFonts w:cs="ArialMT"/>
          <w:sz w:val="16"/>
          <w:szCs w:val="16"/>
          <w:lang w:val="en-US"/>
        </w:rPr>
        <w:t xml:space="preserve"> […] in the eight years that I have been in this work I have seen injuries, but not like those; it is one of the most unpleasant cases that I have seen; in my opinion, if she had been there one more day, she would not have come out alive.”</w:t>
      </w:r>
      <w:r w:rsidRPr="009D52FD">
        <w:rPr>
          <w:sz w:val="16"/>
          <w:szCs w:val="16"/>
          <w:lang w:val="en-US"/>
        </w:rPr>
        <w:t xml:space="preserve"> </w:t>
      </w:r>
      <w:r w:rsidRPr="009D52FD">
        <w:rPr>
          <w:rFonts w:cs="ArialMT"/>
          <w:sz w:val="16"/>
          <w:szCs w:val="16"/>
          <w:lang w:val="en-US"/>
        </w:rPr>
        <w:t xml:space="preserve">Statement by Giovanny José </w:t>
      </w:r>
      <w:r w:rsidRPr="009D52FD">
        <w:rPr>
          <w:rFonts w:cs="Arial"/>
          <w:sz w:val="16"/>
          <w:szCs w:val="16"/>
          <w:lang w:val="en-US"/>
        </w:rPr>
        <w:t>Chicco Salas recorded in the judgment</w:t>
      </w:r>
      <w:r w:rsidRPr="009D52FD">
        <w:rPr>
          <w:sz w:val="16"/>
          <w:szCs w:val="16"/>
          <w:lang w:val="en-US"/>
        </w:rPr>
        <w:t xml:space="preserve"> handed down by the Twentieth Trial Court of the Caracas Metropolitan Area on November 5, 2004 (evidence file, volume IX, annex 4 to the Merits Report</w:t>
      </w:r>
      <w:r w:rsidRPr="009D52FD">
        <w:rPr>
          <w:rFonts w:cs="Arial"/>
          <w:bCs/>
          <w:sz w:val="16"/>
          <w:szCs w:val="16"/>
          <w:lang w:val="en-US"/>
        </w:rPr>
        <w:t>s, folio 5822)</w:t>
      </w:r>
      <w:r w:rsidRPr="009D52FD">
        <w:rPr>
          <w:rFonts w:cs="Arial"/>
          <w:sz w:val="16"/>
          <w:szCs w:val="16"/>
          <w:lang w:val="en-US"/>
        </w:rPr>
        <w:t>.</w:t>
      </w:r>
    </w:p>
  </w:footnote>
  <w:footnote w:id="269">
    <w:p w14:paraId="317D8F8A" w14:textId="1CDF052B" w:rsidR="009D52FD" w:rsidRPr="009D52FD" w:rsidRDefault="009D52FD" w:rsidP="008778DD">
      <w:pPr>
        <w:tabs>
          <w:tab w:val="left" w:pos="567"/>
        </w:tabs>
        <w:autoSpaceDE w:val="0"/>
        <w:autoSpaceDN w:val="0"/>
        <w:spacing w:after="60" w:line="240" w:lineRule="auto"/>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rFonts w:cs="Arial"/>
          <w:sz w:val="16"/>
          <w:szCs w:val="16"/>
          <w:lang w:val="en-US"/>
        </w:rPr>
        <w:t>Statement by Linda Loaiza López Soto recorded in the judgment</w:t>
      </w:r>
      <w:r w:rsidRPr="009D52FD">
        <w:rPr>
          <w:sz w:val="16"/>
          <w:szCs w:val="16"/>
          <w:lang w:val="en-US"/>
        </w:rPr>
        <w:t xml:space="preserve"> handed down by the Twentieth Trial Court of the Caracas Metropolitan Area on November 5, 2004 (evidence file, volume IX, annex 4 to the Merits Report, folios 5807 to 5812</w:t>
      </w:r>
      <w:r w:rsidRPr="009D52FD">
        <w:rPr>
          <w:rFonts w:cs="Arial"/>
          <w:sz w:val="16"/>
          <w:szCs w:val="16"/>
          <w:lang w:val="en-US"/>
        </w:rPr>
        <w:t>).</w:t>
      </w:r>
    </w:p>
  </w:footnote>
  <w:footnote w:id="270">
    <w:p w14:paraId="38F876A0" w14:textId="1D163772" w:rsidR="009D52FD" w:rsidRPr="009D52FD" w:rsidRDefault="009D52FD" w:rsidP="008F1A84">
      <w:pPr>
        <w:tabs>
          <w:tab w:val="left" w:pos="567"/>
        </w:tabs>
        <w:spacing w:after="60" w:line="240" w:lineRule="auto"/>
        <w:rPr>
          <w:i/>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hyperlink r:id="rId7" w:history="1">
        <w:r w:rsidRPr="009D52FD">
          <w:rPr>
            <w:i/>
            <w:sz w:val="16"/>
            <w:szCs w:val="16"/>
            <w:lang w:val="en-US"/>
          </w:rPr>
          <w:t>Juridical Condition and Rights of the Undocumented Migrants</w:t>
        </w:r>
      </w:hyperlink>
      <w:r w:rsidRPr="009D52FD">
        <w:rPr>
          <w:i/>
          <w:sz w:val="16"/>
          <w:szCs w:val="16"/>
          <w:lang w:val="en-US"/>
        </w:rPr>
        <w:t xml:space="preserve">, </w:t>
      </w:r>
      <w:r w:rsidRPr="009D52FD">
        <w:rPr>
          <w:sz w:val="16"/>
          <w:szCs w:val="16"/>
          <w:lang w:val="en-US"/>
        </w:rPr>
        <w:t xml:space="preserve">Advisory Opinion OC-18, September 17, 2003. Series A No. 18, para. 101, and </w:t>
      </w:r>
      <w:r w:rsidRPr="009D52FD">
        <w:rPr>
          <w:i/>
          <w:sz w:val="16"/>
          <w:szCs w:val="16"/>
          <w:lang w:val="en-US"/>
        </w:rPr>
        <w:t>Case of I.V. v. Bolivia, supra</w:t>
      </w:r>
      <w:r w:rsidRPr="009D52FD">
        <w:rPr>
          <w:sz w:val="16"/>
          <w:szCs w:val="16"/>
          <w:lang w:val="en-US"/>
        </w:rPr>
        <w:t>, para. 243.</w:t>
      </w:r>
    </w:p>
  </w:footnote>
  <w:footnote w:id="271">
    <w:p w14:paraId="2EEBBBA2" w14:textId="5CB82C18" w:rsidR="009D52FD" w:rsidRPr="009D52FD" w:rsidRDefault="009D52FD" w:rsidP="008778DD">
      <w:pPr>
        <w:pStyle w:val="FootnoteText"/>
        <w:tabs>
          <w:tab w:val="left" w:pos="567"/>
          <w:tab w:val="left" w:pos="720"/>
        </w:tabs>
        <w:spacing w:after="60"/>
        <w:rPr>
          <w:sz w:val="16"/>
          <w:szCs w:val="16"/>
          <w:lang w:val="en-US"/>
        </w:rPr>
      </w:pPr>
      <w:r w:rsidRPr="009D52FD">
        <w:rPr>
          <w:rStyle w:val="FootnoteReference"/>
          <w:rFonts w:eastAsia="Calibri"/>
          <w:sz w:val="16"/>
          <w:szCs w:val="16"/>
          <w:lang w:val="en-US"/>
        </w:rPr>
        <w:footnoteRef/>
      </w:r>
      <w:r w:rsidRPr="009D52FD">
        <w:rPr>
          <w:sz w:val="16"/>
          <w:szCs w:val="16"/>
          <w:lang w:val="en-US"/>
        </w:rPr>
        <w:tab/>
      </w:r>
      <w:r w:rsidRPr="009D52FD">
        <w:rPr>
          <w:i/>
          <w:sz w:val="16"/>
          <w:szCs w:val="16"/>
          <w:lang w:val="en-US"/>
        </w:rPr>
        <w:t xml:space="preserve">Cf. Case of Cantoral Benavides v. Peru. Merits. </w:t>
      </w:r>
      <w:r w:rsidRPr="009D52FD">
        <w:rPr>
          <w:sz w:val="16"/>
          <w:szCs w:val="16"/>
          <w:lang w:val="en-US"/>
        </w:rPr>
        <w:t>Judgment of August 18, 2000. Series C No. 69</w:t>
      </w:r>
      <w:r w:rsidRPr="009D52FD">
        <w:rPr>
          <w:iCs/>
          <w:sz w:val="16"/>
          <w:szCs w:val="16"/>
          <w:lang w:val="en-US"/>
        </w:rPr>
        <w:t xml:space="preserve">, </w:t>
      </w:r>
      <w:r w:rsidRPr="009D52FD">
        <w:rPr>
          <w:sz w:val="16"/>
          <w:szCs w:val="16"/>
          <w:lang w:val="en-US"/>
        </w:rPr>
        <w:t xml:space="preserve">para. 102, and </w:t>
      </w:r>
      <w:r w:rsidRPr="009D52FD">
        <w:rPr>
          <w:i/>
          <w:sz w:val="16"/>
          <w:szCs w:val="16"/>
          <w:lang w:val="en-US"/>
        </w:rPr>
        <w:t>Case of Ruano Torres et al. v. El Salvador, supra</w:t>
      </w:r>
      <w:r w:rsidRPr="009D52FD">
        <w:rPr>
          <w:sz w:val="16"/>
          <w:szCs w:val="16"/>
          <w:lang w:val="en-US"/>
        </w:rPr>
        <w:t>, para. 121.</w:t>
      </w:r>
    </w:p>
  </w:footnote>
  <w:footnote w:id="272">
    <w:p w14:paraId="2489F1B9" w14:textId="09090CA4"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w:t>
      </w:r>
      <w:r w:rsidRPr="009D52FD">
        <w:rPr>
          <w:i/>
          <w:sz w:val="16"/>
          <w:szCs w:val="16"/>
          <w:lang w:val="en-US"/>
        </w:rPr>
        <w:t>Case of Cantoral Benavides v. Peru</w:t>
      </w:r>
      <w:r w:rsidRPr="009D52FD">
        <w:rPr>
          <w:sz w:val="16"/>
          <w:szCs w:val="16"/>
          <w:lang w:val="en-US"/>
        </w:rPr>
        <w:t xml:space="preserve">. </w:t>
      </w:r>
      <w:r w:rsidRPr="009D52FD">
        <w:rPr>
          <w:i/>
          <w:sz w:val="16"/>
          <w:szCs w:val="16"/>
          <w:lang w:val="en-US"/>
        </w:rPr>
        <w:t>Merits, supra</w:t>
      </w:r>
      <w:r w:rsidRPr="009D52FD">
        <w:rPr>
          <w:sz w:val="16"/>
          <w:szCs w:val="16"/>
          <w:lang w:val="en-US"/>
        </w:rPr>
        <w:t xml:space="preserve">, para. 100, and </w:t>
      </w:r>
      <w:r w:rsidRPr="009D52FD">
        <w:rPr>
          <w:i/>
          <w:sz w:val="16"/>
          <w:szCs w:val="16"/>
          <w:lang w:val="en-US"/>
        </w:rPr>
        <w:t>Case of Rosendo Cantú v. Mexico</w:t>
      </w:r>
      <w:r w:rsidRPr="009D52FD">
        <w:rPr>
          <w:sz w:val="16"/>
          <w:szCs w:val="16"/>
          <w:lang w:val="en-US"/>
        </w:rPr>
        <w:t xml:space="preserve">. </w:t>
      </w:r>
      <w:r w:rsidRPr="009D52FD">
        <w:rPr>
          <w:i/>
          <w:sz w:val="16"/>
          <w:szCs w:val="16"/>
          <w:lang w:val="en-US"/>
        </w:rPr>
        <w:t>Preliminary objection, merits, reparations and costs</w:t>
      </w:r>
      <w:r w:rsidRPr="009D52FD">
        <w:rPr>
          <w:sz w:val="16"/>
          <w:szCs w:val="16"/>
          <w:lang w:val="en-US"/>
        </w:rPr>
        <w:t>. Judgment of August 31, 2010. Series C No. 216, para. 114.</w:t>
      </w:r>
    </w:p>
  </w:footnote>
  <w:footnote w:id="273">
    <w:p w14:paraId="5B0AFEB4" w14:textId="2EFA0518" w:rsidR="009D52FD" w:rsidRPr="009D52FD" w:rsidRDefault="009D52FD" w:rsidP="008778DD">
      <w:pPr>
        <w:pStyle w:val="FootnoteText"/>
        <w:tabs>
          <w:tab w:val="left" w:pos="567"/>
        </w:tabs>
        <w:spacing w:after="60"/>
        <w:rPr>
          <w:i/>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 Case of Maritza Urrutia v. Guatemala. Merits, reparations and costs.</w:t>
      </w:r>
      <w:r w:rsidRPr="009D52FD">
        <w:rPr>
          <w:sz w:val="16"/>
          <w:szCs w:val="16"/>
          <w:lang w:val="en-US"/>
        </w:rPr>
        <w:t xml:space="preserve"> Judgment of November 27, 2003. Series C No. 103, para. 92, and </w:t>
      </w:r>
      <w:r w:rsidRPr="009D52FD">
        <w:rPr>
          <w:rFonts w:cs="Courier New"/>
          <w:i/>
          <w:sz w:val="16"/>
          <w:szCs w:val="16"/>
          <w:lang w:val="en-US"/>
        </w:rPr>
        <w:t xml:space="preserve">Case of Espinoza Gonzáles v. Peru. Preliminary objections, merits, reparations and costs. </w:t>
      </w:r>
      <w:r w:rsidRPr="009D52FD">
        <w:rPr>
          <w:rFonts w:cs="Courier New"/>
          <w:sz w:val="16"/>
          <w:szCs w:val="16"/>
          <w:lang w:val="en-US"/>
        </w:rPr>
        <w:t>Judgment of November 20, 2014. Series C No. 289, para. 141.</w:t>
      </w:r>
    </w:p>
  </w:footnote>
  <w:footnote w:id="274">
    <w:p w14:paraId="4FDA1795" w14:textId="1924159B"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w:t>
      </w:r>
      <w:r w:rsidRPr="009D52FD">
        <w:rPr>
          <w:i/>
          <w:sz w:val="16"/>
          <w:szCs w:val="16"/>
          <w:lang w:val="en-US"/>
        </w:rPr>
        <w:t>Case of the Miguel Castro Castro Prison v. Peru, supra</w:t>
      </w:r>
      <w:r w:rsidRPr="009D52FD">
        <w:rPr>
          <w:sz w:val="16"/>
          <w:szCs w:val="16"/>
          <w:lang w:val="en-US"/>
        </w:rPr>
        <w:t xml:space="preserve">, para. 312, and </w:t>
      </w:r>
      <w:r w:rsidRPr="009D52FD">
        <w:rPr>
          <w:i/>
          <w:sz w:val="16"/>
          <w:szCs w:val="16"/>
          <w:lang w:val="en-US"/>
        </w:rPr>
        <w:t>Case of Favela Nova Brasilia v. Brazil, supra</w:t>
      </w:r>
      <w:r w:rsidRPr="009D52FD">
        <w:rPr>
          <w:sz w:val="16"/>
          <w:szCs w:val="16"/>
          <w:lang w:val="en-US"/>
        </w:rPr>
        <w:t>, para. 352</w:t>
      </w:r>
      <w:r w:rsidRPr="009D52FD">
        <w:rPr>
          <w:rFonts w:cs="Courier New"/>
          <w:sz w:val="16"/>
          <w:szCs w:val="16"/>
          <w:lang w:val="en-US"/>
        </w:rPr>
        <w:t>.</w:t>
      </w:r>
    </w:p>
  </w:footnote>
  <w:footnote w:id="275">
    <w:p w14:paraId="7CC780F2" w14:textId="29716768"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 xml:space="preserve">ECHR, </w:t>
      </w:r>
      <w:r w:rsidRPr="009D52FD">
        <w:rPr>
          <w:i/>
          <w:sz w:val="16"/>
          <w:szCs w:val="16"/>
          <w:lang w:val="en-US"/>
        </w:rPr>
        <w:t xml:space="preserve">Aydin v. Turkey </w:t>
      </w:r>
      <w:r w:rsidRPr="009D52FD">
        <w:rPr>
          <w:sz w:val="16"/>
          <w:szCs w:val="16"/>
          <w:lang w:val="en-US"/>
        </w:rPr>
        <w:t>[GS],</w:t>
      </w:r>
      <w:r w:rsidRPr="009D52FD">
        <w:rPr>
          <w:i/>
          <w:sz w:val="16"/>
          <w:szCs w:val="16"/>
          <w:lang w:val="en-US"/>
        </w:rPr>
        <w:t xml:space="preserve"> </w:t>
      </w:r>
      <w:r w:rsidRPr="009D52FD">
        <w:rPr>
          <w:sz w:val="16"/>
          <w:szCs w:val="16"/>
          <w:lang w:val="en-US"/>
        </w:rPr>
        <w:t xml:space="preserve">No. </w:t>
      </w:r>
      <w:r w:rsidRPr="009D52FD">
        <w:rPr>
          <w:rStyle w:val="textcolumn"/>
          <w:rFonts w:cs="Arial"/>
          <w:color w:val="000000"/>
          <w:sz w:val="16"/>
          <w:szCs w:val="16"/>
          <w:shd w:val="clear" w:color="auto" w:fill="FFFFFF"/>
          <w:lang w:val="en-US"/>
        </w:rPr>
        <w:t>23178/94. Judgment of</w:t>
      </w:r>
      <w:r w:rsidRPr="009D52FD">
        <w:rPr>
          <w:rFonts w:cs="Arial"/>
          <w:color w:val="000000"/>
          <w:sz w:val="16"/>
          <w:szCs w:val="16"/>
          <w:shd w:val="clear" w:color="auto" w:fill="FFFFFF"/>
          <w:lang w:val="en-US"/>
        </w:rPr>
        <w:t xml:space="preserve"> </w:t>
      </w:r>
      <w:r w:rsidRPr="009D52FD">
        <w:rPr>
          <w:rStyle w:val="column"/>
          <w:rFonts w:cs="Arial"/>
          <w:color w:val="000000"/>
          <w:sz w:val="16"/>
          <w:szCs w:val="16"/>
          <w:shd w:val="clear" w:color="auto" w:fill="FFFFFF"/>
          <w:lang w:val="en-US"/>
        </w:rPr>
        <w:t>September 25, 1997, para. 86.</w:t>
      </w:r>
      <w:r w:rsidRPr="009D52FD">
        <w:rPr>
          <w:i/>
          <w:sz w:val="16"/>
          <w:szCs w:val="16"/>
          <w:lang w:val="en-US"/>
        </w:rPr>
        <w:t xml:space="preserve"> </w:t>
      </w:r>
      <w:r w:rsidRPr="009D52FD">
        <w:rPr>
          <w:sz w:val="16"/>
          <w:szCs w:val="16"/>
          <w:lang w:val="en-US"/>
        </w:rPr>
        <w:t xml:space="preserve">The European Court has also ruled on the positive obligations derived from Article 3 of the European Convention (Prohibition of torture) in cases of rape and sexual abuse. </w:t>
      </w:r>
      <w:r w:rsidRPr="009D52FD">
        <w:rPr>
          <w:i/>
          <w:sz w:val="16"/>
          <w:szCs w:val="16"/>
          <w:lang w:val="en-US"/>
        </w:rPr>
        <w:t>Cf.</w:t>
      </w:r>
      <w:r w:rsidRPr="009D52FD">
        <w:rPr>
          <w:sz w:val="16"/>
          <w:szCs w:val="16"/>
          <w:lang w:val="en-US"/>
        </w:rPr>
        <w:t>,</w:t>
      </w:r>
      <w:r w:rsidRPr="009D52FD">
        <w:rPr>
          <w:i/>
          <w:iCs/>
          <w:sz w:val="16"/>
          <w:szCs w:val="16"/>
          <w:lang w:val="en-US"/>
        </w:rPr>
        <w:t xml:space="preserve"> inter alia, </w:t>
      </w:r>
      <w:r w:rsidRPr="009D52FD">
        <w:rPr>
          <w:sz w:val="16"/>
          <w:szCs w:val="16"/>
          <w:lang w:val="en-US"/>
        </w:rPr>
        <w:t xml:space="preserve">ECHR, </w:t>
      </w:r>
      <w:r w:rsidRPr="009D52FD">
        <w:rPr>
          <w:i/>
          <w:sz w:val="16"/>
          <w:szCs w:val="16"/>
          <w:lang w:val="en-US"/>
        </w:rPr>
        <w:t xml:space="preserve">M.C. v. Bulgaria, </w:t>
      </w:r>
      <w:r w:rsidRPr="009D52FD">
        <w:rPr>
          <w:sz w:val="16"/>
          <w:szCs w:val="16"/>
          <w:lang w:val="en-US"/>
        </w:rPr>
        <w:t>No. 39272/98. Judgment of December 4, 2003, para. 153, and ECHR,</w:t>
      </w:r>
      <w:r w:rsidRPr="009D52FD">
        <w:rPr>
          <w:i/>
          <w:sz w:val="16"/>
          <w:szCs w:val="16"/>
          <w:lang w:val="en-US"/>
        </w:rPr>
        <w:t xml:space="preserve"> I.C. v. Romania</w:t>
      </w:r>
      <w:r w:rsidRPr="009D52FD">
        <w:rPr>
          <w:sz w:val="16"/>
          <w:szCs w:val="16"/>
          <w:lang w:val="en-US"/>
        </w:rPr>
        <w:t>, No. 36934/08. Judgment of May 24, 2016, para. 52.</w:t>
      </w:r>
    </w:p>
  </w:footnote>
  <w:footnote w:id="276">
    <w:p w14:paraId="0CAAD19B" w14:textId="0FD1B483"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 xml:space="preserve">UN, Human Rights Committee, General Comment No. 28, </w:t>
      </w:r>
      <w:r w:rsidRPr="009D52FD">
        <w:rPr>
          <w:i/>
          <w:sz w:val="16"/>
          <w:szCs w:val="16"/>
          <w:lang w:val="en-US"/>
        </w:rPr>
        <w:t>Equality of rights between men and women</w:t>
      </w:r>
      <w:r w:rsidRPr="009D52FD">
        <w:rPr>
          <w:sz w:val="16"/>
          <w:szCs w:val="16"/>
          <w:lang w:val="en-US"/>
        </w:rPr>
        <w:t xml:space="preserve">, </w:t>
      </w:r>
      <w:r w:rsidRPr="009D52FD">
        <w:rPr>
          <w:rFonts w:cs="Arial"/>
          <w:sz w:val="16"/>
          <w:szCs w:val="16"/>
          <w:lang w:val="en-US"/>
        </w:rPr>
        <w:t>CCPR/C/21/Rev.1/Add.10</w:t>
      </w:r>
      <w:r w:rsidRPr="009D52FD">
        <w:rPr>
          <w:sz w:val="16"/>
          <w:szCs w:val="16"/>
          <w:lang w:val="en-US"/>
        </w:rPr>
        <w:t>, March 29, 2000, paras. 11 and 20.</w:t>
      </w:r>
    </w:p>
  </w:footnote>
  <w:footnote w:id="277">
    <w:p w14:paraId="1037ED5F" w14:textId="638C59E9"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 xml:space="preserve">Committee against Torture, General Comment No. 2, </w:t>
      </w:r>
      <w:r w:rsidRPr="009D52FD">
        <w:rPr>
          <w:i/>
          <w:sz w:val="16"/>
          <w:szCs w:val="16"/>
          <w:lang w:val="en-US"/>
        </w:rPr>
        <w:t>Implementation of Article 2 by States Parties</w:t>
      </w:r>
      <w:r w:rsidRPr="009D52FD">
        <w:rPr>
          <w:sz w:val="16"/>
          <w:szCs w:val="16"/>
          <w:lang w:val="en-US"/>
        </w:rPr>
        <w:t xml:space="preserve">, </w:t>
      </w:r>
      <w:r w:rsidRPr="009D52FD">
        <w:rPr>
          <w:rFonts w:cs="TimesNewRoman"/>
          <w:sz w:val="16"/>
          <w:szCs w:val="16"/>
          <w:lang w:val="en-US"/>
        </w:rPr>
        <w:t>CAT/C/GC/2</w:t>
      </w:r>
      <w:r w:rsidRPr="009D52FD">
        <w:rPr>
          <w:sz w:val="16"/>
          <w:szCs w:val="16"/>
          <w:lang w:val="en-US"/>
        </w:rPr>
        <w:t xml:space="preserve">, </w:t>
      </w:r>
      <w:r w:rsidRPr="009D52FD">
        <w:rPr>
          <w:rFonts w:cs="TimesNewRoman"/>
          <w:sz w:val="16"/>
          <w:szCs w:val="16"/>
          <w:lang w:val="en-US"/>
        </w:rPr>
        <w:t>January 24, 2008</w:t>
      </w:r>
      <w:r w:rsidRPr="009D52FD">
        <w:rPr>
          <w:sz w:val="16"/>
          <w:szCs w:val="16"/>
          <w:lang w:val="en-US"/>
        </w:rPr>
        <w:t>, para. 18.</w:t>
      </w:r>
    </w:p>
  </w:footnote>
  <w:footnote w:id="278">
    <w:p w14:paraId="4C9A029E" w14:textId="2A17093C"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 xml:space="preserve">UN, Committee on the Elimination of Discrimination against Women, General recommendation No. 35, </w:t>
      </w:r>
      <w:r w:rsidRPr="009D52FD">
        <w:rPr>
          <w:i/>
          <w:sz w:val="16"/>
          <w:szCs w:val="16"/>
          <w:lang w:val="en-US"/>
        </w:rPr>
        <w:t xml:space="preserve">Gender-based violence against women, updating </w:t>
      </w:r>
      <w:r w:rsidRPr="009D52FD">
        <w:rPr>
          <w:i/>
          <w:iCs/>
          <w:sz w:val="16"/>
          <w:szCs w:val="16"/>
          <w:lang w:val="en-US"/>
        </w:rPr>
        <w:t>general recommendation No. 19,</w:t>
      </w:r>
      <w:r w:rsidRPr="009D52FD">
        <w:rPr>
          <w:sz w:val="16"/>
          <w:szCs w:val="16"/>
          <w:lang w:val="en-US"/>
        </w:rPr>
        <w:t xml:space="preserve"> CEDAW/C/GC/35, July 26, 2017, para. 16: “[g]ender-based violence against women, may amount to torture or cruel, inhuman or degrading treatment in certain circumstances, including in cases of rape, domestic violence or harmful practices.”</w:t>
      </w:r>
    </w:p>
  </w:footnote>
  <w:footnote w:id="279">
    <w:p w14:paraId="4B634E93" w14:textId="0BB8023F"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 xml:space="preserve">UN, </w:t>
      </w:r>
      <w:r w:rsidRPr="009D52FD">
        <w:rPr>
          <w:i/>
          <w:sz w:val="16"/>
          <w:szCs w:val="16"/>
          <w:lang w:val="en-US"/>
        </w:rPr>
        <w:t>Report of the Special Rapporteur on torture and other cruel, inhuman or degrading treatment or punishment, Manfred Nowak,</w:t>
      </w:r>
      <w:r w:rsidRPr="009D52FD">
        <w:rPr>
          <w:sz w:val="16"/>
          <w:szCs w:val="16"/>
          <w:lang w:val="en-US"/>
        </w:rPr>
        <w:t xml:space="preserve"> A/HRC/7/3, January 15, 2008, paras. 28 to 31, and</w:t>
      </w:r>
      <w:r w:rsidRPr="009D52FD">
        <w:rPr>
          <w:i/>
          <w:sz w:val="16"/>
          <w:szCs w:val="16"/>
          <w:lang w:val="en-US"/>
        </w:rPr>
        <w:t xml:space="preserve"> Report of the Special Rapporteur on torture and other cruel, inhuman or degrading treatment or punishment,, Juan E. Méndez,</w:t>
      </w:r>
      <w:r w:rsidRPr="009D52FD">
        <w:rPr>
          <w:sz w:val="16"/>
          <w:szCs w:val="16"/>
          <w:lang w:val="en-US"/>
        </w:rPr>
        <w:t xml:space="preserve"> A/HRC/31/57, January 5, 2016, para. 51. See also, Expert opinion provided by affidavit by Juan E. Méndez on January 24, 2018 (evidence file, volume XLIV, affidavits, folio 31251).</w:t>
      </w:r>
    </w:p>
  </w:footnote>
  <w:footnote w:id="280">
    <w:p w14:paraId="3BCA3BD0" w14:textId="3175913E" w:rsidR="009D52FD" w:rsidRPr="009D52FD" w:rsidRDefault="009D52FD" w:rsidP="008778DD">
      <w:pPr>
        <w:tabs>
          <w:tab w:val="left" w:pos="567"/>
        </w:tabs>
        <w:spacing w:after="60" w:line="240" w:lineRule="auto"/>
        <w:rPr>
          <w:b/>
          <w:i/>
          <w:sz w:val="16"/>
          <w:szCs w:val="16"/>
          <w:lang w:val="en-US"/>
        </w:rPr>
      </w:pPr>
      <w:r w:rsidRPr="009D52FD">
        <w:rPr>
          <w:rStyle w:val="FootnoteReference"/>
          <w:rFonts w:eastAsia="Calibri"/>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Case of Loayza Tamayo v. Peru. Merits, supra, </w:t>
      </w:r>
      <w:r w:rsidRPr="009D52FD">
        <w:rPr>
          <w:sz w:val="16"/>
          <w:szCs w:val="16"/>
          <w:lang w:val="en-US"/>
        </w:rPr>
        <w:t xml:space="preserve">para. 57, and </w:t>
      </w:r>
      <w:r w:rsidRPr="009D52FD">
        <w:rPr>
          <w:i/>
          <w:sz w:val="16"/>
          <w:szCs w:val="16"/>
          <w:lang w:val="en-US"/>
        </w:rPr>
        <w:t>Case of San Miguel Sosa et al. v. Venezuela, supra</w:t>
      </w:r>
      <w:r w:rsidRPr="009D52FD">
        <w:rPr>
          <w:sz w:val="16"/>
          <w:szCs w:val="16"/>
          <w:lang w:val="en-US"/>
        </w:rPr>
        <w:t>, para. 169</w:t>
      </w:r>
      <w:r w:rsidRPr="009D52FD">
        <w:rPr>
          <w:bCs/>
          <w:sz w:val="16"/>
          <w:szCs w:val="16"/>
          <w:lang w:val="en-US"/>
        </w:rPr>
        <w:t>.</w:t>
      </w:r>
    </w:p>
  </w:footnote>
  <w:footnote w:id="281">
    <w:p w14:paraId="58656F4E" w14:textId="5F60AF00" w:rsidR="009D52FD" w:rsidRPr="009D52FD" w:rsidRDefault="009D52FD" w:rsidP="008778DD">
      <w:pPr>
        <w:pStyle w:val="FootnoteText"/>
        <w:tabs>
          <w:tab w:val="left" w:pos="567"/>
        </w:tabs>
        <w:spacing w:after="60"/>
        <w:rPr>
          <w:sz w:val="16"/>
          <w:szCs w:val="16"/>
          <w:lang w:val="en-US"/>
        </w:rPr>
      </w:pPr>
      <w:r w:rsidRPr="009D52FD">
        <w:rPr>
          <w:rStyle w:val="FootnoteReference"/>
          <w:rFonts w:eastAsia="Calibri"/>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Case of Ximenes Lopes v. Brazil. </w:t>
      </w:r>
      <w:r w:rsidRPr="009D52FD">
        <w:rPr>
          <w:sz w:val="16"/>
          <w:szCs w:val="16"/>
          <w:lang w:val="en-US"/>
        </w:rPr>
        <w:t>Judgment of July 4, 2006</w:t>
      </w:r>
      <w:r w:rsidRPr="009D52FD">
        <w:rPr>
          <w:i/>
          <w:sz w:val="16"/>
          <w:szCs w:val="16"/>
          <w:lang w:val="en-US"/>
        </w:rPr>
        <w:t xml:space="preserve">. </w:t>
      </w:r>
      <w:r w:rsidRPr="009D52FD">
        <w:rPr>
          <w:sz w:val="16"/>
          <w:szCs w:val="16"/>
          <w:lang w:val="en-US"/>
        </w:rPr>
        <w:t xml:space="preserve">Series C No. 149, para. 127, and </w:t>
      </w:r>
      <w:r w:rsidRPr="009D52FD">
        <w:rPr>
          <w:rFonts w:cs="Courier New"/>
          <w:i/>
          <w:sz w:val="16"/>
          <w:szCs w:val="16"/>
          <w:lang w:val="en-US"/>
        </w:rPr>
        <w:t xml:space="preserve">Case of Favela </w:t>
      </w:r>
      <w:r w:rsidRPr="009D52FD">
        <w:rPr>
          <w:i/>
          <w:sz w:val="16"/>
          <w:szCs w:val="16"/>
          <w:lang w:val="en-US"/>
        </w:rPr>
        <w:t>Nova Brasilia v. Brazil, supra</w:t>
      </w:r>
      <w:r w:rsidRPr="009D52FD">
        <w:rPr>
          <w:sz w:val="16"/>
          <w:szCs w:val="16"/>
          <w:lang w:val="en-US"/>
        </w:rPr>
        <w:t>, para. 250.</w:t>
      </w:r>
    </w:p>
  </w:footnote>
  <w:footnote w:id="282">
    <w:p w14:paraId="466BEDE2" w14:textId="56AB72D2" w:rsidR="009D52FD" w:rsidRPr="009D52FD" w:rsidRDefault="009D52FD" w:rsidP="008778DD">
      <w:pPr>
        <w:tabs>
          <w:tab w:val="left" w:pos="567"/>
          <w:tab w:val="left" w:pos="720"/>
        </w:tabs>
        <w:spacing w:after="60" w:line="240" w:lineRule="auto"/>
        <w:rPr>
          <w:sz w:val="16"/>
          <w:szCs w:val="16"/>
          <w:lang w:val="en-US"/>
        </w:rPr>
      </w:pPr>
      <w:r w:rsidRPr="009D52FD">
        <w:rPr>
          <w:rStyle w:val="FootnoteReference"/>
          <w:rFonts w:eastAsia="Calibri"/>
          <w:sz w:val="16"/>
          <w:szCs w:val="16"/>
          <w:lang w:val="en-US"/>
        </w:rPr>
        <w:footnoteRef/>
      </w:r>
      <w:r w:rsidRPr="009D52FD">
        <w:rPr>
          <w:rStyle w:val="FootnoteReference"/>
          <w:rFonts w:eastAsia="Calibri"/>
          <w:sz w:val="16"/>
          <w:szCs w:val="16"/>
          <w:lang w:val="en-US"/>
        </w:rPr>
        <w:t xml:space="preserve"> </w:t>
      </w:r>
      <w:r w:rsidRPr="009D52FD">
        <w:rPr>
          <w:sz w:val="16"/>
          <w:szCs w:val="16"/>
          <w:lang w:val="en-US"/>
        </w:rPr>
        <w:tab/>
      </w:r>
      <w:r w:rsidRPr="009D52FD">
        <w:rPr>
          <w:i/>
          <w:sz w:val="16"/>
          <w:szCs w:val="16"/>
          <w:lang w:val="en-US"/>
        </w:rPr>
        <w:t xml:space="preserve">Cf. Case of Bueno Alves v. Argentina. Merits, reparations and costs. </w:t>
      </w:r>
      <w:r w:rsidRPr="009D52FD">
        <w:rPr>
          <w:sz w:val="16"/>
          <w:szCs w:val="16"/>
          <w:lang w:val="en-US"/>
        </w:rPr>
        <w:t xml:space="preserve">Judgment of May 11, 2007. Series C No. 164, para. 79, and </w:t>
      </w:r>
      <w:r w:rsidRPr="009D52FD">
        <w:rPr>
          <w:rFonts w:cs="Courier New"/>
          <w:i/>
          <w:sz w:val="16"/>
          <w:szCs w:val="16"/>
          <w:lang w:val="en-US"/>
        </w:rPr>
        <w:t>Case of Espinoza Gonzáles v. Peru</w:t>
      </w:r>
      <w:r w:rsidRPr="009D52FD">
        <w:rPr>
          <w:i/>
          <w:sz w:val="16"/>
          <w:szCs w:val="16"/>
          <w:lang w:val="en-US"/>
        </w:rPr>
        <w:t>, supra</w:t>
      </w:r>
      <w:r w:rsidRPr="009D52FD">
        <w:rPr>
          <w:sz w:val="16"/>
          <w:szCs w:val="16"/>
          <w:lang w:val="en-US"/>
        </w:rPr>
        <w:t>, para. 143.</w:t>
      </w:r>
    </w:p>
  </w:footnote>
  <w:footnote w:id="283">
    <w:p w14:paraId="3591DC2E" w14:textId="605392C8"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For example, the surgeon who treated her stated: “I have more than 50 years’ experience; </w:t>
      </w:r>
      <w:r w:rsidRPr="009D52FD">
        <w:rPr>
          <w:iCs/>
          <w:sz w:val="16"/>
          <w:szCs w:val="16"/>
          <w:lang w:val="en-US"/>
        </w:rPr>
        <w:t xml:space="preserve">[…] we receive individuals injured by firearms and we have never seen a case where there has been so much brutality and cruelty against someone; it seems that the most powerful weapons were used to cause this harm; […] she had injuries to the abdomen, the genital area, the face, […] her jaw was fractured and her lips torn; […] extreme brutality and cruelty were evident; […] the lower lip was torn and she had lost almost all the red part of it and it appeared as if it had been crushed, the tissue was completely swollen, it was misshapen by blows; […] she had what we call cauliflower ears, which is chronic, and due to repeated blows; the injuries to her jaw and lips could not have been caused more than 15 days previously; such injuries cannot be congenital, […] if she had not been treated, she would not have been able to eat, talk or appear in public […] because she would have been a monster; her face would have been sunken, apart from the pain, the blows had caused so much destruction that the mucous lining was showing; two </w:t>
      </w:r>
      <w:r w:rsidRPr="009D52FD">
        <w:rPr>
          <w:i/>
          <w:sz w:val="16"/>
          <w:szCs w:val="16"/>
          <w:lang w:val="en-US"/>
        </w:rPr>
        <w:t>setaplasmias</w:t>
      </w:r>
      <w:r w:rsidRPr="009D52FD">
        <w:rPr>
          <w:iCs/>
          <w:sz w:val="16"/>
          <w:szCs w:val="16"/>
          <w:lang w:val="en-US"/>
        </w:rPr>
        <w:t xml:space="preserve"> (sic) were performed; to look at, it appeared that she had no lower lip […].”</w:t>
      </w:r>
      <w:r w:rsidRPr="009D52FD">
        <w:rPr>
          <w:sz w:val="16"/>
          <w:szCs w:val="16"/>
          <w:lang w:val="en-US"/>
        </w:rPr>
        <w:t xml:space="preserve"> </w:t>
      </w:r>
      <w:r w:rsidRPr="009D52FD">
        <w:rPr>
          <w:iCs/>
          <w:sz w:val="16"/>
          <w:szCs w:val="16"/>
          <w:lang w:val="en-US"/>
        </w:rPr>
        <w:t>Statement by Olaf Sandner Montilla recorded in the judgment handed down by the Twentieth Trial Court of the Caracas Metropolitan Area on November 5, 2004 (evidence file, volume IX, annex 4 to the Merits Report, folios 5862 and 5863).</w:t>
      </w:r>
    </w:p>
  </w:footnote>
  <w:footnote w:id="284">
    <w:p w14:paraId="37B8ABD3" w14:textId="7E2635CD" w:rsidR="009D52FD" w:rsidRPr="009D52FD" w:rsidRDefault="009D52FD" w:rsidP="008778DD">
      <w:pPr>
        <w:tabs>
          <w:tab w:val="left" w:pos="567"/>
          <w:tab w:val="left" w:pos="709"/>
        </w:tabs>
        <w:spacing w:after="60" w:line="240" w:lineRule="auto"/>
        <w:rPr>
          <w:rFonts w:eastAsia="ヒラギノ角ゴ Pro W3"/>
          <w:color w:val="000000"/>
          <w:sz w:val="16"/>
          <w:szCs w:val="16"/>
          <w:lang w:val="en-US"/>
        </w:rPr>
      </w:pPr>
      <w:r w:rsidRPr="009D52FD">
        <w:rPr>
          <w:rStyle w:val="FootnoteReference"/>
          <w:rFonts w:eastAsia="Calibri"/>
          <w:sz w:val="16"/>
          <w:szCs w:val="16"/>
          <w:lang w:val="en-US"/>
        </w:rPr>
        <w:footnoteRef/>
      </w:r>
      <w:r w:rsidRPr="009D52FD">
        <w:rPr>
          <w:i/>
          <w:sz w:val="16"/>
          <w:szCs w:val="16"/>
          <w:lang w:val="en-US"/>
        </w:rPr>
        <w:tab/>
        <w:t>Case of the Miguel Castro Castro Prison v. Peru</w:t>
      </w:r>
      <w:r w:rsidRPr="009D52FD">
        <w:rPr>
          <w:sz w:val="16"/>
          <w:szCs w:val="16"/>
          <w:lang w:val="en-US"/>
        </w:rPr>
        <w:t xml:space="preserve">, </w:t>
      </w:r>
      <w:r w:rsidRPr="009D52FD">
        <w:rPr>
          <w:i/>
          <w:sz w:val="16"/>
          <w:szCs w:val="16"/>
          <w:lang w:val="en-US"/>
        </w:rPr>
        <w:t>supra</w:t>
      </w:r>
      <w:r w:rsidRPr="009D52FD">
        <w:rPr>
          <w:sz w:val="16"/>
          <w:szCs w:val="16"/>
          <w:lang w:val="en-US"/>
        </w:rPr>
        <w:t xml:space="preserve">, para. 311, and </w:t>
      </w:r>
      <w:r w:rsidRPr="009D52FD">
        <w:rPr>
          <w:i/>
          <w:sz w:val="16"/>
          <w:szCs w:val="16"/>
          <w:lang w:val="en-US"/>
        </w:rPr>
        <w:t xml:space="preserve">Case of </w:t>
      </w:r>
      <w:r w:rsidRPr="009D52FD">
        <w:rPr>
          <w:rFonts w:cs="Courier New"/>
          <w:i/>
          <w:sz w:val="16"/>
          <w:szCs w:val="16"/>
          <w:lang w:val="en-US"/>
        </w:rPr>
        <w:t>V.R.P., V.P.C. et al. v. Nicaragua</w:t>
      </w:r>
      <w:r w:rsidRPr="009D52FD">
        <w:rPr>
          <w:i/>
          <w:sz w:val="16"/>
          <w:szCs w:val="16"/>
          <w:lang w:val="en-US"/>
        </w:rPr>
        <w:t>, supra</w:t>
      </w:r>
      <w:r w:rsidRPr="009D52FD">
        <w:rPr>
          <w:rFonts w:cs="Courier New"/>
          <w:sz w:val="16"/>
          <w:szCs w:val="16"/>
          <w:lang w:val="en-US"/>
        </w:rPr>
        <w:t>, para. 163.</w:t>
      </w:r>
    </w:p>
  </w:footnote>
  <w:footnote w:id="285">
    <w:p w14:paraId="42A492B2" w14:textId="3EF4C28E"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Statement by Linda Loaiza López Soto recorded in the judgment handed down by the Twentieth Trial Court of the Caracas Metropolitan Area on November 5, 2004 (evidence file, volume IX, annex 4 to the Merits Report, folio 5812).</w:t>
      </w:r>
    </w:p>
  </w:footnote>
  <w:footnote w:id="286">
    <w:p w14:paraId="3E9C96B9" w14:textId="30366158"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 Case of I.V. v. Bolivia, supra</w:t>
      </w:r>
      <w:r w:rsidRPr="009D52FD">
        <w:rPr>
          <w:sz w:val="16"/>
          <w:szCs w:val="16"/>
          <w:lang w:val="en-US"/>
        </w:rPr>
        <w:t xml:space="preserve">, para. 263, citing UN, </w:t>
      </w:r>
      <w:r w:rsidRPr="009D52FD">
        <w:rPr>
          <w:i/>
          <w:sz w:val="16"/>
          <w:szCs w:val="16"/>
          <w:lang w:val="en-US"/>
        </w:rPr>
        <w:t>Report of the Special Rapporteur on torture and other cruel, inhuman or degrading treatment or punishment,, Juan E. Méndez,</w:t>
      </w:r>
      <w:r w:rsidRPr="009D52FD">
        <w:rPr>
          <w:sz w:val="16"/>
          <w:szCs w:val="16"/>
          <w:lang w:val="en-US"/>
        </w:rPr>
        <w:t xml:space="preserve"> A/HRC/31/57, January 5, 2016, paras. 5 and 9.</w:t>
      </w:r>
    </w:p>
  </w:footnote>
  <w:footnote w:id="287">
    <w:p w14:paraId="5AF37E9C" w14:textId="2DF53D12" w:rsidR="009D52FD" w:rsidRPr="009D52FD" w:rsidRDefault="009D52FD" w:rsidP="00C444B4">
      <w:pPr>
        <w:pStyle w:val="FootnoteText"/>
        <w:tabs>
          <w:tab w:val="left" w:pos="567"/>
        </w:tabs>
        <w:spacing w:after="60"/>
        <w:rPr>
          <w:i/>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This is corroborated by the </w:t>
      </w:r>
      <w:r w:rsidRPr="009D52FD">
        <w:rPr>
          <w:i/>
          <w:iCs/>
          <w:sz w:val="16"/>
          <w:szCs w:val="16"/>
          <w:lang w:val="en-US"/>
        </w:rPr>
        <w:t>travaux préparatoires</w:t>
      </w:r>
      <w:r w:rsidRPr="009D52FD">
        <w:rPr>
          <w:sz w:val="16"/>
          <w:szCs w:val="16"/>
          <w:lang w:val="en-US"/>
        </w:rPr>
        <w:t xml:space="preserve"> in which the States requested that two separate provisions be established: one for the definition (Article 2) and another for those responsible (Article 3). </w:t>
      </w:r>
      <w:r w:rsidRPr="009D52FD">
        <w:rPr>
          <w:i/>
          <w:sz w:val="16"/>
          <w:szCs w:val="16"/>
          <w:lang w:val="en-US"/>
        </w:rPr>
        <w:t>Cf.</w:t>
      </w:r>
      <w:r w:rsidRPr="009D52FD">
        <w:rPr>
          <w:sz w:val="16"/>
          <w:szCs w:val="16"/>
          <w:lang w:val="en-US"/>
        </w:rPr>
        <w:t xml:space="preserve"> OAS Permanent Council, </w:t>
      </w:r>
      <w:r w:rsidRPr="009D52FD">
        <w:rPr>
          <w:i/>
          <w:sz w:val="16"/>
          <w:szCs w:val="16"/>
          <w:lang w:val="en-US"/>
        </w:rPr>
        <w:t xml:space="preserve">Report of the Working Group on the draft convention defining torture as an international crime, </w:t>
      </w:r>
      <w:r w:rsidRPr="009D52FD">
        <w:rPr>
          <w:sz w:val="16"/>
          <w:szCs w:val="16"/>
          <w:lang w:val="en-US"/>
        </w:rPr>
        <w:t xml:space="preserve">OEA/Ser.G CP/CAJP-518/83 rev.1, November 1,1983, p. 6; OAS Permanent Council, </w:t>
      </w:r>
      <w:r w:rsidRPr="009D52FD">
        <w:rPr>
          <w:i/>
          <w:sz w:val="16"/>
          <w:szCs w:val="16"/>
          <w:lang w:val="en-US"/>
        </w:rPr>
        <w:t xml:space="preserve">Report of the Committee on Juridical and Political Affairs on the draft convention defining torture as an international crime, </w:t>
      </w:r>
      <w:r w:rsidRPr="009D52FD">
        <w:rPr>
          <w:sz w:val="16"/>
          <w:szCs w:val="16"/>
          <w:lang w:val="en-US"/>
        </w:rPr>
        <w:t xml:space="preserve">OEA/Ser.G CP/doc.1403/83, November 2, 1983, Annex III Comparative Table of the observations and comments of the Governments of Members States, pp. 107 to 100, and OAS Permanent Council, </w:t>
      </w:r>
      <w:r w:rsidRPr="009D52FD">
        <w:rPr>
          <w:i/>
          <w:sz w:val="16"/>
          <w:szCs w:val="16"/>
          <w:lang w:val="en-US"/>
        </w:rPr>
        <w:t xml:space="preserve">Report of the Working Group on the draft convention defining torture as an international crime, </w:t>
      </w:r>
      <w:r w:rsidRPr="009D52FD">
        <w:rPr>
          <w:sz w:val="16"/>
          <w:szCs w:val="16"/>
          <w:lang w:val="en-US"/>
        </w:rPr>
        <w:t>OEA/Ser.G CP/CAJP-533/84 corr.1, May 10, 1984, pp. 11 and 12.</w:t>
      </w:r>
    </w:p>
  </w:footnote>
  <w:footnote w:id="288">
    <w:p w14:paraId="56690D83" w14:textId="07D9452E" w:rsidR="009D52FD" w:rsidRPr="009D52FD" w:rsidRDefault="009D52FD" w:rsidP="00C444B4">
      <w:pPr>
        <w:pStyle w:val="FootnoteText"/>
        <w:tabs>
          <w:tab w:val="left" w:pos="567"/>
        </w:tabs>
        <w:spacing w:after="60"/>
        <w:rPr>
          <w:rFonts w:cs="Tahoma"/>
          <w:b/>
          <w:bCs/>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The pertinent part of Article 2 of the ICPPT establishes that: “[f]or t</w:t>
      </w:r>
      <w:r w:rsidRPr="009D52FD">
        <w:rPr>
          <w:rFonts w:cs="Tahoma"/>
          <w:sz w:val="16"/>
          <w:szCs w:val="16"/>
          <w:lang w:val="en-US"/>
        </w:rPr>
        <w:t>he purposes of this Convention, torture shall be understood to be any act intentionally performed whereby physical or mental pain or suffering is inflicted on a person for purposes of criminal investigation, as a means of intimidation, as personal punishment, as a preventive measure, as a penalty, or for any other purpose.</w:t>
      </w:r>
      <w:r w:rsidRPr="009D52FD">
        <w:rPr>
          <w:sz w:val="16"/>
          <w:szCs w:val="16"/>
          <w:lang w:val="en-US"/>
        </w:rPr>
        <w:t xml:space="preserve"> […].”</w:t>
      </w:r>
    </w:p>
  </w:footnote>
  <w:footnote w:id="289">
    <w:p w14:paraId="1831D6F4" w14:textId="1FBC454B"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In particular, Article 1 of the United Nations Convention against Torture and Other Cruel, Inhuman or Degrading Treatment or Punishment, which establishes: </w:t>
      </w:r>
    </w:p>
    <w:p w14:paraId="12D29AAC" w14:textId="5101BBD4" w:rsidR="009D52FD" w:rsidRPr="009D52FD" w:rsidRDefault="009D52FD" w:rsidP="007206C1">
      <w:pPr>
        <w:pStyle w:val="NormalWeb"/>
        <w:shd w:val="clear" w:color="auto" w:fill="FFFFFF"/>
        <w:spacing w:after="60" w:line="240" w:lineRule="auto"/>
        <w:ind w:left="540" w:right="360"/>
        <w:rPr>
          <w:rFonts w:ascii="Verdana" w:hAnsi="Verdana"/>
          <w:color w:val="000000"/>
          <w:sz w:val="16"/>
          <w:szCs w:val="16"/>
          <w:lang w:val="en-US"/>
        </w:rPr>
      </w:pPr>
      <w:r w:rsidRPr="009D52FD">
        <w:rPr>
          <w:rFonts w:ascii="Verdana" w:hAnsi="Verdana"/>
          <w:color w:val="000000"/>
          <w:sz w:val="16"/>
          <w:szCs w:val="16"/>
          <w:lang w:val="en-US"/>
        </w:rPr>
        <w:t>1. For the purposes of this Convention, the term "torture" means 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 when such pain or suffering is inflicted by or at the instigation of or with the consent or acquiescence of a public official or other person acting in an official capacity. It does not include pain or suffering arising only from, inherent in or incidental to lawful sanctions.</w:t>
      </w:r>
    </w:p>
    <w:p w14:paraId="404229AA" w14:textId="37D839E1" w:rsidR="009D52FD" w:rsidRPr="009D52FD" w:rsidRDefault="009D52FD" w:rsidP="007206C1">
      <w:pPr>
        <w:pStyle w:val="NormalWeb"/>
        <w:shd w:val="clear" w:color="auto" w:fill="FFFFFF"/>
        <w:spacing w:after="60" w:line="240" w:lineRule="auto"/>
        <w:ind w:left="540" w:right="360"/>
        <w:rPr>
          <w:rFonts w:ascii="Verdana" w:hAnsi="Verdana"/>
          <w:color w:val="000000"/>
          <w:sz w:val="16"/>
          <w:szCs w:val="16"/>
          <w:lang w:val="en-US"/>
        </w:rPr>
      </w:pPr>
      <w:r w:rsidRPr="009D52FD">
        <w:rPr>
          <w:rFonts w:ascii="Verdana" w:hAnsi="Verdana"/>
          <w:color w:val="000000"/>
          <w:sz w:val="16"/>
          <w:szCs w:val="16"/>
          <w:lang w:val="en-US"/>
        </w:rPr>
        <w:t>2. This article is without prejudice to any international instrument or national legislation which does or may contain provisions of wider application.</w:t>
      </w:r>
    </w:p>
  </w:footnote>
  <w:footnote w:id="290">
    <w:p w14:paraId="454541AA" w14:textId="08D4138A"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 Case of Bueno Alves v. Argentina, supra</w:t>
      </w:r>
      <w:r w:rsidRPr="009D52FD">
        <w:rPr>
          <w:sz w:val="16"/>
          <w:szCs w:val="16"/>
          <w:lang w:val="en-US"/>
        </w:rPr>
        <w:t>, paras. 78 and 79.</w:t>
      </w:r>
    </w:p>
  </w:footnote>
  <w:footnote w:id="291">
    <w:p w14:paraId="4FF674EE" w14:textId="77777777" w:rsidR="009D52FD" w:rsidRPr="009D52FD" w:rsidRDefault="009D52FD" w:rsidP="007206C1">
      <w:pPr>
        <w:pStyle w:val="NormalWeb"/>
        <w:spacing w:before="90" w:after="45" w:line="240" w:lineRule="auto"/>
        <w:ind w:right="75"/>
        <w:rPr>
          <w:rFonts w:ascii="Verdana" w:hAnsi="Verdana" w:cs="Arial"/>
          <w:sz w:val="16"/>
          <w:szCs w:val="16"/>
          <w:lang w:val="en-US" w:eastAsia="en-US"/>
        </w:rPr>
      </w:pPr>
      <w:r w:rsidRPr="009D52FD">
        <w:rPr>
          <w:rStyle w:val="FootnoteReference"/>
          <w:rFonts w:ascii="Verdana" w:hAnsi="Verdana"/>
          <w:sz w:val="16"/>
          <w:szCs w:val="16"/>
          <w:lang w:val="en-US"/>
        </w:rPr>
        <w:footnoteRef/>
      </w:r>
      <w:r w:rsidRPr="009D52FD">
        <w:rPr>
          <w:rFonts w:ascii="Verdana" w:hAnsi="Verdana"/>
          <w:sz w:val="16"/>
          <w:szCs w:val="16"/>
          <w:lang w:val="en-US"/>
        </w:rPr>
        <w:t xml:space="preserve"> </w:t>
      </w:r>
      <w:r w:rsidRPr="009D52FD">
        <w:rPr>
          <w:rFonts w:ascii="Verdana" w:hAnsi="Verdana"/>
          <w:sz w:val="16"/>
          <w:szCs w:val="16"/>
          <w:lang w:val="en-US"/>
        </w:rPr>
        <w:tab/>
        <w:t xml:space="preserve">Article 3 ICPPT. </w:t>
      </w:r>
      <w:r w:rsidRPr="009D52FD">
        <w:rPr>
          <w:rFonts w:ascii="Verdana" w:hAnsi="Verdana" w:cs="Tahoma"/>
          <w:sz w:val="16"/>
          <w:szCs w:val="16"/>
          <w:lang w:val="en-US" w:eastAsia="en-US"/>
        </w:rPr>
        <w:t xml:space="preserve">The following shall be held guilty of the crime of torture: </w:t>
      </w:r>
    </w:p>
    <w:p w14:paraId="3CF09C29" w14:textId="77777777" w:rsidR="009D52FD" w:rsidRPr="009D52FD" w:rsidRDefault="009D52FD" w:rsidP="000D1879">
      <w:pPr>
        <w:widowControl/>
        <w:adjustRightInd/>
        <w:spacing w:after="45" w:line="240" w:lineRule="auto"/>
        <w:ind w:left="540" w:right="360"/>
        <w:textAlignment w:val="auto"/>
        <w:rPr>
          <w:rFonts w:cs="Arial"/>
          <w:sz w:val="16"/>
          <w:szCs w:val="16"/>
          <w:lang w:val="en-US" w:eastAsia="en-US"/>
        </w:rPr>
      </w:pPr>
      <w:r w:rsidRPr="009D52FD">
        <w:rPr>
          <w:rFonts w:cs="Tahoma"/>
          <w:sz w:val="16"/>
          <w:szCs w:val="16"/>
          <w:lang w:val="en-US" w:eastAsia="en-US"/>
        </w:rPr>
        <w:t>a. A public servant or employee who acting in that capacity orders, instigates or induces the use of torture, or who directly commits it or who, being able to prevent it, fails to do so.</w:t>
      </w:r>
    </w:p>
    <w:p w14:paraId="25EBC720" w14:textId="16359E53" w:rsidR="009D52FD" w:rsidRPr="009D52FD" w:rsidRDefault="009D52FD" w:rsidP="000D1879">
      <w:pPr>
        <w:widowControl/>
        <w:adjustRightInd/>
        <w:spacing w:after="60" w:line="240" w:lineRule="auto"/>
        <w:ind w:left="540" w:right="360"/>
        <w:textAlignment w:val="auto"/>
        <w:rPr>
          <w:rFonts w:cs="Arial"/>
          <w:sz w:val="16"/>
          <w:szCs w:val="16"/>
          <w:lang w:val="en-US" w:eastAsia="en-US"/>
        </w:rPr>
      </w:pPr>
      <w:r w:rsidRPr="009D52FD">
        <w:rPr>
          <w:rFonts w:cs="Tahoma"/>
          <w:sz w:val="16"/>
          <w:szCs w:val="16"/>
          <w:lang w:val="en-US" w:eastAsia="en-US"/>
        </w:rPr>
        <w:t>b. A person who at the instigation of a public servant or employee mentioned in subparagraph (a) orders, instigates or induces the use of torture, directly commits it or is an accomplice thereto</w:t>
      </w:r>
      <w:r w:rsidRPr="009D52FD">
        <w:rPr>
          <w:sz w:val="16"/>
          <w:szCs w:val="16"/>
          <w:lang w:val="en-US"/>
        </w:rPr>
        <w:t>.</w:t>
      </w:r>
    </w:p>
  </w:footnote>
  <w:footnote w:id="292">
    <w:p w14:paraId="6142DE41" w14:textId="4A6C06F5"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Committee against Torture, General Comment No. 2, </w:t>
      </w:r>
      <w:r w:rsidRPr="009D52FD">
        <w:rPr>
          <w:i/>
          <w:sz w:val="16"/>
          <w:szCs w:val="16"/>
          <w:lang w:val="en-US"/>
        </w:rPr>
        <w:t>Implementation of article 2 by the States Parties</w:t>
      </w:r>
      <w:r w:rsidRPr="009D52FD">
        <w:rPr>
          <w:sz w:val="16"/>
          <w:szCs w:val="16"/>
          <w:lang w:val="en-US"/>
        </w:rPr>
        <w:t xml:space="preserve"> </w:t>
      </w:r>
      <w:r w:rsidRPr="009D52FD">
        <w:rPr>
          <w:rFonts w:cs="TimesNewRoman"/>
          <w:sz w:val="16"/>
          <w:szCs w:val="16"/>
          <w:lang w:val="en-US"/>
        </w:rPr>
        <w:t>CAT/C/GC/2</w:t>
      </w:r>
      <w:r w:rsidRPr="009D52FD">
        <w:rPr>
          <w:sz w:val="16"/>
          <w:szCs w:val="16"/>
          <w:lang w:val="en-US"/>
        </w:rPr>
        <w:t xml:space="preserve">, January </w:t>
      </w:r>
      <w:r w:rsidRPr="009D52FD">
        <w:rPr>
          <w:rFonts w:cs="TimesNewRoman"/>
          <w:sz w:val="16"/>
          <w:szCs w:val="16"/>
          <w:lang w:val="en-US"/>
        </w:rPr>
        <w:t>24, 2008</w:t>
      </w:r>
      <w:r w:rsidRPr="009D52FD">
        <w:rPr>
          <w:sz w:val="16"/>
          <w:szCs w:val="16"/>
          <w:lang w:val="en-US"/>
        </w:rPr>
        <w:t>, para. 18.</w:t>
      </w:r>
    </w:p>
  </w:footnote>
  <w:footnote w:id="293">
    <w:p w14:paraId="5D555654" w14:textId="25D12304"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 Case of Bueno Alves v. Argentina, supra</w:t>
      </w:r>
      <w:r w:rsidRPr="009D52FD">
        <w:rPr>
          <w:sz w:val="16"/>
          <w:szCs w:val="16"/>
          <w:lang w:val="en-US"/>
        </w:rPr>
        <w:t>, para. 78.</w:t>
      </w:r>
    </w:p>
  </w:footnote>
  <w:footnote w:id="294">
    <w:p w14:paraId="2DDDB1E1" w14:textId="48D82291" w:rsidR="009D52FD" w:rsidRPr="009D52FD" w:rsidRDefault="009D52FD" w:rsidP="008778DD">
      <w:pPr>
        <w:tabs>
          <w:tab w:val="left" w:pos="567"/>
        </w:tabs>
        <w:spacing w:after="60" w:line="240" w:lineRule="auto"/>
        <w:rPr>
          <w:sz w:val="16"/>
          <w:szCs w:val="16"/>
          <w:lang w:val="en-US"/>
        </w:rPr>
      </w:pPr>
      <w:r w:rsidRPr="009D52FD">
        <w:rPr>
          <w:rStyle w:val="FootnoteReference"/>
          <w:sz w:val="16"/>
          <w:szCs w:val="16"/>
          <w:lang w:val="en-US"/>
        </w:rPr>
        <w:footnoteRef/>
      </w:r>
      <w:r w:rsidRPr="009D52FD">
        <w:rPr>
          <w:sz w:val="16"/>
          <w:szCs w:val="16"/>
          <w:lang w:val="en-US"/>
        </w:rPr>
        <w:tab/>
      </w:r>
      <w:r w:rsidRPr="009D52FD">
        <w:rPr>
          <w:rFonts w:eastAsia="Calibri"/>
          <w:i/>
          <w:sz w:val="16"/>
          <w:szCs w:val="16"/>
          <w:lang w:val="en-US"/>
        </w:rPr>
        <w:t xml:space="preserve">Cf. </w:t>
      </w:r>
      <w:bookmarkStart w:id="84" w:name="_Hlk515969584"/>
      <w:bookmarkStart w:id="85" w:name="_Hlk38106265"/>
      <w:r w:rsidRPr="009D52FD">
        <w:rPr>
          <w:i/>
          <w:sz w:val="16"/>
          <w:szCs w:val="16"/>
          <w:lang w:val="en-US"/>
        </w:rPr>
        <w:fldChar w:fldCharType="begin"/>
      </w:r>
      <w:r w:rsidRPr="009D52FD">
        <w:rPr>
          <w:i/>
          <w:sz w:val="16"/>
          <w:szCs w:val="16"/>
          <w:lang w:val="en-US"/>
        </w:rPr>
        <w:instrText xml:space="preserve"> HYPERLINK "http://hrlibrary.umn.edu/iachr/A/OC-16ingles-sinfirmas.html" </w:instrText>
      </w:r>
      <w:r w:rsidRPr="009D52FD">
        <w:rPr>
          <w:i/>
          <w:sz w:val="16"/>
          <w:szCs w:val="16"/>
          <w:lang w:val="en-US"/>
        </w:rPr>
        <w:fldChar w:fldCharType="separate"/>
      </w:r>
      <w:r w:rsidRPr="009D52FD">
        <w:rPr>
          <w:i/>
          <w:sz w:val="16"/>
          <w:szCs w:val="16"/>
          <w:lang w:val="en-US"/>
        </w:rPr>
        <w:t>The Right to Information on Consular Assistance in the Framework of the Guarantees of the Due Process of Law</w:t>
      </w:r>
      <w:r w:rsidRPr="009D52FD">
        <w:rPr>
          <w:i/>
          <w:sz w:val="16"/>
          <w:szCs w:val="16"/>
          <w:lang w:val="en-US"/>
        </w:rPr>
        <w:fldChar w:fldCharType="end"/>
      </w:r>
      <w:bookmarkEnd w:id="84"/>
      <w:r w:rsidRPr="009D52FD">
        <w:rPr>
          <w:i/>
          <w:sz w:val="16"/>
          <w:szCs w:val="16"/>
          <w:lang w:val="en-US"/>
        </w:rPr>
        <w:t xml:space="preserve">, </w:t>
      </w:r>
      <w:r w:rsidRPr="009D52FD">
        <w:rPr>
          <w:sz w:val="16"/>
          <w:szCs w:val="16"/>
          <w:lang w:val="en-US"/>
        </w:rPr>
        <w:t>Advisory Opinion OC-16/99, October 1, 1999. Series A No. 16</w:t>
      </w:r>
      <w:bookmarkEnd w:id="85"/>
      <w:r w:rsidRPr="009D52FD">
        <w:rPr>
          <w:sz w:val="16"/>
          <w:szCs w:val="16"/>
          <w:lang w:val="en-US"/>
        </w:rPr>
        <w:t xml:space="preserve">, </w:t>
      </w:r>
      <w:r w:rsidRPr="009D52FD">
        <w:rPr>
          <w:rFonts w:eastAsia="Calibri"/>
          <w:sz w:val="16"/>
          <w:szCs w:val="16"/>
          <w:lang w:val="en-US"/>
        </w:rPr>
        <w:t>para. 114</w:t>
      </w:r>
      <w:r w:rsidRPr="009D52FD">
        <w:rPr>
          <w:sz w:val="16"/>
          <w:szCs w:val="16"/>
          <w:lang w:val="en-US"/>
        </w:rPr>
        <w:t xml:space="preserve">, and </w:t>
      </w:r>
      <w:r w:rsidRPr="009D52FD">
        <w:rPr>
          <w:rStyle w:val="Strong"/>
          <w:b w:val="0"/>
          <w:bCs w:val="0"/>
          <w:i/>
          <w:iCs/>
          <w:color w:val="000000"/>
          <w:sz w:val="16"/>
          <w:szCs w:val="16"/>
          <w:shd w:val="clear" w:color="auto" w:fill="FFFFFF"/>
          <w:lang w:val="en-US"/>
        </w:rPr>
        <w:t>The Institution of Asylum and its Recognition as a Human Right under Inter-American Protection System (interpretation and scope of Articles 5, 22(7) and 22(8), in relation to Article 1(1) of the American Convention on Human Rights).</w:t>
      </w:r>
      <w:r w:rsidRPr="009D52FD">
        <w:rPr>
          <w:rStyle w:val="Strong"/>
          <w:b w:val="0"/>
          <w:bCs w:val="0"/>
          <w:color w:val="000000"/>
          <w:sz w:val="16"/>
          <w:szCs w:val="16"/>
          <w:shd w:val="clear" w:color="auto" w:fill="FFFFFF"/>
          <w:lang w:val="en-US"/>
        </w:rPr>
        <w:t xml:space="preserve"> </w:t>
      </w:r>
      <w:r w:rsidRPr="009D52FD">
        <w:rPr>
          <w:rStyle w:val="Strong"/>
          <w:b w:val="0"/>
          <w:bCs w:val="0"/>
          <w:iCs/>
          <w:color w:val="000000"/>
          <w:sz w:val="16"/>
          <w:szCs w:val="16"/>
          <w:shd w:val="clear" w:color="auto" w:fill="FFFFFF"/>
          <w:lang w:val="en-US"/>
        </w:rPr>
        <w:t>Advisory Opinion OC-25/18</w:t>
      </w:r>
      <w:r w:rsidRPr="009D52FD">
        <w:rPr>
          <w:sz w:val="16"/>
          <w:szCs w:val="16"/>
          <w:lang w:val="en-US" w:eastAsia="en-US"/>
        </w:rPr>
        <w:t>, May 30, 2018. Series A No. 258, para. 137.</w:t>
      </w:r>
    </w:p>
  </w:footnote>
  <w:footnote w:id="295">
    <w:p w14:paraId="2CFDC4A7" w14:textId="229B5DA0" w:rsidR="009D52FD" w:rsidRPr="009D52FD" w:rsidRDefault="009D52FD" w:rsidP="008778DD">
      <w:pPr>
        <w:pStyle w:val="FootnoteText"/>
        <w:tabs>
          <w:tab w:val="left" w:pos="567"/>
          <w:tab w:val="left" w:pos="709"/>
        </w:tabs>
        <w:spacing w:after="60"/>
        <w:rPr>
          <w:sz w:val="16"/>
          <w:szCs w:val="16"/>
          <w:lang w:val="en-US"/>
        </w:rPr>
      </w:pPr>
      <w:r w:rsidRPr="009D52FD">
        <w:rPr>
          <w:rStyle w:val="FootnoteReference"/>
          <w:rFonts w:eastAsia="Calibri"/>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Case of I.V. v. Bolivia, supra</w:t>
      </w:r>
      <w:r w:rsidRPr="009D52FD">
        <w:rPr>
          <w:sz w:val="16"/>
          <w:szCs w:val="16"/>
          <w:lang w:val="en-US"/>
        </w:rPr>
        <w:t>, para. 263, citing</w:t>
      </w:r>
      <w:r w:rsidRPr="009D52FD">
        <w:rPr>
          <w:color w:val="000000" w:themeColor="text1"/>
          <w:sz w:val="16"/>
          <w:szCs w:val="16"/>
          <w:lang w:val="en-US"/>
        </w:rPr>
        <w:t xml:space="preserve"> UN, </w:t>
      </w:r>
      <w:r w:rsidRPr="009D52FD">
        <w:rPr>
          <w:sz w:val="16"/>
          <w:szCs w:val="16"/>
          <w:lang w:val="en-US"/>
        </w:rPr>
        <w:t>Report of the Special Rapporteur on violence against women, its causes and consequences</w:t>
      </w:r>
      <w:r w:rsidRPr="009D52FD">
        <w:rPr>
          <w:rFonts w:cs="Courier New"/>
          <w:sz w:val="16"/>
          <w:szCs w:val="16"/>
          <w:lang w:val="en-US"/>
        </w:rPr>
        <w:t xml:space="preserve">, Ms. Radhika Coomaraswamy, </w:t>
      </w:r>
      <w:r w:rsidRPr="009D52FD">
        <w:rPr>
          <w:bCs/>
          <w:i/>
          <w:sz w:val="16"/>
          <w:szCs w:val="16"/>
          <w:lang w:val="en-US"/>
        </w:rPr>
        <w:t xml:space="preserve">Policies and practices that impact women’s reproductive rights and contribute to, cause or constitute violence against women, </w:t>
      </w:r>
      <w:r w:rsidRPr="009D52FD">
        <w:rPr>
          <w:bCs/>
          <w:sz w:val="16"/>
          <w:szCs w:val="16"/>
          <w:lang w:val="en-US"/>
        </w:rPr>
        <w:t>E/CN.4/1999/68/Add.4, January 21, 1999</w:t>
      </w:r>
      <w:r w:rsidRPr="009D52FD">
        <w:rPr>
          <w:sz w:val="16"/>
          <w:szCs w:val="16"/>
          <w:lang w:val="en-US"/>
        </w:rPr>
        <w:t>, para. 44;</w:t>
      </w:r>
      <w:r w:rsidRPr="009D52FD">
        <w:rPr>
          <w:i/>
          <w:sz w:val="16"/>
          <w:szCs w:val="16"/>
          <w:lang w:val="en-US"/>
        </w:rPr>
        <w:t xml:space="preserve"> Report of the Special Rapporteur on torture and other cruel, inhuman or degrading treatment or punishment,, Juan E. Méndez,</w:t>
      </w:r>
      <w:r w:rsidRPr="009D52FD">
        <w:rPr>
          <w:sz w:val="16"/>
          <w:szCs w:val="16"/>
          <w:lang w:val="en-US"/>
        </w:rPr>
        <w:t xml:space="preserve"> A/HRC/22/53, February 1, 2013, para. 15, and Committee against Torture, General Comment No. 2, </w:t>
      </w:r>
      <w:r w:rsidRPr="009D52FD">
        <w:rPr>
          <w:i/>
          <w:sz w:val="16"/>
          <w:szCs w:val="16"/>
          <w:lang w:val="en-US"/>
        </w:rPr>
        <w:t>Implementation of article 2 by States Parties</w:t>
      </w:r>
      <w:r w:rsidRPr="009D52FD">
        <w:rPr>
          <w:sz w:val="16"/>
          <w:szCs w:val="16"/>
          <w:lang w:val="en-US"/>
        </w:rPr>
        <w:t>, CAT/C/GC/2, January 24, 2008, para. 15.</w:t>
      </w:r>
    </w:p>
  </w:footnote>
  <w:footnote w:id="296">
    <w:p w14:paraId="1E6E1230" w14:textId="376F9D75" w:rsidR="009D52FD" w:rsidRPr="009D52FD" w:rsidRDefault="009D52FD" w:rsidP="008778DD">
      <w:pPr>
        <w:pStyle w:val="FootnoteText"/>
        <w:tabs>
          <w:tab w:val="left" w:pos="567"/>
          <w:tab w:val="left" w:pos="709"/>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i/>
          <w:sz w:val="16"/>
          <w:szCs w:val="16"/>
          <w:lang w:val="en-US"/>
        </w:rPr>
        <w:tab/>
        <w:t>Report of the Special Rapporteur on torture and other cruel, inhuman or degrading treatment or punishment, Manfred Nowak,</w:t>
      </w:r>
      <w:r w:rsidRPr="009D52FD">
        <w:rPr>
          <w:sz w:val="16"/>
          <w:szCs w:val="16"/>
          <w:lang w:val="en-US"/>
        </w:rPr>
        <w:t xml:space="preserve"> A/HRC/7/3, of January 15, 2008, para. 31.</w:t>
      </w:r>
    </w:p>
  </w:footnote>
  <w:footnote w:id="297">
    <w:p w14:paraId="7FBC74E7" w14:textId="086FD5C7"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rFonts w:cs="Courier New"/>
          <w:i/>
          <w:sz w:val="16"/>
          <w:szCs w:val="16"/>
          <w:lang w:val="en-US"/>
        </w:rPr>
        <w:t>Case of Velásquez Rodríguez v. Honduras. Merits</w:t>
      </w:r>
      <w:r w:rsidRPr="009D52FD">
        <w:rPr>
          <w:i/>
          <w:sz w:val="16"/>
          <w:szCs w:val="16"/>
          <w:lang w:val="en-US"/>
        </w:rPr>
        <w:t>, supra</w:t>
      </w:r>
      <w:r w:rsidRPr="009D52FD">
        <w:rPr>
          <w:rFonts w:cs="Courier New"/>
          <w:sz w:val="16"/>
          <w:szCs w:val="16"/>
          <w:lang w:val="en-US"/>
        </w:rPr>
        <w:t>, para. 173.</w:t>
      </w:r>
    </w:p>
  </w:footnote>
  <w:footnote w:id="298">
    <w:p w14:paraId="7BDDCE55" w14:textId="0130EDCB"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Article 8(1) of the Convention stipulates that “[e]</w:t>
      </w:r>
      <w:r w:rsidRPr="009D52FD">
        <w:rPr>
          <w:spacing w:val="-3"/>
          <w:sz w:val="16"/>
          <w:szCs w:val="16"/>
          <w:lang w:val="en-US"/>
        </w:rPr>
        <w:t>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r w:rsidRPr="009D52FD">
        <w:rPr>
          <w:sz w:val="16"/>
          <w:szCs w:val="16"/>
          <w:lang w:val="en-US"/>
        </w:rPr>
        <w:t>”</w:t>
      </w:r>
    </w:p>
  </w:footnote>
  <w:footnote w:id="299">
    <w:p w14:paraId="77EAAE86" w14:textId="61D9A9C0" w:rsidR="009D52FD" w:rsidRPr="009D52FD" w:rsidRDefault="009D52FD" w:rsidP="00E86FAD">
      <w:pPr>
        <w:tabs>
          <w:tab w:val="left" w:pos="480"/>
          <w:tab w:val="left" w:pos="1080"/>
          <w:tab w:val="left" w:pos="1680"/>
          <w:tab w:val="left" w:pos="5400"/>
        </w:tabs>
        <w:suppressAutoHyphens/>
        <w:spacing w:line="240" w:lineRule="auto"/>
        <w:rPr>
          <w:spacing w:val="-3"/>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The pertinent part of Article 25 of the Convention establishes that: “1. </w:t>
      </w:r>
      <w:r w:rsidRPr="009D52FD">
        <w:rPr>
          <w:spacing w:val="-3"/>
          <w:sz w:val="16"/>
          <w:szCs w:val="16"/>
          <w:lang w:val="en-US"/>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r w:rsidRPr="009D52FD">
        <w:rPr>
          <w:sz w:val="16"/>
          <w:szCs w:val="16"/>
          <w:lang w:val="en-US"/>
        </w:rPr>
        <w:t xml:space="preserve">. 2. </w:t>
      </w:r>
      <w:r w:rsidRPr="009D52FD">
        <w:rPr>
          <w:spacing w:val="-3"/>
          <w:sz w:val="16"/>
          <w:szCs w:val="16"/>
          <w:lang w:val="en-US"/>
        </w:rPr>
        <w:t>The States Parties undertake: (a) to ensure that any person claiming such remedy shall have his rights determined by the competent authority provided for by the legal system of the state;</w:t>
      </w:r>
    </w:p>
    <w:p w14:paraId="07417C02" w14:textId="53F8BE06" w:rsidR="009D52FD" w:rsidRPr="009D52FD" w:rsidRDefault="009D52FD" w:rsidP="00E86FAD">
      <w:pPr>
        <w:tabs>
          <w:tab w:val="left" w:pos="480"/>
          <w:tab w:val="left" w:pos="1080"/>
          <w:tab w:val="left" w:pos="1680"/>
          <w:tab w:val="left" w:pos="5400"/>
        </w:tabs>
        <w:suppressAutoHyphens/>
        <w:spacing w:line="240" w:lineRule="auto"/>
        <w:rPr>
          <w:spacing w:val="-3"/>
          <w:sz w:val="6"/>
          <w:szCs w:val="6"/>
          <w:lang w:val="en-US"/>
        </w:rPr>
      </w:pPr>
    </w:p>
  </w:footnote>
  <w:footnote w:id="300">
    <w:p w14:paraId="328D22FE" w14:textId="3CE53EA5" w:rsidR="009D52FD" w:rsidRPr="009D52FD" w:rsidRDefault="009D52FD" w:rsidP="00D55048">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Article 2 of the Convention establishes that: “[w]</w:t>
      </w:r>
      <w:r w:rsidRPr="009D52FD">
        <w:rPr>
          <w:spacing w:val="-3"/>
          <w:sz w:val="16"/>
          <w:szCs w:val="16"/>
          <w:lang w:val="en-US"/>
        </w:rPr>
        <w:t>here the exercise of any of the rights or freedoms referred to in Article 1 is not already ensured by legislative or other provisions, the States Parties undertake to adopt, in accordance with their constitutional processes and the provisions of this Convention, such legislative or other measures as may be necessary to give effect to those rights or freedoms.</w:t>
      </w:r>
      <w:r w:rsidRPr="009D52FD">
        <w:rPr>
          <w:sz w:val="16"/>
          <w:szCs w:val="16"/>
          <w:lang w:val="en-US"/>
        </w:rPr>
        <w:t>”.</w:t>
      </w:r>
    </w:p>
  </w:footnote>
  <w:footnote w:id="301">
    <w:p w14:paraId="6ADE02E8" w14:textId="2F36E895"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A review of the tracking forms reveals that they are signed, but without the names of the signatories, so that their identity and the agency they belong to cannot be identified. </w:t>
      </w:r>
      <w:r w:rsidRPr="009D52FD">
        <w:rPr>
          <w:i/>
          <w:sz w:val="16"/>
          <w:szCs w:val="16"/>
          <w:lang w:val="en-US"/>
        </w:rPr>
        <w:t>Cf.</w:t>
      </w:r>
      <w:r w:rsidRPr="009D52FD">
        <w:rPr>
          <w:sz w:val="16"/>
          <w:szCs w:val="16"/>
          <w:lang w:val="en-US"/>
        </w:rPr>
        <w:t xml:space="preserve"> Tracking forms of the Chacao Police Station of August 15, 2001 (evidence file, volume XVII, annex 8.g to the pleadings and motions brief, folio 11891).</w:t>
      </w:r>
    </w:p>
  </w:footnote>
  <w:footnote w:id="302">
    <w:p w14:paraId="62226E99" w14:textId="52224806"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Judgment handed down by the Twentieth Trial Court of the Caracas Metropolitan Area on November 5, 2004 (evidence file, volume IX, annex 4 to the Merits Report, folios 5841, 5846, 5895 and 6006).</w:t>
      </w:r>
    </w:p>
  </w:footnote>
  <w:footnote w:id="303">
    <w:p w14:paraId="158F45C7" w14:textId="35AC8153" w:rsidR="009D52FD" w:rsidRPr="009D52FD" w:rsidRDefault="009D52FD" w:rsidP="003B698B">
      <w:pPr>
        <w:tabs>
          <w:tab w:val="left" w:pos="567"/>
        </w:tabs>
        <w:spacing w:after="60" w:line="240" w:lineRule="auto"/>
        <w:rPr>
          <w:bCs/>
          <w:i/>
          <w:sz w:val="16"/>
          <w:szCs w:val="16"/>
          <w:lang w:val="en-US"/>
        </w:rPr>
      </w:pPr>
      <w:r w:rsidRPr="009D52FD">
        <w:rPr>
          <w:rStyle w:val="FootnoteReference"/>
          <w:rFonts w:eastAsia="MS Mincho"/>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rFonts w:cs="Courier New"/>
          <w:i/>
          <w:sz w:val="16"/>
          <w:szCs w:val="16"/>
          <w:lang w:val="en-US"/>
        </w:rPr>
        <w:t>Case of Velásquez Rodríguez v. Honduras. Preliminary objections.</w:t>
      </w:r>
      <w:r w:rsidRPr="009D52FD">
        <w:rPr>
          <w:rFonts w:cs="Courier New"/>
          <w:sz w:val="16"/>
          <w:szCs w:val="16"/>
          <w:lang w:val="en-US"/>
        </w:rPr>
        <w:t xml:space="preserve"> Judgment of June 26, 1987. Series C No. 1</w:t>
      </w:r>
      <w:r w:rsidRPr="009D52FD">
        <w:rPr>
          <w:bCs/>
          <w:sz w:val="16"/>
          <w:szCs w:val="16"/>
          <w:lang w:val="en-US"/>
        </w:rPr>
        <w:t>, para. 91</w:t>
      </w:r>
      <w:r w:rsidRPr="009D52FD">
        <w:rPr>
          <w:sz w:val="16"/>
          <w:szCs w:val="16"/>
          <w:lang w:val="en-US"/>
        </w:rPr>
        <w:t>,</w:t>
      </w:r>
      <w:r w:rsidRPr="009D52FD">
        <w:rPr>
          <w:i/>
          <w:sz w:val="16"/>
          <w:szCs w:val="16"/>
          <w:lang w:val="en-US"/>
        </w:rPr>
        <w:t xml:space="preserve"> and Case of Coc Max et al. (Xamán Massacre) v. Guatemala. Merits, reparations and costs</w:t>
      </w:r>
      <w:r w:rsidRPr="009D52FD">
        <w:rPr>
          <w:sz w:val="16"/>
          <w:szCs w:val="16"/>
          <w:lang w:val="en-US"/>
        </w:rPr>
        <w:t>. Judgment of August 22, 2018. Series C No. 356, para. 77</w:t>
      </w:r>
      <w:r w:rsidRPr="009D52FD">
        <w:rPr>
          <w:i/>
          <w:sz w:val="16"/>
          <w:szCs w:val="16"/>
          <w:lang w:val="en-US"/>
        </w:rPr>
        <w:t>.</w:t>
      </w:r>
    </w:p>
  </w:footnote>
  <w:footnote w:id="304">
    <w:p w14:paraId="52829748" w14:textId="63096416" w:rsidR="009D52FD" w:rsidRPr="009D52FD" w:rsidRDefault="009D52FD" w:rsidP="008778DD">
      <w:pPr>
        <w:tabs>
          <w:tab w:val="left" w:pos="567"/>
        </w:tabs>
        <w:spacing w:after="60" w:line="240" w:lineRule="auto"/>
        <w:rPr>
          <w:sz w:val="16"/>
          <w:szCs w:val="16"/>
          <w:lang w:val="en-US"/>
        </w:rPr>
      </w:pPr>
      <w:r w:rsidRPr="009D52FD">
        <w:rPr>
          <w:rStyle w:val="FootnoteReference"/>
          <w:rFonts w:eastAsia="MS Mincho"/>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w:t>
      </w:r>
      <w:r w:rsidRPr="009D52FD">
        <w:rPr>
          <w:i/>
          <w:iCs/>
          <w:sz w:val="16"/>
          <w:szCs w:val="16"/>
          <w:lang w:val="en-US"/>
        </w:rPr>
        <w:t xml:space="preserve">Case of Bulacio v. Argentina. Merits, reparations and costs. </w:t>
      </w:r>
      <w:r w:rsidRPr="009D52FD">
        <w:rPr>
          <w:iCs/>
          <w:sz w:val="16"/>
          <w:szCs w:val="16"/>
          <w:lang w:val="en-US"/>
        </w:rPr>
        <w:t>Judgment of September 18, 2003. Series C No. 100,</w:t>
      </w:r>
      <w:r w:rsidRPr="009D52FD">
        <w:rPr>
          <w:i/>
          <w:iCs/>
          <w:sz w:val="16"/>
          <w:szCs w:val="16"/>
          <w:lang w:val="en-US"/>
        </w:rPr>
        <w:t xml:space="preserve"> </w:t>
      </w:r>
      <w:r w:rsidRPr="009D52FD">
        <w:rPr>
          <w:sz w:val="16"/>
          <w:szCs w:val="16"/>
          <w:lang w:val="en-US"/>
        </w:rPr>
        <w:t xml:space="preserve">para. 114, and </w:t>
      </w:r>
      <w:r w:rsidRPr="009D52FD">
        <w:rPr>
          <w:i/>
          <w:sz w:val="16"/>
          <w:szCs w:val="16"/>
          <w:lang w:val="en-US"/>
        </w:rPr>
        <w:t>Case of Coc Max et al. (Xamán Massacre) v. Guatemala, supra</w:t>
      </w:r>
      <w:r w:rsidRPr="009D52FD">
        <w:rPr>
          <w:sz w:val="16"/>
          <w:szCs w:val="16"/>
          <w:lang w:val="en-US"/>
        </w:rPr>
        <w:t>, para. 79.</w:t>
      </w:r>
    </w:p>
  </w:footnote>
  <w:footnote w:id="305">
    <w:p w14:paraId="76F292EC" w14:textId="2363C5F5"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rFonts w:cs="Arial"/>
          <w:bCs/>
          <w:i/>
          <w:sz w:val="16"/>
          <w:szCs w:val="16"/>
          <w:lang w:val="en-US"/>
        </w:rPr>
        <w:t>Case of V.R.P., V.P.C. et al. v. Nicaragua</w:t>
      </w:r>
      <w:r w:rsidRPr="009D52FD">
        <w:rPr>
          <w:i/>
          <w:sz w:val="16"/>
          <w:szCs w:val="16"/>
          <w:lang w:val="en-US"/>
        </w:rPr>
        <w:t>, supra</w:t>
      </w:r>
      <w:r w:rsidRPr="009D52FD">
        <w:rPr>
          <w:sz w:val="16"/>
          <w:szCs w:val="16"/>
          <w:lang w:val="en-US"/>
        </w:rPr>
        <w:t>, para. 152</w:t>
      </w:r>
      <w:r w:rsidRPr="009D52FD">
        <w:rPr>
          <w:i/>
          <w:sz w:val="16"/>
          <w:szCs w:val="16"/>
          <w:lang w:val="en-US"/>
        </w:rPr>
        <w:t>.</w:t>
      </w:r>
    </w:p>
  </w:footnote>
  <w:footnote w:id="306">
    <w:p w14:paraId="52FB6BE8" w14:textId="7C367949"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Case of Hilaire, Constantine and Benjamín v. Trinidad and Tobago. Merits, reparations and costs. </w:t>
      </w:r>
      <w:r w:rsidRPr="009D52FD">
        <w:rPr>
          <w:iCs/>
          <w:sz w:val="16"/>
          <w:szCs w:val="16"/>
          <w:lang w:val="en-US"/>
        </w:rPr>
        <w:t>Judgment of June 21, 2002</w:t>
      </w:r>
      <w:r w:rsidRPr="009D52FD">
        <w:rPr>
          <w:i/>
          <w:sz w:val="16"/>
          <w:szCs w:val="16"/>
          <w:lang w:val="en-US"/>
        </w:rPr>
        <w:t xml:space="preserve">. </w:t>
      </w:r>
      <w:r w:rsidRPr="009D52FD">
        <w:rPr>
          <w:sz w:val="16"/>
          <w:szCs w:val="16"/>
          <w:lang w:val="en-US"/>
        </w:rPr>
        <w:t xml:space="preserve">Series C No. 94, para. 113, and </w:t>
      </w:r>
      <w:r w:rsidRPr="009D52FD">
        <w:rPr>
          <w:rStyle w:val="Strong"/>
          <w:b w:val="0"/>
          <w:i/>
          <w:color w:val="000000"/>
          <w:sz w:val="16"/>
          <w:szCs w:val="16"/>
          <w:shd w:val="clear" w:color="auto" w:fill="FFFFFF"/>
          <w:lang w:val="en-US"/>
        </w:rPr>
        <w:t>Case of Amrhein et al. v. Costa Rica</w:t>
      </w:r>
      <w:r w:rsidRPr="009D52FD">
        <w:rPr>
          <w:i/>
          <w:sz w:val="16"/>
          <w:szCs w:val="16"/>
          <w:lang w:val="en-US"/>
        </w:rPr>
        <w:t>, supra</w:t>
      </w:r>
      <w:r w:rsidRPr="009D52FD">
        <w:rPr>
          <w:rStyle w:val="Strong"/>
          <w:b w:val="0"/>
          <w:color w:val="000000"/>
          <w:sz w:val="16"/>
          <w:szCs w:val="16"/>
          <w:shd w:val="clear" w:color="auto" w:fill="FFFFFF"/>
          <w:lang w:val="en-US"/>
        </w:rPr>
        <w:t xml:space="preserve">, </w:t>
      </w:r>
      <w:r w:rsidRPr="009D52FD">
        <w:rPr>
          <w:sz w:val="16"/>
          <w:szCs w:val="16"/>
          <w:lang w:val="en-US"/>
        </w:rPr>
        <w:t>para. 259.</w:t>
      </w:r>
    </w:p>
  </w:footnote>
  <w:footnote w:id="307">
    <w:p w14:paraId="12678D02" w14:textId="38322429"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 Case of González et al. (“Cotton Field”) v. Mexico, supra</w:t>
      </w:r>
      <w:r w:rsidRPr="009D52FD">
        <w:rPr>
          <w:sz w:val="16"/>
          <w:szCs w:val="16"/>
          <w:lang w:val="en-US"/>
        </w:rPr>
        <w:t xml:space="preserve">, para. 455, and </w:t>
      </w:r>
      <w:r w:rsidRPr="009D52FD">
        <w:rPr>
          <w:rFonts w:cs="Courier New"/>
          <w:i/>
          <w:sz w:val="16"/>
          <w:szCs w:val="16"/>
          <w:lang w:val="en-US"/>
        </w:rPr>
        <w:t>Case of Velásquez Paiz et al. v. Guatemala</w:t>
      </w:r>
      <w:r w:rsidRPr="009D52FD">
        <w:rPr>
          <w:i/>
          <w:sz w:val="16"/>
          <w:szCs w:val="16"/>
          <w:lang w:val="en-US"/>
        </w:rPr>
        <w:t>, supra</w:t>
      </w:r>
      <w:r w:rsidRPr="009D52FD">
        <w:rPr>
          <w:rStyle w:val="Strong"/>
          <w:b w:val="0"/>
          <w:color w:val="000000"/>
          <w:sz w:val="16"/>
          <w:szCs w:val="16"/>
          <w:shd w:val="clear" w:color="auto" w:fill="FFFFFF"/>
          <w:lang w:val="en-US"/>
        </w:rPr>
        <w:t>, para. 146</w:t>
      </w:r>
      <w:r w:rsidRPr="009D52FD">
        <w:rPr>
          <w:sz w:val="16"/>
          <w:szCs w:val="16"/>
          <w:lang w:val="en-US"/>
        </w:rPr>
        <w:t>.</w:t>
      </w:r>
    </w:p>
  </w:footnote>
  <w:footnote w:id="308">
    <w:p w14:paraId="18A3EEF3" w14:textId="424120E8" w:rsidR="009D52FD" w:rsidRPr="009D52FD" w:rsidRDefault="009D52FD" w:rsidP="00DE1BA0">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UN, Committee on the Elimination of Discrimination against Women, General recommendation No. 33, </w:t>
      </w:r>
      <w:r w:rsidRPr="009D52FD">
        <w:rPr>
          <w:i/>
          <w:sz w:val="16"/>
          <w:szCs w:val="16"/>
          <w:lang w:val="en-US"/>
        </w:rPr>
        <w:t>Women’s access to justice</w:t>
      </w:r>
      <w:r w:rsidRPr="009D52FD">
        <w:rPr>
          <w:sz w:val="16"/>
          <w:szCs w:val="16"/>
          <w:lang w:val="en-US"/>
        </w:rPr>
        <w:t>, CEDAW/C/GC/33, August 3, 2015, para. 3.</w:t>
      </w:r>
    </w:p>
  </w:footnote>
  <w:footnote w:id="309">
    <w:p w14:paraId="77E65E08" w14:textId="0EDF6B6D"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The Special Rapporteur on violence against women, its causes and consequences indicated that “failures of law enforcement authorities to seriously investigate crimes of violence against women appear to be common.” This was also true of the jurisdictional organs. She underscored the scant number of convictions for this type of crime. The Special Rapporteur concluded that “as a result women either remain silent or if they do report the crime they may become re-victimized,” </w:t>
      </w:r>
      <w:r w:rsidRPr="009D52FD">
        <w:rPr>
          <w:i/>
          <w:sz w:val="16"/>
          <w:szCs w:val="16"/>
          <w:lang w:val="en-US"/>
        </w:rPr>
        <w:t>Cf.</w:t>
      </w:r>
      <w:r w:rsidRPr="009D52FD">
        <w:rPr>
          <w:sz w:val="16"/>
          <w:szCs w:val="16"/>
          <w:lang w:val="en-US"/>
        </w:rPr>
        <w:t xml:space="preserve"> UN,</w:t>
      </w:r>
      <w:r w:rsidRPr="009D52FD">
        <w:rPr>
          <w:i/>
          <w:sz w:val="16"/>
          <w:szCs w:val="16"/>
          <w:lang w:val="en-US"/>
        </w:rPr>
        <w:t xml:space="preserve"> Integration of the human rights of women and the gender perspective: violence against women. The due diligence standards as a tool for the elimination of violence against women. </w:t>
      </w:r>
      <w:r w:rsidRPr="009D52FD">
        <w:rPr>
          <w:sz w:val="16"/>
          <w:szCs w:val="16"/>
          <w:lang w:val="en-US"/>
        </w:rPr>
        <w:t>Report of the Special Rapporteur on violence against women, its causes and consequences, Yakin Ertürk, E/CN.4/2006/61, January 20, 2006, paras. 47 to 49 and 54.</w:t>
      </w:r>
    </w:p>
  </w:footnote>
  <w:footnote w:id="310">
    <w:p w14:paraId="5BB25031" w14:textId="13EE36CF"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UN, Committee on the Elimination of Discrimination against Women, General recommendation No. 33, </w:t>
      </w:r>
      <w:r w:rsidRPr="009D52FD">
        <w:rPr>
          <w:i/>
          <w:sz w:val="16"/>
          <w:szCs w:val="16"/>
          <w:lang w:val="en-US"/>
        </w:rPr>
        <w:t>Women’s access to justice</w:t>
      </w:r>
      <w:r w:rsidRPr="009D52FD">
        <w:rPr>
          <w:sz w:val="16"/>
          <w:szCs w:val="16"/>
          <w:lang w:val="en-US"/>
        </w:rPr>
        <w:t>, CEDAW/C/GC/33, August 3, 2015, paras. 13, 26 and 27, and UN,</w:t>
      </w:r>
      <w:r w:rsidRPr="009D52FD">
        <w:rPr>
          <w:i/>
          <w:sz w:val="16"/>
          <w:szCs w:val="16"/>
          <w:lang w:val="en-US"/>
        </w:rPr>
        <w:t xml:space="preserve"> Integration of the human rights of women and the gender perspective: violence against women. The due diligence standards as a tool for the elimination of violence against women. </w:t>
      </w:r>
      <w:r w:rsidRPr="009D52FD">
        <w:rPr>
          <w:sz w:val="16"/>
          <w:szCs w:val="16"/>
          <w:lang w:val="en-US"/>
        </w:rPr>
        <w:t>Report of the Special Rapporteur on violence against women, its causes and consequences, Yakin Ertürk, E/CN.4/2006/61, January 20, 2006, paras. 53 and 54.</w:t>
      </w:r>
    </w:p>
  </w:footnote>
  <w:footnote w:id="311">
    <w:p w14:paraId="62BB483B" w14:textId="4F52DAA6"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UN, Committee on the Elimination of Discrimination against Women, General recommendation No. 33, </w:t>
      </w:r>
      <w:r w:rsidRPr="009D52FD">
        <w:rPr>
          <w:i/>
          <w:sz w:val="16"/>
          <w:szCs w:val="16"/>
          <w:lang w:val="en-US"/>
        </w:rPr>
        <w:t>Women’s access to justice</w:t>
      </w:r>
      <w:r w:rsidRPr="009D52FD">
        <w:rPr>
          <w:sz w:val="16"/>
          <w:szCs w:val="16"/>
          <w:lang w:val="en-US"/>
        </w:rPr>
        <w:t>, CEDAW/C/GC/33, August 3, 2015, paras. 13 and 36, and UN,</w:t>
      </w:r>
      <w:r w:rsidRPr="009D52FD">
        <w:rPr>
          <w:i/>
          <w:sz w:val="16"/>
          <w:szCs w:val="16"/>
          <w:lang w:val="en-US"/>
        </w:rPr>
        <w:t xml:space="preserve"> Integration of the human rights of women and the gender perspective: violence against women. The due diligence standards as a tool for the elimination of violence against women. </w:t>
      </w:r>
      <w:r w:rsidRPr="009D52FD">
        <w:rPr>
          <w:sz w:val="16"/>
          <w:szCs w:val="16"/>
          <w:lang w:val="en-US"/>
        </w:rPr>
        <w:t>Report of the Special Rapporteur on violence against women, its causes and consequences, Yakin Ertürk, E/CN.4/2006/61, January 20, 2006, paras. 47 to 49.</w:t>
      </w:r>
    </w:p>
  </w:footnote>
  <w:footnote w:id="312">
    <w:p w14:paraId="45CEF6DF" w14:textId="5727587A"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Written version of the expert opinion provided by</w:t>
      </w:r>
      <w:r w:rsidRPr="009D52FD">
        <w:rPr>
          <w:color w:val="000000"/>
          <w:sz w:val="16"/>
          <w:szCs w:val="16"/>
          <w:lang w:val="en-US" w:eastAsia="en-US"/>
        </w:rPr>
        <w:t xml:space="preserve"> Daniela Kravetz during the public hearing before the Inter-American Court on February 6, 2018 (merits file, volume I, folios 838 and 839).</w:t>
      </w:r>
    </w:p>
  </w:footnote>
  <w:footnote w:id="313">
    <w:p w14:paraId="2FE19105" w14:textId="1E5B988B"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The Special Rapporteur explained that the assistance provided to women generally constitutes emergency aid, but does not provide the victims with tools to avoid re-victimization. </w:t>
      </w:r>
      <w:r w:rsidRPr="009D52FD">
        <w:rPr>
          <w:i/>
          <w:sz w:val="16"/>
          <w:szCs w:val="16"/>
          <w:lang w:val="en-US"/>
        </w:rPr>
        <w:t>Cf.</w:t>
      </w:r>
      <w:r w:rsidRPr="009D52FD">
        <w:rPr>
          <w:sz w:val="16"/>
          <w:szCs w:val="16"/>
          <w:lang w:val="en-US"/>
        </w:rPr>
        <w:t xml:space="preserve"> UN,</w:t>
      </w:r>
      <w:r w:rsidRPr="009D52FD">
        <w:rPr>
          <w:i/>
          <w:sz w:val="16"/>
          <w:szCs w:val="16"/>
          <w:lang w:val="en-US"/>
        </w:rPr>
        <w:t xml:space="preserve"> Integration of the human rights of women and the gender perspective: violence against women. The due diligence standards as a tool for the elimination of violence against women. </w:t>
      </w:r>
      <w:r w:rsidRPr="009D52FD">
        <w:rPr>
          <w:sz w:val="16"/>
          <w:szCs w:val="16"/>
          <w:lang w:val="en-US"/>
        </w:rPr>
        <w:t>Report of the Special Rapporteur on violence against women, its causes and consequences, Yakin Ertürk, E/CN.4/2006/61, January 20, 2006, paras. 47, 49, 82 and 83.</w:t>
      </w:r>
    </w:p>
  </w:footnote>
  <w:footnote w:id="314">
    <w:p w14:paraId="7B8535A5" w14:textId="3FD2C935"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rFonts w:cs="Vrinda"/>
          <w:i/>
          <w:sz w:val="16"/>
          <w:szCs w:val="16"/>
          <w:lang w:val="en-US"/>
        </w:rPr>
        <w:t xml:space="preserve">Cf. </w:t>
      </w:r>
      <w:r w:rsidRPr="009D52FD">
        <w:rPr>
          <w:i/>
          <w:sz w:val="16"/>
          <w:szCs w:val="16"/>
          <w:lang w:val="en-US"/>
        </w:rPr>
        <w:t>Case of González et al. (“Cotton Field”) v. Mexico, supra,</w:t>
      </w:r>
      <w:r w:rsidRPr="009D52FD">
        <w:rPr>
          <w:sz w:val="16"/>
          <w:szCs w:val="16"/>
          <w:lang w:val="en-US"/>
        </w:rPr>
        <w:t xml:space="preserve"> paras. 388 and 400, and </w:t>
      </w:r>
      <w:r w:rsidRPr="009D52FD">
        <w:rPr>
          <w:rFonts w:cs="Arial"/>
          <w:bCs/>
          <w:i/>
          <w:sz w:val="16"/>
          <w:szCs w:val="16"/>
          <w:lang w:val="en-US"/>
        </w:rPr>
        <w:t>Case of V.R.P., V.P.C. et al. v. Nicaragua</w:t>
      </w:r>
      <w:r w:rsidRPr="009D52FD">
        <w:rPr>
          <w:i/>
          <w:sz w:val="16"/>
          <w:szCs w:val="16"/>
          <w:lang w:val="en-US"/>
        </w:rPr>
        <w:t>, supra</w:t>
      </w:r>
      <w:r w:rsidRPr="009D52FD">
        <w:rPr>
          <w:rFonts w:cs="Arial"/>
          <w:bCs/>
          <w:sz w:val="16"/>
          <w:szCs w:val="16"/>
          <w:lang w:val="en-US"/>
        </w:rPr>
        <w:t>,</w:t>
      </w:r>
      <w:r w:rsidRPr="009D52FD">
        <w:rPr>
          <w:i/>
          <w:sz w:val="16"/>
          <w:szCs w:val="16"/>
          <w:lang w:val="en-US"/>
        </w:rPr>
        <w:t xml:space="preserve"> </w:t>
      </w:r>
      <w:r w:rsidRPr="009D52FD">
        <w:rPr>
          <w:sz w:val="16"/>
          <w:szCs w:val="16"/>
          <w:lang w:val="en-US"/>
        </w:rPr>
        <w:t>para. 291.</w:t>
      </w:r>
    </w:p>
  </w:footnote>
  <w:footnote w:id="315">
    <w:p w14:paraId="4067EA0F" w14:textId="34DB3761"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w:t>
      </w:r>
      <w:r w:rsidRPr="009D52FD">
        <w:rPr>
          <w:i/>
          <w:sz w:val="16"/>
          <w:szCs w:val="16"/>
          <w:lang w:val="en-US"/>
        </w:rPr>
        <w:t xml:space="preserve">Case of Veliz Franco et al. v. Guatemala, supra, </w:t>
      </w:r>
      <w:r w:rsidRPr="009D52FD">
        <w:rPr>
          <w:sz w:val="16"/>
          <w:szCs w:val="16"/>
          <w:lang w:val="en-US"/>
        </w:rPr>
        <w:t xml:space="preserve">para. 208, and </w:t>
      </w:r>
      <w:r w:rsidRPr="009D52FD">
        <w:rPr>
          <w:rFonts w:cs="Courier New"/>
          <w:i/>
          <w:sz w:val="16"/>
          <w:szCs w:val="16"/>
          <w:lang w:val="en-US"/>
        </w:rPr>
        <w:t>Case of Velásquez Paiz et al. v. Guatemala</w:t>
      </w:r>
      <w:r w:rsidRPr="009D52FD">
        <w:rPr>
          <w:i/>
          <w:sz w:val="16"/>
          <w:szCs w:val="16"/>
          <w:lang w:val="en-US"/>
        </w:rPr>
        <w:t>, supra</w:t>
      </w:r>
      <w:r w:rsidRPr="009D52FD">
        <w:rPr>
          <w:sz w:val="16"/>
          <w:szCs w:val="16"/>
          <w:lang w:val="en-US"/>
        </w:rPr>
        <w:t>, para. 176.</w:t>
      </w:r>
    </w:p>
  </w:footnote>
  <w:footnote w:id="316">
    <w:p w14:paraId="6D8B29AC" w14:textId="3C16A052"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Criminal Code of the Bolivarian Republic of Venezuela, Official Gazette No. 915, of June 30, 1964, article 393 (evidence file, volume XIII, annex 2B to the pleadings and motions brief, folio 8315).</w:t>
      </w:r>
    </w:p>
  </w:footnote>
  <w:footnote w:id="317">
    <w:p w14:paraId="0ECA9EBA" w14:textId="6F81D2FC"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rFonts w:eastAsiaTheme="minorHAnsi" w:cstheme="minorBidi"/>
          <w:sz w:val="16"/>
          <w:szCs w:val="16"/>
          <w:lang w:val="en-US" w:eastAsia="en-US"/>
        </w:rPr>
        <w:t>Law on the partial amendment of the Criminal Code, Special Official Gazette No. 5,763, March 16, 2005, article 20 (evidence file, volume XIII, annex 2C to the pleadings and motions brief, folio 8347).</w:t>
      </w:r>
    </w:p>
  </w:footnote>
  <w:footnote w:id="318">
    <w:p w14:paraId="0E380723" w14:textId="01B95BF5"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A 2014 report of the Mechanism to Follow Up on the Convention of Belém do Pará indicated that, in 2014 the chapter of the Venezuelan Criminal Code entitled “</w:t>
      </w:r>
      <w:r w:rsidRPr="009D52FD">
        <w:rPr>
          <w:rFonts w:eastAsiaTheme="minorHAnsi" w:cstheme="minorBidi"/>
          <w:sz w:val="16"/>
          <w:szCs w:val="16"/>
          <w:lang w:val="en-US" w:eastAsia="en-US"/>
        </w:rPr>
        <w:t>Crimes against morality and the good order of the family,” was still in force almost without any change, and indicated that this regulated “sexual offenses from an androcentric and sexist perspective.” It also indicated that the title chosen by the legislator to group together the sexual offenses revealed that this type of violence was an issue related to customs “rather than to human rights, integrity and sexual autonomy.” It also expressed concern owing to the persistence of discriminatory penalties for women in the case of adultery.</w:t>
      </w:r>
      <w:r w:rsidRPr="009D52FD">
        <w:rPr>
          <w:sz w:val="16"/>
          <w:szCs w:val="16"/>
          <w:lang w:val="en-US"/>
        </w:rPr>
        <w:t xml:space="preserve"> </w:t>
      </w:r>
      <w:r w:rsidRPr="009D52FD">
        <w:rPr>
          <w:i/>
          <w:sz w:val="16"/>
          <w:szCs w:val="16"/>
          <w:lang w:val="en-US"/>
        </w:rPr>
        <w:t xml:space="preserve">Cf. </w:t>
      </w:r>
      <w:r w:rsidRPr="009D52FD">
        <w:rPr>
          <w:sz w:val="16"/>
          <w:szCs w:val="16"/>
          <w:lang w:val="en-US"/>
        </w:rPr>
        <w:t>Mechanism to Follow Up on the Convention of Belém do Pará (MESECVI).</w:t>
      </w:r>
      <w:r w:rsidRPr="009D52FD">
        <w:rPr>
          <w:i/>
          <w:sz w:val="16"/>
          <w:szCs w:val="16"/>
          <w:lang w:val="en-US"/>
        </w:rPr>
        <w:t xml:space="preserve"> Venezuela: Report on implementation of the recommendations of the Committee of Experts (CEVI). Second round</w:t>
      </w:r>
      <w:r w:rsidRPr="009D52FD">
        <w:rPr>
          <w:sz w:val="16"/>
          <w:szCs w:val="16"/>
          <w:lang w:val="en-US"/>
        </w:rPr>
        <w:t>, OEA/Ser.L/II.7.10, of August 19, 2014, para. 9 (evidence file, volume XVI, annex 4L to the pleadings and motions brief, folio 11007).</w:t>
      </w:r>
    </w:p>
  </w:footnote>
  <w:footnote w:id="319">
    <w:p w14:paraId="53EDF19A" w14:textId="77777777" w:rsidR="009D52FD" w:rsidRPr="009D52FD" w:rsidRDefault="009D52FD" w:rsidP="001E0CD8">
      <w:pPr>
        <w:pStyle w:val="FootnoteText"/>
        <w:tabs>
          <w:tab w:val="left" w:pos="567"/>
        </w:tabs>
        <w:spacing w:after="60"/>
        <w:rPr>
          <w:rFonts w:cs="Vrinda"/>
          <w:sz w:val="16"/>
          <w:szCs w:val="16"/>
          <w:lang w:val="en-US"/>
        </w:rPr>
      </w:pPr>
      <w:r w:rsidRPr="009D52FD">
        <w:rPr>
          <w:rStyle w:val="FootnoteReference"/>
          <w:rFonts w:cs="Vrinda"/>
          <w:sz w:val="16"/>
          <w:szCs w:val="16"/>
          <w:lang w:val="en-US"/>
        </w:rPr>
        <w:footnoteRef/>
      </w:r>
      <w:r w:rsidRPr="009D52FD">
        <w:rPr>
          <w:rFonts w:cs="Vrinda"/>
          <w:sz w:val="16"/>
          <w:szCs w:val="16"/>
          <w:lang w:val="en-US"/>
        </w:rPr>
        <w:t xml:space="preserve"> </w:t>
      </w:r>
      <w:r w:rsidRPr="009D52FD">
        <w:rPr>
          <w:rFonts w:cs="Vrinda"/>
          <w:sz w:val="16"/>
          <w:szCs w:val="16"/>
          <w:lang w:val="en-US"/>
        </w:rPr>
        <w:tab/>
      </w:r>
      <w:r w:rsidRPr="009D52FD">
        <w:rPr>
          <w:rFonts w:cs="Vrinda"/>
          <w:i/>
          <w:sz w:val="16"/>
          <w:szCs w:val="16"/>
          <w:lang w:val="en-US"/>
        </w:rPr>
        <w:t xml:space="preserve">Cf. </w:t>
      </w:r>
      <w:hyperlink r:id="rId8" w:history="1">
        <w:r w:rsidRPr="009D52FD">
          <w:rPr>
            <w:i/>
            <w:sz w:val="16"/>
            <w:szCs w:val="16"/>
            <w:lang w:val="en-US"/>
          </w:rPr>
          <w:t>Juridical Status and Human Rights of the Child</w:t>
        </w:r>
      </w:hyperlink>
      <w:r w:rsidRPr="009D52FD">
        <w:rPr>
          <w:i/>
          <w:sz w:val="16"/>
          <w:szCs w:val="16"/>
          <w:lang w:val="en-US"/>
        </w:rPr>
        <w:t xml:space="preserve">, </w:t>
      </w:r>
      <w:r w:rsidRPr="009D52FD">
        <w:rPr>
          <w:sz w:val="16"/>
          <w:szCs w:val="16"/>
          <w:lang w:val="en-US"/>
        </w:rPr>
        <w:t>Advisory Opinion OC-17/02, August 28, 2002. Series A No. 17.</w:t>
      </w:r>
      <w:r w:rsidRPr="009D52FD">
        <w:rPr>
          <w:i/>
          <w:sz w:val="16"/>
          <w:szCs w:val="16"/>
          <w:lang w:val="en-US"/>
        </w:rPr>
        <w:t xml:space="preserve">, </w:t>
      </w:r>
      <w:r w:rsidRPr="009D52FD">
        <w:rPr>
          <w:bCs/>
          <w:sz w:val="16"/>
          <w:szCs w:val="16"/>
          <w:lang w:val="en-US"/>
        </w:rPr>
        <w:t>para.</w:t>
      </w:r>
      <w:r w:rsidRPr="009D52FD">
        <w:rPr>
          <w:bCs/>
          <w:i/>
          <w:sz w:val="16"/>
          <w:szCs w:val="16"/>
          <w:lang w:val="en-US"/>
        </w:rPr>
        <w:t xml:space="preserve"> </w:t>
      </w:r>
      <w:r w:rsidRPr="009D52FD">
        <w:rPr>
          <w:rFonts w:cs="Vrinda"/>
          <w:sz w:val="16"/>
          <w:szCs w:val="16"/>
          <w:lang w:val="en-US"/>
        </w:rPr>
        <w:t xml:space="preserve">55, and </w:t>
      </w:r>
      <w:r w:rsidRPr="009D52FD">
        <w:rPr>
          <w:rFonts w:cs="Courier New"/>
          <w:i/>
          <w:sz w:val="16"/>
          <w:szCs w:val="16"/>
          <w:lang w:val="en-US"/>
        </w:rPr>
        <w:t>Case of Flor Freire v. Ecuador. Preliminary objection, merits, reparations and costs.</w:t>
      </w:r>
      <w:r w:rsidRPr="009D52FD">
        <w:rPr>
          <w:sz w:val="16"/>
          <w:szCs w:val="16"/>
          <w:lang w:val="en-US"/>
        </w:rPr>
        <w:t xml:space="preserve"> Judgment of August 31, 2016. Series C No. 315, para. 125.</w:t>
      </w:r>
    </w:p>
  </w:footnote>
  <w:footnote w:id="320">
    <w:p w14:paraId="5A4EB6BD" w14:textId="4763C9B8" w:rsidR="009D52FD" w:rsidRPr="009D52FD" w:rsidRDefault="009D52FD" w:rsidP="008778DD">
      <w:pPr>
        <w:pStyle w:val="FootnoteText"/>
        <w:tabs>
          <w:tab w:val="left" w:pos="567"/>
        </w:tabs>
        <w:spacing w:after="60"/>
        <w:rPr>
          <w:rFonts w:cs="Vrinda"/>
          <w:sz w:val="16"/>
          <w:szCs w:val="16"/>
          <w:lang w:val="en-US"/>
        </w:rPr>
      </w:pPr>
      <w:r w:rsidRPr="009D52FD">
        <w:rPr>
          <w:rStyle w:val="FootnoteReference"/>
          <w:rFonts w:cs="Vrinda"/>
          <w:sz w:val="16"/>
          <w:szCs w:val="16"/>
          <w:lang w:val="en-US"/>
        </w:rPr>
        <w:footnoteRef/>
      </w:r>
      <w:r w:rsidRPr="009D52FD">
        <w:rPr>
          <w:rFonts w:cs="Vrinda"/>
          <w:sz w:val="16"/>
          <w:szCs w:val="16"/>
          <w:lang w:val="en-US"/>
        </w:rPr>
        <w:t xml:space="preserve"> </w:t>
      </w:r>
      <w:r w:rsidRPr="009D52FD">
        <w:rPr>
          <w:rFonts w:cs="Vrinda"/>
          <w:sz w:val="16"/>
          <w:szCs w:val="16"/>
          <w:lang w:val="en-US"/>
        </w:rPr>
        <w:tab/>
      </w:r>
      <w:r w:rsidRPr="009D52FD">
        <w:rPr>
          <w:rFonts w:cs="Vrinda"/>
          <w:i/>
          <w:sz w:val="16"/>
          <w:szCs w:val="16"/>
          <w:lang w:val="en-US"/>
        </w:rPr>
        <w:t xml:space="preserve">Cf. </w:t>
      </w:r>
      <w:r w:rsidRPr="009D52FD">
        <w:rPr>
          <w:rStyle w:val="Strong"/>
          <w:rFonts w:eastAsia="MS Gothic" w:cs="Vrinda"/>
          <w:b w:val="0"/>
          <w:i/>
          <w:color w:val="000000"/>
          <w:sz w:val="16"/>
          <w:szCs w:val="16"/>
          <w:lang w:val="en-US"/>
        </w:rPr>
        <w:t>Case of Norín Catrimán (Leaders, Members and Activist of the Mapuche Indigenous People) et al. v. Chile</w:t>
      </w:r>
      <w:r w:rsidRPr="009D52FD">
        <w:rPr>
          <w:rFonts w:cs="Vrinda"/>
          <w:i/>
          <w:sz w:val="16"/>
          <w:szCs w:val="16"/>
          <w:lang w:val="en-US"/>
        </w:rPr>
        <w:t xml:space="preserve">. Merits, reparations and costs. </w:t>
      </w:r>
      <w:r w:rsidRPr="009D52FD">
        <w:rPr>
          <w:rFonts w:cs="Vrinda"/>
          <w:sz w:val="16"/>
          <w:szCs w:val="16"/>
          <w:lang w:val="en-US"/>
        </w:rPr>
        <w:t>Judgment of May 29, 2014. Series C No. 279</w:t>
      </w:r>
      <w:r w:rsidRPr="009D52FD">
        <w:rPr>
          <w:rFonts w:cs="Vrinda"/>
          <w:i/>
          <w:sz w:val="16"/>
          <w:szCs w:val="16"/>
          <w:lang w:val="en-US"/>
        </w:rPr>
        <w:t xml:space="preserve">, </w:t>
      </w:r>
      <w:r w:rsidRPr="009D52FD">
        <w:rPr>
          <w:rFonts w:cs="Vrinda"/>
          <w:sz w:val="16"/>
          <w:szCs w:val="16"/>
          <w:lang w:val="en-US"/>
        </w:rPr>
        <w:t xml:space="preserve">para. 200, and </w:t>
      </w:r>
      <w:r w:rsidRPr="009D52FD">
        <w:rPr>
          <w:rFonts w:cs="Courier New"/>
          <w:i/>
          <w:sz w:val="16"/>
          <w:szCs w:val="16"/>
          <w:lang w:val="en-US"/>
        </w:rPr>
        <w:t>Case of Flor Freire v. Ecuador</w:t>
      </w:r>
      <w:r w:rsidRPr="009D52FD">
        <w:rPr>
          <w:i/>
          <w:sz w:val="16"/>
          <w:szCs w:val="16"/>
          <w:lang w:val="en-US"/>
        </w:rPr>
        <w:t>, supra</w:t>
      </w:r>
      <w:r w:rsidRPr="009D52FD">
        <w:rPr>
          <w:sz w:val="16"/>
          <w:szCs w:val="16"/>
          <w:lang w:val="en-US"/>
        </w:rPr>
        <w:t>, para. 125.</w:t>
      </w:r>
    </w:p>
  </w:footnote>
  <w:footnote w:id="321">
    <w:p w14:paraId="18C55EF5" w14:textId="39F44207"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w:t>
      </w:r>
      <w:r w:rsidRPr="009D52FD">
        <w:rPr>
          <w:rFonts w:cs="Courier New"/>
          <w:i/>
          <w:sz w:val="16"/>
          <w:szCs w:val="16"/>
          <w:lang w:val="en-US"/>
        </w:rPr>
        <w:t>Case of Atala Riffo and daughters v. Chile. Merits, reparations and costs</w:t>
      </w:r>
      <w:r w:rsidRPr="009D52FD">
        <w:rPr>
          <w:rFonts w:cs="Courier New"/>
          <w:sz w:val="16"/>
          <w:szCs w:val="16"/>
          <w:lang w:val="en-US"/>
        </w:rPr>
        <w:t>. Judgment of February 24, 2012. Series C No. 239</w:t>
      </w:r>
      <w:r w:rsidRPr="009D52FD">
        <w:rPr>
          <w:sz w:val="16"/>
          <w:szCs w:val="16"/>
          <w:lang w:val="en-US"/>
        </w:rPr>
        <w:t>, para.</w:t>
      </w:r>
      <w:r w:rsidRPr="009D52FD" w:rsidDel="00CB26D3">
        <w:rPr>
          <w:i/>
          <w:sz w:val="16"/>
          <w:szCs w:val="16"/>
          <w:lang w:val="en-US"/>
        </w:rPr>
        <w:t xml:space="preserve"> </w:t>
      </w:r>
      <w:r w:rsidRPr="009D52FD">
        <w:rPr>
          <w:sz w:val="16"/>
          <w:szCs w:val="16"/>
          <w:lang w:val="en-US"/>
        </w:rPr>
        <w:t xml:space="preserve">125, and </w:t>
      </w:r>
      <w:r w:rsidRPr="009D52FD">
        <w:rPr>
          <w:rFonts w:cs="Courier New"/>
          <w:i/>
          <w:sz w:val="16"/>
          <w:szCs w:val="16"/>
          <w:lang w:val="en-US"/>
        </w:rPr>
        <w:t>Case of Flor Freire v. Ecuador</w:t>
      </w:r>
      <w:r w:rsidRPr="009D52FD">
        <w:rPr>
          <w:i/>
          <w:sz w:val="16"/>
          <w:szCs w:val="16"/>
          <w:lang w:val="en-US"/>
        </w:rPr>
        <w:t>, supra</w:t>
      </w:r>
      <w:r w:rsidRPr="009D52FD">
        <w:rPr>
          <w:sz w:val="16"/>
          <w:szCs w:val="16"/>
          <w:lang w:val="en-US"/>
        </w:rPr>
        <w:t>, para. 125.</w:t>
      </w:r>
    </w:p>
  </w:footnote>
  <w:footnote w:id="322">
    <w:p w14:paraId="66D89EDD" w14:textId="45638C39" w:rsidR="009D52FD" w:rsidRPr="009D52FD" w:rsidRDefault="009D52FD" w:rsidP="008778DD">
      <w:pPr>
        <w:pStyle w:val="FootnoteText"/>
        <w:tabs>
          <w:tab w:val="left" w:pos="567"/>
        </w:tabs>
        <w:spacing w:after="60"/>
        <w:rPr>
          <w:i/>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color w:val="000000"/>
          <w:sz w:val="16"/>
          <w:szCs w:val="16"/>
          <w:lang w:val="en-US" w:eastAsia="en-US"/>
        </w:rPr>
        <w:t>Expert opinion provided by Marie Christine Chinkin during the public hearing before the Inter-American Court on February 6, 2018.</w:t>
      </w:r>
    </w:p>
  </w:footnote>
  <w:footnote w:id="323">
    <w:p w14:paraId="1F537787" w14:textId="3754D508" w:rsidR="009D52FD" w:rsidRPr="009D52FD" w:rsidRDefault="009D52FD" w:rsidP="008778DD">
      <w:pPr>
        <w:pStyle w:val="FootnoteText"/>
        <w:tabs>
          <w:tab w:val="left" w:pos="567"/>
          <w:tab w:val="left" w:pos="720"/>
        </w:tabs>
        <w:spacing w:after="60"/>
        <w:rPr>
          <w:rFonts w:cs="Vrinda"/>
          <w:sz w:val="16"/>
          <w:szCs w:val="16"/>
          <w:lang w:val="en-US"/>
        </w:rPr>
      </w:pPr>
      <w:r w:rsidRPr="009D52FD">
        <w:rPr>
          <w:rStyle w:val="FootnoteReference"/>
          <w:rFonts w:cs="Vrinda"/>
          <w:sz w:val="16"/>
          <w:szCs w:val="16"/>
          <w:lang w:val="en-US"/>
        </w:rPr>
        <w:footnoteRef/>
      </w:r>
      <w:r w:rsidRPr="009D52FD">
        <w:rPr>
          <w:rFonts w:cs="Vrinda"/>
          <w:sz w:val="16"/>
          <w:szCs w:val="16"/>
          <w:lang w:val="en-US"/>
        </w:rPr>
        <w:t xml:space="preserve"> </w:t>
      </w:r>
      <w:r w:rsidRPr="009D52FD">
        <w:rPr>
          <w:rFonts w:cs="Vrinda"/>
          <w:sz w:val="16"/>
          <w:szCs w:val="16"/>
          <w:lang w:val="en-US"/>
        </w:rPr>
        <w:tab/>
      </w:r>
      <w:r w:rsidRPr="009D52FD">
        <w:rPr>
          <w:rFonts w:cs="Vrinda"/>
          <w:i/>
          <w:sz w:val="16"/>
          <w:szCs w:val="16"/>
          <w:lang w:val="en-US"/>
        </w:rPr>
        <w:t>Cf.</w:t>
      </w:r>
      <w:r w:rsidRPr="009D52FD">
        <w:rPr>
          <w:rFonts w:cs="Vrinda"/>
          <w:sz w:val="16"/>
          <w:szCs w:val="16"/>
          <w:lang w:val="en-US"/>
        </w:rPr>
        <w:t xml:space="preserve"> </w:t>
      </w:r>
      <w:r w:rsidRPr="009D52FD">
        <w:rPr>
          <w:i/>
          <w:sz w:val="16"/>
          <w:szCs w:val="16"/>
          <w:lang w:val="en-US"/>
        </w:rPr>
        <w:t>Case of González et al. (“Cotton Field”) v. Mexico, supra,</w:t>
      </w:r>
      <w:r w:rsidRPr="009D52FD">
        <w:rPr>
          <w:rFonts w:cs="Vrinda"/>
          <w:sz w:val="16"/>
          <w:szCs w:val="16"/>
          <w:lang w:val="en-US"/>
        </w:rPr>
        <w:t xml:space="preserve"> para. 401, and </w:t>
      </w:r>
      <w:r w:rsidRPr="009D52FD">
        <w:rPr>
          <w:rFonts w:cs="Courier New"/>
          <w:i/>
          <w:sz w:val="16"/>
          <w:szCs w:val="16"/>
          <w:lang w:val="en-US"/>
        </w:rPr>
        <w:t>Case of Velásquez Paiz et al. v. Guatemala</w:t>
      </w:r>
      <w:r w:rsidRPr="009D52FD">
        <w:rPr>
          <w:i/>
          <w:sz w:val="16"/>
          <w:szCs w:val="16"/>
          <w:lang w:val="en-US"/>
        </w:rPr>
        <w:t>, supra</w:t>
      </w:r>
      <w:r w:rsidRPr="009D52FD">
        <w:rPr>
          <w:rFonts w:cs="Courier New"/>
          <w:sz w:val="16"/>
          <w:szCs w:val="16"/>
          <w:lang w:val="en-US"/>
        </w:rPr>
        <w:t>,</w:t>
      </w:r>
      <w:r w:rsidRPr="009D52FD">
        <w:rPr>
          <w:i/>
          <w:sz w:val="16"/>
          <w:szCs w:val="16"/>
          <w:lang w:val="en-US"/>
        </w:rPr>
        <w:t xml:space="preserve"> </w:t>
      </w:r>
      <w:r w:rsidRPr="009D52FD">
        <w:rPr>
          <w:sz w:val="16"/>
          <w:szCs w:val="16"/>
          <w:lang w:val="en-US"/>
        </w:rPr>
        <w:t>para. 180.</w:t>
      </w:r>
    </w:p>
  </w:footnote>
  <w:footnote w:id="324">
    <w:p w14:paraId="601D3774" w14:textId="67E59421" w:rsidR="009D52FD" w:rsidRPr="009D52FD" w:rsidRDefault="009D52FD" w:rsidP="008778DD">
      <w:pPr>
        <w:widowControl/>
        <w:tabs>
          <w:tab w:val="left" w:pos="567"/>
          <w:tab w:val="left" w:pos="720"/>
        </w:tabs>
        <w:autoSpaceDE w:val="0"/>
        <w:autoSpaceDN w:val="0"/>
        <w:spacing w:after="60" w:line="240" w:lineRule="auto"/>
        <w:textAlignment w:val="auto"/>
        <w:rPr>
          <w:rFonts w:eastAsia="Calibri" w:cs="Cambria"/>
          <w:sz w:val="16"/>
          <w:szCs w:val="16"/>
          <w:lang w:val="en-US" w:eastAsia="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UN, </w:t>
      </w:r>
      <w:r w:rsidRPr="009D52FD">
        <w:rPr>
          <w:rFonts w:eastAsia="Calibri" w:cs="Cambria"/>
          <w:sz w:val="16"/>
          <w:szCs w:val="16"/>
          <w:lang w:val="en-US" w:eastAsia="en-US"/>
        </w:rPr>
        <w:t xml:space="preserve">Committee on the Elimination of Discrimination against Women, General recommendation No. 33, </w:t>
      </w:r>
      <w:r w:rsidRPr="009D52FD">
        <w:rPr>
          <w:rFonts w:eastAsia="Calibri" w:cs="Cambria"/>
          <w:i/>
          <w:sz w:val="16"/>
          <w:szCs w:val="16"/>
          <w:lang w:val="en-US" w:eastAsia="en-US"/>
        </w:rPr>
        <w:t>Women’s access to justice</w:t>
      </w:r>
      <w:r w:rsidRPr="009D52FD">
        <w:rPr>
          <w:rFonts w:eastAsia="Calibri" w:cs="Cambria"/>
          <w:sz w:val="16"/>
          <w:szCs w:val="16"/>
          <w:lang w:val="en-US" w:eastAsia="en-US"/>
        </w:rPr>
        <w:t xml:space="preserve">, </w:t>
      </w:r>
      <w:r w:rsidRPr="009D52FD">
        <w:rPr>
          <w:sz w:val="16"/>
          <w:szCs w:val="16"/>
          <w:lang w:val="en-US"/>
        </w:rPr>
        <w:t>CEDAW/C/GC/33, August 3, 2015,</w:t>
      </w:r>
      <w:r w:rsidRPr="009D52FD">
        <w:rPr>
          <w:rFonts w:eastAsia="Calibri" w:cs="Cambria"/>
          <w:sz w:val="16"/>
          <w:szCs w:val="16"/>
          <w:lang w:val="en-US" w:eastAsia="en-US"/>
        </w:rPr>
        <w:t xml:space="preserve"> para. 26</w:t>
      </w:r>
      <w:r w:rsidRPr="009D52FD">
        <w:rPr>
          <w:sz w:val="16"/>
          <w:szCs w:val="16"/>
          <w:lang w:val="en-US"/>
        </w:rPr>
        <w:t>.</w:t>
      </w:r>
    </w:p>
  </w:footnote>
  <w:footnote w:id="325">
    <w:p w14:paraId="5BE54CEF" w14:textId="33B554C7" w:rsidR="009D52FD" w:rsidRPr="009D52FD" w:rsidRDefault="009D52FD" w:rsidP="008778DD">
      <w:pPr>
        <w:pStyle w:val="FootnoteText"/>
        <w:tabs>
          <w:tab w:val="left" w:pos="567"/>
          <w:tab w:val="left" w:pos="720"/>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w:t>
      </w:r>
      <w:r w:rsidRPr="009D52FD">
        <w:rPr>
          <w:i/>
          <w:sz w:val="16"/>
          <w:szCs w:val="16"/>
          <w:lang w:val="en-US"/>
        </w:rPr>
        <w:t>Case of Gutiérrez Hernández et al. v. Guatemala, supra</w:t>
      </w:r>
      <w:r w:rsidRPr="009D52FD">
        <w:rPr>
          <w:sz w:val="16"/>
          <w:szCs w:val="16"/>
          <w:lang w:val="en-US"/>
        </w:rPr>
        <w:t>, para. 173.</w:t>
      </w:r>
    </w:p>
  </w:footnote>
  <w:footnote w:id="326">
    <w:p w14:paraId="06C546F7" w14:textId="002CCB9F" w:rsidR="009D52FD" w:rsidRPr="009D52FD" w:rsidRDefault="009D52FD" w:rsidP="008778DD">
      <w:pPr>
        <w:pStyle w:val="FootnoteText"/>
        <w:tabs>
          <w:tab w:val="left" w:pos="567"/>
          <w:tab w:val="left" w:pos="720"/>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UN,</w:t>
      </w:r>
      <w:r w:rsidRPr="009D52FD">
        <w:rPr>
          <w:i/>
          <w:sz w:val="16"/>
          <w:szCs w:val="16"/>
          <w:lang w:val="en-US"/>
        </w:rPr>
        <w:t xml:space="preserve"> Integration of the human rights of women and the gender perspective: violence against women. The due diligence standards as a tool for the elimination of violence against women. </w:t>
      </w:r>
      <w:r w:rsidRPr="009D52FD">
        <w:rPr>
          <w:sz w:val="16"/>
          <w:szCs w:val="16"/>
          <w:lang w:val="en-US"/>
        </w:rPr>
        <w:t>Report of the Special Rapporteur on violence against women, its causes and consequences, Yakin Ertürk, E/CN.4/2006/61, January 20, 2006, paras. 59 to 63.</w:t>
      </w:r>
    </w:p>
  </w:footnote>
  <w:footnote w:id="327">
    <w:p w14:paraId="594038E9" w14:textId="5006F3AC" w:rsidR="009D52FD" w:rsidRPr="009D52FD" w:rsidRDefault="009D52FD" w:rsidP="00B26D93">
      <w:pPr>
        <w:pStyle w:val="FootnoteText"/>
        <w:tabs>
          <w:tab w:val="left" w:pos="567"/>
          <w:tab w:val="left" w:pos="4561"/>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The Public Prosecution Service offered as an expert witness, a gynecologist who, based on the gynecological examination of Linda Loaiza López Soto, stated that “this revealed injuries and the human papilloma virus (HPV) was found, which relates to the degree of promiscuity.” </w:t>
      </w:r>
      <w:r w:rsidRPr="009D52FD">
        <w:rPr>
          <w:i/>
          <w:sz w:val="16"/>
          <w:szCs w:val="16"/>
          <w:lang w:val="en-US"/>
        </w:rPr>
        <w:t xml:space="preserve">Cf. </w:t>
      </w:r>
      <w:r w:rsidRPr="009D52FD">
        <w:rPr>
          <w:sz w:val="16"/>
          <w:szCs w:val="16"/>
          <w:lang w:val="en-US"/>
        </w:rPr>
        <w:t>Record of the public oral hearing of the Seventh Criminal Trial Court of the Criminal Judicial Circuit of the Caracas Metropolitan Area of September 9, 2006 (evidence file, volume IX, annex 3 to the Merits Report, folio 5589).</w:t>
      </w:r>
    </w:p>
  </w:footnote>
  <w:footnote w:id="328">
    <w:p w14:paraId="0FD431EB" w14:textId="525A5A0E" w:rsidR="009D52FD" w:rsidRPr="009D52FD" w:rsidRDefault="009D52FD" w:rsidP="008778DD">
      <w:pPr>
        <w:widowControl/>
        <w:tabs>
          <w:tab w:val="left" w:pos="567"/>
        </w:tabs>
        <w:autoSpaceDE w:val="0"/>
        <w:autoSpaceDN w:val="0"/>
        <w:spacing w:after="60" w:line="240" w:lineRule="auto"/>
        <w:textAlignment w:val="auto"/>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Judgment handed down by the Twentieth Trial Court of the Caracas Metropolitan Area on November 5, 2004 (evidence file, volume IX, annex 4 to the Merits Report, folios 6004 and 6005), and Judgment handed down by the Seventh Criminal Trial Court of the Criminal Judicial Circuit of the Caracas Metropolitan Area on May 22, 2006 (evidence file, volume XX, annex 8JJ to the pleadings and motions brief, folio 13827)</w:t>
      </w:r>
      <w:r w:rsidRPr="009D52FD">
        <w:rPr>
          <w:rFonts w:eastAsiaTheme="minorHAnsi" w:cs="Arial"/>
          <w:bCs/>
          <w:sz w:val="16"/>
          <w:szCs w:val="16"/>
          <w:lang w:val="en-US" w:eastAsia="en-US"/>
        </w:rPr>
        <w:t>.</w:t>
      </w:r>
    </w:p>
  </w:footnote>
  <w:footnote w:id="329">
    <w:p w14:paraId="5A8BADBB" w14:textId="6AD1F6CF" w:rsidR="009D52FD" w:rsidRPr="009D52FD" w:rsidRDefault="009D52FD" w:rsidP="008778DD">
      <w:pPr>
        <w:pStyle w:val="FootnoteText"/>
        <w:tabs>
          <w:tab w:val="left" w:pos="567"/>
          <w:tab w:val="left" w:pos="720"/>
        </w:tabs>
        <w:spacing w:after="60"/>
        <w:rPr>
          <w:rFonts w:cs="Vrinda"/>
          <w:strike/>
          <w:sz w:val="16"/>
          <w:szCs w:val="16"/>
          <w:lang w:val="en-US"/>
        </w:rPr>
      </w:pPr>
      <w:r w:rsidRPr="009D52FD">
        <w:rPr>
          <w:rStyle w:val="FootnoteReference"/>
          <w:rFonts w:cs="Vrinda"/>
          <w:sz w:val="16"/>
          <w:szCs w:val="16"/>
          <w:lang w:val="en-US"/>
        </w:rPr>
        <w:footnoteRef/>
      </w:r>
      <w:r w:rsidRPr="009D52FD">
        <w:rPr>
          <w:rFonts w:cs="Vrinda"/>
          <w:sz w:val="16"/>
          <w:szCs w:val="16"/>
          <w:lang w:val="en-US"/>
        </w:rPr>
        <w:t xml:space="preserve"> </w:t>
      </w:r>
      <w:r w:rsidRPr="009D52FD">
        <w:rPr>
          <w:rFonts w:cs="Vrinda"/>
          <w:sz w:val="16"/>
          <w:szCs w:val="16"/>
          <w:lang w:val="en-US"/>
        </w:rPr>
        <w:tab/>
      </w:r>
      <w:r w:rsidRPr="009D52FD">
        <w:rPr>
          <w:rFonts w:cs="Vrinda"/>
          <w:i/>
          <w:sz w:val="16"/>
          <w:szCs w:val="16"/>
          <w:lang w:val="en-US"/>
        </w:rPr>
        <w:t>Cf.</w:t>
      </w:r>
      <w:r w:rsidRPr="009D52FD">
        <w:rPr>
          <w:rFonts w:cs="Vrinda"/>
          <w:sz w:val="16"/>
          <w:szCs w:val="16"/>
          <w:lang w:val="en-US"/>
        </w:rPr>
        <w:t xml:space="preserve"> </w:t>
      </w:r>
      <w:r w:rsidRPr="009D52FD">
        <w:rPr>
          <w:rFonts w:cs="Courier New"/>
          <w:i/>
          <w:sz w:val="16"/>
          <w:szCs w:val="16"/>
          <w:lang w:val="en-US"/>
        </w:rPr>
        <w:t>Case of Espinoza Gonzáles v. Peru</w:t>
      </w:r>
      <w:r w:rsidRPr="009D52FD">
        <w:rPr>
          <w:i/>
          <w:sz w:val="16"/>
          <w:szCs w:val="16"/>
          <w:lang w:val="en-US"/>
        </w:rPr>
        <w:t>, supra</w:t>
      </w:r>
      <w:r w:rsidRPr="009D52FD">
        <w:rPr>
          <w:rFonts w:cs="Courier New"/>
          <w:sz w:val="16"/>
          <w:szCs w:val="16"/>
          <w:lang w:val="en-US"/>
        </w:rPr>
        <w:t>, para. 278</w:t>
      </w:r>
      <w:r w:rsidRPr="009D52FD">
        <w:rPr>
          <w:rFonts w:cs="Vrinda"/>
          <w:sz w:val="16"/>
          <w:szCs w:val="16"/>
          <w:lang w:val="en-US"/>
        </w:rPr>
        <w:t>.</w:t>
      </w:r>
    </w:p>
  </w:footnote>
  <w:footnote w:id="330">
    <w:p w14:paraId="3B94C2F7" w14:textId="57FED90B"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w:t>
      </w:r>
      <w:r w:rsidRPr="009D52FD">
        <w:rPr>
          <w:i/>
          <w:sz w:val="16"/>
          <w:szCs w:val="16"/>
          <w:lang w:val="en-US"/>
        </w:rPr>
        <w:t>Case of Gutiérrez Hernández et al. v. Guatemala, supra</w:t>
      </w:r>
      <w:r w:rsidRPr="009D52FD">
        <w:rPr>
          <w:sz w:val="16"/>
          <w:szCs w:val="16"/>
          <w:lang w:val="en-US"/>
        </w:rPr>
        <w:t>, paras. 171 and 172.</w:t>
      </w:r>
    </w:p>
  </w:footnote>
  <w:footnote w:id="331">
    <w:p w14:paraId="55084403" w14:textId="3AA9EA71" w:rsidR="009D52FD" w:rsidRPr="009D52FD" w:rsidRDefault="009D52FD" w:rsidP="008778DD">
      <w:pPr>
        <w:pStyle w:val="FootnoteText"/>
        <w:tabs>
          <w:tab w:val="left" w:pos="567"/>
          <w:tab w:val="left" w:pos="720"/>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w:t>
      </w:r>
      <w:r w:rsidRPr="009D52FD">
        <w:rPr>
          <w:i/>
          <w:sz w:val="16"/>
          <w:szCs w:val="16"/>
          <w:lang w:val="en-US"/>
        </w:rPr>
        <w:t>Case of Gutiérrez Hernández et al. v. Guatemala, supra</w:t>
      </w:r>
      <w:r w:rsidRPr="009D52FD">
        <w:rPr>
          <w:sz w:val="16"/>
          <w:szCs w:val="16"/>
          <w:lang w:val="en-US"/>
        </w:rPr>
        <w:t>, para. 171.</w:t>
      </w:r>
    </w:p>
  </w:footnote>
  <w:footnote w:id="332">
    <w:p w14:paraId="39260F77" w14:textId="0394824E"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w:t>
      </w:r>
      <w:r w:rsidRPr="009D52FD">
        <w:rPr>
          <w:i/>
          <w:sz w:val="16"/>
          <w:szCs w:val="16"/>
          <w:lang w:val="en-US"/>
        </w:rPr>
        <w:t>Case of Fernández Ortega et al. v. Mexico</w:t>
      </w:r>
      <w:r w:rsidRPr="009D52FD">
        <w:rPr>
          <w:sz w:val="16"/>
          <w:szCs w:val="16"/>
          <w:lang w:val="en-US"/>
        </w:rPr>
        <w:t xml:space="preserve">, </w:t>
      </w:r>
      <w:r w:rsidRPr="009D52FD">
        <w:rPr>
          <w:i/>
          <w:sz w:val="16"/>
          <w:szCs w:val="16"/>
          <w:lang w:val="en-US"/>
        </w:rPr>
        <w:t>supra</w:t>
      </w:r>
      <w:r w:rsidRPr="009D52FD">
        <w:rPr>
          <w:sz w:val="16"/>
          <w:szCs w:val="16"/>
          <w:lang w:val="en-US"/>
        </w:rPr>
        <w:t xml:space="preserve">, para. 196, and </w:t>
      </w:r>
      <w:r w:rsidRPr="009D52FD">
        <w:rPr>
          <w:rFonts w:cs="Arial"/>
          <w:bCs/>
          <w:i/>
          <w:sz w:val="16"/>
          <w:szCs w:val="16"/>
          <w:lang w:val="en-US"/>
        </w:rPr>
        <w:t>Case of V.R.P., V.P.C. et al. v. Nicaragua</w:t>
      </w:r>
      <w:r w:rsidRPr="009D52FD">
        <w:rPr>
          <w:i/>
          <w:sz w:val="16"/>
          <w:szCs w:val="16"/>
          <w:lang w:val="en-US"/>
        </w:rPr>
        <w:t>, supra</w:t>
      </w:r>
      <w:r w:rsidRPr="009D52FD">
        <w:rPr>
          <w:sz w:val="16"/>
          <w:szCs w:val="16"/>
          <w:lang w:val="en-US"/>
        </w:rPr>
        <w:t>, para. 171.</w:t>
      </w:r>
    </w:p>
  </w:footnote>
  <w:footnote w:id="333">
    <w:p w14:paraId="042C230C" w14:textId="4C2B868E"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In this regard, the Court has indicated that, in the case of a presumed victim of rape or sexual violence, it is necessary that their statement be taken in a comfortable and safe place, that provides privacy and trust, and that the statement is recorded so as to avoid or limit the need to repeat it. </w:t>
      </w:r>
      <w:r w:rsidRPr="009D52FD">
        <w:rPr>
          <w:i/>
          <w:sz w:val="16"/>
          <w:szCs w:val="16"/>
          <w:lang w:val="en-US"/>
        </w:rPr>
        <w:t>Cf. Case of Fernández Ortega et al. v. Mexico, supra</w:t>
      </w:r>
      <w:r w:rsidRPr="009D52FD">
        <w:rPr>
          <w:sz w:val="16"/>
          <w:szCs w:val="16"/>
          <w:lang w:val="en-US"/>
        </w:rPr>
        <w:t xml:space="preserve">, para. 194, and </w:t>
      </w:r>
      <w:r w:rsidRPr="009D52FD">
        <w:rPr>
          <w:rFonts w:cs="Courier New"/>
          <w:i/>
          <w:sz w:val="16"/>
          <w:szCs w:val="16"/>
          <w:lang w:val="en-US"/>
        </w:rPr>
        <w:t>Case of J. v. Peru. Preliminary objection, merits, reparations and costs</w:t>
      </w:r>
      <w:r w:rsidRPr="009D52FD">
        <w:rPr>
          <w:rFonts w:cs="Courier New"/>
          <w:sz w:val="16"/>
          <w:szCs w:val="16"/>
          <w:lang w:val="en-US"/>
        </w:rPr>
        <w:t>. Judgment of November 27, 2013. Series C No. 275</w:t>
      </w:r>
      <w:r w:rsidRPr="009D52FD">
        <w:rPr>
          <w:i/>
          <w:sz w:val="16"/>
          <w:szCs w:val="16"/>
          <w:lang w:val="en-US"/>
        </w:rPr>
        <w:t xml:space="preserve">, </w:t>
      </w:r>
      <w:r w:rsidRPr="009D52FD">
        <w:rPr>
          <w:sz w:val="16"/>
          <w:szCs w:val="16"/>
          <w:lang w:val="en-US"/>
        </w:rPr>
        <w:t xml:space="preserve">para. 344. With the victim’s consent, this statement should contain: (i) the date, time and location of the act of sexual violence perpetrated, including a description of the surface on which it occurred; (ii) the name, identity and number of assailants; (iii) the nature of the physical contacts and detailed account of violence inflicted; (iv) use of weapons or restraints; (v) use of medication, drugs, alcohol, inhaled substances; (vi) how clothing was removed, if applicable; (vii) details of actual or attempted sexual activity against the presumed victim; (viii) use of condoms and lubricant; (ix) any subsequent activities by the patient that may alter evidence, and (x) details of any symptoms that the presumed victim may have developed since the assault. </w:t>
      </w:r>
      <w:r w:rsidRPr="009D52FD">
        <w:rPr>
          <w:i/>
          <w:sz w:val="16"/>
          <w:szCs w:val="16"/>
          <w:lang w:val="en-US"/>
        </w:rPr>
        <w:t>Cf. Case of Espinoza Gonzáles v. Peru, supra</w:t>
      </w:r>
      <w:r w:rsidRPr="009D52FD">
        <w:rPr>
          <w:sz w:val="16"/>
          <w:szCs w:val="16"/>
          <w:lang w:val="en-US"/>
        </w:rPr>
        <w:t>, para. 249, citing</w:t>
      </w:r>
      <w:r w:rsidRPr="009D52FD">
        <w:rPr>
          <w:i/>
          <w:sz w:val="16"/>
          <w:szCs w:val="16"/>
          <w:lang w:val="en-US"/>
        </w:rPr>
        <w:t xml:space="preserve"> </w:t>
      </w:r>
      <w:r w:rsidRPr="009D52FD">
        <w:rPr>
          <w:sz w:val="16"/>
          <w:szCs w:val="16"/>
          <w:lang w:val="en-US"/>
        </w:rPr>
        <w:t xml:space="preserve">World Health Organization, </w:t>
      </w:r>
      <w:r w:rsidRPr="009D52FD">
        <w:rPr>
          <w:i/>
          <w:sz w:val="16"/>
          <w:szCs w:val="16"/>
          <w:lang w:val="en-US"/>
        </w:rPr>
        <w:t>Guidelines for medico-legal care for victims of sexual violence</w:t>
      </w:r>
      <w:r w:rsidRPr="009D52FD">
        <w:rPr>
          <w:sz w:val="16"/>
          <w:szCs w:val="16"/>
          <w:lang w:val="en-US"/>
        </w:rPr>
        <w:t xml:space="preserve">, </w:t>
      </w:r>
      <w:r w:rsidRPr="009D52FD">
        <w:rPr>
          <w:i/>
          <w:sz w:val="16"/>
          <w:szCs w:val="16"/>
          <w:lang w:val="en-US"/>
        </w:rPr>
        <w:t>supra</w:t>
      </w:r>
      <w:r w:rsidRPr="009D52FD">
        <w:rPr>
          <w:sz w:val="16"/>
          <w:szCs w:val="16"/>
          <w:lang w:val="en-US"/>
        </w:rPr>
        <w:t xml:space="preserve">, </w:t>
      </w:r>
      <w:r w:rsidRPr="009D52FD">
        <w:rPr>
          <w:i/>
          <w:sz w:val="16"/>
          <w:szCs w:val="16"/>
          <w:lang w:val="en-US"/>
        </w:rPr>
        <w:t>inter alia,</w:t>
      </w:r>
      <w:r w:rsidRPr="009D52FD">
        <w:rPr>
          <w:sz w:val="16"/>
          <w:szCs w:val="16"/>
          <w:lang w:val="en-US"/>
        </w:rPr>
        <w:t xml:space="preserve"> </w:t>
      </w:r>
      <w:r w:rsidRPr="009D52FD">
        <w:rPr>
          <w:rStyle w:val="shorttext"/>
          <w:sz w:val="16"/>
          <w:szCs w:val="16"/>
          <w:lang w:val="en-US"/>
        </w:rPr>
        <w:t>pp. 36 and 37.</w:t>
      </w:r>
    </w:p>
  </w:footnote>
  <w:footnote w:id="334">
    <w:p w14:paraId="2C493C88" w14:textId="44154ABC" w:rsidR="009D52FD" w:rsidRPr="009D52FD" w:rsidRDefault="009D52FD" w:rsidP="008778DD">
      <w:pPr>
        <w:pStyle w:val="FootnoteText"/>
        <w:tabs>
          <w:tab w:val="left" w:pos="567"/>
        </w:tabs>
        <w:spacing w:after="60"/>
        <w:rPr>
          <w:rFonts w:eastAsia="Batang"/>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The Court has established that, in cases of violence against women, </w:t>
      </w:r>
      <w:r w:rsidRPr="009D52FD">
        <w:rPr>
          <w:rFonts w:eastAsia="Batang"/>
          <w:sz w:val="16"/>
          <w:szCs w:val="16"/>
          <w:lang w:val="en-US"/>
        </w:rPr>
        <w:t xml:space="preserve">as soon as the alleged acts are reported, it is necessary that a suitable and qualified professional, if possible of the sex indicated by the victim, performs an immediate complete and detailed medical and psychological examination offering the victim the possibility of being accompanied by someone she trusts if she wishes. This examination must be performed in keeping with protocols specifically designed to document evidence in cases of gender-based violence. </w:t>
      </w:r>
      <w:r w:rsidRPr="009D52FD">
        <w:rPr>
          <w:i/>
          <w:sz w:val="16"/>
          <w:szCs w:val="16"/>
          <w:lang w:val="en-US"/>
        </w:rPr>
        <w:t>Cf. Case of Fernández Ortega et al. v. Mexico, supra</w:t>
      </w:r>
      <w:r w:rsidRPr="009D52FD">
        <w:rPr>
          <w:sz w:val="16"/>
          <w:szCs w:val="16"/>
          <w:lang w:val="en-US"/>
        </w:rPr>
        <w:t xml:space="preserve">, para. 194, and </w:t>
      </w:r>
      <w:r w:rsidRPr="009D52FD">
        <w:rPr>
          <w:i/>
          <w:sz w:val="16"/>
          <w:szCs w:val="16"/>
          <w:lang w:val="en-US"/>
        </w:rPr>
        <w:t>Case of Espinoza Gonzáles v. Peru, supra</w:t>
      </w:r>
      <w:r w:rsidRPr="009D52FD">
        <w:rPr>
          <w:sz w:val="16"/>
          <w:szCs w:val="16"/>
          <w:lang w:val="en-US"/>
        </w:rPr>
        <w:t>, para. 252.</w:t>
      </w:r>
    </w:p>
  </w:footnote>
  <w:footnote w:id="335">
    <w:p w14:paraId="08A2ED1C" w14:textId="47D6B4DE" w:rsidR="009D52FD" w:rsidRPr="009D52FD" w:rsidRDefault="009D52FD" w:rsidP="00454017">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Medical report signed by Dr. Robert A. Lam, Caracas University Hospital, Surgery Department, dated September 4, 2001 (evidence file, volume X, annex 10 to the Merits Report, folio 6306), and Statement by Robert Ángel Lam Leung, general surgeon of the Caracas University Hospital, transcribed in the judgment handed down by the Twentieth Trial Court of the Caracas Metropolitan Area on November 5, 2004, pp. 162 to 166 (evidence file, volume IX, annex 4 to the Merits Report, folios 5853 to 5857).</w:t>
      </w:r>
    </w:p>
  </w:footnote>
  <w:footnote w:id="336">
    <w:p w14:paraId="34F95082" w14:textId="77777777" w:rsidR="009D52FD" w:rsidRPr="009D52FD" w:rsidRDefault="009D52FD" w:rsidP="00454017">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eastAsia="es-CR"/>
        </w:rPr>
        <w:t xml:space="preserve"> </w:t>
      </w:r>
      <w:r w:rsidRPr="009D52FD">
        <w:rPr>
          <w:sz w:val="16"/>
          <w:szCs w:val="16"/>
          <w:lang w:val="en-US"/>
        </w:rPr>
        <w:t>Forensic medical examination signed by Dr. José Enrique Moros, forensic physician of the National Criminal Investigations Directorate, Judicial Technical Police, Forensic Medicine Division, dated July 30, 2001 (evidence file, volume X, annex 13 to the Merits Report, folios 6312 and 6313).</w:t>
      </w:r>
    </w:p>
  </w:footnote>
  <w:footnote w:id="337">
    <w:p w14:paraId="1B7C4D31" w14:textId="50276B3D"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Medical report signed by Dr. Osiel David Giménez González and Dr. Juan Carlos Guedes Rivas, of October 2, 2001 (evidence file, volume X, annex 25 to the Merits Report, folios 6359 to 6361).</w:t>
      </w:r>
    </w:p>
  </w:footnote>
  <w:footnote w:id="338">
    <w:p w14:paraId="0AAA1D75" w14:textId="65542722"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Record of interview signed by Lino Hidalgo and Linda Loaiza López Soto, on July 26, 2001 (evidence file, volume XLVI, helpful evidence, folios 31411 to 31414), and Statement by Linda Loaiza López Soto in the record of the public oral hearing of the Twentieth Trial Court of the Caracas Metropolitan Area of September 9, 2004 (evidence file, volume XXXIII, annexes to the answering brief, folios 22803 to 22808).</w:t>
      </w:r>
    </w:p>
  </w:footnote>
  <w:footnote w:id="339">
    <w:p w14:paraId="3B38BE03" w14:textId="28F226F6"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Statements made by Linda Loaiza López Soto and Ana Secilia López Soto during the public hearing before the Inter-American Court on February 6, 2018.</w:t>
      </w:r>
    </w:p>
  </w:footnote>
  <w:footnote w:id="340">
    <w:p w14:paraId="0ADE4EE3" w14:textId="62089406"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Record of interview signed by Lino Hidalgo and Linda Loaiza López Soto, on July 26, 2001 (evidence file, volume XLVI, helpful evidence, folios 31411 to 31414).</w:t>
      </w:r>
    </w:p>
  </w:footnote>
  <w:footnote w:id="341">
    <w:p w14:paraId="0D850D1F" w14:textId="2A5B6DF0"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Statement by Linda Loaiza López Soto in the record of the public oral hearing of the Twentieth Trial Court of the Caracas Metropolitan Area of September 9, 2004 (evidence file, volume XXXIII, annexes to the answering brief, folios 22803 to 22808).</w:t>
      </w:r>
    </w:p>
  </w:footnote>
  <w:footnote w:id="342">
    <w:p w14:paraId="445509A5" w14:textId="20F70299"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Expert opinion provided by Rossana Margarita Ramírez Velasco on January 22, 2018 (evidence file, volume XLIV, affidavits, folio 31213).</w:t>
      </w:r>
    </w:p>
  </w:footnote>
  <w:footnote w:id="343">
    <w:p w14:paraId="0D5FDF4D" w14:textId="0258E630"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Expert opinion provided by Rossana Margarita Ramírez Velasco on January 22, 2018 (evidence file, volume XLIV, affidavits, folio 31220).</w:t>
      </w:r>
    </w:p>
  </w:footnote>
  <w:footnote w:id="344">
    <w:p w14:paraId="32065714" w14:textId="0A358AC0" w:rsidR="009D52FD" w:rsidRPr="009D52FD" w:rsidRDefault="009D52FD" w:rsidP="00B00FC4">
      <w:pPr>
        <w:pStyle w:val="FootnoteText"/>
        <w:tabs>
          <w:tab w:val="left" w:pos="567"/>
          <w:tab w:val="left" w:pos="5580"/>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On October 30, 2003, the Forty-first Criminal Trial Oversight Court of the Criminal Judicial Circuit of the Caracas Metropolitan Area ordered that “the necessary protection” be provided to Linda Loaiza López Soto by the General Directorate of Intelligence and Protection Services. This agency was informed of the decision, and again on November 25, 2003, and again on December 9, 2003, based on a request by Linda Loaiza and her lawyer on December 5 that year. It was not until December 26 that, finally, the said Directorate provided the information of the two agents who would protect her. </w:t>
      </w:r>
      <w:r w:rsidRPr="009D52FD">
        <w:rPr>
          <w:i/>
          <w:sz w:val="16"/>
          <w:szCs w:val="16"/>
          <w:lang w:val="en-US"/>
        </w:rPr>
        <w:t>Cf.</w:t>
      </w:r>
      <w:r w:rsidRPr="009D52FD">
        <w:rPr>
          <w:sz w:val="16"/>
          <w:szCs w:val="16"/>
          <w:lang w:val="en-US"/>
        </w:rPr>
        <w:t xml:space="preserve"> Decision issued by the Forty-first Criminal Trial Oversight Court of the Criminal Judicial Circuit of the Caracas Metropolitan Area of October 30, 2003 (evidence file, volume XIX, annex 8X to the pleadings and motions brief, folio 12797); Communication No. 1610-03 addressed to the General Directorate of Intelligence and Protection Services (DISIP), of November 25, 2003 (evidence file, volume XIX, annex 8X to the pleadings and motions brief, folio 12799); Brief filed by Linda Loaiza López Soto with the Forty-first Criminal Trial Oversight Court of the Criminal Judicial Circuit of the Caracas Metropolitan Area, of December 5, 2003 (evidence file, volume XIX, annex 8X to the pleadings and motions brief, folio 12801); Communication No. 1700-03 addressed to the General Directorate of Intelligence and Protection Services (DISIP), on December 9, 2003 (evidence file, volume XIX, annex 8X to the pleadings and motions brief, folio 12802), and Communication No. 1502-2003 addressed to the Forty-first Criminal Trial Oversight Court of the Criminal Judicial Circuit of the Caracas Metropolitan Area, on December 26, 2003 (evidence file, volume XIX, annex 8X to the pleadings and motions brief, folio 12806).</w:t>
      </w:r>
    </w:p>
  </w:footnote>
  <w:footnote w:id="345">
    <w:p w14:paraId="38476665" w14:textId="24C53230"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Brief filed by Juan Bernardo Delgado Linares with the Forty-first Criminal Trial Oversight Court of the Criminal Judicial Circuit of the Caracas Metropolitan Area, on May 28, 2004 (evidence file, volume XIX, annex 8X to the pleadings and motions brief, folio 12809).</w:t>
      </w:r>
    </w:p>
  </w:footnote>
  <w:footnote w:id="346">
    <w:p w14:paraId="262FF926" w14:textId="4A0606DF"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Record of appearance by Linda Loaiza López Soto dated July 23, 2004 (evidence file, volume XIX, annex 8X to the pleadings and motions brief, folio 12815), and Brief filed by Juan Bernardo Delgado Linares with the Forty-first Criminal Trial Oversight Court of the Criminal Judicial Circuit of the Caracas Metropolitan Area on August 18, 2004 (evidence file, volume XIX, annex 8X to the pleadings and motions brief, folio 12817).</w:t>
      </w:r>
    </w:p>
  </w:footnote>
  <w:footnote w:id="347">
    <w:p w14:paraId="1975F316" w14:textId="1D408DB5"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Order issued by the Forty-first Criminal Trial Oversight Court of the Criminal Judicial Circuit of the Caracas Metropolitan Area on May 31, 2004 (evidence file, volume XIX, annex 8X to the pleadings and motions brief, folio 12810); Communication No. 774-04 addressed to the General Directorate of the Intelligence and Protection Services (DISIP) on May 31, 2004 (evidence file, volume XIX, annex 8X to the pleadings and motions brief, folio 12811); Communication No. 775-04 addressed to the Autonomous Institute of Public Safety and Transport of May 31, 2004 (evidence file, volume XIX, annex 8X to the pleadings and motions brief, folio 12812); Note of the General Directorate of the Intelligence and Protection Services of June 16, 2004 (evidence file, volume XIX, annex 8X to the pleadings and motions brief, folio 12813); Order issued by the Forty-first Criminal Trial Oversight Court of the Criminal Judicial Circuit of the Caracas Metropolitan Area on August 19, 2004 (evidence file, volume XIX, annex 8X to the pleadings and motions brief, folio 12818); Communication No. 1222-04 addressed to Instituto the Autonomous Institute of Public Safety and Transport on August 19, 2004 (evidence file, volume XIX, annex 8X to the pleadings and motions brief, folio 12819), and Order issued by the Forty-first Criminal Trial Oversight Court of the Criminal Judicial Circuit of the Caracas Metropolitan Area, on August 26, 2004 (evidence file, volume XIX, annex 8X to the pleadings and motions brief, folio 12820).</w:t>
      </w:r>
    </w:p>
  </w:footnote>
  <w:footnote w:id="348">
    <w:p w14:paraId="5CFB4305" w14:textId="3498B2BD"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Complaint G-653.612 filed by Linda Loaiza López Soto with the Scientific, Criminal and Criminalistic Investigations Unit (CICPC) on September 14, 2004 (evidence file, volume XI, annex 97 to the Merits Report, folio 7705), and Report issued by the Senior Prosecutor of the Public Prosecution Service of the Criminal Judicial Circuit of the Caracas Metropolitan Area, on September 16, 2004 (evidence file, volume XIX, annex 8X to the pleadings and motions brief, folios 12836 to 12839).</w:t>
      </w:r>
    </w:p>
  </w:footnote>
  <w:footnote w:id="349">
    <w:p w14:paraId="2E470137" w14:textId="39BC4649"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Brief filed by Ángel Alberto Rodríguez Torres with the Twentieth Trial Court of the Criminal Judicial Circuit of the Caracas Metropolitan Area on October 13, 2004 (evidence file, volume XIX, annex 8Y to the pleadings and motions brief, folio 12857).</w:t>
      </w:r>
    </w:p>
  </w:footnote>
  <w:footnote w:id="350">
    <w:p w14:paraId="7506721F" w14:textId="272F29DA"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rFonts w:cs="Courier New"/>
          <w:i/>
          <w:sz w:val="16"/>
          <w:szCs w:val="16"/>
          <w:lang w:val="en-US"/>
        </w:rPr>
        <w:t>Case of Quispialaya Vilcapoma v. Peru. Preliminary objections, merits, reparations and costs</w:t>
      </w:r>
      <w:r w:rsidRPr="009D52FD">
        <w:rPr>
          <w:rFonts w:cs="Courier New"/>
          <w:sz w:val="16"/>
          <w:szCs w:val="16"/>
          <w:lang w:val="en-US"/>
        </w:rPr>
        <w:t>. Judgment of November 23, 2015. Series C No. 308, paras. 222 and 223.</w:t>
      </w:r>
    </w:p>
  </w:footnote>
  <w:footnote w:id="351">
    <w:p w14:paraId="1354F29F" w14:textId="0F292CA5"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bCs/>
          <w:i/>
          <w:sz w:val="16"/>
          <w:szCs w:val="16"/>
          <w:lang w:val="en-US"/>
        </w:rPr>
        <w:t xml:space="preserve">Case of Goiburú et al. v. Paraguay. </w:t>
      </w:r>
      <w:r w:rsidRPr="009D52FD">
        <w:rPr>
          <w:i/>
          <w:sz w:val="16"/>
          <w:szCs w:val="16"/>
          <w:lang w:val="en-US"/>
        </w:rPr>
        <w:t xml:space="preserve">Merits, reparations and costs. </w:t>
      </w:r>
      <w:r w:rsidRPr="009D52FD">
        <w:rPr>
          <w:sz w:val="16"/>
          <w:szCs w:val="16"/>
          <w:lang w:val="en-US"/>
        </w:rPr>
        <w:t>Judgment of September 22, 2006. Series C No. 153, para. 92.</w:t>
      </w:r>
    </w:p>
  </w:footnote>
  <w:footnote w:id="352">
    <w:p w14:paraId="3CEC6BD8" w14:textId="05C69AEE"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Criminal Code of the Bolivarian Republic of Venezuela, Official Gazette No. 915, of June 30, 1964 (evidence file, volume XIII, annex 2B to the pleadings and motions brief, folio 8285).</w:t>
      </w:r>
    </w:p>
  </w:footnote>
  <w:footnote w:id="353">
    <w:p w14:paraId="54F20C24" w14:textId="3578426E" w:rsidR="009D52FD" w:rsidRPr="009D52FD" w:rsidRDefault="009D52FD" w:rsidP="008778DD">
      <w:pPr>
        <w:tabs>
          <w:tab w:val="left" w:pos="567"/>
        </w:tabs>
        <w:spacing w:after="60" w:line="240" w:lineRule="auto"/>
        <w:rPr>
          <w:rFonts w:eastAsiaTheme="minorHAnsi" w:cstheme="minorBidi"/>
          <w:sz w:val="16"/>
          <w:szCs w:val="16"/>
          <w:lang w:val="en-US" w:eastAsia="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rFonts w:eastAsiaTheme="minorHAnsi" w:cstheme="minorBidi"/>
          <w:sz w:val="16"/>
          <w:szCs w:val="16"/>
          <w:lang w:val="en-US" w:eastAsia="en-US"/>
        </w:rPr>
        <w:t>In 2013, the Special Law to Prevent and Punish Torture and Other Cruel, Inhuman or Degrading Treatment was adopted and this derogated article 181 of the 2005 Criminal Code, which corresponded to article 182 transcribed above. In the new law, the crime of torture was defined as follows: “the public official who, in the functions inherent in his position, harms the physical, mental or moral integrity of a person who is in his custody, or does so for a reason based on any type of discrimination, with the intention of intimidating, punishing or obtaining information or a confession, shall be punished with 15 to 25 years’ imprisonment or disqualification from exercising public or political functions, for a period equivalent to the punishment decreed. The disqualification from the exercise of both public and political office shall not be subject to any reduction.” Special Law to Prevent and Punish Torture and Other Cruel, Inhuman or Degrading Treatment</w:t>
      </w:r>
      <w:r w:rsidRPr="009D52FD">
        <w:rPr>
          <w:sz w:val="16"/>
          <w:szCs w:val="16"/>
          <w:lang w:val="en-US"/>
        </w:rPr>
        <w:t>, Official Gazette No. 40,212, of July 22, 2013, sole derogation provision (evidence file, volume XIV, annex 2T to the pleadings and motions brief, folio 9702).</w:t>
      </w:r>
    </w:p>
  </w:footnote>
  <w:footnote w:id="354">
    <w:p w14:paraId="64C8B6A4" w14:textId="2A89B753"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Taking into account that Venezuela has also been party to the United Nations Convention against </w:t>
      </w:r>
      <w:r w:rsidRPr="009D52FD">
        <w:rPr>
          <w:rFonts w:eastAsiaTheme="minorHAnsi" w:cstheme="minorBidi"/>
          <w:sz w:val="16"/>
          <w:szCs w:val="16"/>
          <w:lang w:val="en-US" w:eastAsia="en-US"/>
        </w:rPr>
        <w:t xml:space="preserve">Torture and Other Cruel, Inhuman or Degrading Treatment or Punishment since July 29, </w:t>
      </w:r>
      <w:r w:rsidRPr="009D52FD">
        <w:rPr>
          <w:sz w:val="16"/>
          <w:szCs w:val="16"/>
          <w:lang w:val="en-US"/>
        </w:rPr>
        <w:t>1991.</w:t>
      </w:r>
    </w:p>
  </w:footnote>
  <w:footnote w:id="355">
    <w:p w14:paraId="03138B32" w14:textId="4622830E"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bCs/>
          <w:i/>
          <w:sz w:val="16"/>
          <w:szCs w:val="16"/>
          <w:lang w:val="en-US"/>
        </w:rPr>
        <w:t>Case of Goiburú et al. v. Paraguay</w:t>
      </w:r>
      <w:r w:rsidRPr="009D52FD">
        <w:rPr>
          <w:i/>
          <w:sz w:val="16"/>
          <w:szCs w:val="16"/>
          <w:lang w:val="en-US"/>
        </w:rPr>
        <w:t>, supra</w:t>
      </w:r>
      <w:r w:rsidRPr="009D52FD">
        <w:rPr>
          <w:sz w:val="16"/>
          <w:szCs w:val="16"/>
          <w:lang w:val="en-US"/>
        </w:rPr>
        <w:t>, para. 92.</w:t>
      </w:r>
    </w:p>
  </w:footnote>
  <w:footnote w:id="356">
    <w:p w14:paraId="1FCFB9EF" w14:textId="1AA0A71A" w:rsidR="009D52FD" w:rsidRPr="009D52FD" w:rsidRDefault="009D52FD" w:rsidP="003A6B19">
      <w:pPr>
        <w:tabs>
          <w:tab w:val="left" w:pos="480"/>
          <w:tab w:val="left" w:pos="1080"/>
          <w:tab w:val="left" w:pos="1680"/>
          <w:tab w:val="left" w:pos="5400"/>
        </w:tabs>
        <w:suppressAutoHyphens/>
        <w:spacing w:line="240" w:lineRule="auto"/>
        <w:rPr>
          <w:spacing w:val="-3"/>
          <w:sz w:val="16"/>
          <w:szCs w:val="16"/>
          <w:lang w:val="en-US"/>
        </w:rPr>
      </w:pPr>
      <w:r w:rsidRPr="009D52FD">
        <w:rPr>
          <w:rStyle w:val="FootnoteReference"/>
          <w:rFonts w:eastAsiaTheme="majorEastAsia"/>
          <w:sz w:val="16"/>
          <w:szCs w:val="16"/>
          <w:lang w:val="en-US"/>
        </w:rPr>
        <w:footnoteRef/>
      </w:r>
      <w:r w:rsidRPr="009D52FD">
        <w:rPr>
          <w:sz w:val="16"/>
          <w:szCs w:val="16"/>
          <w:lang w:val="en-US"/>
        </w:rPr>
        <w:t xml:space="preserve"> </w:t>
      </w:r>
      <w:r w:rsidRPr="009D52FD">
        <w:rPr>
          <w:sz w:val="16"/>
          <w:szCs w:val="16"/>
          <w:lang w:val="en-US"/>
        </w:rPr>
        <w:tab/>
        <w:t>Article 5(1) of the Convention stipulates that: “[e]</w:t>
      </w:r>
      <w:r w:rsidRPr="009D52FD">
        <w:rPr>
          <w:spacing w:val="-3"/>
          <w:sz w:val="16"/>
          <w:szCs w:val="16"/>
          <w:lang w:val="en-US"/>
        </w:rPr>
        <w:t>very person has the right to have his physical, mental, and moral integrity respected.</w:t>
      </w:r>
      <w:r w:rsidRPr="009D52FD">
        <w:rPr>
          <w:sz w:val="16"/>
          <w:szCs w:val="16"/>
          <w:lang w:val="en-US"/>
        </w:rPr>
        <w:t>”</w:t>
      </w:r>
    </w:p>
  </w:footnote>
  <w:footnote w:id="357">
    <w:p w14:paraId="7F1CC536" w14:textId="25D6D21B" w:rsidR="009D52FD" w:rsidRPr="009D52FD" w:rsidRDefault="009D52FD" w:rsidP="008778DD">
      <w:pPr>
        <w:tabs>
          <w:tab w:val="left" w:pos="567"/>
        </w:tabs>
        <w:spacing w:after="60" w:line="240" w:lineRule="auto"/>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rFonts w:cs="Courier New"/>
          <w:i/>
          <w:sz w:val="16"/>
          <w:szCs w:val="16"/>
          <w:lang w:val="en-US"/>
        </w:rPr>
        <w:t>Case of the “Street Children” (Villagrán Morales et al.) v. Guatemala. Merits.</w:t>
      </w:r>
      <w:r w:rsidRPr="009D52FD">
        <w:rPr>
          <w:rFonts w:cs="Courier New"/>
          <w:sz w:val="16"/>
          <w:szCs w:val="16"/>
          <w:lang w:val="en-US"/>
        </w:rPr>
        <w:t xml:space="preserve"> Judgment of November 19, 1999. Series C No. 63</w:t>
      </w:r>
      <w:r w:rsidRPr="009D52FD">
        <w:rPr>
          <w:sz w:val="16"/>
          <w:szCs w:val="16"/>
          <w:lang w:val="en-US"/>
        </w:rPr>
        <w:t xml:space="preserve">, para. 176, and </w:t>
      </w:r>
      <w:r w:rsidRPr="009D52FD">
        <w:rPr>
          <w:i/>
          <w:sz w:val="16"/>
          <w:szCs w:val="16"/>
          <w:lang w:val="en-US"/>
        </w:rPr>
        <w:t>Case of Coc Max et al. (Xamán Massacre) v. Guatemala, supra</w:t>
      </w:r>
      <w:r w:rsidRPr="009D52FD">
        <w:rPr>
          <w:sz w:val="16"/>
          <w:szCs w:val="16"/>
          <w:lang w:val="en-US"/>
        </w:rPr>
        <w:t>,</w:t>
      </w:r>
      <w:r w:rsidRPr="009D52FD">
        <w:rPr>
          <w:i/>
          <w:sz w:val="16"/>
          <w:szCs w:val="16"/>
          <w:lang w:val="en-US"/>
        </w:rPr>
        <w:t xml:space="preserve"> </w:t>
      </w:r>
      <w:r w:rsidRPr="009D52FD">
        <w:rPr>
          <w:sz w:val="16"/>
          <w:szCs w:val="16"/>
          <w:lang w:val="en-US"/>
        </w:rPr>
        <w:t>para. 123.</w:t>
      </w:r>
    </w:p>
  </w:footnote>
  <w:footnote w:id="358">
    <w:p w14:paraId="0DC6B317" w14:textId="6613B518" w:rsidR="009D52FD" w:rsidRPr="009D52FD" w:rsidRDefault="009D52FD" w:rsidP="008778DD">
      <w:pPr>
        <w:tabs>
          <w:tab w:val="left" w:pos="567"/>
        </w:tabs>
        <w:spacing w:after="60" w:line="240" w:lineRule="auto"/>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Case of Blake v. Guatemala. Merits. </w:t>
      </w:r>
      <w:r w:rsidRPr="009D52FD">
        <w:rPr>
          <w:sz w:val="16"/>
          <w:szCs w:val="16"/>
          <w:lang w:val="en-US"/>
        </w:rPr>
        <w:t>Judgment of January 24, 1998.</w:t>
      </w:r>
      <w:r w:rsidRPr="009D52FD">
        <w:rPr>
          <w:i/>
          <w:sz w:val="16"/>
          <w:szCs w:val="16"/>
          <w:lang w:val="en-US"/>
        </w:rPr>
        <w:t xml:space="preserve"> </w:t>
      </w:r>
      <w:r w:rsidRPr="009D52FD">
        <w:rPr>
          <w:sz w:val="16"/>
          <w:szCs w:val="16"/>
          <w:lang w:val="en-US"/>
        </w:rPr>
        <w:t xml:space="preserve">Series C No. 36, para. 114, and </w:t>
      </w:r>
      <w:r w:rsidRPr="009D52FD">
        <w:rPr>
          <w:i/>
          <w:sz w:val="16"/>
          <w:szCs w:val="16"/>
          <w:lang w:val="en-US"/>
        </w:rPr>
        <w:t>Case of Herzog et al. v. Brazil. Preliminary objections, merits, reparations and costs.</w:t>
      </w:r>
      <w:r w:rsidRPr="009D52FD">
        <w:rPr>
          <w:sz w:val="16"/>
          <w:szCs w:val="16"/>
          <w:lang w:val="en-US"/>
        </w:rPr>
        <w:t xml:space="preserve"> Judgment of March 15, 2018. Series C No. 353, para. 351.</w:t>
      </w:r>
    </w:p>
  </w:footnote>
  <w:footnote w:id="359">
    <w:p w14:paraId="1AD1203F" w14:textId="589F0369" w:rsidR="009D52FD" w:rsidRPr="009D52FD" w:rsidRDefault="009D52FD" w:rsidP="008778DD">
      <w:pPr>
        <w:tabs>
          <w:tab w:val="left" w:pos="567"/>
        </w:tabs>
        <w:spacing w:after="60" w:line="240" w:lineRule="auto"/>
        <w:rPr>
          <w:rFonts w:eastAsiaTheme="minorEastAsia" w:cstheme="minorBidi"/>
          <w:i/>
          <w:sz w:val="16"/>
          <w:szCs w:val="16"/>
          <w:lang w:val="en-US" w:eastAsia="es-PE"/>
        </w:rPr>
      </w:pPr>
      <w:r w:rsidRPr="009D52FD">
        <w:rPr>
          <w:rStyle w:val="FootnoteReference"/>
          <w:sz w:val="16"/>
          <w:szCs w:val="16"/>
          <w:lang w:val="en-US"/>
        </w:rPr>
        <w:footnoteRef/>
      </w:r>
      <w:r w:rsidRPr="009D52FD">
        <w:rPr>
          <w:sz w:val="16"/>
          <w:szCs w:val="16"/>
          <w:lang w:val="en-US"/>
        </w:rPr>
        <w:tab/>
      </w:r>
      <w:r w:rsidRPr="009D52FD">
        <w:rPr>
          <w:rFonts w:eastAsiaTheme="minorEastAsia" w:cstheme="minorBidi"/>
          <w:i/>
          <w:sz w:val="16"/>
          <w:szCs w:val="16"/>
          <w:lang w:val="en-US" w:eastAsia="es-PE"/>
        </w:rPr>
        <w:t xml:space="preserve">Cf. Case of Bámaca Velásquez v. Guatemala. Merits. </w:t>
      </w:r>
      <w:r w:rsidRPr="009D52FD">
        <w:rPr>
          <w:rFonts w:eastAsiaTheme="minorEastAsia" w:cstheme="minorBidi"/>
          <w:sz w:val="16"/>
          <w:szCs w:val="16"/>
          <w:lang w:val="en-US" w:eastAsia="es-PE"/>
        </w:rPr>
        <w:t xml:space="preserve">Judgment of November 15, 2000. Series C No. 70, para. 163, and </w:t>
      </w:r>
      <w:r w:rsidRPr="009D52FD">
        <w:rPr>
          <w:rFonts w:cs="Arial"/>
          <w:bCs/>
          <w:i/>
          <w:sz w:val="16"/>
          <w:szCs w:val="16"/>
          <w:lang w:val="en-US"/>
        </w:rPr>
        <w:t>Case of V.R.P., V.P.C. et al. v. Nicaragua</w:t>
      </w:r>
      <w:r w:rsidRPr="009D52FD">
        <w:rPr>
          <w:i/>
          <w:sz w:val="16"/>
          <w:szCs w:val="16"/>
          <w:lang w:val="en-US"/>
        </w:rPr>
        <w:t>, supra</w:t>
      </w:r>
      <w:r w:rsidRPr="009D52FD">
        <w:rPr>
          <w:sz w:val="16"/>
          <w:szCs w:val="16"/>
          <w:lang w:val="en-US"/>
        </w:rPr>
        <w:t>, para. 327.</w:t>
      </w:r>
    </w:p>
  </w:footnote>
  <w:footnote w:id="360">
    <w:p w14:paraId="21C5E01D" w14:textId="3F698F67" w:rsidR="009D52FD" w:rsidRPr="009D52FD" w:rsidRDefault="009D52FD" w:rsidP="00130EB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Communication No. Am. C-33-660-2001 of Prosecutor No. 33, addressed to the Legal Department of the University Hospital, of July 25, 2001 (evidence file, volume XXV, annexes to the answering brief, folio 16868).</w:t>
      </w:r>
    </w:p>
  </w:footnote>
  <w:footnote w:id="361">
    <w:p w14:paraId="0FDF837C" w14:textId="7D5C20A2"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 xml:space="preserve">Statement made by Paulina Soto Chaustre (evidence file, volume XLIV, affidavits, folio 31028), and Statement made by Nelson López Meza (evidence file, volume XLIV, affidavits, folio 31020). Similarly, Diana Carolina López Soto, Linda Loaiza’s sister, described the steps taken by her parents to visit her sister in hospital as “an immense odyssey,” because they had to prove to the Judicial Technical Police and to the Prosecutor that “they were Linda’s parents.” </w:t>
      </w:r>
      <w:r w:rsidRPr="009D52FD">
        <w:rPr>
          <w:rFonts w:cs="Arial"/>
          <w:sz w:val="16"/>
          <w:szCs w:val="16"/>
          <w:lang w:val="en-US"/>
        </w:rPr>
        <w:t>Affidavit made by Diana Carolina López Soto on January 18, 2018 (evidence file, volume XLIV,</w:t>
      </w:r>
      <w:r w:rsidRPr="009D52FD">
        <w:rPr>
          <w:rFonts w:cs="Arial"/>
          <w:i/>
          <w:sz w:val="16"/>
          <w:szCs w:val="16"/>
          <w:lang w:val="en-US"/>
        </w:rPr>
        <w:t xml:space="preserve"> </w:t>
      </w:r>
      <w:r w:rsidRPr="009D52FD">
        <w:rPr>
          <w:sz w:val="16"/>
          <w:szCs w:val="16"/>
          <w:lang w:val="en-US"/>
        </w:rPr>
        <w:t>affidavits</w:t>
      </w:r>
      <w:r w:rsidRPr="009D52FD">
        <w:rPr>
          <w:rFonts w:cs="Arial"/>
          <w:sz w:val="16"/>
          <w:szCs w:val="16"/>
          <w:lang w:val="en-US"/>
        </w:rPr>
        <w:t>, folios 31039 and 31041).</w:t>
      </w:r>
    </w:p>
  </w:footnote>
  <w:footnote w:id="362">
    <w:p w14:paraId="0CC3E1B3" w14:textId="668E3906"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 xml:space="preserve">Statements made by Nelson López Meza, Paulina Soto Chaustre, Diana Carolina López Soto, Anyi Karina López Soto, Nelson Enrique López Soto, Elith Johana López Soto, Yusmely del Valle López Soto, Luz Paulina López Soto and José Isidro López Soto </w:t>
      </w:r>
      <w:r w:rsidRPr="009D52FD">
        <w:rPr>
          <w:rFonts w:cs="Arial"/>
          <w:sz w:val="16"/>
          <w:szCs w:val="16"/>
          <w:lang w:val="en-US"/>
        </w:rPr>
        <w:t>(evidence file, volume XLIV,</w:t>
      </w:r>
      <w:r w:rsidRPr="009D52FD">
        <w:rPr>
          <w:rFonts w:cs="Arial"/>
          <w:i/>
          <w:sz w:val="16"/>
          <w:szCs w:val="16"/>
          <w:lang w:val="en-US"/>
        </w:rPr>
        <w:t xml:space="preserve"> </w:t>
      </w:r>
      <w:r w:rsidRPr="009D52FD">
        <w:rPr>
          <w:sz w:val="16"/>
          <w:szCs w:val="16"/>
          <w:lang w:val="en-US"/>
        </w:rPr>
        <w:t>affidavits</w:t>
      </w:r>
      <w:r w:rsidRPr="009D52FD">
        <w:rPr>
          <w:rFonts w:cs="Arial"/>
          <w:sz w:val="16"/>
          <w:szCs w:val="16"/>
          <w:lang w:val="en-US"/>
        </w:rPr>
        <w:t xml:space="preserve">, folios 31019 and 31099), and </w:t>
      </w:r>
      <w:r w:rsidRPr="009D52FD">
        <w:rPr>
          <w:sz w:val="16"/>
          <w:szCs w:val="16"/>
          <w:lang w:val="en-US"/>
        </w:rPr>
        <w:t xml:space="preserve">Statement made by Ana Secilia López Soto during the public hearing before the Inter-American Court on February 6, 2018. </w:t>
      </w:r>
    </w:p>
  </w:footnote>
  <w:footnote w:id="363">
    <w:p w14:paraId="51B6459A" w14:textId="29AF20BB"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Expert opinion provided by Rossana Margarita Ramírez Velasco on January 22, 2018 (evidence file, volume XLIV, affidavits, folios 31207 to 31221).</w:t>
      </w:r>
    </w:p>
  </w:footnote>
  <w:footnote w:id="364">
    <w:p w14:paraId="5898F9EA" w14:textId="7AB29005"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With the exception of Ana Secilia, who was 20 years of age at the time, the other siblings ranged in age from 2 to 15 years. Also, Paulina Soto Chaustre was pregnant at the time of the events with the youngest brother who was born eight months later with special needs.</w:t>
      </w:r>
    </w:p>
  </w:footnote>
  <w:footnote w:id="365">
    <w:p w14:paraId="7FB85F18" w14:textId="40C34890"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Statement made by Nelson López Meza (evidence file, volume XLIV, affidavits, folios 31022 and 31023).</w:t>
      </w:r>
    </w:p>
  </w:footnote>
  <w:footnote w:id="366">
    <w:p w14:paraId="5F251ACC" w14:textId="5AD1D089" w:rsidR="009D52FD" w:rsidRPr="009D52FD" w:rsidRDefault="009D52FD" w:rsidP="008778DD">
      <w:pPr>
        <w:widowControl/>
        <w:tabs>
          <w:tab w:val="left" w:pos="567"/>
          <w:tab w:val="num" w:pos="12305"/>
        </w:tabs>
        <w:adjustRightInd/>
        <w:spacing w:after="60" w:line="240" w:lineRule="auto"/>
        <w:ind w:right="-90"/>
        <w:textAlignment w:val="auto"/>
        <w:rPr>
          <w:rFonts w:eastAsia="MS Mincho"/>
          <w:bCs/>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Statement made by Paulina Soto Chaustre (evidence file, volume XLIV, affidavits, folios 31027 to 31033).</w:t>
      </w:r>
    </w:p>
  </w:footnote>
  <w:footnote w:id="367">
    <w:p w14:paraId="2D81E059" w14:textId="4CDA01F5"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Statement made by Anyi Karina López Soto (evidence file, volume XLIV, affidavits, folio 31062).</w:t>
      </w:r>
    </w:p>
  </w:footnote>
  <w:footnote w:id="368">
    <w:p w14:paraId="6A8880CF" w14:textId="4B435543" w:rsidR="009D52FD" w:rsidRPr="009D52FD" w:rsidRDefault="009D52FD" w:rsidP="008778DD">
      <w:pPr>
        <w:pStyle w:val="FootnoteText"/>
        <w:tabs>
          <w:tab w:val="left" w:pos="567"/>
        </w:tabs>
        <w:spacing w:after="60"/>
        <w:rPr>
          <w:sz w:val="16"/>
          <w:szCs w:val="16"/>
          <w:lang w:val="en-US"/>
        </w:rPr>
      </w:pPr>
      <w:r w:rsidRPr="009D52FD">
        <w:rPr>
          <w:rStyle w:val="FootnoteReference"/>
          <w:rFonts w:eastAsia="Calibri"/>
          <w:sz w:val="16"/>
          <w:szCs w:val="16"/>
          <w:lang w:val="en-US"/>
        </w:rPr>
        <w:footnoteRef/>
      </w:r>
      <w:r w:rsidRPr="009D52FD">
        <w:rPr>
          <w:sz w:val="16"/>
          <w:szCs w:val="16"/>
          <w:lang w:val="en-US"/>
        </w:rPr>
        <w:t xml:space="preserve"> </w:t>
      </w:r>
      <w:r w:rsidRPr="009D52FD">
        <w:rPr>
          <w:sz w:val="16"/>
          <w:szCs w:val="16"/>
          <w:lang w:val="en-US"/>
        </w:rPr>
        <w:tab/>
        <w:t>Article 63(1) of the Convention stipulates that “[i]</w:t>
      </w:r>
      <w:r w:rsidRPr="009D52FD">
        <w:rPr>
          <w:spacing w:val="-3"/>
          <w:sz w:val="16"/>
          <w:szCs w:val="16"/>
          <w:lang w:val="en-US"/>
        </w:rPr>
        <w:t>f the Court finds that there has been a violation of a right or freedom protected by this Convention, the Court shall rule that the injured party be ensured the enjoyment of his right or freedom that was violated.  It shall also rule, if appropriate, that the consequences of the measure or situation that constituted the breach of such right or freedom be remedied and that fair compensation be paid to the injured party.</w:t>
      </w:r>
      <w:r w:rsidRPr="009D52FD">
        <w:rPr>
          <w:sz w:val="16"/>
          <w:szCs w:val="16"/>
          <w:lang w:val="en-US"/>
        </w:rPr>
        <w:t>”</w:t>
      </w:r>
    </w:p>
  </w:footnote>
  <w:footnote w:id="369">
    <w:p w14:paraId="11C2742C" w14:textId="462DD6FA" w:rsidR="009D52FD" w:rsidRPr="009D52FD" w:rsidRDefault="009D52FD" w:rsidP="008778DD">
      <w:pPr>
        <w:tabs>
          <w:tab w:val="left" w:pos="567"/>
        </w:tabs>
        <w:spacing w:after="60" w:line="240" w:lineRule="auto"/>
        <w:rPr>
          <w:i/>
          <w:sz w:val="16"/>
          <w:szCs w:val="16"/>
          <w:lang w:val="en-US" w:eastAsia="es-PE"/>
        </w:rPr>
      </w:pPr>
      <w:r w:rsidRPr="009D52FD">
        <w:rPr>
          <w:rStyle w:val="FootnoteReference"/>
          <w:rFonts w:eastAsia="Calibri"/>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eastAsia="es-PE"/>
        </w:rPr>
        <w:t xml:space="preserve">Cf. Case of Velásquez Rodríguez v. Honduras. Reparations and costs. </w:t>
      </w:r>
      <w:r w:rsidRPr="009D52FD">
        <w:rPr>
          <w:sz w:val="16"/>
          <w:szCs w:val="16"/>
          <w:lang w:val="en-US" w:eastAsia="es-PE"/>
        </w:rPr>
        <w:t xml:space="preserve">Judgment of July 21, 1989. Series C No. 7, para. 25, and </w:t>
      </w:r>
      <w:r w:rsidRPr="009D52FD">
        <w:rPr>
          <w:i/>
          <w:sz w:val="16"/>
          <w:szCs w:val="16"/>
          <w:lang w:val="en-US" w:eastAsia="es-PE"/>
        </w:rPr>
        <w:t>Case of Coc Max et al. (Xamán Massacre) v. Guatemala</w:t>
      </w:r>
      <w:r w:rsidRPr="009D52FD">
        <w:rPr>
          <w:i/>
          <w:sz w:val="16"/>
          <w:szCs w:val="16"/>
          <w:lang w:val="en-US"/>
        </w:rPr>
        <w:t>, supra</w:t>
      </w:r>
      <w:r w:rsidRPr="009D52FD">
        <w:rPr>
          <w:i/>
          <w:sz w:val="16"/>
          <w:szCs w:val="16"/>
          <w:lang w:val="en-US" w:eastAsia="es-PE"/>
        </w:rPr>
        <w:t xml:space="preserve">, </w:t>
      </w:r>
      <w:r w:rsidRPr="009D52FD">
        <w:rPr>
          <w:sz w:val="16"/>
          <w:szCs w:val="16"/>
          <w:lang w:val="en-US" w:eastAsia="es-PE"/>
        </w:rPr>
        <w:t>para. 143.</w:t>
      </w:r>
    </w:p>
  </w:footnote>
  <w:footnote w:id="370">
    <w:p w14:paraId="6BEF6FD5" w14:textId="209517E6" w:rsidR="009D52FD" w:rsidRPr="009D52FD" w:rsidRDefault="009D52FD" w:rsidP="008778DD">
      <w:pPr>
        <w:tabs>
          <w:tab w:val="left" w:pos="567"/>
        </w:tabs>
        <w:spacing w:after="60" w:line="240" w:lineRule="auto"/>
        <w:rPr>
          <w:i/>
          <w:sz w:val="16"/>
          <w:szCs w:val="16"/>
          <w:lang w:val="en-US" w:eastAsia="es-PE"/>
        </w:rPr>
      </w:pPr>
      <w:r w:rsidRPr="009D52FD">
        <w:rPr>
          <w:rStyle w:val="FootnoteReference"/>
          <w:rFonts w:eastAsia="MS Mincho"/>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eastAsia="es-PE"/>
        </w:rPr>
        <w:t>Cf. Case of Velásquez Rodríguez v. Honduras. Reparations and costs, supra</w:t>
      </w:r>
      <w:r w:rsidRPr="009D52FD">
        <w:rPr>
          <w:sz w:val="16"/>
          <w:szCs w:val="16"/>
          <w:lang w:val="en-US" w:eastAsia="es-PE"/>
        </w:rPr>
        <w:t xml:space="preserve">, paras. 25 and 26, and </w:t>
      </w:r>
      <w:r w:rsidRPr="009D52FD">
        <w:rPr>
          <w:i/>
          <w:sz w:val="16"/>
          <w:szCs w:val="16"/>
          <w:lang w:val="en-US" w:eastAsia="es-PE"/>
        </w:rPr>
        <w:t>Case of Coc Max et al. (Xamán Massacre) v. Guatemala, supra</w:t>
      </w:r>
      <w:r w:rsidRPr="009D52FD">
        <w:rPr>
          <w:sz w:val="16"/>
          <w:szCs w:val="16"/>
          <w:lang w:val="en-US" w:eastAsia="es-PE"/>
        </w:rPr>
        <w:t>, para. 144.</w:t>
      </w:r>
    </w:p>
  </w:footnote>
  <w:footnote w:id="371">
    <w:p w14:paraId="5BA232E4" w14:textId="346F7DBB" w:rsidR="009D52FD" w:rsidRPr="009D52FD" w:rsidRDefault="009D52FD" w:rsidP="008778DD">
      <w:pPr>
        <w:tabs>
          <w:tab w:val="left" w:pos="567"/>
        </w:tabs>
        <w:spacing w:after="60" w:line="240" w:lineRule="auto"/>
        <w:rPr>
          <w:rFonts w:cs="Courier New"/>
          <w:bCs/>
          <w:sz w:val="16"/>
          <w:szCs w:val="16"/>
          <w:lang w:val="en-US"/>
        </w:rPr>
      </w:pPr>
      <w:r w:rsidRPr="009D52FD">
        <w:rPr>
          <w:rStyle w:val="FootnoteReference"/>
          <w:rFonts w:eastAsia="Calibri"/>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bCs/>
          <w:i/>
          <w:sz w:val="16"/>
          <w:szCs w:val="16"/>
          <w:lang w:val="en-US"/>
        </w:rPr>
        <w:t xml:space="preserve"> Case of Cantoral Benavides v. Peru. </w:t>
      </w:r>
      <w:r w:rsidRPr="009D52FD">
        <w:rPr>
          <w:i/>
          <w:sz w:val="16"/>
          <w:szCs w:val="16"/>
          <w:lang w:val="en-US"/>
        </w:rPr>
        <w:t>Reparations and costs</w:t>
      </w:r>
      <w:r w:rsidRPr="009D52FD">
        <w:rPr>
          <w:sz w:val="16"/>
          <w:szCs w:val="16"/>
          <w:lang w:val="en-US"/>
        </w:rPr>
        <w:t xml:space="preserve">. Judgment of December 3, 2001. Series C No. 88, paras. 79 a 81, and </w:t>
      </w:r>
      <w:r w:rsidRPr="009D52FD">
        <w:rPr>
          <w:i/>
          <w:sz w:val="16"/>
          <w:szCs w:val="16"/>
          <w:lang w:val="en-US"/>
        </w:rPr>
        <w:t>Case of Ramírez Escobar et al. v. Guatemala, supra</w:t>
      </w:r>
      <w:r w:rsidRPr="009D52FD">
        <w:rPr>
          <w:sz w:val="16"/>
          <w:szCs w:val="16"/>
          <w:lang w:val="en-US" w:eastAsia="es-PE"/>
        </w:rPr>
        <w:t>, para. 371.</w:t>
      </w:r>
    </w:p>
  </w:footnote>
  <w:footnote w:id="372">
    <w:p w14:paraId="7887400C" w14:textId="5A886045" w:rsidR="009D52FD" w:rsidRPr="009D52FD" w:rsidRDefault="009D52FD" w:rsidP="008778DD">
      <w:pPr>
        <w:tabs>
          <w:tab w:val="left" w:pos="567"/>
        </w:tabs>
        <w:spacing w:after="60" w:line="240" w:lineRule="auto"/>
        <w:rPr>
          <w:bCs/>
          <w:sz w:val="16"/>
          <w:szCs w:val="16"/>
          <w:lang w:val="en-US"/>
        </w:rPr>
      </w:pPr>
      <w:r w:rsidRPr="009D52FD">
        <w:rPr>
          <w:rStyle w:val="FootnoteReference"/>
          <w:rFonts w:eastAsia="Calibri"/>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Case of Ticona Estrada v. Bolivia. Merits, reparations and costs. </w:t>
      </w:r>
      <w:r w:rsidRPr="009D52FD">
        <w:rPr>
          <w:sz w:val="16"/>
          <w:szCs w:val="16"/>
          <w:lang w:val="en-US"/>
        </w:rPr>
        <w:t xml:space="preserve">Judgment of November 27, 2008. Series C No. 191, para. 110, and </w:t>
      </w:r>
      <w:r w:rsidRPr="009D52FD">
        <w:rPr>
          <w:i/>
          <w:sz w:val="16"/>
          <w:szCs w:val="16"/>
          <w:lang w:val="en-US" w:eastAsia="es-PE"/>
        </w:rPr>
        <w:t xml:space="preserve">Case of Coc Max et al. (Xamán Massacre) v. Guatemala, supra, </w:t>
      </w:r>
      <w:r w:rsidRPr="009D52FD">
        <w:rPr>
          <w:sz w:val="16"/>
          <w:szCs w:val="16"/>
          <w:lang w:val="en-US" w:eastAsia="es-PE"/>
        </w:rPr>
        <w:t>para. 144.</w:t>
      </w:r>
    </w:p>
  </w:footnote>
  <w:footnote w:id="373">
    <w:p w14:paraId="77B109C9" w14:textId="30431B82" w:rsidR="009D52FD" w:rsidRPr="009D52FD" w:rsidRDefault="009D52FD" w:rsidP="008778DD">
      <w:pPr>
        <w:pStyle w:val="FootnoteText"/>
        <w:tabs>
          <w:tab w:val="left" w:pos="567"/>
        </w:tabs>
        <w:spacing w:after="60"/>
        <w:rPr>
          <w:i/>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 Case of I.V. v. Bolivia, supra</w:t>
      </w:r>
      <w:r w:rsidRPr="009D52FD">
        <w:rPr>
          <w:sz w:val="16"/>
          <w:szCs w:val="16"/>
          <w:lang w:val="en-US"/>
        </w:rPr>
        <w:t xml:space="preserve">, para. 326, and </w:t>
      </w:r>
      <w:r w:rsidRPr="009D52FD">
        <w:rPr>
          <w:i/>
          <w:sz w:val="16"/>
          <w:szCs w:val="16"/>
          <w:lang w:val="en-US"/>
        </w:rPr>
        <w:t xml:space="preserve">Case of </w:t>
      </w:r>
      <w:r w:rsidRPr="009D52FD">
        <w:rPr>
          <w:rFonts w:cs="Courier New"/>
          <w:i/>
          <w:sz w:val="16"/>
          <w:szCs w:val="16"/>
          <w:lang w:val="en-US"/>
        </w:rPr>
        <w:t>V.R.P., V.P.C. et al. v. Nicaragua</w:t>
      </w:r>
      <w:r w:rsidRPr="009D52FD">
        <w:rPr>
          <w:i/>
          <w:sz w:val="16"/>
          <w:szCs w:val="16"/>
          <w:lang w:val="en-US"/>
        </w:rPr>
        <w:t>, supra</w:t>
      </w:r>
      <w:r w:rsidRPr="009D52FD">
        <w:rPr>
          <w:rFonts w:cs="Courier New"/>
          <w:sz w:val="16"/>
          <w:szCs w:val="16"/>
          <w:lang w:val="en-US"/>
        </w:rPr>
        <w:t>, para. 337</w:t>
      </w:r>
      <w:r w:rsidRPr="009D52FD">
        <w:rPr>
          <w:sz w:val="16"/>
          <w:szCs w:val="16"/>
          <w:lang w:val="en-US"/>
        </w:rPr>
        <w:t>.</w:t>
      </w:r>
    </w:p>
  </w:footnote>
  <w:footnote w:id="374">
    <w:p w14:paraId="5DD166EB" w14:textId="3530A320" w:rsidR="009D52FD" w:rsidRPr="009D52FD" w:rsidRDefault="009D52FD" w:rsidP="008778DD">
      <w:pPr>
        <w:pStyle w:val="FootnoteText"/>
        <w:tabs>
          <w:tab w:val="left" w:pos="567"/>
          <w:tab w:val="left" w:pos="709"/>
        </w:tabs>
        <w:spacing w:after="60"/>
        <w:rPr>
          <w:i/>
          <w:sz w:val="16"/>
          <w:szCs w:val="16"/>
          <w:lang w:val="en-US" w:eastAsia="es-PE"/>
        </w:rPr>
      </w:pPr>
      <w:r w:rsidRPr="009D52FD">
        <w:rPr>
          <w:rStyle w:val="FootnoteReference"/>
          <w:rFonts w:eastAsia="Calibri"/>
          <w:sz w:val="16"/>
          <w:szCs w:val="16"/>
          <w:lang w:val="en-US"/>
        </w:rPr>
        <w:footnoteRef/>
      </w:r>
      <w:r w:rsidRPr="009D52FD">
        <w:rPr>
          <w:rFonts w:cs="Verdana"/>
          <w:bCs/>
          <w:i/>
          <w:sz w:val="16"/>
          <w:szCs w:val="16"/>
          <w:lang w:val="en-US"/>
        </w:rPr>
        <w:tab/>
      </w:r>
      <w:r w:rsidRPr="009D52FD">
        <w:rPr>
          <w:i/>
          <w:sz w:val="16"/>
          <w:szCs w:val="16"/>
          <w:lang w:val="en-US"/>
        </w:rPr>
        <w:t>Cf.</w:t>
      </w:r>
      <w:r w:rsidRPr="009D52FD">
        <w:rPr>
          <w:bCs/>
          <w:i/>
          <w:sz w:val="16"/>
          <w:szCs w:val="16"/>
          <w:lang w:val="en-US"/>
        </w:rPr>
        <w:t xml:space="preserve"> Case of Velásquez Rodríguez v. Honduras. </w:t>
      </w:r>
      <w:r w:rsidRPr="009D52FD">
        <w:rPr>
          <w:i/>
          <w:sz w:val="16"/>
          <w:szCs w:val="16"/>
          <w:lang w:val="en-US"/>
        </w:rPr>
        <w:t>Reparations and costs</w:t>
      </w:r>
      <w:r w:rsidRPr="009D52FD">
        <w:rPr>
          <w:sz w:val="16"/>
          <w:szCs w:val="16"/>
          <w:lang w:val="en-US"/>
        </w:rPr>
        <w:t xml:space="preserve">, </w:t>
      </w:r>
      <w:r w:rsidRPr="009D52FD">
        <w:rPr>
          <w:i/>
          <w:sz w:val="16"/>
          <w:szCs w:val="16"/>
          <w:lang w:val="en-US"/>
        </w:rPr>
        <w:t>supra</w:t>
      </w:r>
      <w:r w:rsidRPr="009D52FD">
        <w:rPr>
          <w:sz w:val="16"/>
          <w:szCs w:val="16"/>
          <w:lang w:val="en-US"/>
        </w:rPr>
        <w:t xml:space="preserve">, paras. 25 to 27, and </w:t>
      </w:r>
      <w:r w:rsidRPr="009D52FD">
        <w:rPr>
          <w:i/>
          <w:sz w:val="16"/>
          <w:szCs w:val="16"/>
          <w:lang w:val="en-US" w:eastAsia="es-PE"/>
        </w:rPr>
        <w:t>Case of Coc Max et al. (Xamán Massacre) v. Guatemala, supra</w:t>
      </w:r>
      <w:r w:rsidRPr="009D52FD">
        <w:rPr>
          <w:sz w:val="16"/>
          <w:szCs w:val="16"/>
          <w:lang w:val="en-US" w:eastAsia="es-PE"/>
        </w:rPr>
        <w:t>,</w:t>
      </w:r>
      <w:r w:rsidRPr="009D52FD">
        <w:rPr>
          <w:i/>
          <w:sz w:val="16"/>
          <w:szCs w:val="16"/>
          <w:lang w:val="en-US" w:eastAsia="es-PE"/>
        </w:rPr>
        <w:t xml:space="preserve"> </w:t>
      </w:r>
      <w:r w:rsidRPr="009D52FD">
        <w:rPr>
          <w:sz w:val="16"/>
          <w:szCs w:val="16"/>
          <w:lang w:val="en-US" w:eastAsia="es-PE"/>
        </w:rPr>
        <w:t>para. 145.</w:t>
      </w:r>
    </w:p>
  </w:footnote>
  <w:footnote w:id="375">
    <w:p w14:paraId="03177081" w14:textId="30C032FE" w:rsidR="009D52FD" w:rsidRPr="009D52FD" w:rsidRDefault="009D52FD" w:rsidP="00A80A9C">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Deceased on January 2,</w:t>
      </w:r>
      <w:r w:rsidRPr="009D52FD">
        <w:rPr>
          <w:rFonts w:eastAsia="Verdana" w:cs="Verdana"/>
          <w:sz w:val="16"/>
          <w:szCs w:val="16"/>
          <w:lang w:val="en-US"/>
        </w:rPr>
        <w:t xml:space="preserve"> 2013. </w:t>
      </w:r>
      <w:r w:rsidRPr="009D52FD">
        <w:rPr>
          <w:i/>
          <w:sz w:val="16"/>
          <w:szCs w:val="16"/>
          <w:lang w:val="en-US"/>
        </w:rPr>
        <w:t>Cf.</w:t>
      </w:r>
      <w:r w:rsidRPr="009D52FD">
        <w:rPr>
          <w:sz w:val="16"/>
          <w:szCs w:val="16"/>
          <w:lang w:val="en-US"/>
        </w:rPr>
        <w:t xml:space="preserve"> Death certificate of Gerson José López Soto of January 3, 2013 (evidence file, volume XIII, annex 1A to the pleadings and motions brief, folio 8028).</w:t>
      </w:r>
    </w:p>
  </w:footnote>
  <w:footnote w:id="376">
    <w:p w14:paraId="7BAB168F" w14:textId="64FDE2A5"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rFonts w:cs="Courier New"/>
          <w:i/>
          <w:sz w:val="16"/>
          <w:szCs w:val="16"/>
          <w:lang w:val="en-US"/>
        </w:rPr>
        <w:t>Case of Barrios Altos v. Peru. Reparations and costs.</w:t>
      </w:r>
      <w:r w:rsidRPr="009D52FD">
        <w:rPr>
          <w:rFonts w:cs="Courier New"/>
          <w:sz w:val="16"/>
          <w:szCs w:val="16"/>
          <w:lang w:val="en-US"/>
        </w:rPr>
        <w:t xml:space="preserve"> Judgment of November 30, 2001. Series C No. 87, </w:t>
      </w:r>
      <w:r w:rsidRPr="009D52FD">
        <w:rPr>
          <w:sz w:val="16"/>
          <w:szCs w:val="16"/>
          <w:lang w:val="en-US"/>
        </w:rPr>
        <w:t xml:space="preserve">paras. 42 and 45; </w:t>
      </w:r>
      <w:r w:rsidRPr="009D52FD">
        <w:rPr>
          <w:i/>
          <w:sz w:val="16"/>
          <w:szCs w:val="16"/>
          <w:lang w:val="en-US"/>
        </w:rPr>
        <w:t>Case of</w:t>
      </w:r>
      <w:r w:rsidRPr="009D52FD">
        <w:rPr>
          <w:sz w:val="16"/>
          <w:szCs w:val="16"/>
          <w:lang w:val="en-US"/>
        </w:rPr>
        <w:t xml:space="preserve"> </w:t>
      </w:r>
      <w:r w:rsidRPr="009D52FD">
        <w:rPr>
          <w:i/>
          <w:sz w:val="16"/>
          <w:szCs w:val="16"/>
          <w:lang w:val="en-US"/>
        </w:rPr>
        <w:t>Fernández Ortega et al. v. Mexico, supra</w:t>
      </w:r>
      <w:r w:rsidRPr="009D52FD">
        <w:rPr>
          <w:sz w:val="16"/>
          <w:szCs w:val="16"/>
          <w:lang w:val="en-US"/>
        </w:rPr>
        <w:t xml:space="preserve">, para. 251, and </w:t>
      </w:r>
      <w:r w:rsidRPr="009D52FD">
        <w:rPr>
          <w:i/>
          <w:sz w:val="16"/>
          <w:szCs w:val="16"/>
          <w:lang w:val="en-US"/>
        </w:rPr>
        <w:t>Case of I.V. v. Bolivia, supra</w:t>
      </w:r>
      <w:r w:rsidRPr="009D52FD">
        <w:rPr>
          <w:sz w:val="16"/>
          <w:szCs w:val="16"/>
          <w:lang w:val="en-US"/>
        </w:rPr>
        <w:t>, para. 332.</w:t>
      </w:r>
    </w:p>
  </w:footnote>
  <w:footnote w:id="377">
    <w:p w14:paraId="6D8D69E7" w14:textId="21467F42"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Expert opinion provided by Rossana Margarita Ramírez Velasco on January 22, 2018 (evidence file, volume XLIV, affidavits, folio 31217), and Statement made by Paulina Soto Chaustre (evidence file, volume XLIV, affidavits, folios 31028 and 31029).</w:t>
      </w:r>
    </w:p>
  </w:footnote>
  <w:footnote w:id="378">
    <w:p w14:paraId="6524A9CB" w14:textId="769D1E14"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Expert opinion provided by Rossana Margarita Ramírez Velasco on January 22, 2018 (evidence file, volume XLIV, affidavits, folios 31207 to 31221).</w:t>
      </w:r>
    </w:p>
  </w:footnote>
  <w:footnote w:id="379">
    <w:p w14:paraId="4A92B9B8" w14:textId="683674D7"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 Case of the Yakye Axa Indigenous Community v. Paraguay. Merits, reparations and costs.</w:t>
      </w:r>
      <w:r w:rsidRPr="009D52FD">
        <w:rPr>
          <w:sz w:val="16"/>
          <w:szCs w:val="16"/>
          <w:lang w:val="en-US"/>
        </w:rPr>
        <w:t xml:space="preserve"> Judgment of June 17, 2005. Series C No. 125, para. 227, and </w:t>
      </w:r>
      <w:r w:rsidRPr="009D52FD">
        <w:rPr>
          <w:i/>
          <w:sz w:val="16"/>
          <w:szCs w:val="16"/>
          <w:lang w:val="en-US"/>
        </w:rPr>
        <w:t>Case of Amrhein et al. v. Costa Rica, supra</w:t>
      </w:r>
      <w:r w:rsidRPr="009D52FD">
        <w:rPr>
          <w:sz w:val="16"/>
          <w:szCs w:val="16"/>
          <w:lang w:val="en-US"/>
        </w:rPr>
        <w:t>, para. 474.</w:t>
      </w:r>
    </w:p>
  </w:footnote>
  <w:footnote w:id="380">
    <w:p w14:paraId="697F9362" w14:textId="77777777" w:rsidR="009D52FD" w:rsidRPr="009D52FD" w:rsidRDefault="009D52FD" w:rsidP="00070FB9">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 Case of the “Street Children” (Villagrán Morales et al.) v. Guatemala. Reparations and costs.</w:t>
      </w:r>
      <w:r w:rsidRPr="009D52FD">
        <w:rPr>
          <w:sz w:val="16"/>
          <w:szCs w:val="16"/>
          <w:lang w:val="en-US"/>
        </w:rPr>
        <w:t xml:space="preserve"> Judgment of May 26, 2001. Series C No. 77, para. 84, and </w:t>
      </w:r>
      <w:r w:rsidRPr="009D52FD">
        <w:rPr>
          <w:i/>
          <w:sz w:val="16"/>
          <w:szCs w:val="16"/>
          <w:lang w:val="en-US"/>
        </w:rPr>
        <w:t>Case of Ortiz Hernández et al. v. Venezuela, supra</w:t>
      </w:r>
      <w:r w:rsidRPr="009D52FD">
        <w:rPr>
          <w:sz w:val="16"/>
          <w:szCs w:val="16"/>
          <w:lang w:val="en-US"/>
        </w:rPr>
        <w:t>, para. 209.</w:t>
      </w:r>
    </w:p>
  </w:footnote>
  <w:footnote w:id="381">
    <w:p w14:paraId="4AE3F3D8" w14:textId="77777777" w:rsidR="009D52FD" w:rsidRPr="009D52FD" w:rsidRDefault="009D52FD" w:rsidP="00070FB9">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 Case of Rodríguez Vera et al. (Disappeared from the Palace of Justice) v. Colombia, supra</w:t>
      </w:r>
      <w:r w:rsidRPr="009D52FD">
        <w:rPr>
          <w:sz w:val="16"/>
          <w:szCs w:val="16"/>
          <w:lang w:val="en-US"/>
        </w:rPr>
        <w:t xml:space="preserve">, para. 576, and </w:t>
      </w:r>
      <w:r w:rsidRPr="009D52FD">
        <w:rPr>
          <w:i/>
          <w:sz w:val="16"/>
          <w:szCs w:val="16"/>
          <w:lang w:val="en-US"/>
        </w:rPr>
        <w:t>Case of Ortiz Hernández et al. v. Venezuela, supra</w:t>
      </w:r>
      <w:r w:rsidRPr="009D52FD">
        <w:rPr>
          <w:sz w:val="16"/>
          <w:szCs w:val="16"/>
          <w:lang w:val="en-US"/>
        </w:rPr>
        <w:t>, para. 209.</w:t>
      </w:r>
    </w:p>
  </w:footnote>
  <w:footnote w:id="382">
    <w:p w14:paraId="3F7791D8" w14:textId="77777777" w:rsidR="009D52FD" w:rsidRPr="009D52FD" w:rsidRDefault="009D52FD" w:rsidP="00070FB9">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 Case of the “Street Children” (Villagrán Morales et al.) v. Guatemala. Reparations and costs, supra</w:t>
      </w:r>
      <w:r w:rsidRPr="009D52FD">
        <w:rPr>
          <w:sz w:val="16"/>
          <w:szCs w:val="16"/>
          <w:lang w:val="en-US"/>
        </w:rPr>
        <w:t xml:space="preserve">, para. 209, and </w:t>
      </w:r>
      <w:r w:rsidRPr="009D52FD">
        <w:rPr>
          <w:i/>
          <w:sz w:val="16"/>
          <w:szCs w:val="16"/>
          <w:lang w:val="en-US"/>
        </w:rPr>
        <w:t>Case of Ortiz Hernández et al. v. Venezuela, supra</w:t>
      </w:r>
      <w:r w:rsidRPr="009D52FD">
        <w:rPr>
          <w:sz w:val="16"/>
          <w:szCs w:val="16"/>
          <w:lang w:val="en-US"/>
        </w:rPr>
        <w:t>, para. 209.</w:t>
      </w:r>
    </w:p>
  </w:footnote>
  <w:footnote w:id="383">
    <w:p w14:paraId="6D60BD90" w14:textId="0B959C50"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Expert opinion provided by Rossana Margarita Ramírez Velasco on January 22, 2018 (evidence file, volume XLIV, affidavits, folio 31217).</w:t>
      </w:r>
    </w:p>
  </w:footnote>
  <w:footnote w:id="384">
    <w:p w14:paraId="33553EDD" w14:textId="0E024A20"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Expert opinion provided by Rossana Margarita Ramírez Velasco on January 22, 2018 (evidence file, volume XLIV, affidavits, folio 31218).</w:t>
      </w:r>
    </w:p>
  </w:footnote>
  <w:footnote w:id="385">
    <w:p w14:paraId="6859805F" w14:textId="44D5D34E"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Expert witness Ramírez Velasco mentioned the words of José Isidro, who “stopped studying owing to the absence of financial resources”; and also the words of Nelson Enrique, that “he did not pass fifth grade owing to the family situation at the time”; and of Anyi Karina who stated that she “lost the first year because sometimes there was no money to pay even for the paper for the exams” and, finally, the words of Diana Carolina that she “wanted to study medicine, but with Linda’s court proceedings, it was not possible.” Expert opinion provided by Rossana Margarita Ramírez Velasco on January 22, 2018 (evidence file, volume XLIV, affidavits, folios 31218 to 31219).</w:t>
      </w:r>
    </w:p>
  </w:footnote>
  <w:footnote w:id="386">
    <w:p w14:paraId="4C9E9F6B" w14:textId="06365E8D"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Expert opinion provided by Rossana Margarita Ramírez Velasco on January 22, 2018 (evidence file, volume XLIV, affidavits, folio 31214).</w:t>
      </w:r>
    </w:p>
  </w:footnote>
  <w:footnote w:id="387">
    <w:p w14:paraId="7C569CB7" w14:textId="59A0F40A"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Statement made by Ana Secilia López Soto during the public hearing before the Inter-American Court on February 6, 2018.</w:t>
      </w:r>
    </w:p>
  </w:footnote>
  <w:footnote w:id="388">
    <w:p w14:paraId="21C7184F" w14:textId="53EE3494"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sz w:val="16"/>
          <w:szCs w:val="16"/>
          <w:lang w:val="en-US"/>
        </w:rPr>
        <w:t>Statement made by Anyi Karina López Soto (evidence file, volume XLIV, affidavits, folio 31062).</w:t>
      </w:r>
    </w:p>
  </w:footnote>
  <w:footnote w:id="389">
    <w:p w14:paraId="6DFC640A" w14:textId="43C76B5D"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Affidavit made by Diana Carolina López Soto on January 18, 2018 (evidence file, volume XLIV, affidavits, folio 31048); Statement made by Anyi Karina López Soto (evidence file, volume XLIV, affidavits, folio 31064); Statement made by Nelson Enrique López Soto (evidence file, volume XLIV, affidavits, folio 31078), and Statement made by Elith Johana López Soto (evidence file, volume XLIV, affidavits, folios 31083 and 31084).</w:t>
      </w:r>
    </w:p>
  </w:footnote>
  <w:footnote w:id="390">
    <w:p w14:paraId="6F7593E3" w14:textId="77777777" w:rsidR="009D52FD" w:rsidRPr="009D52FD" w:rsidRDefault="009D52FD" w:rsidP="00A10CF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 Case of the Gómez Paquiyauri Brothers v. Peru. Merits, reparations and costs.</w:t>
      </w:r>
      <w:r w:rsidRPr="009D52FD">
        <w:rPr>
          <w:sz w:val="16"/>
          <w:szCs w:val="16"/>
          <w:lang w:val="en-US"/>
        </w:rPr>
        <w:t xml:space="preserve"> Judgment of July 8, 2004. Series C No. 110, para. 237, and </w:t>
      </w:r>
      <w:r w:rsidRPr="009D52FD">
        <w:rPr>
          <w:i/>
          <w:sz w:val="16"/>
          <w:szCs w:val="16"/>
          <w:lang w:val="en-US"/>
        </w:rPr>
        <w:t>Case of Ruano Torres et al. v. El Salvador, supra</w:t>
      </w:r>
      <w:r w:rsidRPr="009D52FD">
        <w:rPr>
          <w:sz w:val="16"/>
          <w:szCs w:val="16"/>
          <w:lang w:val="en-US"/>
        </w:rPr>
        <w:t>, para. 219.</w:t>
      </w:r>
    </w:p>
  </w:footnote>
  <w:footnote w:id="391">
    <w:p w14:paraId="44302D37" w14:textId="77777777" w:rsidR="009D52FD" w:rsidRPr="009D52FD" w:rsidRDefault="009D52FD" w:rsidP="00867E8F">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 Case of the Gómez Paquiyauri Brothers v. Peru, supra</w:t>
      </w:r>
      <w:r w:rsidRPr="009D52FD">
        <w:rPr>
          <w:sz w:val="16"/>
          <w:szCs w:val="16"/>
          <w:lang w:val="en-US"/>
        </w:rPr>
        <w:t xml:space="preserve">, para. 237, and </w:t>
      </w:r>
      <w:r w:rsidRPr="009D52FD">
        <w:rPr>
          <w:i/>
          <w:sz w:val="16"/>
          <w:szCs w:val="16"/>
          <w:lang w:val="en-US"/>
        </w:rPr>
        <w:t>Case of Ruano Torres et al. v. El Salvador, supra</w:t>
      </w:r>
      <w:r w:rsidRPr="009D52FD">
        <w:rPr>
          <w:sz w:val="16"/>
          <w:szCs w:val="16"/>
          <w:lang w:val="en-US"/>
        </w:rPr>
        <w:t>, para. 219.</w:t>
      </w:r>
    </w:p>
  </w:footnote>
  <w:footnote w:id="392">
    <w:p w14:paraId="09A809E0" w14:textId="0EA2C061"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Affidavit made by Diana Carolina López Soto on January 18, 2018 (evidence file, volume XLIV, affidavits, folio 31035).</w:t>
      </w:r>
    </w:p>
  </w:footnote>
  <w:footnote w:id="393">
    <w:p w14:paraId="0E8F8702" w14:textId="05F224A4"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Organic Law on the Right of Women to a Life Free of Violence, Official Gazette No. 38,668, of April 23, 2007</w:t>
      </w:r>
      <w:r w:rsidRPr="009D52FD">
        <w:rPr>
          <w:i/>
          <w:sz w:val="16"/>
          <w:szCs w:val="16"/>
          <w:lang w:val="en-US"/>
        </w:rPr>
        <w:t xml:space="preserve"> </w:t>
      </w:r>
      <w:r w:rsidRPr="009D52FD">
        <w:rPr>
          <w:sz w:val="16"/>
          <w:szCs w:val="16"/>
          <w:lang w:val="en-US"/>
        </w:rPr>
        <w:t>(evidence file, volume XIII, annex 2H to the pleadings and motions brief, folios 8458 to 8498).</w:t>
      </w:r>
    </w:p>
  </w:footnote>
  <w:footnote w:id="394">
    <w:p w14:paraId="333B06C8" w14:textId="4C0F772C"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Law amending the Organic Law on the Right of Women to a Life Free of Violence, Official Gazette No. 40,548, of November 25, 2014, Chapter IV </w:t>
      </w:r>
      <w:r w:rsidRPr="009D52FD">
        <w:rPr>
          <w:i/>
          <w:sz w:val="16"/>
          <w:szCs w:val="16"/>
          <w:lang w:val="en-US"/>
        </w:rPr>
        <w:t xml:space="preserve">Public prevention policies </w:t>
      </w:r>
      <w:r w:rsidRPr="009D52FD">
        <w:rPr>
          <w:sz w:val="16"/>
          <w:szCs w:val="16"/>
          <w:lang w:val="en-US"/>
        </w:rPr>
        <w:t>(evidence file, volume XIII, annex 2I to the pleadings and motions brief, folio 8508).</w:t>
      </w:r>
    </w:p>
  </w:footnote>
  <w:footnote w:id="395">
    <w:p w14:paraId="7A800330" w14:textId="3F1636EE"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National report presented by the Bolivarian Republic of Venezuela to the United Nations Human Rights Council, A/HRC/WG.6/26/VEN/1, August 22, 2016 (evidence file, volume XVI, annex 5B to the pleadings and motions brief, folio 11420), and Affidavit made by Merelis Pérez Marcano on January 24, 2018 (evidence file, volume XLIV, affidavits, folio 31008).</w:t>
      </w:r>
    </w:p>
  </w:footnote>
  <w:footnote w:id="396">
    <w:p w14:paraId="1C075528" w14:textId="6673C318"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i/>
          <w:sz w:val="16"/>
          <w:szCs w:val="16"/>
          <w:lang w:val="en-US"/>
        </w:rPr>
        <w:t xml:space="preserve"> </w:t>
      </w:r>
      <w:r w:rsidRPr="009D52FD">
        <w:rPr>
          <w:i/>
          <w:sz w:val="16"/>
          <w:szCs w:val="16"/>
          <w:lang w:val="en-US"/>
        </w:rPr>
        <w:tab/>
        <w:t>Cf.</w:t>
      </w:r>
      <w:r w:rsidRPr="009D52FD">
        <w:rPr>
          <w:sz w:val="16"/>
          <w:szCs w:val="16"/>
          <w:lang w:val="en-US"/>
        </w:rPr>
        <w:t xml:space="preserve"> Affidavit made by Merelis Pérez Marcano on January 24, 2018 (evidence file, volume XLIV, affidavits, folios 31010 and 31011). See also, National report presented by the Bolivarian Republic of Venezuela to the United Nations Human Rights Council, A/HRC/WG.6/26/VEN/1, of August 22, 2016 (evidence file, volume XVI, annex 5B to the pleadings and motions brief, folio 11420).</w:t>
      </w:r>
    </w:p>
  </w:footnote>
  <w:footnote w:id="397">
    <w:p w14:paraId="605A97CD" w14:textId="4086615A"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Affidavit made by Merelis Pérez Marcano on January 24, 2018 (evidence file, volume XLIV, affidavits, folios 31010 and 31011).</w:t>
      </w:r>
    </w:p>
  </w:footnote>
  <w:footnote w:id="398">
    <w:p w14:paraId="0E7E7D20" w14:textId="79DC5D18"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Amnesty International, </w:t>
      </w:r>
      <w:r w:rsidRPr="009D52FD">
        <w:rPr>
          <w:i/>
          <w:sz w:val="16"/>
          <w:szCs w:val="16"/>
          <w:lang w:val="en-US"/>
        </w:rPr>
        <w:t>The Law is there let’s use it. Ending domestic violence in Venezuela</w:t>
      </w:r>
      <w:r w:rsidRPr="009D52FD">
        <w:rPr>
          <w:sz w:val="16"/>
          <w:szCs w:val="16"/>
          <w:lang w:val="en-US"/>
        </w:rPr>
        <w:t xml:space="preserve">. AMR/53/001/2008, of July 2008 (evidence file, volume XVI, annex 4R to the pleadings and motions brief, folio 11104); Inter-American Commission on Human Rights, </w:t>
      </w:r>
      <w:r w:rsidRPr="009D52FD">
        <w:rPr>
          <w:i/>
          <w:sz w:val="16"/>
          <w:szCs w:val="16"/>
          <w:lang w:val="en-US"/>
        </w:rPr>
        <w:t xml:space="preserve">Democracy and Human Rights in Venezuela, </w:t>
      </w:r>
      <w:r w:rsidRPr="009D52FD">
        <w:rPr>
          <w:sz w:val="16"/>
          <w:szCs w:val="16"/>
          <w:lang w:val="en-US"/>
        </w:rPr>
        <w:t xml:space="preserve">OEA/Ser.L/V/II. Doc. 54, of December 30, 2009, paras. 945 to 948 (evidence file, volume VII, annexes to the representatives’ brief on merits before the IACHR, folios 4508 and 4509); UN, Committee on the Elimination of Discrimination against Women, </w:t>
      </w:r>
      <w:r w:rsidRPr="009D52FD">
        <w:rPr>
          <w:i/>
          <w:sz w:val="16"/>
          <w:szCs w:val="16"/>
          <w:lang w:val="en-US"/>
        </w:rPr>
        <w:t>Concluding observations on the combined seventh and eighth periodic reports of the Bolivarian Republic of Venezuela,</w:t>
      </w:r>
      <w:r w:rsidRPr="009D52FD">
        <w:rPr>
          <w:sz w:val="16"/>
          <w:szCs w:val="16"/>
          <w:lang w:val="en-US"/>
        </w:rPr>
        <w:t xml:space="preserve"> CEDAW/C/VEN/CO/7-8, November 14, 2014, para. 18 (evidence file, annex 4b to the pleadings and motions brief, volume XVI, folio 10727), and </w:t>
      </w:r>
      <w:r w:rsidRPr="009D52FD">
        <w:rPr>
          <w:rFonts w:eastAsiaTheme="minorHAnsi" w:cstheme="minorBidi"/>
          <w:sz w:val="16"/>
          <w:szCs w:val="16"/>
          <w:lang w:val="en-US" w:eastAsia="en-US"/>
        </w:rPr>
        <w:t>Amnesty International,</w:t>
      </w:r>
      <w:r w:rsidRPr="009D52FD">
        <w:rPr>
          <w:rFonts w:eastAsiaTheme="minorHAnsi" w:cstheme="minorBidi"/>
          <w:i/>
          <w:sz w:val="16"/>
          <w:szCs w:val="16"/>
          <w:lang w:val="en-US" w:eastAsia="en-US"/>
        </w:rPr>
        <w:t xml:space="preserve"> Report 2015/2016: The State of the World’s Human Rights. </w:t>
      </w:r>
      <w:r w:rsidRPr="009D52FD">
        <w:rPr>
          <w:rFonts w:eastAsiaTheme="minorHAnsi" w:cstheme="minorBidi"/>
          <w:sz w:val="16"/>
          <w:szCs w:val="16"/>
          <w:lang w:val="en-US" w:eastAsia="en-US"/>
        </w:rPr>
        <w:t>POL 10/2552/2016, of February 23, 2016 (evidence file, volume XVI, annex 4L to the pleadings and motions brief, folios 11031 and 11032).</w:t>
      </w:r>
    </w:p>
  </w:footnote>
  <w:footnote w:id="399">
    <w:p w14:paraId="2592EC73" w14:textId="29F3BB35"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Law amending the Organic Law on the Right of Women to a Life Free of Violence, Official Gazette No. 40,548, of November 25, 2014, Chapter IV, article 21.7</w:t>
      </w:r>
      <w:r w:rsidRPr="009D52FD">
        <w:rPr>
          <w:i/>
          <w:sz w:val="16"/>
          <w:szCs w:val="16"/>
          <w:lang w:val="en-US"/>
        </w:rPr>
        <w:t xml:space="preserve"> </w:t>
      </w:r>
      <w:r w:rsidRPr="009D52FD">
        <w:rPr>
          <w:sz w:val="16"/>
          <w:szCs w:val="16"/>
          <w:lang w:val="en-US"/>
        </w:rPr>
        <w:t>(evidence file, volume XIII, annex 2I to the pleadings and motions brief, folio 8509).</w:t>
      </w:r>
    </w:p>
  </w:footnote>
  <w:footnote w:id="400">
    <w:p w14:paraId="1085B79F" w14:textId="05986986"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Amnesty International, </w:t>
      </w:r>
      <w:r w:rsidRPr="009D52FD">
        <w:rPr>
          <w:i/>
          <w:sz w:val="16"/>
          <w:szCs w:val="16"/>
          <w:lang w:val="en-US"/>
        </w:rPr>
        <w:t>The Law is there let’s use it. Ending domestic violence in Venezuela</w:t>
      </w:r>
      <w:r w:rsidRPr="009D52FD">
        <w:rPr>
          <w:sz w:val="16"/>
          <w:szCs w:val="16"/>
          <w:lang w:val="en-US"/>
        </w:rPr>
        <w:t xml:space="preserve">. AMR/53/001/2008, of July 2008 (evidence file, volume XVI, annex 4R to the pleadings and motions brief, folio 11104. Observatorio Venezolano de los Derechos de las Mujeres. </w:t>
      </w:r>
      <w:r w:rsidRPr="009D52FD">
        <w:rPr>
          <w:i/>
          <w:sz w:val="16"/>
          <w:szCs w:val="16"/>
          <w:lang w:val="en-US"/>
        </w:rPr>
        <w:t xml:space="preserve">Report on the Bolivarian Republic of Venezuela – Twelfth session of the Universal Periodic Review </w:t>
      </w:r>
      <w:r w:rsidRPr="009D52FD">
        <w:rPr>
          <w:sz w:val="16"/>
          <w:szCs w:val="16"/>
          <w:lang w:val="en-US"/>
        </w:rPr>
        <w:t xml:space="preserve">– October 2011, March 2011 (evidence file, volume XII, annex 108 to the Merits Report, folio 7989), and AVESA, Asociación Civil Mujeres en Línea, Centro de Justicia and Paz and FREYA: </w:t>
      </w:r>
      <w:r w:rsidRPr="009D52FD">
        <w:rPr>
          <w:i/>
          <w:sz w:val="16"/>
          <w:szCs w:val="16"/>
          <w:lang w:val="en-US"/>
        </w:rPr>
        <w:t>Mujeres al límite. El peso de la emergencia humanitaria: vulneración de derechos humanos de las mujeres en Venezuela</w:t>
      </w:r>
      <w:r w:rsidRPr="009D52FD">
        <w:rPr>
          <w:sz w:val="16"/>
          <w:szCs w:val="16"/>
          <w:lang w:val="en-US"/>
        </w:rPr>
        <w:t>, November 2017, paragraph 3.1 (evidence file, volume XLV, annexes to the final arguments, folio 31302).</w:t>
      </w:r>
    </w:p>
  </w:footnote>
  <w:footnote w:id="401">
    <w:p w14:paraId="74E1F8F2" w14:textId="2E5A7A94"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According to the State’s final arguments, currently a total of 91 courts with jurisdiction for crimes of violence against women were functioning and there were also 108 special public prosecution offices. In this regard the expert witness proposed by the State, Carmen Zuleta de Merchán, indicated that, currently, there were 79 trial courts and seven appellate courts, all specialized in gender-related matters and distributed throughout Venezuelan territory. Meanwhile, a 2016 report prepared by the Venezuelan authorities, which was submitted to the United Nations Human Rights Council indicated that, at that time, there were 78 courts and 69 public prosecution offices specializing in gender-related matters. </w:t>
      </w:r>
      <w:r w:rsidRPr="009D52FD">
        <w:rPr>
          <w:i/>
          <w:sz w:val="16"/>
          <w:szCs w:val="16"/>
          <w:lang w:val="en-US"/>
        </w:rPr>
        <w:t>Cf.</w:t>
      </w:r>
      <w:r w:rsidRPr="009D52FD">
        <w:rPr>
          <w:sz w:val="16"/>
          <w:szCs w:val="16"/>
          <w:lang w:val="en-US"/>
        </w:rPr>
        <w:t xml:space="preserve"> Affidavit made by Carmen Zuleta de Merchán on January 23, 2018 (evidence file, volume XLIV, affidavits, folio 30996), and National report presented by the Bolivarian Republic of Venezuela to the United Nations Human Rights Council, A/HRC/WG.6/26/VEN/1, of August 22, 2016 (evidence file, volume XVI, annex 5B to the pleadings and motions brief, folio 11420).</w:t>
      </w:r>
    </w:p>
  </w:footnote>
  <w:footnote w:id="402">
    <w:p w14:paraId="1C183FDF" w14:textId="59B0E089"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Law amending the Organic Law on the Right of Women to a Life Free of Violence, Official Gazette No. 40,548, of November 25, 2014, articles 119 and 120 (evidence file, volume XIII, annex 2I to the pleadings and motions brief, folio 8516).</w:t>
      </w:r>
    </w:p>
  </w:footnote>
  <w:footnote w:id="403">
    <w:p w14:paraId="69570D79" w14:textId="10038025"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Law amending the Organic Law on the Right of Women to a Life Free of Violence, Official Gazette No. 40,548, of November 25, 2014, articles 124 and 125 (evidence file, volume XIII, annex 2I to the pleadings and motions brief, folio 8516).</w:t>
      </w:r>
    </w:p>
  </w:footnote>
  <w:footnote w:id="404">
    <w:p w14:paraId="4BACD564" w14:textId="6B9DB8F3"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Affidavit made by Carmen Zuleta de Merchán on January 23, 2018 (evidence file, volume XLIV, affidavits, folio 30996).</w:t>
      </w:r>
    </w:p>
  </w:footnote>
  <w:footnote w:id="405">
    <w:p w14:paraId="40832F86" w14:textId="43C52748"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AVESA, Asociación Civil Mujeres en Línea, Centro de Justicia and Paz and FREYA: </w:t>
      </w:r>
      <w:r w:rsidRPr="009D52FD">
        <w:rPr>
          <w:i/>
          <w:sz w:val="16"/>
          <w:szCs w:val="16"/>
          <w:lang w:val="en-US"/>
        </w:rPr>
        <w:t xml:space="preserve">Mujeres al límite. El peso de la emergencia humanitaria: vulneración de derechos humanos de las mujeres en Venezuela </w:t>
      </w:r>
      <w:r w:rsidRPr="009D52FD">
        <w:rPr>
          <w:iCs/>
          <w:sz w:val="16"/>
          <w:szCs w:val="16"/>
          <w:lang w:val="en-US"/>
        </w:rPr>
        <w:t>[Women on the brink. The weight of the humanitarian emergency: violation of women’s human rights in Venezuela]</w:t>
      </w:r>
      <w:r w:rsidRPr="009D52FD">
        <w:rPr>
          <w:sz w:val="16"/>
          <w:szCs w:val="16"/>
          <w:lang w:val="en-US"/>
        </w:rPr>
        <w:t>, November 2017, paragraph 3.1 (evidence file, volume XLV, annexes to the final arguments, folio 31302).</w:t>
      </w:r>
    </w:p>
  </w:footnote>
  <w:footnote w:id="406">
    <w:p w14:paraId="03C30B7D" w14:textId="4D021D87"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Law amending the Organic Law on the Right of Women to a Life Free of Violence, Official Gazette No. 40,548, of November 25, 2014, Article 74 and 75 (evidence file, volume XIII, annex 2I to the pleadings and motions brief, folio 8513).</w:t>
      </w:r>
    </w:p>
  </w:footnote>
  <w:footnote w:id="407">
    <w:p w14:paraId="6C9C6BC9" w14:textId="55F49778"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Law amending the Organic Law on the Right of Women to a Life Free of Violence, Official Gazette of the Bolivarian Republic of Venezuela No. 40,548, of November 25, 2014, article 12</w:t>
      </w:r>
      <w:r w:rsidRPr="009D52FD">
        <w:rPr>
          <w:i/>
          <w:sz w:val="16"/>
          <w:szCs w:val="16"/>
          <w:lang w:val="en-US"/>
        </w:rPr>
        <w:t xml:space="preserve"> </w:t>
      </w:r>
      <w:r w:rsidRPr="009D52FD">
        <w:rPr>
          <w:sz w:val="16"/>
          <w:szCs w:val="16"/>
          <w:lang w:val="en-US"/>
        </w:rPr>
        <w:t>(evidence file, volume XIII, annex 2I to the brief with pleadings, motions and evidence, folio 8507).</w:t>
      </w:r>
    </w:p>
  </w:footnote>
  <w:footnote w:id="408">
    <w:p w14:paraId="47DFF2C2" w14:textId="085F373A"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Chapter IX of the Organic Law on the Right of Women to a Life Free of Violence establishes a specific procedure for treating cases arising from acts of violence against women. Thus, the First Section regulates everything related to the opening of these proceedings, starting with the filing of the complaint; then the Second Section develops everything related to the investigation stage by the Public Prosecution Service, while the Sixth Section on establishes everything related to the process before the jurisdictional organs when the case is being prosecuted by the courts. </w:t>
      </w:r>
      <w:r w:rsidRPr="009D52FD">
        <w:rPr>
          <w:i/>
          <w:sz w:val="16"/>
          <w:szCs w:val="16"/>
          <w:lang w:val="en-US"/>
        </w:rPr>
        <w:t>Cf.</w:t>
      </w:r>
      <w:r w:rsidRPr="009D52FD">
        <w:rPr>
          <w:sz w:val="16"/>
          <w:szCs w:val="16"/>
          <w:lang w:val="en-US"/>
        </w:rPr>
        <w:t xml:space="preserve"> Law amending the Organic Law on the Right of Women to a Life Free of Violence, Official Gazette No. 40,548, of November 25, 2014, articles 73 to 111 (evidence file, volume XIII, annex 2I to the pleadings and motions brief, folios 8513 to 8516).</w:t>
      </w:r>
    </w:p>
  </w:footnote>
  <w:footnote w:id="409">
    <w:p w14:paraId="63A1DAA1" w14:textId="0461A374" w:rsidR="009D52FD" w:rsidRPr="009D52FD" w:rsidRDefault="009D52FD" w:rsidP="00D553C4">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Law amending the Organic Law on the Right of Women to a Life Free of Violence, Official Gazette No. 40,548, of November 25, 2014, article 75.2</w:t>
      </w:r>
      <w:r w:rsidRPr="009D52FD">
        <w:rPr>
          <w:i/>
          <w:sz w:val="16"/>
          <w:szCs w:val="16"/>
          <w:lang w:val="en-US"/>
        </w:rPr>
        <w:t xml:space="preserve"> </w:t>
      </w:r>
      <w:r w:rsidRPr="009D52FD">
        <w:rPr>
          <w:sz w:val="16"/>
          <w:szCs w:val="16"/>
          <w:lang w:val="en-US"/>
        </w:rPr>
        <w:t>(evidence file, volume XIII, annex 2I to the pleadings and motions brief, folio 8513).</w:t>
      </w:r>
    </w:p>
  </w:footnote>
  <w:footnote w:id="410">
    <w:p w14:paraId="04DAB31A" w14:textId="3CA0FA06"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Office of the Prosecutor General, 2012 Annual Report (evidence file, volume XIII, annex 2N to the pleadings and motions brief, folio 8859), and Office of the Prosecutor General, 2013 Annual Report, pp. 28, 80 and 81 (evidence file, volume XIV, annex 2O to the pleadings and motions brief, folio 9009).</w:t>
      </w:r>
    </w:p>
  </w:footnote>
  <w:footnote w:id="411">
    <w:p w14:paraId="55159F9F" w14:textId="68511AE5"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Committee against Torture, </w:t>
      </w:r>
      <w:r w:rsidRPr="009D52FD">
        <w:rPr>
          <w:i/>
          <w:sz w:val="16"/>
          <w:szCs w:val="16"/>
          <w:lang w:val="en-US"/>
        </w:rPr>
        <w:t>Concluding observations on the third and fourth periodic reports of the Bolivarian Republic of Venezuela</w:t>
      </w:r>
      <w:r w:rsidRPr="009D52FD">
        <w:rPr>
          <w:sz w:val="16"/>
          <w:szCs w:val="16"/>
          <w:lang w:val="en-US"/>
        </w:rPr>
        <w:t>, CAT/C/VEN/CO/3-4, of December 12, 2014, para. 11 (evidence file, volume XVI, annex 4D to the pleadings and motions brief, folio 10747), and Coalition of Venezuelan non-governmental organizations, academic institutions and organized civil society: “</w:t>
      </w:r>
      <w:r w:rsidRPr="009D52FD">
        <w:rPr>
          <w:i/>
          <w:sz w:val="16"/>
          <w:szCs w:val="16"/>
          <w:lang w:val="en-US"/>
        </w:rPr>
        <w:t>Alternative report to the fourth periodic report of the Bolivarian Republic of Venezuela on compliance with the International Covenant on Civil and Political Rights to the United Nations Human Rights Committee,</w:t>
      </w:r>
      <w:r w:rsidRPr="009D52FD">
        <w:rPr>
          <w:sz w:val="16"/>
          <w:szCs w:val="16"/>
          <w:lang w:val="en-US"/>
        </w:rPr>
        <w:t>” of June 2015 (evidence file, volume XVI, annex 4Q to the pleadings and motions brief, folio 11078).</w:t>
      </w:r>
    </w:p>
  </w:footnote>
  <w:footnote w:id="412">
    <w:p w14:paraId="399972ED" w14:textId="2CEA5401"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Law amending the Organic Law on the Right of Women to a Life Free of Violence, Official Gazette No. 40,548, of November 25, 2014, article 2.7</w:t>
      </w:r>
      <w:r w:rsidRPr="009D52FD">
        <w:rPr>
          <w:i/>
          <w:sz w:val="16"/>
          <w:szCs w:val="16"/>
          <w:lang w:val="en-US"/>
        </w:rPr>
        <w:t xml:space="preserve"> </w:t>
      </w:r>
      <w:r w:rsidRPr="009D52FD">
        <w:rPr>
          <w:sz w:val="16"/>
          <w:szCs w:val="16"/>
          <w:lang w:val="en-US"/>
        </w:rPr>
        <w:t>(evidence file, volume XIII, annex 2I to the pleadings and motions brief, folio 8506).</w:t>
      </w:r>
    </w:p>
  </w:footnote>
  <w:footnote w:id="413">
    <w:p w14:paraId="4EDAB19C" w14:textId="4AE7C66B"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Law amending the Organic Law on the Right of Women to a Life Free of Violence, Official Gazette No. 40,548, of November 25, 2014, articles 21.2, 21.3, 22, 23, 26 and 27</w:t>
      </w:r>
      <w:r w:rsidRPr="009D52FD">
        <w:rPr>
          <w:i/>
          <w:sz w:val="16"/>
          <w:szCs w:val="16"/>
          <w:lang w:val="en-US"/>
        </w:rPr>
        <w:t xml:space="preserve"> </w:t>
      </w:r>
      <w:r w:rsidRPr="009D52FD">
        <w:rPr>
          <w:sz w:val="16"/>
          <w:szCs w:val="16"/>
          <w:lang w:val="en-US"/>
        </w:rPr>
        <w:t>(evidence file, volume XIII, annex 2I to the pleadings and motions brief, folio 8509).</w:t>
      </w:r>
    </w:p>
  </w:footnote>
  <w:footnote w:id="414">
    <w:p w14:paraId="36DC7A66" w14:textId="662C7E59"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Office of the Prosecutor General, 2015 Annual Report (evidence file, volume XIV, annex 2Q to the pleadings and motions brief, folios 9335 and 9336).</w:t>
      </w:r>
    </w:p>
  </w:footnote>
  <w:footnote w:id="415">
    <w:p w14:paraId="435074E5" w14:textId="38CAD1D8"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t xml:space="preserve">The “Mamá Rosa” program addresses different factors to achieve equality between men and women, and promote the autonomy of women, consolidate a gender-based approach in the State’s public policies, and generate social awareness of gender issues. </w:t>
      </w:r>
      <w:r w:rsidRPr="009D52FD">
        <w:rPr>
          <w:i/>
          <w:sz w:val="16"/>
          <w:szCs w:val="16"/>
          <w:lang w:val="en-US"/>
        </w:rPr>
        <w:t>Cf.</w:t>
      </w:r>
      <w:r w:rsidRPr="009D52FD">
        <w:rPr>
          <w:sz w:val="16"/>
          <w:szCs w:val="16"/>
          <w:lang w:val="en-US"/>
        </w:rPr>
        <w:t xml:space="preserve"> Affidavit made by Marelis Pérez Marcano on January 24, 2001 (evidence file, volume XLIV, affidavits, folio 31009), and National report presented by the Bolivarian Republic of Venezuela to the United Nations Human Rights Council, A/HRC/WG.6/26/VEN/1, on August 22, 2016 (evidence file, volume XVI, annex 5B to the pleadings and motions brief, folio 11420).</w:t>
      </w:r>
    </w:p>
  </w:footnote>
  <w:footnote w:id="416">
    <w:p w14:paraId="00A146DE" w14:textId="2F48B695"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 Case of Velásquez Paiz et al. v. Guatemala, supra</w:t>
      </w:r>
      <w:r w:rsidRPr="009D52FD">
        <w:rPr>
          <w:sz w:val="16"/>
          <w:szCs w:val="16"/>
          <w:lang w:val="en-US"/>
        </w:rPr>
        <w:t>, para. 248.</w:t>
      </w:r>
    </w:p>
  </w:footnote>
  <w:footnote w:id="417">
    <w:p w14:paraId="462865AD" w14:textId="4D7C519D"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United Nations Development Programme, </w:t>
      </w:r>
      <w:r w:rsidRPr="009D52FD">
        <w:rPr>
          <w:iCs/>
          <w:sz w:val="16"/>
          <w:szCs w:val="16"/>
          <w:lang w:val="en-US"/>
        </w:rPr>
        <w:t xml:space="preserve">National reports on the situation of gender-based violence against women. </w:t>
      </w:r>
      <w:r w:rsidRPr="009D52FD">
        <w:rPr>
          <w:i/>
          <w:sz w:val="16"/>
          <w:szCs w:val="16"/>
          <w:lang w:val="en-US"/>
        </w:rPr>
        <w:t>Informe Nacional Venezuela</w:t>
      </w:r>
      <w:r w:rsidRPr="009D52FD">
        <w:rPr>
          <w:sz w:val="16"/>
          <w:szCs w:val="16"/>
          <w:lang w:val="en-US"/>
        </w:rPr>
        <w:t xml:space="preserve">, May 1999 (evidence file, volume VI, annex to the representatives’ brief on merits before the IACHR, folio 2870); UN, Committee on the Elimination of Discrimination against Women, </w:t>
      </w:r>
      <w:r w:rsidRPr="009D52FD">
        <w:rPr>
          <w:i/>
          <w:sz w:val="16"/>
          <w:szCs w:val="16"/>
          <w:lang w:val="en-US"/>
        </w:rPr>
        <w:t>Concluding comments on the Bolivarian Republic of Venezuela</w:t>
      </w:r>
      <w:r w:rsidRPr="009D52FD">
        <w:rPr>
          <w:sz w:val="16"/>
          <w:szCs w:val="16"/>
          <w:lang w:val="en-US"/>
        </w:rPr>
        <w:t xml:space="preserve">, CEDAW/C/VEN/CO/6, January 31, 2006, para. 25 </w:t>
      </w:r>
      <w:r w:rsidRPr="009D52FD">
        <w:rPr>
          <w:i/>
          <w:sz w:val="16"/>
          <w:szCs w:val="16"/>
          <w:lang w:val="en-US"/>
        </w:rPr>
        <w:t>in fine</w:t>
      </w:r>
      <w:r w:rsidRPr="009D52FD">
        <w:rPr>
          <w:sz w:val="16"/>
          <w:szCs w:val="16"/>
          <w:lang w:val="en-US"/>
        </w:rPr>
        <w:t xml:space="preserve"> (evidence file, volume XVI, annex 4C to the pleadings and motions brief, folio 10740); Inter-American Commission of Women – Follow-up Mechanism to the Convention of Belém Do Pará (MESECVI). </w:t>
      </w:r>
      <w:r w:rsidRPr="009D52FD">
        <w:rPr>
          <w:i/>
          <w:sz w:val="16"/>
          <w:szCs w:val="16"/>
          <w:lang w:val="en-US"/>
        </w:rPr>
        <w:t>Country report adopted by the Committee of Experts on Violence</w:t>
      </w:r>
      <w:r w:rsidRPr="009D52FD">
        <w:rPr>
          <w:sz w:val="16"/>
          <w:szCs w:val="16"/>
          <w:lang w:val="en-US"/>
        </w:rPr>
        <w:t xml:space="preserve">, OEA/Ser.L/II.7.10, June 25, 2008 (evidence file, volume XVI, annex 4K to the pleadings and motions brief, folio 3732); Inter-American Commission on Human Rights, </w:t>
      </w:r>
      <w:r w:rsidRPr="009D52FD">
        <w:rPr>
          <w:i/>
          <w:sz w:val="16"/>
          <w:szCs w:val="16"/>
          <w:lang w:val="en-US"/>
        </w:rPr>
        <w:t xml:space="preserve">Democracy and Human Rights in Venezuela, </w:t>
      </w:r>
      <w:r w:rsidRPr="009D52FD">
        <w:rPr>
          <w:sz w:val="16"/>
          <w:szCs w:val="16"/>
          <w:lang w:val="en-US"/>
        </w:rPr>
        <w:t xml:space="preserve">OEA/Ser.L/V/II. Doc. 54, of December 30, 2009, paras. 945 to 948 (evidence file, volume VII, annexes to the representatives’ brief on merits before the IACHR, folios 4508 and 4509); Observatorio Venezolano de los Derechos de las Mujeres. </w:t>
      </w:r>
      <w:r w:rsidRPr="009D52FD">
        <w:rPr>
          <w:i/>
          <w:sz w:val="16"/>
          <w:szCs w:val="16"/>
          <w:lang w:val="en-US"/>
        </w:rPr>
        <w:t xml:space="preserve">Report on the Bolivarian Republic of Venezuela – Twelfth session of the Universal Periodic Review </w:t>
      </w:r>
      <w:r w:rsidRPr="009D52FD">
        <w:rPr>
          <w:sz w:val="16"/>
          <w:szCs w:val="16"/>
          <w:lang w:val="en-US"/>
        </w:rPr>
        <w:t xml:space="preserve">– October 2011, 2011 (evidence file, volume XII, annex 108 to the Merits Report, folios 7988 to 7990); UN, Committee on the Elimination of Discrimination against Women, </w:t>
      </w:r>
      <w:r w:rsidRPr="009D52FD">
        <w:rPr>
          <w:i/>
          <w:sz w:val="16"/>
          <w:szCs w:val="16"/>
          <w:lang w:val="en-US"/>
        </w:rPr>
        <w:t>Concluding observations on the combined seventh and eighth periodic reports of the Bolivarian Republic of Venezuela</w:t>
      </w:r>
      <w:r w:rsidRPr="009D52FD">
        <w:rPr>
          <w:sz w:val="16"/>
          <w:szCs w:val="16"/>
          <w:lang w:val="en-US"/>
        </w:rPr>
        <w:t xml:space="preserve">, CEDAW/C/VEN/CO/7-8, November 14, 2014, para. 18 (evidence file, volume XVI, annex 4b to the pleadings and motions brief, folio 10727), and AVESA, Asociación Civil Mujeres en Línea, Centro de Justicia and Paz and FREYA: </w:t>
      </w:r>
      <w:r w:rsidRPr="009D52FD">
        <w:rPr>
          <w:i/>
          <w:sz w:val="16"/>
          <w:szCs w:val="16"/>
          <w:lang w:val="en-US"/>
        </w:rPr>
        <w:t>Mujeres al límite. El peso de la emergencia humanitaria: vulneración de derechos humanos de las mujeres en Venezuela</w:t>
      </w:r>
      <w:r w:rsidRPr="009D52FD">
        <w:rPr>
          <w:sz w:val="16"/>
          <w:szCs w:val="16"/>
          <w:lang w:val="en-US"/>
        </w:rPr>
        <w:t>, November 2017 (evidence file, volume XLV, annexes to the final arguments, folio 31305).</w:t>
      </w:r>
    </w:p>
  </w:footnote>
  <w:footnote w:id="418">
    <w:p w14:paraId="16D16C14" w14:textId="61D69C3F"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i/>
          <w:sz w:val="16"/>
          <w:szCs w:val="16"/>
          <w:lang w:val="en-US"/>
        </w:rPr>
        <w:t xml:space="preserve"> </w:t>
      </w:r>
      <w:r w:rsidRPr="009D52FD">
        <w:rPr>
          <w:i/>
          <w:sz w:val="16"/>
          <w:szCs w:val="16"/>
          <w:lang w:val="en-US"/>
        </w:rPr>
        <w:tab/>
        <w:t>Cf.</w:t>
      </w:r>
      <w:r w:rsidRPr="009D52FD">
        <w:rPr>
          <w:sz w:val="16"/>
          <w:szCs w:val="16"/>
          <w:lang w:val="en-US"/>
        </w:rPr>
        <w:t xml:space="preserve"> National report presented by the Bolivarian Republic of Venezuela to the United Nations Human Rights Council, A/HRC/WG.6/26/VEN/1, of August 22, 2016 (evidence file, volume XVI, annex 5B to the pleadings and motions brief, folio 11420).</w:t>
      </w:r>
    </w:p>
  </w:footnote>
  <w:footnote w:id="419">
    <w:p w14:paraId="7B2BEC1E" w14:textId="6AA48FD0"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Office of the Prosecutor General, 2015 Annual Report (evidence file, volume XIII, annex 2Q to the pleadings and motions brief, folios 9245 to 9249).</w:t>
      </w:r>
    </w:p>
  </w:footnote>
  <w:footnote w:id="420">
    <w:p w14:paraId="5F0E2538" w14:textId="45F2CBCF" w:rsidR="009D52FD" w:rsidRPr="009D52FD" w:rsidRDefault="009D52FD" w:rsidP="008778DD">
      <w:pPr>
        <w:tabs>
          <w:tab w:val="left" w:pos="567"/>
        </w:tabs>
        <w:spacing w:after="60" w:line="240" w:lineRule="auto"/>
        <w:rPr>
          <w:sz w:val="16"/>
          <w:szCs w:val="16"/>
          <w:lang w:val="en-US" w:eastAsia="es-ES"/>
        </w:rPr>
      </w:pPr>
      <w:r w:rsidRPr="009D52FD">
        <w:rPr>
          <w:rStyle w:val="FootnoteReference"/>
          <w:rFonts w:eastAsia="MS ????"/>
          <w:sz w:val="16"/>
          <w:szCs w:val="16"/>
          <w:lang w:val="en-US"/>
        </w:rPr>
        <w:footnoteRef/>
      </w:r>
      <w:r w:rsidRPr="009D52FD">
        <w:rPr>
          <w:sz w:val="16"/>
          <w:szCs w:val="16"/>
          <w:lang w:val="en-US"/>
        </w:rPr>
        <w:tab/>
      </w:r>
      <w:r w:rsidRPr="009D52FD">
        <w:rPr>
          <w:i/>
          <w:sz w:val="16"/>
          <w:szCs w:val="16"/>
          <w:lang w:val="en-US"/>
        </w:rPr>
        <w:t xml:space="preserve">Cf. </w:t>
      </w:r>
      <w:r w:rsidRPr="009D52FD">
        <w:rPr>
          <w:bCs/>
          <w:i/>
          <w:sz w:val="16"/>
          <w:szCs w:val="16"/>
          <w:lang w:val="en-US"/>
        </w:rPr>
        <w:t xml:space="preserve">Case of Bámaca Velásquez v. Guatemala. </w:t>
      </w:r>
      <w:r w:rsidRPr="009D52FD">
        <w:rPr>
          <w:i/>
          <w:sz w:val="16"/>
          <w:szCs w:val="16"/>
          <w:lang w:val="en-US"/>
        </w:rPr>
        <w:t>Reparations and costs</w:t>
      </w:r>
      <w:r w:rsidRPr="009D52FD">
        <w:rPr>
          <w:sz w:val="16"/>
          <w:szCs w:val="16"/>
          <w:lang w:val="en-US"/>
        </w:rPr>
        <w:t xml:space="preserve">. Judgment of February 22, 2002. Series C No. 91, para. 43, and </w:t>
      </w:r>
      <w:r w:rsidRPr="009D52FD">
        <w:rPr>
          <w:bCs/>
          <w:i/>
          <w:sz w:val="16"/>
          <w:szCs w:val="16"/>
          <w:lang w:val="en-US"/>
        </w:rPr>
        <w:t>Case of Coc Max et al. (Xamán Massacre) v. Guatemala, supra</w:t>
      </w:r>
      <w:r w:rsidRPr="009D52FD">
        <w:rPr>
          <w:bCs/>
          <w:sz w:val="16"/>
          <w:szCs w:val="16"/>
          <w:lang w:val="en-US"/>
        </w:rPr>
        <w:t>, para. 177.</w:t>
      </w:r>
    </w:p>
  </w:footnote>
  <w:footnote w:id="421">
    <w:p w14:paraId="3CB6CBF5" w14:textId="2AE4B482" w:rsidR="009D52FD" w:rsidRPr="009D52FD" w:rsidRDefault="009D52FD" w:rsidP="008778DD">
      <w:pPr>
        <w:pStyle w:val="FootnoteText"/>
        <w:tabs>
          <w:tab w:val="left" w:pos="567"/>
          <w:tab w:val="left" w:pos="709"/>
        </w:tabs>
        <w:spacing w:after="60"/>
        <w:rPr>
          <w:sz w:val="16"/>
          <w:szCs w:val="16"/>
          <w:lang w:val="en-US"/>
        </w:rPr>
      </w:pPr>
      <w:r w:rsidRPr="009D52FD">
        <w:rPr>
          <w:rStyle w:val="FootnoteReference"/>
          <w:rFonts w:eastAsia="Calibri"/>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 Case of the “Street Children” (Villagrán Morales et al.) v. Guatemala</w:t>
      </w:r>
      <w:r w:rsidRPr="009D52FD">
        <w:rPr>
          <w:sz w:val="16"/>
          <w:szCs w:val="16"/>
          <w:lang w:val="en-US"/>
        </w:rPr>
        <w:t xml:space="preserve">. </w:t>
      </w:r>
      <w:r w:rsidRPr="009D52FD">
        <w:rPr>
          <w:i/>
          <w:sz w:val="16"/>
          <w:szCs w:val="16"/>
          <w:lang w:val="en-US"/>
        </w:rPr>
        <w:t xml:space="preserve">Reparations and costs, supra, </w:t>
      </w:r>
      <w:r w:rsidRPr="009D52FD">
        <w:rPr>
          <w:sz w:val="16"/>
          <w:szCs w:val="16"/>
          <w:lang w:val="en-US"/>
        </w:rPr>
        <w:t xml:space="preserve">para. 84, and </w:t>
      </w:r>
      <w:r w:rsidRPr="009D52FD">
        <w:rPr>
          <w:bCs/>
          <w:i/>
          <w:sz w:val="16"/>
          <w:szCs w:val="16"/>
          <w:lang w:val="en-US"/>
        </w:rPr>
        <w:t>Case of Coc Max et al. (Xamán Massacre) v. Guatemala, supra</w:t>
      </w:r>
      <w:r w:rsidRPr="009D52FD">
        <w:rPr>
          <w:bCs/>
          <w:sz w:val="16"/>
          <w:szCs w:val="16"/>
          <w:lang w:val="en-US"/>
        </w:rPr>
        <w:t>,</w:t>
      </w:r>
      <w:r w:rsidRPr="009D52FD">
        <w:rPr>
          <w:sz w:val="16"/>
          <w:szCs w:val="16"/>
          <w:lang w:val="en-US"/>
        </w:rPr>
        <w:t xml:space="preserve"> para. 189.</w:t>
      </w:r>
    </w:p>
  </w:footnote>
  <w:footnote w:id="422">
    <w:p w14:paraId="4BBB3E16" w14:textId="1316CC21" w:rsidR="009D52FD" w:rsidRPr="009D52FD" w:rsidRDefault="009D52FD" w:rsidP="008778DD">
      <w:pPr>
        <w:pStyle w:val="FootnoteText"/>
        <w:tabs>
          <w:tab w:val="left" w:pos="567"/>
        </w:tabs>
        <w:spacing w:after="60"/>
        <w:rPr>
          <w:sz w:val="16"/>
          <w:szCs w:val="16"/>
          <w:lang w:val="en-US"/>
        </w:rPr>
      </w:pPr>
      <w:r w:rsidRPr="009D52FD">
        <w:rPr>
          <w:rStyle w:val="FootnoteReference"/>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Statement made by Juan Bernardo Delgado Linares (evidence file, volume XLIV, affidavits, folio 31102).</w:t>
      </w:r>
    </w:p>
  </w:footnote>
  <w:footnote w:id="423">
    <w:p w14:paraId="6949A1CA" w14:textId="342707C3" w:rsidR="009D52FD" w:rsidRPr="009D52FD" w:rsidRDefault="009D52FD" w:rsidP="008778DD">
      <w:pPr>
        <w:pStyle w:val="FootnoteText"/>
        <w:tabs>
          <w:tab w:val="left" w:pos="567"/>
          <w:tab w:val="left" w:pos="709"/>
        </w:tabs>
        <w:spacing w:after="60"/>
        <w:rPr>
          <w:sz w:val="16"/>
          <w:szCs w:val="16"/>
          <w:lang w:val="en-US"/>
        </w:rPr>
      </w:pPr>
      <w:r w:rsidRPr="009D52FD">
        <w:rPr>
          <w:rStyle w:val="FootnoteReference"/>
          <w:rFonts w:eastAsia="Calibri"/>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rFonts w:eastAsia="Calibri"/>
          <w:bCs/>
          <w:i/>
          <w:sz w:val="16"/>
          <w:szCs w:val="16"/>
          <w:shd w:val="clear" w:color="auto" w:fill="FFFFFF"/>
          <w:lang w:val="en-US"/>
        </w:rPr>
        <w:t>Case of Garrido and Baigorria v. Argentina. Reparations and costs.</w:t>
      </w:r>
      <w:r w:rsidRPr="009D52FD">
        <w:rPr>
          <w:rFonts w:eastAsia="Calibri"/>
          <w:bCs/>
          <w:sz w:val="16"/>
          <w:szCs w:val="16"/>
          <w:shd w:val="clear" w:color="auto" w:fill="FFFFFF"/>
          <w:lang w:val="en-US"/>
        </w:rPr>
        <w:t xml:space="preserve"> Judgment of August 27, 1998. Series C No. 39, para. 79, and </w:t>
      </w:r>
      <w:r w:rsidRPr="009D52FD">
        <w:rPr>
          <w:bCs/>
          <w:i/>
          <w:sz w:val="16"/>
          <w:szCs w:val="16"/>
          <w:lang w:val="en-US"/>
        </w:rPr>
        <w:t>Case of Coc Max et al. (Xamán Massacre) v. Guatemala, supra</w:t>
      </w:r>
      <w:r w:rsidRPr="009D52FD">
        <w:rPr>
          <w:bCs/>
          <w:sz w:val="16"/>
          <w:szCs w:val="16"/>
          <w:lang w:val="en-US"/>
        </w:rPr>
        <w:t>,</w:t>
      </w:r>
      <w:r w:rsidRPr="009D52FD">
        <w:rPr>
          <w:sz w:val="16"/>
          <w:szCs w:val="16"/>
          <w:lang w:val="en-US"/>
        </w:rPr>
        <w:t xml:space="preserve"> para. 193.</w:t>
      </w:r>
    </w:p>
  </w:footnote>
  <w:footnote w:id="424">
    <w:p w14:paraId="48D0AD61" w14:textId="720F36CF" w:rsidR="009D52FD" w:rsidRPr="009D52FD" w:rsidRDefault="009D52FD" w:rsidP="008778DD">
      <w:pPr>
        <w:pStyle w:val="FootnoteText"/>
        <w:tabs>
          <w:tab w:val="left" w:pos="567"/>
        </w:tabs>
        <w:spacing w:after="60"/>
        <w:rPr>
          <w:sz w:val="16"/>
          <w:szCs w:val="16"/>
          <w:lang w:val="en-US"/>
        </w:rPr>
      </w:pPr>
      <w:r w:rsidRPr="009D52FD">
        <w:rPr>
          <w:rStyle w:val="FootnoteReference"/>
          <w:rFonts w:eastAsia="Calibri"/>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 xml:space="preserve">Cf. </w:t>
      </w:r>
      <w:r w:rsidRPr="009D52FD">
        <w:rPr>
          <w:rFonts w:eastAsia="Calibri"/>
          <w:bCs/>
          <w:i/>
          <w:sz w:val="16"/>
          <w:szCs w:val="16"/>
          <w:shd w:val="clear" w:color="auto" w:fill="FFFFFF"/>
          <w:lang w:val="en-US"/>
        </w:rPr>
        <w:t>Case of Garrido and Baigorria v. Argentina. Reparations and costs, supra</w:t>
      </w:r>
      <w:r w:rsidRPr="009D52FD">
        <w:rPr>
          <w:sz w:val="16"/>
          <w:szCs w:val="16"/>
          <w:lang w:val="en-US"/>
        </w:rPr>
        <w:t xml:space="preserve">, para. 82, and </w:t>
      </w:r>
      <w:r w:rsidRPr="009D52FD">
        <w:rPr>
          <w:bCs/>
          <w:i/>
          <w:sz w:val="16"/>
          <w:szCs w:val="16"/>
          <w:lang w:val="en-US"/>
        </w:rPr>
        <w:t>Case of Coc Max et al. (Xamán Massacre) v. Guatemala, supra</w:t>
      </w:r>
      <w:r w:rsidRPr="009D52FD">
        <w:rPr>
          <w:rFonts w:eastAsia="Calibri"/>
          <w:bCs/>
          <w:sz w:val="16"/>
          <w:szCs w:val="16"/>
          <w:shd w:val="clear" w:color="auto" w:fill="FFFFFF"/>
          <w:lang w:val="en-US"/>
        </w:rPr>
        <w:t>, para. 193.</w:t>
      </w:r>
    </w:p>
  </w:footnote>
  <w:footnote w:id="425">
    <w:p w14:paraId="08984AC4" w14:textId="157C5A08" w:rsidR="009D52FD" w:rsidRPr="009D52FD" w:rsidRDefault="009D52FD" w:rsidP="008778DD">
      <w:pPr>
        <w:pStyle w:val="FootnoteText"/>
        <w:tabs>
          <w:tab w:val="left" w:pos="567"/>
          <w:tab w:val="left" w:pos="709"/>
        </w:tabs>
        <w:spacing w:after="60"/>
        <w:rPr>
          <w:sz w:val="16"/>
          <w:szCs w:val="16"/>
          <w:lang w:val="en-US"/>
        </w:rPr>
      </w:pPr>
      <w:r w:rsidRPr="009D52FD">
        <w:rPr>
          <w:rStyle w:val="FootnoteReference"/>
          <w:rFonts w:eastAsia="Calibri"/>
          <w:sz w:val="16"/>
          <w:szCs w:val="16"/>
          <w:lang w:val="en-US"/>
        </w:rPr>
        <w:footnoteRef/>
      </w:r>
      <w:r w:rsidRPr="009D52FD">
        <w:rPr>
          <w:sz w:val="16"/>
          <w:szCs w:val="16"/>
          <w:lang w:val="en-US"/>
        </w:rPr>
        <w:tab/>
      </w:r>
      <w:r w:rsidRPr="009D52FD">
        <w:rPr>
          <w:rFonts w:eastAsia="Calibri"/>
          <w:bCs/>
          <w:i/>
          <w:sz w:val="16"/>
          <w:szCs w:val="16"/>
          <w:shd w:val="clear" w:color="auto" w:fill="FFFFFF"/>
          <w:lang w:val="en-US"/>
        </w:rPr>
        <w:t>Case of Garrido and Baigorria v. Argentina. Reparations and costs, supra</w:t>
      </w:r>
      <w:r w:rsidRPr="009D52FD">
        <w:rPr>
          <w:sz w:val="16"/>
          <w:szCs w:val="16"/>
          <w:lang w:val="en-US"/>
        </w:rPr>
        <w:t>, paras. 79 and 82,</w:t>
      </w:r>
      <w:r w:rsidRPr="009D52FD">
        <w:rPr>
          <w:i/>
          <w:sz w:val="16"/>
          <w:szCs w:val="16"/>
          <w:lang w:val="en-US"/>
        </w:rPr>
        <w:t xml:space="preserve"> and Case of Coc Max et al. (Xamán Massacre) v. Guatemala, supra</w:t>
      </w:r>
      <w:r w:rsidRPr="009D52FD">
        <w:rPr>
          <w:sz w:val="16"/>
          <w:szCs w:val="16"/>
          <w:lang w:val="en-US"/>
        </w:rPr>
        <w:t>, para. 194.</w:t>
      </w:r>
    </w:p>
  </w:footnote>
  <w:footnote w:id="426">
    <w:p w14:paraId="55790397" w14:textId="55D33192" w:rsidR="009D52FD" w:rsidRPr="009D52FD" w:rsidRDefault="009D52FD" w:rsidP="008778DD">
      <w:pPr>
        <w:tabs>
          <w:tab w:val="left" w:pos="567"/>
        </w:tabs>
        <w:spacing w:after="60" w:line="240" w:lineRule="auto"/>
        <w:rPr>
          <w:sz w:val="16"/>
          <w:szCs w:val="16"/>
          <w:lang w:val="en-US"/>
        </w:rPr>
      </w:pPr>
      <w:r w:rsidRPr="009D52FD">
        <w:rPr>
          <w:rStyle w:val="FootnoteReference"/>
          <w:rFonts w:eastAsia="Calibri"/>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 Case of Chaparro Álvarez and Lapo Íñiguez v. Ecuador, supra</w:t>
      </w:r>
      <w:r w:rsidRPr="009D52FD">
        <w:rPr>
          <w:sz w:val="16"/>
          <w:szCs w:val="16"/>
          <w:lang w:val="en-US"/>
        </w:rPr>
        <w:t xml:space="preserve">, para. 277, and </w:t>
      </w:r>
      <w:r w:rsidRPr="009D52FD">
        <w:rPr>
          <w:i/>
          <w:sz w:val="16"/>
          <w:szCs w:val="16"/>
          <w:lang w:val="en-US"/>
        </w:rPr>
        <w:t>Case of Coc Max et al. (Xamán Massacre) v. Guatemala, supra</w:t>
      </w:r>
      <w:r w:rsidRPr="009D52FD">
        <w:rPr>
          <w:sz w:val="16"/>
          <w:szCs w:val="16"/>
          <w:lang w:val="en-US"/>
        </w:rPr>
        <w:t>, para. 194.</w:t>
      </w:r>
    </w:p>
  </w:footnote>
  <w:footnote w:id="427">
    <w:p w14:paraId="1E8B8F26" w14:textId="78593518" w:rsidR="009D52FD" w:rsidRPr="009D52FD" w:rsidRDefault="009D52FD" w:rsidP="008778DD">
      <w:pPr>
        <w:pStyle w:val="FootnoteText"/>
        <w:tabs>
          <w:tab w:val="left" w:pos="567"/>
        </w:tabs>
        <w:spacing w:after="60"/>
        <w:rPr>
          <w:sz w:val="16"/>
          <w:szCs w:val="16"/>
          <w:lang w:val="en-US"/>
        </w:rPr>
      </w:pPr>
      <w:r w:rsidRPr="009D52FD">
        <w:rPr>
          <w:rStyle w:val="FootnoteReference"/>
          <w:rFonts w:eastAsia="Calibri"/>
          <w:sz w:val="16"/>
          <w:szCs w:val="16"/>
          <w:lang w:val="en-US"/>
        </w:rPr>
        <w:footnoteRef/>
      </w:r>
      <w:r w:rsidRPr="009D52FD">
        <w:rPr>
          <w:sz w:val="16"/>
          <w:szCs w:val="16"/>
          <w:lang w:val="en-US"/>
        </w:rPr>
        <w:t xml:space="preserve"> </w:t>
      </w:r>
      <w:r w:rsidRPr="009D52FD">
        <w:rPr>
          <w:sz w:val="16"/>
          <w:szCs w:val="16"/>
          <w:lang w:val="en-US"/>
        </w:rPr>
        <w:tab/>
      </w:r>
      <w:r w:rsidRPr="009D52FD">
        <w:rPr>
          <w:bCs/>
          <w:sz w:val="16"/>
          <w:szCs w:val="16"/>
          <w:lang w:val="en-US"/>
        </w:rPr>
        <w:t>AG/RES. 2426 (XXXVIII-O/08),</w:t>
      </w:r>
      <w:r w:rsidRPr="009D52FD">
        <w:rPr>
          <w:rFonts w:cs="Verdana"/>
          <w:sz w:val="16"/>
          <w:szCs w:val="16"/>
          <w:lang w:val="en-US"/>
        </w:rPr>
        <w:t xml:space="preserve"> </w:t>
      </w:r>
      <w:r w:rsidRPr="009D52FD">
        <w:rPr>
          <w:sz w:val="16"/>
          <w:szCs w:val="16"/>
          <w:lang w:val="en-US"/>
        </w:rPr>
        <w:t xml:space="preserve">Resolution adopted by the Thirty-eighth OAS General Assembly, at the four plenary session, held on June 3, 2008, </w:t>
      </w:r>
      <w:r w:rsidRPr="009D52FD">
        <w:rPr>
          <w:i/>
          <w:sz w:val="16"/>
          <w:szCs w:val="16"/>
          <w:lang w:val="en-US"/>
        </w:rPr>
        <w:t xml:space="preserve">“Establishment of the Legal Assistance Fund of the Inter-American Human Rights System,”  </w:t>
      </w:r>
      <w:r w:rsidRPr="009D52FD">
        <w:rPr>
          <w:sz w:val="16"/>
          <w:szCs w:val="16"/>
          <w:lang w:val="en-US"/>
        </w:rPr>
        <w:t>Operative paragraph 2(a</w:t>
      </w:r>
      <w:r w:rsidRPr="009D52FD">
        <w:rPr>
          <w:rFonts w:cs="Verdana"/>
          <w:sz w:val="16"/>
          <w:szCs w:val="16"/>
          <w:lang w:val="en-US"/>
        </w:rPr>
        <w:t xml:space="preserve">), and </w:t>
      </w:r>
      <w:r w:rsidRPr="009D52FD">
        <w:rPr>
          <w:sz w:val="16"/>
          <w:szCs w:val="16"/>
          <w:lang w:val="en-US"/>
        </w:rPr>
        <w:t>CP/RES. 963 (1728/09), Resolution adopted on November 11, 2009, by the OAS Permanent Council, “</w:t>
      </w:r>
      <w:r w:rsidRPr="009D52FD">
        <w:rPr>
          <w:i/>
          <w:iCs/>
          <w:sz w:val="16"/>
          <w:szCs w:val="16"/>
          <w:lang w:val="en-US"/>
        </w:rPr>
        <w:t>Rules of Procedure for the Operation of the Legal Assistance Fund of the inter-American human rights system,</w:t>
      </w:r>
      <w:r w:rsidRPr="009D52FD">
        <w:rPr>
          <w:sz w:val="16"/>
          <w:szCs w:val="16"/>
          <w:lang w:val="en-US"/>
        </w:rPr>
        <w:t>” Article 1(1).</w:t>
      </w:r>
    </w:p>
  </w:footnote>
  <w:footnote w:id="428">
    <w:p w14:paraId="6AFF6FBB" w14:textId="597F0062" w:rsidR="009D52FD" w:rsidRPr="00592C8A" w:rsidRDefault="009D52FD" w:rsidP="008778DD">
      <w:pPr>
        <w:pStyle w:val="FootnoteText"/>
        <w:tabs>
          <w:tab w:val="left" w:pos="567"/>
        </w:tabs>
        <w:spacing w:after="60"/>
        <w:rPr>
          <w:sz w:val="16"/>
          <w:szCs w:val="16"/>
          <w:lang w:val="en-US"/>
        </w:rPr>
      </w:pPr>
      <w:r w:rsidRPr="009D52FD">
        <w:rPr>
          <w:rStyle w:val="FootnoteReference"/>
          <w:rFonts w:eastAsia="Calibri"/>
          <w:sz w:val="16"/>
          <w:szCs w:val="16"/>
          <w:lang w:val="en-US"/>
        </w:rPr>
        <w:footnoteRef/>
      </w:r>
      <w:r w:rsidRPr="009D52FD">
        <w:rPr>
          <w:sz w:val="16"/>
          <w:szCs w:val="16"/>
          <w:lang w:val="en-US"/>
        </w:rPr>
        <w:t xml:space="preserve"> </w:t>
      </w:r>
      <w:r w:rsidRPr="009D52FD">
        <w:rPr>
          <w:sz w:val="16"/>
          <w:szCs w:val="16"/>
          <w:lang w:val="en-US"/>
        </w:rPr>
        <w:tab/>
      </w:r>
      <w:r w:rsidRPr="009D52FD">
        <w:rPr>
          <w:i/>
          <w:sz w:val="16"/>
          <w:szCs w:val="16"/>
          <w:lang w:val="en-US"/>
        </w:rPr>
        <w:t>Cf.</w:t>
      </w:r>
      <w:r w:rsidRPr="009D52FD">
        <w:rPr>
          <w:sz w:val="16"/>
          <w:szCs w:val="16"/>
          <w:lang w:val="en-US"/>
        </w:rPr>
        <w:t xml:space="preserve"> Order issued by the President of the Inter-American Court of Human Rights on December 13, 2017 (merits file, volume I, folios 664 to 679).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4153712"/>
      <w:docPartObj>
        <w:docPartGallery w:val="Page Numbers (Top of Page)"/>
        <w:docPartUnique/>
      </w:docPartObj>
    </w:sdtPr>
    <w:sdtEndPr>
      <w:rPr>
        <w:noProof/>
      </w:rPr>
    </w:sdtEndPr>
    <w:sdtContent>
      <w:p w14:paraId="4C7B0704" w14:textId="77777777" w:rsidR="009D52FD" w:rsidRDefault="009D52FD">
        <w:pPr>
          <w:pStyle w:val="Header"/>
          <w:jc w:val="center"/>
        </w:pPr>
        <w:r w:rsidRPr="00176377">
          <w:rPr>
            <w:sz w:val="20"/>
            <w:szCs w:val="20"/>
          </w:rPr>
          <w:fldChar w:fldCharType="begin"/>
        </w:r>
        <w:r w:rsidRPr="00176377">
          <w:rPr>
            <w:sz w:val="20"/>
            <w:szCs w:val="20"/>
          </w:rPr>
          <w:instrText xml:space="preserve"> PAGE   \* MERGEFORMAT </w:instrText>
        </w:r>
        <w:r w:rsidRPr="00176377">
          <w:rPr>
            <w:sz w:val="20"/>
            <w:szCs w:val="20"/>
          </w:rPr>
          <w:fldChar w:fldCharType="separate"/>
        </w:r>
        <w:r>
          <w:rPr>
            <w:noProof/>
            <w:sz w:val="20"/>
            <w:szCs w:val="20"/>
          </w:rPr>
          <w:t>115</w:t>
        </w:r>
        <w:r w:rsidRPr="00176377">
          <w:rPr>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C5F42"/>
    <w:multiLevelType w:val="hybridMultilevel"/>
    <w:tmpl w:val="0C2AEC58"/>
    <w:lvl w:ilvl="0" w:tplc="140A0017">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C6144C9"/>
    <w:multiLevelType w:val="hybridMultilevel"/>
    <w:tmpl w:val="CFF0C922"/>
    <w:lvl w:ilvl="0" w:tplc="AAD2F022">
      <w:start w:val="1"/>
      <w:numFmt w:val="decimal"/>
      <w:pStyle w:val="PrrafodeSentencia"/>
      <w:lvlText w:val="%1."/>
      <w:lvlJc w:val="left"/>
      <w:pPr>
        <w:tabs>
          <w:tab w:val="num" w:pos="12305"/>
        </w:tabs>
      </w:pPr>
      <w:rPr>
        <w:rFonts w:ascii="Verdana" w:eastAsia="Times New Roman" w:hAnsi="Verdana"/>
        <w:b w:val="0"/>
        <w:bCs w:val="0"/>
        <w:i w:val="0"/>
        <w:iCs w:val="0"/>
        <w:strike w:val="0"/>
        <w:color w:val="auto"/>
        <w:sz w:val="20"/>
        <w:szCs w:val="20"/>
        <w:lang w:val="es-CO"/>
      </w:rPr>
    </w:lvl>
    <w:lvl w:ilvl="1" w:tplc="D8688752">
      <w:start w:val="1"/>
      <w:numFmt w:val="decimal"/>
      <w:lvlText w:val="%2."/>
      <w:lvlJc w:val="left"/>
      <w:pPr>
        <w:tabs>
          <w:tab w:val="num" w:pos="1080"/>
        </w:tabs>
        <w:ind w:left="1080" w:hanging="360"/>
      </w:pPr>
      <w:rPr>
        <w:rFonts w:hint="default"/>
        <w:b/>
        <w:bCs w:val="0"/>
        <w:i w:val="0"/>
        <w:iCs w:val="0"/>
        <w:color w:val="FF0000"/>
        <w:sz w:val="20"/>
        <w:szCs w:val="20"/>
      </w:rPr>
    </w:lvl>
    <w:lvl w:ilvl="2" w:tplc="0409001B">
      <w:start w:val="1"/>
      <w:numFmt w:val="lowerRoman"/>
      <w:lvlText w:val="%3."/>
      <w:lvlJc w:val="right"/>
      <w:pPr>
        <w:tabs>
          <w:tab w:val="num" w:pos="1530"/>
        </w:tabs>
        <w:ind w:left="1530" w:hanging="180"/>
      </w:pPr>
      <w:rPr>
        <w:b w:val="0"/>
        <w:strike w:val="0"/>
      </w:rPr>
    </w:lvl>
    <w:lvl w:ilvl="3" w:tplc="140A001B">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6807B10"/>
    <w:multiLevelType w:val="hybridMultilevel"/>
    <w:tmpl w:val="1A98B54A"/>
    <w:lvl w:ilvl="0" w:tplc="9FA4F6D6">
      <w:start w:val="2"/>
      <w:numFmt w:val="lowerLetter"/>
      <w:lvlText w:val="%1)"/>
      <w:lvlJc w:val="left"/>
      <w:pPr>
        <w:ind w:left="2345" w:hanging="360"/>
      </w:pPr>
    </w:lvl>
    <w:lvl w:ilvl="1" w:tplc="140A0019">
      <w:start w:val="1"/>
      <w:numFmt w:val="lowerLetter"/>
      <w:lvlText w:val="%2."/>
      <w:lvlJc w:val="left"/>
      <w:pPr>
        <w:ind w:left="3065" w:hanging="360"/>
      </w:pPr>
    </w:lvl>
    <w:lvl w:ilvl="2" w:tplc="140A001B">
      <w:start w:val="1"/>
      <w:numFmt w:val="lowerRoman"/>
      <w:lvlText w:val="%3."/>
      <w:lvlJc w:val="right"/>
      <w:pPr>
        <w:ind w:left="3785" w:hanging="180"/>
      </w:pPr>
    </w:lvl>
    <w:lvl w:ilvl="3" w:tplc="140A000F">
      <w:start w:val="1"/>
      <w:numFmt w:val="decimal"/>
      <w:lvlText w:val="%4."/>
      <w:lvlJc w:val="left"/>
      <w:pPr>
        <w:ind w:left="4505" w:hanging="360"/>
      </w:pPr>
    </w:lvl>
    <w:lvl w:ilvl="4" w:tplc="140A0019">
      <w:start w:val="1"/>
      <w:numFmt w:val="lowerLetter"/>
      <w:lvlText w:val="%5."/>
      <w:lvlJc w:val="left"/>
      <w:pPr>
        <w:ind w:left="5225" w:hanging="360"/>
      </w:pPr>
    </w:lvl>
    <w:lvl w:ilvl="5" w:tplc="140A001B">
      <w:start w:val="1"/>
      <w:numFmt w:val="lowerRoman"/>
      <w:lvlText w:val="%6."/>
      <w:lvlJc w:val="right"/>
      <w:pPr>
        <w:ind w:left="5945" w:hanging="180"/>
      </w:pPr>
    </w:lvl>
    <w:lvl w:ilvl="6" w:tplc="140A000F">
      <w:start w:val="1"/>
      <w:numFmt w:val="decimal"/>
      <w:lvlText w:val="%7."/>
      <w:lvlJc w:val="left"/>
      <w:pPr>
        <w:ind w:left="6665" w:hanging="360"/>
      </w:pPr>
    </w:lvl>
    <w:lvl w:ilvl="7" w:tplc="140A0019">
      <w:start w:val="1"/>
      <w:numFmt w:val="lowerLetter"/>
      <w:lvlText w:val="%8."/>
      <w:lvlJc w:val="left"/>
      <w:pPr>
        <w:ind w:left="7385" w:hanging="360"/>
      </w:pPr>
    </w:lvl>
    <w:lvl w:ilvl="8" w:tplc="140A001B">
      <w:start w:val="1"/>
      <w:numFmt w:val="lowerRoman"/>
      <w:lvlText w:val="%9."/>
      <w:lvlJc w:val="right"/>
      <w:pPr>
        <w:ind w:left="8105" w:hanging="180"/>
      </w:pPr>
    </w:lvl>
  </w:abstractNum>
  <w:abstractNum w:abstractNumId="3" w15:restartNumberingAfterBreak="0">
    <w:nsid w:val="4C5469CD"/>
    <w:multiLevelType w:val="hybridMultilevel"/>
    <w:tmpl w:val="D7FED382"/>
    <w:lvl w:ilvl="0" w:tplc="264CB88E">
      <w:start w:val="1"/>
      <w:numFmt w:val="decimal"/>
      <w:lvlText w:val="%1."/>
      <w:lvlJc w:val="left"/>
      <w:pPr>
        <w:ind w:left="720" w:hanging="360"/>
      </w:pPr>
      <w:rPr>
        <w:rFonts w:ascii="Verdana" w:eastAsia="Calibri" w:hAnsi="Verdana" w:cs="Times New Roman" w:hint="default"/>
        <w:b w:val="0"/>
        <w:i w:val="0"/>
        <w:strike w:val="0"/>
        <w:color w:val="auto"/>
        <w:sz w:val="20"/>
        <w:szCs w:val="20"/>
      </w:rPr>
    </w:lvl>
    <w:lvl w:ilvl="1" w:tplc="9B3E45F0">
      <w:start w:val="1"/>
      <w:numFmt w:val="lowerLetter"/>
      <w:pStyle w:val="Estilo4"/>
      <w:lvlText w:val="%2)"/>
      <w:lvlJc w:val="left"/>
      <w:pPr>
        <w:ind w:left="1440" w:hanging="360"/>
      </w:pPr>
      <w:rPr>
        <w:rFonts w:ascii="Verdana" w:hAnsi="Verdana" w:cs="Times New Roman" w:hint="default"/>
        <w:b w:val="0"/>
        <w:i/>
        <w:caps w:val="0"/>
        <w:strike w:val="0"/>
        <w:dstrike w:val="0"/>
        <w:vanish w:val="0"/>
        <w:color w:val="auto"/>
        <w:sz w:val="2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E06E32"/>
    <w:multiLevelType w:val="hybridMultilevel"/>
    <w:tmpl w:val="43A228AC"/>
    <w:lvl w:ilvl="0" w:tplc="E9224E2E">
      <w:start w:val="1"/>
      <w:numFmt w:val="decimal"/>
      <w:lvlText w:val="%1."/>
      <w:lvlJc w:val="left"/>
      <w:pPr>
        <w:tabs>
          <w:tab w:val="num" w:pos="5057"/>
        </w:tabs>
      </w:pPr>
      <w:rPr>
        <w:rFonts w:ascii="Verdana" w:eastAsia="Times New Roman" w:hAnsi="Verdana" w:cs="Times New Roman" w:hint="default"/>
        <w:b w:val="0"/>
        <w:i w:val="0"/>
        <w:strike w:val="0"/>
        <w:color w:val="auto"/>
        <w:sz w:val="20"/>
        <w:lang w:val="es-ES"/>
      </w:rPr>
    </w:lvl>
    <w:lvl w:ilvl="1" w:tplc="91ECB87E">
      <w:start w:val="1"/>
      <w:numFmt w:val="lowerLetter"/>
      <w:lvlText w:val="%2)"/>
      <w:lvlJc w:val="left"/>
      <w:pPr>
        <w:tabs>
          <w:tab w:val="num" w:pos="1080"/>
        </w:tabs>
        <w:ind w:left="1080" w:hanging="360"/>
      </w:pPr>
      <w:rPr>
        <w:rFonts w:cs="Times New Roman" w:hint="default"/>
        <w:b w:val="0"/>
        <w:i w:val="0"/>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5" w15:restartNumberingAfterBreak="0">
    <w:nsid w:val="60F3210A"/>
    <w:multiLevelType w:val="hybridMultilevel"/>
    <w:tmpl w:val="657A6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081F2A"/>
    <w:multiLevelType w:val="hybridMultilevel"/>
    <w:tmpl w:val="9FA88704"/>
    <w:lvl w:ilvl="0" w:tplc="140A000F">
      <w:start w:val="1"/>
      <w:numFmt w:val="decimal"/>
      <w:lvlText w:val="%1."/>
      <w:lvlJc w:val="left"/>
      <w:pPr>
        <w:ind w:left="-774" w:hanging="360"/>
      </w:pPr>
    </w:lvl>
    <w:lvl w:ilvl="1" w:tplc="140A0019" w:tentative="1">
      <w:start w:val="1"/>
      <w:numFmt w:val="lowerLetter"/>
      <w:lvlText w:val="%2."/>
      <w:lvlJc w:val="left"/>
      <w:pPr>
        <w:ind w:left="-54" w:hanging="360"/>
      </w:pPr>
    </w:lvl>
    <w:lvl w:ilvl="2" w:tplc="140A001B" w:tentative="1">
      <w:start w:val="1"/>
      <w:numFmt w:val="lowerRoman"/>
      <w:lvlText w:val="%3."/>
      <w:lvlJc w:val="right"/>
      <w:pPr>
        <w:ind w:left="666" w:hanging="180"/>
      </w:pPr>
    </w:lvl>
    <w:lvl w:ilvl="3" w:tplc="140A000F" w:tentative="1">
      <w:start w:val="1"/>
      <w:numFmt w:val="decimal"/>
      <w:lvlText w:val="%4."/>
      <w:lvlJc w:val="left"/>
      <w:pPr>
        <w:ind w:left="1386" w:hanging="360"/>
      </w:pPr>
    </w:lvl>
    <w:lvl w:ilvl="4" w:tplc="140A0019" w:tentative="1">
      <w:start w:val="1"/>
      <w:numFmt w:val="lowerLetter"/>
      <w:lvlText w:val="%5."/>
      <w:lvlJc w:val="left"/>
      <w:pPr>
        <w:ind w:left="2106" w:hanging="360"/>
      </w:pPr>
    </w:lvl>
    <w:lvl w:ilvl="5" w:tplc="140A001B" w:tentative="1">
      <w:start w:val="1"/>
      <w:numFmt w:val="lowerRoman"/>
      <w:lvlText w:val="%6."/>
      <w:lvlJc w:val="right"/>
      <w:pPr>
        <w:ind w:left="2826" w:hanging="180"/>
      </w:pPr>
    </w:lvl>
    <w:lvl w:ilvl="6" w:tplc="140A000F" w:tentative="1">
      <w:start w:val="1"/>
      <w:numFmt w:val="decimal"/>
      <w:lvlText w:val="%7."/>
      <w:lvlJc w:val="left"/>
      <w:pPr>
        <w:ind w:left="3546" w:hanging="360"/>
      </w:pPr>
    </w:lvl>
    <w:lvl w:ilvl="7" w:tplc="140A0019" w:tentative="1">
      <w:start w:val="1"/>
      <w:numFmt w:val="lowerLetter"/>
      <w:lvlText w:val="%8."/>
      <w:lvlJc w:val="left"/>
      <w:pPr>
        <w:ind w:left="4266" w:hanging="360"/>
      </w:pPr>
    </w:lvl>
    <w:lvl w:ilvl="8" w:tplc="140A001B" w:tentative="1">
      <w:start w:val="1"/>
      <w:numFmt w:val="lowerRoman"/>
      <w:lvlText w:val="%9."/>
      <w:lvlJc w:val="right"/>
      <w:pPr>
        <w:ind w:left="4986" w:hanging="180"/>
      </w:pPr>
    </w:lvl>
  </w:abstractNum>
  <w:abstractNum w:abstractNumId="7" w15:restartNumberingAfterBreak="0">
    <w:nsid w:val="75940DAC"/>
    <w:multiLevelType w:val="hybridMultilevel"/>
    <w:tmpl w:val="08D052E0"/>
    <w:lvl w:ilvl="0" w:tplc="0C0A0015">
      <w:start w:val="1"/>
      <w:numFmt w:val="upperLetter"/>
      <w:lvlText w:val="%1."/>
      <w:lvlJc w:val="left"/>
      <w:pPr>
        <w:ind w:left="1222"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8" w15:restartNumberingAfterBreak="0">
    <w:nsid w:val="77DB617F"/>
    <w:multiLevelType w:val="hybridMultilevel"/>
    <w:tmpl w:val="BD76D710"/>
    <w:lvl w:ilvl="0" w:tplc="540A000F">
      <w:start w:val="1"/>
      <w:numFmt w:val="decimal"/>
      <w:lvlText w:val="%1."/>
      <w:lvlJc w:val="left"/>
      <w:pPr>
        <w:ind w:left="720" w:hanging="360"/>
      </w:pPr>
      <w:rPr>
        <w:rFonts w:cs="Times New Roman" w:hint="default"/>
      </w:rPr>
    </w:lvl>
    <w:lvl w:ilvl="1" w:tplc="540A0019" w:tentative="1">
      <w:start w:val="1"/>
      <w:numFmt w:val="lowerLetter"/>
      <w:lvlText w:val="%2."/>
      <w:lvlJc w:val="left"/>
      <w:pPr>
        <w:ind w:left="1440" w:hanging="360"/>
      </w:pPr>
      <w:rPr>
        <w:rFonts w:cs="Times New Roman"/>
      </w:rPr>
    </w:lvl>
    <w:lvl w:ilvl="2" w:tplc="540A001B" w:tentative="1">
      <w:start w:val="1"/>
      <w:numFmt w:val="lowerRoman"/>
      <w:lvlText w:val="%3."/>
      <w:lvlJc w:val="right"/>
      <w:pPr>
        <w:ind w:left="2160" w:hanging="180"/>
      </w:pPr>
      <w:rPr>
        <w:rFonts w:cs="Times New Roman"/>
      </w:rPr>
    </w:lvl>
    <w:lvl w:ilvl="3" w:tplc="540A000F" w:tentative="1">
      <w:start w:val="1"/>
      <w:numFmt w:val="decimal"/>
      <w:lvlText w:val="%4."/>
      <w:lvlJc w:val="left"/>
      <w:pPr>
        <w:ind w:left="2880" w:hanging="360"/>
      </w:pPr>
      <w:rPr>
        <w:rFonts w:cs="Times New Roman"/>
      </w:rPr>
    </w:lvl>
    <w:lvl w:ilvl="4" w:tplc="540A0019" w:tentative="1">
      <w:start w:val="1"/>
      <w:numFmt w:val="lowerLetter"/>
      <w:lvlText w:val="%5."/>
      <w:lvlJc w:val="left"/>
      <w:pPr>
        <w:ind w:left="3600" w:hanging="360"/>
      </w:pPr>
      <w:rPr>
        <w:rFonts w:cs="Times New Roman"/>
      </w:rPr>
    </w:lvl>
    <w:lvl w:ilvl="5" w:tplc="540A001B" w:tentative="1">
      <w:start w:val="1"/>
      <w:numFmt w:val="lowerRoman"/>
      <w:lvlText w:val="%6."/>
      <w:lvlJc w:val="right"/>
      <w:pPr>
        <w:ind w:left="4320" w:hanging="180"/>
      </w:pPr>
      <w:rPr>
        <w:rFonts w:cs="Times New Roman"/>
      </w:rPr>
    </w:lvl>
    <w:lvl w:ilvl="6" w:tplc="540A000F" w:tentative="1">
      <w:start w:val="1"/>
      <w:numFmt w:val="decimal"/>
      <w:lvlText w:val="%7."/>
      <w:lvlJc w:val="left"/>
      <w:pPr>
        <w:ind w:left="5040" w:hanging="360"/>
      </w:pPr>
      <w:rPr>
        <w:rFonts w:cs="Times New Roman"/>
      </w:rPr>
    </w:lvl>
    <w:lvl w:ilvl="7" w:tplc="540A0019" w:tentative="1">
      <w:start w:val="1"/>
      <w:numFmt w:val="lowerLetter"/>
      <w:lvlText w:val="%8."/>
      <w:lvlJc w:val="left"/>
      <w:pPr>
        <w:ind w:left="5760" w:hanging="360"/>
      </w:pPr>
      <w:rPr>
        <w:rFonts w:cs="Times New Roman"/>
      </w:rPr>
    </w:lvl>
    <w:lvl w:ilvl="8" w:tplc="540A001B" w:tentative="1">
      <w:start w:val="1"/>
      <w:numFmt w:val="lowerRoman"/>
      <w:lvlText w:val="%9."/>
      <w:lvlJc w:val="right"/>
      <w:pPr>
        <w:ind w:left="6480" w:hanging="180"/>
      </w:pPr>
      <w:rPr>
        <w:rFonts w:cs="Times New Roman"/>
      </w:rPr>
    </w:lvl>
  </w:abstractNum>
  <w:abstractNum w:abstractNumId="9" w15:restartNumberingAfterBreak="0">
    <w:nsid w:val="79354707"/>
    <w:multiLevelType w:val="hybridMultilevel"/>
    <w:tmpl w:val="9AFC3202"/>
    <w:lvl w:ilvl="0" w:tplc="D19A94C6">
      <w:start w:val="1"/>
      <w:numFmt w:val="decimal"/>
      <w:lvlText w:val="%1."/>
      <w:lvlJc w:val="left"/>
      <w:pPr>
        <w:ind w:left="2895" w:hanging="825"/>
      </w:pPr>
      <w:rPr>
        <w:rFonts w:eastAsia="Verdana" w:cs="Verdana"/>
        <w:b w:val="0"/>
        <w:i w:val="0"/>
        <w:color w:val="auto"/>
        <w:sz w:val="20"/>
        <w:szCs w:val="20"/>
        <w:lang w:val="es-E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9"/>
  </w:num>
  <w:num w:numId="2">
    <w:abstractNumId w:val="0"/>
  </w:num>
  <w:num w:numId="3">
    <w:abstractNumId w:val="1"/>
  </w:num>
  <w:num w:numId="4">
    <w:abstractNumId w:val="3"/>
  </w:num>
  <w:num w:numId="5">
    <w:abstractNumId w:val="7"/>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5"/>
  </w:num>
  <w:num w:numId="1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D5A"/>
    <w:rsid w:val="00001624"/>
    <w:rsid w:val="0000216B"/>
    <w:rsid w:val="00002A76"/>
    <w:rsid w:val="00004CA5"/>
    <w:rsid w:val="00005674"/>
    <w:rsid w:val="000057B2"/>
    <w:rsid w:val="00006191"/>
    <w:rsid w:val="000065D4"/>
    <w:rsid w:val="00006D74"/>
    <w:rsid w:val="00006F24"/>
    <w:rsid w:val="000075D9"/>
    <w:rsid w:val="00010074"/>
    <w:rsid w:val="00010713"/>
    <w:rsid w:val="000119D9"/>
    <w:rsid w:val="00011B52"/>
    <w:rsid w:val="00011B99"/>
    <w:rsid w:val="00013CDD"/>
    <w:rsid w:val="00014C38"/>
    <w:rsid w:val="000152F8"/>
    <w:rsid w:val="0001701A"/>
    <w:rsid w:val="00017FB2"/>
    <w:rsid w:val="000219C2"/>
    <w:rsid w:val="00021CAD"/>
    <w:rsid w:val="0002239A"/>
    <w:rsid w:val="00022EFC"/>
    <w:rsid w:val="00023A4C"/>
    <w:rsid w:val="000248ED"/>
    <w:rsid w:val="00025297"/>
    <w:rsid w:val="0002534F"/>
    <w:rsid w:val="00025B68"/>
    <w:rsid w:val="00026D0E"/>
    <w:rsid w:val="00026EB0"/>
    <w:rsid w:val="0002702C"/>
    <w:rsid w:val="00027F4E"/>
    <w:rsid w:val="000302FF"/>
    <w:rsid w:val="000307C5"/>
    <w:rsid w:val="00030F02"/>
    <w:rsid w:val="00031B06"/>
    <w:rsid w:val="00033061"/>
    <w:rsid w:val="00033407"/>
    <w:rsid w:val="00033D3F"/>
    <w:rsid w:val="00035149"/>
    <w:rsid w:val="0003516E"/>
    <w:rsid w:val="0003622E"/>
    <w:rsid w:val="0003688E"/>
    <w:rsid w:val="00036ECB"/>
    <w:rsid w:val="00040D30"/>
    <w:rsid w:val="00040E00"/>
    <w:rsid w:val="00040F1D"/>
    <w:rsid w:val="0004216E"/>
    <w:rsid w:val="0004275A"/>
    <w:rsid w:val="00042AEA"/>
    <w:rsid w:val="000437D3"/>
    <w:rsid w:val="00046D65"/>
    <w:rsid w:val="00047DCB"/>
    <w:rsid w:val="00047DD6"/>
    <w:rsid w:val="00047F6F"/>
    <w:rsid w:val="00050069"/>
    <w:rsid w:val="00050831"/>
    <w:rsid w:val="000529DE"/>
    <w:rsid w:val="00052D0F"/>
    <w:rsid w:val="00052E3A"/>
    <w:rsid w:val="00052EF0"/>
    <w:rsid w:val="00053769"/>
    <w:rsid w:val="00054807"/>
    <w:rsid w:val="0005766E"/>
    <w:rsid w:val="00060BEC"/>
    <w:rsid w:val="000622DD"/>
    <w:rsid w:val="00062341"/>
    <w:rsid w:val="0006421B"/>
    <w:rsid w:val="00064278"/>
    <w:rsid w:val="0006563B"/>
    <w:rsid w:val="0006564C"/>
    <w:rsid w:val="00065BE5"/>
    <w:rsid w:val="00065F89"/>
    <w:rsid w:val="000707F1"/>
    <w:rsid w:val="00070FB9"/>
    <w:rsid w:val="00071411"/>
    <w:rsid w:val="00073A0C"/>
    <w:rsid w:val="00073A7F"/>
    <w:rsid w:val="00073AD4"/>
    <w:rsid w:val="0007543A"/>
    <w:rsid w:val="00075BE0"/>
    <w:rsid w:val="00075CF3"/>
    <w:rsid w:val="00075DEC"/>
    <w:rsid w:val="00076D0F"/>
    <w:rsid w:val="0007793F"/>
    <w:rsid w:val="00080917"/>
    <w:rsid w:val="00081F12"/>
    <w:rsid w:val="00082EEC"/>
    <w:rsid w:val="000844E9"/>
    <w:rsid w:val="000874BC"/>
    <w:rsid w:val="000876F6"/>
    <w:rsid w:val="00087A8C"/>
    <w:rsid w:val="000912D6"/>
    <w:rsid w:val="00094210"/>
    <w:rsid w:val="00094C95"/>
    <w:rsid w:val="00095517"/>
    <w:rsid w:val="000958F1"/>
    <w:rsid w:val="000A01F8"/>
    <w:rsid w:val="000A04EE"/>
    <w:rsid w:val="000A0A5C"/>
    <w:rsid w:val="000A1014"/>
    <w:rsid w:val="000A137A"/>
    <w:rsid w:val="000A3602"/>
    <w:rsid w:val="000A3B04"/>
    <w:rsid w:val="000A3CB7"/>
    <w:rsid w:val="000A46D9"/>
    <w:rsid w:val="000A4902"/>
    <w:rsid w:val="000A5673"/>
    <w:rsid w:val="000A5752"/>
    <w:rsid w:val="000A5CBC"/>
    <w:rsid w:val="000A63FD"/>
    <w:rsid w:val="000A74A9"/>
    <w:rsid w:val="000B21B2"/>
    <w:rsid w:val="000B37EE"/>
    <w:rsid w:val="000B44B4"/>
    <w:rsid w:val="000B44CE"/>
    <w:rsid w:val="000B4FFA"/>
    <w:rsid w:val="000B5710"/>
    <w:rsid w:val="000B5809"/>
    <w:rsid w:val="000B6780"/>
    <w:rsid w:val="000B6A89"/>
    <w:rsid w:val="000B6AE8"/>
    <w:rsid w:val="000B7969"/>
    <w:rsid w:val="000C2262"/>
    <w:rsid w:val="000C375D"/>
    <w:rsid w:val="000C40D9"/>
    <w:rsid w:val="000C4E98"/>
    <w:rsid w:val="000C55A0"/>
    <w:rsid w:val="000C5787"/>
    <w:rsid w:val="000C6475"/>
    <w:rsid w:val="000C6E44"/>
    <w:rsid w:val="000C79A0"/>
    <w:rsid w:val="000D02F4"/>
    <w:rsid w:val="000D08C9"/>
    <w:rsid w:val="000D1879"/>
    <w:rsid w:val="000D2B22"/>
    <w:rsid w:val="000D38BD"/>
    <w:rsid w:val="000D4369"/>
    <w:rsid w:val="000D492A"/>
    <w:rsid w:val="000D6D73"/>
    <w:rsid w:val="000D766A"/>
    <w:rsid w:val="000E04B9"/>
    <w:rsid w:val="000E0660"/>
    <w:rsid w:val="000E1E5E"/>
    <w:rsid w:val="000E4099"/>
    <w:rsid w:val="000E42B1"/>
    <w:rsid w:val="000E43FA"/>
    <w:rsid w:val="000E45D1"/>
    <w:rsid w:val="000E4F2D"/>
    <w:rsid w:val="000E770C"/>
    <w:rsid w:val="000E7AA5"/>
    <w:rsid w:val="000F08F5"/>
    <w:rsid w:val="000F12EA"/>
    <w:rsid w:val="000F3072"/>
    <w:rsid w:val="000F3A2D"/>
    <w:rsid w:val="000F4116"/>
    <w:rsid w:val="000F43A8"/>
    <w:rsid w:val="000F4AFF"/>
    <w:rsid w:val="000F4E9F"/>
    <w:rsid w:val="000F5593"/>
    <w:rsid w:val="000F64F4"/>
    <w:rsid w:val="000F651D"/>
    <w:rsid w:val="000F670E"/>
    <w:rsid w:val="000F6998"/>
    <w:rsid w:val="000F738B"/>
    <w:rsid w:val="000F7C16"/>
    <w:rsid w:val="00100403"/>
    <w:rsid w:val="00102BBE"/>
    <w:rsid w:val="001037AF"/>
    <w:rsid w:val="00103C77"/>
    <w:rsid w:val="00104168"/>
    <w:rsid w:val="0010513D"/>
    <w:rsid w:val="00106410"/>
    <w:rsid w:val="001065CA"/>
    <w:rsid w:val="001065D3"/>
    <w:rsid w:val="00107357"/>
    <w:rsid w:val="00107CC3"/>
    <w:rsid w:val="00110598"/>
    <w:rsid w:val="00112729"/>
    <w:rsid w:val="00115C80"/>
    <w:rsid w:val="0011607E"/>
    <w:rsid w:val="00116B13"/>
    <w:rsid w:val="00120905"/>
    <w:rsid w:val="0012098C"/>
    <w:rsid w:val="00120E35"/>
    <w:rsid w:val="00120EE2"/>
    <w:rsid w:val="00121D96"/>
    <w:rsid w:val="00121F48"/>
    <w:rsid w:val="0012229D"/>
    <w:rsid w:val="00124228"/>
    <w:rsid w:val="00124C0A"/>
    <w:rsid w:val="00126862"/>
    <w:rsid w:val="00126FE2"/>
    <w:rsid w:val="001306FA"/>
    <w:rsid w:val="00130729"/>
    <w:rsid w:val="001307CB"/>
    <w:rsid w:val="00130B34"/>
    <w:rsid w:val="00130EBD"/>
    <w:rsid w:val="00132903"/>
    <w:rsid w:val="00132D04"/>
    <w:rsid w:val="00134281"/>
    <w:rsid w:val="001343EE"/>
    <w:rsid w:val="0013488A"/>
    <w:rsid w:val="00136B42"/>
    <w:rsid w:val="001371C1"/>
    <w:rsid w:val="001406EF"/>
    <w:rsid w:val="00140896"/>
    <w:rsid w:val="0014173B"/>
    <w:rsid w:val="00141EC3"/>
    <w:rsid w:val="0014311E"/>
    <w:rsid w:val="0014406B"/>
    <w:rsid w:val="00144FA3"/>
    <w:rsid w:val="00145634"/>
    <w:rsid w:val="001458EB"/>
    <w:rsid w:val="00145DDC"/>
    <w:rsid w:val="00145F74"/>
    <w:rsid w:val="0014603B"/>
    <w:rsid w:val="0015067E"/>
    <w:rsid w:val="00151009"/>
    <w:rsid w:val="00152ADF"/>
    <w:rsid w:val="001537CB"/>
    <w:rsid w:val="00153ECC"/>
    <w:rsid w:val="00157362"/>
    <w:rsid w:val="00157F6E"/>
    <w:rsid w:val="001628E5"/>
    <w:rsid w:val="00162D4A"/>
    <w:rsid w:val="00165892"/>
    <w:rsid w:val="00167C5B"/>
    <w:rsid w:val="001702C0"/>
    <w:rsid w:val="00170C72"/>
    <w:rsid w:val="00170CB2"/>
    <w:rsid w:val="001717EB"/>
    <w:rsid w:val="001734EC"/>
    <w:rsid w:val="001734FA"/>
    <w:rsid w:val="001737E6"/>
    <w:rsid w:val="001738E3"/>
    <w:rsid w:val="0017394C"/>
    <w:rsid w:val="001745CA"/>
    <w:rsid w:val="001746FB"/>
    <w:rsid w:val="001759CB"/>
    <w:rsid w:val="00176377"/>
    <w:rsid w:val="00177A7B"/>
    <w:rsid w:val="0018152C"/>
    <w:rsid w:val="001821FB"/>
    <w:rsid w:val="001839B2"/>
    <w:rsid w:val="0018438F"/>
    <w:rsid w:val="001849E1"/>
    <w:rsid w:val="0018508D"/>
    <w:rsid w:val="00186015"/>
    <w:rsid w:val="00186067"/>
    <w:rsid w:val="001870DC"/>
    <w:rsid w:val="00187212"/>
    <w:rsid w:val="00187A72"/>
    <w:rsid w:val="001913F3"/>
    <w:rsid w:val="00192513"/>
    <w:rsid w:val="00192C3D"/>
    <w:rsid w:val="001930E0"/>
    <w:rsid w:val="0019317C"/>
    <w:rsid w:val="00193F2F"/>
    <w:rsid w:val="001944B8"/>
    <w:rsid w:val="00194724"/>
    <w:rsid w:val="00195CC2"/>
    <w:rsid w:val="00196CD7"/>
    <w:rsid w:val="00197079"/>
    <w:rsid w:val="00197242"/>
    <w:rsid w:val="00197B49"/>
    <w:rsid w:val="001A15D9"/>
    <w:rsid w:val="001A1D28"/>
    <w:rsid w:val="001A2A9C"/>
    <w:rsid w:val="001A2CB5"/>
    <w:rsid w:val="001A30D4"/>
    <w:rsid w:val="001A3DB9"/>
    <w:rsid w:val="001A5DF6"/>
    <w:rsid w:val="001A75C1"/>
    <w:rsid w:val="001A78BB"/>
    <w:rsid w:val="001A7F10"/>
    <w:rsid w:val="001B14E8"/>
    <w:rsid w:val="001B207F"/>
    <w:rsid w:val="001B2088"/>
    <w:rsid w:val="001B558A"/>
    <w:rsid w:val="001B55A7"/>
    <w:rsid w:val="001B7177"/>
    <w:rsid w:val="001C114C"/>
    <w:rsid w:val="001C4BBD"/>
    <w:rsid w:val="001C5B16"/>
    <w:rsid w:val="001C6C44"/>
    <w:rsid w:val="001D0068"/>
    <w:rsid w:val="001D0ACA"/>
    <w:rsid w:val="001D405A"/>
    <w:rsid w:val="001D4164"/>
    <w:rsid w:val="001D422B"/>
    <w:rsid w:val="001D427D"/>
    <w:rsid w:val="001D5713"/>
    <w:rsid w:val="001D7D5A"/>
    <w:rsid w:val="001E0ACE"/>
    <w:rsid w:val="001E0CD8"/>
    <w:rsid w:val="001E10DD"/>
    <w:rsid w:val="001E1177"/>
    <w:rsid w:val="001E11A2"/>
    <w:rsid w:val="001E155B"/>
    <w:rsid w:val="001E276D"/>
    <w:rsid w:val="001E308D"/>
    <w:rsid w:val="001E320B"/>
    <w:rsid w:val="001E65CF"/>
    <w:rsid w:val="001E7CB7"/>
    <w:rsid w:val="001E7D90"/>
    <w:rsid w:val="001F0F62"/>
    <w:rsid w:val="001F34DC"/>
    <w:rsid w:val="001F5C74"/>
    <w:rsid w:val="002009A5"/>
    <w:rsid w:val="00200BB6"/>
    <w:rsid w:val="00201EA7"/>
    <w:rsid w:val="0020281A"/>
    <w:rsid w:val="002042ED"/>
    <w:rsid w:val="00204840"/>
    <w:rsid w:val="00204A55"/>
    <w:rsid w:val="00204D8D"/>
    <w:rsid w:val="0020592E"/>
    <w:rsid w:val="00206ABC"/>
    <w:rsid w:val="00210852"/>
    <w:rsid w:val="00210AB5"/>
    <w:rsid w:val="002122F1"/>
    <w:rsid w:val="00212522"/>
    <w:rsid w:val="002138FA"/>
    <w:rsid w:val="0021501D"/>
    <w:rsid w:val="002151C9"/>
    <w:rsid w:val="002152A0"/>
    <w:rsid w:val="00215900"/>
    <w:rsid w:val="00215F5E"/>
    <w:rsid w:val="00216132"/>
    <w:rsid w:val="00217558"/>
    <w:rsid w:val="00217709"/>
    <w:rsid w:val="00217F79"/>
    <w:rsid w:val="002206DD"/>
    <w:rsid w:val="0022106F"/>
    <w:rsid w:val="00221175"/>
    <w:rsid w:val="0022333D"/>
    <w:rsid w:val="002240B1"/>
    <w:rsid w:val="00224143"/>
    <w:rsid w:val="00224BE1"/>
    <w:rsid w:val="002257B0"/>
    <w:rsid w:val="00225AFF"/>
    <w:rsid w:val="00227A8C"/>
    <w:rsid w:val="00230D1C"/>
    <w:rsid w:val="002319CF"/>
    <w:rsid w:val="00231F17"/>
    <w:rsid w:val="0023277C"/>
    <w:rsid w:val="0023330E"/>
    <w:rsid w:val="00233BC0"/>
    <w:rsid w:val="002346DA"/>
    <w:rsid w:val="0023533F"/>
    <w:rsid w:val="00235B47"/>
    <w:rsid w:val="00236697"/>
    <w:rsid w:val="00237A50"/>
    <w:rsid w:val="00240080"/>
    <w:rsid w:val="002409A6"/>
    <w:rsid w:val="00240B08"/>
    <w:rsid w:val="0024270E"/>
    <w:rsid w:val="00242A03"/>
    <w:rsid w:val="00242A22"/>
    <w:rsid w:val="00242B93"/>
    <w:rsid w:val="00242F6B"/>
    <w:rsid w:val="002435E6"/>
    <w:rsid w:val="0024432A"/>
    <w:rsid w:val="00244674"/>
    <w:rsid w:val="00244AAC"/>
    <w:rsid w:val="00244AC9"/>
    <w:rsid w:val="00244F5A"/>
    <w:rsid w:val="0024513F"/>
    <w:rsid w:val="002456B2"/>
    <w:rsid w:val="0024686B"/>
    <w:rsid w:val="00246AB6"/>
    <w:rsid w:val="00247535"/>
    <w:rsid w:val="002505EE"/>
    <w:rsid w:val="002516A3"/>
    <w:rsid w:val="00251948"/>
    <w:rsid w:val="00252930"/>
    <w:rsid w:val="0025364F"/>
    <w:rsid w:val="00254AF1"/>
    <w:rsid w:val="002553C7"/>
    <w:rsid w:val="002557EF"/>
    <w:rsid w:val="00256D45"/>
    <w:rsid w:val="00257426"/>
    <w:rsid w:val="00260BBB"/>
    <w:rsid w:val="0026108D"/>
    <w:rsid w:val="00261223"/>
    <w:rsid w:val="00262041"/>
    <w:rsid w:val="0026224B"/>
    <w:rsid w:val="002627DB"/>
    <w:rsid w:val="002637B8"/>
    <w:rsid w:val="00264E96"/>
    <w:rsid w:val="00266E05"/>
    <w:rsid w:val="00267460"/>
    <w:rsid w:val="002719F1"/>
    <w:rsid w:val="002720F1"/>
    <w:rsid w:val="002735DF"/>
    <w:rsid w:val="0027402B"/>
    <w:rsid w:val="00274172"/>
    <w:rsid w:val="00277D4A"/>
    <w:rsid w:val="00277F1C"/>
    <w:rsid w:val="00280235"/>
    <w:rsid w:val="002810A0"/>
    <w:rsid w:val="0028159D"/>
    <w:rsid w:val="0028162C"/>
    <w:rsid w:val="0028174D"/>
    <w:rsid w:val="0028244D"/>
    <w:rsid w:val="0028295C"/>
    <w:rsid w:val="002831D5"/>
    <w:rsid w:val="0028383B"/>
    <w:rsid w:val="0028471D"/>
    <w:rsid w:val="00284F37"/>
    <w:rsid w:val="002853FA"/>
    <w:rsid w:val="00285EA3"/>
    <w:rsid w:val="00286607"/>
    <w:rsid w:val="00286955"/>
    <w:rsid w:val="00286AC9"/>
    <w:rsid w:val="00286FFB"/>
    <w:rsid w:val="0028750D"/>
    <w:rsid w:val="00290A9C"/>
    <w:rsid w:val="00291D81"/>
    <w:rsid w:val="00291EB4"/>
    <w:rsid w:val="00293026"/>
    <w:rsid w:val="002935DD"/>
    <w:rsid w:val="0029495B"/>
    <w:rsid w:val="00296490"/>
    <w:rsid w:val="00296B86"/>
    <w:rsid w:val="00297054"/>
    <w:rsid w:val="00297CDF"/>
    <w:rsid w:val="002A1125"/>
    <w:rsid w:val="002A14C2"/>
    <w:rsid w:val="002A1702"/>
    <w:rsid w:val="002A213B"/>
    <w:rsid w:val="002A3438"/>
    <w:rsid w:val="002A4164"/>
    <w:rsid w:val="002A4980"/>
    <w:rsid w:val="002A50D3"/>
    <w:rsid w:val="002A5715"/>
    <w:rsid w:val="002A5C1E"/>
    <w:rsid w:val="002A5FA3"/>
    <w:rsid w:val="002A6EA9"/>
    <w:rsid w:val="002A74AD"/>
    <w:rsid w:val="002A7893"/>
    <w:rsid w:val="002B0613"/>
    <w:rsid w:val="002B07DA"/>
    <w:rsid w:val="002B132B"/>
    <w:rsid w:val="002B303F"/>
    <w:rsid w:val="002B356D"/>
    <w:rsid w:val="002B39B0"/>
    <w:rsid w:val="002B45FC"/>
    <w:rsid w:val="002B4B14"/>
    <w:rsid w:val="002B53B7"/>
    <w:rsid w:val="002B5842"/>
    <w:rsid w:val="002B619C"/>
    <w:rsid w:val="002B6893"/>
    <w:rsid w:val="002B772D"/>
    <w:rsid w:val="002C074B"/>
    <w:rsid w:val="002C1451"/>
    <w:rsid w:val="002C1C60"/>
    <w:rsid w:val="002C28CF"/>
    <w:rsid w:val="002C2C9C"/>
    <w:rsid w:val="002C30DC"/>
    <w:rsid w:val="002C32D9"/>
    <w:rsid w:val="002C35F9"/>
    <w:rsid w:val="002C362C"/>
    <w:rsid w:val="002C3B61"/>
    <w:rsid w:val="002C3EFD"/>
    <w:rsid w:val="002C4E99"/>
    <w:rsid w:val="002C64D9"/>
    <w:rsid w:val="002C6760"/>
    <w:rsid w:val="002D1E2A"/>
    <w:rsid w:val="002D27C8"/>
    <w:rsid w:val="002D30E0"/>
    <w:rsid w:val="002D4189"/>
    <w:rsid w:val="002D4F78"/>
    <w:rsid w:val="002D55D5"/>
    <w:rsid w:val="002D5CDE"/>
    <w:rsid w:val="002D7408"/>
    <w:rsid w:val="002D7A62"/>
    <w:rsid w:val="002E122C"/>
    <w:rsid w:val="002E2F8E"/>
    <w:rsid w:val="002E5285"/>
    <w:rsid w:val="002F068E"/>
    <w:rsid w:val="002F3CED"/>
    <w:rsid w:val="002F3E97"/>
    <w:rsid w:val="002F4643"/>
    <w:rsid w:val="002F659E"/>
    <w:rsid w:val="002F7699"/>
    <w:rsid w:val="002F7E29"/>
    <w:rsid w:val="00300882"/>
    <w:rsid w:val="00301093"/>
    <w:rsid w:val="003010AD"/>
    <w:rsid w:val="003010C3"/>
    <w:rsid w:val="00301247"/>
    <w:rsid w:val="0030240D"/>
    <w:rsid w:val="003049D9"/>
    <w:rsid w:val="0030534F"/>
    <w:rsid w:val="00305F36"/>
    <w:rsid w:val="00306310"/>
    <w:rsid w:val="00306431"/>
    <w:rsid w:val="00306965"/>
    <w:rsid w:val="00306F5D"/>
    <w:rsid w:val="003074AD"/>
    <w:rsid w:val="00310CFF"/>
    <w:rsid w:val="003115BA"/>
    <w:rsid w:val="00315276"/>
    <w:rsid w:val="00315BAF"/>
    <w:rsid w:val="0031673B"/>
    <w:rsid w:val="00317299"/>
    <w:rsid w:val="00321EFA"/>
    <w:rsid w:val="003238E4"/>
    <w:rsid w:val="00324E4A"/>
    <w:rsid w:val="00325A95"/>
    <w:rsid w:val="00325E56"/>
    <w:rsid w:val="00326050"/>
    <w:rsid w:val="00326D09"/>
    <w:rsid w:val="00327774"/>
    <w:rsid w:val="003303B6"/>
    <w:rsid w:val="003308A6"/>
    <w:rsid w:val="00330FC5"/>
    <w:rsid w:val="00331661"/>
    <w:rsid w:val="003317DA"/>
    <w:rsid w:val="0033222A"/>
    <w:rsid w:val="00332EA2"/>
    <w:rsid w:val="003336E4"/>
    <w:rsid w:val="00333A82"/>
    <w:rsid w:val="00333D15"/>
    <w:rsid w:val="0033473D"/>
    <w:rsid w:val="003354C4"/>
    <w:rsid w:val="0033619F"/>
    <w:rsid w:val="00336B9B"/>
    <w:rsid w:val="00340B46"/>
    <w:rsid w:val="00340D28"/>
    <w:rsid w:val="00341AF9"/>
    <w:rsid w:val="003426B1"/>
    <w:rsid w:val="00342CE6"/>
    <w:rsid w:val="00344A86"/>
    <w:rsid w:val="00345E0C"/>
    <w:rsid w:val="003477D4"/>
    <w:rsid w:val="00347D38"/>
    <w:rsid w:val="00351080"/>
    <w:rsid w:val="00351636"/>
    <w:rsid w:val="00352E46"/>
    <w:rsid w:val="00353775"/>
    <w:rsid w:val="003544DD"/>
    <w:rsid w:val="00354747"/>
    <w:rsid w:val="003556D6"/>
    <w:rsid w:val="00356691"/>
    <w:rsid w:val="003567F4"/>
    <w:rsid w:val="00356804"/>
    <w:rsid w:val="00357582"/>
    <w:rsid w:val="003600BD"/>
    <w:rsid w:val="00360581"/>
    <w:rsid w:val="003607B3"/>
    <w:rsid w:val="003608A0"/>
    <w:rsid w:val="00360CA2"/>
    <w:rsid w:val="00361FD3"/>
    <w:rsid w:val="0036284B"/>
    <w:rsid w:val="003630BB"/>
    <w:rsid w:val="0036328E"/>
    <w:rsid w:val="003638DC"/>
    <w:rsid w:val="003645D3"/>
    <w:rsid w:val="003655ED"/>
    <w:rsid w:val="00365A6E"/>
    <w:rsid w:val="00365B72"/>
    <w:rsid w:val="00366AE9"/>
    <w:rsid w:val="003745D4"/>
    <w:rsid w:val="0037689D"/>
    <w:rsid w:val="003769D9"/>
    <w:rsid w:val="003775FA"/>
    <w:rsid w:val="0037770C"/>
    <w:rsid w:val="00381797"/>
    <w:rsid w:val="00382126"/>
    <w:rsid w:val="00382EE2"/>
    <w:rsid w:val="0038419D"/>
    <w:rsid w:val="00384244"/>
    <w:rsid w:val="003848FC"/>
    <w:rsid w:val="003852C7"/>
    <w:rsid w:val="00385524"/>
    <w:rsid w:val="00385625"/>
    <w:rsid w:val="003861A1"/>
    <w:rsid w:val="00387DE2"/>
    <w:rsid w:val="0039078F"/>
    <w:rsid w:val="00391164"/>
    <w:rsid w:val="003915A2"/>
    <w:rsid w:val="00391F65"/>
    <w:rsid w:val="003924BD"/>
    <w:rsid w:val="00393019"/>
    <w:rsid w:val="00393372"/>
    <w:rsid w:val="00393708"/>
    <w:rsid w:val="00394C34"/>
    <w:rsid w:val="00394ED8"/>
    <w:rsid w:val="0039519D"/>
    <w:rsid w:val="0039645E"/>
    <w:rsid w:val="00396489"/>
    <w:rsid w:val="003A0220"/>
    <w:rsid w:val="003A02A7"/>
    <w:rsid w:val="003A093C"/>
    <w:rsid w:val="003A1042"/>
    <w:rsid w:val="003A1BB0"/>
    <w:rsid w:val="003A213F"/>
    <w:rsid w:val="003A22C1"/>
    <w:rsid w:val="003A3C6A"/>
    <w:rsid w:val="003A453C"/>
    <w:rsid w:val="003A6B19"/>
    <w:rsid w:val="003A73BF"/>
    <w:rsid w:val="003A742D"/>
    <w:rsid w:val="003B0BA5"/>
    <w:rsid w:val="003B15F1"/>
    <w:rsid w:val="003B19EC"/>
    <w:rsid w:val="003B1DBF"/>
    <w:rsid w:val="003B1E05"/>
    <w:rsid w:val="003B1F49"/>
    <w:rsid w:val="003B698B"/>
    <w:rsid w:val="003B77E9"/>
    <w:rsid w:val="003C0791"/>
    <w:rsid w:val="003C0EEE"/>
    <w:rsid w:val="003C1401"/>
    <w:rsid w:val="003C179B"/>
    <w:rsid w:val="003C23AB"/>
    <w:rsid w:val="003C24B4"/>
    <w:rsid w:val="003C2FB2"/>
    <w:rsid w:val="003C32EF"/>
    <w:rsid w:val="003C3CB3"/>
    <w:rsid w:val="003C5989"/>
    <w:rsid w:val="003C705D"/>
    <w:rsid w:val="003D1431"/>
    <w:rsid w:val="003D4195"/>
    <w:rsid w:val="003D6562"/>
    <w:rsid w:val="003D696C"/>
    <w:rsid w:val="003E0573"/>
    <w:rsid w:val="003E0FF8"/>
    <w:rsid w:val="003E34EE"/>
    <w:rsid w:val="003E3532"/>
    <w:rsid w:val="003E4EC0"/>
    <w:rsid w:val="003E508A"/>
    <w:rsid w:val="003E55DE"/>
    <w:rsid w:val="003E56C3"/>
    <w:rsid w:val="003E70AA"/>
    <w:rsid w:val="003E7285"/>
    <w:rsid w:val="003E7829"/>
    <w:rsid w:val="003E7C0B"/>
    <w:rsid w:val="003F05DC"/>
    <w:rsid w:val="003F07E1"/>
    <w:rsid w:val="003F2799"/>
    <w:rsid w:val="003F384A"/>
    <w:rsid w:val="003F3B73"/>
    <w:rsid w:val="003F3BFD"/>
    <w:rsid w:val="003F4EE0"/>
    <w:rsid w:val="003F50D5"/>
    <w:rsid w:val="003F6359"/>
    <w:rsid w:val="003F7C61"/>
    <w:rsid w:val="003F7C80"/>
    <w:rsid w:val="00400505"/>
    <w:rsid w:val="0040149D"/>
    <w:rsid w:val="00401C58"/>
    <w:rsid w:val="00405581"/>
    <w:rsid w:val="00406827"/>
    <w:rsid w:val="0041007E"/>
    <w:rsid w:val="0041172D"/>
    <w:rsid w:val="00411E7A"/>
    <w:rsid w:val="0041336A"/>
    <w:rsid w:val="004133FD"/>
    <w:rsid w:val="00413EB2"/>
    <w:rsid w:val="00413F1E"/>
    <w:rsid w:val="00413F45"/>
    <w:rsid w:val="00415312"/>
    <w:rsid w:val="00415708"/>
    <w:rsid w:val="00417419"/>
    <w:rsid w:val="004218C2"/>
    <w:rsid w:val="00422099"/>
    <w:rsid w:val="00422942"/>
    <w:rsid w:val="004231D1"/>
    <w:rsid w:val="004233C5"/>
    <w:rsid w:val="004234EB"/>
    <w:rsid w:val="00423906"/>
    <w:rsid w:val="00423DA2"/>
    <w:rsid w:val="004260B4"/>
    <w:rsid w:val="00431804"/>
    <w:rsid w:val="004318A0"/>
    <w:rsid w:val="00433E51"/>
    <w:rsid w:val="004344C1"/>
    <w:rsid w:val="00434992"/>
    <w:rsid w:val="00435701"/>
    <w:rsid w:val="00435C0B"/>
    <w:rsid w:val="00435D16"/>
    <w:rsid w:val="00437D67"/>
    <w:rsid w:val="00440162"/>
    <w:rsid w:val="00440991"/>
    <w:rsid w:val="00441FD4"/>
    <w:rsid w:val="00443028"/>
    <w:rsid w:val="00443217"/>
    <w:rsid w:val="00443761"/>
    <w:rsid w:val="00443970"/>
    <w:rsid w:val="0044397E"/>
    <w:rsid w:val="00444A95"/>
    <w:rsid w:val="004452EE"/>
    <w:rsid w:val="004454BE"/>
    <w:rsid w:val="00446567"/>
    <w:rsid w:val="00446C2F"/>
    <w:rsid w:val="004477ED"/>
    <w:rsid w:val="004479E7"/>
    <w:rsid w:val="0045006D"/>
    <w:rsid w:val="00452569"/>
    <w:rsid w:val="00453EEF"/>
    <w:rsid w:val="00454017"/>
    <w:rsid w:val="004545D6"/>
    <w:rsid w:val="00454B93"/>
    <w:rsid w:val="00454E1E"/>
    <w:rsid w:val="00454FA9"/>
    <w:rsid w:val="00456038"/>
    <w:rsid w:val="00456BD6"/>
    <w:rsid w:val="004600E0"/>
    <w:rsid w:val="00460100"/>
    <w:rsid w:val="00460191"/>
    <w:rsid w:val="00460C60"/>
    <w:rsid w:val="0046205C"/>
    <w:rsid w:val="004626B5"/>
    <w:rsid w:val="004629B4"/>
    <w:rsid w:val="00463A9A"/>
    <w:rsid w:val="00464148"/>
    <w:rsid w:val="00465055"/>
    <w:rsid w:val="00465B28"/>
    <w:rsid w:val="00465B58"/>
    <w:rsid w:val="0046603C"/>
    <w:rsid w:val="004701E0"/>
    <w:rsid w:val="004706DA"/>
    <w:rsid w:val="0047074F"/>
    <w:rsid w:val="004707CB"/>
    <w:rsid w:val="00470AFF"/>
    <w:rsid w:val="004711FD"/>
    <w:rsid w:val="00471435"/>
    <w:rsid w:val="00471446"/>
    <w:rsid w:val="004717EB"/>
    <w:rsid w:val="0047300F"/>
    <w:rsid w:val="0047312A"/>
    <w:rsid w:val="0047461E"/>
    <w:rsid w:val="00474D0E"/>
    <w:rsid w:val="00475098"/>
    <w:rsid w:val="004750B7"/>
    <w:rsid w:val="0047549E"/>
    <w:rsid w:val="0047577B"/>
    <w:rsid w:val="00476C69"/>
    <w:rsid w:val="004775C8"/>
    <w:rsid w:val="00481B94"/>
    <w:rsid w:val="00482842"/>
    <w:rsid w:val="00482EE0"/>
    <w:rsid w:val="00482FDF"/>
    <w:rsid w:val="00483040"/>
    <w:rsid w:val="00483472"/>
    <w:rsid w:val="004855EA"/>
    <w:rsid w:val="00490837"/>
    <w:rsid w:val="00490A9F"/>
    <w:rsid w:val="00491524"/>
    <w:rsid w:val="00492668"/>
    <w:rsid w:val="0049469F"/>
    <w:rsid w:val="0049633C"/>
    <w:rsid w:val="00496B2E"/>
    <w:rsid w:val="00496DCE"/>
    <w:rsid w:val="00497544"/>
    <w:rsid w:val="004A03C5"/>
    <w:rsid w:val="004A111F"/>
    <w:rsid w:val="004A151F"/>
    <w:rsid w:val="004A25F0"/>
    <w:rsid w:val="004A2859"/>
    <w:rsid w:val="004A3AA0"/>
    <w:rsid w:val="004A3B21"/>
    <w:rsid w:val="004A4AB8"/>
    <w:rsid w:val="004A5338"/>
    <w:rsid w:val="004A68FC"/>
    <w:rsid w:val="004B052F"/>
    <w:rsid w:val="004B26C9"/>
    <w:rsid w:val="004B3E95"/>
    <w:rsid w:val="004B7A62"/>
    <w:rsid w:val="004C017B"/>
    <w:rsid w:val="004C1426"/>
    <w:rsid w:val="004C1C0E"/>
    <w:rsid w:val="004C3916"/>
    <w:rsid w:val="004C4393"/>
    <w:rsid w:val="004C4F04"/>
    <w:rsid w:val="004C7846"/>
    <w:rsid w:val="004C7A29"/>
    <w:rsid w:val="004C7E8A"/>
    <w:rsid w:val="004D17DC"/>
    <w:rsid w:val="004D2D62"/>
    <w:rsid w:val="004D4EA8"/>
    <w:rsid w:val="004D7F59"/>
    <w:rsid w:val="004E1A83"/>
    <w:rsid w:val="004E1BEA"/>
    <w:rsid w:val="004E1D76"/>
    <w:rsid w:val="004E20EE"/>
    <w:rsid w:val="004E3BEF"/>
    <w:rsid w:val="004E456E"/>
    <w:rsid w:val="004E505D"/>
    <w:rsid w:val="004E54E1"/>
    <w:rsid w:val="004E6B6D"/>
    <w:rsid w:val="004F0A4B"/>
    <w:rsid w:val="004F0FDE"/>
    <w:rsid w:val="004F1079"/>
    <w:rsid w:val="004F211F"/>
    <w:rsid w:val="004F22D6"/>
    <w:rsid w:val="004F2F81"/>
    <w:rsid w:val="004F2F99"/>
    <w:rsid w:val="004F338B"/>
    <w:rsid w:val="004F41A2"/>
    <w:rsid w:val="004F440F"/>
    <w:rsid w:val="004F4BB5"/>
    <w:rsid w:val="004F526E"/>
    <w:rsid w:val="004F5346"/>
    <w:rsid w:val="004F53EE"/>
    <w:rsid w:val="004F6A65"/>
    <w:rsid w:val="004F6D4D"/>
    <w:rsid w:val="00500CBB"/>
    <w:rsid w:val="00501A8D"/>
    <w:rsid w:val="0050296C"/>
    <w:rsid w:val="00503324"/>
    <w:rsid w:val="0050560E"/>
    <w:rsid w:val="00506766"/>
    <w:rsid w:val="0050759D"/>
    <w:rsid w:val="0050774C"/>
    <w:rsid w:val="00507C7E"/>
    <w:rsid w:val="00511351"/>
    <w:rsid w:val="00511FCE"/>
    <w:rsid w:val="00512D19"/>
    <w:rsid w:val="005146ED"/>
    <w:rsid w:val="00514EB7"/>
    <w:rsid w:val="00514FFE"/>
    <w:rsid w:val="0051609B"/>
    <w:rsid w:val="00516703"/>
    <w:rsid w:val="00516A4A"/>
    <w:rsid w:val="005203DB"/>
    <w:rsid w:val="00520B82"/>
    <w:rsid w:val="00520BD5"/>
    <w:rsid w:val="00520D6C"/>
    <w:rsid w:val="00523AF4"/>
    <w:rsid w:val="00523F9A"/>
    <w:rsid w:val="0052408B"/>
    <w:rsid w:val="00525314"/>
    <w:rsid w:val="005258AF"/>
    <w:rsid w:val="00525D98"/>
    <w:rsid w:val="0052607C"/>
    <w:rsid w:val="0052664C"/>
    <w:rsid w:val="00526FFF"/>
    <w:rsid w:val="00527F6E"/>
    <w:rsid w:val="0053047C"/>
    <w:rsid w:val="00530E0E"/>
    <w:rsid w:val="005316CD"/>
    <w:rsid w:val="00531A7F"/>
    <w:rsid w:val="00531E10"/>
    <w:rsid w:val="00533495"/>
    <w:rsid w:val="00533E03"/>
    <w:rsid w:val="005342A1"/>
    <w:rsid w:val="00534B08"/>
    <w:rsid w:val="00536789"/>
    <w:rsid w:val="0053696C"/>
    <w:rsid w:val="0054156E"/>
    <w:rsid w:val="005422E8"/>
    <w:rsid w:val="0054388B"/>
    <w:rsid w:val="00543B2B"/>
    <w:rsid w:val="00544A4C"/>
    <w:rsid w:val="00544F92"/>
    <w:rsid w:val="0054505B"/>
    <w:rsid w:val="00545208"/>
    <w:rsid w:val="00546109"/>
    <w:rsid w:val="00546DAF"/>
    <w:rsid w:val="00547D2B"/>
    <w:rsid w:val="00550A16"/>
    <w:rsid w:val="00550E2B"/>
    <w:rsid w:val="005511F3"/>
    <w:rsid w:val="0055151B"/>
    <w:rsid w:val="00551C20"/>
    <w:rsid w:val="00554111"/>
    <w:rsid w:val="00554907"/>
    <w:rsid w:val="005549F0"/>
    <w:rsid w:val="005557D1"/>
    <w:rsid w:val="00556287"/>
    <w:rsid w:val="005578E2"/>
    <w:rsid w:val="005578F2"/>
    <w:rsid w:val="0056007C"/>
    <w:rsid w:val="005613A1"/>
    <w:rsid w:val="005635EB"/>
    <w:rsid w:val="00563EE4"/>
    <w:rsid w:val="005640AA"/>
    <w:rsid w:val="00565380"/>
    <w:rsid w:val="00566C5B"/>
    <w:rsid w:val="005675BD"/>
    <w:rsid w:val="0057079D"/>
    <w:rsid w:val="00571690"/>
    <w:rsid w:val="0057191B"/>
    <w:rsid w:val="00571992"/>
    <w:rsid w:val="00571E99"/>
    <w:rsid w:val="00572145"/>
    <w:rsid w:val="0057248E"/>
    <w:rsid w:val="005751DC"/>
    <w:rsid w:val="005758EC"/>
    <w:rsid w:val="00575B8D"/>
    <w:rsid w:val="0057717B"/>
    <w:rsid w:val="005773C6"/>
    <w:rsid w:val="00577A4F"/>
    <w:rsid w:val="00577CD7"/>
    <w:rsid w:val="00580200"/>
    <w:rsid w:val="005810D1"/>
    <w:rsid w:val="00584672"/>
    <w:rsid w:val="00584DF8"/>
    <w:rsid w:val="00585097"/>
    <w:rsid w:val="00585FA9"/>
    <w:rsid w:val="0058615A"/>
    <w:rsid w:val="00587396"/>
    <w:rsid w:val="005878E4"/>
    <w:rsid w:val="00590100"/>
    <w:rsid w:val="00590D63"/>
    <w:rsid w:val="0059166A"/>
    <w:rsid w:val="00591CFF"/>
    <w:rsid w:val="00592C8A"/>
    <w:rsid w:val="005935CA"/>
    <w:rsid w:val="00593AF8"/>
    <w:rsid w:val="00596660"/>
    <w:rsid w:val="005978C8"/>
    <w:rsid w:val="00597C30"/>
    <w:rsid w:val="00597CEA"/>
    <w:rsid w:val="005A024F"/>
    <w:rsid w:val="005A05DC"/>
    <w:rsid w:val="005A120A"/>
    <w:rsid w:val="005A1B0A"/>
    <w:rsid w:val="005A27C2"/>
    <w:rsid w:val="005A4FA2"/>
    <w:rsid w:val="005A5018"/>
    <w:rsid w:val="005A51EB"/>
    <w:rsid w:val="005A6F5D"/>
    <w:rsid w:val="005A7D52"/>
    <w:rsid w:val="005B103B"/>
    <w:rsid w:val="005B3DD7"/>
    <w:rsid w:val="005B4E7A"/>
    <w:rsid w:val="005B4FCC"/>
    <w:rsid w:val="005B6C50"/>
    <w:rsid w:val="005B6CD2"/>
    <w:rsid w:val="005B7074"/>
    <w:rsid w:val="005B7175"/>
    <w:rsid w:val="005B794D"/>
    <w:rsid w:val="005C03B8"/>
    <w:rsid w:val="005C04FA"/>
    <w:rsid w:val="005C1450"/>
    <w:rsid w:val="005C25D2"/>
    <w:rsid w:val="005C268D"/>
    <w:rsid w:val="005C2D9E"/>
    <w:rsid w:val="005C33EB"/>
    <w:rsid w:val="005C4001"/>
    <w:rsid w:val="005C4246"/>
    <w:rsid w:val="005C69CC"/>
    <w:rsid w:val="005C7849"/>
    <w:rsid w:val="005C7C1D"/>
    <w:rsid w:val="005D0137"/>
    <w:rsid w:val="005D04B8"/>
    <w:rsid w:val="005D0D0E"/>
    <w:rsid w:val="005D1064"/>
    <w:rsid w:val="005D185D"/>
    <w:rsid w:val="005D196C"/>
    <w:rsid w:val="005D6B82"/>
    <w:rsid w:val="005D6C40"/>
    <w:rsid w:val="005D7201"/>
    <w:rsid w:val="005D7503"/>
    <w:rsid w:val="005E05C5"/>
    <w:rsid w:val="005E05C6"/>
    <w:rsid w:val="005E1C79"/>
    <w:rsid w:val="005E239B"/>
    <w:rsid w:val="005E2F32"/>
    <w:rsid w:val="005E31D9"/>
    <w:rsid w:val="005E4AD2"/>
    <w:rsid w:val="005E72BA"/>
    <w:rsid w:val="005E7446"/>
    <w:rsid w:val="005E75B0"/>
    <w:rsid w:val="005E7C33"/>
    <w:rsid w:val="005E7CEB"/>
    <w:rsid w:val="005E7F49"/>
    <w:rsid w:val="005F0AB1"/>
    <w:rsid w:val="005F0D64"/>
    <w:rsid w:val="005F196B"/>
    <w:rsid w:val="005F2BA3"/>
    <w:rsid w:val="005F328A"/>
    <w:rsid w:val="005F3D74"/>
    <w:rsid w:val="005F4A44"/>
    <w:rsid w:val="005F5047"/>
    <w:rsid w:val="005F53D8"/>
    <w:rsid w:val="005F58B8"/>
    <w:rsid w:val="005F7B7C"/>
    <w:rsid w:val="005F7CBF"/>
    <w:rsid w:val="00600C58"/>
    <w:rsid w:val="006013DB"/>
    <w:rsid w:val="0060435D"/>
    <w:rsid w:val="0060490C"/>
    <w:rsid w:val="00604C41"/>
    <w:rsid w:val="00606A42"/>
    <w:rsid w:val="006077BD"/>
    <w:rsid w:val="00610AA3"/>
    <w:rsid w:val="00611992"/>
    <w:rsid w:val="00611CB5"/>
    <w:rsid w:val="00612B90"/>
    <w:rsid w:val="006141EE"/>
    <w:rsid w:val="00614E0E"/>
    <w:rsid w:val="00614F40"/>
    <w:rsid w:val="00614F8A"/>
    <w:rsid w:val="00616F2F"/>
    <w:rsid w:val="00617256"/>
    <w:rsid w:val="006175B8"/>
    <w:rsid w:val="00622AC2"/>
    <w:rsid w:val="00622D9B"/>
    <w:rsid w:val="0062359F"/>
    <w:rsid w:val="00623C42"/>
    <w:rsid w:val="0062591E"/>
    <w:rsid w:val="00627ED4"/>
    <w:rsid w:val="00630324"/>
    <w:rsid w:val="006305A1"/>
    <w:rsid w:val="006308BE"/>
    <w:rsid w:val="00631FB6"/>
    <w:rsid w:val="006322C2"/>
    <w:rsid w:val="006343E0"/>
    <w:rsid w:val="00634647"/>
    <w:rsid w:val="00634721"/>
    <w:rsid w:val="00635422"/>
    <w:rsid w:val="00635BDE"/>
    <w:rsid w:val="00635F70"/>
    <w:rsid w:val="006366C9"/>
    <w:rsid w:val="006368FC"/>
    <w:rsid w:val="00637174"/>
    <w:rsid w:val="00637D34"/>
    <w:rsid w:val="00637F3A"/>
    <w:rsid w:val="00637F84"/>
    <w:rsid w:val="00640455"/>
    <w:rsid w:val="006434E0"/>
    <w:rsid w:val="00643931"/>
    <w:rsid w:val="0064395F"/>
    <w:rsid w:val="00644E25"/>
    <w:rsid w:val="00645336"/>
    <w:rsid w:val="006458EF"/>
    <w:rsid w:val="00645F87"/>
    <w:rsid w:val="0064633A"/>
    <w:rsid w:val="00646E7A"/>
    <w:rsid w:val="00646F24"/>
    <w:rsid w:val="006473EA"/>
    <w:rsid w:val="0064755C"/>
    <w:rsid w:val="006514D7"/>
    <w:rsid w:val="00651681"/>
    <w:rsid w:val="00652A11"/>
    <w:rsid w:val="00652E0E"/>
    <w:rsid w:val="0065333E"/>
    <w:rsid w:val="00653653"/>
    <w:rsid w:val="00653921"/>
    <w:rsid w:val="00654F55"/>
    <w:rsid w:val="00655711"/>
    <w:rsid w:val="00655865"/>
    <w:rsid w:val="00655884"/>
    <w:rsid w:val="00660DBD"/>
    <w:rsid w:val="00660ED5"/>
    <w:rsid w:val="0066155D"/>
    <w:rsid w:val="00662427"/>
    <w:rsid w:val="0066387A"/>
    <w:rsid w:val="00663D4F"/>
    <w:rsid w:val="00665B1E"/>
    <w:rsid w:val="0066603B"/>
    <w:rsid w:val="0066697A"/>
    <w:rsid w:val="0066744D"/>
    <w:rsid w:val="0067281C"/>
    <w:rsid w:val="00672A0A"/>
    <w:rsid w:val="00673A8B"/>
    <w:rsid w:val="00674191"/>
    <w:rsid w:val="00674CFA"/>
    <w:rsid w:val="00675C89"/>
    <w:rsid w:val="00675F41"/>
    <w:rsid w:val="00676FA0"/>
    <w:rsid w:val="00677C2C"/>
    <w:rsid w:val="00680DD5"/>
    <w:rsid w:val="00681196"/>
    <w:rsid w:val="00681277"/>
    <w:rsid w:val="00682C38"/>
    <w:rsid w:val="00683D83"/>
    <w:rsid w:val="00684AF1"/>
    <w:rsid w:val="006861AB"/>
    <w:rsid w:val="00686C3E"/>
    <w:rsid w:val="00687660"/>
    <w:rsid w:val="006876E2"/>
    <w:rsid w:val="00690E7C"/>
    <w:rsid w:val="0069110A"/>
    <w:rsid w:val="00691C91"/>
    <w:rsid w:val="006925C7"/>
    <w:rsid w:val="0069378E"/>
    <w:rsid w:val="0069628A"/>
    <w:rsid w:val="00696691"/>
    <w:rsid w:val="006973FC"/>
    <w:rsid w:val="006A16F9"/>
    <w:rsid w:val="006A3145"/>
    <w:rsid w:val="006A4255"/>
    <w:rsid w:val="006A4CBB"/>
    <w:rsid w:val="006A6D7B"/>
    <w:rsid w:val="006B098D"/>
    <w:rsid w:val="006B1543"/>
    <w:rsid w:val="006B1E41"/>
    <w:rsid w:val="006B3733"/>
    <w:rsid w:val="006B506A"/>
    <w:rsid w:val="006B5F6A"/>
    <w:rsid w:val="006B6390"/>
    <w:rsid w:val="006B6908"/>
    <w:rsid w:val="006C0629"/>
    <w:rsid w:val="006C102D"/>
    <w:rsid w:val="006C16DA"/>
    <w:rsid w:val="006C2489"/>
    <w:rsid w:val="006C2CA8"/>
    <w:rsid w:val="006C3E2D"/>
    <w:rsid w:val="006C42F9"/>
    <w:rsid w:val="006C4D28"/>
    <w:rsid w:val="006C5FD8"/>
    <w:rsid w:val="006C7FD1"/>
    <w:rsid w:val="006D2478"/>
    <w:rsid w:val="006D3084"/>
    <w:rsid w:val="006D32A2"/>
    <w:rsid w:val="006D34EF"/>
    <w:rsid w:val="006D3BD5"/>
    <w:rsid w:val="006D56BE"/>
    <w:rsid w:val="006D5B07"/>
    <w:rsid w:val="006D6604"/>
    <w:rsid w:val="006D680D"/>
    <w:rsid w:val="006D73E7"/>
    <w:rsid w:val="006E0335"/>
    <w:rsid w:val="006E0912"/>
    <w:rsid w:val="006E1F8F"/>
    <w:rsid w:val="006E38C6"/>
    <w:rsid w:val="006E4994"/>
    <w:rsid w:val="006E4E59"/>
    <w:rsid w:val="006E56DA"/>
    <w:rsid w:val="006E5FCE"/>
    <w:rsid w:val="006E73F8"/>
    <w:rsid w:val="006F0568"/>
    <w:rsid w:val="006F0AEA"/>
    <w:rsid w:val="006F30F7"/>
    <w:rsid w:val="006F441F"/>
    <w:rsid w:val="006F4D4F"/>
    <w:rsid w:val="006F4D8F"/>
    <w:rsid w:val="006F4E4C"/>
    <w:rsid w:val="006F5021"/>
    <w:rsid w:val="006F52E5"/>
    <w:rsid w:val="006F56B0"/>
    <w:rsid w:val="006F5B8D"/>
    <w:rsid w:val="006F6333"/>
    <w:rsid w:val="006F7462"/>
    <w:rsid w:val="00701F24"/>
    <w:rsid w:val="0070665C"/>
    <w:rsid w:val="00706877"/>
    <w:rsid w:val="00707D7A"/>
    <w:rsid w:val="00710492"/>
    <w:rsid w:val="00710884"/>
    <w:rsid w:val="00710B2F"/>
    <w:rsid w:val="0071134E"/>
    <w:rsid w:val="0071172F"/>
    <w:rsid w:val="00711A68"/>
    <w:rsid w:val="00712C1E"/>
    <w:rsid w:val="00713B07"/>
    <w:rsid w:val="0071427D"/>
    <w:rsid w:val="007150AF"/>
    <w:rsid w:val="00717CBC"/>
    <w:rsid w:val="00717F1A"/>
    <w:rsid w:val="007206C1"/>
    <w:rsid w:val="00720805"/>
    <w:rsid w:val="00721B76"/>
    <w:rsid w:val="00723D4D"/>
    <w:rsid w:val="00724BBE"/>
    <w:rsid w:val="00724F54"/>
    <w:rsid w:val="0072571A"/>
    <w:rsid w:val="0072611A"/>
    <w:rsid w:val="00726875"/>
    <w:rsid w:val="00726A9C"/>
    <w:rsid w:val="00726B1A"/>
    <w:rsid w:val="00730B19"/>
    <w:rsid w:val="00730FCF"/>
    <w:rsid w:val="00731713"/>
    <w:rsid w:val="00731D3E"/>
    <w:rsid w:val="00733573"/>
    <w:rsid w:val="007341C0"/>
    <w:rsid w:val="0073504B"/>
    <w:rsid w:val="007358A1"/>
    <w:rsid w:val="00735AA3"/>
    <w:rsid w:val="00736378"/>
    <w:rsid w:val="0073638E"/>
    <w:rsid w:val="00736392"/>
    <w:rsid w:val="00737A34"/>
    <w:rsid w:val="00737B95"/>
    <w:rsid w:val="007405C9"/>
    <w:rsid w:val="00740927"/>
    <w:rsid w:val="00740C49"/>
    <w:rsid w:val="007425CA"/>
    <w:rsid w:val="00742AAC"/>
    <w:rsid w:val="00742B12"/>
    <w:rsid w:val="00744527"/>
    <w:rsid w:val="007452E3"/>
    <w:rsid w:val="00745FD9"/>
    <w:rsid w:val="0074622A"/>
    <w:rsid w:val="007467C6"/>
    <w:rsid w:val="00747A64"/>
    <w:rsid w:val="00750723"/>
    <w:rsid w:val="0075130B"/>
    <w:rsid w:val="007520A7"/>
    <w:rsid w:val="007537B7"/>
    <w:rsid w:val="007548E0"/>
    <w:rsid w:val="00757706"/>
    <w:rsid w:val="007613F3"/>
    <w:rsid w:val="007616A5"/>
    <w:rsid w:val="00761BB5"/>
    <w:rsid w:val="007624DE"/>
    <w:rsid w:val="007648C1"/>
    <w:rsid w:val="00764B72"/>
    <w:rsid w:val="00766894"/>
    <w:rsid w:val="007670FC"/>
    <w:rsid w:val="00767BF7"/>
    <w:rsid w:val="00767F41"/>
    <w:rsid w:val="00770773"/>
    <w:rsid w:val="00771FBB"/>
    <w:rsid w:val="00772084"/>
    <w:rsid w:val="00773A7D"/>
    <w:rsid w:val="00780632"/>
    <w:rsid w:val="007811B2"/>
    <w:rsid w:val="007811D4"/>
    <w:rsid w:val="00782C5C"/>
    <w:rsid w:val="00783217"/>
    <w:rsid w:val="007835BA"/>
    <w:rsid w:val="0078486F"/>
    <w:rsid w:val="00784B65"/>
    <w:rsid w:val="007850F7"/>
    <w:rsid w:val="0078687D"/>
    <w:rsid w:val="0078769F"/>
    <w:rsid w:val="00792662"/>
    <w:rsid w:val="00793484"/>
    <w:rsid w:val="00793917"/>
    <w:rsid w:val="00793BD3"/>
    <w:rsid w:val="007944B1"/>
    <w:rsid w:val="007974D3"/>
    <w:rsid w:val="007A0068"/>
    <w:rsid w:val="007A0D06"/>
    <w:rsid w:val="007A0E04"/>
    <w:rsid w:val="007A14EB"/>
    <w:rsid w:val="007A24B8"/>
    <w:rsid w:val="007A26D4"/>
    <w:rsid w:val="007A29E7"/>
    <w:rsid w:val="007A2FC4"/>
    <w:rsid w:val="007A3611"/>
    <w:rsid w:val="007A37DC"/>
    <w:rsid w:val="007A3A05"/>
    <w:rsid w:val="007A3A3C"/>
    <w:rsid w:val="007A66D9"/>
    <w:rsid w:val="007A6AFB"/>
    <w:rsid w:val="007A78B7"/>
    <w:rsid w:val="007A7D2F"/>
    <w:rsid w:val="007B005D"/>
    <w:rsid w:val="007B06AD"/>
    <w:rsid w:val="007B07F1"/>
    <w:rsid w:val="007B09C2"/>
    <w:rsid w:val="007B0D1F"/>
    <w:rsid w:val="007B0F3B"/>
    <w:rsid w:val="007B1506"/>
    <w:rsid w:val="007B244C"/>
    <w:rsid w:val="007B3298"/>
    <w:rsid w:val="007B347F"/>
    <w:rsid w:val="007B3985"/>
    <w:rsid w:val="007B45B5"/>
    <w:rsid w:val="007B47AB"/>
    <w:rsid w:val="007B55BB"/>
    <w:rsid w:val="007B6BE5"/>
    <w:rsid w:val="007B6EB1"/>
    <w:rsid w:val="007B6ED9"/>
    <w:rsid w:val="007B7290"/>
    <w:rsid w:val="007B7EEF"/>
    <w:rsid w:val="007B7F3E"/>
    <w:rsid w:val="007C0387"/>
    <w:rsid w:val="007C123D"/>
    <w:rsid w:val="007C1331"/>
    <w:rsid w:val="007C14F8"/>
    <w:rsid w:val="007C1840"/>
    <w:rsid w:val="007C2AAE"/>
    <w:rsid w:val="007C356C"/>
    <w:rsid w:val="007C5159"/>
    <w:rsid w:val="007C5304"/>
    <w:rsid w:val="007C599B"/>
    <w:rsid w:val="007C6ADD"/>
    <w:rsid w:val="007C6E52"/>
    <w:rsid w:val="007C727D"/>
    <w:rsid w:val="007C7344"/>
    <w:rsid w:val="007D0C19"/>
    <w:rsid w:val="007D1C82"/>
    <w:rsid w:val="007D3D4F"/>
    <w:rsid w:val="007D444E"/>
    <w:rsid w:val="007D4B55"/>
    <w:rsid w:val="007D4D8F"/>
    <w:rsid w:val="007D50B4"/>
    <w:rsid w:val="007D598F"/>
    <w:rsid w:val="007D5A44"/>
    <w:rsid w:val="007D5B37"/>
    <w:rsid w:val="007D5B4F"/>
    <w:rsid w:val="007D7935"/>
    <w:rsid w:val="007E08D6"/>
    <w:rsid w:val="007E0AA8"/>
    <w:rsid w:val="007E2B01"/>
    <w:rsid w:val="007E2E53"/>
    <w:rsid w:val="007E5734"/>
    <w:rsid w:val="007E5F73"/>
    <w:rsid w:val="007E6B31"/>
    <w:rsid w:val="007E7009"/>
    <w:rsid w:val="007E7D60"/>
    <w:rsid w:val="007F0A1A"/>
    <w:rsid w:val="007F1948"/>
    <w:rsid w:val="007F2188"/>
    <w:rsid w:val="007F40F4"/>
    <w:rsid w:val="007F4157"/>
    <w:rsid w:val="007F4CC9"/>
    <w:rsid w:val="007F4FAD"/>
    <w:rsid w:val="007F51FE"/>
    <w:rsid w:val="007F6655"/>
    <w:rsid w:val="007F7176"/>
    <w:rsid w:val="007F7F4B"/>
    <w:rsid w:val="008006AA"/>
    <w:rsid w:val="00801321"/>
    <w:rsid w:val="0080185E"/>
    <w:rsid w:val="008020A8"/>
    <w:rsid w:val="00802C1D"/>
    <w:rsid w:val="008033D9"/>
    <w:rsid w:val="0080340E"/>
    <w:rsid w:val="00803A3E"/>
    <w:rsid w:val="008050C4"/>
    <w:rsid w:val="0080605C"/>
    <w:rsid w:val="00806357"/>
    <w:rsid w:val="0080680C"/>
    <w:rsid w:val="008071EB"/>
    <w:rsid w:val="00807F4C"/>
    <w:rsid w:val="008100AD"/>
    <w:rsid w:val="008104E6"/>
    <w:rsid w:val="00811464"/>
    <w:rsid w:val="00812E11"/>
    <w:rsid w:val="00813CC0"/>
    <w:rsid w:val="00814EB2"/>
    <w:rsid w:val="0081578D"/>
    <w:rsid w:val="008157BE"/>
    <w:rsid w:val="008165C2"/>
    <w:rsid w:val="00816B0F"/>
    <w:rsid w:val="008174F4"/>
    <w:rsid w:val="00820496"/>
    <w:rsid w:val="00820C5A"/>
    <w:rsid w:val="008217C1"/>
    <w:rsid w:val="008220DE"/>
    <w:rsid w:val="008235F3"/>
    <w:rsid w:val="00823EC8"/>
    <w:rsid w:val="00824D24"/>
    <w:rsid w:val="00824E01"/>
    <w:rsid w:val="00826D87"/>
    <w:rsid w:val="0082736D"/>
    <w:rsid w:val="008275C9"/>
    <w:rsid w:val="00827ED3"/>
    <w:rsid w:val="00830811"/>
    <w:rsid w:val="008316EC"/>
    <w:rsid w:val="00831761"/>
    <w:rsid w:val="00833898"/>
    <w:rsid w:val="00833D5A"/>
    <w:rsid w:val="00835CC2"/>
    <w:rsid w:val="00840561"/>
    <w:rsid w:val="00844320"/>
    <w:rsid w:val="00844B97"/>
    <w:rsid w:val="00844E61"/>
    <w:rsid w:val="00844E82"/>
    <w:rsid w:val="00845A37"/>
    <w:rsid w:val="00845B78"/>
    <w:rsid w:val="008510A2"/>
    <w:rsid w:val="00851235"/>
    <w:rsid w:val="00851696"/>
    <w:rsid w:val="00851831"/>
    <w:rsid w:val="0085209C"/>
    <w:rsid w:val="00853263"/>
    <w:rsid w:val="00853DC4"/>
    <w:rsid w:val="00855230"/>
    <w:rsid w:val="00860F16"/>
    <w:rsid w:val="008633E2"/>
    <w:rsid w:val="0086355F"/>
    <w:rsid w:val="00864649"/>
    <w:rsid w:val="00864D2D"/>
    <w:rsid w:val="0086714B"/>
    <w:rsid w:val="00867B0B"/>
    <w:rsid w:val="00867E8F"/>
    <w:rsid w:val="008735F0"/>
    <w:rsid w:val="0087435C"/>
    <w:rsid w:val="00874C5C"/>
    <w:rsid w:val="0087515D"/>
    <w:rsid w:val="0087540E"/>
    <w:rsid w:val="00875E21"/>
    <w:rsid w:val="00876368"/>
    <w:rsid w:val="00876CCB"/>
    <w:rsid w:val="008775CA"/>
    <w:rsid w:val="008778DD"/>
    <w:rsid w:val="00880384"/>
    <w:rsid w:val="00880B6B"/>
    <w:rsid w:val="00881D4E"/>
    <w:rsid w:val="00882153"/>
    <w:rsid w:val="00882202"/>
    <w:rsid w:val="00882BB7"/>
    <w:rsid w:val="00882D37"/>
    <w:rsid w:val="0088563C"/>
    <w:rsid w:val="00886C33"/>
    <w:rsid w:val="008872A7"/>
    <w:rsid w:val="008877A5"/>
    <w:rsid w:val="008903C4"/>
    <w:rsid w:val="00890854"/>
    <w:rsid w:val="00890D41"/>
    <w:rsid w:val="00891F81"/>
    <w:rsid w:val="0089284D"/>
    <w:rsid w:val="0089299E"/>
    <w:rsid w:val="008939F1"/>
    <w:rsid w:val="00893E2B"/>
    <w:rsid w:val="0089472D"/>
    <w:rsid w:val="00894C49"/>
    <w:rsid w:val="00895A63"/>
    <w:rsid w:val="008966AE"/>
    <w:rsid w:val="00896E0A"/>
    <w:rsid w:val="00897BE5"/>
    <w:rsid w:val="008A168A"/>
    <w:rsid w:val="008A38B1"/>
    <w:rsid w:val="008A39D9"/>
    <w:rsid w:val="008A6211"/>
    <w:rsid w:val="008A6223"/>
    <w:rsid w:val="008A6A82"/>
    <w:rsid w:val="008A6B2F"/>
    <w:rsid w:val="008A718B"/>
    <w:rsid w:val="008A7411"/>
    <w:rsid w:val="008B0B91"/>
    <w:rsid w:val="008B0D2A"/>
    <w:rsid w:val="008B13F4"/>
    <w:rsid w:val="008B1C01"/>
    <w:rsid w:val="008B40CD"/>
    <w:rsid w:val="008B4B6F"/>
    <w:rsid w:val="008B4EB3"/>
    <w:rsid w:val="008B4FF9"/>
    <w:rsid w:val="008B6AA3"/>
    <w:rsid w:val="008B6CE6"/>
    <w:rsid w:val="008B756A"/>
    <w:rsid w:val="008C0AEA"/>
    <w:rsid w:val="008C3265"/>
    <w:rsid w:val="008C3289"/>
    <w:rsid w:val="008C35F6"/>
    <w:rsid w:val="008C4CB4"/>
    <w:rsid w:val="008C532A"/>
    <w:rsid w:val="008C64EA"/>
    <w:rsid w:val="008D0179"/>
    <w:rsid w:val="008D0CB7"/>
    <w:rsid w:val="008D169E"/>
    <w:rsid w:val="008D1A69"/>
    <w:rsid w:val="008D2839"/>
    <w:rsid w:val="008D2C85"/>
    <w:rsid w:val="008D3AA6"/>
    <w:rsid w:val="008D3B1F"/>
    <w:rsid w:val="008D546D"/>
    <w:rsid w:val="008D6A28"/>
    <w:rsid w:val="008E009C"/>
    <w:rsid w:val="008E0D8B"/>
    <w:rsid w:val="008E1B5A"/>
    <w:rsid w:val="008E1C10"/>
    <w:rsid w:val="008E2C7C"/>
    <w:rsid w:val="008E38B0"/>
    <w:rsid w:val="008E426C"/>
    <w:rsid w:val="008E49BB"/>
    <w:rsid w:val="008E4D90"/>
    <w:rsid w:val="008E5C6D"/>
    <w:rsid w:val="008E62D1"/>
    <w:rsid w:val="008E673A"/>
    <w:rsid w:val="008E7DD5"/>
    <w:rsid w:val="008F0270"/>
    <w:rsid w:val="008F1A84"/>
    <w:rsid w:val="008F1B1B"/>
    <w:rsid w:val="008F2E29"/>
    <w:rsid w:val="008F411B"/>
    <w:rsid w:val="008F5C5C"/>
    <w:rsid w:val="008F65CF"/>
    <w:rsid w:val="008F66DB"/>
    <w:rsid w:val="00900B97"/>
    <w:rsid w:val="00901225"/>
    <w:rsid w:val="00902ED9"/>
    <w:rsid w:val="009052E5"/>
    <w:rsid w:val="009074F5"/>
    <w:rsid w:val="00907E55"/>
    <w:rsid w:val="00911F35"/>
    <w:rsid w:val="009124F0"/>
    <w:rsid w:val="0092385A"/>
    <w:rsid w:val="009248B5"/>
    <w:rsid w:val="009250E4"/>
    <w:rsid w:val="009256C8"/>
    <w:rsid w:val="00925CF4"/>
    <w:rsid w:val="00925DF3"/>
    <w:rsid w:val="00926CC2"/>
    <w:rsid w:val="00926FB8"/>
    <w:rsid w:val="009273B5"/>
    <w:rsid w:val="00927698"/>
    <w:rsid w:val="0092776C"/>
    <w:rsid w:val="00930E31"/>
    <w:rsid w:val="00933530"/>
    <w:rsid w:val="009336A5"/>
    <w:rsid w:val="00933A55"/>
    <w:rsid w:val="009342F4"/>
    <w:rsid w:val="00934358"/>
    <w:rsid w:val="0093488D"/>
    <w:rsid w:val="00935F35"/>
    <w:rsid w:val="009370EF"/>
    <w:rsid w:val="009375A8"/>
    <w:rsid w:val="00941083"/>
    <w:rsid w:val="00942DA1"/>
    <w:rsid w:val="0094333F"/>
    <w:rsid w:val="00944095"/>
    <w:rsid w:val="009444C3"/>
    <w:rsid w:val="0094457E"/>
    <w:rsid w:val="009459E7"/>
    <w:rsid w:val="0094683D"/>
    <w:rsid w:val="009475DC"/>
    <w:rsid w:val="00947A1D"/>
    <w:rsid w:val="00947FF2"/>
    <w:rsid w:val="00950FD0"/>
    <w:rsid w:val="00951430"/>
    <w:rsid w:val="009523F6"/>
    <w:rsid w:val="0095296B"/>
    <w:rsid w:val="00953525"/>
    <w:rsid w:val="00956535"/>
    <w:rsid w:val="0095749E"/>
    <w:rsid w:val="009603E8"/>
    <w:rsid w:val="0096347D"/>
    <w:rsid w:val="009637C9"/>
    <w:rsid w:val="00963DAA"/>
    <w:rsid w:val="009643DD"/>
    <w:rsid w:val="00964F74"/>
    <w:rsid w:val="009653BD"/>
    <w:rsid w:val="00965B42"/>
    <w:rsid w:val="0096644B"/>
    <w:rsid w:val="00966669"/>
    <w:rsid w:val="00966A04"/>
    <w:rsid w:val="00966FF4"/>
    <w:rsid w:val="00967731"/>
    <w:rsid w:val="00972140"/>
    <w:rsid w:val="0097479B"/>
    <w:rsid w:val="00974CE8"/>
    <w:rsid w:val="00974FB4"/>
    <w:rsid w:val="00976432"/>
    <w:rsid w:val="00976477"/>
    <w:rsid w:val="0097753F"/>
    <w:rsid w:val="00977FDC"/>
    <w:rsid w:val="00980515"/>
    <w:rsid w:val="0098055D"/>
    <w:rsid w:val="00980791"/>
    <w:rsid w:val="009822E8"/>
    <w:rsid w:val="00982404"/>
    <w:rsid w:val="00983712"/>
    <w:rsid w:val="00983A0E"/>
    <w:rsid w:val="00983DD2"/>
    <w:rsid w:val="009844BA"/>
    <w:rsid w:val="00984C70"/>
    <w:rsid w:val="0098608B"/>
    <w:rsid w:val="0098665D"/>
    <w:rsid w:val="009868C4"/>
    <w:rsid w:val="009871F8"/>
    <w:rsid w:val="009873C8"/>
    <w:rsid w:val="00990A8E"/>
    <w:rsid w:val="0099156C"/>
    <w:rsid w:val="0099218B"/>
    <w:rsid w:val="00992191"/>
    <w:rsid w:val="00993EF0"/>
    <w:rsid w:val="009943D5"/>
    <w:rsid w:val="00995703"/>
    <w:rsid w:val="00996337"/>
    <w:rsid w:val="00996CAF"/>
    <w:rsid w:val="00997ADF"/>
    <w:rsid w:val="009A03A1"/>
    <w:rsid w:val="009A1578"/>
    <w:rsid w:val="009A2092"/>
    <w:rsid w:val="009A28DE"/>
    <w:rsid w:val="009A2E3A"/>
    <w:rsid w:val="009A3F72"/>
    <w:rsid w:val="009A4462"/>
    <w:rsid w:val="009A5256"/>
    <w:rsid w:val="009A53B7"/>
    <w:rsid w:val="009A541B"/>
    <w:rsid w:val="009A6C54"/>
    <w:rsid w:val="009A7722"/>
    <w:rsid w:val="009A7A06"/>
    <w:rsid w:val="009B038E"/>
    <w:rsid w:val="009B0600"/>
    <w:rsid w:val="009B0C0C"/>
    <w:rsid w:val="009B0FFB"/>
    <w:rsid w:val="009B115D"/>
    <w:rsid w:val="009B20D1"/>
    <w:rsid w:val="009B27AF"/>
    <w:rsid w:val="009B2D10"/>
    <w:rsid w:val="009B3039"/>
    <w:rsid w:val="009B3D46"/>
    <w:rsid w:val="009B444D"/>
    <w:rsid w:val="009B45AF"/>
    <w:rsid w:val="009B4B7E"/>
    <w:rsid w:val="009B68D9"/>
    <w:rsid w:val="009B7030"/>
    <w:rsid w:val="009B7537"/>
    <w:rsid w:val="009C3072"/>
    <w:rsid w:val="009C541F"/>
    <w:rsid w:val="009C60BB"/>
    <w:rsid w:val="009C615B"/>
    <w:rsid w:val="009C64F1"/>
    <w:rsid w:val="009C699C"/>
    <w:rsid w:val="009C73CE"/>
    <w:rsid w:val="009C7B6B"/>
    <w:rsid w:val="009C7FFB"/>
    <w:rsid w:val="009D05A8"/>
    <w:rsid w:val="009D0F87"/>
    <w:rsid w:val="009D1DA0"/>
    <w:rsid w:val="009D28E1"/>
    <w:rsid w:val="009D4972"/>
    <w:rsid w:val="009D50AE"/>
    <w:rsid w:val="009D52FD"/>
    <w:rsid w:val="009D7D52"/>
    <w:rsid w:val="009E0789"/>
    <w:rsid w:val="009E2AF0"/>
    <w:rsid w:val="009E3206"/>
    <w:rsid w:val="009E347F"/>
    <w:rsid w:val="009E352E"/>
    <w:rsid w:val="009E3610"/>
    <w:rsid w:val="009E37E3"/>
    <w:rsid w:val="009E4046"/>
    <w:rsid w:val="009E44C8"/>
    <w:rsid w:val="009E49B8"/>
    <w:rsid w:val="009E4F6C"/>
    <w:rsid w:val="009E53D8"/>
    <w:rsid w:val="009E550C"/>
    <w:rsid w:val="009E6234"/>
    <w:rsid w:val="009F0BA9"/>
    <w:rsid w:val="009F0C29"/>
    <w:rsid w:val="009F1C79"/>
    <w:rsid w:val="009F2EAF"/>
    <w:rsid w:val="009F385A"/>
    <w:rsid w:val="009F3976"/>
    <w:rsid w:val="009F5061"/>
    <w:rsid w:val="009F59D9"/>
    <w:rsid w:val="009F5A94"/>
    <w:rsid w:val="009F648F"/>
    <w:rsid w:val="009F65E4"/>
    <w:rsid w:val="009F69BF"/>
    <w:rsid w:val="009F6E83"/>
    <w:rsid w:val="009F6E87"/>
    <w:rsid w:val="009F73C5"/>
    <w:rsid w:val="00A003CC"/>
    <w:rsid w:val="00A01487"/>
    <w:rsid w:val="00A0150C"/>
    <w:rsid w:val="00A02DD1"/>
    <w:rsid w:val="00A037BD"/>
    <w:rsid w:val="00A03C2A"/>
    <w:rsid w:val="00A054C0"/>
    <w:rsid w:val="00A05B88"/>
    <w:rsid w:val="00A05C4F"/>
    <w:rsid w:val="00A07295"/>
    <w:rsid w:val="00A07900"/>
    <w:rsid w:val="00A10CFD"/>
    <w:rsid w:val="00A11523"/>
    <w:rsid w:val="00A11807"/>
    <w:rsid w:val="00A12B43"/>
    <w:rsid w:val="00A14B85"/>
    <w:rsid w:val="00A151F0"/>
    <w:rsid w:val="00A159D5"/>
    <w:rsid w:val="00A16F70"/>
    <w:rsid w:val="00A17EC5"/>
    <w:rsid w:val="00A2032A"/>
    <w:rsid w:val="00A225DA"/>
    <w:rsid w:val="00A22A4B"/>
    <w:rsid w:val="00A234EB"/>
    <w:rsid w:val="00A238B5"/>
    <w:rsid w:val="00A24119"/>
    <w:rsid w:val="00A2496B"/>
    <w:rsid w:val="00A2557D"/>
    <w:rsid w:val="00A26186"/>
    <w:rsid w:val="00A26FDB"/>
    <w:rsid w:val="00A2778F"/>
    <w:rsid w:val="00A278BB"/>
    <w:rsid w:val="00A300DC"/>
    <w:rsid w:val="00A303CD"/>
    <w:rsid w:val="00A308A9"/>
    <w:rsid w:val="00A30C64"/>
    <w:rsid w:val="00A30CF9"/>
    <w:rsid w:val="00A30EDE"/>
    <w:rsid w:val="00A31305"/>
    <w:rsid w:val="00A31407"/>
    <w:rsid w:val="00A32000"/>
    <w:rsid w:val="00A32924"/>
    <w:rsid w:val="00A3322E"/>
    <w:rsid w:val="00A3488B"/>
    <w:rsid w:val="00A34E9E"/>
    <w:rsid w:val="00A36536"/>
    <w:rsid w:val="00A4183C"/>
    <w:rsid w:val="00A4279B"/>
    <w:rsid w:val="00A42B1D"/>
    <w:rsid w:val="00A43335"/>
    <w:rsid w:val="00A435D2"/>
    <w:rsid w:val="00A43966"/>
    <w:rsid w:val="00A4396E"/>
    <w:rsid w:val="00A4425A"/>
    <w:rsid w:val="00A4444D"/>
    <w:rsid w:val="00A450E5"/>
    <w:rsid w:val="00A45DC9"/>
    <w:rsid w:val="00A45DCD"/>
    <w:rsid w:val="00A475A3"/>
    <w:rsid w:val="00A508C4"/>
    <w:rsid w:val="00A50BED"/>
    <w:rsid w:val="00A518F8"/>
    <w:rsid w:val="00A51A16"/>
    <w:rsid w:val="00A5210C"/>
    <w:rsid w:val="00A52CFF"/>
    <w:rsid w:val="00A52DF7"/>
    <w:rsid w:val="00A53A6D"/>
    <w:rsid w:val="00A53EF4"/>
    <w:rsid w:val="00A54273"/>
    <w:rsid w:val="00A55B3E"/>
    <w:rsid w:val="00A564C4"/>
    <w:rsid w:val="00A56E7D"/>
    <w:rsid w:val="00A56F6D"/>
    <w:rsid w:val="00A56FF6"/>
    <w:rsid w:val="00A57334"/>
    <w:rsid w:val="00A608FF"/>
    <w:rsid w:val="00A625B8"/>
    <w:rsid w:val="00A63751"/>
    <w:rsid w:val="00A640CA"/>
    <w:rsid w:val="00A64907"/>
    <w:rsid w:val="00A64910"/>
    <w:rsid w:val="00A65120"/>
    <w:rsid w:val="00A6550D"/>
    <w:rsid w:val="00A65984"/>
    <w:rsid w:val="00A660BD"/>
    <w:rsid w:val="00A66442"/>
    <w:rsid w:val="00A66625"/>
    <w:rsid w:val="00A6797D"/>
    <w:rsid w:val="00A70910"/>
    <w:rsid w:val="00A70F8D"/>
    <w:rsid w:val="00A71072"/>
    <w:rsid w:val="00A73A18"/>
    <w:rsid w:val="00A74555"/>
    <w:rsid w:val="00A75EA2"/>
    <w:rsid w:val="00A75EDF"/>
    <w:rsid w:val="00A75FA7"/>
    <w:rsid w:val="00A76699"/>
    <w:rsid w:val="00A76AA3"/>
    <w:rsid w:val="00A80A9C"/>
    <w:rsid w:val="00A822EB"/>
    <w:rsid w:val="00A8274F"/>
    <w:rsid w:val="00A86198"/>
    <w:rsid w:val="00A86531"/>
    <w:rsid w:val="00A87A68"/>
    <w:rsid w:val="00A906E3"/>
    <w:rsid w:val="00A90CDD"/>
    <w:rsid w:val="00A91926"/>
    <w:rsid w:val="00A9242F"/>
    <w:rsid w:val="00A93351"/>
    <w:rsid w:val="00A934A6"/>
    <w:rsid w:val="00A937FD"/>
    <w:rsid w:val="00A94818"/>
    <w:rsid w:val="00A95A7E"/>
    <w:rsid w:val="00A97BC5"/>
    <w:rsid w:val="00A97E2F"/>
    <w:rsid w:val="00AA04DC"/>
    <w:rsid w:val="00AA0917"/>
    <w:rsid w:val="00AA1B63"/>
    <w:rsid w:val="00AA2FC5"/>
    <w:rsid w:val="00AA3E18"/>
    <w:rsid w:val="00AA48D7"/>
    <w:rsid w:val="00AA4A85"/>
    <w:rsid w:val="00AA5BA0"/>
    <w:rsid w:val="00AA611C"/>
    <w:rsid w:val="00AA64AA"/>
    <w:rsid w:val="00AA758F"/>
    <w:rsid w:val="00AB28C4"/>
    <w:rsid w:val="00AB46B0"/>
    <w:rsid w:val="00AB4D17"/>
    <w:rsid w:val="00AB5A26"/>
    <w:rsid w:val="00AB6A00"/>
    <w:rsid w:val="00AB6A54"/>
    <w:rsid w:val="00AB6AD6"/>
    <w:rsid w:val="00AC0B34"/>
    <w:rsid w:val="00AC13BB"/>
    <w:rsid w:val="00AC14F1"/>
    <w:rsid w:val="00AC343F"/>
    <w:rsid w:val="00AC46FE"/>
    <w:rsid w:val="00AC4E07"/>
    <w:rsid w:val="00AC5C1A"/>
    <w:rsid w:val="00AC62D6"/>
    <w:rsid w:val="00AC6514"/>
    <w:rsid w:val="00AD0BD6"/>
    <w:rsid w:val="00AD57E9"/>
    <w:rsid w:val="00AD58E7"/>
    <w:rsid w:val="00AD60D5"/>
    <w:rsid w:val="00AD6183"/>
    <w:rsid w:val="00AD63DF"/>
    <w:rsid w:val="00AD694B"/>
    <w:rsid w:val="00AD7A3A"/>
    <w:rsid w:val="00AE07C1"/>
    <w:rsid w:val="00AE0910"/>
    <w:rsid w:val="00AE0C17"/>
    <w:rsid w:val="00AE0D23"/>
    <w:rsid w:val="00AE104D"/>
    <w:rsid w:val="00AE18B2"/>
    <w:rsid w:val="00AE1A18"/>
    <w:rsid w:val="00AE2758"/>
    <w:rsid w:val="00AE28C7"/>
    <w:rsid w:val="00AE2BC8"/>
    <w:rsid w:val="00AE32C1"/>
    <w:rsid w:val="00AE4C9E"/>
    <w:rsid w:val="00AE580F"/>
    <w:rsid w:val="00AE7096"/>
    <w:rsid w:val="00AF0321"/>
    <w:rsid w:val="00AF0F13"/>
    <w:rsid w:val="00AF1391"/>
    <w:rsid w:val="00AF1603"/>
    <w:rsid w:val="00AF33D0"/>
    <w:rsid w:val="00AF3FE9"/>
    <w:rsid w:val="00AF48E1"/>
    <w:rsid w:val="00AF6103"/>
    <w:rsid w:val="00AF6CF1"/>
    <w:rsid w:val="00AF7CA8"/>
    <w:rsid w:val="00AF7E45"/>
    <w:rsid w:val="00B00098"/>
    <w:rsid w:val="00B002A4"/>
    <w:rsid w:val="00B0055F"/>
    <w:rsid w:val="00B00E54"/>
    <w:rsid w:val="00B00FC4"/>
    <w:rsid w:val="00B011D3"/>
    <w:rsid w:val="00B011D9"/>
    <w:rsid w:val="00B03C66"/>
    <w:rsid w:val="00B05769"/>
    <w:rsid w:val="00B057A7"/>
    <w:rsid w:val="00B0624C"/>
    <w:rsid w:val="00B0670E"/>
    <w:rsid w:val="00B0788C"/>
    <w:rsid w:val="00B108CB"/>
    <w:rsid w:val="00B11543"/>
    <w:rsid w:val="00B11AFD"/>
    <w:rsid w:val="00B11D87"/>
    <w:rsid w:val="00B11E2F"/>
    <w:rsid w:val="00B123C4"/>
    <w:rsid w:val="00B12E98"/>
    <w:rsid w:val="00B13C7A"/>
    <w:rsid w:val="00B13FE2"/>
    <w:rsid w:val="00B141FC"/>
    <w:rsid w:val="00B14579"/>
    <w:rsid w:val="00B15AA3"/>
    <w:rsid w:val="00B162BC"/>
    <w:rsid w:val="00B164C0"/>
    <w:rsid w:val="00B173CD"/>
    <w:rsid w:val="00B174F8"/>
    <w:rsid w:val="00B17E6D"/>
    <w:rsid w:val="00B2026A"/>
    <w:rsid w:val="00B2094B"/>
    <w:rsid w:val="00B24328"/>
    <w:rsid w:val="00B24FC6"/>
    <w:rsid w:val="00B25E0F"/>
    <w:rsid w:val="00B26D93"/>
    <w:rsid w:val="00B27193"/>
    <w:rsid w:val="00B27C43"/>
    <w:rsid w:val="00B31B34"/>
    <w:rsid w:val="00B32DB7"/>
    <w:rsid w:val="00B3343A"/>
    <w:rsid w:val="00B34AB6"/>
    <w:rsid w:val="00B36F28"/>
    <w:rsid w:val="00B3705A"/>
    <w:rsid w:val="00B3730B"/>
    <w:rsid w:val="00B412EC"/>
    <w:rsid w:val="00B42766"/>
    <w:rsid w:val="00B42D84"/>
    <w:rsid w:val="00B44F34"/>
    <w:rsid w:val="00B45146"/>
    <w:rsid w:val="00B462DE"/>
    <w:rsid w:val="00B47A48"/>
    <w:rsid w:val="00B50BE3"/>
    <w:rsid w:val="00B51807"/>
    <w:rsid w:val="00B51C7F"/>
    <w:rsid w:val="00B53657"/>
    <w:rsid w:val="00B54543"/>
    <w:rsid w:val="00B54A95"/>
    <w:rsid w:val="00B55267"/>
    <w:rsid w:val="00B55ABB"/>
    <w:rsid w:val="00B56C66"/>
    <w:rsid w:val="00B56F76"/>
    <w:rsid w:val="00B5744C"/>
    <w:rsid w:val="00B60589"/>
    <w:rsid w:val="00B61C7B"/>
    <w:rsid w:val="00B62140"/>
    <w:rsid w:val="00B62327"/>
    <w:rsid w:val="00B64204"/>
    <w:rsid w:val="00B65784"/>
    <w:rsid w:val="00B666B6"/>
    <w:rsid w:val="00B7133F"/>
    <w:rsid w:val="00B719AD"/>
    <w:rsid w:val="00B741E1"/>
    <w:rsid w:val="00B74C4B"/>
    <w:rsid w:val="00B74D4B"/>
    <w:rsid w:val="00B75A3F"/>
    <w:rsid w:val="00B76133"/>
    <w:rsid w:val="00B7789F"/>
    <w:rsid w:val="00B825BF"/>
    <w:rsid w:val="00B83DF6"/>
    <w:rsid w:val="00B848E2"/>
    <w:rsid w:val="00B868E1"/>
    <w:rsid w:val="00B86E25"/>
    <w:rsid w:val="00B87CC7"/>
    <w:rsid w:val="00B917E8"/>
    <w:rsid w:val="00B91A59"/>
    <w:rsid w:val="00B91E23"/>
    <w:rsid w:val="00B92559"/>
    <w:rsid w:val="00B9451F"/>
    <w:rsid w:val="00B94797"/>
    <w:rsid w:val="00B94879"/>
    <w:rsid w:val="00B9593C"/>
    <w:rsid w:val="00B95DDC"/>
    <w:rsid w:val="00B97DFD"/>
    <w:rsid w:val="00BA07F6"/>
    <w:rsid w:val="00BA0F58"/>
    <w:rsid w:val="00BA11B7"/>
    <w:rsid w:val="00BA218B"/>
    <w:rsid w:val="00BA2E5A"/>
    <w:rsid w:val="00BA344E"/>
    <w:rsid w:val="00BA37A6"/>
    <w:rsid w:val="00BA3F01"/>
    <w:rsid w:val="00BA4B56"/>
    <w:rsid w:val="00BA52FA"/>
    <w:rsid w:val="00BA6D2F"/>
    <w:rsid w:val="00BB39E7"/>
    <w:rsid w:val="00BB3FE8"/>
    <w:rsid w:val="00BB42E3"/>
    <w:rsid w:val="00BB4B7B"/>
    <w:rsid w:val="00BB528A"/>
    <w:rsid w:val="00BB6E79"/>
    <w:rsid w:val="00BB7ACA"/>
    <w:rsid w:val="00BC2B0B"/>
    <w:rsid w:val="00BC33C6"/>
    <w:rsid w:val="00BC3869"/>
    <w:rsid w:val="00BC42EB"/>
    <w:rsid w:val="00BC4710"/>
    <w:rsid w:val="00BC543B"/>
    <w:rsid w:val="00BC6D67"/>
    <w:rsid w:val="00BC7350"/>
    <w:rsid w:val="00BD014F"/>
    <w:rsid w:val="00BD01ED"/>
    <w:rsid w:val="00BD05B4"/>
    <w:rsid w:val="00BD1C65"/>
    <w:rsid w:val="00BD34A9"/>
    <w:rsid w:val="00BD3773"/>
    <w:rsid w:val="00BD4CFE"/>
    <w:rsid w:val="00BD60F8"/>
    <w:rsid w:val="00BD6163"/>
    <w:rsid w:val="00BD6370"/>
    <w:rsid w:val="00BD6749"/>
    <w:rsid w:val="00BD7865"/>
    <w:rsid w:val="00BE2984"/>
    <w:rsid w:val="00BE2A7E"/>
    <w:rsid w:val="00BE390D"/>
    <w:rsid w:val="00BE6031"/>
    <w:rsid w:val="00BE65E4"/>
    <w:rsid w:val="00BF0E55"/>
    <w:rsid w:val="00BF15DC"/>
    <w:rsid w:val="00BF2C98"/>
    <w:rsid w:val="00BF31E9"/>
    <w:rsid w:val="00BF3A6E"/>
    <w:rsid w:val="00BF3B5B"/>
    <w:rsid w:val="00BF6816"/>
    <w:rsid w:val="00BF74BB"/>
    <w:rsid w:val="00BF7FA0"/>
    <w:rsid w:val="00C00A77"/>
    <w:rsid w:val="00C00AAA"/>
    <w:rsid w:val="00C01515"/>
    <w:rsid w:val="00C024E7"/>
    <w:rsid w:val="00C04008"/>
    <w:rsid w:val="00C04922"/>
    <w:rsid w:val="00C0686D"/>
    <w:rsid w:val="00C07AD7"/>
    <w:rsid w:val="00C1187B"/>
    <w:rsid w:val="00C125E9"/>
    <w:rsid w:val="00C12A5A"/>
    <w:rsid w:val="00C130E0"/>
    <w:rsid w:val="00C13959"/>
    <w:rsid w:val="00C139D2"/>
    <w:rsid w:val="00C153BE"/>
    <w:rsid w:val="00C16EB7"/>
    <w:rsid w:val="00C20A32"/>
    <w:rsid w:val="00C21D7D"/>
    <w:rsid w:val="00C21F05"/>
    <w:rsid w:val="00C22321"/>
    <w:rsid w:val="00C239F6"/>
    <w:rsid w:val="00C247C9"/>
    <w:rsid w:val="00C25240"/>
    <w:rsid w:val="00C25431"/>
    <w:rsid w:val="00C2549E"/>
    <w:rsid w:val="00C255AC"/>
    <w:rsid w:val="00C261DC"/>
    <w:rsid w:val="00C278E5"/>
    <w:rsid w:val="00C27967"/>
    <w:rsid w:val="00C27DF8"/>
    <w:rsid w:val="00C31B7F"/>
    <w:rsid w:val="00C34F37"/>
    <w:rsid w:val="00C352CA"/>
    <w:rsid w:val="00C354B8"/>
    <w:rsid w:val="00C358F3"/>
    <w:rsid w:val="00C36082"/>
    <w:rsid w:val="00C36558"/>
    <w:rsid w:val="00C36D7E"/>
    <w:rsid w:val="00C3708C"/>
    <w:rsid w:val="00C3793D"/>
    <w:rsid w:val="00C415B4"/>
    <w:rsid w:val="00C444B4"/>
    <w:rsid w:val="00C45678"/>
    <w:rsid w:val="00C50EF6"/>
    <w:rsid w:val="00C5225F"/>
    <w:rsid w:val="00C53406"/>
    <w:rsid w:val="00C542B9"/>
    <w:rsid w:val="00C54E84"/>
    <w:rsid w:val="00C624AA"/>
    <w:rsid w:val="00C63F39"/>
    <w:rsid w:val="00C64263"/>
    <w:rsid w:val="00C648AF"/>
    <w:rsid w:val="00C652CB"/>
    <w:rsid w:val="00C6536C"/>
    <w:rsid w:val="00C653DB"/>
    <w:rsid w:val="00C65AB2"/>
    <w:rsid w:val="00C663F8"/>
    <w:rsid w:val="00C7012B"/>
    <w:rsid w:val="00C70B9A"/>
    <w:rsid w:val="00C70CD9"/>
    <w:rsid w:val="00C72369"/>
    <w:rsid w:val="00C72937"/>
    <w:rsid w:val="00C72E4B"/>
    <w:rsid w:val="00C72F95"/>
    <w:rsid w:val="00C7320F"/>
    <w:rsid w:val="00C7525B"/>
    <w:rsid w:val="00C75DC2"/>
    <w:rsid w:val="00C76F3F"/>
    <w:rsid w:val="00C770A9"/>
    <w:rsid w:val="00C77C42"/>
    <w:rsid w:val="00C77DA6"/>
    <w:rsid w:val="00C77DE3"/>
    <w:rsid w:val="00C8127F"/>
    <w:rsid w:val="00C82CFE"/>
    <w:rsid w:val="00C831EA"/>
    <w:rsid w:val="00C8320C"/>
    <w:rsid w:val="00C84093"/>
    <w:rsid w:val="00C844C9"/>
    <w:rsid w:val="00C8499F"/>
    <w:rsid w:val="00C84B7A"/>
    <w:rsid w:val="00C84FE0"/>
    <w:rsid w:val="00C85FB7"/>
    <w:rsid w:val="00C865E3"/>
    <w:rsid w:val="00C8684D"/>
    <w:rsid w:val="00C87610"/>
    <w:rsid w:val="00C908F6"/>
    <w:rsid w:val="00C91490"/>
    <w:rsid w:val="00C919B6"/>
    <w:rsid w:val="00C946C9"/>
    <w:rsid w:val="00C94840"/>
    <w:rsid w:val="00C95ABB"/>
    <w:rsid w:val="00C96606"/>
    <w:rsid w:val="00CA042F"/>
    <w:rsid w:val="00CA09DB"/>
    <w:rsid w:val="00CA1A3D"/>
    <w:rsid w:val="00CA2E6E"/>
    <w:rsid w:val="00CA31B2"/>
    <w:rsid w:val="00CA324D"/>
    <w:rsid w:val="00CA5B13"/>
    <w:rsid w:val="00CA7C58"/>
    <w:rsid w:val="00CB10CA"/>
    <w:rsid w:val="00CB11B9"/>
    <w:rsid w:val="00CB1F87"/>
    <w:rsid w:val="00CB2574"/>
    <w:rsid w:val="00CB3D55"/>
    <w:rsid w:val="00CB5603"/>
    <w:rsid w:val="00CB564C"/>
    <w:rsid w:val="00CB5665"/>
    <w:rsid w:val="00CB5BF2"/>
    <w:rsid w:val="00CB7B68"/>
    <w:rsid w:val="00CB7BC1"/>
    <w:rsid w:val="00CC03DB"/>
    <w:rsid w:val="00CC0D78"/>
    <w:rsid w:val="00CC18E1"/>
    <w:rsid w:val="00CC1FA8"/>
    <w:rsid w:val="00CC22CE"/>
    <w:rsid w:val="00CC3E57"/>
    <w:rsid w:val="00CC4F88"/>
    <w:rsid w:val="00CC51E5"/>
    <w:rsid w:val="00CC57ED"/>
    <w:rsid w:val="00CC5CD2"/>
    <w:rsid w:val="00CC5D93"/>
    <w:rsid w:val="00CC5F5B"/>
    <w:rsid w:val="00CC75BC"/>
    <w:rsid w:val="00CC7D7B"/>
    <w:rsid w:val="00CD07CF"/>
    <w:rsid w:val="00CD0D49"/>
    <w:rsid w:val="00CD195D"/>
    <w:rsid w:val="00CD1B24"/>
    <w:rsid w:val="00CD24CD"/>
    <w:rsid w:val="00CD486A"/>
    <w:rsid w:val="00CD56B4"/>
    <w:rsid w:val="00CD7075"/>
    <w:rsid w:val="00CD70C9"/>
    <w:rsid w:val="00CD7157"/>
    <w:rsid w:val="00CD7C38"/>
    <w:rsid w:val="00CE1831"/>
    <w:rsid w:val="00CE1F61"/>
    <w:rsid w:val="00CE222D"/>
    <w:rsid w:val="00CE2E83"/>
    <w:rsid w:val="00CE3058"/>
    <w:rsid w:val="00CE3278"/>
    <w:rsid w:val="00CE32BD"/>
    <w:rsid w:val="00CE3526"/>
    <w:rsid w:val="00CE43F4"/>
    <w:rsid w:val="00CE476F"/>
    <w:rsid w:val="00CE4CBD"/>
    <w:rsid w:val="00CE52E3"/>
    <w:rsid w:val="00CE5B5E"/>
    <w:rsid w:val="00CE627F"/>
    <w:rsid w:val="00CE7404"/>
    <w:rsid w:val="00CE7850"/>
    <w:rsid w:val="00CE7D7A"/>
    <w:rsid w:val="00CF0700"/>
    <w:rsid w:val="00CF0BBE"/>
    <w:rsid w:val="00CF3A41"/>
    <w:rsid w:val="00CF75DB"/>
    <w:rsid w:val="00D01945"/>
    <w:rsid w:val="00D01D9D"/>
    <w:rsid w:val="00D03BA6"/>
    <w:rsid w:val="00D03F8B"/>
    <w:rsid w:val="00D04304"/>
    <w:rsid w:val="00D053B5"/>
    <w:rsid w:val="00D05DC8"/>
    <w:rsid w:val="00D067CB"/>
    <w:rsid w:val="00D1084D"/>
    <w:rsid w:val="00D11354"/>
    <w:rsid w:val="00D13A77"/>
    <w:rsid w:val="00D13CD0"/>
    <w:rsid w:val="00D149D2"/>
    <w:rsid w:val="00D14C2D"/>
    <w:rsid w:val="00D173DC"/>
    <w:rsid w:val="00D17B0D"/>
    <w:rsid w:val="00D214A0"/>
    <w:rsid w:val="00D22236"/>
    <w:rsid w:val="00D22A3D"/>
    <w:rsid w:val="00D22C27"/>
    <w:rsid w:val="00D23A85"/>
    <w:rsid w:val="00D25316"/>
    <w:rsid w:val="00D26807"/>
    <w:rsid w:val="00D305C1"/>
    <w:rsid w:val="00D30B8F"/>
    <w:rsid w:val="00D32B3E"/>
    <w:rsid w:val="00D33AB4"/>
    <w:rsid w:val="00D358D2"/>
    <w:rsid w:val="00D35A96"/>
    <w:rsid w:val="00D364D8"/>
    <w:rsid w:val="00D37D1F"/>
    <w:rsid w:val="00D37DC8"/>
    <w:rsid w:val="00D4029C"/>
    <w:rsid w:val="00D40505"/>
    <w:rsid w:val="00D40910"/>
    <w:rsid w:val="00D4123E"/>
    <w:rsid w:val="00D414BE"/>
    <w:rsid w:val="00D42423"/>
    <w:rsid w:val="00D42986"/>
    <w:rsid w:val="00D42998"/>
    <w:rsid w:val="00D43515"/>
    <w:rsid w:val="00D44FDA"/>
    <w:rsid w:val="00D4551F"/>
    <w:rsid w:val="00D4575F"/>
    <w:rsid w:val="00D462EE"/>
    <w:rsid w:val="00D47013"/>
    <w:rsid w:val="00D47380"/>
    <w:rsid w:val="00D47C98"/>
    <w:rsid w:val="00D5021D"/>
    <w:rsid w:val="00D504E7"/>
    <w:rsid w:val="00D50AC3"/>
    <w:rsid w:val="00D52CCD"/>
    <w:rsid w:val="00D53853"/>
    <w:rsid w:val="00D539AB"/>
    <w:rsid w:val="00D53D25"/>
    <w:rsid w:val="00D55048"/>
    <w:rsid w:val="00D553C4"/>
    <w:rsid w:val="00D55E47"/>
    <w:rsid w:val="00D5799C"/>
    <w:rsid w:val="00D57B07"/>
    <w:rsid w:val="00D6018A"/>
    <w:rsid w:val="00D61F79"/>
    <w:rsid w:val="00D631E7"/>
    <w:rsid w:val="00D6341B"/>
    <w:rsid w:val="00D6406E"/>
    <w:rsid w:val="00D641C7"/>
    <w:rsid w:val="00D648A9"/>
    <w:rsid w:val="00D65300"/>
    <w:rsid w:val="00D65325"/>
    <w:rsid w:val="00D653FE"/>
    <w:rsid w:val="00D660BF"/>
    <w:rsid w:val="00D67691"/>
    <w:rsid w:val="00D67C02"/>
    <w:rsid w:val="00D708CA"/>
    <w:rsid w:val="00D71481"/>
    <w:rsid w:val="00D71667"/>
    <w:rsid w:val="00D71E57"/>
    <w:rsid w:val="00D72086"/>
    <w:rsid w:val="00D730C6"/>
    <w:rsid w:val="00D7321D"/>
    <w:rsid w:val="00D754FD"/>
    <w:rsid w:val="00D75BA1"/>
    <w:rsid w:val="00D775B6"/>
    <w:rsid w:val="00D77DC8"/>
    <w:rsid w:val="00D82994"/>
    <w:rsid w:val="00D82AEB"/>
    <w:rsid w:val="00D82C74"/>
    <w:rsid w:val="00D82EF2"/>
    <w:rsid w:val="00D830E3"/>
    <w:rsid w:val="00D86424"/>
    <w:rsid w:val="00D86740"/>
    <w:rsid w:val="00D876E1"/>
    <w:rsid w:val="00D87766"/>
    <w:rsid w:val="00D87D48"/>
    <w:rsid w:val="00D87E56"/>
    <w:rsid w:val="00D902B5"/>
    <w:rsid w:val="00D9081F"/>
    <w:rsid w:val="00D91D0A"/>
    <w:rsid w:val="00D94C61"/>
    <w:rsid w:val="00D95480"/>
    <w:rsid w:val="00D960A6"/>
    <w:rsid w:val="00DA0233"/>
    <w:rsid w:val="00DA1173"/>
    <w:rsid w:val="00DA1FDF"/>
    <w:rsid w:val="00DA25E6"/>
    <w:rsid w:val="00DA3941"/>
    <w:rsid w:val="00DA3A43"/>
    <w:rsid w:val="00DA3D8C"/>
    <w:rsid w:val="00DA41F5"/>
    <w:rsid w:val="00DA5E34"/>
    <w:rsid w:val="00DA6605"/>
    <w:rsid w:val="00DA6794"/>
    <w:rsid w:val="00DA6B36"/>
    <w:rsid w:val="00DA768D"/>
    <w:rsid w:val="00DB013D"/>
    <w:rsid w:val="00DB0208"/>
    <w:rsid w:val="00DB0CD8"/>
    <w:rsid w:val="00DB1171"/>
    <w:rsid w:val="00DB226F"/>
    <w:rsid w:val="00DB279F"/>
    <w:rsid w:val="00DB373F"/>
    <w:rsid w:val="00DB55A1"/>
    <w:rsid w:val="00DB677B"/>
    <w:rsid w:val="00DB6AF5"/>
    <w:rsid w:val="00DB708F"/>
    <w:rsid w:val="00DB7A09"/>
    <w:rsid w:val="00DC13BB"/>
    <w:rsid w:val="00DC2372"/>
    <w:rsid w:val="00DC3458"/>
    <w:rsid w:val="00DC44E8"/>
    <w:rsid w:val="00DC4C88"/>
    <w:rsid w:val="00DC4CA2"/>
    <w:rsid w:val="00DC51F8"/>
    <w:rsid w:val="00DC7BF2"/>
    <w:rsid w:val="00DD0223"/>
    <w:rsid w:val="00DD1D45"/>
    <w:rsid w:val="00DD2594"/>
    <w:rsid w:val="00DD2E76"/>
    <w:rsid w:val="00DD33CD"/>
    <w:rsid w:val="00DD405B"/>
    <w:rsid w:val="00DD419F"/>
    <w:rsid w:val="00DD42B6"/>
    <w:rsid w:val="00DD5A5A"/>
    <w:rsid w:val="00DD659F"/>
    <w:rsid w:val="00DD6911"/>
    <w:rsid w:val="00DE0373"/>
    <w:rsid w:val="00DE1515"/>
    <w:rsid w:val="00DE1BA0"/>
    <w:rsid w:val="00DE1BF4"/>
    <w:rsid w:val="00DE7474"/>
    <w:rsid w:val="00DE7AAC"/>
    <w:rsid w:val="00DF0007"/>
    <w:rsid w:val="00DF0021"/>
    <w:rsid w:val="00DF1433"/>
    <w:rsid w:val="00DF1BFC"/>
    <w:rsid w:val="00DF3F73"/>
    <w:rsid w:val="00DF3FA6"/>
    <w:rsid w:val="00DF4369"/>
    <w:rsid w:val="00DF4ADA"/>
    <w:rsid w:val="00DF4F94"/>
    <w:rsid w:val="00DF515C"/>
    <w:rsid w:val="00DF51D1"/>
    <w:rsid w:val="00DF5646"/>
    <w:rsid w:val="00DF5946"/>
    <w:rsid w:val="00DF5F73"/>
    <w:rsid w:val="00DF63F9"/>
    <w:rsid w:val="00DF7211"/>
    <w:rsid w:val="00DF75BB"/>
    <w:rsid w:val="00E0008F"/>
    <w:rsid w:val="00E002D7"/>
    <w:rsid w:val="00E00D7E"/>
    <w:rsid w:val="00E0159F"/>
    <w:rsid w:val="00E01896"/>
    <w:rsid w:val="00E02813"/>
    <w:rsid w:val="00E03BB8"/>
    <w:rsid w:val="00E04A48"/>
    <w:rsid w:val="00E05FC5"/>
    <w:rsid w:val="00E06A06"/>
    <w:rsid w:val="00E06F43"/>
    <w:rsid w:val="00E071FE"/>
    <w:rsid w:val="00E07ED9"/>
    <w:rsid w:val="00E07F6E"/>
    <w:rsid w:val="00E104C5"/>
    <w:rsid w:val="00E108BF"/>
    <w:rsid w:val="00E10975"/>
    <w:rsid w:val="00E10E3F"/>
    <w:rsid w:val="00E11361"/>
    <w:rsid w:val="00E1248A"/>
    <w:rsid w:val="00E12879"/>
    <w:rsid w:val="00E1388F"/>
    <w:rsid w:val="00E13B6E"/>
    <w:rsid w:val="00E16893"/>
    <w:rsid w:val="00E179E8"/>
    <w:rsid w:val="00E17A61"/>
    <w:rsid w:val="00E17DB4"/>
    <w:rsid w:val="00E17EF8"/>
    <w:rsid w:val="00E2118D"/>
    <w:rsid w:val="00E21451"/>
    <w:rsid w:val="00E22404"/>
    <w:rsid w:val="00E229A1"/>
    <w:rsid w:val="00E239B0"/>
    <w:rsid w:val="00E24774"/>
    <w:rsid w:val="00E26297"/>
    <w:rsid w:val="00E26AB1"/>
    <w:rsid w:val="00E300FC"/>
    <w:rsid w:val="00E31385"/>
    <w:rsid w:val="00E34C3D"/>
    <w:rsid w:val="00E35810"/>
    <w:rsid w:val="00E35ACF"/>
    <w:rsid w:val="00E35BE3"/>
    <w:rsid w:val="00E35C66"/>
    <w:rsid w:val="00E37695"/>
    <w:rsid w:val="00E42442"/>
    <w:rsid w:val="00E42C72"/>
    <w:rsid w:val="00E42EA4"/>
    <w:rsid w:val="00E432DB"/>
    <w:rsid w:val="00E43469"/>
    <w:rsid w:val="00E440CD"/>
    <w:rsid w:val="00E4537B"/>
    <w:rsid w:val="00E458CC"/>
    <w:rsid w:val="00E46466"/>
    <w:rsid w:val="00E46847"/>
    <w:rsid w:val="00E476C8"/>
    <w:rsid w:val="00E507AE"/>
    <w:rsid w:val="00E5092C"/>
    <w:rsid w:val="00E50D8E"/>
    <w:rsid w:val="00E510B3"/>
    <w:rsid w:val="00E51418"/>
    <w:rsid w:val="00E5158B"/>
    <w:rsid w:val="00E52270"/>
    <w:rsid w:val="00E53D22"/>
    <w:rsid w:val="00E53DEC"/>
    <w:rsid w:val="00E54878"/>
    <w:rsid w:val="00E555C2"/>
    <w:rsid w:val="00E5661B"/>
    <w:rsid w:val="00E56E67"/>
    <w:rsid w:val="00E56F89"/>
    <w:rsid w:val="00E6056B"/>
    <w:rsid w:val="00E62062"/>
    <w:rsid w:val="00E62B4E"/>
    <w:rsid w:val="00E62C2D"/>
    <w:rsid w:val="00E63563"/>
    <w:rsid w:val="00E6362D"/>
    <w:rsid w:val="00E63B07"/>
    <w:rsid w:val="00E63B43"/>
    <w:rsid w:val="00E641C8"/>
    <w:rsid w:val="00E64AB0"/>
    <w:rsid w:val="00E6588E"/>
    <w:rsid w:val="00E666B5"/>
    <w:rsid w:val="00E66D21"/>
    <w:rsid w:val="00E7215C"/>
    <w:rsid w:val="00E723D5"/>
    <w:rsid w:val="00E725C9"/>
    <w:rsid w:val="00E72944"/>
    <w:rsid w:val="00E73464"/>
    <w:rsid w:val="00E73C64"/>
    <w:rsid w:val="00E745D3"/>
    <w:rsid w:val="00E74E55"/>
    <w:rsid w:val="00E77B75"/>
    <w:rsid w:val="00E805AF"/>
    <w:rsid w:val="00E809C7"/>
    <w:rsid w:val="00E824BE"/>
    <w:rsid w:val="00E830B3"/>
    <w:rsid w:val="00E849C9"/>
    <w:rsid w:val="00E84A3F"/>
    <w:rsid w:val="00E855AD"/>
    <w:rsid w:val="00E856EB"/>
    <w:rsid w:val="00E86A70"/>
    <w:rsid w:val="00E86C33"/>
    <w:rsid w:val="00E86FAD"/>
    <w:rsid w:val="00E874DC"/>
    <w:rsid w:val="00E874E3"/>
    <w:rsid w:val="00E903A1"/>
    <w:rsid w:val="00E90586"/>
    <w:rsid w:val="00E90CD4"/>
    <w:rsid w:val="00E91701"/>
    <w:rsid w:val="00E92D36"/>
    <w:rsid w:val="00E93B42"/>
    <w:rsid w:val="00E940F3"/>
    <w:rsid w:val="00E948CA"/>
    <w:rsid w:val="00E96BF1"/>
    <w:rsid w:val="00E97A5E"/>
    <w:rsid w:val="00EA283F"/>
    <w:rsid w:val="00EA2AC1"/>
    <w:rsid w:val="00EA31A2"/>
    <w:rsid w:val="00EA354F"/>
    <w:rsid w:val="00EA3C00"/>
    <w:rsid w:val="00EA3C63"/>
    <w:rsid w:val="00EA5A72"/>
    <w:rsid w:val="00EA7E7A"/>
    <w:rsid w:val="00EB0591"/>
    <w:rsid w:val="00EB0EB6"/>
    <w:rsid w:val="00EB2309"/>
    <w:rsid w:val="00EB24F2"/>
    <w:rsid w:val="00EB27C5"/>
    <w:rsid w:val="00EB2E8D"/>
    <w:rsid w:val="00EB3C2F"/>
    <w:rsid w:val="00EB5881"/>
    <w:rsid w:val="00EB6192"/>
    <w:rsid w:val="00EB6321"/>
    <w:rsid w:val="00EB709B"/>
    <w:rsid w:val="00EB715A"/>
    <w:rsid w:val="00EC11EA"/>
    <w:rsid w:val="00EC3A8A"/>
    <w:rsid w:val="00EC42BE"/>
    <w:rsid w:val="00EC48D2"/>
    <w:rsid w:val="00EC595E"/>
    <w:rsid w:val="00EC5D9A"/>
    <w:rsid w:val="00EC5F4F"/>
    <w:rsid w:val="00EC7987"/>
    <w:rsid w:val="00EC7BEE"/>
    <w:rsid w:val="00ED02ED"/>
    <w:rsid w:val="00ED0466"/>
    <w:rsid w:val="00ED1B18"/>
    <w:rsid w:val="00ED1E99"/>
    <w:rsid w:val="00ED2426"/>
    <w:rsid w:val="00ED38B2"/>
    <w:rsid w:val="00ED46F1"/>
    <w:rsid w:val="00ED50EE"/>
    <w:rsid w:val="00ED5C6E"/>
    <w:rsid w:val="00ED6A91"/>
    <w:rsid w:val="00ED6AB3"/>
    <w:rsid w:val="00ED6AC9"/>
    <w:rsid w:val="00ED6EDF"/>
    <w:rsid w:val="00ED7FB9"/>
    <w:rsid w:val="00EE012E"/>
    <w:rsid w:val="00EE3A80"/>
    <w:rsid w:val="00EE4A8F"/>
    <w:rsid w:val="00EE4B6E"/>
    <w:rsid w:val="00EE58EF"/>
    <w:rsid w:val="00EE6022"/>
    <w:rsid w:val="00EE616F"/>
    <w:rsid w:val="00EE67EE"/>
    <w:rsid w:val="00EE6E4A"/>
    <w:rsid w:val="00EE7C2F"/>
    <w:rsid w:val="00EF007F"/>
    <w:rsid w:val="00EF0320"/>
    <w:rsid w:val="00EF16C8"/>
    <w:rsid w:val="00EF1A54"/>
    <w:rsid w:val="00EF1E0A"/>
    <w:rsid w:val="00EF32D9"/>
    <w:rsid w:val="00EF374A"/>
    <w:rsid w:val="00EF3CE1"/>
    <w:rsid w:val="00EF5235"/>
    <w:rsid w:val="00EF60CC"/>
    <w:rsid w:val="00EF657F"/>
    <w:rsid w:val="00EF6B03"/>
    <w:rsid w:val="00EF7298"/>
    <w:rsid w:val="00EF7D17"/>
    <w:rsid w:val="00F01168"/>
    <w:rsid w:val="00F01A46"/>
    <w:rsid w:val="00F03FF7"/>
    <w:rsid w:val="00F058A5"/>
    <w:rsid w:val="00F05A7C"/>
    <w:rsid w:val="00F0635B"/>
    <w:rsid w:val="00F07133"/>
    <w:rsid w:val="00F07550"/>
    <w:rsid w:val="00F101A1"/>
    <w:rsid w:val="00F104EE"/>
    <w:rsid w:val="00F10C82"/>
    <w:rsid w:val="00F11556"/>
    <w:rsid w:val="00F12CF2"/>
    <w:rsid w:val="00F12E42"/>
    <w:rsid w:val="00F1354B"/>
    <w:rsid w:val="00F13BC5"/>
    <w:rsid w:val="00F13FB2"/>
    <w:rsid w:val="00F152DB"/>
    <w:rsid w:val="00F156E2"/>
    <w:rsid w:val="00F15719"/>
    <w:rsid w:val="00F15C83"/>
    <w:rsid w:val="00F15C84"/>
    <w:rsid w:val="00F16047"/>
    <w:rsid w:val="00F16BC4"/>
    <w:rsid w:val="00F16BEC"/>
    <w:rsid w:val="00F171A6"/>
    <w:rsid w:val="00F17E7F"/>
    <w:rsid w:val="00F20952"/>
    <w:rsid w:val="00F20E8C"/>
    <w:rsid w:val="00F214DA"/>
    <w:rsid w:val="00F21F68"/>
    <w:rsid w:val="00F220A7"/>
    <w:rsid w:val="00F2328E"/>
    <w:rsid w:val="00F2434C"/>
    <w:rsid w:val="00F305A1"/>
    <w:rsid w:val="00F30C2C"/>
    <w:rsid w:val="00F30E38"/>
    <w:rsid w:val="00F3109F"/>
    <w:rsid w:val="00F31D77"/>
    <w:rsid w:val="00F31E83"/>
    <w:rsid w:val="00F324C8"/>
    <w:rsid w:val="00F334E1"/>
    <w:rsid w:val="00F3367D"/>
    <w:rsid w:val="00F33C69"/>
    <w:rsid w:val="00F3403C"/>
    <w:rsid w:val="00F34070"/>
    <w:rsid w:val="00F34B5D"/>
    <w:rsid w:val="00F34BA9"/>
    <w:rsid w:val="00F34C74"/>
    <w:rsid w:val="00F34EFE"/>
    <w:rsid w:val="00F35695"/>
    <w:rsid w:val="00F36A30"/>
    <w:rsid w:val="00F37326"/>
    <w:rsid w:val="00F378F3"/>
    <w:rsid w:val="00F40F61"/>
    <w:rsid w:val="00F414D2"/>
    <w:rsid w:val="00F42492"/>
    <w:rsid w:val="00F436CB"/>
    <w:rsid w:val="00F43B22"/>
    <w:rsid w:val="00F43C87"/>
    <w:rsid w:val="00F447C4"/>
    <w:rsid w:val="00F46762"/>
    <w:rsid w:val="00F47A18"/>
    <w:rsid w:val="00F502E5"/>
    <w:rsid w:val="00F5121B"/>
    <w:rsid w:val="00F51591"/>
    <w:rsid w:val="00F520B4"/>
    <w:rsid w:val="00F524F8"/>
    <w:rsid w:val="00F52C5F"/>
    <w:rsid w:val="00F53E99"/>
    <w:rsid w:val="00F54283"/>
    <w:rsid w:val="00F54ECC"/>
    <w:rsid w:val="00F54F49"/>
    <w:rsid w:val="00F55759"/>
    <w:rsid w:val="00F559F3"/>
    <w:rsid w:val="00F56377"/>
    <w:rsid w:val="00F568F3"/>
    <w:rsid w:val="00F60854"/>
    <w:rsid w:val="00F6156F"/>
    <w:rsid w:val="00F64C14"/>
    <w:rsid w:val="00F662EB"/>
    <w:rsid w:val="00F664E2"/>
    <w:rsid w:val="00F6735D"/>
    <w:rsid w:val="00F678D3"/>
    <w:rsid w:val="00F7052D"/>
    <w:rsid w:val="00F717B9"/>
    <w:rsid w:val="00F71805"/>
    <w:rsid w:val="00F72122"/>
    <w:rsid w:val="00F72C6A"/>
    <w:rsid w:val="00F74D31"/>
    <w:rsid w:val="00F7525C"/>
    <w:rsid w:val="00F75779"/>
    <w:rsid w:val="00F75897"/>
    <w:rsid w:val="00F75D0C"/>
    <w:rsid w:val="00F75F8F"/>
    <w:rsid w:val="00F76526"/>
    <w:rsid w:val="00F7755A"/>
    <w:rsid w:val="00F81B61"/>
    <w:rsid w:val="00F829BA"/>
    <w:rsid w:val="00F83705"/>
    <w:rsid w:val="00F83C23"/>
    <w:rsid w:val="00F848CC"/>
    <w:rsid w:val="00F84A86"/>
    <w:rsid w:val="00F84B64"/>
    <w:rsid w:val="00F87229"/>
    <w:rsid w:val="00F8783A"/>
    <w:rsid w:val="00F87F21"/>
    <w:rsid w:val="00F9246E"/>
    <w:rsid w:val="00F925A8"/>
    <w:rsid w:val="00F92E25"/>
    <w:rsid w:val="00F940A2"/>
    <w:rsid w:val="00F95ADA"/>
    <w:rsid w:val="00F95EC1"/>
    <w:rsid w:val="00F96049"/>
    <w:rsid w:val="00F97D92"/>
    <w:rsid w:val="00FA28B0"/>
    <w:rsid w:val="00FA297E"/>
    <w:rsid w:val="00FA2D6D"/>
    <w:rsid w:val="00FA2F16"/>
    <w:rsid w:val="00FA41BB"/>
    <w:rsid w:val="00FA46F9"/>
    <w:rsid w:val="00FA4B5F"/>
    <w:rsid w:val="00FA5A6A"/>
    <w:rsid w:val="00FA60A1"/>
    <w:rsid w:val="00FA6227"/>
    <w:rsid w:val="00FA7C2F"/>
    <w:rsid w:val="00FB06C8"/>
    <w:rsid w:val="00FB1946"/>
    <w:rsid w:val="00FB22BF"/>
    <w:rsid w:val="00FB245D"/>
    <w:rsid w:val="00FB28E5"/>
    <w:rsid w:val="00FB342D"/>
    <w:rsid w:val="00FB3B5F"/>
    <w:rsid w:val="00FB4351"/>
    <w:rsid w:val="00FB696A"/>
    <w:rsid w:val="00FB6D0B"/>
    <w:rsid w:val="00FB7D40"/>
    <w:rsid w:val="00FB7F0B"/>
    <w:rsid w:val="00FC1314"/>
    <w:rsid w:val="00FC1A75"/>
    <w:rsid w:val="00FC2B6C"/>
    <w:rsid w:val="00FC3E2B"/>
    <w:rsid w:val="00FC3F10"/>
    <w:rsid w:val="00FC6F99"/>
    <w:rsid w:val="00FC7130"/>
    <w:rsid w:val="00FC79F6"/>
    <w:rsid w:val="00FD0BFD"/>
    <w:rsid w:val="00FD1F48"/>
    <w:rsid w:val="00FD346D"/>
    <w:rsid w:val="00FD52D4"/>
    <w:rsid w:val="00FD5CD8"/>
    <w:rsid w:val="00FD756F"/>
    <w:rsid w:val="00FE09C9"/>
    <w:rsid w:val="00FE13F3"/>
    <w:rsid w:val="00FE1D20"/>
    <w:rsid w:val="00FE2384"/>
    <w:rsid w:val="00FE29A0"/>
    <w:rsid w:val="00FE35A1"/>
    <w:rsid w:val="00FE4A70"/>
    <w:rsid w:val="00FE519F"/>
    <w:rsid w:val="00FE6A29"/>
    <w:rsid w:val="00FE7794"/>
    <w:rsid w:val="00FE7E41"/>
    <w:rsid w:val="00FF127C"/>
    <w:rsid w:val="00FF21BB"/>
    <w:rsid w:val="00FF2B26"/>
    <w:rsid w:val="00FF305E"/>
    <w:rsid w:val="00FF30EA"/>
    <w:rsid w:val="00FF3D26"/>
    <w:rsid w:val="00FF62E0"/>
    <w:rsid w:val="00FF67B6"/>
    <w:rsid w:val="00FF736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2459"/>
  <w15:docId w15:val="{ADF1B125-AECE-49D5-A034-C32866F0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D5A"/>
    <w:pPr>
      <w:widowControl w:val="0"/>
      <w:adjustRightInd w:val="0"/>
      <w:spacing w:after="0" w:line="360" w:lineRule="atLeast"/>
      <w:jc w:val="both"/>
      <w:textAlignment w:val="baseline"/>
    </w:pPr>
    <w:rPr>
      <w:rFonts w:ascii="Verdana" w:eastAsia="Times New Roman" w:hAnsi="Verdana" w:cs="Times New Roman"/>
      <w:sz w:val="24"/>
      <w:szCs w:val="24"/>
      <w:lang w:eastAsia="es-CR"/>
    </w:rPr>
  </w:style>
  <w:style w:type="paragraph" w:styleId="Heading1">
    <w:name w:val="heading 1"/>
    <w:basedOn w:val="Normal"/>
    <w:next w:val="Normal"/>
    <w:link w:val="Heading1Char"/>
    <w:uiPriority w:val="9"/>
    <w:qFormat/>
    <w:rsid w:val="00731D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6377"/>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9E4F6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3C23A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5"/>
    <w:next w:val="Normal"/>
    <w:link w:val="Heading6Char"/>
    <w:uiPriority w:val="9"/>
    <w:unhideWhenUsed/>
    <w:qFormat/>
    <w:rsid w:val="003C23AB"/>
    <w:pPr>
      <w:keepNext w:val="0"/>
      <w:keepLines w:val="0"/>
      <w:widowControl/>
      <w:tabs>
        <w:tab w:val="num" w:pos="3600"/>
      </w:tabs>
      <w:adjustRightInd/>
      <w:spacing w:before="0" w:line="240" w:lineRule="auto"/>
      <w:ind w:left="3600" w:hanging="360"/>
      <w:textAlignment w:val="auto"/>
      <w:outlineLvl w:val="5"/>
    </w:pPr>
    <w:rPr>
      <w:rFonts w:ascii="Verdana" w:eastAsia="Times New Roman" w:hAnsi="Verdana" w:cs="Times New Roman"/>
      <w:color w:val="auto"/>
      <w:spacing w:val="-2"/>
      <w:sz w:val="20"/>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age,Footnotes refss,Footnote number,referencia nota al pie,BVI fnr,f,4_G,16 Point,Superscript 6 Point,Texto nota al pie,Footnote Reference Char3,Footnote Reference Char1 Char,Ref. de nota al,Ref. de nota al pi"/>
    <w:link w:val="4GChar"/>
    <w:qFormat/>
    <w:rsid w:val="00833D5A"/>
    <w:rPr>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FootnoteTextChar"/>
    <w:qFormat/>
    <w:rsid w:val="00833D5A"/>
    <w:pPr>
      <w:spacing w:line="240" w:lineRule="auto"/>
    </w:pPr>
    <w:rPr>
      <w:sz w:val="20"/>
      <w:szCs w:val="20"/>
      <w:lang w:val="es-ES_tradnl" w:eastAsia="x-none"/>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qFormat/>
    <w:rsid w:val="00833D5A"/>
    <w:rPr>
      <w:rFonts w:ascii="Verdana" w:eastAsia="Times New Roman" w:hAnsi="Verdana" w:cs="Times New Roman"/>
      <w:sz w:val="20"/>
      <w:szCs w:val="20"/>
      <w:lang w:val="es-ES_tradnl" w:eastAsia="x-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833D5A"/>
    <w:pPr>
      <w:widowControl/>
      <w:adjustRightInd/>
      <w:spacing w:line="240" w:lineRule="auto"/>
      <w:textAlignment w:val="auto"/>
    </w:pPr>
    <w:rPr>
      <w:rFonts w:asciiTheme="minorHAnsi" w:eastAsiaTheme="minorHAnsi" w:hAnsiTheme="minorHAnsi" w:cstheme="minorBidi"/>
      <w:sz w:val="22"/>
      <w:szCs w:val="22"/>
      <w:vertAlign w:val="superscript"/>
      <w:lang w:eastAsia="en-US"/>
    </w:rPr>
  </w:style>
  <w:style w:type="character" w:styleId="LineNumber">
    <w:name w:val="line number"/>
    <w:basedOn w:val="DefaultParagraphFont"/>
    <w:uiPriority w:val="99"/>
    <w:semiHidden/>
    <w:unhideWhenUsed/>
    <w:rsid w:val="00176377"/>
  </w:style>
  <w:style w:type="paragraph" w:styleId="Header">
    <w:name w:val="header"/>
    <w:basedOn w:val="Normal"/>
    <w:link w:val="HeaderChar"/>
    <w:uiPriority w:val="99"/>
    <w:unhideWhenUsed/>
    <w:rsid w:val="00176377"/>
    <w:pPr>
      <w:tabs>
        <w:tab w:val="center" w:pos="4419"/>
        <w:tab w:val="right" w:pos="8838"/>
      </w:tabs>
      <w:spacing w:line="240" w:lineRule="auto"/>
    </w:pPr>
  </w:style>
  <w:style w:type="character" w:customStyle="1" w:styleId="HeaderChar">
    <w:name w:val="Header Char"/>
    <w:basedOn w:val="DefaultParagraphFont"/>
    <w:link w:val="Header"/>
    <w:uiPriority w:val="99"/>
    <w:rsid w:val="00176377"/>
    <w:rPr>
      <w:rFonts w:ascii="Verdana" w:eastAsia="Times New Roman" w:hAnsi="Verdana" w:cs="Times New Roman"/>
      <w:sz w:val="24"/>
      <w:szCs w:val="24"/>
      <w:lang w:eastAsia="es-CR"/>
    </w:rPr>
  </w:style>
  <w:style w:type="paragraph" w:styleId="Footer">
    <w:name w:val="footer"/>
    <w:basedOn w:val="Normal"/>
    <w:link w:val="FooterChar"/>
    <w:uiPriority w:val="99"/>
    <w:unhideWhenUsed/>
    <w:rsid w:val="00176377"/>
    <w:pPr>
      <w:tabs>
        <w:tab w:val="center" w:pos="4419"/>
        <w:tab w:val="right" w:pos="8838"/>
      </w:tabs>
      <w:spacing w:line="240" w:lineRule="auto"/>
    </w:pPr>
  </w:style>
  <w:style w:type="character" w:customStyle="1" w:styleId="FooterChar">
    <w:name w:val="Footer Char"/>
    <w:basedOn w:val="DefaultParagraphFont"/>
    <w:link w:val="Footer"/>
    <w:uiPriority w:val="99"/>
    <w:rsid w:val="00176377"/>
    <w:rPr>
      <w:rFonts w:ascii="Verdana" w:eastAsia="Times New Roman" w:hAnsi="Verdana" w:cs="Times New Roman"/>
      <w:sz w:val="24"/>
      <w:szCs w:val="24"/>
      <w:lang w:eastAsia="es-CR"/>
    </w:rPr>
  </w:style>
  <w:style w:type="character" w:customStyle="1" w:styleId="Heading2Char">
    <w:name w:val="Heading 2 Char"/>
    <w:basedOn w:val="DefaultParagraphFont"/>
    <w:link w:val="Heading2"/>
    <w:uiPriority w:val="9"/>
    <w:rsid w:val="00176377"/>
    <w:rPr>
      <w:rFonts w:ascii="Cambria" w:eastAsia="Times New Roman" w:hAnsi="Cambria" w:cs="Times New Roman"/>
      <w:b/>
      <w:bCs/>
      <w:color w:val="4F81BD"/>
      <w:sz w:val="26"/>
      <w:szCs w:val="26"/>
      <w:lang w:eastAsia="es-CR"/>
    </w:rPr>
  </w:style>
  <w:style w:type="paragraph" w:styleId="ListParagraph">
    <w:name w:val="List Paragraph"/>
    <w:aliases w:val="List Paragraph2,Lista vistosa - Énfasis 11,Párrafo de lista1,Footnote,List Paragraph1,Colorful List - Accent 11"/>
    <w:basedOn w:val="Normal"/>
    <w:link w:val="ListParagraphChar"/>
    <w:uiPriority w:val="34"/>
    <w:qFormat/>
    <w:rsid w:val="00652A11"/>
    <w:pPr>
      <w:ind w:left="708"/>
    </w:pPr>
  </w:style>
  <w:style w:type="character" w:customStyle="1" w:styleId="ListParagraphChar">
    <w:name w:val="List Paragraph Char"/>
    <w:aliases w:val="List Paragraph2 Char,Lista vistosa - Énfasis 11 Char,Párrafo de lista1 Char,Footnote Char,List Paragraph1 Char,Colorful List - Accent 11 Char"/>
    <w:basedOn w:val="DefaultParagraphFont"/>
    <w:link w:val="ListParagraph"/>
    <w:uiPriority w:val="34"/>
    <w:rsid w:val="00652A11"/>
    <w:rPr>
      <w:rFonts w:ascii="Verdana" w:eastAsia="Times New Roman" w:hAnsi="Verdana" w:cs="Times New Roman"/>
      <w:sz w:val="24"/>
      <w:szCs w:val="24"/>
      <w:lang w:eastAsia="es-CR"/>
    </w:rPr>
  </w:style>
  <w:style w:type="character" w:styleId="Strong">
    <w:name w:val="Strong"/>
    <w:aliases w:val="Heading 2.1"/>
    <w:basedOn w:val="DefaultParagraphFont"/>
    <w:uiPriority w:val="22"/>
    <w:qFormat/>
    <w:rsid w:val="00D22236"/>
    <w:rPr>
      <w:b/>
      <w:bCs/>
    </w:rPr>
  </w:style>
  <w:style w:type="paragraph" w:styleId="NormalWeb">
    <w:name w:val="Normal (Web)"/>
    <w:basedOn w:val="Normal"/>
    <w:uiPriority w:val="99"/>
    <w:unhideWhenUsed/>
    <w:rsid w:val="00FA41BB"/>
    <w:rPr>
      <w:rFonts w:ascii="Times New Roman" w:hAnsi="Times New Roman"/>
    </w:rPr>
  </w:style>
  <w:style w:type="character" w:customStyle="1" w:styleId="apple-converted-space">
    <w:name w:val="apple-converted-space"/>
    <w:basedOn w:val="DefaultParagraphFont"/>
    <w:rsid w:val="00FA41BB"/>
  </w:style>
  <w:style w:type="character" w:styleId="Hyperlink">
    <w:name w:val="Hyperlink"/>
    <w:basedOn w:val="DefaultParagraphFont"/>
    <w:uiPriority w:val="99"/>
    <w:unhideWhenUsed/>
    <w:rsid w:val="00731D3E"/>
    <w:rPr>
      <w:color w:val="0000FF" w:themeColor="hyperlink"/>
      <w:u w:val="single"/>
    </w:rPr>
  </w:style>
  <w:style w:type="character" w:customStyle="1" w:styleId="Heading1Char">
    <w:name w:val="Heading 1 Char"/>
    <w:basedOn w:val="DefaultParagraphFont"/>
    <w:link w:val="Heading1"/>
    <w:uiPriority w:val="9"/>
    <w:rsid w:val="00731D3E"/>
    <w:rPr>
      <w:rFonts w:asciiTheme="majorHAnsi" w:eastAsiaTheme="majorEastAsia" w:hAnsiTheme="majorHAnsi" w:cstheme="majorBidi"/>
      <w:b/>
      <w:bCs/>
      <w:color w:val="365F91" w:themeColor="accent1" w:themeShade="BF"/>
      <w:sz w:val="28"/>
      <w:szCs w:val="28"/>
      <w:lang w:eastAsia="es-CR"/>
    </w:rPr>
  </w:style>
  <w:style w:type="paragraph" w:styleId="TOCHeading">
    <w:name w:val="TOC Heading"/>
    <w:basedOn w:val="Heading1"/>
    <w:next w:val="Normal"/>
    <w:uiPriority w:val="39"/>
    <w:semiHidden/>
    <w:unhideWhenUsed/>
    <w:qFormat/>
    <w:rsid w:val="00731D3E"/>
    <w:pPr>
      <w:widowControl/>
      <w:adjustRightInd/>
      <w:spacing w:line="276" w:lineRule="auto"/>
      <w:jc w:val="left"/>
      <w:textAlignment w:val="auto"/>
      <w:outlineLvl w:val="9"/>
    </w:pPr>
    <w:rPr>
      <w:lang w:val="en-US" w:eastAsia="ja-JP"/>
    </w:rPr>
  </w:style>
  <w:style w:type="paragraph" w:styleId="TOC1">
    <w:name w:val="toc 1"/>
    <w:basedOn w:val="Normal"/>
    <w:next w:val="Normal"/>
    <w:autoRedefine/>
    <w:uiPriority w:val="39"/>
    <w:unhideWhenUsed/>
    <w:rsid w:val="0044397E"/>
    <w:pPr>
      <w:tabs>
        <w:tab w:val="right" w:leader="dot" w:pos="10070"/>
      </w:tabs>
      <w:spacing w:after="60"/>
    </w:pPr>
  </w:style>
  <w:style w:type="paragraph" w:styleId="TOC2">
    <w:name w:val="toc 2"/>
    <w:basedOn w:val="Normal"/>
    <w:next w:val="Normal"/>
    <w:autoRedefine/>
    <w:uiPriority w:val="39"/>
    <w:unhideWhenUsed/>
    <w:rsid w:val="0044397E"/>
    <w:pPr>
      <w:tabs>
        <w:tab w:val="left" w:pos="993"/>
        <w:tab w:val="right" w:leader="dot" w:pos="10070"/>
      </w:tabs>
      <w:spacing w:after="60" w:line="240" w:lineRule="auto"/>
      <w:ind w:left="240"/>
    </w:pPr>
  </w:style>
  <w:style w:type="paragraph" w:styleId="BalloonText">
    <w:name w:val="Balloon Text"/>
    <w:basedOn w:val="Normal"/>
    <w:link w:val="BalloonTextChar"/>
    <w:uiPriority w:val="99"/>
    <w:semiHidden/>
    <w:unhideWhenUsed/>
    <w:rsid w:val="00731D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D3E"/>
    <w:rPr>
      <w:rFonts w:ascii="Tahoma" w:eastAsia="Times New Roman" w:hAnsi="Tahoma" w:cs="Tahoma"/>
      <w:sz w:val="16"/>
      <w:szCs w:val="16"/>
      <w:lang w:eastAsia="es-CR"/>
    </w:rPr>
  </w:style>
  <w:style w:type="table" w:styleId="TableGrid">
    <w:name w:val="Table Grid"/>
    <w:basedOn w:val="TableNormal"/>
    <w:uiPriority w:val="59"/>
    <w:rsid w:val="00017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B528A"/>
  </w:style>
  <w:style w:type="character" w:styleId="CommentReference">
    <w:name w:val="annotation reference"/>
    <w:basedOn w:val="DefaultParagraphFont"/>
    <w:uiPriority w:val="99"/>
    <w:semiHidden/>
    <w:unhideWhenUsed/>
    <w:rsid w:val="00BB528A"/>
    <w:rPr>
      <w:sz w:val="16"/>
      <w:szCs w:val="16"/>
    </w:rPr>
  </w:style>
  <w:style w:type="paragraph" w:styleId="CommentText">
    <w:name w:val="annotation text"/>
    <w:basedOn w:val="Normal"/>
    <w:link w:val="CommentTextChar"/>
    <w:uiPriority w:val="99"/>
    <w:semiHidden/>
    <w:unhideWhenUsed/>
    <w:rsid w:val="00BB528A"/>
    <w:pPr>
      <w:widowControl/>
      <w:adjustRightInd/>
      <w:spacing w:after="200" w:line="240" w:lineRule="auto"/>
      <w:jc w:val="left"/>
      <w:textAlignment w:val="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BB528A"/>
    <w:rPr>
      <w:sz w:val="20"/>
      <w:szCs w:val="20"/>
    </w:rPr>
  </w:style>
  <w:style w:type="paragraph" w:styleId="CommentSubject">
    <w:name w:val="annotation subject"/>
    <w:basedOn w:val="CommentText"/>
    <w:next w:val="CommentText"/>
    <w:link w:val="CommentSubjectChar"/>
    <w:uiPriority w:val="99"/>
    <w:semiHidden/>
    <w:unhideWhenUsed/>
    <w:rsid w:val="00BB528A"/>
    <w:rPr>
      <w:b/>
      <w:bCs/>
    </w:rPr>
  </w:style>
  <w:style w:type="character" w:customStyle="1" w:styleId="CommentSubjectChar">
    <w:name w:val="Comment Subject Char"/>
    <w:basedOn w:val="CommentTextChar"/>
    <w:link w:val="CommentSubject"/>
    <w:uiPriority w:val="99"/>
    <w:semiHidden/>
    <w:rsid w:val="00BB528A"/>
    <w:rPr>
      <w:b/>
      <w:bCs/>
      <w:sz w:val="20"/>
      <w:szCs w:val="20"/>
    </w:rPr>
  </w:style>
  <w:style w:type="character" w:customStyle="1" w:styleId="Heading3Char">
    <w:name w:val="Heading 3 Char"/>
    <w:basedOn w:val="DefaultParagraphFont"/>
    <w:link w:val="Heading3"/>
    <w:uiPriority w:val="9"/>
    <w:semiHidden/>
    <w:rsid w:val="009E4F6C"/>
    <w:rPr>
      <w:rFonts w:asciiTheme="majorHAnsi" w:eastAsiaTheme="majorEastAsia" w:hAnsiTheme="majorHAnsi" w:cstheme="majorBidi"/>
      <w:b/>
      <w:bCs/>
      <w:color w:val="4F81BD" w:themeColor="accent1"/>
      <w:sz w:val="24"/>
      <w:szCs w:val="24"/>
      <w:lang w:eastAsia="es-CR"/>
    </w:rPr>
  </w:style>
  <w:style w:type="character" w:customStyle="1" w:styleId="ListParagraphChar1">
    <w:name w:val="List Paragraph Char1"/>
    <w:aliases w:val="List Paragraph2 Char1,Lista vistosa - Énfasis 11 Char1,Párrafo de lista1 Char1,Footnote Char1,List Paragraph1 Char1"/>
    <w:basedOn w:val="DefaultParagraphFont"/>
    <w:uiPriority w:val="34"/>
    <w:rsid w:val="009E4F6C"/>
    <w:rPr>
      <w:rFonts w:ascii="Verdana" w:eastAsia="Times New Roman" w:hAnsi="Verdana" w:cs="Times New Roman"/>
      <w:sz w:val="24"/>
      <w:szCs w:val="24"/>
      <w:lang w:eastAsia="es-CR"/>
    </w:rPr>
  </w:style>
  <w:style w:type="paragraph" w:customStyle="1" w:styleId="Default">
    <w:name w:val="Default"/>
    <w:rsid w:val="009E4F6C"/>
    <w:pPr>
      <w:autoSpaceDE w:val="0"/>
      <w:autoSpaceDN w:val="0"/>
      <w:adjustRightInd w:val="0"/>
      <w:spacing w:after="0" w:line="240" w:lineRule="auto"/>
    </w:pPr>
    <w:rPr>
      <w:rFonts w:ascii="Verdana" w:hAnsi="Verdana" w:cs="Verdana"/>
      <w:color w:val="000000"/>
      <w:sz w:val="24"/>
      <w:szCs w:val="24"/>
    </w:rPr>
  </w:style>
  <w:style w:type="paragraph" w:customStyle="1" w:styleId="PrrafodeSentencia">
    <w:name w:val="*. Párrafo de Sentencia"/>
    <w:basedOn w:val="Normal"/>
    <w:link w:val="PrrafodeSentenciaChar"/>
    <w:qFormat/>
    <w:rsid w:val="009E4F6C"/>
    <w:pPr>
      <w:widowControl/>
      <w:numPr>
        <w:numId w:val="3"/>
      </w:numPr>
      <w:tabs>
        <w:tab w:val="left" w:pos="567"/>
      </w:tabs>
      <w:adjustRightInd/>
      <w:spacing w:line="240" w:lineRule="auto"/>
      <w:textAlignment w:val="auto"/>
    </w:pPr>
    <w:rPr>
      <w:rFonts w:eastAsia="Batang"/>
      <w:sz w:val="20"/>
      <w:szCs w:val="20"/>
      <w:lang w:val="es-ES_tradnl" w:eastAsia="es-MX"/>
    </w:rPr>
  </w:style>
  <w:style w:type="character" w:customStyle="1" w:styleId="PrrafodeSentenciaChar">
    <w:name w:val="*. Párrafo de Sentencia Char"/>
    <w:link w:val="PrrafodeSentencia"/>
    <w:rsid w:val="009E4F6C"/>
    <w:rPr>
      <w:rFonts w:ascii="Verdana" w:eastAsia="Batang" w:hAnsi="Verdana" w:cs="Times New Roman"/>
      <w:sz w:val="20"/>
      <w:szCs w:val="20"/>
      <w:lang w:val="es-ES_tradnl" w:eastAsia="es-MX"/>
    </w:rPr>
  </w:style>
  <w:style w:type="character" w:customStyle="1" w:styleId="shorttext">
    <w:name w:val="shorttext"/>
    <w:basedOn w:val="DefaultParagraphFont"/>
    <w:rsid w:val="009E4F6C"/>
  </w:style>
  <w:style w:type="paragraph" w:customStyle="1" w:styleId="Estilo4">
    <w:name w:val="Estilo4"/>
    <w:basedOn w:val="ListParagraph"/>
    <w:qFormat/>
    <w:rsid w:val="009E4F6C"/>
    <w:pPr>
      <w:widowControl/>
      <w:numPr>
        <w:ilvl w:val="1"/>
        <w:numId w:val="4"/>
      </w:numPr>
      <w:adjustRightInd/>
      <w:spacing w:after="120" w:line="240" w:lineRule="auto"/>
      <w:ind w:left="0" w:firstLine="357"/>
      <w:textAlignment w:val="auto"/>
    </w:pPr>
    <w:rPr>
      <w:spacing w:val="-2"/>
      <w:sz w:val="20"/>
      <w:szCs w:val="20"/>
      <w:lang w:eastAsia="en-US"/>
    </w:rPr>
  </w:style>
  <w:style w:type="paragraph" w:customStyle="1" w:styleId="Numberedparagraphs">
    <w:name w:val="Numbered paragraphs"/>
    <w:basedOn w:val="Normal"/>
    <w:qFormat/>
    <w:rsid w:val="009E4F6C"/>
    <w:pPr>
      <w:widowControl/>
      <w:adjustRightInd/>
      <w:spacing w:after="200" w:line="240" w:lineRule="auto"/>
      <w:textAlignment w:val="auto"/>
    </w:pPr>
    <w:rPr>
      <w:rFonts w:eastAsia="MS Mincho"/>
      <w:color w:val="000000"/>
      <w:sz w:val="20"/>
      <w:szCs w:val="20"/>
      <w:lang w:val="es-ES_tradnl" w:eastAsia="en-US"/>
    </w:rPr>
  </w:style>
  <w:style w:type="character" w:customStyle="1" w:styleId="Heading6Char">
    <w:name w:val="Heading 6 Char"/>
    <w:basedOn w:val="DefaultParagraphFont"/>
    <w:link w:val="Heading6"/>
    <w:uiPriority w:val="9"/>
    <w:rsid w:val="003C23AB"/>
    <w:rPr>
      <w:rFonts w:ascii="Verdana" w:eastAsia="Times New Roman" w:hAnsi="Verdana" w:cs="Times New Roman"/>
      <w:spacing w:val="-2"/>
      <w:sz w:val="20"/>
      <w:szCs w:val="20"/>
      <w:lang w:val="es-ES_tradnl" w:eastAsia="es-CR"/>
    </w:rPr>
  </w:style>
  <w:style w:type="character" w:customStyle="1" w:styleId="Heading5Char">
    <w:name w:val="Heading 5 Char"/>
    <w:basedOn w:val="DefaultParagraphFont"/>
    <w:link w:val="Heading5"/>
    <w:uiPriority w:val="9"/>
    <w:semiHidden/>
    <w:rsid w:val="003C23AB"/>
    <w:rPr>
      <w:rFonts w:asciiTheme="majorHAnsi" w:eastAsiaTheme="majorEastAsia" w:hAnsiTheme="majorHAnsi" w:cstheme="majorBidi"/>
      <w:color w:val="243F60" w:themeColor="accent1" w:themeShade="7F"/>
      <w:sz w:val="24"/>
      <w:szCs w:val="24"/>
      <w:lang w:eastAsia="es-CR"/>
    </w:rPr>
  </w:style>
  <w:style w:type="character" w:customStyle="1" w:styleId="FootnoteTextChar1">
    <w:name w:val="Footnote Text Char1"/>
    <w:aliases w:val="2. Footnote Text Char1,Footnote Tesina Char1,FA Fu Char2,Footnote Text Char Char Char Char Char Char2,Footnote Text Char Char Char Char Char3,Footnote reference Char2,Footnote Text Char Char Char Char3,Footnote Text Cha Char2,C Char1"/>
    <w:basedOn w:val="DefaultParagraphFont"/>
    <w:rsid w:val="00935F35"/>
    <w:rPr>
      <w:sz w:val="20"/>
      <w:szCs w:val="20"/>
    </w:rPr>
  </w:style>
  <w:style w:type="character" w:customStyle="1" w:styleId="column">
    <w:name w:val="column"/>
    <w:basedOn w:val="DefaultParagraphFont"/>
    <w:rsid w:val="00CD486A"/>
  </w:style>
  <w:style w:type="character" w:customStyle="1" w:styleId="summarytext">
    <w:name w:val="summarytext"/>
    <w:basedOn w:val="DefaultParagraphFont"/>
    <w:rsid w:val="00CD486A"/>
  </w:style>
  <w:style w:type="character" w:customStyle="1" w:styleId="textcolumn">
    <w:name w:val="textcolumn"/>
    <w:basedOn w:val="DefaultParagraphFont"/>
    <w:rsid w:val="00CD486A"/>
  </w:style>
  <w:style w:type="character" w:customStyle="1" w:styleId="more">
    <w:name w:val="more"/>
    <w:basedOn w:val="DefaultParagraphFont"/>
    <w:rsid w:val="00CD4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83566">
      <w:bodyDiv w:val="1"/>
      <w:marLeft w:val="0"/>
      <w:marRight w:val="0"/>
      <w:marTop w:val="0"/>
      <w:marBottom w:val="0"/>
      <w:divBdr>
        <w:top w:val="none" w:sz="0" w:space="0" w:color="auto"/>
        <w:left w:val="none" w:sz="0" w:space="0" w:color="auto"/>
        <w:bottom w:val="none" w:sz="0" w:space="0" w:color="auto"/>
        <w:right w:val="none" w:sz="0" w:space="0" w:color="auto"/>
      </w:divBdr>
    </w:div>
    <w:div w:id="534659985">
      <w:bodyDiv w:val="1"/>
      <w:marLeft w:val="0"/>
      <w:marRight w:val="0"/>
      <w:marTop w:val="0"/>
      <w:marBottom w:val="0"/>
      <w:divBdr>
        <w:top w:val="none" w:sz="0" w:space="0" w:color="auto"/>
        <w:left w:val="none" w:sz="0" w:space="0" w:color="auto"/>
        <w:bottom w:val="none" w:sz="0" w:space="0" w:color="auto"/>
        <w:right w:val="none" w:sz="0" w:space="0" w:color="auto"/>
      </w:divBdr>
      <w:divsChild>
        <w:div w:id="532620775">
          <w:marLeft w:val="547"/>
          <w:marRight w:val="0"/>
          <w:marTop w:val="0"/>
          <w:marBottom w:val="0"/>
          <w:divBdr>
            <w:top w:val="none" w:sz="0" w:space="0" w:color="auto"/>
            <w:left w:val="none" w:sz="0" w:space="0" w:color="auto"/>
            <w:bottom w:val="none" w:sz="0" w:space="0" w:color="auto"/>
            <w:right w:val="none" w:sz="0" w:space="0" w:color="auto"/>
          </w:divBdr>
        </w:div>
      </w:divsChild>
    </w:div>
    <w:div w:id="799690658">
      <w:bodyDiv w:val="1"/>
      <w:marLeft w:val="0"/>
      <w:marRight w:val="0"/>
      <w:marTop w:val="0"/>
      <w:marBottom w:val="0"/>
      <w:divBdr>
        <w:top w:val="none" w:sz="0" w:space="0" w:color="auto"/>
        <w:left w:val="none" w:sz="0" w:space="0" w:color="auto"/>
        <w:bottom w:val="none" w:sz="0" w:space="0" w:color="auto"/>
        <w:right w:val="none" w:sz="0" w:space="0" w:color="auto"/>
      </w:divBdr>
    </w:div>
    <w:div w:id="833030969">
      <w:bodyDiv w:val="1"/>
      <w:marLeft w:val="0"/>
      <w:marRight w:val="0"/>
      <w:marTop w:val="0"/>
      <w:marBottom w:val="0"/>
      <w:divBdr>
        <w:top w:val="none" w:sz="0" w:space="0" w:color="auto"/>
        <w:left w:val="none" w:sz="0" w:space="0" w:color="auto"/>
        <w:bottom w:val="none" w:sz="0" w:space="0" w:color="auto"/>
        <w:right w:val="none" w:sz="0" w:space="0" w:color="auto"/>
      </w:divBdr>
    </w:div>
    <w:div w:id="1011370905">
      <w:bodyDiv w:val="1"/>
      <w:marLeft w:val="0"/>
      <w:marRight w:val="0"/>
      <w:marTop w:val="0"/>
      <w:marBottom w:val="0"/>
      <w:divBdr>
        <w:top w:val="none" w:sz="0" w:space="0" w:color="auto"/>
        <w:left w:val="none" w:sz="0" w:space="0" w:color="auto"/>
        <w:bottom w:val="none" w:sz="0" w:space="0" w:color="auto"/>
        <w:right w:val="none" w:sz="0" w:space="0" w:color="auto"/>
      </w:divBdr>
    </w:div>
    <w:div w:id="1034310609">
      <w:bodyDiv w:val="1"/>
      <w:marLeft w:val="0"/>
      <w:marRight w:val="0"/>
      <w:marTop w:val="0"/>
      <w:marBottom w:val="0"/>
      <w:divBdr>
        <w:top w:val="none" w:sz="0" w:space="0" w:color="auto"/>
        <w:left w:val="none" w:sz="0" w:space="0" w:color="auto"/>
        <w:bottom w:val="none" w:sz="0" w:space="0" w:color="auto"/>
        <w:right w:val="none" w:sz="0" w:space="0" w:color="auto"/>
      </w:divBdr>
    </w:div>
    <w:div w:id="1050805519">
      <w:bodyDiv w:val="1"/>
      <w:marLeft w:val="0"/>
      <w:marRight w:val="0"/>
      <w:marTop w:val="0"/>
      <w:marBottom w:val="0"/>
      <w:divBdr>
        <w:top w:val="none" w:sz="0" w:space="0" w:color="auto"/>
        <w:left w:val="none" w:sz="0" w:space="0" w:color="auto"/>
        <w:bottom w:val="none" w:sz="0" w:space="0" w:color="auto"/>
        <w:right w:val="none" w:sz="0" w:space="0" w:color="auto"/>
      </w:divBdr>
    </w:div>
    <w:div w:id="1317028091">
      <w:bodyDiv w:val="1"/>
      <w:marLeft w:val="0"/>
      <w:marRight w:val="0"/>
      <w:marTop w:val="0"/>
      <w:marBottom w:val="0"/>
      <w:divBdr>
        <w:top w:val="none" w:sz="0" w:space="0" w:color="auto"/>
        <w:left w:val="none" w:sz="0" w:space="0" w:color="auto"/>
        <w:bottom w:val="none" w:sz="0" w:space="0" w:color="auto"/>
        <w:right w:val="none" w:sz="0" w:space="0" w:color="auto"/>
      </w:divBdr>
      <w:divsChild>
        <w:div w:id="2006778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442131">
      <w:bodyDiv w:val="1"/>
      <w:marLeft w:val="0"/>
      <w:marRight w:val="0"/>
      <w:marTop w:val="0"/>
      <w:marBottom w:val="0"/>
      <w:divBdr>
        <w:top w:val="none" w:sz="0" w:space="0" w:color="auto"/>
        <w:left w:val="none" w:sz="0" w:space="0" w:color="auto"/>
        <w:bottom w:val="none" w:sz="0" w:space="0" w:color="auto"/>
        <w:right w:val="none" w:sz="0" w:space="0" w:color="auto"/>
      </w:divBdr>
    </w:div>
    <w:div w:id="1396777333">
      <w:bodyDiv w:val="1"/>
      <w:marLeft w:val="0"/>
      <w:marRight w:val="0"/>
      <w:marTop w:val="0"/>
      <w:marBottom w:val="0"/>
      <w:divBdr>
        <w:top w:val="none" w:sz="0" w:space="0" w:color="auto"/>
        <w:left w:val="none" w:sz="0" w:space="0" w:color="auto"/>
        <w:bottom w:val="none" w:sz="0" w:space="0" w:color="auto"/>
        <w:right w:val="none" w:sz="0" w:space="0" w:color="auto"/>
      </w:divBdr>
    </w:div>
    <w:div w:id="1527283249">
      <w:bodyDiv w:val="1"/>
      <w:marLeft w:val="0"/>
      <w:marRight w:val="0"/>
      <w:marTop w:val="0"/>
      <w:marBottom w:val="0"/>
      <w:divBdr>
        <w:top w:val="none" w:sz="0" w:space="0" w:color="auto"/>
        <w:left w:val="none" w:sz="0" w:space="0" w:color="auto"/>
        <w:bottom w:val="none" w:sz="0" w:space="0" w:color="auto"/>
        <w:right w:val="none" w:sz="0" w:space="0" w:color="auto"/>
      </w:divBdr>
    </w:div>
    <w:div w:id="1648129660">
      <w:bodyDiv w:val="1"/>
      <w:marLeft w:val="0"/>
      <w:marRight w:val="0"/>
      <w:marTop w:val="0"/>
      <w:marBottom w:val="0"/>
      <w:divBdr>
        <w:top w:val="none" w:sz="0" w:space="0" w:color="auto"/>
        <w:left w:val="none" w:sz="0" w:space="0" w:color="auto"/>
        <w:bottom w:val="none" w:sz="0" w:space="0" w:color="auto"/>
        <w:right w:val="none" w:sz="0" w:space="0" w:color="auto"/>
      </w:divBdr>
    </w:div>
    <w:div w:id="1648582337">
      <w:bodyDiv w:val="1"/>
      <w:marLeft w:val="0"/>
      <w:marRight w:val="0"/>
      <w:marTop w:val="0"/>
      <w:marBottom w:val="0"/>
      <w:divBdr>
        <w:top w:val="none" w:sz="0" w:space="0" w:color="auto"/>
        <w:left w:val="none" w:sz="0" w:space="0" w:color="auto"/>
        <w:bottom w:val="none" w:sz="0" w:space="0" w:color="auto"/>
        <w:right w:val="none" w:sz="0" w:space="0" w:color="auto"/>
      </w:divBdr>
    </w:div>
    <w:div w:id="1660772341">
      <w:bodyDiv w:val="1"/>
      <w:marLeft w:val="0"/>
      <w:marRight w:val="0"/>
      <w:marTop w:val="0"/>
      <w:marBottom w:val="0"/>
      <w:divBdr>
        <w:top w:val="none" w:sz="0" w:space="0" w:color="auto"/>
        <w:left w:val="none" w:sz="0" w:space="0" w:color="auto"/>
        <w:bottom w:val="none" w:sz="0" w:space="0" w:color="auto"/>
        <w:right w:val="none" w:sz="0" w:space="0" w:color="auto"/>
      </w:divBdr>
    </w:div>
    <w:div w:id="1678576518">
      <w:bodyDiv w:val="1"/>
      <w:marLeft w:val="0"/>
      <w:marRight w:val="0"/>
      <w:marTop w:val="0"/>
      <w:marBottom w:val="0"/>
      <w:divBdr>
        <w:top w:val="none" w:sz="0" w:space="0" w:color="auto"/>
        <w:left w:val="none" w:sz="0" w:space="0" w:color="auto"/>
        <w:bottom w:val="none" w:sz="0" w:space="0" w:color="auto"/>
        <w:right w:val="none" w:sz="0" w:space="0" w:color="auto"/>
      </w:divBdr>
      <w:divsChild>
        <w:div w:id="1667512733">
          <w:marLeft w:val="547"/>
          <w:marRight w:val="0"/>
          <w:marTop w:val="0"/>
          <w:marBottom w:val="0"/>
          <w:divBdr>
            <w:top w:val="none" w:sz="0" w:space="0" w:color="auto"/>
            <w:left w:val="none" w:sz="0" w:space="0" w:color="auto"/>
            <w:bottom w:val="none" w:sz="0" w:space="0" w:color="auto"/>
            <w:right w:val="none" w:sz="0" w:space="0" w:color="auto"/>
          </w:divBdr>
        </w:div>
      </w:divsChild>
    </w:div>
    <w:div w:id="1715427623">
      <w:bodyDiv w:val="1"/>
      <w:marLeft w:val="0"/>
      <w:marRight w:val="0"/>
      <w:marTop w:val="0"/>
      <w:marBottom w:val="0"/>
      <w:divBdr>
        <w:top w:val="none" w:sz="0" w:space="0" w:color="auto"/>
        <w:left w:val="none" w:sz="0" w:space="0" w:color="auto"/>
        <w:bottom w:val="none" w:sz="0" w:space="0" w:color="auto"/>
        <w:right w:val="none" w:sz="0" w:space="0" w:color="auto"/>
      </w:divBdr>
    </w:div>
    <w:div w:id="192676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hrlibrary.umn.edu/iachr/series_A_OC-17.html" TargetMode="External"/><Relationship Id="rId3" Type="http://schemas.openxmlformats.org/officeDocument/2006/relationships/hyperlink" Target="http://www.corteidh.or.cr/docs/asuntos/lopez_soto_13_12_17.pdf" TargetMode="External"/><Relationship Id="rId7" Type="http://schemas.openxmlformats.org/officeDocument/2006/relationships/hyperlink" Target="http://hrlibrary.umn.edu/iachr/series_A_OC-18.html" TargetMode="External"/><Relationship Id="rId2" Type="http://schemas.openxmlformats.org/officeDocument/2006/relationships/hyperlink" Target="http://www.corteidh.or.cr/docs/asuntos/lopez_soto_13_12_17.pdf" TargetMode="External"/><Relationship Id="rId1" Type="http://schemas.openxmlformats.org/officeDocument/2006/relationships/hyperlink" Target="http://www.corteidh.or.cr/docs/asuntos/lopezsoto_fv_17.pdf" TargetMode="External"/><Relationship Id="rId6" Type="http://schemas.openxmlformats.org/officeDocument/2006/relationships/hyperlink" Target="http://joomla.corteidh.or.cr:8080/joomla/es/casos-contenciosos/38-jurisprudencia/2114-corte-idh-caso-gutierrez-y-familia-vs-argentina-fondo-reparaciones-y-costas-sentencia-de-25-de-noviembre-de-2013-serie-c-no-271" TargetMode="External"/><Relationship Id="rId5" Type="http://schemas.openxmlformats.org/officeDocument/2006/relationships/hyperlink" Target="http://hrlibrary.umn.edu/iachr/b_11_4f.htm" TargetMode="External"/><Relationship Id="rId4" Type="http://schemas.openxmlformats.org/officeDocument/2006/relationships/hyperlink" Target="http://www.oas.org/es/cidh/multimedia/sesiones/154/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D54C5-895E-4483-AB90-348DD8D6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108</Pages>
  <Words>47676</Words>
  <Characters>271758</Characters>
  <Application>Microsoft Office Word</Application>
  <DocSecurity>0</DocSecurity>
  <Lines>2264</Lines>
  <Paragraphs>637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Corte IDH</dc:creator>
  <cp:lastModifiedBy>Penny Houghton</cp:lastModifiedBy>
  <cp:revision>4</cp:revision>
  <cp:lastPrinted>2018-11-16T19:17:00Z</cp:lastPrinted>
  <dcterms:created xsi:type="dcterms:W3CDTF">2020-09-19T15:26:00Z</dcterms:created>
  <dcterms:modified xsi:type="dcterms:W3CDTF">2020-09-19T15:31:00Z</dcterms:modified>
</cp:coreProperties>
</file>